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8D3E">
      <w:pPr>
        <w:jc w:val="center"/>
        <w:rPr>
          <w:rFonts w:ascii="宋体" w:hAnsi="宋体" w:cs="宋体"/>
          <w:spacing w:val="30"/>
          <w:sz w:val="48"/>
          <w:szCs w:val="48"/>
        </w:rPr>
      </w:pPr>
    </w:p>
    <w:p w14:paraId="44D50545">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浙江农林大学物业服务项目</w:t>
      </w:r>
      <w:bookmarkEnd w:id="0"/>
    </w:p>
    <w:p w14:paraId="299D58B7">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ZZCG2025H-CS-112</w:t>
      </w:r>
      <w:bookmarkEnd w:id="1"/>
    </w:p>
    <w:p w14:paraId="1B0AECBA">
      <w:pPr>
        <w:spacing w:after="100" w:afterAutospacing="1" w:line="800" w:lineRule="exact"/>
        <w:ind w:right="-108"/>
        <w:rPr>
          <w:rFonts w:ascii="仿宋" w:hAnsi="仿宋" w:eastAsia="仿宋"/>
          <w:b/>
          <w:spacing w:val="40"/>
          <w:sz w:val="52"/>
          <w:szCs w:val="52"/>
        </w:rPr>
      </w:pPr>
    </w:p>
    <w:p w14:paraId="4E63F10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E29621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41AC72D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1707F94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8D01A8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B7F1BD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189DAA3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324B3897">
      <w:pPr>
        <w:ind w:right="-110"/>
        <w:rPr>
          <w:rFonts w:ascii="仿宋" w:hAnsi="仿宋" w:eastAsia="仿宋"/>
          <w:sz w:val="32"/>
          <w:szCs w:val="32"/>
        </w:rPr>
      </w:pPr>
    </w:p>
    <w:p w14:paraId="57691A29">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3CB5E79">
      <w:pPr>
        <w:spacing w:line="500" w:lineRule="exact"/>
        <w:ind w:right="532"/>
        <w:jc w:val="center"/>
        <w:rPr>
          <w:rFonts w:ascii="仿宋" w:hAnsi="仿宋" w:eastAsia="仿宋"/>
          <w:sz w:val="36"/>
          <w:szCs w:val="36"/>
        </w:rPr>
      </w:pPr>
    </w:p>
    <w:p w14:paraId="5A41CA53">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07237B11">
      <w:pPr>
        <w:pStyle w:val="29"/>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3EA08DD4">
      <w:pPr>
        <w:pStyle w:val="29"/>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0C33727">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318E07EA">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2D786AD5">
      <w:pPr>
        <w:pStyle w:val="38"/>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rFonts w:hint="eastAsia"/>
          <w:sz w:val="28"/>
          <w:szCs w:val="28"/>
          <w:lang w:val="en-US" w:eastAsia="zh-CN"/>
        </w:rPr>
        <w:t>2</w:t>
      </w:r>
      <w:r>
        <w:rPr>
          <w:rStyle w:val="60"/>
          <w:sz w:val="28"/>
          <w:szCs w:val="28"/>
        </w:rPr>
        <w:fldChar w:fldCharType="end"/>
      </w:r>
      <w:r>
        <w:rPr>
          <w:rStyle w:val="60"/>
          <w:rFonts w:hint="eastAsia"/>
          <w:sz w:val="28"/>
          <w:szCs w:val="28"/>
          <w:lang w:val="en-US" w:eastAsia="zh-CN"/>
        </w:rPr>
        <w:t>8</w:t>
      </w:r>
    </w:p>
    <w:p w14:paraId="496C806B">
      <w:pPr>
        <w:pStyle w:val="38"/>
        <w:tabs>
          <w:tab w:val="right" w:leader="dot" w:pos="8834"/>
        </w:tabs>
        <w:spacing w:before="120" w:after="120" w:line="480" w:lineRule="exact"/>
        <w:rPr>
          <w:rStyle w:val="60"/>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0</w:t>
      </w:r>
    </w:p>
    <w:p w14:paraId="54E30C77">
      <w:pPr>
        <w:pStyle w:val="38"/>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3</w:t>
      </w:r>
    </w:p>
    <w:p w14:paraId="101FF1EE">
      <w:pPr>
        <w:pStyle w:val="38"/>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rFonts w:hint="eastAsia"/>
          <w:sz w:val="28"/>
          <w:szCs w:val="28"/>
          <w:lang w:val="en-US" w:eastAsia="zh-CN"/>
        </w:rPr>
        <w:t>3</w:t>
      </w:r>
      <w:r>
        <w:rPr>
          <w:rStyle w:val="60"/>
          <w:sz w:val="28"/>
          <w:szCs w:val="28"/>
        </w:rPr>
        <w:fldChar w:fldCharType="end"/>
      </w:r>
      <w:r>
        <w:rPr>
          <w:rStyle w:val="60"/>
          <w:rFonts w:hint="eastAsia"/>
          <w:sz w:val="28"/>
          <w:szCs w:val="28"/>
          <w:lang w:val="en-US" w:eastAsia="zh-CN"/>
        </w:rPr>
        <w:t>9</w:t>
      </w:r>
    </w:p>
    <w:p w14:paraId="6C7F52A6">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1BB3346">
      <w:pPr>
        <w:pStyle w:val="29"/>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451762242"/>
      <w:bookmarkStart w:id="3" w:name="_Toc510137459"/>
    </w:p>
    <w:p w14:paraId="3879552B">
      <w:pPr>
        <w:pStyle w:val="2"/>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第一章竞争性磋商公告</w:t>
      </w:r>
      <w:bookmarkEnd w:id="4"/>
      <w:bookmarkEnd w:id="5"/>
    </w:p>
    <w:p w14:paraId="25BDA38D"/>
    <w:p w14:paraId="268B1171">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sz w:val="30"/>
          <w:szCs w:val="30"/>
          <w:lang w:val="en-US" w:eastAsia="zh-CN"/>
        </w:rPr>
        <w:t>响应</w:t>
      </w:r>
      <w:r>
        <w:rPr>
          <w:rFonts w:hint="eastAsia" w:ascii="仿宋" w:hAnsi="仿宋" w:eastAsia="仿宋"/>
          <w:sz w:val="30"/>
          <w:szCs w:val="30"/>
        </w:rPr>
        <w:t>：</w:t>
      </w:r>
    </w:p>
    <w:p w14:paraId="12D04205">
      <w:pPr>
        <w:spacing w:line="480" w:lineRule="exact"/>
        <w:rPr>
          <w:rFonts w:ascii="仿宋" w:hAnsi="仿宋" w:eastAsia="仿宋"/>
          <w:sz w:val="30"/>
          <w:szCs w:val="30"/>
        </w:rPr>
      </w:pPr>
    </w:p>
    <w:p w14:paraId="3D8B9C9D">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16128055">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采购标的</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31</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64A96D33">
      <w:pPr>
        <w:spacing w:line="480" w:lineRule="exact"/>
        <w:ind w:firstLine="602" w:firstLineChars="200"/>
        <w:rPr>
          <w:rFonts w:ascii="仿宋" w:hAnsi="仿宋" w:eastAsia="仿宋"/>
          <w:b/>
          <w:sz w:val="30"/>
          <w:szCs w:val="30"/>
        </w:rPr>
      </w:pPr>
    </w:p>
    <w:p w14:paraId="6FCFEA6C">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36D208F4">
      <w:pPr>
        <w:spacing w:line="480" w:lineRule="exact"/>
        <w:ind w:firstLine="600" w:firstLineChars="200"/>
        <w:rPr>
          <w:rFonts w:hint="eastAsia" w:ascii="仿宋" w:hAnsi="仿宋" w:eastAsia="仿宋" w:cs="Arial"/>
          <w:b/>
          <w:bCs/>
          <w:sz w:val="30"/>
          <w:szCs w:val="30"/>
          <w:lang w:eastAsia="zh-CN"/>
        </w:rPr>
      </w:pPr>
      <w:bookmarkStart w:id="6" w:name="_Toc35393629"/>
      <w:bookmarkStart w:id="7" w:name="_Toc28359012"/>
      <w:bookmarkStart w:id="8" w:name="_Toc35393798"/>
      <w:bookmarkStart w:id="9" w:name="_Toc2835908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ZZCG2025H-CS-112</w:t>
      </w:r>
      <w:bookmarkEnd w:id="10"/>
    </w:p>
    <w:p w14:paraId="47BB20B1">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浙江农林大学物业服务项目</w:t>
      </w:r>
      <w:bookmarkEnd w:id="11"/>
    </w:p>
    <w:p w14:paraId="7EBB25F4">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0B5EAE76">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26612296.0000</w:t>
      </w:r>
      <w:bookmarkEnd w:id="12"/>
    </w:p>
    <w:p w14:paraId="014E9382">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2D9061DD">
      <w:pPr>
        <w:spacing w:line="480" w:lineRule="exact"/>
        <w:ind w:firstLine="600" w:firstLineChars="200"/>
        <w:rPr>
          <w:rFonts w:ascii="仿宋" w:hAnsi="仿宋" w:eastAsia="仿宋"/>
          <w:sz w:val="30"/>
          <w:szCs w:val="30"/>
        </w:rPr>
      </w:pPr>
      <w:r>
        <w:rPr>
          <w:rFonts w:hint="eastAsia" w:ascii="仿宋" w:hAnsi="仿宋" w:eastAsia="仿宋"/>
          <w:sz w:val="30"/>
          <w:szCs w:val="30"/>
        </w:rPr>
        <w:t>采购需求：</w:t>
      </w:r>
    </w:p>
    <w:p w14:paraId="60ED826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3C2C44C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0765E4D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预算金额（元）：26612296.0000</w:t>
      </w:r>
    </w:p>
    <w:p w14:paraId="626B072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单位：年</w:t>
      </w:r>
    </w:p>
    <w:p w14:paraId="7341B88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7EE8A839">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6084E62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3"/>
    <w:p w14:paraId="466AC4DF">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w:t>
      </w:r>
      <w:bookmarkStart w:id="14" w:name="PO_3000001756_PM007"/>
      <w:r>
        <w:rPr>
          <w:rFonts w:hint="eastAsia" w:ascii="仿宋" w:hAnsi="仿宋" w:eastAsia="仿宋"/>
          <w:sz w:val="30"/>
          <w:szCs w:val="30"/>
          <w:lang w:val="en-US" w:eastAsia="zh-CN"/>
        </w:rPr>
        <w:t>标项1:允许联合体投标</w:t>
      </w:r>
      <w:bookmarkEnd w:id="14"/>
      <w:r>
        <w:rPr>
          <w:rFonts w:hint="eastAsia" w:ascii="仿宋" w:hAnsi="仿宋" w:eastAsia="仿宋"/>
          <w:sz w:val="30"/>
          <w:szCs w:val="30"/>
        </w:rPr>
        <w:t>。</w:t>
      </w:r>
      <w:r>
        <w:rPr>
          <w:rFonts w:eastAsia="仿宋"/>
          <w:sz w:val="30"/>
          <w:szCs w:val="30"/>
        </w:rPr>
        <w:t>  </w:t>
      </w:r>
    </w:p>
    <w:p w14:paraId="0F07F2C1">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00D5718">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7AEC61E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themeColor="text1"/>
          <w:sz w:val="30"/>
          <w:szCs w:val="30"/>
          <w:lang w:eastAsia="zh-CN"/>
          <w14:textFill>
            <w14:solidFill>
              <w14:schemeClr w14:val="tx1"/>
            </w14:solidFill>
          </w14:textFill>
        </w:rPr>
        <w:t>标项1供应商为中小企业/小微企业/残疾人福利企业/监狱企业</w:t>
      </w:r>
      <w:bookmarkEnd w:id="15"/>
    </w:p>
    <w:p w14:paraId="652DB52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lang w:eastAsia="zh-CN"/>
        </w:rPr>
        <w:t>标项1:本项目专门面向中小企业，请单独上传《中小企业声明函》。</w:t>
      </w:r>
      <w:bookmarkEnd w:id="16"/>
    </w:p>
    <w:bookmarkEnd w:id="6"/>
    <w:bookmarkEnd w:id="7"/>
    <w:bookmarkEnd w:id="8"/>
    <w:bookmarkEnd w:id="9"/>
    <w:p w14:paraId="7173E9CC">
      <w:pPr>
        <w:spacing w:line="480" w:lineRule="exact"/>
        <w:ind w:firstLine="602" w:firstLineChars="200"/>
        <w:rPr>
          <w:rFonts w:ascii="仿宋" w:hAnsi="仿宋" w:eastAsia="仿宋"/>
          <w:b/>
          <w:sz w:val="30"/>
          <w:szCs w:val="30"/>
        </w:rPr>
      </w:pPr>
      <w:bookmarkStart w:id="17" w:name="_Toc28359014"/>
      <w:bookmarkStart w:id="18" w:name="_Toc35393631"/>
      <w:bookmarkStart w:id="19" w:name="_Toc28359091"/>
      <w:bookmarkStart w:id="20" w:name="_Toc35393800"/>
      <w:r>
        <w:rPr>
          <w:rFonts w:hint="eastAsia" w:ascii="仿宋" w:hAnsi="仿宋" w:eastAsia="仿宋"/>
          <w:b/>
          <w:sz w:val="30"/>
          <w:szCs w:val="30"/>
        </w:rPr>
        <w:t>三、获取磋商文件</w:t>
      </w:r>
      <w:bookmarkEnd w:id="17"/>
      <w:bookmarkEnd w:id="18"/>
      <w:bookmarkEnd w:id="19"/>
      <w:bookmarkEnd w:id="20"/>
    </w:p>
    <w:p w14:paraId="4EC97681">
      <w:pPr>
        <w:spacing w:line="480" w:lineRule="exact"/>
        <w:ind w:firstLine="600" w:firstLineChars="200"/>
        <w:rPr>
          <w:rFonts w:ascii="仿宋" w:hAnsi="仿宋" w:eastAsia="仿宋"/>
          <w:sz w:val="30"/>
          <w:szCs w:val="30"/>
        </w:rPr>
      </w:pPr>
      <w:bookmarkStart w:id="21" w:name="_Toc28359092"/>
      <w:bookmarkStart w:id="22" w:name="_Toc28359015"/>
      <w:bookmarkStart w:id="23" w:name="_Toc35393632"/>
      <w:bookmarkStart w:id="24" w:name="_Toc35393801"/>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5" w:name="PO_3000001756_PM015"/>
      <w:r>
        <w:rPr>
          <w:rFonts w:hint="eastAsia" w:ascii="仿宋" w:hAnsi="仿宋" w:eastAsia="仿宋"/>
          <w:b/>
          <w:color w:val="FF0000"/>
          <w:kern w:val="0"/>
          <w:sz w:val="30"/>
          <w:szCs w:val="30"/>
          <w:lang w:eastAsia="zh-CN"/>
        </w:rPr>
        <w:t xml:space="preserve">2025-07-31 09:00:00 </w:t>
      </w:r>
      <w:bookmarkEnd w:id="25"/>
      <w:r>
        <w:rPr>
          <w:rFonts w:hint="eastAsia" w:ascii="仿宋" w:hAnsi="仿宋" w:eastAsia="仿宋"/>
          <w:sz w:val="30"/>
          <w:szCs w:val="30"/>
        </w:rPr>
        <w:t>。</w:t>
      </w:r>
    </w:p>
    <w:p w14:paraId="612AB082">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获取方式：本项目采购文件实行网上获取。供应商登录浙江政府采购网（http://zfcg.czt.zj.gov.cn/）进入政采云系统“项目采购”模块“获取采购文件”菜单，进行网上获取采购文件。</w:t>
      </w:r>
    </w:p>
    <w:p w14:paraId="50D79B72">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磋商文件免费获取。</w:t>
      </w:r>
    </w:p>
    <w:p w14:paraId="59CD5B64">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1EB1ACF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r>
        <w:rPr>
          <w:rFonts w:hint="eastAsia" w:ascii="仿宋" w:hAnsi="仿宋" w:eastAsia="仿宋" w:cs="Arial"/>
          <w:sz w:val="30"/>
          <w:szCs w:val="30"/>
          <w:lang w:eastAsia="zh-CN"/>
        </w:rPr>
        <w:t>2025-07-31 09:00:00</w:t>
      </w:r>
    </w:p>
    <w:p w14:paraId="79F81164">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177A05DD">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w:t>
      </w:r>
      <w:r>
        <w:rPr>
          <w:rFonts w:hint="eastAsia" w:ascii="仿宋" w:hAnsi="仿宋" w:eastAsia="仿宋"/>
          <w:sz w:val="30"/>
          <w:szCs w:val="30"/>
          <w:lang w:val="en-US" w:eastAsia="zh-CN"/>
        </w:rPr>
        <w:t>响应</w:t>
      </w:r>
      <w:r>
        <w:rPr>
          <w:rFonts w:hint="eastAsia" w:ascii="仿宋" w:hAnsi="仿宋" w:eastAsia="仿宋"/>
          <w:sz w:val="30"/>
          <w:szCs w:val="30"/>
        </w:rPr>
        <w:t>。磋商响应文件应按照本项目磋商响应文件和电子交易平台的要求编制、加密，并应当在</w:t>
      </w:r>
      <w:r>
        <w:rPr>
          <w:rFonts w:hint="eastAsia" w:ascii="仿宋" w:hAnsi="仿宋" w:eastAsia="仿宋"/>
          <w:sz w:val="30"/>
          <w:szCs w:val="30"/>
          <w:lang w:val="en-US" w:eastAsia="zh-CN"/>
        </w:rPr>
        <w:t>响应</w:t>
      </w:r>
      <w:r>
        <w:rPr>
          <w:rFonts w:hint="eastAsia" w:ascii="仿宋" w:hAnsi="仿宋" w:eastAsia="仿宋"/>
          <w:sz w:val="30"/>
          <w:szCs w:val="30"/>
        </w:rPr>
        <w:t>截止时间前在规定电子交易平台完成传输递交，</w:t>
      </w:r>
      <w:r>
        <w:rPr>
          <w:rFonts w:hint="eastAsia" w:ascii="仿宋" w:hAnsi="仿宋" w:eastAsia="仿宋"/>
          <w:sz w:val="30"/>
          <w:szCs w:val="30"/>
          <w:lang w:val="en-US" w:eastAsia="zh-CN"/>
        </w:rPr>
        <w:t>响应</w:t>
      </w:r>
      <w:r>
        <w:rPr>
          <w:rFonts w:hint="eastAsia" w:ascii="仿宋" w:hAnsi="仿宋" w:eastAsia="仿宋"/>
          <w:sz w:val="30"/>
          <w:szCs w:val="30"/>
        </w:rPr>
        <w:t>截止时间后送达的磋商响应文件，将被电子交易平台拒收。</w:t>
      </w:r>
    </w:p>
    <w:p w14:paraId="10D9746C">
      <w:pPr>
        <w:ind w:firstLine="600" w:firstLineChars="200"/>
        <w:rPr>
          <w:rFonts w:ascii="仿宋" w:hAnsi="仿宋" w:eastAsia="仿宋"/>
          <w:sz w:val="30"/>
          <w:szCs w:val="30"/>
        </w:rPr>
      </w:pPr>
      <w:r>
        <w:rPr>
          <w:rFonts w:hint="eastAsia" w:ascii="仿宋" w:hAnsi="仿宋" w:eastAsia="仿宋"/>
          <w:sz w:val="30"/>
          <w:szCs w:val="30"/>
        </w:rPr>
        <w:t>如认为需要，</w:t>
      </w:r>
      <w:r>
        <w:rPr>
          <w:rFonts w:hint="eastAsia" w:ascii="仿宋" w:hAnsi="仿宋" w:eastAsia="仿宋"/>
          <w:sz w:val="30"/>
          <w:szCs w:val="30"/>
          <w:lang w:val="en-US" w:eastAsia="zh-CN"/>
        </w:rPr>
        <w:t>响应方</w:t>
      </w:r>
      <w:r>
        <w:rPr>
          <w:rFonts w:hint="eastAsia" w:ascii="仿宋" w:hAnsi="仿宋" w:eastAsia="仿宋"/>
          <w:sz w:val="30"/>
          <w:szCs w:val="30"/>
        </w:rPr>
        <w:t>可以选择递交备份</w:t>
      </w:r>
      <w:r>
        <w:rPr>
          <w:rFonts w:hint="eastAsia" w:ascii="仿宋" w:hAnsi="仿宋" w:eastAsia="仿宋"/>
          <w:sz w:val="30"/>
          <w:szCs w:val="30"/>
          <w:lang w:val="en-US" w:eastAsia="zh-CN"/>
        </w:rPr>
        <w:t>响应</w:t>
      </w:r>
      <w:r>
        <w:rPr>
          <w:rFonts w:hint="eastAsia" w:ascii="仿宋" w:hAnsi="仿宋" w:eastAsia="仿宋"/>
          <w:sz w:val="30"/>
          <w:szCs w:val="30"/>
        </w:rPr>
        <w:t>文件，采用数据电文形式，以</w:t>
      </w:r>
      <w:r>
        <w:rPr>
          <w:rFonts w:ascii="仿宋" w:hAnsi="仿宋" w:eastAsia="仿宋"/>
          <w:sz w:val="30"/>
          <w:szCs w:val="30"/>
        </w:rPr>
        <w:t xml:space="preserve"> U 盘或 DVD 光盘形式存储，并在</w:t>
      </w:r>
      <w:r>
        <w:rPr>
          <w:rFonts w:hint="eastAsia" w:ascii="仿宋" w:hAnsi="仿宋" w:eastAsia="仿宋"/>
          <w:sz w:val="30"/>
          <w:szCs w:val="30"/>
          <w:lang w:val="en-US" w:eastAsia="zh-CN"/>
        </w:rPr>
        <w:t>响应</w:t>
      </w:r>
      <w:r>
        <w:rPr>
          <w:rFonts w:ascii="仿宋" w:hAnsi="仿宋" w:eastAsia="仿宋"/>
          <w:sz w:val="30"/>
          <w:szCs w:val="30"/>
        </w:rPr>
        <w:t>截止时间前，通过邮寄或直接递交的方式，送达指定地点，逾期送达或未密封将被拒收。</w:t>
      </w:r>
    </w:p>
    <w:p w14:paraId="2BA68EA4">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w:t>
      </w:r>
      <w:r>
        <w:rPr>
          <w:rFonts w:hint="eastAsia" w:ascii="仿宋" w:hAnsi="仿宋" w:eastAsia="仿宋"/>
          <w:sz w:val="30"/>
          <w:szCs w:val="30"/>
          <w:lang w:val="en-US" w:eastAsia="zh-CN"/>
        </w:rPr>
        <w:t>0</w:t>
      </w:r>
      <w:r>
        <w:rPr>
          <w:rFonts w:ascii="仿宋" w:hAnsi="仿宋" w:eastAsia="仿宋"/>
          <w:sz w:val="30"/>
          <w:szCs w:val="30"/>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6DCE300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137951C5">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07F04513">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本次磋商将于2025-07-31 09:00:00在西湖区浙江省杭州市西湖区宝石一路3号</w:t>
      </w:r>
      <w:r>
        <w:rPr>
          <w:rFonts w:hint="eastAsia" w:ascii="仿宋" w:hAnsi="仿宋" w:eastAsia="仿宋"/>
          <w:sz w:val="30"/>
          <w:szCs w:val="30"/>
          <w:lang w:val="en-US" w:eastAsia="zh-CN"/>
        </w:rPr>
        <w:t>303</w:t>
      </w:r>
      <w:r>
        <w:rPr>
          <w:rFonts w:hint="eastAsia" w:ascii="仿宋" w:hAnsi="仿宋" w:eastAsia="仿宋"/>
          <w:sz w:val="30"/>
          <w:szCs w:val="30"/>
        </w:rPr>
        <w:t>开标室开启。</w:t>
      </w:r>
    </w:p>
    <w:p w14:paraId="226C0F21">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6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5EAD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7C52F9B3">
            <w:pPr>
              <w:rPr>
                <w:rFonts w:ascii="宋体" w:hAnsi="宋体" w:cs="宋体"/>
                <w:color w:val="000000" w:themeColor="text1"/>
                <w:kern w:val="0"/>
                <w:sz w:val="28"/>
                <w:szCs w:val="28"/>
                <w14:textFill>
                  <w14:solidFill>
                    <w14:schemeClr w14:val="tx1"/>
                  </w14:solidFill>
                </w14:textFill>
              </w:rPr>
            </w:pPr>
            <w:bookmarkStart w:id="26" w:name="_Toc28359017"/>
            <w:bookmarkStart w:id="27" w:name="_Toc35393634"/>
            <w:bookmarkStart w:id="28" w:name="_Toc35393803"/>
            <w:bookmarkStart w:id="29" w:name="_Toc28359094"/>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26C790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00978CB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3D84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5461F575">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5149D58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会议室：</w:t>
            </w:r>
          </w:p>
          <w:p w14:paraId="4057D9C2">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73</w:t>
            </w:r>
          </w:p>
        </w:tc>
      </w:tr>
    </w:tbl>
    <w:p w14:paraId="3F37A656">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6"/>
      <w:bookmarkEnd w:id="27"/>
      <w:bookmarkEnd w:id="28"/>
      <w:bookmarkEnd w:id="29"/>
    </w:p>
    <w:p w14:paraId="6EB5931E">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61E67AD1">
      <w:pPr>
        <w:spacing w:line="480" w:lineRule="exact"/>
        <w:ind w:firstLine="602" w:firstLineChars="200"/>
        <w:rPr>
          <w:rFonts w:ascii="仿宋" w:hAnsi="仿宋" w:eastAsia="仿宋"/>
          <w:b/>
          <w:sz w:val="30"/>
          <w:szCs w:val="30"/>
        </w:rPr>
      </w:pPr>
      <w:bookmarkStart w:id="30" w:name="_Toc35393635"/>
      <w:bookmarkStart w:id="31" w:name="_Toc35393804"/>
      <w:r>
        <w:rPr>
          <w:rFonts w:hint="eastAsia" w:ascii="仿宋" w:hAnsi="仿宋" w:eastAsia="仿宋"/>
          <w:b/>
          <w:sz w:val="30"/>
          <w:szCs w:val="30"/>
        </w:rPr>
        <w:t>七、其他补充事宜</w:t>
      </w:r>
      <w:bookmarkEnd w:id="30"/>
      <w:bookmarkEnd w:id="31"/>
    </w:p>
    <w:p w14:paraId="6791CDE4">
      <w:pPr>
        <w:spacing w:line="48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电子交易平台的网络地址和登录方法</w:t>
      </w:r>
    </w:p>
    <w:p w14:paraId="1F8267D7">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24FC3186">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w:t>
      </w:r>
      <w:r>
        <w:rPr>
          <w:rFonts w:hint="eastAsia" w:ascii="仿宋" w:hAnsi="仿宋" w:eastAsia="仿宋"/>
          <w:sz w:val="30"/>
          <w:szCs w:val="30"/>
          <w:lang w:val="en-US" w:eastAsia="zh-CN"/>
        </w:rPr>
        <w:t>登记</w:t>
      </w:r>
      <w:r>
        <w:rPr>
          <w:rFonts w:hint="eastAsia" w:ascii="仿宋" w:hAnsi="仿宋" w:eastAsia="仿宋"/>
          <w:sz w:val="30"/>
          <w:szCs w:val="30"/>
        </w:rPr>
        <w:t>并申请CA，再下载客户端编制、加密电子磋商响应文件，最后应在浙江政府采购网政采云用户登录窗口登录，完成电子磋商响应文件传输递交（具体详见第二章磋商响应方须知前附表）。</w:t>
      </w:r>
    </w:p>
    <w:p w14:paraId="65986828">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CCD87">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其他事项：无</w:t>
      </w:r>
    </w:p>
    <w:p w14:paraId="78F81D94">
      <w:pPr>
        <w:spacing w:line="480" w:lineRule="exact"/>
        <w:ind w:firstLine="600" w:firstLineChars="200"/>
        <w:rPr>
          <w:rFonts w:ascii="仿宋" w:hAnsi="仿宋" w:eastAsia="仿宋"/>
          <w:sz w:val="30"/>
          <w:szCs w:val="30"/>
        </w:rPr>
      </w:pPr>
    </w:p>
    <w:p w14:paraId="4E0BB1C9">
      <w:pPr>
        <w:spacing w:line="480" w:lineRule="exact"/>
        <w:ind w:firstLine="602" w:firstLineChars="200"/>
        <w:rPr>
          <w:rFonts w:ascii="仿宋" w:hAnsi="仿宋" w:eastAsia="仿宋"/>
          <w:b/>
          <w:sz w:val="30"/>
          <w:szCs w:val="30"/>
        </w:rPr>
      </w:pPr>
      <w:bookmarkStart w:id="32" w:name="_Toc28359095"/>
      <w:bookmarkStart w:id="33" w:name="_Toc35393805"/>
      <w:bookmarkStart w:id="34" w:name="_Toc28359018"/>
      <w:bookmarkStart w:id="35" w:name="_Toc35393636"/>
      <w:r>
        <w:rPr>
          <w:rFonts w:hint="eastAsia" w:ascii="仿宋" w:hAnsi="仿宋" w:eastAsia="仿宋"/>
          <w:b/>
          <w:sz w:val="30"/>
          <w:szCs w:val="30"/>
        </w:rPr>
        <w:t>八、</w:t>
      </w:r>
      <w:bookmarkEnd w:id="32"/>
      <w:bookmarkEnd w:id="33"/>
      <w:bookmarkEnd w:id="34"/>
      <w:bookmarkEnd w:id="35"/>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410DE8A7">
      <w:pPr>
        <w:spacing w:line="480" w:lineRule="exact"/>
        <w:ind w:firstLine="600" w:firstLineChars="200"/>
        <w:rPr>
          <w:rFonts w:ascii="仿宋" w:hAnsi="仿宋" w:eastAsia="仿宋"/>
          <w:sz w:val="30"/>
          <w:szCs w:val="30"/>
        </w:rPr>
      </w:pPr>
      <w:bookmarkStart w:id="36" w:name="_Toc28359096"/>
      <w:bookmarkStart w:id="37" w:name="_Toc35393637"/>
      <w:bookmarkStart w:id="38" w:name="_Toc35393806"/>
      <w:bookmarkStart w:id="39" w:name="_Toc28359019"/>
      <w:r>
        <w:rPr>
          <w:rFonts w:hint="eastAsia" w:ascii="仿宋" w:hAnsi="仿宋" w:eastAsia="仿宋"/>
          <w:sz w:val="30"/>
          <w:szCs w:val="30"/>
        </w:rPr>
        <w:t>1.采购人信息</w:t>
      </w:r>
      <w:bookmarkEnd w:id="36"/>
      <w:bookmarkEnd w:id="37"/>
      <w:bookmarkEnd w:id="38"/>
      <w:bookmarkEnd w:id="39"/>
    </w:p>
    <w:p w14:paraId="3EB637A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0" w:name="PO_421_PM026"/>
      <w:r>
        <w:rPr>
          <w:rFonts w:hint="eastAsia" w:ascii="仿宋" w:hAnsi="仿宋" w:eastAsia="仿宋"/>
          <w:color w:val="000000" w:themeColor="text1"/>
          <w:sz w:val="30"/>
          <w:szCs w:val="30"/>
          <w:lang w:eastAsia="zh-CN"/>
          <w14:textFill>
            <w14:solidFill>
              <w14:schemeClr w14:val="tx1"/>
            </w14:solidFill>
          </w14:textFill>
        </w:rPr>
        <w:t>浙江农林大学</w:t>
      </w:r>
      <w:bookmarkEnd w:id="40"/>
    </w:p>
    <w:p w14:paraId="01CA65D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1" w:name="PO_421_PM030"/>
      <w:r>
        <w:rPr>
          <w:rFonts w:hint="eastAsia" w:ascii="Calibri" w:hAnsi="Calibri" w:eastAsia="仿宋" w:cs="Calibri"/>
          <w:color w:val="000000" w:themeColor="text1"/>
          <w:sz w:val="30"/>
          <w:szCs w:val="30"/>
          <w:lang w:eastAsia="zh-CN"/>
          <w14:textFill>
            <w14:solidFill>
              <w14:schemeClr w14:val="tx1"/>
            </w14:solidFill>
          </w14:textFill>
        </w:rPr>
        <w:t>杭州临安区武肃街666号</w:t>
      </w:r>
      <w:bookmarkEnd w:id="41"/>
    </w:p>
    <w:p w14:paraId="7274EAF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2"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2"/>
    </w:p>
    <w:p w14:paraId="55320E9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3" w:name="PO_3000001756_PM027"/>
      <w:r>
        <w:rPr>
          <w:rFonts w:hint="eastAsia" w:ascii="Calibri" w:hAnsi="Calibri" w:eastAsia="仿宋" w:cs="Calibri"/>
          <w:color w:val="000000" w:themeColor="text1"/>
          <w:sz w:val="30"/>
          <w:szCs w:val="30"/>
          <w:lang w:eastAsia="zh-CN"/>
          <w14:textFill>
            <w14:solidFill>
              <w14:schemeClr w14:val="tx1"/>
            </w14:solidFill>
          </w14:textFill>
        </w:rPr>
        <w:t>李金花</w:t>
      </w:r>
      <w:bookmarkEnd w:id="43"/>
    </w:p>
    <w:p w14:paraId="5C561BB4">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4" w:name="PO_3000001756_PM028"/>
      <w:r>
        <w:rPr>
          <w:rFonts w:hint="eastAsia" w:ascii="仿宋" w:hAnsi="仿宋" w:eastAsia="仿宋"/>
          <w:color w:val="000000" w:themeColor="text1"/>
          <w:sz w:val="30"/>
          <w:szCs w:val="30"/>
          <w:lang w:eastAsia="zh-CN"/>
          <w14:textFill>
            <w14:solidFill>
              <w14:schemeClr w14:val="tx1"/>
            </w14:solidFill>
          </w14:textFill>
        </w:rPr>
        <w:t>0571-63740897</w:t>
      </w:r>
      <w:bookmarkEnd w:id="44"/>
    </w:p>
    <w:p w14:paraId="6F3677B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5" w:name="PO_421_PM001390"/>
      <w:r>
        <w:rPr>
          <w:rFonts w:hint="eastAsia" w:ascii="仿宋" w:hAnsi="仿宋" w:eastAsia="仿宋"/>
          <w:color w:val="000000" w:themeColor="text1"/>
          <w:sz w:val="30"/>
          <w:szCs w:val="30"/>
          <w:lang w:eastAsia="zh-CN"/>
          <w14:textFill>
            <w14:solidFill>
              <w14:schemeClr w14:val="tx1"/>
            </w14:solidFill>
          </w14:textFill>
        </w:rPr>
        <w:t>王进</w:t>
      </w:r>
      <w:bookmarkEnd w:id="45"/>
    </w:p>
    <w:p w14:paraId="7261FBC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6" w:name="PO_421_PM001391"/>
      <w:r>
        <w:rPr>
          <w:rFonts w:hint="eastAsia" w:ascii="仿宋" w:hAnsi="仿宋" w:eastAsia="仿宋"/>
          <w:color w:val="000000" w:themeColor="text1"/>
          <w:sz w:val="30"/>
          <w:szCs w:val="30"/>
          <w:lang w:eastAsia="zh-CN"/>
          <w14:textFill>
            <w14:solidFill>
              <w14:schemeClr w14:val="tx1"/>
            </w14:solidFill>
          </w14:textFill>
        </w:rPr>
        <w:t>13891823227</w:t>
      </w:r>
      <w:bookmarkEnd w:id="46"/>
    </w:p>
    <w:p w14:paraId="15CC9E03">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30B8FA9">
      <w:pPr>
        <w:spacing w:line="480" w:lineRule="exact"/>
        <w:ind w:firstLine="600" w:firstLineChars="200"/>
        <w:rPr>
          <w:rFonts w:ascii="仿宋" w:hAnsi="仿宋" w:eastAsia="仿宋"/>
          <w:sz w:val="30"/>
          <w:szCs w:val="30"/>
        </w:rPr>
      </w:pPr>
      <w:bookmarkStart w:id="47" w:name="_Toc28359020"/>
      <w:bookmarkStart w:id="48" w:name="_Toc35393807"/>
      <w:bookmarkStart w:id="49" w:name="_Toc35393638"/>
      <w:bookmarkStart w:id="50" w:name="_Toc28359097"/>
      <w:r>
        <w:rPr>
          <w:rFonts w:hint="eastAsia" w:ascii="仿宋" w:hAnsi="仿宋" w:eastAsia="仿宋"/>
          <w:sz w:val="30"/>
          <w:szCs w:val="30"/>
        </w:rPr>
        <w:t>2.采购代理机构信息（如有）</w:t>
      </w:r>
      <w:bookmarkEnd w:id="47"/>
      <w:bookmarkEnd w:id="48"/>
      <w:bookmarkEnd w:id="49"/>
      <w:bookmarkEnd w:id="50"/>
    </w:p>
    <w:p w14:paraId="2BBDCF29">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7B63B951">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90728B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49BCDBF4">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1" w:name="PO_15528_PM032"/>
      <w:r>
        <w:rPr>
          <w:rFonts w:hint="eastAsia" w:ascii="仿宋" w:hAnsi="仿宋" w:eastAsia="仿宋"/>
          <w:sz w:val="30"/>
          <w:szCs w:val="30"/>
          <w:lang w:eastAsia="zh-CN"/>
        </w:rPr>
        <w:t>方岚</w:t>
      </w:r>
      <w:bookmarkEnd w:id="51"/>
    </w:p>
    <w:p w14:paraId="2AAA71F0">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6DD23458">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2" w:name="PO_15528_PM033"/>
      <w:bookmarkStart w:id="53" w:name="PO_3000001756_PM033"/>
      <w:r>
        <w:rPr>
          <w:rFonts w:hint="eastAsia" w:ascii="仿宋" w:hAnsi="仿宋" w:eastAsia="仿宋"/>
          <w:sz w:val="30"/>
          <w:szCs w:val="30"/>
        </w:rPr>
        <w:t>A岗：</w:t>
      </w:r>
      <w:bookmarkEnd w:id="52"/>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3"/>
    </w:p>
    <w:p w14:paraId="1A02A7B2">
      <w:pPr>
        <w:spacing w:line="480" w:lineRule="exact"/>
        <w:ind w:firstLine="525"/>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42CC8290">
      <w:pPr>
        <w:spacing w:line="480" w:lineRule="exact"/>
        <w:ind w:firstLine="525"/>
        <w:rPr>
          <w:rFonts w:ascii="仿宋" w:hAnsi="仿宋" w:eastAsia="仿宋"/>
          <w:sz w:val="30"/>
          <w:szCs w:val="30"/>
        </w:rPr>
      </w:pPr>
    </w:p>
    <w:p w14:paraId="06FD47C7">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质疑联系人：张</w:t>
      </w:r>
      <w:r>
        <w:rPr>
          <w:rFonts w:hint="eastAsia" w:ascii="仿宋" w:hAnsi="仿宋" w:eastAsia="仿宋"/>
          <w:sz w:val="30"/>
          <w:szCs w:val="30"/>
          <w:lang w:eastAsia="zh-CN"/>
        </w:rPr>
        <w:t>哲</w:t>
      </w:r>
    </w:p>
    <w:p w14:paraId="10770439">
      <w:pPr>
        <w:spacing w:line="480" w:lineRule="exact"/>
        <w:ind w:firstLine="600" w:firstLineChars="200"/>
        <w:rPr>
          <w:rFonts w:hint="default" w:eastAsia="仿宋"/>
          <w:sz w:val="30"/>
          <w:szCs w:val="30"/>
          <w:lang w:val="en-US" w:eastAsia="zh-CN"/>
        </w:rPr>
      </w:pPr>
      <w:r>
        <w:rPr>
          <w:rFonts w:hint="eastAsia" w:ascii="仿宋" w:hAnsi="仿宋" w:eastAsia="仿宋"/>
          <w:sz w:val="30"/>
          <w:szCs w:val="30"/>
        </w:rPr>
        <w:t>质疑联系方式：0571-8890</w:t>
      </w:r>
      <w:r>
        <w:rPr>
          <w:rFonts w:ascii="仿宋" w:hAnsi="仿宋" w:eastAsia="仿宋"/>
          <w:sz w:val="30"/>
          <w:szCs w:val="30"/>
        </w:rPr>
        <w:t>77</w:t>
      </w:r>
      <w:r>
        <w:rPr>
          <w:rFonts w:hint="eastAsia" w:ascii="仿宋" w:hAnsi="仿宋" w:eastAsia="仿宋"/>
          <w:sz w:val="30"/>
          <w:szCs w:val="30"/>
          <w:lang w:val="en-US" w:eastAsia="zh-CN"/>
        </w:rPr>
        <w:t>07</w:t>
      </w:r>
    </w:p>
    <w:p w14:paraId="01631873">
      <w:pPr>
        <w:spacing w:line="480" w:lineRule="exact"/>
        <w:ind w:firstLine="600" w:firstLineChars="200"/>
        <w:rPr>
          <w:rFonts w:ascii="仿宋" w:hAnsi="仿宋" w:eastAsia="仿宋"/>
          <w:sz w:val="30"/>
          <w:szCs w:val="30"/>
        </w:rPr>
      </w:pPr>
    </w:p>
    <w:bookmarkEnd w:id="2"/>
    <w:bookmarkEnd w:id="3"/>
    <w:p w14:paraId="2A3DB45D">
      <w:pPr>
        <w:spacing w:line="480" w:lineRule="exact"/>
        <w:ind w:firstLine="600" w:firstLineChars="200"/>
        <w:rPr>
          <w:rFonts w:ascii="仿宋" w:hAnsi="仿宋" w:eastAsia="仿宋"/>
          <w:sz w:val="30"/>
          <w:szCs w:val="30"/>
        </w:rPr>
      </w:pPr>
      <w:bookmarkStart w:id="54" w:name="_Toc28359021"/>
      <w:bookmarkStart w:id="55" w:name="_Toc28359098"/>
      <w:bookmarkStart w:id="56" w:name="_Toc35393639"/>
      <w:bookmarkStart w:id="57" w:name="_Toc35393808"/>
      <w:r>
        <w:rPr>
          <w:rFonts w:hint="eastAsia" w:ascii="仿宋" w:hAnsi="仿宋" w:eastAsia="仿宋"/>
          <w:sz w:val="30"/>
          <w:szCs w:val="30"/>
        </w:rPr>
        <w:t>3.</w:t>
      </w:r>
      <w:bookmarkEnd w:id="54"/>
      <w:bookmarkEnd w:id="55"/>
      <w:bookmarkEnd w:id="56"/>
      <w:bookmarkEnd w:id="57"/>
      <w:r>
        <w:rPr>
          <w:rFonts w:hint="eastAsia" w:ascii="仿宋" w:hAnsi="仿宋" w:eastAsia="仿宋"/>
          <w:sz w:val="30"/>
          <w:szCs w:val="30"/>
        </w:rPr>
        <w:t xml:space="preserve"> 同级政府采购监督管理部门</w:t>
      </w:r>
    </w:p>
    <w:p w14:paraId="5138057F">
      <w:pPr>
        <w:snapToGrid w:val="0"/>
        <w:spacing w:before="120" w:beforeLines="50" w:after="120" w:afterLines="50" w:line="460" w:lineRule="exact"/>
        <w:ind w:firstLine="600" w:firstLineChars="200"/>
        <w:rPr>
          <w:rFonts w:ascii="仿宋" w:hAnsi="仿宋" w:eastAsia="仿宋"/>
          <w:sz w:val="30"/>
          <w:szCs w:val="30"/>
        </w:rPr>
      </w:pPr>
      <w:bookmarkStart w:id="58" w:name="_Toc510137460"/>
      <w:bookmarkStart w:id="59" w:name="_Toc451762243"/>
      <w:r>
        <w:rPr>
          <w:rFonts w:hint="eastAsia" w:ascii="仿宋" w:hAnsi="仿宋" w:eastAsia="仿宋"/>
          <w:sz w:val="30"/>
          <w:szCs w:val="30"/>
        </w:rPr>
        <w:t>名   称：浙江省财政厅政府采购监管处、浙江省政府采购行政裁决服务中心（杭州）</w:t>
      </w:r>
    </w:p>
    <w:p w14:paraId="030A671D">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7528FEF">
      <w:pPr>
        <w:snapToGrid w:val="0"/>
        <w:spacing w:before="120" w:beforeLines="50" w:after="120" w:afterLines="50" w:line="4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传   真：/</w:t>
      </w:r>
    </w:p>
    <w:p w14:paraId="33B5FB4C">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18598D01">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68653DC5">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FC1A3B3">
      <w:pPr>
        <w:spacing w:line="480" w:lineRule="exact"/>
        <w:ind w:firstLine="723" w:firstLineChars="200"/>
        <w:rPr>
          <w:b/>
          <w:sz w:val="36"/>
          <w:szCs w:val="36"/>
        </w:rPr>
      </w:pPr>
    </w:p>
    <w:p w14:paraId="388007F6">
      <w:pPr>
        <w:spacing w:line="480" w:lineRule="exact"/>
        <w:ind w:firstLine="723" w:firstLineChars="200"/>
        <w:rPr>
          <w:b/>
          <w:sz w:val="36"/>
          <w:szCs w:val="36"/>
        </w:rPr>
      </w:pPr>
    </w:p>
    <w:p w14:paraId="1A1A426F">
      <w:pPr>
        <w:spacing w:line="480" w:lineRule="exact"/>
        <w:ind w:firstLine="723" w:firstLineChars="200"/>
        <w:rPr>
          <w:b/>
          <w:sz w:val="36"/>
          <w:szCs w:val="36"/>
        </w:rPr>
      </w:pPr>
    </w:p>
    <w:p w14:paraId="3DE15EF4">
      <w:pPr>
        <w:spacing w:line="480" w:lineRule="exact"/>
        <w:ind w:firstLine="723" w:firstLineChars="200"/>
        <w:rPr>
          <w:b/>
          <w:sz w:val="36"/>
          <w:szCs w:val="36"/>
        </w:rPr>
      </w:pPr>
    </w:p>
    <w:p w14:paraId="5FCEE18B">
      <w:pPr>
        <w:spacing w:line="480" w:lineRule="exact"/>
        <w:ind w:firstLine="723" w:firstLineChars="200"/>
        <w:rPr>
          <w:b/>
          <w:sz w:val="36"/>
          <w:szCs w:val="36"/>
        </w:rPr>
      </w:pPr>
    </w:p>
    <w:p w14:paraId="08E2A8AD">
      <w:pPr>
        <w:spacing w:line="480" w:lineRule="exact"/>
        <w:ind w:firstLine="723" w:firstLineChars="200"/>
        <w:rPr>
          <w:b/>
          <w:sz w:val="36"/>
          <w:szCs w:val="36"/>
        </w:rPr>
      </w:pPr>
    </w:p>
    <w:p w14:paraId="7B60609B">
      <w:pPr>
        <w:spacing w:line="480" w:lineRule="exact"/>
        <w:ind w:firstLine="723" w:firstLineChars="200"/>
        <w:rPr>
          <w:b/>
          <w:sz w:val="36"/>
          <w:szCs w:val="36"/>
        </w:rPr>
      </w:pPr>
    </w:p>
    <w:p w14:paraId="16F102B9">
      <w:pPr>
        <w:spacing w:line="480" w:lineRule="exact"/>
        <w:ind w:firstLine="723" w:firstLineChars="200"/>
        <w:rPr>
          <w:b/>
          <w:sz w:val="36"/>
          <w:szCs w:val="36"/>
        </w:rPr>
      </w:pPr>
    </w:p>
    <w:p w14:paraId="44BC214B">
      <w:pPr>
        <w:spacing w:line="480" w:lineRule="exact"/>
        <w:ind w:firstLine="723" w:firstLineChars="200"/>
        <w:rPr>
          <w:b/>
          <w:sz w:val="36"/>
          <w:szCs w:val="36"/>
        </w:rPr>
      </w:pPr>
    </w:p>
    <w:p w14:paraId="6BB53E74">
      <w:pPr>
        <w:spacing w:line="480" w:lineRule="exact"/>
        <w:ind w:firstLine="723" w:firstLineChars="200"/>
        <w:rPr>
          <w:b/>
          <w:sz w:val="36"/>
          <w:szCs w:val="36"/>
        </w:rPr>
      </w:pPr>
    </w:p>
    <w:p w14:paraId="6128E00C">
      <w:pPr>
        <w:spacing w:line="480" w:lineRule="exact"/>
        <w:ind w:firstLine="723" w:firstLineChars="200"/>
        <w:rPr>
          <w:b/>
          <w:sz w:val="36"/>
          <w:szCs w:val="36"/>
        </w:rPr>
      </w:pPr>
    </w:p>
    <w:p w14:paraId="4AD62D39">
      <w:pPr>
        <w:spacing w:line="480" w:lineRule="exact"/>
        <w:ind w:firstLine="723" w:firstLineChars="200"/>
        <w:rPr>
          <w:b/>
          <w:sz w:val="36"/>
          <w:szCs w:val="36"/>
        </w:rPr>
      </w:pPr>
    </w:p>
    <w:p w14:paraId="7FF5A24A">
      <w:pPr>
        <w:spacing w:line="480" w:lineRule="exact"/>
        <w:ind w:firstLine="723" w:firstLineChars="200"/>
        <w:rPr>
          <w:b/>
          <w:sz w:val="36"/>
          <w:szCs w:val="36"/>
        </w:rPr>
      </w:pPr>
    </w:p>
    <w:p w14:paraId="754B69A9">
      <w:pPr>
        <w:spacing w:line="480" w:lineRule="exact"/>
        <w:ind w:firstLine="723" w:firstLineChars="200"/>
        <w:rPr>
          <w:b/>
          <w:sz w:val="36"/>
          <w:szCs w:val="36"/>
        </w:rPr>
      </w:pPr>
    </w:p>
    <w:p w14:paraId="69376F41">
      <w:pPr>
        <w:spacing w:line="480" w:lineRule="exact"/>
        <w:ind w:firstLine="723" w:firstLineChars="200"/>
        <w:rPr>
          <w:b/>
          <w:sz w:val="36"/>
          <w:szCs w:val="36"/>
        </w:rPr>
      </w:pPr>
    </w:p>
    <w:p w14:paraId="59032967">
      <w:pPr>
        <w:spacing w:line="480" w:lineRule="exact"/>
        <w:ind w:firstLine="723" w:firstLineChars="200"/>
        <w:rPr>
          <w:b/>
          <w:sz w:val="36"/>
          <w:szCs w:val="36"/>
        </w:rPr>
      </w:pPr>
    </w:p>
    <w:p w14:paraId="57E3878E">
      <w:pPr>
        <w:spacing w:line="480" w:lineRule="exact"/>
        <w:ind w:firstLine="723" w:firstLineChars="200"/>
        <w:rPr>
          <w:b/>
          <w:sz w:val="36"/>
          <w:szCs w:val="36"/>
        </w:rPr>
      </w:pPr>
    </w:p>
    <w:p w14:paraId="797299DE">
      <w:pPr>
        <w:spacing w:line="480" w:lineRule="exact"/>
        <w:ind w:firstLine="723" w:firstLineChars="200"/>
        <w:rPr>
          <w:b/>
          <w:sz w:val="36"/>
          <w:szCs w:val="36"/>
        </w:rPr>
      </w:pPr>
    </w:p>
    <w:p w14:paraId="2FDB5750">
      <w:pPr>
        <w:spacing w:line="480" w:lineRule="exact"/>
        <w:rPr>
          <w:b/>
          <w:sz w:val="36"/>
          <w:szCs w:val="36"/>
        </w:rPr>
      </w:pPr>
    </w:p>
    <w:p w14:paraId="2A787DC3">
      <w:pPr>
        <w:spacing w:line="480" w:lineRule="exact"/>
        <w:ind w:firstLine="723" w:firstLineChars="200"/>
        <w:jc w:val="center"/>
        <w:rPr>
          <w:rFonts w:hint="eastAsia" w:ascii="仿宋" w:hAnsi="仿宋"/>
        </w:rPr>
      </w:pPr>
      <w:r>
        <w:rPr>
          <w:rFonts w:hint="eastAsia"/>
          <w:b/>
          <w:sz w:val="36"/>
          <w:szCs w:val="36"/>
        </w:rPr>
        <w:t>第二章响应方须知</w:t>
      </w:r>
      <w:bookmarkEnd w:id="58"/>
      <w:bookmarkEnd w:id="59"/>
    </w:p>
    <w:p w14:paraId="5EBDD2E5">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35A2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64B60CB0">
            <w:pPr>
              <w:snapToGrid w:val="0"/>
              <w:jc w:val="center"/>
              <w:rPr>
                <w:rFonts w:ascii="仿宋" w:hAnsi="仿宋" w:eastAsia="仿宋"/>
                <w:sz w:val="30"/>
                <w:szCs w:val="30"/>
              </w:rPr>
            </w:pPr>
            <w:r>
              <w:rPr>
                <w:rFonts w:hint="eastAsia" w:ascii="仿宋" w:hAnsi="仿宋" w:eastAsia="仿宋"/>
                <w:sz w:val="30"/>
                <w:szCs w:val="30"/>
              </w:rPr>
              <w:t>序</w:t>
            </w:r>
          </w:p>
          <w:p w14:paraId="646CBC6F">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4E577FA6">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269DF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3EFBB6E">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1E2B233C">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66B27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3672CEF">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3BC559DE">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26D0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A29C11E">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6A1ABB57">
            <w:pPr>
              <w:snapToGrid w:val="0"/>
              <w:jc w:val="left"/>
              <w:rPr>
                <w:rFonts w:ascii="仿宋" w:hAnsi="仿宋" w:eastAsia="仿宋"/>
                <w:sz w:val="24"/>
                <w:szCs w:val="24"/>
              </w:rPr>
            </w:pPr>
            <w:r>
              <w:rPr>
                <w:rFonts w:hint="eastAsia" w:ascii="仿宋" w:hAnsi="仿宋" w:eastAsia="仿宋"/>
                <w:sz w:val="24"/>
                <w:szCs w:val="24"/>
              </w:rPr>
              <w:t xml:space="preserve">政府采购节能环保产品: </w:t>
            </w:r>
            <w:r>
              <w:rPr>
                <w:rFonts w:hint="eastAsia" w:ascii="仿宋" w:hAnsi="仿宋" w:eastAsia="仿宋"/>
                <w:sz w:val="24"/>
                <w:szCs w:val="24"/>
                <w:lang w:val="en-US" w:eastAsia="zh-CN"/>
              </w:rPr>
              <w:t>响应</w:t>
            </w:r>
            <w:r>
              <w:rPr>
                <w:rFonts w:hint="eastAsia" w:ascii="仿宋" w:hAnsi="仿宋" w:eastAsia="仿宋"/>
                <w:sz w:val="24"/>
                <w:szCs w:val="24"/>
              </w:rPr>
              <w:t>产品若属于节能（环保）产品的，请提供参与实施政府采购节能（环境标志）产品认证机构出具的认证证书或证书发布平台的</w:t>
            </w:r>
            <w:r>
              <w:rPr>
                <w:rFonts w:hint="eastAsia" w:ascii="仿宋" w:hAnsi="仿宋" w:eastAsia="仿宋"/>
                <w:sz w:val="24"/>
                <w:szCs w:val="24"/>
                <w:lang w:val="en-US" w:eastAsia="zh-CN"/>
              </w:rPr>
              <w:t>响应</w:t>
            </w:r>
            <w:r>
              <w:rPr>
                <w:rFonts w:hint="eastAsia" w:ascii="仿宋" w:hAnsi="仿宋" w:eastAsia="仿宋"/>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E01D162">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54B58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428A897">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62CE4F7">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B730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73EC2F8">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75D11F32">
            <w:pPr>
              <w:pStyle w:val="630"/>
              <w:numPr>
                <w:ilvl w:val="0"/>
                <w:numId w:val="19"/>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7D12A3FC">
            <w:pPr>
              <w:pStyle w:val="630"/>
              <w:numPr>
                <w:ilvl w:val="0"/>
                <w:numId w:val="19"/>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18AF2D03">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浙江农林大学物业服务项目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14:paraId="765035C9">
            <w:pPr>
              <w:numPr>
                <w:ilvl w:val="0"/>
                <w:numId w:val="19"/>
              </w:numPr>
              <w:snapToGrid w:val="0"/>
              <w:spacing w:line="460" w:lineRule="exact"/>
              <w:ind w:left="960" w:leftChars="0" w:hanging="360"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本项目专门面向中小企业采购的项目，不再执行价格评审优惠的扶持政策。</w:t>
            </w:r>
          </w:p>
          <w:p w14:paraId="03F9F80E">
            <w:pPr>
              <w:numPr>
                <w:ilvl w:val="0"/>
                <w:numId w:val="0"/>
              </w:numPr>
              <w:snapToGrid w:val="0"/>
              <w:spacing w:line="460" w:lineRule="exact"/>
              <w:ind w:left="600" w:leftChars="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2021FAEF">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77297FA0">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54034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2C8C9B7">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665A7257">
            <w:pPr>
              <w:snapToGrid w:val="0"/>
              <w:rPr>
                <w:rFonts w:hint="eastAsia" w:ascii="仿宋" w:hAnsi="仿宋" w:eastAsia="仿宋"/>
                <w:sz w:val="24"/>
                <w:szCs w:val="24"/>
                <w:lang w:eastAsia="zh-CN"/>
              </w:rPr>
            </w:pPr>
            <w:bookmarkStart w:id="60"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0"/>
          </w:p>
        </w:tc>
      </w:tr>
      <w:tr w14:paraId="1442A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5D09F09A">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0A8DCAC5">
            <w:pPr>
              <w:ind w:firstLine="480" w:firstLineChars="200"/>
              <w:rPr>
                <w:rFonts w:hint="default" w:ascii="仿宋" w:hAnsi="仿宋" w:eastAsia="仿宋"/>
                <w:sz w:val="24"/>
                <w:szCs w:val="24"/>
                <w:lang w:val="en-US" w:eastAsia="zh-CN"/>
              </w:rPr>
            </w:pP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sz w:val="24"/>
                <w:szCs w:val="24"/>
                <w:u w:val="single"/>
                <w:lang w:val="en-US" w:eastAsia="zh-CN"/>
              </w:rPr>
              <w:t>格式及内容要求详见总则（六）询问和质疑</w:t>
            </w:r>
          </w:p>
        </w:tc>
      </w:tr>
      <w:tr w14:paraId="1CDDC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2DB1A33">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0C715C7D">
            <w:pPr>
              <w:snapToGrid w:val="0"/>
              <w:rPr>
                <w:rFonts w:hint="eastAsia" w:ascii="仿宋" w:hAnsi="仿宋" w:eastAsia="仿宋"/>
                <w:sz w:val="24"/>
                <w:szCs w:val="24"/>
                <w:lang w:eastAsia="zh-CN"/>
              </w:rPr>
            </w:pPr>
            <w:bookmarkStart w:id="61" w:name="PO_3000001756_PM044"/>
            <w:r>
              <w:rPr>
                <w:rFonts w:hint="eastAsia" w:ascii="仿宋" w:hAnsi="仿宋" w:eastAsia="仿宋"/>
                <w:sz w:val="24"/>
                <w:szCs w:val="24"/>
                <w:lang w:eastAsia="zh-CN"/>
              </w:rPr>
              <w:t>允许分包</w:t>
            </w:r>
            <w:bookmarkEnd w:id="61"/>
            <w:r>
              <w:rPr>
                <w:rFonts w:hint="eastAsia" w:ascii="仿宋" w:hAnsi="仿宋" w:eastAsia="仿宋"/>
                <w:sz w:val="24"/>
                <w:szCs w:val="24"/>
                <w:lang w:eastAsia="zh-CN"/>
              </w:rPr>
              <w:t>；非主体、非关键性工作【</w:t>
            </w:r>
            <w:r>
              <w:rPr>
                <w:rFonts w:hint="eastAsia" w:ascii="仿宋" w:hAnsi="仿宋" w:eastAsia="仿宋"/>
                <w:b/>
                <w:bCs/>
                <w:sz w:val="24"/>
                <w:szCs w:val="24"/>
                <w:lang w:val="en-US" w:eastAsia="zh-CN"/>
              </w:rPr>
              <w:t>经采购人同意，允许部分项目进行分包，分包金额不得超过总费用的20%</w:t>
            </w:r>
            <w:r>
              <w:rPr>
                <w:rFonts w:hint="eastAsia" w:ascii="仿宋" w:hAnsi="仿宋" w:eastAsia="仿宋"/>
                <w:sz w:val="24"/>
                <w:szCs w:val="24"/>
                <w:lang w:eastAsia="zh-CN"/>
              </w:rPr>
              <w:t>】允许分包。</w:t>
            </w:r>
          </w:p>
          <w:p w14:paraId="729C9498">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033BF744">
            <w:pPr>
              <w:snapToGrid w:val="0"/>
              <w:rPr>
                <w:rFonts w:ascii="仿宋" w:hAnsi="仿宋" w:eastAsia="仿宋"/>
                <w:sz w:val="24"/>
                <w:szCs w:val="24"/>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p w14:paraId="42CE5FAB">
            <w:pPr>
              <w:snapToGrid w:val="0"/>
              <w:rPr>
                <w:rFonts w:hint="eastAsia" w:ascii="仿宋" w:hAnsi="仿宋" w:eastAsia="仿宋"/>
                <w:sz w:val="24"/>
                <w:szCs w:val="24"/>
              </w:rPr>
            </w:pPr>
            <w:r>
              <w:rPr>
                <w:rFonts w:hint="eastAsia" w:ascii="仿宋" w:hAnsi="仿宋" w:eastAsia="仿宋"/>
                <w:sz w:val="24"/>
                <w:szCs w:val="24"/>
              </w:rPr>
              <w:t>联合</w:t>
            </w:r>
            <w:r>
              <w:rPr>
                <w:rFonts w:hint="eastAsia" w:ascii="仿宋" w:hAnsi="仿宋" w:eastAsia="仿宋"/>
                <w:sz w:val="24"/>
                <w:szCs w:val="24"/>
                <w:lang w:val="en-US" w:eastAsia="zh-CN"/>
              </w:rPr>
              <w:t>响应</w:t>
            </w:r>
            <w:r>
              <w:rPr>
                <w:rFonts w:hint="eastAsia" w:ascii="仿宋" w:hAnsi="仿宋" w:eastAsia="仿宋"/>
                <w:sz w:val="24"/>
                <w:szCs w:val="24"/>
              </w:rPr>
              <w:t>：</w:t>
            </w:r>
            <w:bookmarkStart w:id="62" w:name="PO_15528_PM007_1"/>
            <w:r>
              <w:rPr>
                <w:rFonts w:hint="eastAsia" w:ascii="仿宋" w:hAnsi="仿宋" w:eastAsia="仿宋"/>
                <w:sz w:val="24"/>
                <w:szCs w:val="24"/>
                <w:lang w:eastAsia="zh-CN"/>
              </w:rPr>
              <w:t>标项1:允许联合体投标</w:t>
            </w:r>
            <w:bookmarkEnd w:id="62"/>
            <w:r>
              <w:rPr>
                <w:rFonts w:hint="eastAsia" w:ascii="仿宋" w:hAnsi="仿宋" w:eastAsia="仿宋"/>
                <w:sz w:val="24"/>
                <w:szCs w:val="24"/>
              </w:rPr>
              <w:t>。</w:t>
            </w:r>
          </w:p>
        </w:tc>
      </w:tr>
      <w:tr w14:paraId="13264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940CBD5">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62690B70">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1</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联合体业绩认定</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14:textFill>
                  <w14:solidFill>
                    <w14:schemeClr w14:val="tx1"/>
                  </w14:solidFill>
                </w14:textFill>
              </w:rPr>
              <w:t>联合体</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响应</w:t>
            </w:r>
            <w:r>
              <w:rPr>
                <w:rFonts w:hint="eastAsia" w:ascii="仿宋" w:hAnsi="仿宋" w:eastAsia="仿宋" w:cs="Times New Roman"/>
                <w:b w:val="0"/>
                <w:bCs w:val="0"/>
                <w:color w:val="000000" w:themeColor="text1"/>
                <w:sz w:val="24"/>
                <w:szCs w:val="24"/>
                <w:u w:val="none"/>
                <w14:textFill>
                  <w14:solidFill>
                    <w14:schemeClr w14:val="tx1"/>
                  </w14:solidFill>
                </w14:textFill>
              </w:rPr>
              <w:t>的，联合体各方分别提供与联合体协议中规定的分工内容相应的业绩证明材料，业绩数量以提供材料较少的一方为准。</w:t>
            </w:r>
          </w:p>
          <w:p w14:paraId="2BA4705E">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2</w:t>
            </w: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联合体商务和技术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材料认定：</w:t>
            </w:r>
          </w:p>
          <w:p w14:paraId="4B5FEA21">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响应</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的，联合体各方均需按</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磋商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，否则视为不符合相关要求。</w:t>
            </w:r>
          </w:p>
          <w:p w14:paraId="6BA0CE93">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pPr>
            <w:r>
              <w:rPr>
                <w:rFonts w:hint="eastAsia" w:ascii="仿宋" w:hAnsi="仿宋" w:eastAsia="仿宋" w:cs="Times New Roman"/>
                <w:b w:val="0"/>
                <w:bCs w:val="0"/>
                <w:color w:val="000000" w:themeColor="text1"/>
                <w:sz w:val="24"/>
                <w:szCs w:val="24"/>
                <w:u w:val="none"/>
                <w:lang w:eastAsia="zh-CN"/>
                <w14:textFill>
                  <w14:solidFill>
                    <w14:schemeClr w14:val="tx1"/>
                  </w14:solidFill>
                </w14:textFill>
              </w:rPr>
              <w:t>☑</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联合体</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响应</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的，联合体中有一方或者联合体成员根据分工按</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磋商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文件</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要求提供了</w:t>
            </w:r>
            <w:r>
              <w:rPr>
                <w:rFonts w:hint="eastAsia" w:ascii="仿宋" w:hAnsi="仿宋" w:eastAsia="仿宋" w:cs="Times New Roman"/>
                <w:b w:val="0"/>
                <w:bCs w:val="0"/>
                <w:color w:val="000000" w:themeColor="text1"/>
                <w:sz w:val="24"/>
                <w:szCs w:val="24"/>
                <w:u w:val="none"/>
                <w:lang w:val="en-US" w:eastAsia="zh-CN"/>
                <w14:textFill>
                  <w14:solidFill>
                    <w14:schemeClr w14:val="tx1"/>
                  </w14:solidFill>
                </w14:textFill>
              </w:rPr>
              <w:t>商务和技术</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证明</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材料</w:t>
            </w:r>
            <w:r>
              <w:rPr>
                <w:rFonts w:hint="eastAsia" w:ascii="仿宋" w:hAnsi="仿宋" w:eastAsia="仿宋" w:cs="Times New Roman"/>
                <w:b w:val="0"/>
                <w:bCs w:val="0"/>
                <w:snapToGrid/>
                <w:color w:val="000000" w:themeColor="text1"/>
                <w:kern w:val="2"/>
                <w:sz w:val="24"/>
                <w:szCs w:val="24"/>
                <w:u w:val="none"/>
                <w14:textFill>
                  <w14:solidFill>
                    <w14:schemeClr w14:val="tx1"/>
                  </w14:solidFill>
                </w14:textFill>
              </w:rPr>
              <w:t>的，视为符合了相关要求。</w:t>
            </w:r>
          </w:p>
          <w:p w14:paraId="5DE31A94">
            <w:pPr>
              <w:snapToGrid w:val="0"/>
              <w:rPr>
                <w:rFonts w:hint="eastAsia" w:ascii="仿宋" w:hAnsi="仿宋" w:eastAsia="仿宋"/>
                <w:sz w:val="24"/>
                <w:szCs w:val="24"/>
              </w:rPr>
            </w:pP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注：“</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有其他约定的，以“</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第三章</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办法及</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评审</w:t>
            </w:r>
            <w:r>
              <w:rPr>
                <w:rFonts w:hint="eastAsia" w:ascii="仿宋" w:hAnsi="仿宋" w:eastAsia="仿宋" w:cs="Times New Roman"/>
                <w:b w:val="0"/>
                <w:bCs w:val="0"/>
                <w:snapToGrid/>
                <w:color w:val="000000" w:themeColor="text1"/>
                <w:kern w:val="2"/>
                <w:sz w:val="24"/>
                <w:szCs w:val="24"/>
                <w:u w:val="none"/>
                <w:lang w:eastAsia="zh-CN"/>
                <w14:textFill>
                  <w14:solidFill>
                    <w14:schemeClr w14:val="tx1"/>
                  </w14:solidFill>
                </w14:textFill>
              </w:rPr>
              <w:t>标准”</w:t>
            </w:r>
            <w:r>
              <w:rPr>
                <w:rFonts w:hint="eastAsia" w:ascii="仿宋" w:hAnsi="仿宋" w:eastAsia="仿宋" w:cs="Times New Roman"/>
                <w:b w:val="0"/>
                <w:bCs w:val="0"/>
                <w:snapToGrid/>
                <w:color w:val="000000" w:themeColor="text1"/>
                <w:kern w:val="2"/>
                <w:sz w:val="24"/>
                <w:szCs w:val="24"/>
                <w:u w:val="none"/>
                <w:lang w:val="en-US" w:eastAsia="zh-CN"/>
                <w14:textFill>
                  <w14:solidFill>
                    <w14:schemeClr w14:val="tx1"/>
                  </w14:solidFill>
                </w14:textFill>
              </w:rPr>
              <w:t>为准。</w:t>
            </w:r>
          </w:p>
        </w:tc>
      </w:tr>
      <w:tr w14:paraId="62242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0A80F330">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10</w:t>
            </w:r>
          </w:p>
        </w:tc>
        <w:tc>
          <w:tcPr>
            <w:tcW w:w="8024" w:type="dxa"/>
            <w:tcBorders>
              <w:top w:val="single" w:color="auto" w:sz="4" w:space="0"/>
              <w:left w:val="single" w:color="auto" w:sz="4" w:space="0"/>
              <w:bottom w:val="single" w:color="auto" w:sz="4" w:space="0"/>
              <w:right w:val="single" w:color="auto" w:sz="4" w:space="0"/>
            </w:tcBorders>
            <w:vAlign w:val="center"/>
          </w:tcPr>
          <w:p w14:paraId="15FAECB6">
            <w:pPr>
              <w:snapToGrid w:val="0"/>
              <w:rPr>
                <w:rFonts w:ascii="仿宋" w:hAnsi="仿宋" w:eastAsia="仿宋"/>
                <w:sz w:val="24"/>
                <w:szCs w:val="24"/>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tc>
      </w:tr>
      <w:tr w14:paraId="00F4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D873BBB">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24153F6A">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4A93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D2C67D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2</w:t>
            </w:r>
          </w:p>
        </w:tc>
        <w:tc>
          <w:tcPr>
            <w:tcW w:w="8024" w:type="dxa"/>
            <w:tcBorders>
              <w:top w:val="single" w:color="auto" w:sz="4" w:space="0"/>
              <w:left w:val="single" w:color="auto" w:sz="4" w:space="0"/>
              <w:bottom w:val="single" w:color="auto" w:sz="4" w:space="0"/>
              <w:right w:val="single" w:color="auto" w:sz="4" w:space="0"/>
            </w:tcBorders>
            <w:vAlign w:val="center"/>
          </w:tcPr>
          <w:p w14:paraId="438AB5E1">
            <w:pPr>
              <w:snapToGrid w:val="0"/>
              <w:rPr>
                <w:rFonts w:hint="default" w:ascii="仿宋" w:hAnsi="仿宋" w:eastAsia="仿宋"/>
                <w:sz w:val="24"/>
                <w:szCs w:val="24"/>
                <w:u w:val="single"/>
                <w:lang w:val="en-US"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14:paraId="61A92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77A9EAD9">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3</w:t>
            </w:r>
          </w:p>
        </w:tc>
        <w:tc>
          <w:tcPr>
            <w:tcW w:w="8024" w:type="dxa"/>
            <w:tcBorders>
              <w:top w:val="single" w:color="auto" w:sz="4" w:space="0"/>
              <w:left w:val="single" w:color="auto" w:sz="4" w:space="0"/>
              <w:bottom w:val="single" w:color="auto" w:sz="4" w:space="0"/>
              <w:right w:val="single" w:color="auto" w:sz="4" w:space="0"/>
            </w:tcBorders>
            <w:vAlign w:val="center"/>
          </w:tcPr>
          <w:p w14:paraId="62BF03CF">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3C33EED9">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2FF2F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90F8CF3">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4</w:t>
            </w:r>
          </w:p>
        </w:tc>
        <w:tc>
          <w:tcPr>
            <w:tcW w:w="8024" w:type="dxa"/>
            <w:tcBorders>
              <w:top w:val="single" w:color="auto" w:sz="4" w:space="0"/>
              <w:left w:val="single" w:color="auto" w:sz="4" w:space="0"/>
              <w:bottom w:val="single" w:color="auto" w:sz="4" w:space="0"/>
              <w:right w:val="single" w:color="auto" w:sz="4" w:space="0"/>
            </w:tcBorders>
            <w:vAlign w:val="center"/>
          </w:tcPr>
          <w:p w14:paraId="4E6F470D">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98A1D94">
            <w:pPr>
              <w:spacing w:line="500" w:lineRule="exact"/>
              <w:jc w:val="left"/>
              <w:rPr>
                <w:rFonts w:hint="eastAsia" w:ascii="仿宋" w:hAnsi="仿宋" w:eastAsia="仿宋"/>
                <w:sz w:val="24"/>
                <w:szCs w:val="24"/>
                <w:lang w:val="en-US" w:eastAsia="zh-CN"/>
              </w:rPr>
            </w:pPr>
            <w:r>
              <w:rPr>
                <w:rFonts w:hint="eastAsia" w:ascii="仿宋" w:hAnsi="仿宋" w:eastAsia="仿宋"/>
                <w:sz w:val="24"/>
                <w:szCs w:val="24"/>
              </w:rPr>
              <w:t>第一步：供应商</w:t>
            </w:r>
            <w:r>
              <w:rPr>
                <w:rFonts w:hint="eastAsia" w:ascii="仿宋" w:hAnsi="仿宋" w:eastAsia="仿宋"/>
                <w:sz w:val="24"/>
                <w:szCs w:val="24"/>
                <w:lang w:val="en-US" w:eastAsia="zh-CN"/>
              </w:rPr>
              <w:t>登记</w:t>
            </w:r>
          </w:p>
          <w:p w14:paraId="51D5CB11">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w:t>
            </w:r>
            <w:r>
              <w:rPr>
                <w:rFonts w:hint="eastAsia" w:ascii="仿宋" w:hAnsi="仿宋" w:eastAsia="仿宋"/>
                <w:sz w:val="24"/>
                <w:szCs w:val="24"/>
                <w:lang w:val="en-US" w:eastAsia="zh-CN"/>
              </w:rPr>
              <w:t>登记</w:t>
            </w:r>
            <w:r>
              <w:rPr>
                <w:rFonts w:hint="eastAsia" w:ascii="仿宋" w:hAnsi="仿宋" w:eastAsia="仿宋"/>
                <w:sz w:val="24"/>
                <w:szCs w:val="24"/>
              </w:rPr>
              <w:t>成为浙江政府采购网的正式供应商（</w:t>
            </w:r>
            <w:r>
              <w:rPr>
                <w:rFonts w:hint="eastAsia" w:ascii="仿宋" w:hAnsi="仿宋" w:eastAsia="仿宋"/>
                <w:sz w:val="24"/>
                <w:szCs w:val="24"/>
                <w:lang w:val="en-US" w:eastAsia="zh-CN"/>
              </w:rPr>
              <w:t>登记</w:t>
            </w:r>
            <w:r>
              <w:rPr>
                <w:rFonts w:hint="eastAsia" w:ascii="仿宋" w:hAnsi="仿宋" w:eastAsia="仿宋"/>
                <w:sz w:val="24"/>
                <w:szCs w:val="24"/>
              </w:rPr>
              <w:t>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49476E7B">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6D143AED">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前完成CA数字证书办理（办理流程详见http://zfcg.czt.zj.gov.cn/bidClientTemplate/2019-05-27/12945.html）。完成CA数字证书办理预计一周左右，建议各磋商响应方抓紧时间办理；</w:t>
            </w:r>
          </w:p>
          <w:p w14:paraId="36E877B0">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299133BC">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0F380A52">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4F1A7B79">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0881115F">
            <w:pPr>
              <w:snapToGrid w:val="0"/>
              <w:rPr>
                <w:rFonts w:hint="eastAsia" w:ascii="仿宋" w:hAnsi="仿宋" w:eastAsia="仿宋"/>
                <w:sz w:val="24"/>
                <w:szCs w:val="24"/>
              </w:rPr>
            </w:pPr>
            <w:r>
              <w:rPr>
                <w:rFonts w:hint="eastAsia" w:ascii="仿宋" w:hAnsi="仿宋" w:eastAsia="仿宋"/>
                <w:sz w:val="24"/>
                <w:szCs w:val="24"/>
              </w:rPr>
              <w:t>提醒：</w:t>
            </w:r>
            <w:r>
              <w:rPr>
                <w:rFonts w:hint="eastAsia" w:ascii="仿宋" w:hAnsi="仿宋" w:eastAsia="仿宋"/>
                <w:sz w:val="24"/>
                <w:szCs w:val="24"/>
                <w:lang w:val="en-US" w:eastAsia="zh-CN"/>
              </w:rPr>
              <w:t>1.</w:t>
            </w:r>
            <w:r>
              <w:rPr>
                <w:rFonts w:hint="eastAsia" w:ascii="仿宋" w:hAnsi="仿宋" w:eastAsia="仿宋"/>
                <w:sz w:val="24"/>
                <w:szCs w:val="24"/>
              </w:rPr>
              <w:t>请各磋商响应方合理安排时间，尽快完成第一、二、三步骤，避免影响</w:t>
            </w:r>
            <w:r>
              <w:rPr>
                <w:rFonts w:hint="eastAsia" w:ascii="仿宋" w:hAnsi="仿宋" w:eastAsia="仿宋"/>
                <w:sz w:val="24"/>
                <w:szCs w:val="24"/>
                <w:lang w:val="en-US" w:eastAsia="zh-CN"/>
              </w:rPr>
              <w:t>响应</w:t>
            </w:r>
            <w:r>
              <w:rPr>
                <w:rFonts w:hint="eastAsia" w:ascii="仿宋" w:hAnsi="仿宋" w:eastAsia="仿宋"/>
                <w:sz w:val="24"/>
                <w:szCs w:val="24"/>
              </w:rPr>
              <w:t>。</w:t>
            </w:r>
          </w:p>
          <w:p w14:paraId="79C1EDE5">
            <w:pPr>
              <w:snapToGrid w:val="0"/>
              <w:ind w:firstLine="720" w:firstLineChars="3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b w:val="0"/>
                <w:sz w:val="24"/>
                <w:szCs w:val="24"/>
              </w:rPr>
              <w:t>为避免页面存在兼容性等问题，</w:t>
            </w:r>
            <w:r>
              <w:rPr>
                <w:rFonts w:hint="eastAsia" w:ascii="仿宋" w:hAnsi="仿宋" w:eastAsia="仿宋"/>
                <w:b w:val="0"/>
                <w:sz w:val="24"/>
                <w:szCs w:val="24"/>
                <w:lang w:val="en-US" w:eastAsia="zh-CN"/>
              </w:rPr>
              <w:t>磋商响应方</w:t>
            </w:r>
            <w:r>
              <w:rPr>
                <w:rFonts w:hint="eastAsia" w:ascii="仿宋" w:hAnsi="仿宋" w:eastAsia="仿宋"/>
                <w:b w:val="0"/>
                <w:sz w:val="24"/>
                <w:szCs w:val="24"/>
              </w:rPr>
              <w:t>须使用谷歌Chrome浏览器或360浏览器极速模式，涉及视频会议等功能的，还应安装摄像头和麦克风。</w:t>
            </w:r>
          </w:p>
        </w:tc>
      </w:tr>
      <w:tr w14:paraId="354B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DEA554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5</w:t>
            </w:r>
          </w:p>
        </w:tc>
        <w:tc>
          <w:tcPr>
            <w:tcW w:w="8024" w:type="dxa"/>
            <w:tcBorders>
              <w:top w:val="single" w:color="auto" w:sz="4" w:space="0"/>
              <w:left w:val="single" w:color="auto" w:sz="4" w:space="0"/>
              <w:bottom w:val="single" w:color="auto" w:sz="4" w:space="0"/>
              <w:right w:val="single" w:color="auto" w:sz="4" w:space="0"/>
            </w:tcBorders>
            <w:vAlign w:val="center"/>
          </w:tcPr>
          <w:p w14:paraId="4BFA21E3">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w:t>
            </w:r>
            <w:r>
              <w:rPr>
                <w:rFonts w:hint="eastAsia" w:ascii="仿宋" w:hAnsi="仿宋" w:eastAsia="仿宋"/>
                <w:sz w:val="24"/>
                <w:szCs w:val="24"/>
                <w:lang w:val="en-US" w:eastAsia="zh-CN"/>
              </w:rPr>
              <w:t>响应</w:t>
            </w:r>
            <w:r>
              <w:rPr>
                <w:rFonts w:hint="eastAsia" w:ascii="仿宋" w:hAnsi="仿宋" w:eastAsia="仿宋"/>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sz w:val="24"/>
                <w:szCs w:val="24"/>
                <w:lang w:val="en-US" w:eastAsia="zh-CN"/>
              </w:rPr>
              <w:t>响应</w:t>
            </w:r>
            <w:r>
              <w:rPr>
                <w:rFonts w:hint="eastAsia" w:ascii="仿宋" w:hAnsi="仿宋" w:eastAsia="仿宋"/>
                <w:sz w:val="24"/>
                <w:szCs w:val="24"/>
              </w:rPr>
              <w:t>截止时间前未完成传输的，视为撤回磋商响应文件。</w:t>
            </w:r>
            <w:r>
              <w:rPr>
                <w:rFonts w:hint="eastAsia" w:ascii="仿宋" w:hAnsi="仿宋" w:eastAsia="仿宋"/>
                <w:sz w:val="24"/>
                <w:szCs w:val="24"/>
                <w:lang w:val="en-US" w:eastAsia="zh-CN"/>
              </w:rPr>
              <w:t>响应</w:t>
            </w:r>
            <w:r>
              <w:rPr>
                <w:rFonts w:hint="eastAsia" w:ascii="仿宋" w:hAnsi="仿宋" w:eastAsia="仿宋"/>
                <w:sz w:val="24"/>
                <w:szCs w:val="24"/>
              </w:rPr>
              <w:t>截止时间后送达的磋商响应文件，将被电子交易平台拒收。</w:t>
            </w:r>
          </w:p>
          <w:p w14:paraId="1FD2AB81">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7791545C">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666A8F5A">
            <w:pPr>
              <w:spacing w:line="500" w:lineRule="exact"/>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未按规定密封或标记的；</w:t>
            </w:r>
          </w:p>
          <w:p w14:paraId="07FB95E4">
            <w:pPr>
              <w:spacing w:line="500" w:lineRule="exact"/>
              <w:jc w:val="left"/>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由于包装不妥，在送交途中严重破损或失散的；</w:t>
            </w:r>
          </w:p>
          <w:p w14:paraId="3C067ACF">
            <w:pPr>
              <w:spacing w:line="500" w:lineRule="exact"/>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超过</w:t>
            </w:r>
            <w:r>
              <w:rPr>
                <w:rFonts w:hint="eastAsia" w:ascii="仿宋" w:hAnsi="仿宋" w:eastAsia="仿宋"/>
                <w:sz w:val="24"/>
                <w:szCs w:val="24"/>
                <w:lang w:val="en-US" w:eastAsia="zh-CN"/>
              </w:rPr>
              <w:t>响应</w:t>
            </w:r>
            <w:r>
              <w:rPr>
                <w:rFonts w:hint="eastAsia" w:ascii="仿宋" w:hAnsi="仿宋" w:eastAsia="仿宋"/>
                <w:sz w:val="24"/>
                <w:szCs w:val="24"/>
              </w:rPr>
              <w:t>截止时间送达的。</w:t>
            </w:r>
          </w:p>
        </w:tc>
      </w:tr>
      <w:tr w14:paraId="57C6D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6912B3F">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6</w:t>
            </w:r>
          </w:p>
        </w:tc>
        <w:tc>
          <w:tcPr>
            <w:tcW w:w="8024" w:type="dxa"/>
            <w:tcBorders>
              <w:top w:val="single" w:color="auto" w:sz="4" w:space="0"/>
              <w:left w:val="single" w:color="auto" w:sz="4" w:space="0"/>
              <w:bottom w:val="single" w:color="auto" w:sz="4" w:space="0"/>
              <w:right w:val="single" w:color="auto" w:sz="4" w:space="0"/>
            </w:tcBorders>
            <w:vAlign w:val="center"/>
          </w:tcPr>
          <w:p w14:paraId="22A14181">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sz w:val="24"/>
                <w:szCs w:val="24"/>
                <w:lang w:val="en-US" w:eastAsia="zh-CN"/>
              </w:rPr>
              <w:t>成交</w:t>
            </w:r>
            <w:r>
              <w:rPr>
                <w:rFonts w:hint="eastAsia" w:ascii="仿宋" w:hAnsi="仿宋" w:eastAsia="仿宋"/>
                <w:sz w:val="24"/>
                <w:szCs w:val="24"/>
              </w:rPr>
              <w:t>结果同时公告），并向成交供应商发出成交通知书。</w:t>
            </w:r>
          </w:p>
        </w:tc>
      </w:tr>
      <w:tr w14:paraId="24143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9CE06F7">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7</w:t>
            </w:r>
          </w:p>
        </w:tc>
        <w:tc>
          <w:tcPr>
            <w:tcW w:w="8024" w:type="dxa"/>
            <w:tcBorders>
              <w:top w:val="single" w:color="auto" w:sz="4" w:space="0"/>
              <w:left w:val="single" w:color="auto" w:sz="4" w:space="0"/>
              <w:bottom w:val="single" w:color="auto" w:sz="4" w:space="0"/>
              <w:right w:val="single" w:color="auto" w:sz="4" w:space="0"/>
            </w:tcBorders>
            <w:vAlign w:val="center"/>
          </w:tcPr>
          <w:p w14:paraId="22B0B90B">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1723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6685B93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8</w:t>
            </w:r>
          </w:p>
        </w:tc>
        <w:tc>
          <w:tcPr>
            <w:tcW w:w="8024" w:type="dxa"/>
            <w:tcBorders>
              <w:top w:val="single" w:color="auto" w:sz="4" w:space="0"/>
              <w:left w:val="single" w:color="auto" w:sz="4" w:space="0"/>
              <w:bottom w:val="single" w:color="auto" w:sz="4" w:space="0"/>
              <w:right w:val="single" w:color="auto" w:sz="4" w:space="0"/>
            </w:tcBorders>
            <w:vAlign w:val="center"/>
          </w:tcPr>
          <w:p w14:paraId="1A680E8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14C2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2E3D7BC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2EE174B8">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DAEC216">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sz w:val="24"/>
                <w:szCs w:val="24"/>
                <w:lang w:val="en-US" w:eastAsia="zh-CN"/>
              </w:rPr>
              <w:t>项目</w:t>
            </w:r>
            <w:r>
              <w:rPr>
                <w:rFonts w:hint="eastAsia" w:ascii="仿宋" w:hAnsi="仿宋" w:eastAsia="仿宋"/>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63E2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25AF5D53">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20</w:t>
            </w:r>
          </w:p>
        </w:tc>
        <w:tc>
          <w:tcPr>
            <w:tcW w:w="8024" w:type="dxa"/>
            <w:tcBorders>
              <w:top w:val="single" w:color="auto" w:sz="4" w:space="0"/>
              <w:left w:val="single" w:color="auto" w:sz="4" w:space="0"/>
              <w:bottom w:val="single" w:color="auto" w:sz="4" w:space="0"/>
              <w:right w:val="single" w:color="auto" w:sz="4" w:space="0"/>
            </w:tcBorders>
            <w:vAlign w:val="center"/>
          </w:tcPr>
          <w:p w14:paraId="4D8056FB">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63AC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490E80A4">
            <w:pPr>
              <w:snapToGrid w:val="0"/>
              <w:jc w:val="center"/>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7B2B0640">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22B6053C">
      <w:pPr>
        <w:snapToGrid w:val="0"/>
        <w:rPr>
          <w:rFonts w:ascii="仿宋" w:hAnsi="仿宋" w:eastAsia="仿宋"/>
          <w:sz w:val="30"/>
          <w:szCs w:val="30"/>
        </w:rPr>
      </w:pPr>
    </w:p>
    <w:p w14:paraId="66B253AC">
      <w:pPr>
        <w:pStyle w:val="29"/>
        <w:snapToGrid w:val="0"/>
        <w:spacing w:before="120" w:after="120" w:line="240" w:lineRule="auto"/>
        <w:ind w:firstLine="602" w:firstLineChars="200"/>
        <w:rPr>
          <w:rFonts w:ascii="仿宋" w:hAnsi="仿宋" w:eastAsia="仿宋"/>
          <w:b/>
          <w:sz w:val="30"/>
          <w:szCs w:val="30"/>
        </w:rPr>
      </w:pPr>
    </w:p>
    <w:p w14:paraId="61D2F807">
      <w:pPr>
        <w:pStyle w:val="29"/>
        <w:snapToGrid w:val="0"/>
        <w:spacing w:before="120" w:after="120" w:line="240" w:lineRule="auto"/>
        <w:ind w:firstLine="602" w:firstLineChars="200"/>
        <w:rPr>
          <w:rFonts w:ascii="仿宋" w:hAnsi="仿宋" w:eastAsia="仿宋"/>
          <w:b/>
          <w:sz w:val="30"/>
          <w:szCs w:val="30"/>
        </w:rPr>
      </w:pPr>
    </w:p>
    <w:p w14:paraId="5740DB9F">
      <w:pPr>
        <w:pStyle w:val="29"/>
        <w:snapToGrid w:val="0"/>
        <w:spacing w:before="120" w:after="120" w:line="240" w:lineRule="auto"/>
        <w:rPr>
          <w:rFonts w:ascii="仿宋" w:hAnsi="仿宋" w:eastAsia="仿宋"/>
          <w:b/>
          <w:sz w:val="30"/>
          <w:szCs w:val="30"/>
        </w:rPr>
      </w:pPr>
    </w:p>
    <w:p w14:paraId="76C42E41">
      <w:pPr>
        <w:widowControl/>
        <w:jc w:val="left"/>
        <w:rPr>
          <w:rFonts w:ascii="宋体" w:hAnsi="宋体"/>
          <w:b/>
          <w:sz w:val="30"/>
          <w:szCs w:val="30"/>
        </w:rPr>
      </w:pPr>
      <w:r>
        <w:rPr>
          <w:rFonts w:hAnsi="宋体"/>
          <w:b/>
          <w:sz w:val="30"/>
          <w:szCs w:val="30"/>
        </w:rPr>
        <w:br w:type="page"/>
      </w:r>
    </w:p>
    <w:p w14:paraId="609959B9">
      <w:pPr>
        <w:pStyle w:val="29"/>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46AEBA93">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5C32F545">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603F4428">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0B4E3DE">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1C7F2FE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2DC990B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4B86417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2001845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68A83AB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45B19BA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48DE37D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cs="Arial"/>
          <w:b/>
          <w:color w:val="000000"/>
          <w:sz w:val="28"/>
          <w:szCs w:val="28"/>
        </w:rPr>
        <w:t>电子交易平台:指政府采购项目电子交易平台，即政采云平台。</w:t>
      </w:r>
    </w:p>
    <w:p w14:paraId="7AE0C74C">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42F0801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9CF8380">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459CDD0">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bCs/>
          <w:color w:val="000000" w:themeColor="text1"/>
          <w:sz w:val="30"/>
          <w:szCs w:val="30"/>
          <w14:textFill>
            <w14:solidFill>
              <w14:schemeClr w14:val="tx1"/>
            </w14:solidFill>
          </w14:textFill>
        </w:rPr>
        <w:t>1</w:t>
      </w:r>
      <w:r>
        <w:rPr>
          <w:rFonts w:hint="eastAsia" w:ascii="仿宋" w:hAnsi="仿宋" w:eastAsia="仿宋"/>
          <w:bCs/>
          <w:color w:val="000000" w:themeColor="text1"/>
          <w:sz w:val="30"/>
          <w:szCs w:val="30"/>
          <w:lang w:eastAsia="zh-CN"/>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如授权代表不是法定代表人，须有法定代表人出具的授权委托书</w:t>
      </w:r>
      <w:r>
        <w:rPr>
          <w:rFonts w:hint="eastAsia" w:ascii="仿宋" w:hAnsi="仿宋" w:eastAsia="仿宋"/>
          <w:b/>
          <w:bCs w:val="0"/>
          <w:color w:val="000000" w:themeColor="text1"/>
          <w:sz w:val="30"/>
          <w:szCs w:val="30"/>
          <w14:textFill>
            <w14:solidFill>
              <w14:schemeClr w14:val="tx1"/>
            </w14:solidFill>
          </w14:textFill>
        </w:rPr>
        <w:t>（格式见附件）</w:t>
      </w:r>
      <w:r>
        <w:rPr>
          <w:rFonts w:hint="eastAsia"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lang w:val="en-US" w:eastAsia="zh-CN"/>
          <w14:textFill>
            <w14:solidFill>
              <w14:schemeClr w14:val="tx1"/>
            </w14:solidFill>
          </w14:textFill>
        </w:rPr>
        <w:t>响应方</w:t>
      </w:r>
      <w:r>
        <w:rPr>
          <w:rFonts w:hint="eastAsia" w:ascii="仿宋" w:hAnsi="仿宋" w:eastAsia="仿宋"/>
          <w:bCs/>
          <w:color w:val="000000" w:themeColor="text1"/>
          <w:sz w:val="30"/>
          <w:szCs w:val="30"/>
          <w14:textFill>
            <w14:solidFill>
              <w14:schemeClr w14:val="tx1"/>
            </w14:solidFill>
          </w14:textFill>
        </w:rPr>
        <w:t>委派不在本单位缴纳社保的人员作为授权代表的，应当在</w:t>
      </w:r>
      <w:r>
        <w:rPr>
          <w:rFonts w:hint="eastAsia" w:ascii="仿宋" w:hAnsi="仿宋" w:eastAsia="仿宋"/>
          <w:bCs/>
          <w:color w:val="000000" w:themeColor="text1"/>
          <w:sz w:val="30"/>
          <w:szCs w:val="30"/>
          <w:lang w:val="en-US" w:eastAsia="zh-CN"/>
          <w14:textFill>
            <w14:solidFill>
              <w14:schemeClr w14:val="tx1"/>
            </w14:solidFill>
          </w14:textFill>
        </w:rPr>
        <w:t>响应</w:t>
      </w:r>
      <w:r>
        <w:rPr>
          <w:rFonts w:hint="eastAsia" w:ascii="仿宋" w:hAnsi="仿宋" w:eastAsia="仿宋"/>
          <w:bCs/>
          <w:color w:val="000000" w:themeColor="text1"/>
          <w:sz w:val="30"/>
          <w:szCs w:val="30"/>
          <w14:textFill>
            <w14:solidFill>
              <w14:schemeClr w14:val="tx1"/>
            </w14:solidFill>
          </w14:textFill>
        </w:rPr>
        <w:t>文件中，说明具体原因、授权代表缴纳社保的单位，并附列该授权代表缴纳社保清单。</w:t>
      </w:r>
    </w:p>
    <w:p w14:paraId="4F6AED0A">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14:paraId="0029497B">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14:paraId="4CFE7028">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25E008D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6A363FED">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51B463C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52381EEC">
      <w:pPr>
        <w:pStyle w:val="29"/>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w:t>
      </w:r>
      <w:r>
        <w:rPr>
          <w:rFonts w:hint="eastAsia" w:hAnsi="宋体"/>
          <w:b/>
          <w:bCs/>
          <w:sz w:val="30"/>
          <w:szCs w:val="30"/>
          <w:lang w:val="en-US" w:eastAsia="zh-CN"/>
        </w:rPr>
        <w:t>询问和</w:t>
      </w:r>
      <w:r>
        <w:rPr>
          <w:rFonts w:hint="eastAsia" w:hAnsi="宋体"/>
          <w:b/>
          <w:bCs/>
          <w:sz w:val="30"/>
          <w:szCs w:val="30"/>
        </w:rPr>
        <w:t>质疑</w:t>
      </w:r>
    </w:p>
    <w:p w14:paraId="27A26CC7">
      <w:pPr>
        <w:numPr>
          <w:ilvl w:val="-1"/>
          <w:numId w:val="0"/>
        </w:numPr>
        <w:snapToGrid w:val="0"/>
        <w:spacing w:before="0" w:beforeLines="-2147483648" w:line="460" w:lineRule="exact"/>
        <w:ind w:firstLine="560" w:firstLineChars="200"/>
        <w:jc w:val="left"/>
        <w:outlineLvl w:val="9"/>
        <w:rPr>
          <w:rFonts w:hint="eastAsia"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lang w:val="en-US" w:eastAsia="zh-CN"/>
          <w14:textFill>
            <w14:solidFill>
              <w14:schemeClr w14:val="tx1"/>
            </w14:solidFill>
          </w14:textFill>
        </w:rPr>
        <w:t>1.</w:t>
      </w:r>
      <w:r>
        <w:rPr>
          <w:rFonts w:hint="eastAsia" w:ascii="仿宋" w:hAnsi="仿宋" w:eastAsia="仿宋" w:cs="Times New Roman"/>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EC9280">
      <w:pPr>
        <w:numPr>
          <w:ilvl w:val="-1"/>
          <w:numId w:val="0"/>
        </w:numPr>
        <w:snapToGrid w:val="0"/>
        <w:spacing w:before="120" w:beforeLines="50" w:line="460" w:lineRule="exact"/>
        <w:ind w:firstLine="560" w:firstLineChars="200"/>
        <w:jc w:val="left"/>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3D1FB5B2">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054F4836">
      <w:pPr>
        <w:numPr>
          <w:ilvl w:val="-1"/>
          <w:numId w:val="0"/>
        </w:numPr>
        <w:snapToGrid w:val="0"/>
        <w:spacing w:before="0" w:beforeLines="-2147483648" w:line="460" w:lineRule="exact"/>
        <w:ind w:firstLine="560" w:firstLineChars="200"/>
        <w:jc w:val="left"/>
        <w:outlineLvl w:val="9"/>
        <w:rPr>
          <w:rFonts w:hint="eastAsia" w:ascii="仿宋" w:hAnsi="仿宋" w:eastAsia="仿宋" w:cs="Arial"/>
          <w:sz w:val="28"/>
          <w:szCs w:val="28"/>
          <w:lang w:val="en-US" w:eastAsia="zh-CN"/>
        </w:rPr>
      </w:pPr>
      <w:r>
        <w:rPr>
          <w:rFonts w:hint="eastAsia" w:ascii="仿宋" w:hAnsi="仿宋" w:eastAsia="仿宋"/>
          <w:bCs/>
          <w:color w:val="000000" w:themeColor="text1"/>
          <w:sz w:val="28"/>
          <w:szCs w:val="28"/>
          <w:lang w:val="en-US" w:eastAsia="zh-CN"/>
          <w14:textFill>
            <w14:solidFill>
              <w14:schemeClr w14:val="tx1"/>
            </w14:solidFill>
          </w14:textFill>
        </w:rPr>
        <w:t>3.磋商响应方的质疑</w:t>
      </w:r>
    </w:p>
    <w:p w14:paraId="7535BC3A">
      <w:pPr>
        <w:snapToGrid w:val="0"/>
        <w:spacing w:before="120" w:beforeLines="50" w:line="460" w:lineRule="exact"/>
        <w:ind w:firstLine="548" w:firstLineChars="196"/>
        <w:jc w:val="left"/>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545C3BC8">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1BAE84D">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7D126A03">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b质疑项目的名称、编号；</w:t>
      </w:r>
    </w:p>
    <w:p w14:paraId="3913E690">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5167E06C">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d事实依据；</w:t>
      </w:r>
    </w:p>
    <w:p w14:paraId="12BFA9AA">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e必要的法律依据；</w:t>
      </w:r>
    </w:p>
    <w:p w14:paraId="370B2E4E">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f提出质疑的日期。</w:t>
      </w:r>
    </w:p>
    <w:p w14:paraId="50E0B530">
      <w:pPr>
        <w:pStyle w:val="14"/>
        <w:widowControl w:val="0"/>
        <w:tabs>
          <w:tab w:val="clear" w:pos="454"/>
        </w:tabs>
        <w:snapToGrid w:val="0"/>
        <w:spacing w:before="120" w:beforeLines="50" w:after="120" w:line="460" w:lineRule="exact"/>
        <w:ind w:left="0" w:firstLine="548" w:firstLineChars="196"/>
        <w:rPr>
          <w:rFonts w:hint="eastAsia" w:ascii="仿宋" w:hAnsi="仿宋" w:eastAsia="仿宋" w:cs="Arial"/>
          <w:sz w:val="30"/>
          <w:szCs w:val="30"/>
        </w:rPr>
      </w:pPr>
      <w:r>
        <w:rPr>
          <w:rFonts w:hint="eastAsia" w:ascii="仿宋" w:hAnsi="仿宋" w:eastAsia="仿宋" w:cs="Arial"/>
          <w:sz w:val="28"/>
          <w:szCs w:val="28"/>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sz w:val="30"/>
          <w:szCs w:val="30"/>
        </w:rPr>
        <w:t>。</w:t>
      </w:r>
    </w:p>
    <w:p w14:paraId="0F468B9F">
      <w:pPr>
        <w:pStyle w:val="14"/>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14:paraId="1D628D60">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4C41A7A3">
      <w:pPr>
        <w:pStyle w:val="29"/>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73A0EA9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497D6EB8">
      <w:pPr>
        <w:pStyle w:val="29"/>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2260FC4C">
      <w:pPr>
        <w:pStyle w:val="29"/>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02D6E33B">
      <w:pPr>
        <w:snapToGrid w:val="0"/>
        <w:spacing w:line="460" w:lineRule="exact"/>
        <w:ind w:firstLine="551" w:firstLineChars="196"/>
        <w:jc w:val="left"/>
        <w:rPr>
          <w:rFonts w:ascii="宋体"/>
          <w:b/>
          <w:sz w:val="28"/>
          <w:szCs w:val="28"/>
        </w:rPr>
      </w:pPr>
      <w:bookmarkStart w:id="66" w:name="_Toc510137461"/>
      <w:bookmarkStart w:id="67" w:name="_Toc451762175"/>
      <w:bookmarkStart w:id="68" w:name="_Toc451762244"/>
      <w:r>
        <w:rPr>
          <w:rFonts w:hint="eastAsia" w:ascii="宋体" w:hAnsi="宋体"/>
          <w:b/>
          <w:sz w:val="28"/>
          <w:szCs w:val="28"/>
        </w:rPr>
        <w:t>（一）磋商响应文件编制工具</w:t>
      </w:r>
    </w:p>
    <w:p w14:paraId="594AAA87">
      <w:pPr>
        <w:pStyle w:val="29"/>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5FBA83E0">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4B7CB94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18F0CD94">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1AFC72A5">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1077F066">
      <w:pPr>
        <w:pStyle w:val="46"/>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注：法定代表人授权委托书、声明书、报价明细</w:t>
      </w:r>
      <w:r>
        <w:rPr>
          <w:rFonts w:hint="eastAsia"/>
          <w:b/>
          <w:color w:val="auto"/>
          <w:sz w:val="28"/>
          <w:szCs w:val="28"/>
          <w:lang w:val="en-US" w:eastAsia="zh-CN"/>
        </w:rPr>
        <w:t>一览</w:t>
      </w:r>
      <w:r>
        <w:rPr>
          <w:rFonts w:hint="eastAsia"/>
          <w:b/>
          <w:color w:val="auto"/>
          <w:sz w:val="28"/>
          <w:szCs w:val="28"/>
        </w:rPr>
        <w:t>表必须按磋商文件格式要求正确签署并加盖磋商响应方公章。磋商响应文件中所须加盖公章部分均采用CA签章。</w:t>
      </w:r>
    </w:p>
    <w:p w14:paraId="06544796">
      <w:pPr>
        <w:snapToGrid w:val="0"/>
        <w:spacing w:line="460" w:lineRule="exact"/>
        <w:ind w:firstLine="551" w:firstLineChars="196"/>
        <w:jc w:val="left"/>
        <w:rPr>
          <w:rFonts w:ascii="仿宋" w:hAnsi="仿宋" w:eastAsia="仿宋"/>
          <w:sz w:val="30"/>
          <w:szCs w:val="30"/>
        </w:rPr>
      </w:pPr>
      <w:r>
        <w:rPr>
          <w:rFonts w:hint="eastAsia" w:ascii="宋体" w:hAnsi="宋体"/>
          <w:b/>
          <w:sz w:val="28"/>
          <w:szCs w:val="28"/>
        </w:rPr>
        <w:t>磋商响应文件的效力</w:t>
      </w:r>
      <w:r>
        <w:rPr>
          <w:rFonts w:hint="eastAsia" w:ascii="宋体" w:hAnsi="宋体"/>
          <w:b/>
          <w:sz w:val="28"/>
          <w:szCs w:val="28"/>
          <w:lang w:eastAsia="zh-CN"/>
        </w:rPr>
        <w:t>：</w:t>
      </w: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3E5A5220">
      <w:pPr>
        <w:snapToGrid w:val="0"/>
        <w:spacing w:line="460" w:lineRule="exact"/>
        <w:ind w:firstLine="590" w:firstLineChars="196"/>
        <w:jc w:val="left"/>
        <w:outlineLvl w:val="0"/>
        <w:rPr>
          <w:rFonts w:ascii="仿宋" w:hAnsi="仿宋" w:eastAsia="仿宋"/>
          <w:b/>
          <w:sz w:val="30"/>
          <w:szCs w:val="30"/>
        </w:rPr>
      </w:pPr>
      <w:bookmarkStart w:id="69" w:name="_Toc451762176"/>
      <w:bookmarkStart w:id="70" w:name="_Toc451762245"/>
      <w:bookmarkStart w:id="71" w:name="_Toc510137462"/>
      <w:r>
        <w:rPr>
          <w:rFonts w:hint="eastAsia" w:ascii="仿宋" w:hAnsi="仿宋" w:eastAsia="仿宋"/>
          <w:b/>
          <w:sz w:val="30"/>
          <w:szCs w:val="30"/>
        </w:rPr>
        <w:t>（三）磋商响应文件的语言及计量</w:t>
      </w:r>
      <w:bookmarkEnd w:id="69"/>
      <w:bookmarkEnd w:id="70"/>
      <w:bookmarkEnd w:id="71"/>
    </w:p>
    <w:p w14:paraId="73E1402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2BF07E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磋商响应计量单位，磋商文件已有明确规定的，使用磋商文件规定的计量单位；磋商文件没有规定的，应采用中华人民共和国法定计量单位（货币单位：人民币元），否则视同未响应。</w:t>
      </w:r>
    </w:p>
    <w:p w14:paraId="59B9E042">
      <w:pPr>
        <w:snapToGrid w:val="0"/>
        <w:spacing w:before="120" w:beforeLines="50" w:line="460" w:lineRule="exact"/>
        <w:ind w:firstLine="590" w:firstLineChars="196"/>
        <w:jc w:val="left"/>
        <w:outlineLvl w:val="0"/>
        <w:rPr>
          <w:rFonts w:ascii="宋体"/>
          <w:b/>
          <w:sz w:val="30"/>
          <w:szCs w:val="30"/>
        </w:rPr>
      </w:pPr>
      <w:bookmarkStart w:id="72" w:name="_Toc451762177"/>
      <w:bookmarkStart w:id="73" w:name="_Toc510137463"/>
      <w:bookmarkStart w:id="74" w:name="_Toc451762246"/>
      <w:r>
        <w:rPr>
          <w:rFonts w:hint="eastAsia" w:ascii="宋体" w:hAnsi="宋体"/>
          <w:b/>
          <w:sz w:val="30"/>
          <w:szCs w:val="30"/>
        </w:rPr>
        <w:t>（四）磋商响应报价</w:t>
      </w:r>
      <w:bookmarkEnd w:id="72"/>
      <w:bookmarkEnd w:id="73"/>
      <w:bookmarkEnd w:id="74"/>
    </w:p>
    <w:p w14:paraId="4D4A227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磋商响应报价应按磋商文件中相关附表格式填报；</w:t>
      </w:r>
    </w:p>
    <w:p w14:paraId="1F34492F">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磋商响应报价是履行合同的最终价格，应包括货款、标准附件、备品备件、专用工具、包装、运输、装卸、保险、税金、货到就位以及安装、调试、培训、保修等一切税金和费用。</w:t>
      </w:r>
    </w:p>
    <w:p w14:paraId="112D9976">
      <w:pPr>
        <w:snapToGrid w:val="0"/>
        <w:spacing w:line="460" w:lineRule="exact"/>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lang w:val="en-US" w:eastAsia="zh-CN"/>
        </w:rPr>
        <w:t>3.</w:t>
      </w:r>
      <w:r>
        <w:rPr>
          <w:rFonts w:hint="eastAsia" w:ascii="仿宋" w:hAnsi="仿宋" w:eastAsia="仿宋"/>
          <w:sz w:val="30"/>
          <w:szCs w:val="30"/>
        </w:rPr>
        <w:t>磋商响应报价金额到</w:t>
      </w:r>
      <w:r>
        <w:rPr>
          <w:rFonts w:hint="eastAsia" w:ascii="仿宋" w:hAnsi="仿宋" w:eastAsia="仿宋"/>
          <w:sz w:val="30"/>
          <w:szCs w:val="30"/>
          <w:lang w:val="en-US" w:eastAsia="zh-CN"/>
        </w:rPr>
        <w:t>分为止。</w:t>
      </w:r>
    </w:p>
    <w:p w14:paraId="13B73851">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4.最终报价</w:t>
      </w:r>
      <w:r>
        <w:rPr>
          <w:rFonts w:hint="eastAsia" w:ascii="仿宋" w:hAnsi="仿宋" w:eastAsia="仿宋"/>
          <w:sz w:val="30"/>
          <w:szCs w:val="30"/>
        </w:rPr>
        <w:t>出现下列情形之一的，</w:t>
      </w:r>
      <w:r>
        <w:rPr>
          <w:rFonts w:hint="eastAsia" w:ascii="仿宋" w:hAnsi="仿宋" w:eastAsia="仿宋"/>
          <w:sz w:val="30"/>
          <w:szCs w:val="30"/>
          <w:lang w:val="en-US" w:eastAsia="zh-CN"/>
        </w:rPr>
        <w:t>磋商小组将对相关供应商进行询标</w:t>
      </w:r>
      <w:r>
        <w:rPr>
          <w:rFonts w:hint="eastAsia" w:ascii="仿宋" w:hAnsi="仿宋" w:eastAsia="仿宋"/>
          <w:sz w:val="30"/>
          <w:szCs w:val="30"/>
        </w:rPr>
        <w:t>：（一）</w:t>
      </w:r>
      <w:r>
        <w:rPr>
          <w:rFonts w:hint="eastAsia" w:ascii="仿宋" w:hAnsi="仿宋" w:eastAsia="仿宋"/>
          <w:sz w:val="30"/>
          <w:szCs w:val="30"/>
          <w:lang w:val="en-US" w:eastAsia="zh-CN"/>
        </w:rPr>
        <w:t>最终</w:t>
      </w:r>
      <w:r>
        <w:rPr>
          <w:rFonts w:hint="eastAsia" w:ascii="仿宋" w:hAnsi="仿宋" w:eastAsia="仿宋"/>
          <w:sz w:val="30"/>
          <w:szCs w:val="30"/>
        </w:rPr>
        <w:t>报价低于全部通过符合性审查供应商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报价平均值50%的，即</w:t>
      </w:r>
      <w:r>
        <w:rPr>
          <w:rFonts w:hint="eastAsia" w:ascii="仿宋" w:hAnsi="仿宋" w:eastAsia="仿宋"/>
          <w:sz w:val="30"/>
          <w:szCs w:val="30"/>
          <w:lang w:val="en-US" w:eastAsia="zh-CN"/>
        </w:rPr>
        <w:t>最终</w:t>
      </w:r>
      <w:r>
        <w:rPr>
          <w:rFonts w:hint="eastAsia" w:ascii="仿宋" w:hAnsi="仿宋" w:eastAsia="仿宋"/>
          <w:sz w:val="30"/>
          <w:szCs w:val="30"/>
        </w:rPr>
        <w:t>报价&lt;全部通过符合性审查供应商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报价平均值×50%；（二）</w:t>
      </w:r>
      <w:r>
        <w:rPr>
          <w:rFonts w:hint="eastAsia" w:ascii="仿宋" w:hAnsi="仿宋" w:eastAsia="仿宋"/>
          <w:sz w:val="30"/>
          <w:szCs w:val="30"/>
          <w:lang w:val="en-US" w:eastAsia="zh-CN"/>
        </w:rPr>
        <w:t>最终</w:t>
      </w:r>
      <w:r>
        <w:rPr>
          <w:rFonts w:hint="eastAsia" w:ascii="仿宋" w:hAnsi="仿宋" w:eastAsia="仿宋"/>
          <w:sz w:val="30"/>
          <w:szCs w:val="30"/>
        </w:rPr>
        <w:t>报价低于通过符合性审查且报价次低供应商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报价50%的，即</w:t>
      </w:r>
      <w:r>
        <w:rPr>
          <w:rFonts w:hint="eastAsia" w:ascii="仿宋" w:hAnsi="仿宋" w:eastAsia="仿宋"/>
          <w:sz w:val="30"/>
          <w:szCs w:val="30"/>
          <w:lang w:val="en-US" w:eastAsia="zh-CN"/>
        </w:rPr>
        <w:t>最终</w:t>
      </w:r>
      <w:r>
        <w:rPr>
          <w:rFonts w:hint="eastAsia" w:ascii="仿宋" w:hAnsi="仿宋" w:eastAsia="仿宋"/>
          <w:sz w:val="30"/>
          <w:szCs w:val="30"/>
        </w:rPr>
        <w:t>报价&lt;通过符合性审查且报价次低供应商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报价×50%；（三）</w:t>
      </w:r>
      <w:r>
        <w:rPr>
          <w:rFonts w:hint="eastAsia" w:ascii="仿宋" w:hAnsi="仿宋" w:eastAsia="仿宋"/>
          <w:sz w:val="30"/>
          <w:szCs w:val="30"/>
          <w:lang w:val="en-US" w:eastAsia="zh-CN"/>
        </w:rPr>
        <w:t>最终</w:t>
      </w:r>
      <w:r>
        <w:rPr>
          <w:rFonts w:hint="eastAsia" w:ascii="仿宋" w:hAnsi="仿宋" w:eastAsia="仿宋"/>
          <w:sz w:val="30"/>
          <w:szCs w:val="30"/>
        </w:rPr>
        <w:t>报价低于采购项目最高限价45%的，即</w:t>
      </w:r>
      <w:r>
        <w:rPr>
          <w:rFonts w:hint="eastAsia" w:ascii="仿宋" w:hAnsi="仿宋" w:eastAsia="仿宋"/>
          <w:sz w:val="30"/>
          <w:szCs w:val="30"/>
          <w:lang w:val="en-US" w:eastAsia="zh-CN"/>
        </w:rPr>
        <w:t>最终</w:t>
      </w:r>
      <w:r>
        <w:rPr>
          <w:rFonts w:hint="eastAsia" w:ascii="仿宋" w:hAnsi="仿宋" w:eastAsia="仿宋"/>
          <w:sz w:val="30"/>
          <w:szCs w:val="30"/>
        </w:rPr>
        <w:t>报价&lt;采购项目最高限价×45%；（四）其他</w:t>
      </w:r>
      <w:r>
        <w:rPr>
          <w:rFonts w:hint="eastAsia" w:ascii="仿宋" w:hAnsi="仿宋" w:eastAsia="仿宋"/>
          <w:sz w:val="30"/>
          <w:szCs w:val="30"/>
          <w:lang w:val="en-US" w:eastAsia="zh-CN"/>
        </w:rPr>
        <w:t>磋商小组</w:t>
      </w:r>
      <w:r>
        <w:rPr>
          <w:rFonts w:hint="eastAsia" w:ascii="仿宋" w:hAnsi="仿宋" w:eastAsia="仿宋"/>
          <w:sz w:val="30"/>
          <w:szCs w:val="30"/>
        </w:rPr>
        <w:t>认为供应商报价过低，有可能影响产品质量或者不能诚信履约的情形。</w:t>
      </w:r>
      <w:r>
        <w:rPr>
          <w:rFonts w:hint="eastAsia" w:ascii="仿宋" w:hAnsi="仿宋" w:eastAsia="仿宋"/>
          <w:sz w:val="30"/>
          <w:szCs w:val="30"/>
          <w:lang w:val="en-US" w:eastAsia="zh-CN"/>
        </w:rPr>
        <w:t>磋商小组发起询标</w:t>
      </w:r>
      <w:r>
        <w:rPr>
          <w:rFonts w:hint="eastAsia" w:ascii="仿宋" w:hAnsi="仿宋" w:eastAsia="仿宋"/>
          <w:sz w:val="30"/>
          <w:szCs w:val="30"/>
        </w:rPr>
        <w:t>后，</w:t>
      </w:r>
      <w:r>
        <w:rPr>
          <w:rFonts w:hint="eastAsia" w:ascii="仿宋" w:hAnsi="仿宋" w:eastAsia="仿宋"/>
          <w:sz w:val="30"/>
          <w:szCs w:val="30"/>
          <w:lang w:eastAsia="zh-CN"/>
        </w:rPr>
        <w:t>磋商响应方</w:t>
      </w:r>
      <w:r>
        <w:rPr>
          <w:rFonts w:hint="eastAsia" w:ascii="仿宋" w:hAnsi="仿宋" w:eastAsia="仿宋"/>
          <w:sz w:val="30"/>
          <w:szCs w:val="30"/>
          <w:lang w:val="en-US" w:eastAsia="zh-CN"/>
        </w:rPr>
        <w:t>必须</w:t>
      </w:r>
      <w:r>
        <w:rPr>
          <w:rFonts w:hint="eastAsia" w:ascii="仿宋" w:hAnsi="仿宋" w:eastAsia="仿宋"/>
          <w:sz w:val="30"/>
          <w:szCs w:val="30"/>
        </w:rPr>
        <w:t>在评审现场合理的时间内提供书面说明及必要的证明材料，对</w:t>
      </w:r>
      <w:r>
        <w:rPr>
          <w:rFonts w:hint="eastAsia" w:ascii="仿宋" w:hAnsi="仿宋" w:eastAsia="仿宋"/>
          <w:sz w:val="30"/>
          <w:szCs w:val="30"/>
          <w:lang w:val="en-US" w:eastAsia="zh-CN"/>
        </w:rPr>
        <w:t>最终报价</w:t>
      </w:r>
      <w:r>
        <w:rPr>
          <w:rFonts w:hint="eastAsia" w:ascii="仿宋" w:hAnsi="仿宋" w:eastAsia="仿宋"/>
          <w:sz w:val="30"/>
          <w:szCs w:val="30"/>
        </w:rPr>
        <w:t>作出解释。书面说明、证明材料主要是项目具体成本测算等与报价合理性相关的说明、材料</w:t>
      </w:r>
      <w:r>
        <w:rPr>
          <w:rFonts w:hint="eastAsia" w:ascii="仿宋" w:hAnsi="仿宋" w:eastAsia="仿宋"/>
          <w:sz w:val="30"/>
          <w:szCs w:val="30"/>
          <w:lang w:eastAsia="zh-CN"/>
        </w:rPr>
        <w:t>。</w:t>
      </w:r>
    </w:p>
    <w:p w14:paraId="6F2A238F">
      <w:pPr>
        <w:pStyle w:val="14"/>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45CC22C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自磋商响应截止日起90天内磋商响应文件应保持有效。有效期不足的磋商响应文件将被拒绝。</w:t>
      </w:r>
    </w:p>
    <w:p w14:paraId="3D2D459C">
      <w:pPr>
        <w:snapToGrid w:val="0"/>
        <w:spacing w:line="460" w:lineRule="exact"/>
        <w:ind w:firstLine="600" w:firstLineChars="200"/>
        <w:jc w:val="left"/>
        <w:rPr>
          <w:rFonts w:eastAsia="仿宋"/>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成交人的磋商响应文件自磋商之日起至合同履行完毕止均应保持有效。</w:t>
      </w:r>
    </w:p>
    <w:p w14:paraId="7F0C91C7">
      <w:pPr>
        <w:snapToGrid w:val="0"/>
        <w:spacing w:before="120" w:beforeLines="50" w:line="460" w:lineRule="exact"/>
        <w:ind w:firstLine="590" w:firstLineChars="196"/>
        <w:jc w:val="left"/>
        <w:outlineLvl w:val="0"/>
        <w:rPr>
          <w:rFonts w:ascii="宋体"/>
          <w:b/>
          <w:sz w:val="30"/>
          <w:szCs w:val="30"/>
        </w:rPr>
      </w:pPr>
      <w:bookmarkStart w:id="75" w:name="_Toc451762247"/>
      <w:bookmarkStart w:id="76" w:name="_Toc451762178"/>
      <w:bookmarkStart w:id="77" w:name="_Toc510137464"/>
      <w:r>
        <w:rPr>
          <w:rFonts w:hint="eastAsia" w:ascii="宋体" w:hAnsi="宋体"/>
          <w:b/>
          <w:sz w:val="30"/>
          <w:szCs w:val="30"/>
        </w:rPr>
        <w:t>（六）</w:t>
      </w:r>
      <w:bookmarkEnd w:id="75"/>
      <w:bookmarkEnd w:id="76"/>
      <w:bookmarkEnd w:id="77"/>
      <w:bookmarkStart w:id="78" w:name="_Toc451762249"/>
      <w:bookmarkStart w:id="79" w:name="_Toc451762180"/>
      <w:bookmarkStart w:id="80" w:name="_Toc510137465"/>
      <w:r>
        <w:rPr>
          <w:rFonts w:hint="eastAsia" w:ascii="宋体" w:hAnsi="宋体"/>
          <w:b/>
          <w:sz w:val="30"/>
          <w:szCs w:val="30"/>
        </w:rPr>
        <w:t>磋商响应文件的签署和份数</w:t>
      </w:r>
      <w:bookmarkEnd w:id="78"/>
      <w:bookmarkEnd w:id="79"/>
      <w:bookmarkEnd w:id="80"/>
    </w:p>
    <w:p w14:paraId="07A5EE5B">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宋体" w:hAnsi="宋体"/>
          <w:b/>
          <w:bCs/>
          <w:sz w:val="28"/>
          <w:szCs w:val="28"/>
        </w:rPr>
        <w:t>电子磋商响应文件部分：</w:t>
      </w:r>
    </w:p>
    <w:p w14:paraId="54A1E413">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2EF134EF">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4274BF72">
      <w:pPr>
        <w:pStyle w:val="29"/>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1A6BBD7F">
      <w:pPr>
        <w:pStyle w:val="29"/>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7B3D074A">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74AB7B6">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4D5061E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仿宋" w:hAnsi="仿宋" w:eastAsia="仿宋"/>
          <w:b/>
          <w:bCs/>
          <w:sz w:val="30"/>
          <w:szCs w:val="30"/>
        </w:rPr>
        <w:t>仅提供备份磋商响应文件的；</w:t>
      </w:r>
    </w:p>
    <w:p w14:paraId="393C39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电子磋商响应文件解密失败，且未在规定时间内提交备份磋商响应文件的；</w:t>
      </w:r>
    </w:p>
    <w:p w14:paraId="3268AB0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电子磋商响应文件解密失败，虽然在规定时间内提交了备份磋商响应文件，但是备份磋商响应文件无法导入或者无法读取或者不符合本磋商文件和电子交易平台要求的；</w:t>
      </w:r>
    </w:p>
    <w:p w14:paraId="1FCE378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w:t>
      </w:r>
      <w:r>
        <w:rPr>
          <w:rFonts w:hint="eastAsia" w:ascii="仿宋" w:hAnsi="仿宋" w:eastAsia="仿宋"/>
          <w:b/>
          <w:bCs/>
          <w:sz w:val="30"/>
          <w:szCs w:val="30"/>
          <w:lang w:eastAsia="zh-CN"/>
        </w:rPr>
        <w:t>.</w:t>
      </w:r>
      <w:r>
        <w:rPr>
          <w:rFonts w:hint="eastAsia" w:ascii="仿宋" w:hAnsi="仿宋" w:eastAsia="仿宋"/>
          <w:b/>
          <w:bCs/>
          <w:sz w:val="30"/>
          <w:szCs w:val="30"/>
        </w:rPr>
        <w:t>磋商响应方未能提供合格的资格文件；</w:t>
      </w:r>
    </w:p>
    <w:p w14:paraId="7F496D8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w:t>
      </w:r>
      <w:r>
        <w:rPr>
          <w:rFonts w:hint="eastAsia" w:ascii="仿宋" w:hAnsi="仿宋" w:eastAsia="仿宋"/>
          <w:b/>
          <w:bCs/>
          <w:sz w:val="30"/>
          <w:szCs w:val="30"/>
          <w:lang w:eastAsia="zh-CN"/>
        </w:rPr>
        <w:t>.</w:t>
      </w:r>
      <w:r>
        <w:rPr>
          <w:rFonts w:hint="eastAsia" w:ascii="仿宋" w:hAnsi="仿宋" w:eastAsia="仿宋"/>
          <w:b/>
          <w:bCs/>
          <w:sz w:val="30"/>
          <w:szCs w:val="30"/>
        </w:rPr>
        <w:t>与磋商文件有重大偏离、未满足带“▲”号实质性指标的磋商响应文件；</w:t>
      </w:r>
    </w:p>
    <w:p w14:paraId="52E5862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w:t>
      </w:r>
      <w:r>
        <w:rPr>
          <w:rFonts w:hint="eastAsia" w:ascii="仿宋" w:hAnsi="仿宋" w:eastAsia="仿宋"/>
          <w:b/>
          <w:bCs/>
          <w:sz w:val="30"/>
          <w:szCs w:val="30"/>
          <w:lang w:eastAsia="zh-CN"/>
        </w:rPr>
        <w:t>.</w:t>
      </w:r>
      <w:r>
        <w:rPr>
          <w:rFonts w:hint="eastAsia" w:ascii="仿宋" w:hAnsi="仿宋" w:eastAsia="仿宋"/>
          <w:b/>
          <w:bCs/>
          <w:sz w:val="30"/>
          <w:szCs w:val="30"/>
        </w:rPr>
        <w:t>标项以赠送方式磋商响应的；</w:t>
      </w:r>
    </w:p>
    <w:p w14:paraId="3993CCE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w:t>
      </w:r>
      <w:r>
        <w:rPr>
          <w:rFonts w:hint="eastAsia" w:ascii="仿宋" w:hAnsi="仿宋" w:eastAsia="仿宋"/>
          <w:b/>
          <w:bCs/>
          <w:sz w:val="30"/>
          <w:szCs w:val="30"/>
          <w:lang w:eastAsia="zh-CN"/>
        </w:rPr>
        <w:t>.</w:t>
      </w:r>
      <w:r>
        <w:rPr>
          <w:rFonts w:hint="eastAsia" w:ascii="仿宋" w:hAnsi="仿宋" w:eastAsia="仿宋"/>
          <w:b/>
          <w:bCs/>
          <w:sz w:val="30"/>
          <w:szCs w:val="30"/>
        </w:rPr>
        <w:t>磋商响应文件应盖公章而未盖公章或盖非公司公章、未有效授权、法定代表人授权书填写不完整或有涂改的；</w:t>
      </w:r>
    </w:p>
    <w:p w14:paraId="631CA5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w:t>
      </w:r>
      <w:r>
        <w:rPr>
          <w:rFonts w:hint="eastAsia" w:ascii="仿宋" w:hAnsi="仿宋" w:eastAsia="仿宋"/>
          <w:b/>
          <w:bCs/>
          <w:sz w:val="30"/>
          <w:szCs w:val="30"/>
          <w:lang w:eastAsia="zh-CN"/>
        </w:rPr>
        <w:t>.</w:t>
      </w:r>
      <w:r>
        <w:rPr>
          <w:rFonts w:hint="eastAsia" w:ascii="仿宋" w:hAnsi="仿宋" w:eastAsia="仿宋"/>
          <w:b/>
          <w:bCs/>
          <w:sz w:val="30"/>
          <w:szCs w:val="30"/>
        </w:rPr>
        <w:t>未成功办理磋商响应方采购文件获取手续的；</w:t>
      </w:r>
    </w:p>
    <w:p w14:paraId="7301AB4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w:t>
      </w:r>
      <w:r>
        <w:rPr>
          <w:rFonts w:hint="eastAsia" w:ascii="仿宋" w:hAnsi="仿宋" w:eastAsia="仿宋"/>
          <w:b/>
          <w:bCs/>
          <w:sz w:val="30"/>
          <w:szCs w:val="30"/>
          <w:lang w:eastAsia="zh-CN"/>
        </w:rPr>
        <w:t>.</w:t>
      </w:r>
      <w:r>
        <w:rPr>
          <w:rFonts w:hint="eastAsia" w:ascii="仿宋" w:hAnsi="仿宋" w:eastAsia="仿宋"/>
          <w:b/>
          <w:bCs/>
          <w:sz w:val="30"/>
          <w:szCs w:val="30"/>
        </w:rPr>
        <w:t>磋商最终报价超出预算</w:t>
      </w:r>
      <w:r>
        <w:rPr>
          <w:rFonts w:hint="eastAsia" w:ascii="仿宋" w:hAnsi="仿宋" w:eastAsia="仿宋"/>
          <w:b/>
          <w:bCs/>
          <w:sz w:val="30"/>
          <w:szCs w:val="30"/>
          <w:lang w:val="en-US" w:eastAsia="zh-CN"/>
        </w:rPr>
        <w:t>或最高限价</w:t>
      </w:r>
      <w:r>
        <w:rPr>
          <w:rFonts w:hint="eastAsia" w:ascii="仿宋" w:hAnsi="仿宋" w:eastAsia="仿宋"/>
          <w:b/>
          <w:bCs/>
          <w:sz w:val="30"/>
          <w:szCs w:val="30"/>
        </w:rPr>
        <w:t>的；</w:t>
      </w:r>
    </w:p>
    <w:p w14:paraId="17AF21AD">
      <w:pPr>
        <w:snapToGrid w:val="0"/>
        <w:spacing w:line="460" w:lineRule="exact"/>
        <w:ind w:firstLine="572" w:firstLineChars="190"/>
        <w:jc w:val="left"/>
        <w:rPr>
          <w:rFonts w:hint="eastAsia" w:ascii="仿宋" w:hAnsi="仿宋" w:eastAsia="仿宋"/>
          <w:b/>
          <w:bCs/>
          <w:sz w:val="30"/>
          <w:szCs w:val="30"/>
        </w:rPr>
      </w:pPr>
      <w:r>
        <w:rPr>
          <w:rFonts w:hint="eastAsia" w:ascii="仿宋" w:hAnsi="仿宋" w:eastAsia="仿宋"/>
          <w:b/>
          <w:bCs/>
          <w:sz w:val="30"/>
          <w:szCs w:val="30"/>
        </w:rPr>
        <w:t>10</w:t>
      </w:r>
      <w:r>
        <w:rPr>
          <w:rFonts w:hint="eastAsia" w:ascii="仿宋" w:hAnsi="仿宋" w:eastAsia="仿宋"/>
          <w:b/>
          <w:bCs/>
          <w:sz w:val="30"/>
          <w:szCs w:val="30"/>
          <w:lang w:eastAsia="zh-CN"/>
        </w:rPr>
        <w:t>.</w:t>
      </w:r>
      <w:r>
        <w:rPr>
          <w:rFonts w:hint="eastAsia" w:ascii="仿宋" w:hAnsi="仿宋" w:eastAsia="仿宋"/>
          <w:b/>
          <w:bCs/>
          <w:sz w:val="30"/>
          <w:szCs w:val="30"/>
        </w:rPr>
        <w:t>磋商小组认为磋商响应方的最终报价明显低于其他通过符合性审查磋商响应方的报价，有可能影响产品质量或者不能诚信履约，且不能证明其报价合理性的；</w:t>
      </w:r>
    </w:p>
    <w:p w14:paraId="3D45CF10">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329CF10C">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12FC05DC">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48ED9175">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357F71BF">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0C0B823E">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6901E94F">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2185B954">
      <w:pPr>
        <w:snapToGrid w:val="0"/>
        <w:spacing w:line="460" w:lineRule="exact"/>
        <w:ind w:firstLine="572" w:firstLineChars="190"/>
        <w:jc w:val="left"/>
        <w:rPr>
          <w:rFonts w:ascii="仿宋" w:hAnsi="仿宋" w:eastAsia="仿宋"/>
          <w:b/>
          <w:bCs/>
          <w:sz w:val="30"/>
          <w:szCs w:val="30"/>
        </w:rPr>
      </w:pPr>
    </w:p>
    <w:p w14:paraId="46F0EC89">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3FE37401">
      <w:pPr>
        <w:pStyle w:val="29"/>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75D437D4">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442CDCCF">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5E314E2D">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38E2C8B8">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BEE73D6">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6C46063E">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32FD165">
      <w:pPr>
        <w:pStyle w:val="29"/>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14:paraId="428D1FDB">
      <w:pPr>
        <w:pStyle w:val="29"/>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A0B71B0">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0D21BCC5">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40BE58AA">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7E6B97DF">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8E50CD5">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55E138CF">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2781C602">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 xml:space="preserve">3. </w:t>
      </w:r>
      <w:r>
        <w:rPr>
          <w:rFonts w:hint="eastAsia" w:ascii="仿宋" w:hAnsi="仿宋" w:eastAsia="仿宋"/>
          <w:sz w:val="30"/>
          <w:szCs w:val="30"/>
          <w:lang w:val="en-US" w:eastAsia="zh-CN"/>
        </w:rPr>
        <w:t>响应</w:t>
      </w:r>
      <w:r>
        <w:rPr>
          <w:rFonts w:hint="eastAsia" w:ascii="仿宋" w:hAnsi="仿宋" w:eastAsia="仿宋"/>
          <w:sz w:val="30"/>
          <w:szCs w:val="30"/>
        </w:rPr>
        <w:t>截止时，电子交易平台自动提取所有电子磋商响应文件。磋商方点击[开始解密]按钮后，磋商响应方可以在线解密，解密时限为30分钟。</w:t>
      </w:r>
    </w:p>
    <w:p w14:paraId="0E692437">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27E8D93E">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73BD36B4">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w:t>
      </w:r>
      <w:r>
        <w:rPr>
          <w:rFonts w:hint="eastAsia" w:ascii="仿宋" w:hAnsi="仿宋" w:eastAsia="仿宋"/>
          <w:sz w:val="30"/>
          <w:szCs w:val="30"/>
          <w:lang w:val="en-US" w:eastAsia="zh-CN"/>
        </w:rPr>
        <w:t>磋商专家</w:t>
      </w:r>
      <w:r>
        <w:rPr>
          <w:rFonts w:hint="eastAsia" w:ascii="仿宋" w:hAnsi="仿宋" w:eastAsia="仿宋"/>
          <w:sz w:val="30"/>
          <w:szCs w:val="30"/>
        </w:rPr>
        <w:t>可以通过电子交易平台发出“视频会议”邀请，与相关</w:t>
      </w:r>
      <w:r>
        <w:rPr>
          <w:rFonts w:hint="eastAsia" w:ascii="仿宋" w:hAnsi="仿宋" w:eastAsia="仿宋"/>
          <w:sz w:val="30"/>
          <w:szCs w:val="30"/>
          <w:lang w:val="en-US" w:eastAsia="zh-CN"/>
        </w:rPr>
        <w:t>响应方</w:t>
      </w:r>
      <w:r>
        <w:rPr>
          <w:rFonts w:hint="eastAsia" w:ascii="仿宋" w:hAnsi="仿宋" w:eastAsia="仿宋"/>
          <w:sz w:val="30"/>
          <w:szCs w:val="30"/>
        </w:rPr>
        <w:t>以视频会议形式进行，并在平台“讨论”组件中进行数据电文交换。为避免页面存在兼容性等问题，</w:t>
      </w:r>
      <w:r>
        <w:rPr>
          <w:rFonts w:hint="eastAsia" w:ascii="仿宋" w:hAnsi="仿宋" w:eastAsia="仿宋"/>
          <w:sz w:val="30"/>
          <w:szCs w:val="30"/>
          <w:lang w:val="en-US" w:eastAsia="zh-CN"/>
        </w:rPr>
        <w:t>磋商响应方</w:t>
      </w:r>
      <w:r>
        <w:rPr>
          <w:rFonts w:hint="eastAsia" w:ascii="仿宋" w:hAnsi="仿宋" w:eastAsia="仿宋"/>
          <w:sz w:val="30"/>
          <w:szCs w:val="30"/>
        </w:rPr>
        <w:t>须使用谷歌Chrome浏览器或360浏览器极速模式，并安装摄像头和麦克风。如若评审过程中，电子交易平台出现视频会议连接失败等情况，按原方式在电子交易平台与供应商交换数据电文。</w:t>
      </w:r>
    </w:p>
    <w:p w14:paraId="5D060AAF">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96422AC">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26E0A093">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69833A9E">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36D7EE9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24B6EB2A">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核验出席磋商活动现场的磋商小组各成员和相关监督人员身份，并要求其分别登记、签到，按规定统一收缴、保存其通讯工具，无关人员一律拒绝其进入磋商现场。</w:t>
      </w:r>
    </w:p>
    <w:p w14:paraId="32440A75">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介绍磋商现场的人员情况，宣布磋商工作纪律，告知磋商人员应当回避情形；组织推选磋商小组组长。</w:t>
      </w:r>
    </w:p>
    <w:p w14:paraId="4299E8BD">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宣读提交竞争性磋商响应文件的响应方名单，组织磋商小组各位成员签订《政府采购评审人员廉洁自律承诺书》。</w:t>
      </w:r>
    </w:p>
    <w:p w14:paraId="76A92349">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85736E4">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磋商小组组长组织磋商小组人员独立评审。采购人代表或</w:t>
      </w:r>
      <w:r>
        <w:rPr>
          <w:rFonts w:hint="eastAsia" w:ascii="仿宋" w:hAnsi="仿宋" w:eastAsia="仿宋"/>
          <w:bCs/>
          <w:sz w:val="30"/>
          <w:szCs w:val="30"/>
          <w:lang w:val="en-US" w:eastAsia="zh-CN"/>
        </w:rPr>
        <w:t>由</w:t>
      </w:r>
      <w:r>
        <w:rPr>
          <w:rFonts w:hint="eastAsia" w:ascii="仿宋" w:hAnsi="仿宋" w:eastAsia="仿宋"/>
          <w:bCs/>
          <w:sz w:val="30"/>
          <w:szCs w:val="30"/>
        </w:rPr>
        <w:t>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52490CB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做好磋商现场相关记录，协助磋商小组组长做好评审报告起草、有关内容电脑文字录入等工作，并要求磋商小组各成员签字确认。</w:t>
      </w:r>
    </w:p>
    <w:p w14:paraId="0BAB157B">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14:paraId="584AC54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磋商方将在《</w:t>
      </w:r>
      <w:r>
        <w:rPr>
          <w:rFonts w:hint="eastAsia" w:ascii="仿宋" w:hAnsi="仿宋" w:eastAsia="仿宋"/>
          <w:bCs/>
          <w:sz w:val="30"/>
          <w:szCs w:val="30"/>
          <w:lang w:val="en-US" w:eastAsia="zh-CN"/>
        </w:rPr>
        <w:t>成交</w:t>
      </w:r>
      <w:r>
        <w:rPr>
          <w:rFonts w:hint="eastAsia" w:ascii="仿宋" w:hAnsi="仿宋" w:eastAsia="仿宋"/>
          <w:bCs/>
          <w:sz w:val="30"/>
          <w:szCs w:val="30"/>
        </w:rPr>
        <w:t>公告》中，公开磋商小组对每个响应方的《评分明细》以及《得分汇总表》情况。</w:t>
      </w:r>
    </w:p>
    <w:p w14:paraId="0AEF1AA6">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5324BA8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在磋商小组中推选组长。</w:t>
      </w:r>
    </w:p>
    <w:p w14:paraId="1BEFF29A">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7120AE4E">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磋商小组组长召集成员讨论确定磋商方法和磋商轮次。</w:t>
      </w:r>
    </w:p>
    <w:p w14:paraId="4494827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D69F279">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1FEDBEFF">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7B85FCC7">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3B9749F7">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磋商小组根据第三章《评审办法与评审标准》对提交最终报价的响应方的响应文件和最后报价进行综合评分。</w:t>
      </w:r>
    </w:p>
    <w:p w14:paraId="042F028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774E61A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w:t>
      </w:r>
      <w:r>
        <w:rPr>
          <w:rFonts w:hint="eastAsia" w:ascii="仿宋" w:hAnsi="仿宋" w:eastAsia="仿宋"/>
          <w:bCs/>
          <w:sz w:val="30"/>
          <w:szCs w:val="30"/>
          <w:lang w:eastAsia="zh-CN"/>
        </w:rPr>
        <w:t>.</w:t>
      </w:r>
      <w:r>
        <w:rPr>
          <w:rFonts w:hint="eastAsia" w:ascii="仿宋" w:hAnsi="仿宋" w:eastAsia="仿宋"/>
          <w:bCs/>
          <w:sz w:val="30"/>
          <w:szCs w:val="30"/>
        </w:rPr>
        <w:t>起草评审报告，所有磋商小组成员须在评审报告上签字确认。</w:t>
      </w:r>
    </w:p>
    <w:p w14:paraId="5C1EA3F7">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BDA9A99">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14:paraId="31802FCB">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6D130B83">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04AD7389">
      <w:pPr>
        <w:pStyle w:val="29"/>
        <w:snapToGrid w:val="0"/>
        <w:spacing w:before="120" w:after="120" w:line="460" w:lineRule="exact"/>
        <w:ind w:firstLine="594" w:firstLineChars="198"/>
        <w:outlineLvl w:val="1"/>
        <w:rPr>
          <w:rFonts w:hint="eastAsia" w:hAnsi="宋体"/>
          <w:b/>
          <w:sz w:val="30"/>
          <w:szCs w:val="30"/>
        </w:rPr>
      </w:pPr>
      <w:r>
        <w:rPr>
          <w:rFonts w:hint="eastAsia" w:ascii="仿宋" w:hAnsi="仿宋" w:eastAsia="仿宋" w:cs="仿宋"/>
          <w:b w:val="0"/>
          <w:bCs/>
          <w:sz w:val="30"/>
          <w:szCs w:val="30"/>
        </w:rPr>
        <w:t>4</w:t>
      </w:r>
      <w:r>
        <w:rPr>
          <w:rFonts w:hint="eastAsia" w:ascii="仿宋" w:hAnsi="仿宋" w:eastAsia="仿宋" w:cs="仿宋"/>
          <w:b w:val="0"/>
          <w:bCs/>
          <w:sz w:val="30"/>
          <w:szCs w:val="30"/>
          <w:lang w:val="en-US" w:eastAsia="zh-CN"/>
        </w:rPr>
        <w:t>.参照</w:t>
      </w:r>
      <w:r>
        <w:rPr>
          <w:rFonts w:hint="eastAsia" w:ascii="仿宋" w:hAnsi="仿宋" w:eastAsia="仿宋" w:cs="仿宋"/>
          <w:b w:val="0"/>
          <w:bCs/>
          <w:sz w:val="30"/>
          <w:szCs w:val="30"/>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文件规定的方式确定一个投标人获得中标人推荐资格，</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文件未规定的采取随机抽取方式确定，其他同品牌投标人不作为中标候选人。非单一产品采购项目，采购人应当根据采购项目技术构成、产品价格比重等合理确定核心产品，并在</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文件中载明。多家投标人提供的核心产品品牌相同的，按前款规定处理。</w:t>
      </w:r>
    </w:p>
    <w:p w14:paraId="5F8614E7">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75EAFEFB">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成交结果由采购人确认。采购人未确定成交供应商且在规定时间内不提出异议的，视为默认。</w:t>
      </w:r>
    </w:p>
    <w:p w14:paraId="737EAA90">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采购人应当自收到评审报告之日起５个工作日内确定成交结果。成交结果经采购人确认后，采购中心将于2个工作日内在浙江省政府采购网上发布成交结果公告，并通过电子交易平台统一签发《成交通知书》。</w:t>
      </w:r>
    </w:p>
    <w:p w14:paraId="7A0D2B86">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53F9C62C">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37F92F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59D3415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w:t>
      </w:r>
      <w:r>
        <w:rPr>
          <w:rFonts w:hint="eastAsia" w:ascii="仿宋" w:hAnsi="仿宋" w:eastAsia="仿宋"/>
          <w:bCs/>
          <w:sz w:val="28"/>
          <w:szCs w:val="28"/>
          <w:lang w:val="en-US" w:eastAsia="zh-CN"/>
        </w:rPr>
        <w:t>成交</w:t>
      </w:r>
      <w:r>
        <w:rPr>
          <w:rFonts w:hint="eastAsia" w:ascii="仿宋" w:hAnsi="仿宋" w:eastAsia="仿宋"/>
          <w:bCs/>
          <w:sz w:val="28"/>
          <w:szCs w:val="28"/>
        </w:rPr>
        <w:t>资格。</w:t>
      </w:r>
    </w:p>
    <w:p w14:paraId="53E1EA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5167870">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333C6CBD">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0EFC9B39">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按合同约定办理履约保证金退还手续。</w:t>
      </w:r>
    </w:p>
    <w:p w14:paraId="29864978">
      <w:pPr>
        <w:pStyle w:val="29"/>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3211E2B9">
      <w:pPr>
        <w:pStyle w:val="29"/>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4F1C7E1E">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048C612D">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717F11D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C8F58C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792B8E4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753B38EC">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2A1C968">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21E3CEC0">
      <w:pPr>
        <w:pStyle w:val="29"/>
        <w:snapToGrid w:val="0"/>
        <w:spacing w:before="120" w:after="120" w:line="460" w:lineRule="exact"/>
        <w:ind w:firstLine="2530" w:firstLineChars="700"/>
        <w:rPr>
          <w:rFonts w:hAnsi="宋体"/>
          <w:b/>
          <w:sz w:val="36"/>
          <w:szCs w:val="36"/>
        </w:rPr>
      </w:pPr>
    </w:p>
    <w:p w14:paraId="6669F961">
      <w:pPr>
        <w:widowControl/>
        <w:jc w:val="left"/>
        <w:rPr>
          <w:rFonts w:ascii="宋体" w:hAnsi="宋体"/>
          <w:b/>
          <w:sz w:val="36"/>
          <w:szCs w:val="36"/>
        </w:rPr>
      </w:pPr>
      <w:r>
        <w:rPr>
          <w:rFonts w:hAnsi="宋体"/>
          <w:b/>
          <w:sz w:val="36"/>
          <w:szCs w:val="36"/>
        </w:rPr>
        <w:br w:type="page"/>
      </w:r>
    </w:p>
    <w:p w14:paraId="362F9466">
      <w:pPr>
        <w:pStyle w:val="29"/>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3"/>
    </w:p>
    <w:p w14:paraId="103E9722">
      <w:pPr>
        <w:pStyle w:val="29"/>
        <w:snapToGrid w:val="0"/>
        <w:spacing w:before="120" w:after="120" w:line="460" w:lineRule="exact"/>
        <w:jc w:val="center"/>
        <w:outlineLvl w:val="0"/>
        <w:rPr>
          <w:rFonts w:ascii="仿宋" w:hAnsi="仿宋" w:eastAsia="仿宋"/>
          <w:sz w:val="30"/>
          <w:szCs w:val="30"/>
        </w:rPr>
      </w:pPr>
    </w:p>
    <w:p w14:paraId="06022338">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558DE24">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3872533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6CCFA9C6">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B1E34B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0C0D5F9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ED45F17">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9F63A8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sz w:val="30"/>
          <w:szCs w:val="30"/>
          <w:lang w:val="en-US" w:eastAsia="zh-CN"/>
        </w:rPr>
        <w:t>总</w:t>
      </w:r>
      <w:r>
        <w:rPr>
          <w:rFonts w:hint="eastAsia" w:ascii="仿宋" w:hAnsi="仿宋" w:eastAsia="仿宋"/>
          <w:bCs/>
          <w:sz w:val="30"/>
          <w:szCs w:val="30"/>
        </w:rPr>
        <w:t>得分=价格分+(技术分+资信商务及其他分)</w:t>
      </w:r>
    </w:p>
    <w:p w14:paraId="1446C601">
      <w:pPr>
        <w:spacing w:before="120" w:beforeLines="50" w:after="120" w:afterLines="50" w:line="460" w:lineRule="exact"/>
        <w:ind w:firstLine="600" w:firstLineChars="200"/>
        <w:rPr>
          <w:rFonts w:ascii="仿宋" w:hAnsi="仿宋" w:eastAsia="仿宋"/>
          <w:bCs/>
          <w:sz w:val="30"/>
          <w:szCs w:val="30"/>
        </w:rPr>
      </w:pPr>
    </w:p>
    <w:p w14:paraId="6E2BA199">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w:t>
      </w:r>
      <w:r>
        <w:rPr>
          <w:rFonts w:hint="eastAsia" w:ascii="仿宋" w:hAnsi="仿宋" w:eastAsia="仿宋"/>
          <w:bCs/>
          <w:sz w:val="30"/>
          <w:szCs w:val="30"/>
          <w:lang w:val="en-US" w:eastAsia="zh-CN"/>
        </w:rPr>
        <w:t>成交</w:t>
      </w:r>
      <w:r>
        <w:rPr>
          <w:rFonts w:hint="eastAsia" w:ascii="仿宋" w:hAnsi="仿宋" w:eastAsia="仿宋"/>
          <w:bCs/>
          <w:sz w:val="30"/>
          <w:szCs w:val="30"/>
        </w:rPr>
        <w:t>公告中公布。</w:t>
      </w:r>
    </w:p>
    <w:p w14:paraId="06958FE9">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01"/>
        <w:gridCol w:w="4743"/>
        <w:gridCol w:w="810"/>
        <w:gridCol w:w="1365"/>
      </w:tblGrid>
      <w:tr w14:paraId="7B6C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vAlign w:val="center"/>
          </w:tcPr>
          <w:p w14:paraId="0431EBED">
            <w:pPr>
              <w:pStyle w:val="29"/>
              <w:snapToGrid w:val="0"/>
              <w:spacing w:before="120" w:after="120" w:line="360" w:lineRule="auto"/>
              <w:jc w:val="center"/>
              <w:outlineLvl w:val="0"/>
              <w:rPr>
                <w:rFonts w:hint="eastAsia" w:ascii="仿宋" w:hAnsi="仿宋" w:eastAsia="仿宋" w:cs="Times New Roman"/>
                <w:vertAlign w:val="baseline"/>
                <w:lang w:eastAsia="zh-CN"/>
              </w:rPr>
            </w:pPr>
            <w:bookmarkStart w:id="84" w:name="PO_TDCUS_ITEM_SM_TABLE_1_0"/>
            <w:bookmarkStart w:id="85" w:name="_Toc510137467"/>
            <w:r>
              <w:rPr>
                <w:rFonts w:hint="eastAsia" w:ascii="仿宋" w:hAnsi="仿宋" w:eastAsia="仿宋" w:cs="Times New Roman"/>
                <w:vertAlign w:val="baseline"/>
                <w:lang w:eastAsia="zh-CN"/>
              </w:rPr>
              <w:t>序号</w:t>
            </w:r>
          </w:p>
        </w:tc>
        <w:tc>
          <w:tcPr>
            <w:tcW w:w="671" w:type="pct"/>
            <w:vAlign w:val="center"/>
          </w:tcPr>
          <w:p w14:paraId="2D1628D9">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评分</w:t>
            </w:r>
          </w:p>
          <w:p w14:paraId="2FC099C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类型</w:t>
            </w:r>
          </w:p>
        </w:tc>
        <w:tc>
          <w:tcPr>
            <w:tcW w:w="2649" w:type="pct"/>
            <w:vAlign w:val="center"/>
          </w:tcPr>
          <w:p w14:paraId="0893B5E5">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评分标准</w:t>
            </w:r>
          </w:p>
        </w:tc>
        <w:tc>
          <w:tcPr>
            <w:tcW w:w="452" w:type="pct"/>
            <w:vAlign w:val="center"/>
          </w:tcPr>
          <w:p w14:paraId="7D7370BA">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分值</w:t>
            </w:r>
          </w:p>
        </w:tc>
        <w:tc>
          <w:tcPr>
            <w:tcW w:w="762" w:type="pct"/>
            <w:vAlign w:val="center"/>
          </w:tcPr>
          <w:p w14:paraId="22D8AC86">
            <w:pPr>
              <w:pStyle w:val="29"/>
              <w:snapToGrid w:val="0"/>
              <w:spacing w:before="120" w:after="120" w:line="360" w:lineRule="auto"/>
              <w:jc w:val="center"/>
              <w:outlineLvl w:val="0"/>
              <w:rPr>
                <w:rFonts w:hint="eastAsia" w:ascii="仿宋" w:hAnsi="仿宋" w:eastAsia="仿宋" w:cs="Times New Roman"/>
                <w:vertAlign w:val="baseline"/>
                <w:lang w:val="en-US" w:eastAsia="zh-CN"/>
              </w:rPr>
            </w:pPr>
            <w:r>
              <w:rPr>
                <w:rFonts w:hint="eastAsia" w:ascii="仿宋" w:hAnsi="仿宋" w:eastAsia="仿宋" w:cs="Times New Roman"/>
                <w:vertAlign w:val="baseline"/>
                <w:lang w:val="en-US" w:eastAsia="zh-CN"/>
              </w:rPr>
              <w:t>打分</w:t>
            </w:r>
          </w:p>
          <w:p w14:paraId="3E55E0D7">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方法</w:t>
            </w:r>
          </w:p>
        </w:tc>
      </w:tr>
      <w:tr w14:paraId="3713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6BD1ADB1">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1</w:t>
            </w:r>
          </w:p>
        </w:tc>
        <w:tc>
          <w:tcPr>
            <w:tcW w:w="671" w:type="pct"/>
            <w:vAlign w:val="center"/>
          </w:tcPr>
          <w:p w14:paraId="2C14861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报价</w:t>
            </w:r>
          </w:p>
        </w:tc>
        <w:tc>
          <w:tcPr>
            <w:tcW w:w="2649" w:type="pct"/>
          </w:tcPr>
          <w:p w14:paraId="4E381E35">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(评标基准价／有效投标报价)*最大分值</w:t>
            </w:r>
          </w:p>
        </w:tc>
        <w:tc>
          <w:tcPr>
            <w:tcW w:w="452" w:type="pct"/>
            <w:vAlign w:val="center"/>
          </w:tcPr>
          <w:p w14:paraId="038FD35C">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30</w:t>
            </w:r>
          </w:p>
        </w:tc>
        <w:tc>
          <w:tcPr>
            <w:tcW w:w="762" w:type="pct"/>
            <w:vAlign w:val="center"/>
          </w:tcPr>
          <w:p w14:paraId="11EB7739">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w:t>
            </w:r>
          </w:p>
        </w:tc>
      </w:tr>
      <w:tr w14:paraId="5766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463" w:type="pct"/>
            <w:vAlign w:val="center"/>
          </w:tcPr>
          <w:p w14:paraId="602A1884">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1</w:t>
            </w:r>
          </w:p>
        </w:tc>
        <w:tc>
          <w:tcPr>
            <w:tcW w:w="671" w:type="pct"/>
            <w:vAlign w:val="center"/>
          </w:tcPr>
          <w:p w14:paraId="0EAF831F">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583282C0">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根据本项目总体要求提出</w:t>
            </w:r>
            <w:r>
              <w:rPr>
                <w:rFonts w:hint="eastAsia" w:ascii="仿宋" w:hAnsi="仿宋" w:eastAsia="仿宋" w:cs="Times New Roman"/>
                <w:vertAlign w:val="baseline"/>
                <w:lang w:val="en-US" w:eastAsia="zh-CN"/>
              </w:rPr>
              <w:t>适应高校后勤服务的</w:t>
            </w:r>
            <w:r>
              <w:rPr>
                <w:rFonts w:hint="eastAsia" w:ascii="仿宋" w:hAnsi="仿宋" w:eastAsia="仿宋" w:cs="Times New Roman"/>
                <w:vertAlign w:val="baseline"/>
                <w:lang w:eastAsia="zh-CN"/>
              </w:rPr>
              <w:t>①管理服务理念（</w:t>
            </w:r>
            <w:r>
              <w:rPr>
                <w:rFonts w:hint="eastAsia" w:ascii="仿宋" w:hAnsi="仿宋" w:eastAsia="仿宋" w:cs="Times New Roman"/>
                <w:vertAlign w:val="baseline"/>
                <w:lang w:val="en-US" w:eastAsia="zh-CN"/>
              </w:rPr>
              <w:t>评分范围：2,1.5,1,0.5,0</w:t>
            </w:r>
            <w:r>
              <w:rPr>
                <w:rFonts w:hint="eastAsia" w:ascii="仿宋" w:hAnsi="仿宋" w:eastAsia="仿宋" w:cs="Times New Roman"/>
                <w:vertAlign w:val="baseline"/>
                <w:lang w:eastAsia="zh-CN"/>
              </w:rPr>
              <w:t>）、②</w:t>
            </w:r>
            <w:r>
              <w:rPr>
                <w:rFonts w:hint="eastAsia" w:ascii="仿宋" w:hAnsi="仿宋" w:eastAsia="仿宋" w:cs="Times New Roman"/>
                <w:vertAlign w:val="baseline"/>
                <w:lang w:val="en-US" w:eastAsia="zh-CN"/>
              </w:rPr>
              <w:t>文化体系</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评分范围：2,1.5,1,0.5,0</w:t>
            </w:r>
            <w:r>
              <w:rPr>
                <w:rFonts w:hint="eastAsia" w:ascii="仿宋" w:hAnsi="仿宋" w:eastAsia="仿宋" w:cs="Times New Roman"/>
                <w:vertAlign w:val="baseline"/>
                <w:lang w:eastAsia="zh-CN"/>
              </w:rPr>
              <w:t>）、③</w:t>
            </w:r>
            <w:r>
              <w:rPr>
                <w:rFonts w:hint="eastAsia" w:ascii="仿宋" w:hAnsi="仿宋" w:eastAsia="仿宋" w:cs="Times New Roman"/>
                <w:vertAlign w:val="baseline"/>
                <w:lang w:val="en-US" w:eastAsia="zh-CN"/>
              </w:rPr>
              <w:t>发展</w:t>
            </w:r>
            <w:r>
              <w:rPr>
                <w:rFonts w:hint="eastAsia" w:ascii="仿宋" w:hAnsi="仿宋" w:eastAsia="仿宋" w:cs="Times New Roman"/>
                <w:vertAlign w:val="baseline"/>
                <w:lang w:eastAsia="zh-CN"/>
              </w:rPr>
              <w:t>目标（</w:t>
            </w:r>
            <w:r>
              <w:rPr>
                <w:rFonts w:hint="eastAsia" w:ascii="仿宋" w:hAnsi="仿宋" w:eastAsia="仿宋" w:cs="Times New Roman"/>
                <w:vertAlign w:val="baseline"/>
                <w:lang w:val="en-US" w:eastAsia="zh-CN"/>
              </w:rPr>
              <w:t>评分范围：1,0.5,0</w:t>
            </w:r>
            <w:r>
              <w:rPr>
                <w:rFonts w:hint="eastAsia" w:ascii="仿宋" w:hAnsi="仿宋" w:eastAsia="仿宋" w:cs="Times New Roman"/>
                <w:vertAlign w:val="baseline"/>
                <w:lang w:eastAsia="zh-CN"/>
              </w:rPr>
              <w:t>）</w:t>
            </w:r>
          </w:p>
        </w:tc>
        <w:tc>
          <w:tcPr>
            <w:tcW w:w="452" w:type="pct"/>
            <w:vAlign w:val="center"/>
          </w:tcPr>
          <w:p w14:paraId="5309E829">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5</w:t>
            </w:r>
          </w:p>
        </w:tc>
        <w:tc>
          <w:tcPr>
            <w:tcW w:w="762" w:type="pct"/>
            <w:vAlign w:val="center"/>
          </w:tcPr>
          <w:p w14:paraId="5F2D7660">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主观分</w:t>
            </w:r>
          </w:p>
        </w:tc>
      </w:tr>
      <w:tr w14:paraId="1B89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63" w:type="pct"/>
            <w:vAlign w:val="center"/>
          </w:tcPr>
          <w:p w14:paraId="51D5AB69">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2</w:t>
            </w:r>
          </w:p>
        </w:tc>
        <w:tc>
          <w:tcPr>
            <w:tcW w:w="671" w:type="pct"/>
            <w:vAlign w:val="center"/>
          </w:tcPr>
          <w:p w14:paraId="41640186">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04F32D05">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磋商响应方承诺具</w:t>
            </w:r>
            <w:r>
              <w:rPr>
                <w:rFonts w:hint="eastAsia" w:ascii="仿宋" w:hAnsi="仿宋" w:eastAsia="仿宋" w:cs="Times New Roman"/>
                <w:vertAlign w:val="baseline"/>
                <w:lang w:eastAsia="zh-CN"/>
              </w:rPr>
              <w:t>有完善的组织架构及管理制度，</w:t>
            </w:r>
            <w:r>
              <w:rPr>
                <w:rFonts w:hint="eastAsia" w:ascii="仿宋" w:hAnsi="仿宋" w:eastAsia="仿宋" w:cs="Times New Roman"/>
                <w:vertAlign w:val="baseline"/>
                <w:lang w:val="en-US" w:eastAsia="zh-CN"/>
              </w:rPr>
              <w:t>包括行政管理、人事管理、财务管理、安全质量管理、采购管理、资产管理等制度</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评分范围：5,4，3,2,1,0</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w:t>
            </w:r>
          </w:p>
        </w:tc>
        <w:tc>
          <w:tcPr>
            <w:tcW w:w="452" w:type="pct"/>
            <w:vAlign w:val="center"/>
          </w:tcPr>
          <w:p w14:paraId="506CAF7A">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5</w:t>
            </w:r>
          </w:p>
        </w:tc>
        <w:tc>
          <w:tcPr>
            <w:tcW w:w="762" w:type="pct"/>
            <w:vAlign w:val="center"/>
          </w:tcPr>
          <w:p w14:paraId="45E1E7B8">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3B32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14F80F9B">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3</w:t>
            </w:r>
          </w:p>
        </w:tc>
        <w:tc>
          <w:tcPr>
            <w:tcW w:w="671" w:type="pct"/>
            <w:vAlign w:val="center"/>
          </w:tcPr>
          <w:p w14:paraId="474DF9FA">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技术</w:t>
            </w:r>
          </w:p>
        </w:tc>
        <w:tc>
          <w:tcPr>
            <w:tcW w:w="2649" w:type="pct"/>
          </w:tcPr>
          <w:p w14:paraId="319CE0D3">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学生公寓管理与服务方案：包括东湖校区、衣锦校区学生公寓、教师公寓及平山留学生公寓的日常管理与服务保障。</w:t>
            </w:r>
          </w:p>
          <w:p w14:paraId="71756E37">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①公寓管理服务整体思路和保障措施</w:t>
            </w:r>
          </w:p>
          <w:p w14:paraId="29AB4BCB">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②</w:t>
            </w:r>
            <w:r>
              <w:rPr>
                <w:rFonts w:hint="eastAsia" w:ascii="仿宋" w:hAnsi="仿宋" w:eastAsia="仿宋" w:cs="Times New Roman"/>
                <w:vertAlign w:val="baseline"/>
                <w:lang w:val="en-US" w:eastAsia="zh-CN"/>
              </w:rPr>
              <w:t>公寓管理</w:t>
            </w:r>
            <w:r>
              <w:rPr>
                <w:rFonts w:hint="default" w:ascii="仿宋" w:hAnsi="仿宋" w:eastAsia="仿宋" w:cs="Times New Roman"/>
                <w:vertAlign w:val="baseline"/>
                <w:lang w:val="en-US" w:eastAsia="zh-CN"/>
              </w:rPr>
              <w:t>各岗位工作流程</w:t>
            </w:r>
          </w:p>
          <w:p w14:paraId="699B7A70">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③学生寝室的住宿安排、零星调整</w:t>
            </w:r>
            <w:r>
              <w:rPr>
                <w:rFonts w:hint="eastAsia" w:ascii="仿宋" w:hAnsi="仿宋" w:eastAsia="仿宋" w:cs="Times New Roman"/>
                <w:vertAlign w:val="baseline"/>
                <w:lang w:val="en-US" w:eastAsia="zh-CN"/>
              </w:rPr>
              <w:t>方案</w:t>
            </w:r>
          </w:p>
          <w:p w14:paraId="376F3E3D">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④</w:t>
            </w:r>
            <w:r>
              <w:rPr>
                <w:rFonts w:hint="eastAsia" w:ascii="仿宋" w:hAnsi="仿宋" w:eastAsia="仿宋" w:cs="Times New Roman"/>
                <w:vertAlign w:val="baseline"/>
                <w:lang w:val="en-US" w:eastAsia="zh-CN"/>
              </w:rPr>
              <w:t>公寓</w:t>
            </w:r>
            <w:r>
              <w:rPr>
                <w:rFonts w:hint="default" w:ascii="仿宋" w:hAnsi="仿宋" w:eastAsia="仿宋" w:cs="Times New Roman"/>
                <w:vertAlign w:val="baseline"/>
                <w:lang w:val="en-US" w:eastAsia="zh-CN"/>
              </w:rPr>
              <w:t>维修保障</w:t>
            </w:r>
            <w:r>
              <w:rPr>
                <w:rFonts w:hint="eastAsia" w:ascii="仿宋" w:hAnsi="仿宋" w:eastAsia="仿宋" w:cs="Times New Roman"/>
                <w:vertAlign w:val="baseline"/>
                <w:lang w:val="en-US" w:eastAsia="zh-CN"/>
              </w:rPr>
              <w:t>方案</w:t>
            </w:r>
          </w:p>
          <w:p w14:paraId="27830F0F">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⑤学生公寓安全管理及工作计划</w:t>
            </w:r>
          </w:p>
          <w:p w14:paraId="15F586FA">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⑥学生公寓的卫生保洁服务方案</w:t>
            </w:r>
          </w:p>
          <w:p w14:paraId="7EFDB727">
            <w:pPr>
              <w:pStyle w:val="29"/>
              <w:snapToGrid w:val="0"/>
              <w:spacing w:before="120" w:after="120" w:line="360" w:lineRule="auto"/>
              <w:jc w:val="both"/>
              <w:outlineLvl w:val="0"/>
              <w:rPr>
                <w:rFonts w:hint="eastAsia" w:ascii="仿宋" w:hAnsi="仿宋" w:eastAsia="仿宋" w:cs="Times New Roman"/>
                <w:vertAlign w:val="baseline"/>
                <w:lang w:val="en-US" w:eastAsia="zh-CN"/>
              </w:rPr>
            </w:pPr>
            <w:r>
              <w:rPr>
                <w:rFonts w:hint="eastAsia" w:ascii="仿宋" w:hAnsi="仿宋" w:eastAsia="仿宋" w:cs="Times New Roman"/>
                <w:vertAlign w:val="baseline"/>
                <w:lang w:val="en-US" w:eastAsia="zh-CN"/>
              </w:rPr>
              <w:t>⑦</w:t>
            </w:r>
            <w:r>
              <w:rPr>
                <w:rFonts w:hint="default" w:ascii="仿宋" w:hAnsi="仿宋" w:eastAsia="仿宋" w:cs="Times New Roman"/>
                <w:vertAlign w:val="baseline"/>
                <w:lang w:val="en-US" w:eastAsia="zh-CN"/>
              </w:rPr>
              <w:t>学生寝室卫生检查标准及计划</w:t>
            </w:r>
          </w:p>
          <w:p w14:paraId="766FA3DC">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⑧</w:t>
            </w:r>
            <w:r>
              <w:rPr>
                <w:rFonts w:hint="default" w:ascii="仿宋" w:hAnsi="仿宋" w:eastAsia="仿宋" w:cs="Times New Roman"/>
                <w:vertAlign w:val="baseline"/>
                <w:lang w:val="en-US" w:eastAsia="zh-CN"/>
              </w:rPr>
              <w:t>学生公寓水电费收缴工作措施</w:t>
            </w:r>
          </w:p>
          <w:p w14:paraId="15813526">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评分范围：5，4,3,2,1,0</w:t>
            </w:r>
            <w:r>
              <w:rPr>
                <w:rFonts w:hint="eastAsia" w:ascii="仿宋" w:hAnsi="仿宋" w:eastAsia="仿宋" w:cs="Times New Roman"/>
                <w:vertAlign w:val="baseline"/>
                <w:lang w:eastAsia="zh-CN"/>
              </w:rPr>
              <w:t>）。</w:t>
            </w:r>
          </w:p>
        </w:tc>
        <w:tc>
          <w:tcPr>
            <w:tcW w:w="452" w:type="pct"/>
            <w:vAlign w:val="center"/>
          </w:tcPr>
          <w:p w14:paraId="191438A1">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5</w:t>
            </w:r>
          </w:p>
        </w:tc>
        <w:tc>
          <w:tcPr>
            <w:tcW w:w="762" w:type="pct"/>
            <w:vAlign w:val="center"/>
          </w:tcPr>
          <w:p w14:paraId="2F406181">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7090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2FCA806F">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4</w:t>
            </w:r>
          </w:p>
        </w:tc>
        <w:tc>
          <w:tcPr>
            <w:tcW w:w="671" w:type="pct"/>
          </w:tcPr>
          <w:p w14:paraId="109BE527">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技术</w:t>
            </w:r>
          </w:p>
        </w:tc>
        <w:tc>
          <w:tcPr>
            <w:tcW w:w="2649" w:type="pct"/>
          </w:tcPr>
          <w:p w14:paraId="1868946F">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楼宇管理</w:t>
            </w:r>
            <w:r>
              <w:rPr>
                <w:rFonts w:hint="eastAsia" w:ascii="仿宋" w:hAnsi="仿宋" w:eastAsia="仿宋" w:cs="Times New Roman"/>
                <w:vertAlign w:val="baseline"/>
                <w:lang w:val="en-US" w:eastAsia="zh-CN"/>
              </w:rPr>
              <w:t>与</w:t>
            </w:r>
            <w:r>
              <w:rPr>
                <w:rFonts w:hint="default" w:ascii="仿宋" w:hAnsi="仿宋" w:eastAsia="仿宋" w:cs="Times New Roman"/>
                <w:vertAlign w:val="baseline"/>
                <w:lang w:val="en-US" w:eastAsia="zh-CN"/>
              </w:rPr>
              <w:t>服务方案：包括教学楼、行政楼、学院楼等楼宇的教室管理、室内保洁、多媒体设备巡检、消防设施巡检、电梯维保等。</w:t>
            </w:r>
          </w:p>
          <w:p w14:paraId="3BF7142C">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①楼宇管理服务的整体思路和保障措施</w:t>
            </w:r>
          </w:p>
          <w:p w14:paraId="78EEC925">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②楼宇综合服务方案</w:t>
            </w:r>
          </w:p>
          <w:p w14:paraId="5DEB75EF">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③楼宇卫生保洁服务方案</w:t>
            </w:r>
          </w:p>
          <w:p w14:paraId="560E6683">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default" w:ascii="仿宋" w:hAnsi="仿宋" w:eastAsia="仿宋" w:cs="Times New Roman"/>
                <w:vertAlign w:val="baseline"/>
                <w:lang w:val="en-US" w:eastAsia="zh-CN"/>
              </w:rPr>
              <w:t>④电梯维保、日常消防管理服务方案</w:t>
            </w:r>
          </w:p>
          <w:p w14:paraId="3C290A4A">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评分范围：5，4,3,2,1,0</w:t>
            </w:r>
            <w:r>
              <w:rPr>
                <w:rFonts w:hint="eastAsia" w:ascii="仿宋" w:hAnsi="仿宋" w:eastAsia="仿宋" w:cs="Times New Roman"/>
                <w:vertAlign w:val="baseline"/>
                <w:lang w:eastAsia="zh-CN"/>
              </w:rPr>
              <w:t>）。</w:t>
            </w:r>
          </w:p>
        </w:tc>
        <w:tc>
          <w:tcPr>
            <w:tcW w:w="452" w:type="pct"/>
            <w:vAlign w:val="center"/>
          </w:tcPr>
          <w:p w14:paraId="68BC04E1">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5</w:t>
            </w:r>
          </w:p>
        </w:tc>
        <w:tc>
          <w:tcPr>
            <w:tcW w:w="762" w:type="pct"/>
            <w:vAlign w:val="center"/>
          </w:tcPr>
          <w:p w14:paraId="07F812A0">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4C67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463" w:type="pct"/>
            <w:vAlign w:val="center"/>
          </w:tcPr>
          <w:p w14:paraId="2E129BA8">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5</w:t>
            </w:r>
          </w:p>
        </w:tc>
        <w:tc>
          <w:tcPr>
            <w:tcW w:w="671" w:type="pct"/>
          </w:tcPr>
          <w:p w14:paraId="796C1DB2">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175ABCF1">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室外保洁服务方案：包括室外公共区域的卫生保洁（硬化地面、户外设施、屋面、外墙）、水域管理（含天鹅喂养）、垃圾清运、垃圾分类、化粪池清洗、管道窨井疏通等。</w:t>
            </w:r>
          </w:p>
          <w:p w14:paraId="1D1EA0F2">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①环境保洁整体的管理服务思路和保障措施</w:t>
            </w:r>
          </w:p>
          <w:p w14:paraId="69F1D559">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②不同场所的保洁服务方案及针对性措施</w:t>
            </w:r>
          </w:p>
          <w:p w14:paraId="598C1F9B">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③垃圾清运、垃圾分类服务方案</w:t>
            </w:r>
          </w:p>
          <w:p w14:paraId="5D7C62AF">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评分范围：3,2,1,0</w:t>
            </w:r>
            <w:r>
              <w:rPr>
                <w:rFonts w:hint="eastAsia" w:ascii="仿宋" w:hAnsi="仿宋" w:eastAsia="仿宋" w:cs="Times New Roman"/>
                <w:vertAlign w:val="baseline"/>
                <w:lang w:eastAsia="zh-CN"/>
              </w:rPr>
              <w:t>）。</w:t>
            </w:r>
          </w:p>
        </w:tc>
        <w:tc>
          <w:tcPr>
            <w:tcW w:w="452" w:type="pct"/>
            <w:vAlign w:val="center"/>
          </w:tcPr>
          <w:p w14:paraId="424085C7">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3</w:t>
            </w:r>
          </w:p>
        </w:tc>
        <w:tc>
          <w:tcPr>
            <w:tcW w:w="762" w:type="pct"/>
            <w:vAlign w:val="center"/>
          </w:tcPr>
          <w:p w14:paraId="55158827">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77A0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05F53555">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6</w:t>
            </w:r>
          </w:p>
        </w:tc>
        <w:tc>
          <w:tcPr>
            <w:tcW w:w="671" w:type="pct"/>
          </w:tcPr>
          <w:p w14:paraId="300A8CF8">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553B7E4B">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绿化养护服务方案：</w:t>
            </w:r>
          </w:p>
          <w:p w14:paraId="7B23974A">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①绿化养护的整体思路和养护标准</w:t>
            </w:r>
          </w:p>
          <w:p w14:paraId="40BF9813">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②针对本项目的绿化养护具体工作计划</w:t>
            </w:r>
          </w:p>
          <w:p w14:paraId="0395C69B">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③绿化养护中抗旱、防冻、防虫的应急管理</w:t>
            </w:r>
            <w:r>
              <w:rPr>
                <w:rFonts w:hint="eastAsia" w:ascii="仿宋" w:hAnsi="仿宋" w:eastAsia="仿宋" w:cs="Times New Roman"/>
                <w:vertAlign w:val="baseline"/>
                <w:lang w:val="en-US" w:eastAsia="zh-CN"/>
              </w:rPr>
              <w:t>方案</w:t>
            </w:r>
          </w:p>
          <w:p w14:paraId="594C5C9C">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④行政楼绿植盆栽的养护及管理措施</w:t>
            </w:r>
          </w:p>
          <w:p w14:paraId="32BD2ABA">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评分范围：4，3,2,1,0</w:t>
            </w:r>
            <w:r>
              <w:rPr>
                <w:rFonts w:hint="eastAsia" w:ascii="仿宋" w:hAnsi="仿宋" w:eastAsia="仿宋" w:cs="Times New Roman"/>
                <w:vertAlign w:val="baseline"/>
                <w:lang w:eastAsia="zh-CN"/>
              </w:rPr>
              <w:t>）。</w:t>
            </w:r>
          </w:p>
        </w:tc>
        <w:tc>
          <w:tcPr>
            <w:tcW w:w="452" w:type="pct"/>
            <w:vAlign w:val="center"/>
          </w:tcPr>
          <w:p w14:paraId="6F1C2187">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4</w:t>
            </w:r>
          </w:p>
        </w:tc>
        <w:tc>
          <w:tcPr>
            <w:tcW w:w="762" w:type="pct"/>
            <w:vAlign w:val="center"/>
          </w:tcPr>
          <w:p w14:paraId="4E1B501C">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4758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42C24F11">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7</w:t>
            </w:r>
          </w:p>
        </w:tc>
        <w:tc>
          <w:tcPr>
            <w:tcW w:w="671" w:type="pct"/>
          </w:tcPr>
          <w:p w14:paraId="0CDEFF30">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29A11A86">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物业管理区域内供电设备管理</w:t>
            </w:r>
            <w:r>
              <w:rPr>
                <w:rFonts w:hint="eastAsia" w:ascii="仿宋" w:hAnsi="仿宋" w:eastAsia="仿宋" w:cs="Times New Roman"/>
                <w:vertAlign w:val="baseline"/>
                <w:lang w:val="en-US" w:eastAsia="zh-CN"/>
              </w:rPr>
              <w:t>方案</w:t>
            </w:r>
            <w:r>
              <w:rPr>
                <w:rFonts w:hint="eastAsia" w:ascii="仿宋" w:hAnsi="仿宋" w:eastAsia="仿宋" w:cs="Times New Roman"/>
                <w:vertAlign w:val="baseline"/>
                <w:lang w:eastAsia="zh-CN"/>
              </w:rPr>
              <w:t>：</w:t>
            </w:r>
          </w:p>
          <w:p w14:paraId="068562D3">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eastAsia="zh-CN"/>
              </w:rPr>
              <w:t>①供电系统高、低压电器设备运行操作、安全管理</w:t>
            </w:r>
            <w:r>
              <w:rPr>
                <w:rFonts w:hint="eastAsia" w:ascii="仿宋" w:hAnsi="仿宋" w:eastAsia="仿宋" w:cs="Times New Roman"/>
                <w:vertAlign w:val="baseline"/>
                <w:lang w:val="en-US" w:eastAsia="zh-CN"/>
              </w:rPr>
              <w:t>方案</w:t>
            </w:r>
          </w:p>
          <w:p w14:paraId="3996758A">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②室外亮灯</w:t>
            </w:r>
            <w:r>
              <w:rPr>
                <w:rFonts w:hint="eastAsia" w:ascii="仿宋" w:hAnsi="仿宋" w:eastAsia="仿宋" w:cs="Times New Roman"/>
                <w:vertAlign w:val="baseline"/>
                <w:lang w:val="en-US" w:eastAsia="zh-CN"/>
              </w:rPr>
              <w:t>举措</w:t>
            </w:r>
          </w:p>
          <w:p w14:paraId="62B2630C">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评分范围：2,1,0</w:t>
            </w:r>
            <w:r>
              <w:rPr>
                <w:rFonts w:hint="eastAsia" w:ascii="仿宋" w:hAnsi="仿宋" w:eastAsia="仿宋" w:cs="Times New Roman"/>
                <w:vertAlign w:val="baseline"/>
                <w:lang w:eastAsia="zh-CN"/>
              </w:rPr>
              <w:t>）。</w:t>
            </w:r>
          </w:p>
        </w:tc>
        <w:tc>
          <w:tcPr>
            <w:tcW w:w="452" w:type="pct"/>
            <w:vAlign w:val="center"/>
          </w:tcPr>
          <w:p w14:paraId="7C82F469">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2</w:t>
            </w:r>
          </w:p>
        </w:tc>
        <w:tc>
          <w:tcPr>
            <w:tcW w:w="762" w:type="pct"/>
            <w:vAlign w:val="center"/>
          </w:tcPr>
          <w:p w14:paraId="147C4BFD">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515B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23333B96">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8</w:t>
            </w:r>
          </w:p>
        </w:tc>
        <w:tc>
          <w:tcPr>
            <w:tcW w:w="671" w:type="pct"/>
          </w:tcPr>
          <w:p w14:paraId="4FE5F5E2">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17837E79">
            <w:pPr>
              <w:pStyle w:val="29"/>
              <w:snapToGrid w:val="0"/>
              <w:spacing w:before="120" w:after="120" w:line="360" w:lineRule="auto"/>
              <w:jc w:val="both"/>
              <w:outlineLvl w:val="0"/>
              <w:rPr>
                <w:rFonts w:hint="eastAsia" w:ascii="仿宋" w:hAnsi="仿宋" w:eastAsia="仿宋" w:cs="Times New Roman"/>
                <w:color w:val="auto"/>
                <w:vertAlign w:val="baseline"/>
                <w:lang w:eastAsia="zh-CN"/>
              </w:rPr>
            </w:pPr>
            <w:r>
              <w:rPr>
                <w:rFonts w:hint="eastAsia" w:ascii="仿宋" w:hAnsi="仿宋" w:eastAsia="仿宋" w:cs="Times New Roman"/>
                <w:color w:val="auto"/>
                <w:vertAlign w:val="baseline"/>
                <w:lang w:eastAsia="zh-CN"/>
              </w:rPr>
              <w:t>物业管理区域内水泵房设备运行备管理维护</w:t>
            </w:r>
            <w:r>
              <w:rPr>
                <w:rFonts w:hint="eastAsia" w:ascii="仿宋" w:hAnsi="仿宋" w:eastAsia="仿宋" w:cs="Times New Roman"/>
                <w:color w:val="auto"/>
                <w:vertAlign w:val="baseline"/>
                <w:lang w:val="en-US" w:eastAsia="zh-CN"/>
              </w:rPr>
              <w:t>方案</w:t>
            </w:r>
            <w:r>
              <w:rPr>
                <w:rFonts w:hint="eastAsia" w:ascii="仿宋" w:hAnsi="仿宋" w:eastAsia="仿宋" w:cs="Times New Roman"/>
                <w:color w:val="auto"/>
                <w:vertAlign w:val="baseline"/>
                <w:lang w:eastAsia="zh-CN"/>
              </w:rPr>
              <w:t>：</w:t>
            </w:r>
          </w:p>
          <w:p w14:paraId="6F4C9D02">
            <w:pPr>
              <w:pStyle w:val="29"/>
              <w:snapToGrid w:val="0"/>
              <w:spacing w:before="120" w:after="120" w:line="360" w:lineRule="auto"/>
              <w:jc w:val="both"/>
              <w:outlineLvl w:val="0"/>
              <w:rPr>
                <w:rFonts w:hint="eastAsia" w:ascii="仿宋" w:hAnsi="仿宋" w:eastAsia="仿宋" w:cs="Times New Roman"/>
                <w:color w:val="auto"/>
                <w:vertAlign w:val="baseline"/>
                <w:lang w:eastAsia="zh-CN"/>
              </w:rPr>
            </w:pPr>
            <w:r>
              <w:rPr>
                <w:rFonts w:hint="eastAsia" w:ascii="仿宋" w:hAnsi="仿宋" w:eastAsia="仿宋" w:cs="Times New Roman"/>
                <w:color w:val="auto"/>
                <w:vertAlign w:val="baseline"/>
                <w:lang w:eastAsia="zh-CN"/>
              </w:rPr>
              <w:t>①水泵运行管理规定</w:t>
            </w:r>
          </w:p>
          <w:p w14:paraId="00C379F0">
            <w:pPr>
              <w:pStyle w:val="29"/>
              <w:snapToGrid w:val="0"/>
              <w:spacing w:before="120" w:after="120" w:line="360" w:lineRule="auto"/>
              <w:jc w:val="both"/>
              <w:outlineLvl w:val="0"/>
              <w:rPr>
                <w:rFonts w:hint="eastAsia" w:ascii="仿宋" w:hAnsi="仿宋" w:eastAsia="仿宋" w:cs="Times New Roman"/>
                <w:color w:val="auto"/>
                <w:vertAlign w:val="baseline"/>
                <w:lang w:eastAsia="zh-CN"/>
              </w:rPr>
            </w:pPr>
            <w:r>
              <w:rPr>
                <w:rFonts w:hint="eastAsia" w:ascii="仿宋" w:hAnsi="仿宋" w:eastAsia="仿宋" w:cs="Times New Roman"/>
                <w:color w:val="auto"/>
                <w:vertAlign w:val="baseline"/>
                <w:lang w:eastAsia="zh-CN"/>
              </w:rPr>
              <w:t>②水泵运行安全规定</w:t>
            </w:r>
          </w:p>
          <w:p w14:paraId="3184318D">
            <w:pPr>
              <w:pStyle w:val="29"/>
              <w:snapToGrid w:val="0"/>
              <w:spacing w:before="120" w:after="120" w:line="360" w:lineRule="auto"/>
              <w:jc w:val="both"/>
              <w:outlineLvl w:val="0"/>
              <w:rPr>
                <w:rFonts w:hint="default" w:ascii="仿宋" w:hAnsi="仿宋" w:eastAsia="仿宋" w:cs="Times New Roman"/>
                <w:color w:val="auto"/>
                <w:vertAlign w:val="baseline"/>
                <w:lang w:val="en-US" w:eastAsia="zh-CN"/>
              </w:rPr>
            </w:pPr>
            <w:r>
              <w:rPr>
                <w:rFonts w:hint="eastAsia" w:ascii="仿宋" w:hAnsi="仿宋" w:eastAsia="仿宋" w:cs="Times New Roman"/>
                <w:color w:val="auto"/>
                <w:vertAlign w:val="baseline"/>
                <w:lang w:eastAsia="zh-CN"/>
              </w:rPr>
              <w:t>③水箱清洗以及水质检测</w:t>
            </w:r>
            <w:r>
              <w:rPr>
                <w:rFonts w:hint="eastAsia" w:ascii="仿宋" w:hAnsi="仿宋" w:eastAsia="仿宋" w:cs="Times New Roman"/>
                <w:color w:val="auto"/>
                <w:vertAlign w:val="baseline"/>
                <w:lang w:val="en-US" w:eastAsia="zh-CN"/>
              </w:rPr>
              <w:t>规定</w:t>
            </w:r>
          </w:p>
          <w:p w14:paraId="35E9B4E7">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评分范围：3,2,1,0</w:t>
            </w:r>
            <w:r>
              <w:rPr>
                <w:rFonts w:hint="eastAsia" w:ascii="仿宋" w:hAnsi="仿宋" w:eastAsia="仿宋" w:cs="Times New Roman"/>
                <w:vertAlign w:val="baseline"/>
                <w:lang w:eastAsia="zh-CN"/>
              </w:rPr>
              <w:t>）。</w:t>
            </w:r>
          </w:p>
        </w:tc>
        <w:tc>
          <w:tcPr>
            <w:tcW w:w="452" w:type="pct"/>
            <w:vAlign w:val="center"/>
          </w:tcPr>
          <w:p w14:paraId="3860E45C">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3</w:t>
            </w:r>
          </w:p>
        </w:tc>
        <w:tc>
          <w:tcPr>
            <w:tcW w:w="762" w:type="pct"/>
            <w:vAlign w:val="center"/>
          </w:tcPr>
          <w:p w14:paraId="6FC8F5F3">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1276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6D38F2BF">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9</w:t>
            </w:r>
          </w:p>
        </w:tc>
        <w:tc>
          <w:tcPr>
            <w:tcW w:w="671" w:type="pct"/>
          </w:tcPr>
          <w:p w14:paraId="421850D2">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38E51A84">
            <w:pPr>
              <w:pStyle w:val="29"/>
              <w:snapToGrid w:val="0"/>
              <w:spacing w:before="120" w:after="120" w:line="360" w:lineRule="auto"/>
              <w:jc w:val="both"/>
              <w:outlineLvl w:val="0"/>
              <w:rPr>
                <w:rFonts w:hint="eastAsia" w:ascii="仿宋" w:hAnsi="仿宋" w:eastAsia="仿宋" w:cs="Times New Roman"/>
                <w:color w:val="auto"/>
                <w:vertAlign w:val="baseline"/>
                <w:lang w:eastAsia="zh-CN"/>
              </w:rPr>
            </w:pPr>
            <w:r>
              <w:rPr>
                <w:rFonts w:hint="eastAsia" w:ascii="仿宋" w:hAnsi="仿宋" w:eastAsia="仿宋" w:cs="Times New Roman"/>
                <w:color w:val="auto"/>
                <w:vertAlign w:val="baseline"/>
                <w:lang w:eastAsia="zh-CN"/>
              </w:rPr>
              <w:t>物业管理区域内空调系统运行维护</w:t>
            </w:r>
            <w:r>
              <w:rPr>
                <w:rFonts w:hint="eastAsia" w:ascii="仿宋" w:hAnsi="仿宋" w:eastAsia="仿宋" w:cs="Times New Roman"/>
                <w:color w:val="auto"/>
                <w:vertAlign w:val="baseline"/>
                <w:lang w:val="en-US" w:eastAsia="zh-CN"/>
              </w:rPr>
              <w:t>方案</w:t>
            </w:r>
            <w:r>
              <w:rPr>
                <w:rFonts w:hint="eastAsia" w:ascii="仿宋" w:hAnsi="仿宋" w:eastAsia="仿宋" w:cs="Times New Roman"/>
                <w:color w:val="auto"/>
                <w:vertAlign w:val="baseline"/>
                <w:lang w:eastAsia="zh-CN"/>
              </w:rPr>
              <w:t>：</w:t>
            </w:r>
          </w:p>
          <w:p w14:paraId="5E5BCE14">
            <w:pPr>
              <w:pStyle w:val="29"/>
              <w:snapToGrid w:val="0"/>
              <w:spacing w:before="120" w:after="120" w:line="360" w:lineRule="auto"/>
              <w:jc w:val="both"/>
              <w:outlineLvl w:val="0"/>
              <w:rPr>
                <w:rFonts w:hint="default" w:ascii="仿宋" w:hAnsi="仿宋" w:eastAsia="仿宋" w:cs="Times New Roman"/>
                <w:color w:val="auto"/>
                <w:vertAlign w:val="baseline"/>
                <w:lang w:val="en-US" w:eastAsia="zh-CN"/>
              </w:rPr>
            </w:pPr>
            <w:r>
              <w:rPr>
                <w:rFonts w:hint="eastAsia" w:ascii="仿宋" w:hAnsi="仿宋" w:eastAsia="仿宋" w:cs="Times New Roman"/>
                <w:color w:val="auto"/>
                <w:vertAlign w:val="baseline"/>
                <w:lang w:eastAsia="zh-CN"/>
              </w:rPr>
              <w:t>①中央空调巡查、使用维护等</w:t>
            </w:r>
            <w:r>
              <w:rPr>
                <w:rFonts w:hint="eastAsia" w:ascii="仿宋" w:hAnsi="仿宋" w:eastAsia="仿宋" w:cs="Times New Roman"/>
                <w:color w:val="auto"/>
                <w:vertAlign w:val="baseline"/>
                <w:lang w:val="en-US" w:eastAsia="zh-CN"/>
              </w:rPr>
              <w:t>方案</w:t>
            </w:r>
          </w:p>
          <w:p w14:paraId="19712B34">
            <w:pPr>
              <w:pStyle w:val="29"/>
              <w:snapToGrid w:val="0"/>
              <w:spacing w:before="120" w:after="120" w:line="360" w:lineRule="auto"/>
              <w:jc w:val="both"/>
              <w:outlineLvl w:val="0"/>
              <w:rPr>
                <w:rFonts w:hint="default" w:ascii="仿宋" w:hAnsi="仿宋" w:eastAsia="仿宋" w:cs="Times New Roman"/>
                <w:color w:val="auto"/>
                <w:vertAlign w:val="baseline"/>
                <w:lang w:val="en-US" w:eastAsia="zh-CN"/>
              </w:rPr>
            </w:pPr>
            <w:r>
              <w:rPr>
                <w:rFonts w:hint="eastAsia" w:ascii="仿宋" w:hAnsi="仿宋" w:eastAsia="仿宋" w:cs="Times New Roman"/>
                <w:color w:val="auto"/>
                <w:vertAlign w:val="baseline"/>
                <w:lang w:val="en-US" w:eastAsia="zh-CN"/>
              </w:rPr>
              <w:t>②</w:t>
            </w:r>
            <w:r>
              <w:rPr>
                <w:rFonts w:hint="eastAsia" w:ascii="仿宋" w:hAnsi="仿宋" w:eastAsia="仿宋" w:cs="Times New Roman"/>
                <w:color w:val="auto"/>
                <w:vertAlign w:val="baseline"/>
                <w:lang w:eastAsia="zh-CN"/>
              </w:rPr>
              <w:t>中央空调主机维保</w:t>
            </w:r>
            <w:r>
              <w:rPr>
                <w:rFonts w:hint="eastAsia" w:ascii="仿宋" w:hAnsi="仿宋" w:eastAsia="仿宋" w:cs="Times New Roman"/>
                <w:color w:val="auto"/>
                <w:vertAlign w:val="baseline"/>
                <w:lang w:val="en-US" w:eastAsia="zh-CN"/>
              </w:rPr>
              <w:t>方案</w:t>
            </w:r>
          </w:p>
          <w:p w14:paraId="4D1C7A05">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评分范围：2,1,0</w:t>
            </w:r>
            <w:r>
              <w:rPr>
                <w:rFonts w:hint="eastAsia" w:ascii="仿宋" w:hAnsi="仿宋" w:eastAsia="仿宋" w:cs="Times New Roman"/>
                <w:vertAlign w:val="baseline"/>
                <w:lang w:eastAsia="zh-CN"/>
              </w:rPr>
              <w:t>）。</w:t>
            </w:r>
          </w:p>
        </w:tc>
        <w:tc>
          <w:tcPr>
            <w:tcW w:w="452" w:type="pct"/>
            <w:vAlign w:val="center"/>
          </w:tcPr>
          <w:p w14:paraId="4CC1BE34">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2</w:t>
            </w:r>
          </w:p>
        </w:tc>
        <w:tc>
          <w:tcPr>
            <w:tcW w:w="762" w:type="pct"/>
            <w:vAlign w:val="center"/>
          </w:tcPr>
          <w:p w14:paraId="7711BFD1">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32AA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7BC557C9">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10</w:t>
            </w:r>
          </w:p>
        </w:tc>
        <w:tc>
          <w:tcPr>
            <w:tcW w:w="671" w:type="pct"/>
          </w:tcPr>
          <w:p w14:paraId="54F9149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1D77DFA4">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教学、科研、办公楼、图书馆、活动中心、教师公寓、体军部等区域和室外公共区域的维修方案（不包括的范围：后勤用房、学生公寓、继续教育学院用房、经营网点、温室大棚、平山基地）</w:t>
            </w:r>
            <w:r>
              <w:rPr>
                <w:rFonts w:hint="eastAsia" w:ascii="仿宋" w:hAnsi="仿宋" w:eastAsia="仿宋" w:cs="Times New Roman"/>
                <w:vertAlign w:val="baseline"/>
                <w:lang w:eastAsia="zh-CN"/>
              </w:rPr>
              <w:t>：</w:t>
            </w:r>
          </w:p>
          <w:p w14:paraId="79E370E9">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①</w:t>
            </w:r>
            <w:r>
              <w:rPr>
                <w:rFonts w:hint="eastAsia" w:ascii="仿宋" w:hAnsi="仿宋" w:eastAsia="仿宋" w:cs="Times New Roman"/>
                <w:vertAlign w:val="baseline"/>
                <w:lang w:val="en-US" w:eastAsia="zh-CN"/>
              </w:rPr>
              <w:t>室内维修及巡查方案</w:t>
            </w:r>
          </w:p>
          <w:p w14:paraId="0B5E03B0">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②</w:t>
            </w:r>
            <w:r>
              <w:rPr>
                <w:rFonts w:hint="eastAsia" w:ascii="仿宋" w:hAnsi="仿宋" w:eastAsia="仿宋" w:cs="Times New Roman"/>
                <w:vertAlign w:val="baseline"/>
                <w:lang w:val="en-US" w:eastAsia="zh-CN"/>
              </w:rPr>
              <w:t>室外维修及巡查方案</w:t>
            </w:r>
          </w:p>
          <w:p w14:paraId="082E5617">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评分范围：2,1,0</w:t>
            </w:r>
            <w:r>
              <w:rPr>
                <w:rFonts w:hint="eastAsia" w:ascii="仿宋" w:hAnsi="仿宋" w:eastAsia="仿宋" w:cs="Times New Roman"/>
                <w:vertAlign w:val="baseline"/>
                <w:lang w:eastAsia="zh-CN"/>
              </w:rPr>
              <w:t>）。</w:t>
            </w:r>
          </w:p>
        </w:tc>
        <w:tc>
          <w:tcPr>
            <w:tcW w:w="452" w:type="pct"/>
            <w:vAlign w:val="center"/>
          </w:tcPr>
          <w:p w14:paraId="572B6256">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2</w:t>
            </w:r>
          </w:p>
        </w:tc>
        <w:tc>
          <w:tcPr>
            <w:tcW w:w="762" w:type="pct"/>
            <w:vAlign w:val="center"/>
          </w:tcPr>
          <w:p w14:paraId="355E547E">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037A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0C2AE19D">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11</w:t>
            </w:r>
          </w:p>
        </w:tc>
        <w:tc>
          <w:tcPr>
            <w:tcW w:w="671" w:type="pct"/>
          </w:tcPr>
          <w:p w14:paraId="4B7A25BB">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5072D648">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物业管理区域内综合会议、活动服务方案：</w:t>
            </w:r>
          </w:p>
          <w:p w14:paraId="52056123">
            <w:pPr>
              <w:pStyle w:val="29"/>
              <w:snapToGrid w:val="0"/>
              <w:spacing w:before="120" w:after="120" w:line="360" w:lineRule="auto"/>
              <w:jc w:val="both"/>
              <w:outlineLvl w:val="0"/>
              <w:rPr>
                <w:rFonts w:hint="eastAsia" w:ascii="仿宋" w:hAnsi="仿宋" w:eastAsia="仿宋" w:cs="仿宋"/>
                <w:vertAlign w:val="baseline"/>
                <w:lang w:val="en-US" w:eastAsia="zh-CN"/>
              </w:rPr>
            </w:pPr>
            <w:r>
              <w:rPr>
                <w:rFonts w:hint="eastAsia" w:ascii="仿宋" w:hAnsi="仿宋" w:eastAsia="仿宋" w:cs="仿宋"/>
                <w:vertAlign w:val="baseline"/>
                <w:lang w:eastAsia="zh-CN"/>
              </w:rPr>
              <w:t>①</w:t>
            </w:r>
            <w:r>
              <w:rPr>
                <w:rFonts w:hint="eastAsia" w:ascii="仿宋" w:hAnsi="仿宋" w:eastAsia="仿宋" w:cs="仿宋"/>
                <w:vertAlign w:val="baseline"/>
                <w:lang w:val="en-US" w:eastAsia="zh-CN"/>
              </w:rPr>
              <w:t>会议服务方案</w:t>
            </w:r>
          </w:p>
          <w:p w14:paraId="10A23726">
            <w:pPr>
              <w:pStyle w:val="29"/>
              <w:snapToGrid w:val="0"/>
              <w:spacing w:before="120" w:after="120" w:line="360" w:lineRule="auto"/>
              <w:jc w:val="both"/>
              <w:outlineLvl w:val="0"/>
              <w:rPr>
                <w:rFonts w:hint="default" w:ascii="仿宋" w:hAnsi="仿宋" w:eastAsia="仿宋" w:cs="仿宋"/>
                <w:vertAlign w:val="baseline"/>
                <w:lang w:val="en-US" w:eastAsia="zh-CN"/>
              </w:rPr>
            </w:pPr>
            <w:r>
              <w:rPr>
                <w:rFonts w:hint="eastAsia" w:ascii="仿宋" w:hAnsi="仿宋" w:eastAsia="仿宋" w:cs="仿宋"/>
                <w:vertAlign w:val="baseline"/>
                <w:lang w:eastAsia="zh-CN"/>
              </w:rPr>
              <w:t>②</w:t>
            </w:r>
            <w:r>
              <w:rPr>
                <w:rFonts w:hint="eastAsia" w:ascii="仿宋" w:hAnsi="仿宋" w:eastAsia="仿宋" w:cs="仿宋"/>
                <w:vertAlign w:val="baseline"/>
                <w:lang w:val="en-US" w:eastAsia="zh-CN"/>
              </w:rPr>
              <w:t>会议服务标准化方案</w:t>
            </w:r>
          </w:p>
          <w:p w14:paraId="5FC54881">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根据提供的措施、方案的针对性、合理性及可行性等方面综合评分</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评分范围：3，2,1,0</w:t>
            </w:r>
            <w:r>
              <w:rPr>
                <w:rFonts w:hint="eastAsia" w:ascii="仿宋" w:hAnsi="仿宋" w:eastAsia="仿宋" w:cs="Times New Roman"/>
                <w:vertAlign w:val="baseline"/>
                <w:lang w:eastAsia="zh-CN"/>
              </w:rPr>
              <w:t>）。</w:t>
            </w:r>
          </w:p>
        </w:tc>
        <w:tc>
          <w:tcPr>
            <w:tcW w:w="452" w:type="pct"/>
            <w:vAlign w:val="center"/>
          </w:tcPr>
          <w:p w14:paraId="5B98A09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3</w:t>
            </w:r>
          </w:p>
        </w:tc>
        <w:tc>
          <w:tcPr>
            <w:tcW w:w="762" w:type="pct"/>
            <w:vAlign w:val="center"/>
          </w:tcPr>
          <w:p w14:paraId="485483D2">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6E41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42B5A98A">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12</w:t>
            </w:r>
          </w:p>
        </w:tc>
        <w:tc>
          <w:tcPr>
            <w:tcW w:w="671" w:type="pct"/>
            <w:vAlign w:val="center"/>
          </w:tcPr>
          <w:p w14:paraId="31290B5F">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30941D43">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重大活动保障方案：根据本项目需要提供庆典、节日等活动的服务，方案包括协助布置会场、绿化（盆景）摆设和保养、横幅悬挂、搬运器材、桌椅、音响、空调、水果、鲜花、会后清场等工作综合评议。</w:t>
            </w:r>
          </w:p>
          <w:p w14:paraId="07D27A5B">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评分范围：4，3,2,1,0</w:t>
            </w:r>
            <w:r>
              <w:rPr>
                <w:rFonts w:hint="eastAsia" w:ascii="仿宋" w:hAnsi="仿宋" w:eastAsia="仿宋" w:cs="Times New Roman"/>
                <w:vertAlign w:val="baseline"/>
                <w:lang w:eastAsia="zh-CN"/>
              </w:rPr>
              <w:t>）</w:t>
            </w:r>
          </w:p>
        </w:tc>
        <w:tc>
          <w:tcPr>
            <w:tcW w:w="452" w:type="pct"/>
            <w:vAlign w:val="center"/>
          </w:tcPr>
          <w:p w14:paraId="03A9DA6A">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4</w:t>
            </w:r>
          </w:p>
        </w:tc>
        <w:tc>
          <w:tcPr>
            <w:tcW w:w="762" w:type="pct"/>
            <w:vAlign w:val="center"/>
          </w:tcPr>
          <w:p w14:paraId="75D516C7">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eastAsia="zh-CN"/>
              </w:rPr>
              <w:t>主观分</w:t>
            </w:r>
          </w:p>
        </w:tc>
      </w:tr>
      <w:tr w14:paraId="1869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65CFD0C7">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13</w:t>
            </w:r>
          </w:p>
        </w:tc>
        <w:tc>
          <w:tcPr>
            <w:tcW w:w="671" w:type="pct"/>
            <w:vAlign w:val="center"/>
          </w:tcPr>
          <w:p w14:paraId="101E8A23">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124CEF86">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应急预案：物业服务辖区各级各类应急预案，对突发事件应急预案及相应的措施是否合理，是否符合采购需求，以化解各类纠纷、消防、防疫、应对极端天气（台风、暴雨、冻雪）为例。</w:t>
            </w:r>
          </w:p>
          <w:p w14:paraId="3047C651">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评分范围：4，3,2,1,0</w:t>
            </w:r>
            <w:r>
              <w:rPr>
                <w:rFonts w:hint="eastAsia" w:ascii="仿宋" w:hAnsi="仿宋" w:eastAsia="仿宋" w:cs="Times New Roman"/>
                <w:vertAlign w:val="baseline"/>
                <w:lang w:eastAsia="zh-CN"/>
              </w:rPr>
              <w:t>）</w:t>
            </w:r>
          </w:p>
        </w:tc>
        <w:tc>
          <w:tcPr>
            <w:tcW w:w="452" w:type="pct"/>
            <w:vAlign w:val="center"/>
          </w:tcPr>
          <w:p w14:paraId="191F4462">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4</w:t>
            </w:r>
          </w:p>
        </w:tc>
        <w:tc>
          <w:tcPr>
            <w:tcW w:w="762" w:type="pct"/>
            <w:vAlign w:val="center"/>
          </w:tcPr>
          <w:p w14:paraId="5D165C42">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eastAsia="zh-CN"/>
              </w:rPr>
              <w:t>主观分</w:t>
            </w:r>
          </w:p>
        </w:tc>
      </w:tr>
      <w:tr w14:paraId="237B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pct"/>
            <w:vAlign w:val="center"/>
          </w:tcPr>
          <w:p w14:paraId="50CA0790">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14</w:t>
            </w:r>
          </w:p>
        </w:tc>
        <w:tc>
          <w:tcPr>
            <w:tcW w:w="671" w:type="pct"/>
            <w:vAlign w:val="center"/>
          </w:tcPr>
          <w:p w14:paraId="3771E380">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3DC639B4">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eastAsia="zh-CN"/>
              </w:rPr>
              <w:t>磋商响应方为本项目所能提供的相关机械设备、器材配备情况，</w:t>
            </w:r>
            <w:r>
              <w:rPr>
                <w:rFonts w:hint="eastAsia" w:ascii="仿宋" w:hAnsi="仿宋" w:eastAsia="仿宋" w:cs="Times New Roman"/>
                <w:vertAlign w:val="baseline"/>
                <w:lang w:val="en-US" w:eastAsia="zh-CN"/>
              </w:rPr>
              <w:t>包括登高设备、机动车、绿化养护设备、清卫设备等</w:t>
            </w: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每配备一样得0.5分，最高4分（提供设备、器材清单及</w:t>
            </w:r>
            <w:r>
              <w:rPr>
                <w:rFonts w:hint="eastAsia" w:ascii="仿宋" w:hAnsi="仿宋" w:eastAsia="仿宋"/>
              </w:rPr>
              <w:t>满足条件的器械租赁合同或发票证明</w:t>
            </w:r>
            <w:r>
              <w:rPr>
                <w:rFonts w:hint="eastAsia" w:ascii="仿宋" w:hAnsi="仿宋" w:eastAsia="仿宋" w:cs="Times New Roman"/>
                <w:vertAlign w:val="baseline"/>
                <w:lang w:val="en-US" w:eastAsia="zh-CN"/>
              </w:rPr>
              <w:t>，（不提供不得分）</w:t>
            </w:r>
          </w:p>
        </w:tc>
        <w:tc>
          <w:tcPr>
            <w:tcW w:w="452" w:type="pct"/>
            <w:vAlign w:val="center"/>
          </w:tcPr>
          <w:p w14:paraId="37F6A274">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4</w:t>
            </w:r>
          </w:p>
        </w:tc>
        <w:tc>
          <w:tcPr>
            <w:tcW w:w="762" w:type="pct"/>
            <w:vAlign w:val="center"/>
          </w:tcPr>
          <w:p w14:paraId="0FFB4791">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客</w:t>
            </w:r>
            <w:r>
              <w:rPr>
                <w:rFonts w:hint="eastAsia" w:ascii="仿宋" w:hAnsi="仿宋" w:eastAsia="仿宋" w:cs="Times New Roman"/>
                <w:vertAlign w:val="baseline"/>
                <w:lang w:eastAsia="zh-CN"/>
              </w:rPr>
              <w:t>观分</w:t>
            </w:r>
          </w:p>
        </w:tc>
      </w:tr>
      <w:tr w14:paraId="3634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14:paraId="2160D67A">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15</w:t>
            </w:r>
          </w:p>
        </w:tc>
        <w:tc>
          <w:tcPr>
            <w:tcW w:w="671" w:type="pct"/>
            <w:vAlign w:val="center"/>
          </w:tcPr>
          <w:p w14:paraId="25CD7906">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技术</w:t>
            </w:r>
          </w:p>
        </w:tc>
        <w:tc>
          <w:tcPr>
            <w:tcW w:w="2649" w:type="pct"/>
          </w:tcPr>
          <w:p w14:paraId="22E30864">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参与本项目的从业人员的人数是否符合招标文件要求（提供用工人员清单，最高</w:t>
            </w:r>
            <w:r>
              <w:rPr>
                <w:rFonts w:hint="eastAsia" w:ascii="仿宋" w:hAnsi="仿宋" w:eastAsia="仿宋" w:cs="Times New Roman"/>
                <w:vertAlign w:val="baseline"/>
                <w:lang w:val="en-US" w:eastAsia="zh-CN"/>
              </w:rPr>
              <w:t>4</w:t>
            </w:r>
            <w:r>
              <w:rPr>
                <w:rFonts w:hint="eastAsia" w:ascii="仿宋" w:hAnsi="仿宋" w:eastAsia="仿宋" w:cs="Times New Roman"/>
                <w:vertAlign w:val="baseline"/>
                <w:lang w:eastAsia="zh-CN"/>
              </w:rPr>
              <w:t>分）（</w:t>
            </w:r>
            <w:r>
              <w:rPr>
                <w:rFonts w:hint="eastAsia" w:ascii="仿宋" w:hAnsi="仿宋" w:eastAsia="仿宋" w:cs="Times New Roman"/>
                <w:vertAlign w:val="baseline"/>
                <w:lang w:val="en-US" w:eastAsia="zh-CN"/>
              </w:rPr>
              <w:t>评分范围：4，3,2,1,0</w:t>
            </w:r>
            <w:r>
              <w:rPr>
                <w:rFonts w:hint="eastAsia" w:ascii="仿宋" w:hAnsi="仿宋" w:eastAsia="仿宋" w:cs="Times New Roman"/>
                <w:vertAlign w:val="baseline"/>
                <w:lang w:eastAsia="zh-CN"/>
              </w:rPr>
              <w:t>）</w:t>
            </w:r>
          </w:p>
        </w:tc>
        <w:tc>
          <w:tcPr>
            <w:tcW w:w="452" w:type="pct"/>
            <w:vAlign w:val="center"/>
          </w:tcPr>
          <w:p w14:paraId="1FFD6DC7">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4</w:t>
            </w:r>
          </w:p>
        </w:tc>
        <w:tc>
          <w:tcPr>
            <w:tcW w:w="762" w:type="pct"/>
            <w:vAlign w:val="center"/>
          </w:tcPr>
          <w:p w14:paraId="7051AD93">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val="en-US" w:eastAsia="zh-CN"/>
              </w:rPr>
              <w:t>主</w:t>
            </w:r>
            <w:r>
              <w:rPr>
                <w:rFonts w:hint="eastAsia" w:ascii="仿宋" w:hAnsi="仿宋" w:eastAsia="仿宋" w:cs="Times New Roman"/>
                <w:vertAlign w:val="baseline"/>
                <w:lang w:eastAsia="zh-CN"/>
              </w:rPr>
              <w:t>观分</w:t>
            </w:r>
          </w:p>
        </w:tc>
      </w:tr>
      <w:tr w14:paraId="3018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center"/>
          </w:tcPr>
          <w:p w14:paraId="526C6F9E">
            <w:pPr>
              <w:pStyle w:val="29"/>
              <w:snapToGrid w:val="0"/>
              <w:spacing w:before="120" w:after="120" w:line="360" w:lineRule="auto"/>
              <w:jc w:val="center"/>
              <w:outlineLvl w:val="0"/>
              <w:rPr>
                <w:rFonts w:hint="default" w:ascii="仿宋" w:hAnsi="仿宋" w:eastAsia="仿宋" w:cs="Times New Roman"/>
                <w:kern w:val="2"/>
                <w:sz w:val="24"/>
                <w:szCs w:val="24"/>
                <w:vertAlign w:val="baseline"/>
                <w:lang w:val="en-US" w:eastAsia="zh-CN" w:bidi="ar-SA"/>
              </w:rPr>
            </w:pPr>
            <w:r>
              <w:rPr>
                <w:rFonts w:hint="eastAsia" w:ascii="仿宋" w:hAnsi="仿宋" w:eastAsia="仿宋" w:cs="Times New Roman"/>
                <w:kern w:val="2"/>
                <w:sz w:val="24"/>
                <w:szCs w:val="24"/>
                <w:vertAlign w:val="baseline"/>
                <w:lang w:val="en-US" w:eastAsia="zh-CN" w:bidi="ar-SA"/>
              </w:rPr>
              <w:t>16</w:t>
            </w:r>
          </w:p>
        </w:tc>
        <w:tc>
          <w:tcPr>
            <w:tcW w:w="671" w:type="pct"/>
            <w:vAlign w:val="center"/>
          </w:tcPr>
          <w:p w14:paraId="4D4A097B">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技术</w:t>
            </w:r>
          </w:p>
        </w:tc>
        <w:tc>
          <w:tcPr>
            <w:tcW w:w="2649" w:type="pct"/>
          </w:tcPr>
          <w:p w14:paraId="29AB9B1C">
            <w:pPr>
              <w:pStyle w:val="29"/>
              <w:snapToGrid w:val="0"/>
              <w:spacing w:before="120" w:after="120" w:line="360" w:lineRule="auto"/>
              <w:jc w:val="both"/>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磋商响应方信息化服务能力情况，包括是否有可投入本项目的信息化管理软件或项目等（评分范围：3，2,1,0）。</w:t>
            </w:r>
          </w:p>
        </w:tc>
        <w:tc>
          <w:tcPr>
            <w:tcW w:w="452" w:type="pct"/>
            <w:vAlign w:val="center"/>
          </w:tcPr>
          <w:p w14:paraId="26CA18D6">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3</w:t>
            </w:r>
          </w:p>
        </w:tc>
        <w:tc>
          <w:tcPr>
            <w:tcW w:w="762" w:type="pct"/>
            <w:vAlign w:val="center"/>
          </w:tcPr>
          <w:p w14:paraId="39931A3F">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主观分</w:t>
            </w:r>
          </w:p>
        </w:tc>
      </w:tr>
      <w:tr w14:paraId="5C8A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center"/>
          </w:tcPr>
          <w:p w14:paraId="486DABD6">
            <w:pPr>
              <w:pStyle w:val="29"/>
              <w:snapToGrid w:val="0"/>
              <w:spacing w:before="120" w:after="120" w:line="360" w:lineRule="auto"/>
              <w:jc w:val="center"/>
              <w:outlineLvl w:val="0"/>
              <w:rPr>
                <w:rFonts w:hint="default" w:ascii="仿宋" w:hAnsi="仿宋" w:eastAsia="仿宋" w:cs="Times New Roman"/>
                <w:kern w:val="2"/>
                <w:sz w:val="24"/>
                <w:szCs w:val="24"/>
                <w:vertAlign w:val="baseline"/>
                <w:lang w:val="en-US" w:eastAsia="zh-CN" w:bidi="ar-SA"/>
              </w:rPr>
            </w:pPr>
            <w:r>
              <w:rPr>
                <w:rFonts w:hint="eastAsia" w:ascii="仿宋" w:hAnsi="仿宋" w:eastAsia="仿宋" w:cs="Times New Roman"/>
                <w:kern w:val="2"/>
                <w:sz w:val="24"/>
                <w:szCs w:val="24"/>
                <w:vertAlign w:val="baseline"/>
                <w:lang w:val="en-US" w:eastAsia="zh-CN" w:bidi="ar-SA"/>
              </w:rPr>
              <w:t>17</w:t>
            </w:r>
          </w:p>
        </w:tc>
        <w:tc>
          <w:tcPr>
            <w:tcW w:w="671" w:type="pct"/>
            <w:vAlign w:val="center"/>
          </w:tcPr>
          <w:p w14:paraId="0F7E1E08">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技术</w:t>
            </w:r>
          </w:p>
        </w:tc>
        <w:tc>
          <w:tcPr>
            <w:tcW w:w="2649" w:type="pct"/>
          </w:tcPr>
          <w:p w14:paraId="72E35E24">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对本项目的合理化建议、服务及有利措施的承诺等方案综合评议</w:t>
            </w:r>
          </w:p>
          <w:p w14:paraId="31042D0D">
            <w:pPr>
              <w:pStyle w:val="29"/>
              <w:snapToGrid w:val="0"/>
              <w:spacing w:before="120" w:after="120" w:line="360" w:lineRule="auto"/>
              <w:jc w:val="both"/>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w:t>
            </w:r>
            <w:r>
              <w:rPr>
                <w:rFonts w:hint="eastAsia" w:ascii="仿宋" w:hAnsi="仿宋" w:eastAsia="仿宋" w:cs="Times New Roman"/>
                <w:vertAlign w:val="baseline"/>
                <w:lang w:val="en-US" w:eastAsia="zh-CN"/>
              </w:rPr>
              <w:t>评分范围：3，2，1，0</w:t>
            </w:r>
            <w:r>
              <w:rPr>
                <w:rFonts w:hint="eastAsia" w:ascii="仿宋" w:hAnsi="仿宋" w:eastAsia="仿宋" w:cs="Times New Roman"/>
                <w:vertAlign w:val="baseline"/>
                <w:lang w:eastAsia="zh-CN"/>
              </w:rPr>
              <w:t>）</w:t>
            </w:r>
          </w:p>
        </w:tc>
        <w:tc>
          <w:tcPr>
            <w:tcW w:w="452" w:type="pct"/>
            <w:vAlign w:val="center"/>
          </w:tcPr>
          <w:p w14:paraId="55AB8E49">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3</w:t>
            </w:r>
          </w:p>
        </w:tc>
        <w:tc>
          <w:tcPr>
            <w:tcW w:w="762" w:type="pct"/>
            <w:vAlign w:val="center"/>
          </w:tcPr>
          <w:p w14:paraId="1F14CD84">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主观分</w:t>
            </w:r>
          </w:p>
        </w:tc>
      </w:tr>
      <w:tr w14:paraId="36BB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center"/>
          </w:tcPr>
          <w:p w14:paraId="693EB3A3">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18</w:t>
            </w:r>
          </w:p>
        </w:tc>
        <w:tc>
          <w:tcPr>
            <w:tcW w:w="671" w:type="pct"/>
            <w:shd w:val="clear" w:color="auto" w:fill="auto"/>
            <w:vAlign w:val="top"/>
          </w:tcPr>
          <w:p w14:paraId="3FE26684">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商务</w:t>
            </w:r>
          </w:p>
          <w:p w14:paraId="5C92369C">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eastAsia="zh-CN"/>
              </w:rPr>
              <w:t>资信</w:t>
            </w:r>
          </w:p>
        </w:tc>
        <w:tc>
          <w:tcPr>
            <w:tcW w:w="2649" w:type="pct"/>
            <w:shd w:val="clear" w:color="auto" w:fill="auto"/>
            <w:vAlign w:val="top"/>
          </w:tcPr>
          <w:p w14:paraId="195489A9">
            <w:pPr>
              <w:pStyle w:val="29"/>
              <w:snapToGrid w:val="0"/>
              <w:spacing w:before="120" w:after="120" w:line="360" w:lineRule="auto"/>
              <w:jc w:val="both"/>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磋商响应方围绕采购人要求，积极做好物业服务，提出增值服务，每一项得1分，最高得2分，未提供不得分。</w:t>
            </w:r>
          </w:p>
        </w:tc>
        <w:tc>
          <w:tcPr>
            <w:tcW w:w="452" w:type="pct"/>
            <w:shd w:val="clear" w:color="auto" w:fill="auto"/>
            <w:vAlign w:val="center"/>
          </w:tcPr>
          <w:p w14:paraId="71BD15F2">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2</w:t>
            </w:r>
          </w:p>
        </w:tc>
        <w:tc>
          <w:tcPr>
            <w:tcW w:w="762" w:type="pct"/>
            <w:shd w:val="clear" w:color="auto" w:fill="auto"/>
            <w:vAlign w:val="center"/>
          </w:tcPr>
          <w:p w14:paraId="51AB0700">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客观分</w:t>
            </w:r>
          </w:p>
        </w:tc>
      </w:tr>
      <w:tr w14:paraId="6690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center"/>
          </w:tcPr>
          <w:p w14:paraId="6145EAE0">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19</w:t>
            </w:r>
          </w:p>
        </w:tc>
        <w:tc>
          <w:tcPr>
            <w:tcW w:w="671" w:type="pct"/>
            <w:vAlign w:val="center"/>
          </w:tcPr>
          <w:p w14:paraId="079EDBB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商务</w:t>
            </w:r>
          </w:p>
          <w:p w14:paraId="1122FA4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资信</w:t>
            </w:r>
          </w:p>
        </w:tc>
        <w:tc>
          <w:tcPr>
            <w:tcW w:w="2649" w:type="pct"/>
            <w:shd w:val="clear" w:color="auto" w:fill="auto"/>
            <w:vAlign w:val="top"/>
          </w:tcPr>
          <w:p w14:paraId="4D18399C">
            <w:pPr>
              <w:pStyle w:val="29"/>
              <w:snapToGrid w:val="0"/>
              <w:spacing w:before="120" w:after="120" w:line="360" w:lineRule="auto"/>
              <w:jc w:val="both"/>
              <w:outlineLvl w:val="0"/>
              <w:rPr>
                <w:rFonts w:hint="eastAsia" w:ascii="仿宋" w:hAnsi="仿宋" w:eastAsia="仿宋" w:cs="Times New Roman"/>
                <w:vertAlign w:val="baseline"/>
                <w:lang w:val="en-US" w:eastAsia="zh-CN"/>
              </w:rPr>
            </w:pPr>
            <w:r>
              <w:rPr>
                <w:rFonts w:hint="eastAsia" w:ascii="仿宋" w:hAnsi="仿宋" w:eastAsia="仿宋" w:cs="宋体"/>
                <w:kern w:val="0"/>
                <w:sz w:val="24"/>
                <w:szCs w:val="24"/>
              </w:rPr>
              <w:t>磋商响应方提供202</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月1日起至投标截止时间止取得的相关的荣誉，每提供1个得1分，最高得</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分。</w:t>
            </w:r>
          </w:p>
        </w:tc>
        <w:tc>
          <w:tcPr>
            <w:tcW w:w="452" w:type="pct"/>
            <w:shd w:val="clear" w:color="auto" w:fill="auto"/>
            <w:vAlign w:val="center"/>
          </w:tcPr>
          <w:p w14:paraId="09DBE2F7">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2</w:t>
            </w:r>
          </w:p>
        </w:tc>
        <w:tc>
          <w:tcPr>
            <w:tcW w:w="762" w:type="pct"/>
            <w:shd w:val="clear" w:color="auto" w:fill="auto"/>
            <w:vAlign w:val="center"/>
          </w:tcPr>
          <w:p w14:paraId="6C485CFE">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客观分</w:t>
            </w:r>
          </w:p>
        </w:tc>
      </w:tr>
      <w:tr w14:paraId="154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center"/>
          </w:tcPr>
          <w:p w14:paraId="5B7ADFC2">
            <w:pPr>
              <w:pStyle w:val="29"/>
              <w:snapToGrid w:val="0"/>
              <w:spacing w:before="120" w:after="120" w:line="360" w:lineRule="auto"/>
              <w:jc w:val="center"/>
              <w:outlineLvl w:val="0"/>
              <w:rPr>
                <w:rFonts w:hint="default" w:ascii="仿宋" w:hAnsi="仿宋" w:eastAsia="仿宋" w:cs="Times New Roman"/>
                <w:vertAlign w:val="baseline"/>
                <w:lang w:val="en-US" w:eastAsia="zh-CN"/>
              </w:rPr>
            </w:pPr>
            <w:r>
              <w:rPr>
                <w:rFonts w:hint="eastAsia" w:ascii="仿宋" w:hAnsi="仿宋" w:eastAsia="仿宋" w:cs="Times New Roman"/>
                <w:vertAlign w:val="baseline"/>
                <w:lang w:val="en-US" w:eastAsia="zh-CN"/>
              </w:rPr>
              <w:t>20</w:t>
            </w:r>
          </w:p>
        </w:tc>
        <w:tc>
          <w:tcPr>
            <w:tcW w:w="671" w:type="pct"/>
            <w:vAlign w:val="center"/>
          </w:tcPr>
          <w:p w14:paraId="28824B19">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商务</w:t>
            </w:r>
          </w:p>
          <w:p w14:paraId="4E0D0C9E">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资信</w:t>
            </w:r>
          </w:p>
        </w:tc>
        <w:tc>
          <w:tcPr>
            <w:tcW w:w="2649" w:type="pct"/>
            <w:shd w:val="clear" w:color="auto" w:fill="auto"/>
            <w:vAlign w:val="top"/>
          </w:tcPr>
          <w:p w14:paraId="6DC13A77">
            <w:pPr>
              <w:pStyle w:val="29"/>
              <w:snapToGrid w:val="0"/>
              <w:spacing w:before="120" w:after="120" w:line="360" w:lineRule="auto"/>
              <w:jc w:val="both"/>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宋体"/>
                <w:kern w:val="0"/>
                <w:sz w:val="24"/>
                <w:szCs w:val="24"/>
                <w:lang w:val="en-US" w:eastAsia="zh-CN"/>
              </w:rPr>
              <w:t>磋商响应方提供2022年7月1日起至投标截止时间止承接同类项目的成功案例，每提供1个合同复印件或业主证明得1分，最高得2分。</w:t>
            </w:r>
          </w:p>
        </w:tc>
        <w:tc>
          <w:tcPr>
            <w:tcW w:w="452" w:type="pct"/>
            <w:shd w:val="clear" w:color="auto" w:fill="auto"/>
            <w:vAlign w:val="center"/>
          </w:tcPr>
          <w:p w14:paraId="45D4EF1A">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2</w:t>
            </w:r>
          </w:p>
        </w:tc>
        <w:tc>
          <w:tcPr>
            <w:tcW w:w="762" w:type="pct"/>
            <w:shd w:val="clear" w:color="auto" w:fill="auto"/>
            <w:vAlign w:val="center"/>
          </w:tcPr>
          <w:p w14:paraId="6209C2F4">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客观分</w:t>
            </w:r>
          </w:p>
        </w:tc>
      </w:tr>
      <w:tr w14:paraId="3E18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center"/>
          </w:tcPr>
          <w:p w14:paraId="2E62764E">
            <w:pPr>
              <w:pStyle w:val="29"/>
              <w:snapToGrid w:val="0"/>
              <w:spacing w:before="120" w:after="120" w:line="360" w:lineRule="auto"/>
              <w:jc w:val="center"/>
              <w:outlineLvl w:val="0"/>
              <w:rPr>
                <w:rFonts w:hint="default" w:ascii="仿宋" w:hAnsi="仿宋" w:eastAsia="仿宋" w:cs="Times New Roman"/>
                <w:kern w:val="2"/>
                <w:sz w:val="24"/>
                <w:szCs w:val="24"/>
                <w:vertAlign w:val="baseline"/>
                <w:lang w:val="en-US" w:eastAsia="zh-CN" w:bidi="ar-SA"/>
              </w:rPr>
            </w:pPr>
            <w:r>
              <w:rPr>
                <w:rFonts w:hint="eastAsia" w:ascii="仿宋" w:hAnsi="仿宋" w:eastAsia="仿宋" w:cs="Times New Roman"/>
                <w:kern w:val="2"/>
                <w:sz w:val="24"/>
                <w:szCs w:val="24"/>
                <w:vertAlign w:val="baseline"/>
                <w:lang w:val="en-US" w:eastAsia="zh-CN" w:bidi="ar-SA"/>
              </w:rPr>
              <w:t>21</w:t>
            </w:r>
          </w:p>
        </w:tc>
        <w:tc>
          <w:tcPr>
            <w:tcW w:w="671" w:type="pct"/>
            <w:shd w:val="clear" w:color="auto" w:fill="auto"/>
            <w:vAlign w:val="center"/>
          </w:tcPr>
          <w:p w14:paraId="1D0863D1">
            <w:pPr>
              <w:pStyle w:val="29"/>
              <w:snapToGrid w:val="0"/>
              <w:spacing w:before="120" w:after="120" w:line="360" w:lineRule="auto"/>
              <w:jc w:val="center"/>
              <w:outlineLvl w:val="0"/>
              <w:rPr>
                <w:rFonts w:hint="eastAsia" w:ascii="仿宋" w:hAnsi="仿宋" w:eastAsia="仿宋" w:cs="Times New Roman"/>
                <w:vertAlign w:val="baseline"/>
                <w:lang w:eastAsia="zh-CN"/>
              </w:rPr>
            </w:pPr>
            <w:r>
              <w:rPr>
                <w:rFonts w:hint="eastAsia" w:ascii="仿宋" w:hAnsi="仿宋" w:eastAsia="仿宋" w:cs="Times New Roman"/>
                <w:vertAlign w:val="baseline"/>
                <w:lang w:eastAsia="zh-CN"/>
              </w:rPr>
              <w:t>商务</w:t>
            </w:r>
          </w:p>
          <w:p w14:paraId="096B4084">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eastAsia="zh-CN"/>
              </w:rPr>
              <w:t>资信</w:t>
            </w:r>
          </w:p>
        </w:tc>
        <w:tc>
          <w:tcPr>
            <w:tcW w:w="2649" w:type="pct"/>
            <w:shd w:val="clear" w:color="auto" w:fill="auto"/>
            <w:vAlign w:val="top"/>
          </w:tcPr>
          <w:p w14:paraId="5DF8CFBC">
            <w:pPr>
              <w:pStyle w:val="29"/>
              <w:snapToGrid w:val="0"/>
              <w:spacing w:before="120" w:after="120" w:line="360" w:lineRule="auto"/>
              <w:jc w:val="both"/>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磋商响应方具有有效的质量管理体系认证、环境管理体系认证、职业健康安全管理体系认证，每有1份得1分，最高得3分（提供认证证书复印件，不提供不得分）。</w:t>
            </w:r>
          </w:p>
        </w:tc>
        <w:tc>
          <w:tcPr>
            <w:tcW w:w="452" w:type="pct"/>
            <w:shd w:val="clear" w:color="auto" w:fill="auto"/>
            <w:vAlign w:val="center"/>
          </w:tcPr>
          <w:p w14:paraId="634FBAF8">
            <w:pPr>
              <w:pStyle w:val="29"/>
              <w:snapToGrid w:val="0"/>
              <w:spacing w:before="120" w:after="120" w:line="360" w:lineRule="auto"/>
              <w:jc w:val="center"/>
              <w:outlineLvl w:val="0"/>
              <w:rPr>
                <w:rFonts w:hint="eastAsia"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3</w:t>
            </w:r>
          </w:p>
        </w:tc>
        <w:tc>
          <w:tcPr>
            <w:tcW w:w="762" w:type="pct"/>
            <w:shd w:val="clear" w:color="auto" w:fill="auto"/>
            <w:vAlign w:val="center"/>
          </w:tcPr>
          <w:p w14:paraId="5D26579E">
            <w:pPr>
              <w:pStyle w:val="29"/>
              <w:snapToGrid w:val="0"/>
              <w:spacing w:before="120" w:after="120" w:line="360" w:lineRule="auto"/>
              <w:jc w:val="center"/>
              <w:outlineLvl w:val="0"/>
              <w:rPr>
                <w:rFonts w:hint="default" w:ascii="仿宋" w:hAnsi="仿宋" w:eastAsia="仿宋" w:cs="Times New Roman"/>
                <w:kern w:val="2"/>
                <w:sz w:val="24"/>
                <w:szCs w:val="24"/>
                <w:vertAlign w:val="baseline"/>
                <w:lang w:val="en-US" w:eastAsia="zh-CN" w:bidi="ar-SA"/>
              </w:rPr>
            </w:pPr>
            <w:r>
              <w:rPr>
                <w:rFonts w:hint="eastAsia" w:ascii="仿宋" w:hAnsi="仿宋" w:eastAsia="仿宋" w:cs="Times New Roman"/>
                <w:vertAlign w:val="baseline"/>
                <w:lang w:val="en-US" w:eastAsia="zh-CN"/>
              </w:rPr>
              <w:t>客观分</w:t>
            </w:r>
          </w:p>
        </w:tc>
      </w:tr>
      <w:bookmarkEnd w:id="84"/>
    </w:tbl>
    <w:p w14:paraId="01F7AA33">
      <w:pPr>
        <w:pStyle w:val="29"/>
        <w:snapToGrid w:val="0"/>
        <w:spacing w:before="120" w:after="120" w:line="480" w:lineRule="auto"/>
        <w:jc w:val="center"/>
        <w:outlineLvl w:val="0"/>
        <w:rPr>
          <w:rFonts w:hAnsi="宋体"/>
          <w:b/>
          <w:sz w:val="36"/>
          <w:szCs w:val="36"/>
        </w:rPr>
      </w:pPr>
    </w:p>
    <w:p w14:paraId="2AD758F7">
      <w:pPr>
        <w:pStyle w:val="29"/>
        <w:snapToGrid w:val="0"/>
        <w:spacing w:before="120" w:after="120" w:line="480" w:lineRule="auto"/>
        <w:jc w:val="center"/>
        <w:outlineLvl w:val="0"/>
        <w:rPr>
          <w:rFonts w:hAnsi="宋体"/>
          <w:b/>
          <w:sz w:val="36"/>
          <w:szCs w:val="36"/>
        </w:rPr>
      </w:pPr>
    </w:p>
    <w:p w14:paraId="239C8760">
      <w:pPr>
        <w:pStyle w:val="29"/>
        <w:snapToGrid w:val="0"/>
        <w:spacing w:before="120" w:after="120" w:line="480" w:lineRule="auto"/>
        <w:jc w:val="center"/>
        <w:outlineLvl w:val="0"/>
        <w:rPr>
          <w:rFonts w:hAnsi="宋体"/>
          <w:b/>
          <w:sz w:val="36"/>
          <w:szCs w:val="36"/>
        </w:rPr>
      </w:pPr>
    </w:p>
    <w:p w14:paraId="0AE00005">
      <w:pPr>
        <w:pStyle w:val="29"/>
        <w:snapToGrid w:val="0"/>
        <w:spacing w:before="120" w:after="120" w:line="480" w:lineRule="auto"/>
        <w:jc w:val="center"/>
        <w:outlineLvl w:val="0"/>
        <w:rPr>
          <w:rFonts w:hAnsi="宋体"/>
          <w:b/>
          <w:sz w:val="36"/>
          <w:szCs w:val="36"/>
        </w:rPr>
      </w:pPr>
    </w:p>
    <w:p w14:paraId="400F54ED">
      <w:pPr>
        <w:pStyle w:val="29"/>
        <w:snapToGrid w:val="0"/>
        <w:spacing w:before="120" w:after="120" w:line="480" w:lineRule="auto"/>
        <w:jc w:val="center"/>
        <w:outlineLvl w:val="0"/>
        <w:rPr>
          <w:rFonts w:hAnsi="宋体"/>
          <w:b/>
          <w:sz w:val="36"/>
          <w:szCs w:val="36"/>
        </w:rPr>
      </w:pPr>
    </w:p>
    <w:p w14:paraId="744D3BEA">
      <w:pPr>
        <w:pStyle w:val="29"/>
        <w:snapToGrid w:val="0"/>
        <w:spacing w:before="120" w:after="120" w:line="480" w:lineRule="auto"/>
        <w:jc w:val="center"/>
        <w:outlineLvl w:val="0"/>
        <w:rPr>
          <w:rFonts w:hAnsi="宋体"/>
          <w:b/>
          <w:sz w:val="36"/>
          <w:szCs w:val="36"/>
        </w:rPr>
      </w:pPr>
    </w:p>
    <w:p w14:paraId="216183F4">
      <w:pPr>
        <w:pStyle w:val="29"/>
        <w:snapToGrid w:val="0"/>
        <w:spacing w:before="120" w:after="120" w:line="480" w:lineRule="auto"/>
        <w:jc w:val="center"/>
        <w:outlineLvl w:val="0"/>
        <w:rPr>
          <w:rFonts w:hAnsi="宋体"/>
          <w:b/>
          <w:sz w:val="36"/>
          <w:szCs w:val="36"/>
        </w:rPr>
      </w:pPr>
    </w:p>
    <w:p w14:paraId="7ED13083">
      <w:pPr>
        <w:pStyle w:val="29"/>
        <w:snapToGrid w:val="0"/>
        <w:spacing w:before="120" w:after="120" w:line="480" w:lineRule="auto"/>
        <w:jc w:val="center"/>
        <w:outlineLvl w:val="0"/>
        <w:rPr>
          <w:rFonts w:hAnsi="宋体"/>
          <w:b/>
          <w:sz w:val="36"/>
          <w:szCs w:val="36"/>
        </w:rPr>
      </w:pPr>
    </w:p>
    <w:p w14:paraId="146BD4D3">
      <w:pPr>
        <w:pStyle w:val="29"/>
        <w:snapToGrid w:val="0"/>
        <w:spacing w:before="120" w:after="120" w:line="480" w:lineRule="auto"/>
        <w:jc w:val="both"/>
        <w:outlineLvl w:val="0"/>
        <w:rPr>
          <w:rFonts w:hAnsi="宋体"/>
          <w:b/>
          <w:sz w:val="36"/>
          <w:szCs w:val="36"/>
        </w:rPr>
      </w:pPr>
    </w:p>
    <w:p w14:paraId="4032C293">
      <w:pPr>
        <w:pStyle w:val="29"/>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5"/>
    </w:p>
    <w:p w14:paraId="0C2C9932">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035A6AC1">
      <w:pPr>
        <w:spacing w:line="360" w:lineRule="auto"/>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1.核心产品在各标项内容中明确，如出现同品牌情况的，磋商小组会根据磋商原则第4条规定执行。</w:t>
      </w:r>
    </w:p>
    <w:p w14:paraId="19A5E7E4">
      <w:p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rPr>
        <w:t>2</w:t>
      </w:r>
      <w:r>
        <w:rPr>
          <w:rFonts w:hint="eastAsia" w:ascii="仿宋" w:hAnsi="仿宋" w:eastAsia="仿宋"/>
          <w:b/>
          <w:sz w:val="28"/>
          <w:szCs w:val="28"/>
          <w:lang w:eastAsia="zh-CN"/>
        </w:rPr>
        <w:t>.</w:t>
      </w:r>
      <w:r>
        <w:rPr>
          <w:rFonts w:hint="eastAsia" w:ascii="仿宋" w:hAnsi="仿宋" w:eastAsia="仿宋"/>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b/>
          <w:sz w:val="28"/>
          <w:szCs w:val="28"/>
          <w:lang w:eastAsia="zh-CN"/>
        </w:rPr>
        <w:t>。</w:t>
      </w:r>
    </w:p>
    <w:p w14:paraId="0F974F87">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4874C92B">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val="en-US" w:eastAsia="zh-CN"/>
        </w:rPr>
        <w:t>4</w:t>
      </w:r>
      <w:r>
        <w:rPr>
          <w:rFonts w:hint="eastAsia" w:ascii="仿宋" w:hAnsi="仿宋" w:eastAsia="仿宋"/>
          <w:b/>
          <w:sz w:val="28"/>
          <w:szCs w:val="28"/>
        </w:rPr>
        <w:t xml:space="preserve">. </w:t>
      </w:r>
      <w:r>
        <w:rPr>
          <w:rFonts w:hint="eastAsia" w:ascii="仿宋" w:hAnsi="仿宋" w:eastAsia="仿宋"/>
          <w:b/>
          <w:sz w:val="28"/>
          <w:szCs w:val="28"/>
          <w:lang w:val="en-US" w:eastAsia="zh-CN"/>
        </w:rPr>
        <w:t>响应方响应</w:t>
      </w:r>
      <w:r>
        <w:rPr>
          <w:rFonts w:hint="eastAsia" w:ascii="仿宋" w:hAnsi="仿宋" w:eastAsia="仿宋"/>
          <w:b/>
          <w:sz w:val="28"/>
          <w:szCs w:val="28"/>
        </w:rPr>
        <w:t>产品规格型号与官网公布的产品规格型号一致，但技术参数不一致的，应当在</w:t>
      </w:r>
      <w:r>
        <w:rPr>
          <w:rFonts w:hint="eastAsia" w:ascii="仿宋" w:hAnsi="仿宋" w:eastAsia="仿宋"/>
          <w:b/>
          <w:sz w:val="28"/>
          <w:szCs w:val="28"/>
          <w:lang w:val="en-US" w:eastAsia="zh-CN"/>
        </w:rPr>
        <w:t>响应</w:t>
      </w:r>
      <w:r>
        <w:rPr>
          <w:rFonts w:hint="eastAsia" w:ascii="仿宋" w:hAnsi="仿宋" w:eastAsia="仿宋"/>
          <w:b/>
          <w:sz w:val="28"/>
          <w:szCs w:val="28"/>
        </w:rPr>
        <w:t>文件中阐述技术参数不一致的原因，以及通过何种技术路线来实现</w:t>
      </w:r>
      <w:r>
        <w:rPr>
          <w:rFonts w:hint="eastAsia" w:ascii="仿宋" w:hAnsi="仿宋" w:eastAsia="仿宋"/>
          <w:b/>
          <w:sz w:val="28"/>
          <w:szCs w:val="28"/>
          <w:lang w:val="en-US" w:eastAsia="zh-CN"/>
        </w:rPr>
        <w:t>响应</w:t>
      </w:r>
      <w:r>
        <w:rPr>
          <w:rFonts w:hint="eastAsia" w:ascii="仿宋" w:hAnsi="仿宋" w:eastAsia="仿宋"/>
          <w:b/>
          <w:sz w:val="28"/>
          <w:szCs w:val="28"/>
        </w:rPr>
        <w:t>产品技术参数。</w:t>
      </w:r>
      <w:r>
        <w:rPr>
          <w:rFonts w:hint="eastAsia" w:ascii="仿宋" w:hAnsi="仿宋" w:eastAsia="仿宋"/>
          <w:b/>
          <w:sz w:val="28"/>
          <w:szCs w:val="28"/>
          <w:lang w:val="en-US" w:eastAsia="zh-CN"/>
        </w:rPr>
        <w:t>响应方</w:t>
      </w:r>
      <w:r>
        <w:rPr>
          <w:rFonts w:hint="eastAsia" w:ascii="仿宋" w:hAnsi="仿宋" w:eastAsia="仿宋"/>
          <w:b/>
          <w:sz w:val="28"/>
          <w:szCs w:val="28"/>
        </w:rPr>
        <w:t>未作说明的，</w:t>
      </w:r>
      <w:r>
        <w:rPr>
          <w:rFonts w:hint="eastAsia" w:ascii="仿宋" w:hAnsi="仿宋" w:eastAsia="仿宋"/>
          <w:b/>
          <w:sz w:val="28"/>
          <w:szCs w:val="28"/>
          <w:lang w:val="en-US" w:eastAsia="zh-CN"/>
        </w:rPr>
        <w:t>磋商小组</w:t>
      </w:r>
      <w:r>
        <w:rPr>
          <w:rFonts w:hint="eastAsia" w:ascii="仿宋" w:hAnsi="仿宋" w:eastAsia="仿宋"/>
          <w:b/>
          <w:sz w:val="28"/>
          <w:szCs w:val="28"/>
        </w:rPr>
        <w:t>有权对该</w:t>
      </w:r>
      <w:r>
        <w:rPr>
          <w:rFonts w:hint="eastAsia" w:ascii="仿宋" w:hAnsi="仿宋" w:eastAsia="仿宋"/>
          <w:b/>
          <w:sz w:val="28"/>
          <w:szCs w:val="28"/>
          <w:lang w:val="en-US" w:eastAsia="zh-CN"/>
        </w:rPr>
        <w:t>响应</w:t>
      </w:r>
      <w:r>
        <w:rPr>
          <w:rFonts w:hint="eastAsia" w:ascii="仿宋" w:hAnsi="仿宋" w:eastAsia="仿宋"/>
          <w:b/>
          <w:sz w:val="28"/>
          <w:szCs w:val="28"/>
        </w:rPr>
        <w:t>文件作出不利于</w:t>
      </w:r>
      <w:r>
        <w:rPr>
          <w:rFonts w:hint="eastAsia" w:ascii="仿宋" w:hAnsi="仿宋" w:eastAsia="仿宋"/>
          <w:b/>
          <w:sz w:val="28"/>
          <w:szCs w:val="28"/>
          <w:lang w:val="en-US" w:eastAsia="zh-CN"/>
        </w:rPr>
        <w:t>响应方</w:t>
      </w:r>
      <w:r>
        <w:rPr>
          <w:rFonts w:hint="eastAsia" w:ascii="仿宋" w:hAnsi="仿宋" w:eastAsia="仿宋"/>
          <w:b/>
          <w:sz w:val="28"/>
          <w:szCs w:val="28"/>
        </w:rPr>
        <w:t>的评判。</w:t>
      </w:r>
    </w:p>
    <w:p w14:paraId="577BEEA8">
      <w:pPr>
        <w:pStyle w:val="3"/>
        <w:spacing w:after="120"/>
        <w:rPr>
          <w:rFonts w:ascii="宋体" w:hAnsi="宋体"/>
          <w:color w:val="000000"/>
          <w:sz w:val="36"/>
          <w:szCs w:val="36"/>
        </w:rPr>
      </w:pPr>
      <w:bookmarkStart w:id="86" w:name="_Toc44941660"/>
      <w:bookmarkStart w:id="87" w:name="_Toc44941459"/>
    </w:p>
    <w:p w14:paraId="33CBAC03">
      <w:pPr>
        <w:pStyle w:val="3"/>
        <w:spacing w:after="120"/>
        <w:rPr>
          <w:rFonts w:ascii="宋体" w:hAnsi="宋体"/>
          <w:color w:val="000000"/>
          <w:sz w:val="36"/>
          <w:szCs w:val="36"/>
        </w:rPr>
      </w:pPr>
    </w:p>
    <w:p w14:paraId="682F00CB">
      <w:pPr>
        <w:pStyle w:val="3"/>
        <w:spacing w:after="120"/>
        <w:rPr>
          <w:rFonts w:ascii="宋体" w:hAnsi="宋体"/>
          <w:color w:val="000000"/>
          <w:sz w:val="36"/>
          <w:szCs w:val="36"/>
        </w:rPr>
      </w:pPr>
    </w:p>
    <w:p w14:paraId="1DAABC79">
      <w:pPr>
        <w:pStyle w:val="3"/>
        <w:spacing w:after="120"/>
        <w:rPr>
          <w:rFonts w:ascii="宋体" w:hAnsi="宋体"/>
          <w:color w:val="000000"/>
          <w:sz w:val="36"/>
          <w:szCs w:val="36"/>
        </w:rPr>
      </w:pPr>
    </w:p>
    <w:p w14:paraId="4977035F">
      <w:pPr>
        <w:pStyle w:val="3"/>
        <w:spacing w:after="120"/>
        <w:rPr>
          <w:rFonts w:ascii="宋体" w:hAnsi="宋体"/>
          <w:color w:val="000000"/>
          <w:sz w:val="36"/>
          <w:szCs w:val="36"/>
        </w:rPr>
      </w:pPr>
    </w:p>
    <w:p w14:paraId="2F75B58F">
      <w:pPr>
        <w:pStyle w:val="3"/>
        <w:spacing w:after="120"/>
        <w:rPr>
          <w:rFonts w:ascii="宋体" w:hAnsi="宋体"/>
          <w:color w:val="000000"/>
          <w:sz w:val="36"/>
          <w:szCs w:val="36"/>
        </w:rPr>
      </w:pPr>
    </w:p>
    <w:p w14:paraId="3DDDD044">
      <w:pPr>
        <w:pStyle w:val="3"/>
        <w:spacing w:after="120"/>
        <w:rPr>
          <w:rFonts w:ascii="宋体" w:hAnsi="宋体"/>
          <w:color w:val="000000"/>
          <w:sz w:val="36"/>
          <w:szCs w:val="36"/>
        </w:rPr>
      </w:pPr>
    </w:p>
    <w:p w14:paraId="5DDA2AF7">
      <w:pPr>
        <w:pStyle w:val="3"/>
        <w:spacing w:after="120"/>
        <w:rPr>
          <w:rFonts w:ascii="宋体" w:hAnsi="宋体"/>
          <w:color w:val="000000"/>
          <w:sz w:val="36"/>
          <w:szCs w:val="36"/>
        </w:rPr>
      </w:pPr>
    </w:p>
    <w:p w14:paraId="4F1AF9BF">
      <w:pPr>
        <w:spacing w:after="480" w:afterLines="200" w:line="500" w:lineRule="exact"/>
        <w:jc w:val="center"/>
        <w:outlineLvl w:val="0"/>
        <w:rPr>
          <w:rFonts w:ascii="方正小标宋简体" w:hAnsi="方正小标宋简体" w:eastAsia="方正小标宋简体" w:cs="方正小标宋简体"/>
          <w:b/>
          <w:bCs/>
          <w:sz w:val="32"/>
          <w:szCs w:val="32"/>
        </w:rPr>
      </w:pPr>
      <w:bookmarkStart w:id="88" w:name="PO_TDCUS_ITEM_P_REQ_FILE_1_1_1"/>
      <w:r>
        <w:rPr>
          <w:rFonts w:hint="eastAsia" w:ascii="方正小标宋简体" w:hAnsi="方正小标宋简体" w:eastAsia="方正小标宋简体" w:cs="方正小标宋简体"/>
          <w:b/>
          <w:bCs/>
          <w:sz w:val="32"/>
          <w:szCs w:val="32"/>
        </w:rPr>
        <w:t>浙江农林大学校园物业服务项目需求</w:t>
      </w:r>
    </w:p>
    <w:p w14:paraId="15D03470">
      <w:pPr>
        <w:spacing w:before="120" w:beforeLines="50" w:after="120" w:afterLines="50" w:line="360" w:lineRule="auto"/>
        <w:ind w:firstLine="422" w:firstLineChars="200"/>
        <w:outlineLvl w:val="0"/>
        <w:rPr>
          <w:rFonts w:asciiTheme="minorEastAsia" w:hAnsiTheme="minorEastAsia" w:cstheme="minorEastAsia"/>
          <w:b/>
          <w:bCs/>
          <w:szCs w:val="21"/>
        </w:rPr>
      </w:pPr>
      <w:r>
        <w:rPr>
          <w:rFonts w:hint="eastAsia" w:asciiTheme="minorEastAsia" w:hAnsiTheme="minorEastAsia" w:cstheme="minorEastAsia"/>
          <w:b/>
          <w:bCs/>
          <w:szCs w:val="21"/>
        </w:rPr>
        <w:t>一、项目概况</w:t>
      </w:r>
    </w:p>
    <w:p w14:paraId="491B20BF">
      <w:pPr>
        <w:spacing w:line="360" w:lineRule="auto"/>
        <w:ind w:firstLine="420" w:firstLineChars="200"/>
        <w:outlineLvl w:val="1"/>
        <w:rPr>
          <w:rFonts w:ascii="宋体" w:hAnsi="宋体" w:cs="宋体"/>
        </w:rPr>
      </w:pPr>
      <w:r>
        <w:rPr>
          <w:rFonts w:hint="eastAsia" w:ascii="宋体" w:hAnsi="宋体" w:cs="宋体"/>
        </w:rPr>
        <w:t>（一）项目基本情况</w:t>
      </w:r>
    </w:p>
    <w:p w14:paraId="58D0E8E8">
      <w:pPr>
        <w:spacing w:line="360" w:lineRule="auto"/>
        <w:ind w:firstLine="420" w:firstLineChars="200"/>
        <w:rPr>
          <w:rFonts w:ascii="宋体" w:hAnsi="宋体" w:cs="宋体"/>
        </w:rPr>
      </w:pPr>
      <w:r>
        <w:rPr>
          <w:rFonts w:hint="eastAsia" w:ascii="宋体" w:hAnsi="宋体" w:cs="宋体"/>
        </w:rPr>
        <w:t>浙江农林大学位于杭州市、杭州城西科创大走廊的西端，是浙江省人民政府与农业农村部共建高校、浙江省人民政府与国家林业和草原局共建高校、浙江省重点建设高校、浙江省高水平大学建设高校。学校创建于1958年，时称天目林学院，1966年改名为浙江林学院，2010年更名为浙江农林大学。经过60余年的建设，学校已发展成为以农林、生物、环境学科为特色，涵盖九大学科门类的多科性大学，建立了完整的本硕博人才培养和学位授权体系。</w:t>
      </w:r>
    </w:p>
    <w:p w14:paraId="3A3F1F66">
      <w:pPr>
        <w:spacing w:line="360" w:lineRule="auto"/>
        <w:ind w:firstLine="420" w:firstLineChars="200"/>
        <w:rPr>
          <w:rFonts w:ascii="宋体" w:hAnsi="宋体" w:cs="宋体"/>
        </w:rPr>
      </w:pPr>
      <w:r>
        <w:rPr>
          <w:rFonts w:hint="eastAsia" w:ascii="宋体" w:hAnsi="宋体" w:cs="宋体"/>
        </w:rPr>
        <w:t>学校在临安有东湖、衣锦2个校区，占地面积2800余亩，校舍建筑面积62.8万平方米。本部面向31个省（市、自治区）招生，现有全日制本科生18315人、研究生5049人、留学生998人，教职工2366人。拥有中国工程院院士1人、共享院士6人，国家级人才40人。全国模范教师、全国优秀教师、全国师德先进个人等21人，享受国务院特殊津贴19人。“全国高校黄大年式教师团队”1个、国家级教学团队1个、教育部创新团队1个、农业部农业科研杰出人才及其创新团队1个、国家林业和草原科技创新团队4个，省级创新团队17个、省级教学团队4个、“浙江省高校黄大年式教师团队”1个。</w:t>
      </w:r>
    </w:p>
    <w:p w14:paraId="4256ABD0">
      <w:pPr>
        <w:spacing w:line="360" w:lineRule="auto"/>
        <w:ind w:firstLine="422" w:firstLineChars="200"/>
        <w:outlineLvl w:val="1"/>
        <w:rPr>
          <w:b/>
          <w:bCs/>
        </w:rPr>
      </w:pPr>
      <w:r>
        <w:rPr>
          <w:rFonts w:hint="eastAsia"/>
          <w:b/>
          <w:bCs/>
        </w:rPr>
        <w:t>（二）</w:t>
      </w:r>
      <w:r>
        <w:rPr>
          <w:b/>
          <w:bCs/>
        </w:rPr>
        <w:t>服务方式</w:t>
      </w:r>
    </w:p>
    <w:p w14:paraId="7E0111A7">
      <w:pPr>
        <w:spacing w:line="360" w:lineRule="auto"/>
        <w:ind w:firstLine="420" w:firstLineChars="200"/>
      </w:pPr>
      <w:r>
        <w:t>中标人根据有关物业管理法规与采购人签订物业服务委托合同，对其所有的经营行为和其他行为承担一切责任。</w:t>
      </w:r>
    </w:p>
    <w:p w14:paraId="3C66EAE6">
      <w:pPr>
        <w:spacing w:line="360" w:lineRule="auto"/>
        <w:ind w:firstLine="422" w:firstLineChars="200"/>
        <w:outlineLvl w:val="1"/>
        <w:rPr>
          <w:b/>
          <w:bCs/>
        </w:rPr>
      </w:pPr>
      <w:r>
        <w:rPr>
          <w:rFonts w:hint="eastAsia"/>
          <w:b/>
          <w:bCs/>
        </w:rPr>
        <w:t>（三）</w:t>
      </w:r>
      <w:r>
        <w:rPr>
          <w:b/>
          <w:bCs/>
        </w:rPr>
        <w:t>服务范围及总体要求</w:t>
      </w:r>
      <w:r>
        <w:rPr>
          <w:rFonts w:hint="eastAsia"/>
          <w:b/>
          <w:bCs/>
        </w:rPr>
        <w:t xml:space="preserve">                                                                                                                                                                                                                                                                                                                                                                                                                                                                                                                               </w:t>
      </w:r>
    </w:p>
    <w:p w14:paraId="4220EA95">
      <w:pPr>
        <w:spacing w:line="360" w:lineRule="auto"/>
        <w:ind w:firstLine="420" w:firstLineChars="200"/>
        <w:rPr>
          <w:rFonts w:ascii="宋体" w:hAnsi="宋体" w:cs="宋体"/>
        </w:rPr>
      </w:pPr>
      <w:r>
        <w:rPr>
          <w:rFonts w:hint="eastAsia" w:ascii="宋体" w:hAnsi="宋体" w:cs="宋体"/>
        </w:rPr>
        <w:t>1.服务范围：东湖校区（含平山学生公寓）、衣锦校区整体校园物业服务。</w:t>
      </w:r>
    </w:p>
    <w:p w14:paraId="573A5F3A">
      <w:pPr>
        <w:spacing w:line="360" w:lineRule="auto"/>
        <w:ind w:firstLine="420" w:firstLineChars="200"/>
        <w:rPr>
          <w:rFonts w:ascii="宋体" w:hAnsi="宋体" w:cs="宋体"/>
        </w:rPr>
      </w:pPr>
      <w:r>
        <w:rPr>
          <w:rFonts w:hint="eastAsia" w:ascii="宋体" w:hAnsi="宋体" w:cs="宋体"/>
        </w:rPr>
        <w:t>2.工作内容：负责两校区整体物业服务，包括但不仅限于校园环境健康安全服务、楼宇综合服务、教师公寓服务、环境保洁、设施运行与日常维护、修缮工程和专项建设维修服务、绿化养护、快递邮政服务、会务与大型活动保障服务、校园一站式服务等，具体见主要服务内容说明。</w:t>
      </w:r>
    </w:p>
    <w:p w14:paraId="11ABAFC5">
      <w:pPr>
        <w:spacing w:line="360" w:lineRule="auto"/>
        <w:ind w:firstLine="422" w:firstLineChars="200"/>
        <w:outlineLvl w:val="1"/>
        <w:rPr>
          <w:b/>
          <w:bCs/>
        </w:rPr>
      </w:pPr>
      <w:r>
        <w:rPr>
          <w:rFonts w:hint="eastAsia"/>
          <w:b/>
          <w:bCs/>
        </w:rPr>
        <w:t>（四）</w:t>
      </w:r>
      <w:r>
        <w:rPr>
          <w:b/>
          <w:bCs/>
        </w:rPr>
        <w:t>服务期限</w:t>
      </w:r>
    </w:p>
    <w:p w14:paraId="0D33562D">
      <w:pPr>
        <w:spacing w:line="360" w:lineRule="auto"/>
        <w:ind w:firstLine="420" w:firstLineChars="200"/>
        <w:rPr>
          <w:rFonts w:ascii="宋体" w:hAnsi="宋体" w:cs="宋体"/>
        </w:rPr>
      </w:pPr>
      <w:r>
        <w:rPr>
          <w:rFonts w:hint="eastAsia" w:ascii="宋体" w:hAnsi="宋体" w:cs="宋体"/>
        </w:rPr>
        <w:t>1.服务期限。本项目招标服务期限为一年。</w:t>
      </w:r>
    </w:p>
    <w:p w14:paraId="62F8BBB4">
      <w:pPr>
        <w:spacing w:line="360" w:lineRule="auto"/>
        <w:ind w:firstLine="420" w:firstLineChars="200"/>
        <w:rPr>
          <w:rFonts w:ascii="宋体" w:hAnsi="宋体" w:cs="宋体"/>
        </w:rPr>
      </w:pPr>
      <w:r>
        <w:rPr>
          <w:rFonts w:hint="eastAsia" w:ascii="宋体" w:hAnsi="宋体" w:cs="宋体"/>
        </w:rPr>
        <w:t>2.物业移交期。中标通知书发出之后至正式服务期开始为物业移交期，在物业移交期间由采购人安排，由中标人和原物业服务单位进行服务范围和要求、相关设施、用具、用房和人员等的交接工作，相关交接工作完成后，采购人将组织与中标人签署服务合同。物业移交期产生的费用包含在本项目费用报价中，采购人不再支付任何费用。</w:t>
      </w:r>
    </w:p>
    <w:p w14:paraId="219E9CE5">
      <w:pPr>
        <w:spacing w:line="360" w:lineRule="auto"/>
        <w:ind w:firstLine="420" w:firstLineChars="200"/>
        <w:rPr>
          <w:rFonts w:ascii="宋体" w:hAnsi="宋体" w:cs="宋体"/>
        </w:rPr>
      </w:pPr>
      <w:r>
        <w:rPr>
          <w:rFonts w:hint="eastAsia" w:ascii="宋体" w:hAnsi="宋体" w:cs="宋体"/>
        </w:rPr>
        <w:t>3.服务期其它要求。合同有效期内采购人定期组织对物业服务质量进行综合评估考核，考核结果达不到合同约定，采购人可随时通知中标人提前终止合同。</w:t>
      </w:r>
    </w:p>
    <w:p w14:paraId="6B3FCC51">
      <w:pPr>
        <w:spacing w:line="360" w:lineRule="auto"/>
        <w:ind w:firstLine="422" w:firstLineChars="200"/>
        <w:outlineLvl w:val="1"/>
        <w:rPr>
          <w:b/>
          <w:bCs/>
        </w:rPr>
      </w:pPr>
      <w:r>
        <w:rPr>
          <w:rFonts w:hint="eastAsia"/>
          <w:b/>
          <w:bCs/>
        </w:rPr>
        <w:t>（五）报价说明及报价原则</w:t>
      </w:r>
    </w:p>
    <w:p w14:paraId="3BA6E1C2">
      <w:pPr>
        <w:spacing w:line="360" w:lineRule="auto"/>
        <w:ind w:firstLine="420" w:firstLineChars="200"/>
        <w:rPr>
          <w:rFonts w:ascii="宋体" w:hAnsi="宋体" w:cs="宋体"/>
        </w:rPr>
      </w:pPr>
      <w:r>
        <w:rPr>
          <w:rFonts w:hint="eastAsia" w:ascii="宋体" w:hAnsi="宋体" w:cs="宋体"/>
        </w:rPr>
        <w:t>1.本项目</w:t>
      </w:r>
      <w:r>
        <w:rPr>
          <w:rFonts w:hint="eastAsia" w:ascii="宋体" w:hAnsi="宋体" w:cs="宋体"/>
          <w:lang w:val="en-US" w:eastAsia="zh-CN"/>
        </w:rPr>
        <w:t>预算为</w:t>
      </w:r>
      <w:r>
        <w:rPr>
          <w:rFonts w:hint="eastAsia" w:ascii="宋体" w:hAnsi="宋体" w:cs="宋体"/>
        </w:rPr>
        <w:t>26612296元/年，超过最高限价的，磋商响应文件将被视为无效。</w:t>
      </w:r>
    </w:p>
    <w:p w14:paraId="223095E0">
      <w:pPr>
        <w:spacing w:line="360" w:lineRule="auto"/>
        <w:ind w:firstLine="420" w:firstLineChars="200"/>
        <w:rPr>
          <w:rFonts w:ascii="宋体" w:hAnsi="宋体" w:cs="宋体"/>
        </w:rPr>
      </w:pPr>
      <w:r>
        <w:rPr>
          <w:rFonts w:hint="eastAsia" w:ascii="宋体" w:hAnsi="宋体" w:cs="宋体"/>
        </w:rPr>
        <w:t>2.服务费应充分考虑合同期内包括的服务成本、法定税费和管理企业利润等。由各投标人根据招标文件所提供的资料自行测算响应投标报价。</w:t>
      </w:r>
    </w:p>
    <w:p w14:paraId="4E9F8A93">
      <w:pPr>
        <w:spacing w:line="360" w:lineRule="auto"/>
        <w:ind w:firstLine="420" w:firstLineChars="200"/>
        <w:rPr>
          <w:rFonts w:ascii="宋体" w:hAnsi="宋体" w:cs="宋体"/>
        </w:rPr>
      </w:pPr>
      <w:r>
        <w:rPr>
          <w:rFonts w:hint="eastAsia" w:ascii="宋体" w:hAnsi="宋体" w:cs="宋体"/>
        </w:rPr>
        <w:t>3.本项目所有员工统一着工作服，不同岗位员工的工作服装由中标人购置，费用包含在投标总价内，服装款式与品质应与学校校区风格相符，合同服务期起始之日起一个月内经采购人确认后完成采购。本项目内管理岗位、清洁和设施运维及其它岗位员工使用的办公设备和工具设备，除采购人提供给中标人使用的设备、工具外，所有为完成项目服务所需的办公设备、工具和设施等由中标人购置，费用包含在投标报价内。</w:t>
      </w:r>
    </w:p>
    <w:p w14:paraId="231915C3">
      <w:pPr>
        <w:spacing w:line="360" w:lineRule="auto"/>
        <w:ind w:firstLine="420" w:firstLineChars="200"/>
        <w:rPr>
          <w:rFonts w:ascii="宋体" w:hAnsi="宋体" w:cs="宋体"/>
        </w:rPr>
      </w:pPr>
      <w:r>
        <w:rPr>
          <w:rFonts w:hint="eastAsia" w:ascii="宋体" w:hAnsi="宋体" w:cs="宋体"/>
        </w:rPr>
        <w:t>4.本项目物业服务费应包括但不限于以下内容：</w:t>
      </w:r>
    </w:p>
    <w:p w14:paraId="25B89414">
      <w:pPr>
        <w:spacing w:line="360" w:lineRule="auto"/>
        <w:ind w:firstLine="420" w:firstLineChars="200"/>
        <w:rPr>
          <w:rFonts w:ascii="宋体" w:hAnsi="宋体" w:cs="宋体"/>
        </w:rPr>
      </w:pPr>
      <w:r>
        <w:rPr>
          <w:rFonts w:hint="eastAsia" w:ascii="宋体" w:hAnsi="宋体" w:cs="宋体"/>
        </w:rPr>
        <w:t>（1）人员费用：包括员工薪金、福利待遇、员工制服、员工餐费、节日加班、交通补助等；</w:t>
      </w:r>
    </w:p>
    <w:p w14:paraId="089DEAB6">
      <w:pPr>
        <w:spacing w:line="360" w:lineRule="auto"/>
        <w:ind w:firstLine="420" w:firstLineChars="200"/>
        <w:rPr>
          <w:rFonts w:ascii="宋体" w:hAnsi="宋体" w:cs="宋体"/>
        </w:rPr>
      </w:pPr>
      <w:r>
        <w:rPr>
          <w:rFonts w:hint="eastAsia" w:ascii="宋体" w:hAnsi="宋体" w:cs="宋体"/>
        </w:rPr>
        <w:t>（2）设施工具费用：包括日常耗材费、工具车用燃料费等；</w:t>
      </w:r>
    </w:p>
    <w:p w14:paraId="0B498737">
      <w:pPr>
        <w:spacing w:line="360" w:lineRule="auto"/>
        <w:ind w:firstLine="420" w:firstLineChars="200"/>
        <w:rPr>
          <w:rFonts w:ascii="宋体" w:hAnsi="宋体" w:cs="宋体"/>
        </w:rPr>
      </w:pPr>
      <w:r>
        <w:rPr>
          <w:rFonts w:hint="eastAsia" w:ascii="宋体" w:hAnsi="宋体" w:cs="宋体"/>
        </w:rPr>
        <w:t>（3）维修和设施设备日常维护费用：包括维修设备以及日常零修的配件费用、设施设备日常维护耗材费用等。</w:t>
      </w:r>
    </w:p>
    <w:p w14:paraId="432D83A3">
      <w:pPr>
        <w:spacing w:line="360" w:lineRule="auto"/>
        <w:ind w:firstLine="420" w:firstLineChars="200"/>
        <w:rPr>
          <w:rFonts w:ascii="宋体" w:hAnsi="宋体" w:cs="宋体"/>
        </w:rPr>
      </w:pPr>
      <w:r>
        <w:rPr>
          <w:rFonts w:hint="eastAsia" w:ascii="宋体" w:hAnsi="宋体" w:cs="宋体"/>
        </w:rPr>
        <w:t>（4）有关专项服务费用：招标文件内明确的各类专业维保、设施设备、空间投入费用、文化建设费、绿化养护费等</w:t>
      </w:r>
    </w:p>
    <w:p w14:paraId="0A463302">
      <w:pPr>
        <w:spacing w:line="360" w:lineRule="auto"/>
        <w:ind w:firstLine="420" w:firstLineChars="200"/>
        <w:rPr>
          <w:rFonts w:ascii="宋体" w:hAnsi="宋体" w:cs="宋体"/>
        </w:rPr>
      </w:pPr>
      <w:r>
        <w:rPr>
          <w:rFonts w:hint="eastAsia" w:ascii="宋体" w:hAnsi="宋体" w:cs="宋体"/>
        </w:rPr>
        <w:t>（5）行政办公费：包括办公费、法律财务审计费等；</w:t>
      </w:r>
    </w:p>
    <w:p w14:paraId="2B8E6748">
      <w:pPr>
        <w:spacing w:line="360" w:lineRule="auto"/>
        <w:ind w:firstLine="420" w:firstLineChars="200"/>
        <w:rPr>
          <w:rFonts w:ascii="宋体" w:hAnsi="宋体" w:cs="宋体"/>
        </w:rPr>
      </w:pPr>
      <w:r>
        <w:rPr>
          <w:rFonts w:hint="eastAsia" w:ascii="宋体" w:hAnsi="宋体" w:cs="宋体"/>
        </w:rPr>
        <w:t>（6）公共保险费：包括财产险、公众责任险、机器损坏险等；</w:t>
      </w:r>
    </w:p>
    <w:p w14:paraId="481717AD">
      <w:pPr>
        <w:spacing w:line="360" w:lineRule="auto"/>
        <w:ind w:firstLine="420" w:firstLineChars="200"/>
        <w:rPr>
          <w:rFonts w:ascii="宋体" w:hAnsi="宋体" w:cs="宋体"/>
        </w:rPr>
      </w:pPr>
      <w:r>
        <w:rPr>
          <w:rFonts w:hint="eastAsia" w:ascii="宋体" w:hAnsi="宋体" w:cs="宋体"/>
        </w:rPr>
        <w:t>（7）企业利润；</w:t>
      </w:r>
    </w:p>
    <w:p w14:paraId="69E40570">
      <w:pPr>
        <w:spacing w:line="360" w:lineRule="auto"/>
        <w:ind w:firstLine="420" w:firstLineChars="200"/>
        <w:rPr>
          <w:rFonts w:ascii="宋体" w:hAnsi="宋体" w:cs="宋体"/>
        </w:rPr>
      </w:pPr>
      <w:r>
        <w:rPr>
          <w:rFonts w:hint="eastAsia" w:ascii="宋体" w:hAnsi="宋体" w:cs="宋体"/>
        </w:rPr>
        <w:t>（8）税费；</w:t>
      </w:r>
    </w:p>
    <w:p w14:paraId="6920FAB5">
      <w:pPr>
        <w:spacing w:line="360" w:lineRule="auto"/>
        <w:ind w:firstLine="420" w:firstLineChars="200"/>
        <w:rPr>
          <w:rFonts w:ascii="宋体" w:hAnsi="宋体" w:cs="宋体"/>
        </w:rPr>
      </w:pPr>
      <w:r>
        <w:rPr>
          <w:rFonts w:hint="eastAsia" w:ascii="宋体" w:hAnsi="宋体" w:cs="宋体"/>
        </w:rPr>
        <w:t>（9）其它投标单位认为需要投入的费用。</w:t>
      </w:r>
    </w:p>
    <w:p w14:paraId="0484F91B">
      <w:pPr>
        <w:spacing w:line="360" w:lineRule="auto"/>
        <w:ind w:firstLine="420" w:firstLineChars="200"/>
        <w:rPr>
          <w:rFonts w:ascii="宋体" w:hAnsi="宋体" w:cs="宋体"/>
        </w:rPr>
      </w:pPr>
      <w:r>
        <w:rPr>
          <w:rFonts w:hint="eastAsia" w:ascii="宋体" w:hAnsi="宋体" w:cs="宋体"/>
        </w:rPr>
        <w:t>5.投标单位应根据项目实际，结合成本自行决定报价，但不得以低于企业成本的报价投标。</w:t>
      </w:r>
    </w:p>
    <w:p w14:paraId="1B123FB6">
      <w:pPr>
        <w:spacing w:line="360" w:lineRule="auto"/>
        <w:ind w:firstLine="420" w:firstLineChars="200"/>
        <w:rPr>
          <w:rFonts w:ascii="宋体" w:hAnsi="宋体" w:cs="宋体"/>
        </w:rPr>
      </w:pPr>
      <w:r>
        <w:rPr>
          <w:rFonts w:hint="eastAsia" w:ascii="宋体" w:hAnsi="宋体" w:cs="宋体"/>
        </w:rPr>
        <w:t>6.投标单位的投标报价，应是本项目采购范围和招标文件中所列的各项内容中所述的所有费用，且不得重复。</w:t>
      </w:r>
    </w:p>
    <w:p w14:paraId="73E876DC">
      <w:pPr>
        <w:spacing w:line="360" w:lineRule="auto"/>
        <w:ind w:firstLine="420" w:firstLineChars="200"/>
        <w:rPr>
          <w:rFonts w:asciiTheme="minorEastAsia" w:hAnsiTheme="minorEastAsia" w:cstheme="minorEastAsia"/>
          <w:b/>
          <w:bCs/>
          <w:szCs w:val="21"/>
        </w:rPr>
      </w:pPr>
      <w:r>
        <w:rPr>
          <w:rFonts w:hint="eastAsia" w:ascii="宋体" w:hAnsi="宋体" w:cs="宋体"/>
        </w:rPr>
        <w:t>7.如采购人所在地在采购服务期内有相关的“最低收入标准”等调整，所有费用包含在本项目投标价内，且项目所有人员工资（包括可能的兼聘员工）待遇不得违反《劳动合同法》和《劳动法》等相关法律法规的规定及采购人所在地省市的相关规定。中标人雇佣人员工作时间应符合相关法律法规。</w:t>
      </w:r>
    </w:p>
    <w:p w14:paraId="7A128DB8">
      <w:pPr>
        <w:spacing w:before="120" w:beforeLines="50" w:after="120" w:afterLines="50" w:line="360" w:lineRule="auto"/>
        <w:ind w:firstLine="422" w:firstLineChars="200"/>
        <w:outlineLvl w:val="0"/>
        <w:rPr>
          <w:rFonts w:asciiTheme="minorEastAsia" w:hAnsiTheme="minorEastAsia" w:cstheme="minorEastAsia"/>
          <w:b/>
          <w:bCs/>
          <w:szCs w:val="21"/>
        </w:rPr>
      </w:pPr>
      <w:r>
        <w:rPr>
          <w:rFonts w:hint="eastAsia" w:asciiTheme="minorEastAsia" w:hAnsiTheme="minorEastAsia" w:cstheme="minorEastAsia"/>
          <w:b/>
          <w:bCs/>
          <w:szCs w:val="21"/>
        </w:rPr>
        <w:t>二、项目服务总体要求</w:t>
      </w:r>
    </w:p>
    <w:p w14:paraId="4A8FD48B">
      <w:pPr>
        <w:spacing w:line="360" w:lineRule="auto"/>
        <w:ind w:firstLine="420" w:firstLineChars="200"/>
        <w:outlineLvl w:val="1"/>
      </w:pPr>
      <w:r>
        <w:rPr>
          <w:rFonts w:hint="eastAsia"/>
        </w:rPr>
        <w:t>（一）投标单位要求</w:t>
      </w:r>
    </w:p>
    <w:p w14:paraId="7925355B">
      <w:pPr>
        <w:pStyle w:val="35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1.应根据ISO9001质量管理体系要求，应制定和建立物业管理的架构、规章制度以及相关管理方案、应急预案、巡查巡视及检查报告、设施设备操作规范、服务规范等。</w:t>
      </w:r>
    </w:p>
    <w:p w14:paraId="026ECFA7">
      <w:pPr>
        <w:pStyle w:val="35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2.单独制定的相关制度、方案在实施前报告采购人，经采购人审核、批准后方可实施。</w:t>
      </w:r>
    </w:p>
    <w:p w14:paraId="675325CA">
      <w:pPr>
        <w:pStyle w:val="35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3.需建立完善的物业管理档案（设备管理、日常管理等），负责编制物业管理服务年度计划，具备完善的对各级人员的管理制度和考核细则，并向采购人提交上述文件的正式版本。采购人有权查阅物业公司的管理档案，中标人应每年度或者采购人认为有必要时向采购人移交相关档案。</w:t>
      </w:r>
    </w:p>
    <w:p w14:paraId="13A4D0B8">
      <w:pPr>
        <w:pStyle w:val="35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4.按照学校管理实际情况和管理需求，对校区可能遇到的突发情况制定相应的应急预案，包括但不仅限于防自然灾害如台风、暴雨、雪灾冰冻恶劣天气；公共安全与卫生防范如火灾、大型活动管理等预案；电梯困人预案等，预案形成书面材料报采购人审批。</w:t>
      </w:r>
    </w:p>
    <w:p w14:paraId="1A10A25A">
      <w:pPr>
        <w:pStyle w:val="35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5.项目管理团队和工作人员的年龄和学历结构合理，人员素质与能力满足学校办学服务需求；具备完备可持续的培训机制保证员工队伍的总体素质与服务能力；员工录用必须无犯罪记录；凡国家有关法规规定需持证上岗的，都应具有相应的有效资格证书；在岗期间必须佩带清晰的员工卡，着统一工作服。</w:t>
      </w:r>
    </w:p>
    <w:p w14:paraId="22E90145">
      <w:pPr>
        <w:spacing w:line="360" w:lineRule="auto"/>
        <w:ind w:firstLine="420" w:firstLineChars="200"/>
        <w:rPr>
          <w:rFonts w:ascii="宋体" w:hAnsi="宋体" w:cs="宋体"/>
        </w:rPr>
      </w:pPr>
      <w:r>
        <w:rPr>
          <w:rFonts w:hint="eastAsia" w:ascii="宋体" w:hAnsi="宋体" w:cs="宋体"/>
        </w:rPr>
        <w:t>6.须严格按物业委托相关文件（招标文件、投标文件、合同及补充文件等）中确定的物业服务方案和质量保证体系做好各项工作，确保方案执行到位，服务质量按标准执行；</w:t>
      </w:r>
    </w:p>
    <w:p w14:paraId="16B1E042">
      <w:pPr>
        <w:spacing w:line="360" w:lineRule="auto"/>
        <w:ind w:firstLine="420" w:firstLineChars="200"/>
        <w:rPr>
          <w:rFonts w:ascii="宋体" w:hAnsi="宋体" w:cs="宋体"/>
        </w:rPr>
      </w:pPr>
      <w:r>
        <w:rPr>
          <w:rFonts w:hint="eastAsia" w:ascii="宋体" w:hAnsi="宋体" w:cs="宋体"/>
        </w:rPr>
        <w:t>7.遵守《劳动合同法》规定，给每位员工办理用工手续，负责支付上岗人员的工资、津贴、社会保险及根据国家规定应支付的有关费用。</w:t>
      </w:r>
    </w:p>
    <w:p w14:paraId="42B7BCD8">
      <w:pPr>
        <w:spacing w:line="360" w:lineRule="auto"/>
        <w:ind w:firstLine="420" w:firstLineChars="200"/>
        <w:rPr>
          <w:rFonts w:ascii="宋体" w:hAnsi="宋体" w:cs="宋体"/>
        </w:rPr>
      </w:pPr>
      <w:r>
        <w:rPr>
          <w:rFonts w:hint="eastAsia" w:ascii="宋体" w:hAnsi="宋体" w:cs="宋体"/>
        </w:rPr>
        <w:t>8.应主动配合学校各项工作，服从整体调度，认真听取学校各部门和师生提出的建议意见，应遵守学校的各项规章制度及工作规范，服从学校管理，接受学校监督、检查和指导，对发现的问题及时整改到位。</w:t>
      </w:r>
    </w:p>
    <w:p w14:paraId="3ACDCC91">
      <w:pPr>
        <w:spacing w:line="360" w:lineRule="auto"/>
        <w:ind w:firstLine="420" w:firstLineChars="200"/>
        <w:rPr>
          <w:rFonts w:ascii="宋体" w:hAnsi="宋体" w:cs="宋体"/>
        </w:rPr>
      </w:pPr>
      <w:r>
        <w:rPr>
          <w:rFonts w:hint="eastAsia" w:ascii="宋体" w:hAnsi="宋体" w:cs="宋体"/>
        </w:rPr>
        <w:t>9.必须对上岗人员按规定进行岗位培训，对上岗人员定期进行职业道德教育，端正服务态度，提高服务质量；做好员工的教育管理工作，具有良好的服务态度和意识，不与师生发生冲突，学校有权对违反校纪校规的中标人及员工进行处理，员工违反规章制度给学校造成损失的由中标人负责全额赔偿。</w:t>
      </w:r>
    </w:p>
    <w:p w14:paraId="6C4AA7DF">
      <w:pPr>
        <w:spacing w:line="360" w:lineRule="auto"/>
        <w:ind w:firstLine="420" w:firstLineChars="200"/>
        <w:rPr>
          <w:rFonts w:ascii="宋体" w:hAnsi="宋体" w:cs="宋体"/>
        </w:rPr>
      </w:pPr>
      <w:r>
        <w:rPr>
          <w:rFonts w:hint="eastAsia" w:ascii="宋体" w:hAnsi="宋体" w:cs="宋体"/>
        </w:rPr>
        <w:t>10.项目管理团队成员为校区项目专聘人员，不得在其它项目兼职，工作时间内未经采购人允许不得擅自离岗。</w:t>
      </w:r>
    </w:p>
    <w:p w14:paraId="7DBC2511">
      <w:pPr>
        <w:spacing w:line="360" w:lineRule="auto"/>
        <w:ind w:firstLine="420" w:firstLineChars="200"/>
        <w:rPr>
          <w:rFonts w:ascii="宋体" w:hAnsi="宋体" w:cs="宋体"/>
        </w:rPr>
      </w:pPr>
      <w:r>
        <w:rPr>
          <w:rFonts w:hint="eastAsia" w:ascii="宋体" w:hAnsi="宋体" w:cs="宋体"/>
        </w:rPr>
        <w:t>11.必须在学校设立服务中心，对本项目实施独立和完整的项目管理，在人员、财务、设备等方面不得与其他项目合并管理和使用，否则按照违约进行处理。根据学校的服务需求、要求和服务特点制定各项内部管理制度、工作流程等，并由公司派专职督导人员定期进行现场督导，落实各项制度和工作标准规范。</w:t>
      </w:r>
    </w:p>
    <w:p w14:paraId="0DCAD504">
      <w:pPr>
        <w:spacing w:line="360" w:lineRule="auto"/>
        <w:ind w:firstLine="420" w:firstLineChars="200"/>
        <w:rPr>
          <w:rFonts w:ascii="宋体" w:hAnsi="宋体" w:cs="宋体"/>
        </w:rPr>
      </w:pPr>
      <w:r>
        <w:rPr>
          <w:rFonts w:hint="eastAsia" w:ascii="宋体" w:hAnsi="宋体" w:cs="宋体"/>
        </w:rPr>
        <w:t>12.在物业管理各项目的操作均需严格按照国家和地区相关安全操作规程，如发生违规操作现象，所产生的后果全部由中标人承担，如造成经济损失，全部损失由中标人赔偿，中标人员工在履行职务中的人员伤亡，采购人不承担任何责任。给采购人造成损失的应恢复原状或照价赔偿。</w:t>
      </w:r>
    </w:p>
    <w:p w14:paraId="61C08CB2">
      <w:pPr>
        <w:spacing w:line="360" w:lineRule="auto"/>
        <w:ind w:firstLine="420" w:firstLineChars="200"/>
        <w:rPr>
          <w:rFonts w:ascii="宋体" w:hAnsi="宋体" w:cs="宋体"/>
        </w:rPr>
      </w:pPr>
      <w:r>
        <w:rPr>
          <w:rFonts w:hint="eastAsia" w:ascii="宋体" w:hAnsi="宋体" w:cs="宋体"/>
        </w:rPr>
        <w:t>13.应根据国务院379号《物业管理条例》（2018年3月19日修订版）、行业规范及浙江农林大学的有关规定，制订物业管理服务方案，中标后按物业服务管理方案及承诺履行物业管理责任。学校按年度对中标人服务履约进行考核。</w:t>
      </w:r>
    </w:p>
    <w:p w14:paraId="45175AE2">
      <w:pPr>
        <w:spacing w:line="360" w:lineRule="auto"/>
        <w:ind w:firstLine="420" w:firstLineChars="200"/>
        <w:outlineLvl w:val="1"/>
        <w:rPr>
          <w:rFonts w:asciiTheme="minorEastAsia" w:hAnsiTheme="minorEastAsia" w:cstheme="minorEastAsia"/>
          <w:b/>
          <w:bCs/>
          <w:szCs w:val="21"/>
        </w:rPr>
      </w:pPr>
      <w:r>
        <w:rPr>
          <w:rFonts w:hint="eastAsia"/>
        </w:rPr>
        <w:t>（二）人员要求</w:t>
      </w:r>
    </w:p>
    <w:p w14:paraId="5D09B321">
      <w:pPr>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1.高级管理人员配置</w:t>
      </w:r>
    </w:p>
    <w:tbl>
      <w:tblPr>
        <w:tblStyle w:val="53"/>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909"/>
      </w:tblGrid>
      <w:tr w14:paraId="248C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0" w:type="dxa"/>
            <w:vAlign w:val="center"/>
          </w:tcPr>
          <w:p w14:paraId="6DB125A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岗位名称</w:t>
            </w:r>
          </w:p>
        </w:tc>
        <w:tc>
          <w:tcPr>
            <w:tcW w:w="7909" w:type="dxa"/>
            <w:vAlign w:val="center"/>
          </w:tcPr>
          <w:p w14:paraId="4B72D22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岗位要求</w:t>
            </w:r>
          </w:p>
        </w:tc>
      </w:tr>
      <w:tr w14:paraId="333F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14:paraId="27698E8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项目总经理</w:t>
            </w:r>
          </w:p>
        </w:tc>
        <w:tc>
          <w:tcPr>
            <w:tcW w:w="7909" w:type="dxa"/>
            <w:vAlign w:val="center"/>
          </w:tcPr>
          <w:p w14:paraId="4F21FC7E">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1.25-60周岁，性别不限，本科及以上学历；</w:t>
            </w:r>
          </w:p>
          <w:p w14:paraId="18065360">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2.政治素质好，业务能力强，工作责任感好，组织管理能力强；</w:t>
            </w:r>
          </w:p>
          <w:p w14:paraId="31E76D84">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3.必须常驻项目现场，为本项目专用不得兼任,每周至少4天及以上住宿在临安区；</w:t>
            </w:r>
          </w:p>
          <w:p w14:paraId="6826981A">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4.合同期内不得任意更换，如果更换须提前三个月通知采购人并经采购人同意。</w:t>
            </w:r>
          </w:p>
        </w:tc>
      </w:tr>
      <w:tr w14:paraId="4BF9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14:paraId="1B9A63D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w:t>
            </w:r>
          </w:p>
          <w:p w14:paraId="468D019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副总经理</w:t>
            </w:r>
          </w:p>
        </w:tc>
        <w:tc>
          <w:tcPr>
            <w:tcW w:w="7909" w:type="dxa"/>
            <w:vAlign w:val="center"/>
          </w:tcPr>
          <w:p w14:paraId="3B7EFD94">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1.25-60周岁，性别不限，本科及以上学历；</w:t>
            </w:r>
          </w:p>
          <w:p w14:paraId="53575B5B">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2.政治素质好，业务能力强，工作责任感好，组织管理能力；</w:t>
            </w:r>
          </w:p>
          <w:p w14:paraId="3C13662A">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3.有5年以上高校后勤管理经历。</w:t>
            </w:r>
          </w:p>
        </w:tc>
      </w:tr>
      <w:tr w14:paraId="21A4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vAlign w:val="center"/>
          </w:tcPr>
          <w:p w14:paraId="29594AA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项目管理团队成员</w:t>
            </w:r>
          </w:p>
        </w:tc>
        <w:tc>
          <w:tcPr>
            <w:tcW w:w="7909" w:type="dxa"/>
            <w:vAlign w:val="center"/>
          </w:tcPr>
          <w:p w14:paraId="3DC4F2B8">
            <w:pPr>
              <w:numPr>
                <w:ilvl w:val="255"/>
                <w:numId w:val="0"/>
              </w:numPr>
              <w:spacing w:line="360" w:lineRule="auto"/>
              <w:ind w:left="-2" w:leftChars="-1"/>
              <w:rPr>
                <w:rFonts w:asciiTheme="minorEastAsia" w:hAnsiTheme="minorEastAsia" w:cstheme="minorEastAsia"/>
                <w:szCs w:val="21"/>
              </w:rPr>
            </w:pPr>
            <w:r>
              <w:rPr>
                <w:rFonts w:hint="eastAsia" w:asciiTheme="minorEastAsia" w:hAnsiTheme="minorEastAsia" w:cstheme="minorEastAsia"/>
                <w:szCs w:val="21"/>
              </w:rPr>
              <w:t>1.25-60周岁，性别不限，本科及以上学历；</w:t>
            </w:r>
          </w:p>
          <w:p w14:paraId="09A9751D">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2.政治素质好，工作责任感好，具备团队合作精神，具备相应岗位的业务技能；</w:t>
            </w:r>
          </w:p>
          <w:p w14:paraId="67DA5C08">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3.主要负责项目的总体综合管理协调，人事、财务、质量监控、采购等工作。</w:t>
            </w:r>
          </w:p>
        </w:tc>
      </w:tr>
    </w:tbl>
    <w:p w14:paraId="356EB132">
      <w:pPr>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2.项目人员配置</w:t>
      </w:r>
    </w:p>
    <w:p w14:paraId="20B9A116">
      <w:pPr>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（1）项目人员岗位要求</w:t>
      </w:r>
    </w:p>
    <w:tbl>
      <w:tblPr>
        <w:tblStyle w:val="53"/>
        <w:tblW w:w="9915" w:type="dxa"/>
        <w:jc w:val="center"/>
        <w:tblLayout w:type="fixed"/>
        <w:tblCellMar>
          <w:top w:w="0" w:type="dxa"/>
          <w:left w:w="108" w:type="dxa"/>
          <w:bottom w:w="0" w:type="dxa"/>
          <w:right w:w="108" w:type="dxa"/>
        </w:tblCellMar>
      </w:tblPr>
      <w:tblGrid>
        <w:gridCol w:w="1156"/>
        <w:gridCol w:w="1156"/>
        <w:gridCol w:w="7603"/>
      </w:tblGrid>
      <w:tr w14:paraId="49874526">
        <w:tblPrEx>
          <w:tblCellMar>
            <w:top w:w="0" w:type="dxa"/>
            <w:left w:w="108" w:type="dxa"/>
            <w:bottom w:w="0" w:type="dxa"/>
            <w:right w:w="108" w:type="dxa"/>
          </w:tblCellMar>
        </w:tblPrEx>
        <w:trPr>
          <w:trHeight w:val="149" w:hRule="atLeast"/>
          <w:jc w:val="center"/>
        </w:trPr>
        <w:tc>
          <w:tcPr>
            <w:tcW w:w="11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580E2E">
            <w:pPr>
              <w:widowControl/>
              <w:spacing w:line="360" w:lineRule="auto"/>
              <w:jc w:val="center"/>
              <w:textAlignment w:val="center"/>
              <w:rPr>
                <w:rFonts w:asciiTheme="minorEastAsia" w:hAnsiTheme="minorEastAsia" w:cstheme="minorEastAsia"/>
                <w:kern w:val="0"/>
                <w:szCs w:val="21"/>
                <w:lang w:bidi="ar"/>
              </w:rPr>
            </w:pPr>
          </w:p>
        </w:tc>
        <w:tc>
          <w:tcPr>
            <w:tcW w:w="11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BC0D27">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岗位</w:t>
            </w:r>
          </w:p>
        </w:tc>
        <w:tc>
          <w:tcPr>
            <w:tcW w:w="7603" w:type="dxa"/>
            <w:tcBorders>
              <w:top w:val="single" w:color="000000" w:sz="8" w:space="0"/>
              <w:left w:val="nil"/>
              <w:bottom w:val="single" w:color="000000" w:sz="8" w:space="0"/>
              <w:right w:val="single" w:color="000000" w:sz="8" w:space="0"/>
            </w:tcBorders>
            <w:shd w:val="clear" w:color="auto" w:fill="auto"/>
            <w:vAlign w:val="center"/>
          </w:tcPr>
          <w:p w14:paraId="1138CB30">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岗位职责及任职要求</w:t>
            </w:r>
          </w:p>
        </w:tc>
      </w:tr>
      <w:tr w14:paraId="01EC825B">
        <w:tblPrEx>
          <w:tblCellMar>
            <w:top w:w="0" w:type="dxa"/>
            <w:left w:w="108" w:type="dxa"/>
            <w:bottom w:w="0" w:type="dxa"/>
            <w:right w:w="108" w:type="dxa"/>
          </w:tblCellMar>
        </w:tblPrEx>
        <w:trPr>
          <w:trHeight w:val="708" w:hRule="atLeast"/>
          <w:jc w:val="center"/>
        </w:trPr>
        <w:tc>
          <w:tcPr>
            <w:tcW w:w="1156" w:type="dxa"/>
            <w:vMerge w:val="restart"/>
            <w:tcBorders>
              <w:top w:val="nil"/>
              <w:left w:val="single" w:color="000000" w:sz="8" w:space="0"/>
              <w:right w:val="single" w:color="000000" w:sz="8" w:space="0"/>
            </w:tcBorders>
            <w:shd w:val="clear" w:color="auto" w:fill="auto"/>
            <w:noWrap/>
            <w:vAlign w:val="center"/>
          </w:tcPr>
          <w:p w14:paraId="698C03C2">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学生公寓服务</w:t>
            </w:r>
          </w:p>
        </w:tc>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17D96887">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公寓项目负责人</w:t>
            </w:r>
          </w:p>
        </w:tc>
        <w:tc>
          <w:tcPr>
            <w:tcW w:w="7603" w:type="dxa"/>
            <w:tcBorders>
              <w:top w:val="nil"/>
              <w:left w:val="nil"/>
              <w:bottom w:val="single" w:color="000000" w:sz="8" w:space="0"/>
              <w:right w:val="single" w:color="000000" w:sz="8" w:space="0"/>
            </w:tcBorders>
            <w:shd w:val="clear" w:color="auto" w:fill="auto"/>
            <w:vAlign w:val="center"/>
          </w:tcPr>
          <w:p w14:paraId="538B336F">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1.全面负责公寓工作；负责制定和实施发展规划，制定并组织实施阶段性和年度工作计划，具体公寓学生负责的日常管理、服务、安全监管、经营等工作；</w:t>
            </w:r>
          </w:p>
          <w:p w14:paraId="75050462">
            <w:pPr>
              <w:widowControl/>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2.本科以上学历或中级以上职称，政治素质好，业务能力强，工作责任感好，组织管理能力强。</w:t>
            </w:r>
          </w:p>
        </w:tc>
      </w:tr>
      <w:tr w14:paraId="1C3A8B71">
        <w:tblPrEx>
          <w:tblCellMar>
            <w:top w:w="0" w:type="dxa"/>
            <w:left w:w="108" w:type="dxa"/>
            <w:bottom w:w="0" w:type="dxa"/>
            <w:right w:w="108" w:type="dxa"/>
          </w:tblCellMar>
        </w:tblPrEx>
        <w:trPr>
          <w:trHeight w:val="585" w:hRule="atLeast"/>
          <w:jc w:val="center"/>
        </w:trPr>
        <w:tc>
          <w:tcPr>
            <w:tcW w:w="1156" w:type="dxa"/>
            <w:vMerge w:val="continue"/>
            <w:tcBorders>
              <w:left w:val="single" w:color="000000" w:sz="8" w:space="0"/>
              <w:right w:val="single" w:color="000000" w:sz="8" w:space="0"/>
            </w:tcBorders>
            <w:shd w:val="clear" w:color="auto" w:fill="auto"/>
            <w:noWrap/>
            <w:vAlign w:val="center"/>
          </w:tcPr>
          <w:p w14:paraId="68EF18D7">
            <w:pPr>
              <w:widowControl/>
              <w:spacing w:line="360" w:lineRule="auto"/>
              <w:jc w:val="left"/>
              <w:textAlignment w:val="center"/>
              <w:rPr>
                <w:rFonts w:asciiTheme="minorEastAsia" w:hAnsiTheme="minorEastAsia" w:cstheme="minorEastAsia"/>
                <w:kern w:val="0"/>
                <w:szCs w:val="21"/>
                <w:lang w:bidi="ar"/>
              </w:rPr>
            </w:pPr>
          </w:p>
        </w:tc>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1828DFEE">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综合服务负责人（公寓）</w:t>
            </w:r>
          </w:p>
        </w:tc>
        <w:tc>
          <w:tcPr>
            <w:tcW w:w="7603" w:type="dxa"/>
            <w:tcBorders>
              <w:top w:val="nil"/>
              <w:left w:val="nil"/>
              <w:bottom w:val="single" w:color="000000" w:sz="8" w:space="0"/>
              <w:right w:val="single" w:color="000000" w:sz="8" w:space="0"/>
            </w:tcBorders>
            <w:shd w:val="clear" w:color="auto" w:fill="auto"/>
            <w:vAlign w:val="center"/>
          </w:tcPr>
          <w:p w14:paraId="7FB41B98">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1.协助项目负责人做好办公室的日常综合性事务工作；负责做好行政、宣传、人事管理、监控、统计、资产管理及会务接待等工作。</w:t>
            </w:r>
          </w:p>
          <w:p w14:paraId="33DCB8C7">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2.本科以上学历或中级以上职称，政治素质好，工作责任感好，具备团队合作精神，具备相应岗位的业务技能。</w:t>
            </w:r>
          </w:p>
        </w:tc>
      </w:tr>
      <w:tr w14:paraId="0A6960FA">
        <w:tblPrEx>
          <w:tblCellMar>
            <w:top w:w="0" w:type="dxa"/>
            <w:left w:w="108" w:type="dxa"/>
            <w:bottom w:w="0" w:type="dxa"/>
            <w:right w:w="108" w:type="dxa"/>
          </w:tblCellMar>
        </w:tblPrEx>
        <w:trPr>
          <w:trHeight w:val="534" w:hRule="atLeast"/>
          <w:jc w:val="center"/>
        </w:trPr>
        <w:tc>
          <w:tcPr>
            <w:tcW w:w="1156" w:type="dxa"/>
            <w:vMerge w:val="continue"/>
            <w:tcBorders>
              <w:left w:val="single" w:color="000000" w:sz="8" w:space="0"/>
              <w:right w:val="single" w:color="000000" w:sz="8" w:space="0"/>
            </w:tcBorders>
            <w:shd w:val="clear" w:color="auto" w:fill="auto"/>
            <w:noWrap/>
            <w:vAlign w:val="center"/>
          </w:tcPr>
          <w:p w14:paraId="55B1A3FD">
            <w:pPr>
              <w:widowControl/>
              <w:spacing w:line="360" w:lineRule="auto"/>
              <w:jc w:val="center"/>
              <w:textAlignment w:val="center"/>
              <w:rPr>
                <w:rFonts w:asciiTheme="minorEastAsia" w:hAnsiTheme="minorEastAsia" w:cstheme="minorEastAsia"/>
                <w:kern w:val="0"/>
                <w:szCs w:val="21"/>
                <w:lang w:bidi="ar"/>
              </w:rPr>
            </w:pPr>
          </w:p>
        </w:tc>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4997CFCF">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公寓服务负责人</w:t>
            </w:r>
          </w:p>
        </w:tc>
        <w:tc>
          <w:tcPr>
            <w:tcW w:w="7603" w:type="dxa"/>
            <w:tcBorders>
              <w:top w:val="nil"/>
              <w:left w:val="nil"/>
              <w:bottom w:val="single" w:color="000000" w:sz="8" w:space="0"/>
              <w:right w:val="single" w:color="000000" w:sz="8" w:space="0"/>
            </w:tcBorders>
            <w:shd w:val="clear" w:color="auto" w:fill="auto"/>
            <w:vAlign w:val="center"/>
          </w:tcPr>
          <w:p w14:paraId="688895E5">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1.协助项目负责人做好学生公寓的日常管理和服务工作；</w:t>
            </w:r>
          </w:p>
          <w:p w14:paraId="067B4566">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2.本科以上学历或中级以上职称，政治素质好，工作责任感好，具备团队合作精神，具备相应岗位的业务技能。</w:t>
            </w:r>
          </w:p>
        </w:tc>
      </w:tr>
      <w:tr w14:paraId="40F5125C">
        <w:tblPrEx>
          <w:tblCellMar>
            <w:top w:w="0" w:type="dxa"/>
            <w:left w:w="108" w:type="dxa"/>
            <w:bottom w:w="0" w:type="dxa"/>
            <w:right w:w="108" w:type="dxa"/>
          </w:tblCellMar>
        </w:tblPrEx>
        <w:trPr>
          <w:trHeight w:val="534" w:hRule="atLeast"/>
          <w:jc w:val="center"/>
        </w:trPr>
        <w:tc>
          <w:tcPr>
            <w:tcW w:w="1156" w:type="dxa"/>
            <w:vMerge w:val="continue"/>
            <w:tcBorders>
              <w:left w:val="single" w:color="000000" w:sz="8" w:space="0"/>
              <w:right w:val="single" w:color="000000" w:sz="8" w:space="0"/>
            </w:tcBorders>
            <w:shd w:val="clear" w:color="auto" w:fill="auto"/>
            <w:noWrap/>
            <w:vAlign w:val="center"/>
          </w:tcPr>
          <w:p w14:paraId="4D0BEEC1">
            <w:pPr>
              <w:widowControl/>
              <w:spacing w:line="360" w:lineRule="auto"/>
              <w:jc w:val="left"/>
              <w:textAlignment w:val="center"/>
              <w:rPr>
                <w:rFonts w:asciiTheme="minorEastAsia" w:hAnsiTheme="minorEastAsia" w:cstheme="minorEastAsia"/>
                <w:kern w:val="0"/>
                <w:szCs w:val="21"/>
                <w:lang w:bidi="ar"/>
              </w:rPr>
            </w:pPr>
          </w:p>
        </w:tc>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19A1B276">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公寓维修负责人</w:t>
            </w:r>
          </w:p>
        </w:tc>
        <w:tc>
          <w:tcPr>
            <w:tcW w:w="7603" w:type="dxa"/>
            <w:tcBorders>
              <w:top w:val="nil"/>
              <w:left w:val="nil"/>
              <w:bottom w:val="single" w:color="000000" w:sz="8" w:space="0"/>
              <w:right w:val="single" w:color="000000" w:sz="8" w:space="0"/>
            </w:tcBorders>
            <w:shd w:val="clear" w:color="auto" w:fill="auto"/>
            <w:vAlign w:val="center"/>
          </w:tcPr>
          <w:p w14:paraId="3892C6C5">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1.负责所辖区域内日常维修、应急抢修和检修等工作；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2.有电工上岗证，熟悉水电维修及土木泥工相关技术，有一定管理经验。</w:t>
            </w:r>
          </w:p>
        </w:tc>
      </w:tr>
      <w:tr w14:paraId="4B5E7933">
        <w:tblPrEx>
          <w:tblCellMar>
            <w:top w:w="0" w:type="dxa"/>
            <w:left w:w="108" w:type="dxa"/>
            <w:bottom w:w="0" w:type="dxa"/>
            <w:right w:w="108" w:type="dxa"/>
          </w:tblCellMar>
        </w:tblPrEx>
        <w:trPr>
          <w:trHeight w:val="534" w:hRule="atLeast"/>
          <w:jc w:val="center"/>
        </w:trPr>
        <w:tc>
          <w:tcPr>
            <w:tcW w:w="1156" w:type="dxa"/>
            <w:vMerge w:val="continue"/>
            <w:tcBorders>
              <w:left w:val="single" w:color="000000" w:sz="8" w:space="0"/>
              <w:right w:val="single" w:color="000000" w:sz="8" w:space="0"/>
            </w:tcBorders>
            <w:shd w:val="clear" w:color="auto" w:fill="auto"/>
            <w:noWrap/>
            <w:vAlign w:val="center"/>
          </w:tcPr>
          <w:p w14:paraId="0177DBDA">
            <w:pPr>
              <w:widowControl/>
              <w:spacing w:line="360" w:lineRule="auto"/>
              <w:jc w:val="left"/>
              <w:textAlignment w:val="center"/>
              <w:rPr>
                <w:rFonts w:asciiTheme="minorEastAsia" w:hAnsiTheme="minorEastAsia" w:cstheme="minorEastAsia"/>
                <w:kern w:val="0"/>
                <w:szCs w:val="21"/>
                <w:lang w:bidi="ar"/>
              </w:rPr>
            </w:pPr>
          </w:p>
        </w:tc>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7AA576BF">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公寓设备运维</w:t>
            </w:r>
          </w:p>
        </w:tc>
        <w:tc>
          <w:tcPr>
            <w:tcW w:w="7603" w:type="dxa"/>
            <w:tcBorders>
              <w:top w:val="nil"/>
              <w:left w:val="nil"/>
              <w:bottom w:val="single" w:color="000000" w:sz="8" w:space="0"/>
              <w:right w:val="single" w:color="000000" w:sz="8" w:space="0"/>
            </w:tcBorders>
            <w:shd w:val="clear" w:color="auto" w:fill="auto"/>
            <w:vAlign w:val="center"/>
          </w:tcPr>
          <w:p w14:paraId="71FFD472">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1.负责所辖区域内空气源、空调、电表及洗衣机等公寓设备的日常运维工作；</w:t>
            </w:r>
          </w:p>
          <w:p w14:paraId="1FE687D2">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2.负责所辖区域内相关公寓智慧平台管理、数据收集及分析工作；</w:t>
            </w:r>
          </w:p>
          <w:p w14:paraId="7E6CD579">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3.爱岗敬业，具备相应岗位的业务技能，服从领导安排。</w:t>
            </w:r>
          </w:p>
        </w:tc>
      </w:tr>
      <w:tr w14:paraId="654FF659">
        <w:tblPrEx>
          <w:tblCellMar>
            <w:top w:w="0" w:type="dxa"/>
            <w:left w:w="108" w:type="dxa"/>
            <w:bottom w:w="0" w:type="dxa"/>
            <w:right w:w="108" w:type="dxa"/>
          </w:tblCellMar>
        </w:tblPrEx>
        <w:trPr>
          <w:trHeight w:val="90" w:hRule="atLeast"/>
          <w:jc w:val="center"/>
        </w:trPr>
        <w:tc>
          <w:tcPr>
            <w:tcW w:w="1156" w:type="dxa"/>
            <w:vMerge w:val="continue"/>
            <w:tcBorders>
              <w:left w:val="single" w:color="000000" w:sz="8" w:space="0"/>
              <w:right w:val="single" w:color="000000" w:sz="8" w:space="0"/>
            </w:tcBorders>
            <w:shd w:val="clear" w:color="auto" w:fill="auto"/>
            <w:noWrap/>
            <w:vAlign w:val="center"/>
          </w:tcPr>
          <w:p w14:paraId="2FF9B69C">
            <w:pPr>
              <w:widowControl/>
              <w:spacing w:line="360" w:lineRule="auto"/>
              <w:jc w:val="center"/>
              <w:textAlignment w:val="center"/>
              <w:rPr>
                <w:rFonts w:asciiTheme="minorEastAsia" w:hAnsiTheme="minorEastAsia" w:cstheme="minorEastAsia"/>
                <w:kern w:val="0"/>
                <w:szCs w:val="21"/>
                <w:lang w:bidi="ar"/>
              </w:rPr>
            </w:pPr>
          </w:p>
        </w:tc>
        <w:tc>
          <w:tcPr>
            <w:tcW w:w="1156" w:type="dxa"/>
            <w:tcBorders>
              <w:top w:val="nil"/>
              <w:left w:val="single" w:color="000000" w:sz="8" w:space="0"/>
              <w:bottom w:val="single" w:color="auto" w:sz="4" w:space="0"/>
              <w:right w:val="single" w:color="000000" w:sz="8" w:space="0"/>
            </w:tcBorders>
            <w:shd w:val="clear" w:color="auto" w:fill="auto"/>
            <w:noWrap/>
            <w:vAlign w:val="center"/>
          </w:tcPr>
          <w:p w14:paraId="07E58956">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70FD529C">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管理员</w:t>
            </w:r>
          </w:p>
        </w:tc>
        <w:tc>
          <w:tcPr>
            <w:tcW w:w="7603" w:type="dxa"/>
            <w:tcBorders>
              <w:top w:val="nil"/>
              <w:left w:val="nil"/>
              <w:bottom w:val="single" w:color="000000" w:sz="8" w:space="0"/>
              <w:right w:val="single" w:color="000000" w:sz="8" w:space="0"/>
            </w:tcBorders>
            <w:shd w:val="clear" w:color="auto" w:fill="auto"/>
            <w:vAlign w:val="center"/>
          </w:tcPr>
          <w:p w14:paraId="28311C1D">
            <w:pPr>
              <w:widowControl/>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1.负责所管辖区域内的学生公寓管理和服务工作及所管公寓内设施、卫生、安全、信息化管理等日常工作；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2.高中以上学历，有工作经验，具有一定沟通协调能力，服从领导安排。</w:t>
            </w:r>
          </w:p>
        </w:tc>
      </w:tr>
      <w:tr w14:paraId="530AD262">
        <w:tblPrEx>
          <w:tblCellMar>
            <w:top w:w="0" w:type="dxa"/>
            <w:left w:w="108" w:type="dxa"/>
            <w:bottom w:w="0" w:type="dxa"/>
            <w:right w:w="108" w:type="dxa"/>
          </w:tblCellMar>
        </w:tblPrEx>
        <w:trPr>
          <w:trHeight w:val="538" w:hRule="atLeast"/>
          <w:jc w:val="center"/>
        </w:trPr>
        <w:tc>
          <w:tcPr>
            <w:tcW w:w="1156" w:type="dxa"/>
            <w:vMerge w:val="continue"/>
            <w:tcBorders>
              <w:left w:val="single" w:color="000000" w:sz="8" w:space="0"/>
              <w:right w:val="single" w:color="000000" w:sz="8" w:space="0"/>
            </w:tcBorders>
            <w:shd w:val="clear" w:color="auto" w:fill="auto"/>
            <w:noWrap/>
            <w:vAlign w:val="center"/>
          </w:tcPr>
          <w:p w14:paraId="2141C41E">
            <w:pPr>
              <w:widowControl/>
              <w:spacing w:line="360" w:lineRule="auto"/>
              <w:jc w:val="center"/>
              <w:textAlignment w:val="center"/>
              <w:rPr>
                <w:rFonts w:asciiTheme="minorEastAsia" w:hAnsiTheme="minorEastAsia" w:cstheme="minorEastAsia"/>
                <w:kern w:val="0"/>
                <w:szCs w:val="21"/>
                <w:lang w:bidi="ar"/>
              </w:rPr>
            </w:pPr>
          </w:p>
        </w:tc>
        <w:tc>
          <w:tcPr>
            <w:tcW w:w="1156"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76D63B4">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6E687F60">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值班员</w:t>
            </w:r>
          </w:p>
        </w:tc>
        <w:tc>
          <w:tcPr>
            <w:tcW w:w="7603" w:type="dxa"/>
            <w:tcBorders>
              <w:top w:val="nil"/>
              <w:left w:val="nil"/>
              <w:bottom w:val="single" w:color="000000" w:sz="8" w:space="0"/>
              <w:right w:val="single" w:color="000000" w:sz="8" w:space="0"/>
            </w:tcBorders>
            <w:shd w:val="clear" w:color="auto" w:fill="auto"/>
            <w:vAlign w:val="center"/>
          </w:tcPr>
          <w:p w14:paraId="1C94097F">
            <w:pPr>
              <w:widowControl/>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1.协助管理员执行学生公寓标准管理规定，做好方便学生的服务性工作；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2.初中以上学历，具有一定的语言表达和沟通能力，服从领导安排。</w:t>
            </w:r>
          </w:p>
        </w:tc>
      </w:tr>
      <w:tr w14:paraId="049652C9">
        <w:tblPrEx>
          <w:tblCellMar>
            <w:top w:w="0" w:type="dxa"/>
            <w:left w:w="108" w:type="dxa"/>
            <w:bottom w:w="0" w:type="dxa"/>
            <w:right w:w="108" w:type="dxa"/>
          </w:tblCellMar>
        </w:tblPrEx>
        <w:trPr>
          <w:trHeight w:val="89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12C77CB">
            <w:pPr>
              <w:widowControl/>
              <w:spacing w:line="360" w:lineRule="auto"/>
              <w:jc w:val="center"/>
              <w:textAlignment w:val="center"/>
              <w:rPr>
                <w:rFonts w:asciiTheme="minorEastAsia" w:hAnsiTheme="minorEastAsia" w:cstheme="minorEastAsia"/>
                <w:kern w:val="0"/>
                <w:szCs w:val="21"/>
                <w:lang w:bidi="ar"/>
              </w:rPr>
            </w:pPr>
          </w:p>
        </w:tc>
        <w:tc>
          <w:tcPr>
            <w:tcW w:w="1156" w:type="dxa"/>
            <w:tcBorders>
              <w:top w:val="nil"/>
              <w:left w:val="single" w:color="000000" w:sz="8" w:space="0"/>
              <w:bottom w:val="single" w:color="auto" w:sz="4" w:space="0"/>
              <w:right w:val="single" w:color="000000" w:sz="8" w:space="0"/>
            </w:tcBorders>
            <w:shd w:val="clear" w:color="auto" w:fill="auto"/>
            <w:noWrap/>
            <w:vAlign w:val="center"/>
          </w:tcPr>
          <w:p w14:paraId="4A603652">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0A62E8DA">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保洁员</w:t>
            </w:r>
          </w:p>
        </w:tc>
        <w:tc>
          <w:tcPr>
            <w:tcW w:w="7603" w:type="dxa"/>
            <w:tcBorders>
              <w:top w:val="nil"/>
              <w:left w:val="nil"/>
              <w:bottom w:val="single" w:color="auto" w:sz="4" w:space="0"/>
              <w:right w:val="single" w:color="000000" w:sz="8" w:space="0"/>
            </w:tcBorders>
            <w:shd w:val="clear" w:color="auto" w:fill="auto"/>
            <w:vAlign w:val="center"/>
          </w:tcPr>
          <w:p w14:paraId="1B2C9CD7">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1.在管理员指导下，负责公寓楼公共区域的保洁工作；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2.爱岗敬业，能做好本职工作，服从领导安排。</w:t>
            </w:r>
          </w:p>
        </w:tc>
      </w:tr>
      <w:tr w14:paraId="140FCC2E">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bottom w:val="single" w:color="auto" w:sz="4" w:space="0"/>
              <w:right w:val="single" w:color="000000" w:sz="8" w:space="0"/>
            </w:tcBorders>
            <w:shd w:val="clear" w:color="auto" w:fill="auto"/>
            <w:noWrap/>
            <w:vAlign w:val="center"/>
          </w:tcPr>
          <w:p w14:paraId="56F458A3">
            <w:pPr>
              <w:widowControl/>
              <w:spacing w:line="360" w:lineRule="auto"/>
              <w:jc w:val="center"/>
              <w:textAlignment w:val="center"/>
              <w:rPr>
                <w:rFonts w:asciiTheme="minorEastAsia" w:hAnsiTheme="minorEastAsia" w:cstheme="minorEastAsia"/>
                <w:kern w:val="0"/>
                <w:szCs w:val="21"/>
                <w:lang w:bidi="ar"/>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BAF861B">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7292ED73">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维修员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05F8EA55">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1.负责学生公寓的维修和应急维修等工作；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2.初中以上文化程度，具有水电维修相关工作经验，持证，能吃苦耐劳，服从工作安排。</w:t>
            </w:r>
          </w:p>
        </w:tc>
      </w:tr>
      <w:tr w14:paraId="20438D80">
        <w:tblPrEx>
          <w:tblCellMar>
            <w:top w:w="0" w:type="dxa"/>
            <w:left w:w="108" w:type="dxa"/>
            <w:bottom w:w="0" w:type="dxa"/>
            <w:right w:w="108" w:type="dxa"/>
          </w:tblCellMar>
        </w:tblPrEx>
        <w:trPr>
          <w:trHeight w:val="607" w:hRule="atLeast"/>
          <w:jc w:val="center"/>
        </w:trPr>
        <w:tc>
          <w:tcPr>
            <w:tcW w:w="1156" w:type="dxa"/>
            <w:vMerge w:val="restart"/>
            <w:tcBorders>
              <w:top w:val="single" w:color="auto" w:sz="4" w:space="0"/>
              <w:left w:val="single" w:color="000000" w:sz="8" w:space="0"/>
              <w:right w:val="single" w:color="000000" w:sz="8" w:space="0"/>
            </w:tcBorders>
            <w:shd w:val="clear" w:color="auto" w:fill="auto"/>
            <w:noWrap/>
            <w:vAlign w:val="center"/>
          </w:tcPr>
          <w:p w14:paraId="4BDA73D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楼宇、环境、绿化管理</w:t>
            </w: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C29695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楼宇环境绿化项目负责人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7D51EA6B">
            <w:pPr>
              <w:spacing w:line="360" w:lineRule="auto"/>
              <w:rPr>
                <w:rFonts w:asciiTheme="minorEastAsia" w:hAnsiTheme="minorEastAsia" w:cstheme="minorEastAsia"/>
                <w:szCs w:val="21"/>
              </w:rPr>
            </w:pPr>
            <w:r>
              <w:rPr>
                <w:rFonts w:asciiTheme="minorEastAsia" w:hAnsiTheme="minorEastAsia" w:cstheme="minorEastAsia"/>
                <w:szCs w:val="21"/>
              </w:rPr>
              <w:t>1.30-60周岁，性别不限，</w:t>
            </w:r>
            <w:r>
              <w:rPr>
                <w:rFonts w:hint="eastAsia" w:asciiTheme="minorEastAsia" w:hAnsiTheme="minorEastAsia" w:cstheme="minorEastAsia"/>
                <w:szCs w:val="21"/>
              </w:rPr>
              <w:t>大专及以上学历；</w:t>
            </w:r>
          </w:p>
          <w:p w14:paraId="79B43B97">
            <w:pPr>
              <w:spacing w:line="360" w:lineRule="auto"/>
              <w:rPr>
                <w:rFonts w:asciiTheme="minorEastAsia" w:hAnsiTheme="minorEastAsia" w:cstheme="minorEastAsia"/>
                <w:szCs w:val="21"/>
              </w:rPr>
            </w:pPr>
            <w:r>
              <w:rPr>
                <w:rFonts w:asciiTheme="minorEastAsia" w:hAnsiTheme="minorEastAsia" w:cstheme="minorEastAsia"/>
                <w:szCs w:val="21"/>
              </w:rPr>
              <w:t>2.有较好的沟通管理能力；</w:t>
            </w:r>
          </w:p>
          <w:p w14:paraId="660EA51B">
            <w:pPr>
              <w:spacing w:line="360" w:lineRule="auto"/>
              <w:rPr>
                <w:rFonts w:asciiTheme="minorEastAsia" w:hAnsiTheme="minorEastAsia" w:cstheme="minorEastAsia"/>
                <w:szCs w:val="21"/>
              </w:rPr>
            </w:pPr>
            <w:r>
              <w:rPr>
                <w:rFonts w:asciiTheme="minorEastAsia" w:hAnsiTheme="minorEastAsia" w:cstheme="minorEastAsia"/>
                <w:szCs w:val="21"/>
              </w:rPr>
              <w:t>3.政治素质好，业务能力强，工作责任感好，组织管理能力；</w:t>
            </w:r>
          </w:p>
          <w:p w14:paraId="47DF158E">
            <w:pPr>
              <w:spacing w:line="360" w:lineRule="auto"/>
              <w:rPr>
                <w:rFonts w:asciiTheme="minorEastAsia" w:hAnsiTheme="minorEastAsia" w:cstheme="minorEastAsia"/>
                <w:szCs w:val="21"/>
              </w:rPr>
            </w:pPr>
            <w:r>
              <w:rPr>
                <w:rFonts w:asciiTheme="minorEastAsia" w:hAnsiTheme="minorEastAsia" w:cstheme="minorEastAsia"/>
                <w:szCs w:val="21"/>
              </w:rPr>
              <w:t>4.有2年以上楼宇环境管理经历，</w:t>
            </w:r>
            <w:r>
              <w:rPr>
                <w:rFonts w:hint="eastAsia" w:asciiTheme="minorEastAsia" w:hAnsiTheme="minorEastAsia" w:cstheme="minorEastAsia"/>
                <w:szCs w:val="21"/>
              </w:rPr>
              <w:t>熟悉物业管理有关法律法规；</w:t>
            </w:r>
          </w:p>
          <w:p w14:paraId="1D4CBAF0">
            <w:pPr>
              <w:spacing w:line="360" w:lineRule="auto"/>
              <w:rPr>
                <w:rFonts w:asciiTheme="minorEastAsia" w:hAnsiTheme="minorEastAsia" w:cstheme="minorEastAsia"/>
                <w:szCs w:val="21"/>
              </w:rPr>
            </w:pPr>
            <w:r>
              <w:rPr>
                <w:rFonts w:asciiTheme="minorEastAsia" w:hAnsiTheme="minorEastAsia" w:cstheme="minorEastAsia"/>
                <w:szCs w:val="21"/>
              </w:rPr>
              <w:t>5.全面负责楼宇、环境、绿化项目的各项管理工作。</w:t>
            </w:r>
          </w:p>
        </w:tc>
      </w:tr>
      <w:tr w14:paraId="298A71BE">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5B89A033">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CABB9F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综合服务负责人（楼宇环境绿化）</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372A1A60">
            <w:pPr>
              <w:widowControl/>
              <w:numPr>
                <w:ilvl w:val="255"/>
                <w:numId w:val="0"/>
              </w:numPr>
              <w:spacing w:line="360" w:lineRule="auto"/>
              <w:jc w:val="left"/>
              <w:textAlignment w:val="center"/>
              <w:rPr>
                <w:rFonts w:ascii="宋体" w:hAnsi="宋体" w:cs="宋体"/>
                <w:szCs w:val="21"/>
              </w:rPr>
            </w:pPr>
            <w:r>
              <w:rPr>
                <w:rFonts w:hint="eastAsia" w:ascii="宋体" w:hAnsi="宋体" w:cs="宋体"/>
                <w:szCs w:val="21"/>
              </w:rPr>
              <w:t>1.28-55周岁，性别不限，本科及以上学历；</w:t>
            </w:r>
          </w:p>
          <w:p w14:paraId="23BACCA9">
            <w:pPr>
              <w:widowControl/>
              <w:numPr>
                <w:ilvl w:val="255"/>
                <w:numId w:val="0"/>
              </w:numPr>
              <w:spacing w:line="360" w:lineRule="auto"/>
              <w:jc w:val="left"/>
              <w:textAlignment w:val="center"/>
              <w:rPr>
                <w:rFonts w:ascii="宋体" w:hAnsi="宋体" w:cs="宋体"/>
                <w:szCs w:val="21"/>
              </w:rPr>
            </w:pPr>
            <w:r>
              <w:rPr>
                <w:rFonts w:hint="eastAsia" w:ascii="宋体" w:hAnsi="宋体" w:cs="宋体"/>
                <w:szCs w:val="21"/>
              </w:rPr>
              <w:t>2.政治素质好，工作责任感好，具备团队合作精神；</w:t>
            </w:r>
          </w:p>
          <w:p w14:paraId="41E11573">
            <w:pPr>
              <w:widowControl/>
              <w:numPr>
                <w:ilvl w:val="255"/>
                <w:numId w:val="0"/>
              </w:numPr>
              <w:spacing w:line="360" w:lineRule="auto"/>
              <w:jc w:val="left"/>
              <w:textAlignment w:val="center"/>
              <w:rPr>
                <w:rFonts w:ascii="宋体" w:hAnsi="宋体" w:cs="宋体"/>
                <w:szCs w:val="21"/>
              </w:rPr>
            </w:pPr>
            <w:r>
              <w:rPr>
                <w:rFonts w:hint="eastAsia" w:ascii="宋体" w:hAnsi="宋体" w:cs="宋体"/>
                <w:szCs w:val="21"/>
              </w:rPr>
              <w:t>3.有较好的文字功底，熟练使用办公软件；</w:t>
            </w:r>
          </w:p>
          <w:p w14:paraId="65F40973">
            <w:pPr>
              <w:widowControl/>
              <w:numPr>
                <w:ilvl w:val="255"/>
                <w:numId w:val="0"/>
              </w:numPr>
              <w:spacing w:line="360" w:lineRule="auto"/>
              <w:jc w:val="left"/>
              <w:textAlignment w:val="center"/>
              <w:rPr>
                <w:rFonts w:asciiTheme="minorEastAsia" w:hAnsiTheme="minorEastAsia" w:cstheme="minorEastAsia"/>
                <w:szCs w:val="21"/>
              </w:rPr>
            </w:pPr>
            <w:r>
              <w:rPr>
                <w:rFonts w:hint="eastAsia" w:ascii="宋体" w:hAnsi="宋体" w:cs="宋体"/>
                <w:szCs w:val="21"/>
              </w:rPr>
              <w:t>4.</w:t>
            </w:r>
            <w:r>
              <w:rPr>
                <w:rFonts w:hint="eastAsia" w:asciiTheme="minorEastAsia" w:hAnsiTheme="minorEastAsia" w:cstheme="minorEastAsia"/>
                <w:szCs w:val="21"/>
              </w:rPr>
              <w:t>有2年以上后勤管理从业经历，2年以上办公室业务工作经验；</w:t>
            </w:r>
          </w:p>
          <w:p w14:paraId="3F834C9F">
            <w:pPr>
              <w:widowControl/>
              <w:numPr>
                <w:ilvl w:val="255"/>
                <w:numId w:val="0"/>
              </w:numPr>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szCs w:val="21"/>
              </w:rPr>
              <w:t>5.</w:t>
            </w:r>
            <w:r>
              <w:rPr>
                <w:rFonts w:hint="eastAsia" w:asciiTheme="minorEastAsia" w:hAnsiTheme="minorEastAsia" w:cstheme="minorEastAsia"/>
                <w:kern w:val="0"/>
                <w:szCs w:val="21"/>
                <w:lang w:bidi="ar"/>
              </w:rPr>
              <w:t>协助项目负责人做好办公室的日常综合性事务工作。</w:t>
            </w:r>
          </w:p>
        </w:tc>
      </w:tr>
      <w:tr w14:paraId="2C896D41">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7B7629B1">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941763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楼宇服务负责人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67B37926">
            <w:pPr>
              <w:spacing w:line="360" w:lineRule="auto"/>
              <w:rPr>
                <w:rFonts w:asciiTheme="minorEastAsia" w:hAnsiTheme="minorEastAsia" w:cstheme="minorEastAsia"/>
                <w:szCs w:val="21"/>
              </w:rPr>
            </w:pPr>
            <w:r>
              <w:rPr>
                <w:rFonts w:hint="eastAsia" w:asciiTheme="minorEastAsia" w:hAnsiTheme="minorEastAsia" w:cstheme="minorEastAsia"/>
                <w:szCs w:val="21"/>
              </w:rPr>
              <w:t>1.25-60周岁，性别不限，大专及以上学历；</w:t>
            </w:r>
          </w:p>
          <w:p w14:paraId="3E766638">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2.业务能力强，工作责任心强，具有较强的团结和组织能力，协调和沟通能力，有应对突发事件的反应和处置能力； </w:t>
            </w:r>
          </w:p>
          <w:p w14:paraId="292D60D0">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3.有楼宇相关管理经历、学生工作经历者优先考虑； </w:t>
            </w:r>
          </w:p>
          <w:p w14:paraId="56912BCF">
            <w:pPr>
              <w:spacing w:line="360" w:lineRule="auto"/>
              <w:rPr>
                <w:rFonts w:asciiTheme="minorEastAsia" w:hAnsiTheme="minorEastAsia" w:cstheme="minorEastAsia"/>
                <w:szCs w:val="21"/>
              </w:rPr>
            </w:pPr>
            <w:r>
              <w:rPr>
                <w:rFonts w:hint="eastAsia" w:asciiTheme="minorEastAsia" w:hAnsiTheme="minorEastAsia" w:cstheme="minorEastAsia"/>
                <w:szCs w:val="21"/>
              </w:rPr>
              <w:t>4.有2年以上物业管理从业经历。</w:t>
            </w:r>
          </w:p>
          <w:p w14:paraId="6037D8A2">
            <w:pPr>
              <w:spacing w:line="360" w:lineRule="auto"/>
              <w:rPr>
                <w:rFonts w:asciiTheme="minorEastAsia" w:hAnsiTheme="minorEastAsia" w:cstheme="minorEastAsia"/>
                <w:szCs w:val="21"/>
              </w:rPr>
            </w:pPr>
            <w:r>
              <w:rPr>
                <w:rFonts w:hint="eastAsia" w:asciiTheme="minorEastAsia" w:hAnsiTheme="minorEastAsia" w:cstheme="minorEastAsia"/>
                <w:szCs w:val="21"/>
              </w:rPr>
              <w:t>5.协助项目负责人做好楼宇服务相关工作。</w:t>
            </w:r>
          </w:p>
        </w:tc>
      </w:tr>
      <w:tr w14:paraId="11B7AE00">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759EBAB">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3A46CD0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环境保洁负责人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52358892">
            <w:pPr>
              <w:spacing w:line="360" w:lineRule="auto"/>
              <w:rPr>
                <w:rFonts w:ascii="宋体" w:hAnsi="宋体" w:cs="宋体"/>
                <w:szCs w:val="21"/>
              </w:rPr>
            </w:pPr>
            <w:r>
              <w:rPr>
                <w:rFonts w:hint="eastAsia" w:ascii="宋体" w:hAnsi="宋体" w:cs="宋体"/>
                <w:szCs w:val="21"/>
              </w:rPr>
              <w:t>1.28周岁-60周岁，性别不限，大专及以上学历；</w:t>
            </w:r>
          </w:p>
          <w:p w14:paraId="6B9888A1">
            <w:pPr>
              <w:spacing w:line="360" w:lineRule="auto"/>
              <w:rPr>
                <w:rFonts w:ascii="宋体" w:hAnsi="宋体" w:cs="宋体"/>
                <w:szCs w:val="21"/>
              </w:rPr>
            </w:pPr>
            <w:r>
              <w:rPr>
                <w:rFonts w:hint="eastAsia" w:ascii="宋体" w:hAnsi="宋体" w:cs="宋体"/>
                <w:szCs w:val="21"/>
              </w:rPr>
              <w:t>2.吃苦耐劳，政治素质好，工作责任感好，具备团队合作精神；</w:t>
            </w:r>
          </w:p>
          <w:p w14:paraId="5BB370CA">
            <w:pPr>
              <w:spacing w:line="360" w:lineRule="auto"/>
              <w:rPr>
                <w:rFonts w:asciiTheme="minorEastAsia" w:hAnsiTheme="minorEastAsia" w:cstheme="minorEastAsia"/>
                <w:szCs w:val="21"/>
              </w:rPr>
            </w:pPr>
            <w:r>
              <w:rPr>
                <w:rFonts w:hint="eastAsia" w:ascii="宋体" w:hAnsi="宋体" w:cs="宋体"/>
                <w:szCs w:val="21"/>
              </w:rPr>
              <w:t>3.有2</w:t>
            </w:r>
            <w:r>
              <w:rPr>
                <w:rFonts w:hint="eastAsia" w:asciiTheme="minorEastAsia" w:hAnsiTheme="minorEastAsia" w:cstheme="minorEastAsia"/>
                <w:szCs w:val="21"/>
              </w:rPr>
              <w:t>年以上后勤管理从业经历；</w:t>
            </w:r>
          </w:p>
          <w:p w14:paraId="073F2B41">
            <w:pPr>
              <w:spacing w:line="360" w:lineRule="auto"/>
              <w:rPr>
                <w:rFonts w:asciiTheme="minorEastAsia" w:hAnsiTheme="minorEastAsia" w:cstheme="minorEastAsia"/>
                <w:szCs w:val="21"/>
              </w:rPr>
            </w:pPr>
            <w:r>
              <w:rPr>
                <w:rFonts w:hint="eastAsia" w:asciiTheme="minorEastAsia" w:hAnsiTheme="minorEastAsia" w:cstheme="minorEastAsia"/>
                <w:szCs w:val="21"/>
              </w:rPr>
              <w:t>4.协助项目负责人做好环境保洁相关工作。</w:t>
            </w:r>
          </w:p>
        </w:tc>
      </w:tr>
      <w:tr w14:paraId="1AF57B55">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64A9D1F0">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F455E8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园林绿化负责人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41064CC9">
            <w:pPr>
              <w:spacing w:line="360" w:lineRule="auto"/>
              <w:rPr>
                <w:rFonts w:asciiTheme="minorEastAsia" w:hAnsiTheme="minorEastAsia" w:cstheme="minorEastAsia"/>
                <w:szCs w:val="21"/>
              </w:rPr>
            </w:pPr>
            <w:r>
              <w:rPr>
                <w:rFonts w:asciiTheme="minorEastAsia" w:hAnsiTheme="minorEastAsia" w:cstheme="minorEastAsia"/>
                <w:szCs w:val="21"/>
              </w:rPr>
              <w:t>1.28-60</w:t>
            </w:r>
            <w:r>
              <w:rPr>
                <w:rFonts w:hint="eastAsia" w:asciiTheme="minorEastAsia" w:hAnsiTheme="minorEastAsia" w:cstheme="minorEastAsia"/>
                <w:szCs w:val="21"/>
              </w:rPr>
              <w:t>周岁，身体健康，相关专业本科及以上学历</w:t>
            </w:r>
            <w:r>
              <w:rPr>
                <w:rFonts w:asciiTheme="minorEastAsia" w:hAnsiTheme="minorEastAsia" w:cstheme="minorEastAsia"/>
                <w:szCs w:val="21"/>
              </w:rPr>
              <w:t xml:space="preserve">, </w:t>
            </w:r>
            <w:r>
              <w:rPr>
                <w:rFonts w:hint="eastAsia" w:asciiTheme="minorEastAsia" w:hAnsiTheme="minorEastAsia" w:cstheme="minorEastAsia"/>
                <w:szCs w:val="21"/>
              </w:rPr>
              <w:t>工程师（中级）及以上；</w:t>
            </w:r>
          </w:p>
          <w:p w14:paraId="47B0C9EB">
            <w:pPr>
              <w:spacing w:line="360" w:lineRule="auto"/>
              <w:rPr>
                <w:rFonts w:asciiTheme="minorEastAsia" w:hAnsiTheme="minorEastAsia" w:cstheme="minorEastAsia"/>
                <w:szCs w:val="21"/>
              </w:rPr>
            </w:pPr>
            <w:r>
              <w:rPr>
                <w:rFonts w:asciiTheme="minorEastAsia" w:hAnsiTheme="minorEastAsia" w:cstheme="minorEastAsia"/>
                <w:szCs w:val="21"/>
              </w:rPr>
              <w:t>2.至少2年以上绿化园林项目养护管理工作经验，独立承担绿化面积500亩及以上的管理养护项目业绩且有业主证明；</w:t>
            </w:r>
          </w:p>
          <w:p w14:paraId="50B27182">
            <w:pPr>
              <w:spacing w:line="360" w:lineRule="auto"/>
              <w:rPr>
                <w:rFonts w:asciiTheme="minorEastAsia" w:hAnsiTheme="minorEastAsia" w:cstheme="minorEastAsia"/>
                <w:szCs w:val="21"/>
              </w:rPr>
            </w:pPr>
            <w:r>
              <w:rPr>
                <w:rFonts w:asciiTheme="minorEastAsia" w:hAnsiTheme="minorEastAsia" w:cstheme="minorEastAsia"/>
                <w:szCs w:val="21"/>
              </w:rPr>
              <w:t>3.政治素质好，工作责任感好，具备团队合作精神</w:t>
            </w:r>
            <w:r>
              <w:rPr>
                <w:rFonts w:hint="eastAsia" w:asciiTheme="minorEastAsia" w:hAnsiTheme="minorEastAsia" w:cstheme="minorEastAsia"/>
                <w:szCs w:val="21"/>
              </w:rPr>
              <w:t>；</w:t>
            </w:r>
          </w:p>
          <w:p w14:paraId="2DD3244F">
            <w:pPr>
              <w:spacing w:line="360" w:lineRule="auto"/>
              <w:rPr>
                <w:rFonts w:asciiTheme="minorEastAsia" w:hAnsiTheme="minorEastAsia" w:cstheme="minorEastAsia"/>
                <w:szCs w:val="21"/>
              </w:rPr>
            </w:pPr>
            <w:r>
              <w:rPr>
                <w:rFonts w:asciiTheme="minorEastAsia" w:hAnsiTheme="minorEastAsia" w:cstheme="minorEastAsia"/>
                <w:szCs w:val="21"/>
              </w:rPr>
              <w:t>4.协助项目负责人做好园林绿化相关工作。</w:t>
            </w:r>
          </w:p>
        </w:tc>
      </w:tr>
      <w:tr w14:paraId="708B254A">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4BA4AB6A">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1F2117D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w:t>
            </w:r>
          </w:p>
          <w:p w14:paraId="08ED8CB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管理员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4856269E">
            <w:pPr>
              <w:spacing w:line="360" w:lineRule="auto"/>
              <w:rPr>
                <w:rFonts w:asciiTheme="minorEastAsia" w:hAnsiTheme="minorEastAsia" w:cstheme="minorEastAsia"/>
                <w:szCs w:val="21"/>
              </w:rPr>
            </w:pPr>
            <w:r>
              <w:rPr>
                <w:rFonts w:hint="eastAsia" w:asciiTheme="minorEastAsia" w:hAnsiTheme="minorEastAsia" w:cstheme="minorEastAsia"/>
                <w:szCs w:val="21"/>
              </w:rPr>
              <w:t>1.要求25-60周岁，性别不限，高中及以上学历；</w:t>
            </w:r>
          </w:p>
          <w:p w14:paraId="759CC66E">
            <w:pPr>
              <w:spacing w:line="360" w:lineRule="auto"/>
              <w:rPr>
                <w:rFonts w:asciiTheme="minorEastAsia" w:hAnsiTheme="minorEastAsia" w:cstheme="minorEastAsia"/>
                <w:szCs w:val="21"/>
              </w:rPr>
            </w:pPr>
            <w:r>
              <w:rPr>
                <w:rFonts w:hint="eastAsia" w:asciiTheme="minorEastAsia" w:hAnsiTheme="minorEastAsia" w:cstheme="minorEastAsia"/>
                <w:szCs w:val="21"/>
              </w:rPr>
              <w:t>2.有良好的沟通能力；</w:t>
            </w:r>
          </w:p>
          <w:p w14:paraId="28B15D7C">
            <w:pPr>
              <w:spacing w:line="360" w:lineRule="auto"/>
              <w:rPr>
                <w:rFonts w:asciiTheme="minorEastAsia" w:hAnsiTheme="minorEastAsia" w:cstheme="minorEastAsia"/>
                <w:szCs w:val="21"/>
              </w:rPr>
            </w:pPr>
            <w:r>
              <w:rPr>
                <w:rFonts w:hint="eastAsia" w:asciiTheme="minorEastAsia" w:hAnsiTheme="minorEastAsia" w:cstheme="minorEastAsia"/>
                <w:szCs w:val="21"/>
              </w:rPr>
              <w:t>3.主要负责各楼宇的综合服务协调；</w:t>
            </w:r>
          </w:p>
          <w:p w14:paraId="3BD0BE76">
            <w:pPr>
              <w:spacing w:line="360" w:lineRule="auto"/>
              <w:rPr>
                <w:rFonts w:asciiTheme="minorEastAsia" w:hAnsiTheme="minorEastAsia" w:cstheme="minorEastAsia"/>
                <w:szCs w:val="21"/>
              </w:rPr>
            </w:pPr>
            <w:r>
              <w:rPr>
                <w:rFonts w:hint="eastAsia" w:asciiTheme="minorEastAsia" w:hAnsiTheme="minorEastAsia" w:cstheme="minorEastAsia"/>
                <w:szCs w:val="21"/>
              </w:rPr>
              <w:t>4.若有学校重大活动，双休日及假期均需无条件配合听从采购人指挥并在学校工作。</w:t>
            </w:r>
          </w:p>
        </w:tc>
      </w:tr>
      <w:tr w14:paraId="281DD2D6">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4965C74">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ABE4B8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w:t>
            </w:r>
          </w:p>
          <w:p w14:paraId="221140F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保洁员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6678EE85">
            <w:pPr>
              <w:spacing w:line="360" w:lineRule="auto"/>
              <w:rPr>
                <w:rFonts w:asciiTheme="minorEastAsia" w:hAnsiTheme="minorEastAsia" w:cstheme="minorEastAsia"/>
                <w:szCs w:val="21"/>
              </w:rPr>
            </w:pPr>
            <w:r>
              <w:rPr>
                <w:rFonts w:hint="eastAsia" w:asciiTheme="minorEastAsia" w:hAnsiTheme="minorEastAsia" w:cstheme="minorEastAsia"/>
                <w:szCs w:val="21"/>
              </w:rPr>
              <w:t>1.60周岁以下，具有物业环境保洁工作经验。身体健康，无犯罪记录；</w:t>
            </w:r>
          </w:p>
          <w:p w14:paraId="1FF19538">
            <w:pPr>
              <w:spacing w:line="360" w:lineRule="auto"/>
              <w:rPr>
                <w:rFonts w:asciiTheme="minorEastAsia" w:hAnsiTheme="minorEastAsia" w:cstheme="minorEastAsia"/>
                <w:szCs w:val="21"/>
              </w:rPr>
            </w:pPr>
            <w:r>
              <w:rPr>
                <w:rFonts w:hint="eastAsia" w:asciiTheme="minorEastAsia" w:hAnsiTheme="minorEastAsia" w:cstheme="minorEastAsia"/>
                <w:szCs w:val="21"/>
              </w:rPr>
              <w:t>2.负责楼宇相关区域的卫生保洁。</w:t>
            </w:r>
          </w:p>
        </w:tc>
      </w:tr>
      <w:tr w14:paraId="0929C807">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3F74663C">
            <w:pPr>
              <w:pStyle w:val="350"/>
              <w:spacing w:line="360" w:lineRule="auto"/>
              <w:rPr>
                <w:rFonts w:asciiTheme="minorEastAsia" w:hAnsiTheme="minorEastAsia" w:cstheme="minorEastAsia"/>
                <w:color w:val="auto"/>
                <w:kern w:val="2"/>
                <w:sz w:val="21"/>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7F0D331A">
            <w:pPr>
              <w:jc w:val="center"/>
              <w:rPr>
                <w:rFonts w:asciiTheme="minorEastAsia" w:hAnsiTheme="minorEastAsia" w:cstheme="minorEastAsia"/>
                <w:szCs w:val="21"/>
              </w:rPr>
            </w:pPr>
            <w:r>
              <w:rPr>
                <w:rFonts w:hint="eastAsia" w:asciiTheme="minorEastAsia" w:hAnsiTheme="minorEastAsia" w:cstheme="minorEastAsia"/>
                <w:szCs w:val="21"/>
              </w:rPr>
              <w:t>电梯</w:t>
            </w:r>
          </w:p>
          <w:p w14:paraId="54117940">
            <w:pPr>
              <w:jc w:val="center"/>
              <w:rPr>
                <w:rFonts w:asciiTheme="minorEastAsia" w:hAnsiTheme="minorEastAsia" w:cstheme="minorEastAsia"/>
                <w:szCs w:val="21"/>
              </w:rPr>
            </w:pPr>
            <w:r>
              <w:rPr>
                <w:rFonts w:hint="eastAsia" w:asciiTheme="minorEastAsia" w:hAnsiTheme="minorEastAsia" w:cstheme="minorEastAsia"/>
                <w:szCs w:val="21"/>
              </w:rPr>
              <w:t>专管员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5FB0051D">
            <w:pPr>
              <w:spacing w:line="360" w:lineRule="auto"/>
              <w:rPr>
                <w:rFonts w:asciiTheme="minorEastAsia" w:hAnsiTheme="minorEastAsia" w:cstheme="minorEastAsia"/>
                <w:szCs w:val="21"/>
              </w:rPr>
            </w:pPr>
            <w:r>
              <w:rPr>
                <w:rFonts w:hint="eastAsia" w:asciiTheme="minorEastAsia" w:hAnsiTheme="minorEastAsia" w:cstheme="minorEastAsia"/>
                <w:szCs w:val="21"/>
              </w:rPr>
              <w:t>1.60周岁以下，身体健康，具有相应资格上岗证书；</w:t>
            </w:r>
          </w:p>
          <w:p w14:paraId="7B5ACFAE">
            <w:pPr>
              <w:spacing w:line="360" w:lineRule="auto"/>
              <w:rPr>
                <w:rFonts w:asciiTheme="minorEastAsia" w:hAnsiTheme="minorEastAsia" w:cstheme="minorEastAsia"/>
                <w:szCs w:val="21"/>
              </w:rPr>
            </w:pPr>
            <w:r>
              <w:rPr>
                <w:rFonts w:hint="eastAsia" w:asciiTheme="minorEastAsia" w:hAnsiTheme="minorEastAsia" w:cstheme="minorEastAsia"/>
                <w:szCs w:val="21"/>
              </w:rPr>
              <w:t>2.负责大楼内电梯的日常管理，确保正常、安全运行。</w:t>
            </w:r>
          </w:p>
        </w:tc>
      </w:tr>
      <w:tr w14:paraId="4A4BBC23">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3AB969FA">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ECAA92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多媒体</w:t>
            </w:r>
          </w:p>
          <w:p w14:paraId="632BC1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管理员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20E8BB57">
            <w:pPr>
              <w:spacing w:line="360" w:lineRule="auto"/>
              <w:rPr>
                <w:rFonts w:asciiTheme="minorEastAsia" w:hAnsiTheme="minorEastAsia" w:cstheme="minorEastAsia"/>
                <w:szCs w:val="21"/>
              </w:rPr>
            </w:pPr>
            <w:r>
              <w:rPr>
                <w:rFonts w:hint="eastAsia" w:asciiTheme="minorEastAsia" w:hAnsiTheme="minorEastAsia" w:cstheme="minorEastAsia"/>
                <w:szCs w:val="21"/>
              </w:rPr>
              <w:t>1.具备相关专业经验，有一定的相似工作经历；</w:t>
            </w:r>
          </w:p>
          <w:p w14:paraId="4A1BDAC5">
            <w:pPr>
              <w:spacing w:line="360" w:lineRule="auto"/>
              <w:rPr>
                <w:rFonts w:asciiTheme="minorEastAsia" w:hAnsiTheme="minorEastAsia" w:cstheme="minorEastAsia"/>
                <w:szCs w:val="21"/>
              </w:rPr>
            </w:pPr>
            <w:r>
              <w:rPr>
                <w:rFonts w:hint="eastAsia" w:asciiTheme="minorEastAsia" w:hAnsiTheme="minorEastAsia" w:cstheme="minorEastAsia"/>
                <w:szCs w:val="21"/>
              </w:rPr>
              <w:t>2.协助采购人做好设施运行、维护相关技术工作；</w:t>
            </w:r>
          </w:p>
          <w:p w14:paraId="701F4EBF">
            <w:pPr>
              <w:spacing w:line="360" w:lineRule="auto"/>
              <w:rPr>
                <w:rFonts w:asciiTheme="minorEastAsia" w:hAnsiTheme="minorEastAsia" w:cstheme="minorEastAsia"/>
                <w:szCs w:val="21"/>
              </w:rPr>
            </w:pPr>
            <w:r>
              <w:rPr>
                <w:rFonts w:hint="eastAsia" w:asciiTheme="minorEastAsia" w:hAnsiTheme="minorEastAsia" w:cstheme="minorEastAsia"/>
                <w:szCs w:val="21"/>
              </w:rPr>
              <w:t>3.负责保证教室等场所的灯光、音响、多媒体设备等正常运营，协助配合专业维保。</w:t>
            </w:r>
          </w:p>
        </w:tc>
      </w:tr>
      <w:tr w14:paraId="033DA34B">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BC14396">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66B113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特种车辆驾驶员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78BEB4E0">
            <w:pPr>
              <w:spacing w:line="360" w:lineRule="auto"/>
              <w:rPr>
                <w:rFonts w:asciiTheme="minorEastAsia" w:hAnsiTheme="minorEastAsia" w:cstheme="minorEastAsia"/>
                <w:szCs w:val="21"/>
              </w:rPr>
            </w:pPr>
            <w:r>
              <w:rPr>
                <w:rFonts w:hint="eastAsia" w:asciiTheme="minorEastAsia" w:hAnsiTheme="minorEastAsia" w:cstheme="minorEastAsia"/>
                <w:szCs w:val="21"/>
              </w:rPr>
              <w:t>1.60周岁以下，身体健康，无犯罪记录；</w:t>
            </w:r>
          </w:p>
          <w:p w14:paraId="53D027A4">
            <w:pPr>
              <w:spacing w:line="360" w:lineRule="auto"/>
              <w:rPr>
                <w:rFonts w:asciiTheme="minorEastAsia" w:hAnsiTheme="minorEastAsia" w:cstheme="minorEastAsia"/>
                <w:szCs w:val="21"/>
              </w:rPr>
            </w:pPr>
            <w:r>
              <w:rPr>
                <w:rFonts w:hint="eastAsia" w:asciiTheme="minorEastAsia" w:hAnsiTheme="minorEastAsia" w:cstheme="minorEastAsia"/>
                <w:szCs w:val="21"/>
              </w:rPr>
              <w:t>2.具有特种车辆驾驶证（驾驶证B照以上）；</w:t>
            </w:r>
          </w:p>
          <w:p w14:paraId="05963237">
            <w:pPr>
              <w:spacing w:line="360" w:lineRule="auto"/>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负责驾驶洒水车、扫地车等特种车辆。</w:t>
            </w:r>
          </w:p>
        </w:tc>
      </w:tr>
      <w:tr w14:paraId="37C26D97">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15B9E238">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1D9D2DF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环境</w:t>
            </w:r>
          </w:p>
          <w:p w14:paraId="431AFA0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保洁员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2B6F8159">
            <w:pPr>
              <w:spacing w:line="360" w:lineRule="auto"/>
              <w:rPr>
                <w:rFonts w:asciiTheme="minorEastAsia" w:hAnsiTheme="minorEastAsia" w:cstheme="minorEastAsia"/>
                <w:szCs w:val="21"/>
              </w:rPr>
            </w:pPr>
            <w:r>
              <w:rPr>
                <w:rFonts w:hint="eastAsia" w:asciiTheme="minorEastAsia" w:hAnsiTheme="minorEastAsia" w:cstheme="minorEastAsia"/>
                <w:szCs w:val="21"/>
              </w:rPr>
              <w:t>1.65周岁以下，具有物业环境保洁工作经验。身体健康，无犯罪记录；</w:t>
            </w:r>
          </w:p>
          <w:p w14:paraId="6CFADDEB">
            <w:pPr>
              <w:spacing w:line="360" w:lineRule="auto"/>
              <w:rPr>
                <w:rFonts w:asciiTheme="minorEastAsia" w:hAnsiTheme="minorEastAsia" w:cstheme="minorEastAsia"/>
                <w:szCs w:val="21"/>
              </w:rPr>
            </w:pPr>
            <w:r>
              <w:rPr>
                <w:rFonts w:hint="eastAsia" w:asciiTheme="minorEastAsia" w:hAnsiTheme="minorEastAsia" w:cstheme="minorEastAsia"/>
                <w:szCs w:val="21"/>
              </w:rPr>
              <w:t>2.负责校园环境卫生保洁。</w:t>
            </w:r>
          </w:p>
        </w:tc>
      </w:tr>
      <w:tr w14:paraId="5AFCDF68">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bottom w:val="single" w:color="auto" w:sz="4" w:space="0"/>
              <w:right w:val="single" w:color="000000" w:sz="8" w:space="0"/>
            </w:tcBorders>
            <w:shd w:val="clear" w:color="auto" w:fill="auto"/>
            <w:noWrap/>
            <w:vAlign w:val="center"/>
          </w:tcPr>
          <w:p w14:paraId="2102F062">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E5B65C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绿化工</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0FD3CAFC">
            <w:pPr>
              <w:spacing w:line="360" w:lineRule="auto"/>
              <w:rPr>
                <w:rFonts w:asciiTheme="minorEastAsia" w:hAnsiTheme="minorEastAsia" w:cstheme="minorEastAsia"/>
                <w:szCs w:val="21"/>
              </w:rPr>
            </w:pPr>
            <w:r>
              <w:rPr>
                <w:rFonts w:asciiTheme="minorEastAsia" w:hAnsiTheme="minorEastAsia" w:cstheme="minorEastAsia"/>
                <w:szCs w:val="21"/>
              </w:rPr>
              <w:t>1.65周岁及以下，身体健康，无犯罪记录</w:t>
            </w:r>
            <w:r>
              <w:rPr>
                <w:rFonts w:hint="eastAsia" w:asciiTheme="minorEastAsia" w:hAnsiTheme="minorEastAsia" w:cstheme="minorEastAsia"/>
                <w:szCs w:val="21"/>
              </w:rPr>
              <w:t>；</w:t>
            </w:r>
          </w:p>
          <w:p w14:paraId="381F138B">
            <w:pPr>
              <w:spacing w:line="360" w:lineRule="auto"/>
              <w:rPr>
                <w:rFonts w:asciiTheme="minorEastAsia" w:hAnsiTheme="minorEastAsia" w:cstheme="minorEastAsia"/>
                <w:szCs w:val="21"/>
              </w:rPr>
            </w:pPr>
            <w:r>
              <w:rPr>
                <w:rFonts w:asciiTheme="minorEastAsia" w:hAnsiTheme="minorEastAsia" w:cstheme="minorEastAsia"/>
                <w:szCs w:val="21"/>
              </w:rPr>
              <w:t>2.做好校园绿化的具体工作。</w:t>
            </w:r>
          </w:p>
        </w:tc>
      </w:tr>
      <w:tr w14:paraId="21B9FBCE">
        <w:tblPrEx>
          <w:tblCellMar>
            <w:top w:w="0" w:type="dxa"/>
            <w:left w:w="108" w:type="dxa"/>
            <w:bottom w:w="0" w:type="dxa"/>
            <w:right w:w="108" w:type="dxa"/>
          </w:tblCellMar>
        </w:tblPrEx>
        <w:trPr>
          <w:trHeight w:val="607" w:hRule="atLeast"/>
          <w:jc w:val="center"/>
        </w:trPr>
        <w:tc>
          <w:tcPr>
            <w:tcW w:w="1156" w:type="dxa"/>
            <w:vMerge w:val="restart"/>
            <w:tcBorders>
              <w:top w:val="single" w:color="auto" w:sz="4" w:space="0"/>
              <w:left w:val="single" w:color="000000" w:sz="8" w:space="0"/>
              <w:right w:val="single" w:color="000000" w:sz="8" w:space="0"/>
            </w:tcBorders>
            <w:shd w:val="clear" w:color="auto" w:fill="auto"/>
            <w:noWrap/>
            <w:vAlign w:val="center"/>
          </w:tcPr>
          <w:p w14:paraId="0FF67E19">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维修服务</w:t>
            </w: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7F727FB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修建项目负责人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58213BE7">
            <w:pPr>
              <w:spacing w:line="360" w:lineRule="auto"/>
              <w:rPr>
                <w:rFonts w:asciiTheme="minorEastAsia" w:hAnsiTheme="minorEastAsia" w:cstheme="minorEastAsia"/>
                <w:szCs w:val="21"/>
              </w:rPr>
            </w:pPr>
            <w:r>
              <w:rPr>
                <w:rFonts w:hint="eastAsia" w:asciiTheme="minorEastAsia" w:hAnsiTheme="minorEastAsia" w:cstheme="minorEastAsia"/>
                <w:szCs w:val="21"/>
              </w:rPr>
              <w:t>1.30-60周岁，性别不限，专科及以上学历；</w:t>
            </w:r>
          </w:p>
          <w:p w14:paraId="0315189E">
            <w:pPr>
              <w:spacing w:line="360" w:lineRule="auto"/>
              <w:rPr>
                <w:rFonts w:asciiTheme="minorEastAsia" w:hAnsiTheme="minorEastAsia" w:cstheme="minorEastAsia"/>
                <w:szCs w:val="21"/>
              </w:rPr>
            </w:pPr>
            <w:r>
              <w:rPr>
                <w:rFonts w:hint="eastAsia" w:asciiTheme="minorEastAsia" w:hAnsiTheme="minorEastAsia" w:cstheme="minorEastAsia"/>
                <w:szCs w:val="21"/>
              </w:rPr>
              <w:t>2.有较好的沟通管理能力；</w:t>
            </w:r>
          </w:p>
          <w:p w14:paraId="58BB0A1A">
            <w:pPr>
              <w:spacing w:line="360" w:lineRule="auto"/>
              <w:rPr>
                <w:rFonts w:asciiTheme="minorEastAsia" w:hAnsiTheme="minorEastAsia" w:cstheme="minorEastAsia"/>
                <w:szCs w:val="21"/>
              </w:rPr>
            </w:pPr>
            <w:r>
              <w:rPr>
                <w:rFonts w:hint="eastAsia" w:asciiTheme="minorEastAsia" w:hAnsiTheme="minorEastAsia" w:cstheme="minorEastAsia"/>
                <w:szCs w:val="21"/>
              </w:rPr>
              <w:t>3.政治素质好，业务能力强，工作责任感好，组织管理能力；</w:t>
            </w:r>
          </w:p>
          <w:p w14:paraId="590FDCE8">
            <w:pPr>
              <w:spacing w:line="360" w:lineRule="auto"/>
              <w:rPr>
                <w:rFonts w:asciiTheme="minorEastAsia" w:hAnsiTheme="minorEastAsia" w:cstheme="minorEastAsia"/>
                <w:szCs w:val="21"/>
              </w:rPr>
            </w:pPr>
            <w:r>
              <w:rPr>
                <w:rFonts w:hint="eastAsia" w:asciiTheme="minorEastAsia" w:hAnsiTheme="minorEastAsia" w:cstheme="minorEastAsia"/>
                <w:szCs w:val="21"/>
              </w:rPr>
              <w:t>4.全面负责修建服务项目的日常管理工作。</w:t>
            </w:r>
          </w:p>
        </w:tc>
      </w:tr>
      <w:tr w14:paraId="25664122">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77E3CF9">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F3181F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综合服务负责人（修建）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5680B650">
            <w:pPr>
              <w:spacing w:line="360" w:lineRule="auto"/>
              <w:rPr>
                <w:rFonts w:asciiTheme="minorEastAsia" w:hAnsiTheme="minorEastAsia" w:cstheme="minorEastAsia"/>
                <w:szCs w:val="21"/>
              </w:rPr>
            </w:pPr>
            <w:r>
              <w:rPr>
                <w:rFonts w:hint="eastAsia" w:asciiTheme="minorEastAsia" w:hAnsiTheme="minorEastAsia" w:cstheme="minorEastAsia"/>
                <w:szCs w:val="21"/>
              </w:rPr>
              <w:t>1.28-50周岁，性别不限，本科及以上学历；</w:t>
            </w:r>
          </w:p>
          <w:p w14:paraId="19383B56">
            <w:pPr>
              <w:spacing w:line="360" w:lineRule="auto"/>
              <w:rPr>
                <w:rFonts w:asciiTheme="minorEastAsia" w:hAnsiTheme="minorEastAsia" w:cstheme="minorEastAsia"/>
                <w:szCs w:val="21"/>
              </w:rPr>
            </w:pPr>
            <w:r>
              <w:rPr>
                <w:rFonts w:hint="eastAsia" w:asciiTheme="minorEastAsia" w:hAnsiTheme="minorEastAsia" w:cstheme="minorEastAsia"/>
                <w:szCs w:val="21"/>
              </w:rPr>
              <w:t>2.政治素质好，工作责任感好，具备团队合作精神；</w:t>
            </w:r>
          </w:p>
          <w:p w14:paraId="33955589">
            <w:pPr>
              <w:spacing w:line="360" w:lineRule="auto"/>
              <w:rPr>
                <w:rFonts w:asciiTheme="minorEastAsia" w:hAnsiTheme="minorEastAsia" w:cstheme="minorEastAsia"/>
                <w:szCs w:val="21"/>
              </w:rPr>
            </w:pPr>
            <w:r>
              <w:rPr>
                <w:rFonts w:hint="eastAsia" w:asciiTheme="minorEastAsia" w:hAnsiTheme="minorEastAsia" w:cstheme="minorEastAsia"/>
                <w:szCs w:val="21"/>
              </w:rPr>
              <w:t>3.有较好的文字功底，熟练使用办公软件；</w:t>
            </w:r>
          </w:p>
          <w:p w14:paraId="18AA11B8">
            <w:pPr>
              <w:spacing w:line="360" w:lineRule="auto"/>
              <w:rPr>
                <w:rFonts w:asciiTheme="minorEastAsia" w:hAnsiTheme="minorEastAsia" w:cstheme="minorEastAsia"/>
                <w:szCs w:val="21"/>
              </w:rPr>
            </w:pPr>
            <w:r>
              <w:rPr>
                <w:rFonts w:hint="eastAsia" w:asciiTheme="minorEastAsia" w:hAnsiTheme="minorEastAsia" w:cstheme="minorEastAsia"/>
                <w:szCs w:val="21"/>
              </w:rPr>
              <w:t>4.</w:t>
            </w:r>
            <w:r>
              <w:rPr>
                <w:rFonts w:hint="eastAsia" w:asciiTheme="minorEastAsia" w:hAnsiTheme="minorEastAsia" w:cstheme="minorEastAsia"/>
                <w:kern w:val="0"/>
                <w:szCs w:val="21"/>
                <w:lang w:bidi="ar"/>
              </w:rPr>
              <w:t>协助项目负责人做好办公室的日常综合性事务工作。</w:t>
            </w:r>
          </w:p>
        </w:tc>
      </w:tr>
      <w:tr w14:paraId="30089A38">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41F9B547">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94FE02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维修服务负责人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5578629B">
            <w:pPr>
              <w:spacing w:line="360" w:lineRule="auto"/>
              <w:rPr>
                <w:rFonts w:asciiTheme="minorEastAsia" w:hAnsiTheme="minorEastAsia" w:cstheme="minorEastAsia"/>
                <w:szCs w:val="21"/>
              </w:rPr>
            </w:pPr>
            <w:r>
              <w:rPr>
                <w:rFonts w:hint="eastAsia" w:asciiTheme="minorEastAsia" w:hAnsiTheme="minorEastAsia" w:cstheme="minorEastAsia"/>
                <w:szCs w:val="21"/>
              </w:rPr>
              <w:t>1.25-55周岁，性别不限，专科及以上学历；</w:t>
            </w:r>
          </w:p>
          <w:p w14:paraId="40598627">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2.业务能力强，工作责任心强，具有较强的团结和组织能力，协调和沟通能力，有应对突发事件的反应和处置能力；</w:t>
            </w:r>
          </w:p>
          <w:p w14:paraId="7FC5434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3.协助项目负责人做好日常维修服务的管理工作。</w:t>
            </w:r>
          </w:p>
        </w:tc>
      </w:tr>
      <w:tr w14:paraId="2E9129EA">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1CB27DF0">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E36C2A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水电</w:t>
            </w:r>
          </w:p>
          <w:p w14:paraId="0DD1CB9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工程师</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7CD5739A">
            <w:pPr>
              <w:spacing w:line="360" w:lineRule="auto"/>
              <w:rPr>
                <w:rFonts w:asciiTheme="minorEastAsia" w:hAnsiTheme="minorEastAsia" w:cstheme="minorEastAsia"/>
                <w:szCs w:val="21"/>
              </w:rPr>
            </w:pPr>
            <w:r>
              <w:rPr>
                <w:rFonts w:hint="eastAsia" w:asciiTheme="minorEastAsia" w:hAnsiTheme="minorEastAsia" w:cstheme="minorEastAsia"/>
                <w:szCs w:val="21"/>
              </w:rPr>
              <w:t>1.25-55周岁，性别不限，专科及以上学历；</w:t>
            </w:r>
          </w:p>
          <w:p w14:paraId="304E46C9">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2.业务能力强，工作责任心强，有应对突发事件的反应和处置能力； </w:t>
            </w:r>
          </w:p>
          <w:p w14:paraId="7BE20AA4">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3.有维修相关管理经历； </w:t>
            </w:r>
          </w:p>
          <w:p w14:paraId="0F0E26C8">
            <w:pPr>
              <w:spacing w:line="360" w:lineRule="auto"/>
              <w:rPr>
                <w:rFonts w:asciiTheme="minorEastAsia" w:hAnsiTheme="minorEastAsia" w:cstheme="minorEastAsia"/>
                <w:szCs w:val="21"/>
              </w:rPr>
            </w:pPr>
            <w:r>
              <w:rPr>
                <w:rFonts w:hint="eastAsia" w:asciiTheme="minorEastAsia" w:hAnsiTheme="minorEastAsia" w:cstheme="minorEastAsia"/>
                <w:szCs w:val="21"/>
              </w:rPr>
              <w:t>4.持电工相关证件；</w:t>
            </w:r>
          </w:p>
          <w:p w14:paraId="26376C0C">
            <w:pPr>
              <w:spacing w:line="360" w:lineRule="auto"/>
              <w:rPr>
                <w:rFonts w:asciiTheme="minorEastAsia" w:hAnsiTheme="minorEastAsia" w:cstheme="minorEastAsia"/>
                <w:szCs w:val="21"/>
              </w:rPr>
            </w:pPr>
            <w:r>
              <w:rPr>
                <w:rFonts w:hint="eastAsia" w:asciiTheme="minorEastAsia" w:hAnsiTheme="minorEastAsia" w:cstheme="minorEastAsia"/>
                <w:szCs w:val="21"/>
              </w:rPr>
              <w:t>5.有3年以上维修管理从业经历；</w:t>
            </w:r>
          </w:p>
          <w:p w14:paraId="7EAC49A9">
            <w:pPr>
              <w:spacing w:line="360" w:lineRule="auto"/>
              <w:rPr>
                <w:rFonts w:asciiTheme="minorEastAsia" w:hAnsiTheme="minorEastAsia" w:cstheme="minorEastAsia"/>
                <w:szCs w:val="21"/>
              </w:rPr>
            </w:pPr>
            <w:r>
              <w:rPr>
                <w:rFonts w:hint="eastAsia" w:asciiTheme="minorEastAsia" w:hAnsiTheme="minorEastAsia" w:cstheme="minorEastAsia"/>
                <w:szCs w:val="21"/>
              </w:rPr>
              <w:t>6.协助项目负责人做好水电维修的管理工作。</w:t>
            </w:r>
          </w:p>
        </w:tc>
      </w:tr>
      <w:tr w14:paraId="09127A4C">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C2DFF0C">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36355E5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仓库</w:t>
            </w:r>
          </w:p>
          <w:p w14:paraId="597CDBD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管理员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0C1D1BBE">
            <w:pPr>
              <w:widowControl/>
              <w:kinsoku w:val="0"/>
              <w:autoSpaceDE w:val="0"/>
              <w:autoSpaceDN w:val="0"/>
              <w:adjustRightInd w:val="0"/>
              <w:snapToGrid w:val="0"/>
              <w:spacing w:line="360" w:lineRule="auto"/>
              <w:textAlignment w:val="baseline"/>
              <w:rPr>
                <w:rFonts w:asciiTheme="minorEastAsia" w:hAnsiTheme="minorEastAsia" w:cstheme="minorEastAsia"/>
                <w:szCs w:val="21"/>
              </w:rPr>
            </w:pPr>
            <w:r>
              <w:rPr>
                <w:rFonts w:hint="eastAsia" w:asciiTheme="minorEastAsia" w:hAnsiTheme="minorEastAsia" w:cstheme="minorEastAsia"/>
                <w:szCs w:val="21"/>
              </w:rPr>
              <w:t>1.高中以上文化程度；</w:t>
            </w:r>
          </w:p>
          <w:p w14:paraId="5DE3489B">
            <w:pPr>
              <w:widowControl/>
              <w:kinsoku w:val="0"/>
              <w:autoSpaceDE w:val="0"/>
              <w:autoSpaceDN w:val="0"/>
              <w:adjustRightInd w:val="0"/>
              <w:snapToGrid w:val="0"/>
              <w:spacing w:line="360" w:lineRule="auto"/>
              <w:textAlignment w:val="baseline"/>
              <w:rPr>
                <w:rFonts w:asciiTheme="minorEastAsia" w:hAnsiTheme="minorEastAsia" w:cstheme="minorEastAsia"/>
                <w:sz w:val="24"/>
              </w:rPr>
            </w:pPr>
            <w:r>
              <w:rPr>
                <w:rFonts w:hint="eastAsia" w:asciiTheme="minorEastAsia" w:hAnsiTheme="minorEastAsia" w:cstheme="minorEastAsia"/>
                <w:szCs w:val="21"/>
              </w:rPr>
              <w:t>2.工作耐心细致，责任心强；</w:t>
            </w:r>
          </w:p>
          <w:p w14:paraId="483065D7">
            <w:pPr>
              <w:widowControl/>
              <w:kinsoku w:val="0"/>
              <w:autoSpaceDE w:val="0"/>
              <w:autoSpaceDN w:val="0"/>
              <w:adjustRightInd w:val="0"/>
              <w:snapToGrid w:val="0"/>
              <w:spacing w:line="360" w:lineRule="auto"/>
              <w:textAlignment w:val="baseline"/>
              <w:rPr>
                <w:rFonts w:asciiTheme="minorEastAsia" w:hAnsiTheme="minorEastAsia" w:cstheme="minorEastAsia"/>
                <w:szCs w:val="21"/>
              </w:rPr>
            </w:pPr>
            <w:r>
              <w:rPr>
                <w:rFonts w:hint="eastAsia" w:asciiTheme="minorEastAsia" w:hAnsiTheme="minorEastAsia" w:cstheme="minorEastAsia"/>
                <w:szCs w:val="21"/>
              </w:rPr>
              <w:t>3.有一定的物资管理经验，熟悉仓库物资出入库流程，熟悉相关软件操作；</w:t>
            </w:r>
          </w:p>
          <w:p w14:paraId="31214CD2">
            <w:pPr>
              <w:widowControl/>
              <w:kinsoku w:val="0"/>
              <w:autoSpaceDE w:val="0"/>
              <w:autoSpaceDN w:val="0"/>
              <w:adjustRightInd w:val="0"/>
              <w:snapToGrid w:val="0"/>
              <w:spacing w:line="360" w:lineRule="auto"/>
              <w:textAlignment w:val="baseline"/>
              <w:rPr>
                <w:rFonts w:asciiTheme="minorEastAsia" w:hAnsiTheme="minorEastAsia" w:cstheme="minorEastAsia"/>
                <w:szCs w:val="21"/>
              </w:rPr>
            </w:pPr>
            <w:r>
              <w:rPr>
                <w:rFonts w:hint="eastAsia" w:asciiTheme="minorEastAsia" w:hAnsiTheme="minorEastAsia" w:cstheme="minorEastAsia"/>
                <w:szCs w:val="21"/>
              </w:rPr>
              <w:t>4.负责维修仓库的日常管理。</w:t>
            </w:r>
          </w:p>
        </w:tc>
      </w:tr>
      <w:tr w14:paraId="1F651813">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23ED34D2">
            <w:pPr>
              <w:spacing w:line="360" w:lineRule="auto"/>
              <w:jc w:val="left"/>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0F7E6E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高配</w:t>
            </w:r>
          </w:p>
          <w:p w14:paraId="7E2BAA9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值班员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050CAFC7">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1.持有高配上岗证书，对工作认真负责；</w:t>
            </w:r>
          </w:p>
          <w:p w14:paraId="24100C9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2.保证7*24H在岗；</w:t>
            </w:r>
          </w:p>
          <w:p w14:paraId="055E68A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3.负责东湖、衣锦高低配电房和水房管理，负责学校供电设备的安全运行和供水正常。</w:t>
            </w:r>
          </w:p>
        </w:tc>
      </w:tr>
      <w:tr w14:paraId="06C7E6B6">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5EA77D61">
            <w:pPr>
              <w:spacing w:line="360" w:lineRule="auto"/>
              <w:jc w:val="left"/>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0157F44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水电计量员（节能监管平台专管员）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5B7F590C">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1.熟悉学校水电表分布情况；</w:t>
            </w:r>
          </w:p>
          <w:p w14:paraId="56B9D72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2.工作耐心细致，责任心强；</w:t>
            </w:r>
          </w:p>
          <w:p w14:paraId="460E5D3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3.熟悉电脑操作、统计工作；</w:t>
            </w:r>
          </w:p>
          <w:p w14:paraId="7B3EC29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4.负责学校水电计量，节能平台日常监管。</w:t>
            </w:r>
          </w:p>
        </w:tc>
      </w:tr>
      <w:tr w14:paraId="53C0DB82">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bottom w:val="single" w:color="auto" w:sz="4" w:space="0"/>
              <w:right w:val="single" w:color="000000" w:sz="8" w:space="0"/>
            </w:tcBorders>
            <w:shd w:val="clear" w:color="auto" w:fill="auto"/>
            <w:noWrap/>
            <w:vAlign w:val="center"/>
          </w:tcPr>
          <w:p w14:paraId="30070942">
            <w:pPr>
              <w:spacing w:line="360" w:lineRule="auto"/>
              <w:rPr>
                <w:rFonts w:asciiTheme="minorEastAsia" w:hAnsiTheme="minorEastAsia" w:cstheme="minorEastAsia"/>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DF3047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维修员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306CB8F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1.55周岁以下，身体健康，具备相应维修服务经验，具有相应资格上岗证书；</w:t>
            </w:r>
          </w:p>
          <w:p w14:paraId="33BA8F8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2.负责学生公寓、公共楼宇及公共区域的维修和应急维修等工作。</w:t>
            </w:r>
          </w:p>
        </w:tc>
      </w:tr>
      <w:tr w14:paraId="5ED9547B">
        <w:tblPrEx>
          <w:tblCellMar>
            <w:top w:w="0" w:type="dxa"/>
            <w:left w:w="108" w:type="dxa"/>
            <w:bottom w:w="0" w:type="dxa"/>
            <w:right w:w="108" w:type="dxa"/>
          </w:tblCellMar>
        </w:tblPrEx>
        <w:trPr>
          <w:trHeight w:val="607" w:hRule="atLeast"/>
          <w:jc w:val="center"/>
        </w:trPr>
        <w:tc>
          <w:tcPr>
            <w:tcW w:w="1156" w:type="dxa"/>
            <w:vMerge w:val="restart"/>
            <w:tcBorders>
              <w:top w:val="single" w:color="auto" w:sz="4" w:space="0"/>
              <w:left w:val="single" w:color="000000" w:sz="8" w:space="0"/>
              <w:right w:val="single" w:color="000000" w:sz="8" w:space="0"/>
            </w:tcBorders>
            <w:shd w:val="clear" w:color="auto" w:fill="auto"/>
            <w:noWrap/>
            <w:vAlign w:val="center"/>
          </w:tcPr>
          <w:p w14:paraId="508210EC">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szCs w:val="21"/>
              </w:rPr>
              <w:t>活动中心及</w:t>
            </w:r>
          </w:p>
          <w:p w14:paraId="65AB2512">
            <w:pPr>
              <w:widowControl/>
              <w:spacing w:line="360" w:lineRule="auto"/>
              <w:jc w:val="center"/>
              <w:textAlignment w:val="center"/>
              <w:rPr>
                <w:rFonts w:ascii="宋体" w:hAnsi="宋体"/>
                <w:kern w:val="0"/>
                <w:szCs w:val="21"/>
              </w:rPr>
            </w:pPr>
            <w:r>
              <w:rPr>
                <w:rFonts w:hint="eastAsia" w:asciiTheme="minorEastAsia" w:hAnsiTheme="minorEastAsia" w:cstheme="minorEastAsia"/>
                <w:szCs w:val="21"/>
              </w:rPr>
              <w:t>会场管理</w:t>
            </w: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C7BD82F">
            <w:pPr>
              <w:widowControl/>
              <w:spacing w:line="360" w:lineRule="auto"/>
              <w:jc w:val="center"/>
              <w:textAlignment w:val="center"/>
              <w:rPr>
                <w:rFonts w:ascii="宋体" w:hAnsi="宋体"/>
                <w:kern w:val="0"/>
                <w:szCs w:val="21"/>
              </w:rPr>
            </w:pPr>
            <w:r>
              <w:rPr>
                <w:rFonts w:hint="eastAsia" w:ascii="宋体" w:hAnsi="宋体"/>
                <w:kern w:val="0"/>
                <w:szCs w:val="21"/>
              </w:rPr>
              <w:t>活动中心及会场服务负责人</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00380120">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在25-60周岁，性别不限，大专及以上学历；</w:t>
            </w:r>
          </w:p>
          <w:p w14:paraId="64D5ABEE">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4F0A5FDA">
            <w:pPr>
              <w:spacing w:line="360" w:lineRule="auto"/>
              <w:rPr>
                <w:rFonts w:asciiTheme="minorEastAsia" w:hAnsiTheme="minorEastAsia" w:cstheme="minorEastAsia"/>
                <w:szCs w:val="21"/>
              </w:rPr>
            </w:pPr>
            <w:r>
              <w:rPr>
                <w:rFonts w:hint="eastAsia" w:asciiTheme="minorEastAsia" w:hAnsiTheme="minorEastAsia" w:cstheme="minorEastAsia"/>
                <w:szCs w:val="21"/>
              </w:rPr>
              <w:t>3.有较强的组织领导和管理能力，具备团队合作精神，具备相应岗位的业务技能。</w:t>
            </w:r>
          </w:p>
          <w:p w14:paraId="17BC3DA8">
            <w:pPr>
              <w:spacing w:line="360" w:lineRule="auto"/>
              <w:rPr>
                <w:rFonts w:asciiTheme="minorEastAsia" w:hAnsiTheme="minorEastAsia" w:cstheme="minorEastAsia"/>
                <w:szCs w:val="21"/>
              </w:rPr>
            </w:pPr>
            <w:r>
              <w:rPr>
                <w:rFonts w:hint="eastAsia" w:asciiTheme="minorEastAsia" w:hAnsiTheme="minorEastAsia" w:cstheme="minorEastAsia"/>
                <w:szCs w:val="21"/>
              </w:rPr>
              <w:t>4.负责活动中心及各会场的日常管理和综合协调。</w:t>
            </w:r>
          </w:p>
        </w:tc>
      </w:tr>
      <w:tr w14:paraId="02F5E639">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12D3E2E2">
            <w:pPr>
              <w:widowControl/>
              <w:spacing w:line="360" w:lineRule="auto"/>
              <w:jc w:val="center"/>
              <w:textAlignment w:val="center"/>
              <w:rPr>
                <w:rFonts w:ascii="宋体" w:hAnsi="宋体"/>
                <w:kern w:val="0"/>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3FAC2B25">
            <w:pPr>
              <w:widowControl/>
              <w:spacing w:line="360" w:lineRule="auto"/>
              <w:jc w:val="center"/>
              <w:textAlignment w:val="center"/>
              <w:rPr>
                <w:rFonts w:ascii="宋体" w:hAnsi="宋体"/>
                <w:kern w:val="0"/>
                <w:szCs w:val="21"/>
              </w:rPr>
            </w:pPr>
            <w:r>
              <w:rPr>
                <w:rFonts w:hint="eastAsia" w:ascii="宋体" w:hAnsi="宋体"/>
                <w:kern w:val="0"/>
                <w:szCs w:val="21"/>
              </w:rPr>
              <w:t>活动中心及会场保洁员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75FCDE95">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在65周岁以下，性别不限；</w:t>
            </w:r>
          </w:p>
          <w:p w14:paraId="1CD631A4">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52ECDEE6">
            <w:pPr>
              <w:spacing w:line="360" w:lineRule="auto"/>
              <w:rPr>
                <w:rFonts w:asciiTheme="minorEastAsia" w:hAnsiTheme="minorEastAsia" w:cstheme="minorEastAsia"/>
                <w:szCs w:val="21"/>
              </w:rPr>
            </w:pPr>
            <w:r>
              <w:rPr>
                <w:rFonts w:hint="eastAsia" w:asciiTheme="minorEastAsia" w:hAnsiTheme="minorEastAsia" w:cstheme="minorEastAsia"/>
                <w:szCs w:val="21"/>
              </w:rPr>
              <w:t>3.做好活动中心及会场的每日保洁。</w:t>
            </w:r>
          </w:p>
        </w:tc>
      </w:tr>
      <w:tr w14:paraId="746F8997">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7CAF470E">
            <w:pPr>
              <w:widowControl/>
              <w:spacing w:line="360" w:lineRule="auto"/>
              <w:jc w:val="center"/>
              <w:textAlignment w:val="center"/>
              <w:rPr>
                <w:rFonts w:ascii="宋体" w:hAnsi="宋体"/>
                <w:kern w:val="0"/>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D21F247">
            <w:pPr>
              <w:widowControl/>
              <w:spacing w:line="360" w:lineRule="auto"/>
              <w:jc w:val="center"/>
              <w:textAlignment w:val="center"/>
              <w:rPr>
                <w:rFonts w:ascii="宋体" w:hAnsi="宋体"/>
                <w:kern w:val="0"/>
                <w:szCs w:val="21"/>
              </w:rPr>
            </w:pPr>
            <w:r>
              <w:rPr>
                <w:rFonts w:hint="eastAsia" w:ascii="宋体" w:hAnsi="宋体"/>
                <w:kern w:val="0"/>
                <w:szCs w:val="21"/>
              </w:rPr>
              <w:t>活动中心值班员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3F78AD7E">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在65周岁以下，男性；</w:t>
            </w:r>
          </w:p>
          <w:p w14:paraId="61D363AD">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0A0F559F">
            <w:pPr>
              <w:spacing w:line="360" w:lineRule="auto"/>
              <w:rPr>
                <w:rFonts w:asciiTheme="minorEastAsia" w:hAnsiTheme="minorEastAsia" w:cstheme="minorEastAsia"/>
                <w:szCs w:val="21"/>
              </w:rPr>
            </w:pPr>
            <w:r>
              <w:rPr>
                <w:rFonts w:hint="eastAsia" w:asciiTheme="minorEastAsia" w:hAnsiTheme="minorEastAsia" w:cstheme="minorEastAsia"/>
                <w:szCs w:val="21"/>
              </w:rPr>
              <w:t>3.要求24小时值班制；</w:t>
            </w:r>
          </w:p>
          <w:p w14:paraId="5605625F">
            <w:pPr>
              <w:spacing w:line="360" w:lineRule="auto"/>
              <w:rPr>
                <w:rFonts w:asciiTheme="minorEastAsia" w:hAnsiTheme="minorEastAsia" w:cstheme="minorEastAsia"/>
                <w:szCs w:val="21"/>
              </w:rPr>
            </w:pPr>
            <w:r>
              <w:rPr>
                <w:rFonts w:hint="eastAsia" w:asciiTheme="minorEastAsia" w:hAnsiTheme="minorEastAsia" w:cstheme="minorEastAsia"/>
                <w:szCs w:val="21"/>
              </w:rPr>
              <w:t>4.做好活动中心的日常值班。</w:t>
            </w:r>
          </w:p>
        </w:tc>
      </w:tr>
      <w:tr w14:paraId="792F5BC8">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049F898A">
            <w:pPr>
              <w:widowControl/>
              <w:spacing w:line="360" w:lineRule="auto"/>
              <w:jc w:val="center"/>
              <w:textAlignment w:val="center"/>
              <w:rPr>
                <w:rFonts w:ascii="宋体" w:hAnsi="宋体"/>
                <w:kern w:val="0"/>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D293FC4">
            <w:pPr>
              <w:widowControl/>
              <w:spacing w:line="360" w:lineRule="auto"/>
              <w:jc w:val="center"/>
              <w:textAlignment w:val="center"/>
              <w:rPr>
                <w:rFonts w:ascii="宋体" w:hAnsi="宋体"/>
                <w:kern w:val="0"/>
                <w:szCs w:val="21"/>
              </w:rPr>
            </w:pPr>
            <w:r>
              <w:rPr>
                <w:rFonts w:hint="eastAsia" w:ascii="宋体" w:hAnsi="宋体"/>
                <w:kern w:val="0"/>
                <w:szCs w:val="21"/>
              </w:rPr>
              <w:t>会场</w:t>
            </w:r>
          </w:p>
          <w:p w14:paraId="1252CF7F">
            <w:pPr>
              <w:widowControl/>
              <w:spacing w:line="360" w:lineRule="auto"/>
              <w:jc w:val="center"/>
              <w:textAlignment w:val="center"/>
              <w:rPr>
                <w:rFonts w:ascii="宋体" w:hAnsi="宋体"/>
                <w:kern w:val="0"/>
                <w:szCs w:val="21"/>
              </w:rPr>
            </w:pPr>
            <w:r>
              <w:rPr>
                <w:rFonts w:hint="eastAsia" w:ascii="宋体" w:hAnsi="宋体"/>
                <w:kern w:val="0"/>
                <w:szCs w:val="21"/>
              </w:rPr>
              <w:t>服务员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6C4FDDBD">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在50周岁以下，女性，高中以上学历；</w:t>
            </w:r>
          </w:p>
          <w:p w14:paraId="10209109">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2.身体健康，形象较好，能够适应任职工作岗位的要求；</w:t>
            </w:r>
          </w:p>
          <w:p w14:paraId="672CB6C3">
            <w:pPr>
              <w:spacing w:line="360" w:lineRule="auto"/>
              <w:rPr>
                <w:rFonts w:asciiTheme="minorEastAsia" w:hAnsiTheme="minorEastAsia" w:cstheme="minorEastAsia"/>
                <w:szCs w:val="21"/>
              </w:rPr>
            </w:pPr>
            <w:r>
              <w:rPr>
                <w:rFonts w:hint="eastAsia" w:asciiTheme="minorEastAsia" w:hAnsiTheme="minorEastAsia" w:cstheme="minorEastAsia"/>
                <w:szCs w:val="21"/>
              </w:rPr>
              <w:t>3.有较强的协调、沟通能力，</w:t>
            </w:r>
            <w:r>
              <w:rPr>
                <w:rFonts w:hint="eastAsia" w:asciiTheme="minorEastAsia" w:hAnsiTheme="minorEastAsia" w:cstheme="minorEastAsia"/>
                <w:kern w:val="0"/>
                <w:szCs w:val="21"/>
                <w:lang w:bidi="ar"/>
              </w:rPr>
              <w:t>有一定的业务知识与技能；</w:t>
            </w:r>
          </w:p>
          <w:p w14:paraId="25D6559D">
            <w:pPr>
              <w:spacing w:line="360" w:lineRule="auto"/>
              <w:rPr>
                <w:rFonts w:asciiTheme="minorEastAsia" w:hAnsiTheme="minorEastAsia" w:cstheme="minorEastAsia"/>
                <w:szCs w:val="21"/>
              </w:rPr>
            </w:pPr>
            <w:r>
              <w:rPr>
                <w:rFonts w:hint="eastAsia" w:asciiTheme="minorEastAsia" w:hAnsiTheme="minorEastAsia" w:cstheme="minorEastAsia"/>
                <w:szCs w:val="21"/>
              </w:rPr>
              <w:t>4.负责会场预约、登记、结算签单及会务安排和会场司茶等工作。</w:t>
            </w:r>
          </w:p>
        </w:tc>
      </w:tr>
      <w:tr w14:paraId="0110C0FA">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right w:val="single" w:color="000000" w:sz="8" w:space="0"/>
            </w:tcBorders>
            <w:shd w:val="clear" w:color="auto" w:fill="auto"/>
            <w:noWrap/>
            <w:vAlign w:val="center"/>
          </w:tcPr>
          <w:p w14:paraId="1FC1676C">
            <w:pPr>
              <w:widowControl/>
              <w:spacing w:line="360" w:lineRule="auto"/>
              <w:jc w:val="center"/>
              <w:textAlignment w:val="center"/>
              <w:rPr>
                <w:rFonts w:ascii="宋体" w:hAnsi="宋体"/>
                <w:kern w:val="0"/>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C25DC7B">
            <w:pPr>
              <w:widowControl/>
              <w:spacing w:line="360" w:lineRule="auto"/>
              <w:jc w:val="center"/>
              <w:textAlignment w:val="center"/>
              <w:rPr>
                <w:rFonts w:ascii="宋体" w:hAnsi="宋体"/>
                <w:kern w:val="0"/>
                <w:szCs w:val="21"/>
              </w:rPr>
            </w:pPr>
            <w:r>
              <w:rPr>
                <w:rFonts w:hint="eastAsia" w:ascii="宋体" w:hAnsi="宋体"/>
                <w:kern w:val="0"/>
                <w:szCs w:val="21"/>
              </w:rPr>
              <w:t>会场</w:t>
            </w:r>
          </w:p>
          <w:p w14:paraId="5F4E0827">
            <w:pPr>
              <w:widowControl/>
              <w:spacing w:line="360" w:lineRule="auto"/>
              <w:jc w:val="center"/>
              <w:textAlignment w:val="center"/>
              <w:rPr>
                <w:rFonts w:ascii="宋体" w:hAnsi="宋体"/>
                <w:kern w:val="0"/>
                <w:szCs w:val="21"/>
              </w:rPr>
            </w:pPr>
            <w:r>
              <w:rPr>
                <w:rFonts w:hint="eastAsia" w:ascii="宋体" w:hAnsi="宋体"/>
                <w:kern w:val="0"/>
                <w:szCs w:val="21"/>
              </w:rPr>
              <w:t>技术员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0461F2B3">
            <w:pPr>
              <w:spacing w:line="360" w:lineRule="auto"/>
              <w:rPr>
                <w:rFonts w:asciiTheme="minorEastAsia" w:hAnsiTheme="minorEastAsia" w:cstheme="minorEastAsia"/>
                <w:szCs w:val="21"/>
              </w:rPr>
            </w:pPr>
            <w:r>
              <w:rPr>
                <w:rFonts w:hint="eastAsia" w:asciiTheme="minorEastAsia" w:hAnsiTheme="minorEastAsia" w:cstheme="minorEastAsia"/>
                <w:szCs w:val="21"/>
              </w:rPr>
              <w:t>1.年龄原则上在60周岁以下，性别不限，大专及以上学历；</w:t>
            </w:r>
          </w:p>
          <w:p w14:paraId="4EC70DEB">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6D7E9D85">
            <w:pPr>
              <w:spacing w:line="360" w:lineRule="auto"/>
              <w:rPr>
                <w:rFonts w:asciiTheme="minorEastAsia" w:hAnsiTheme="minorEastAsia" w:cstheme="minorEastAsia"/>
                <w:szCs w:val="21"/>
              </w:rPr>
            </w:pPr>
            <w:r>
              <w:rPr>
                <w:rFonts w:hint="eastAsia" w:asciiTheme="minorEastAsia" w:hAnsiTheme="minorEastAsia" w:cstheme="minorEastAsia"/>
                <w:szCs w:val="21"/>
              </w:rPr>
              <w:t>3.有较强的协调、沟通能力，有一定的业务知识与技能；</w:t>
            </w:r>
          </w:p>
          <w:p w14:paraId="641177DC">
            <w:pPr>
              <w:spacing w:line="360" w:lineRule="auto"/>
              <w:rPr>
                <w:rFonts w:asciiTheme="minorEastAsia" w:hAnsiTheme="minorEastAsia" w:cstheme="minorEastAsia"/>
                <w:kern w:val="0"/>
                <w:szCs w:val="21"/>
              </w:rPr>
            </w:pPr>
            <w:r>
              <w:rPr>
                <w:rFonts w:hint="eastAsia" w:asciiTheme="minorEastAsia" w:hAnsiTheme="minorEastAsia" w:cstheme="minorEastAsia"/>
                <w:szCs w:val="21"/>
              </w:rPr>
              <w:t>4.负责会场灯光、音响、LED大屏幕、多媒体、视频会议系统等正常运行，协助配合专业维保。</w:t>
            </w:r>
          </w:p>
        </w:tc>
      </w:tr>
      <w:tr w14:paraId="2D46FFF7">
        <w:tblPrEx>
          <w:tblCellMar>
            <w:top w:w="0" w:type="dxa"/>
            <w:left w:w="108" w:type="dxa"/>
            <w:bottom w:w="0" w:type="dxa"/>
            <w:right w:w="108" w:type="dxa"/>
          </w:tblCellMar>
        </w:tblPrEx>
        <w:trPr>
          <w:trHeight w:val="607" w:hRule="atLeast"/>
          <w:jc w:val="center"/>
        </w:trPr>
        <w:tc>
          <w:tcPr>
            <w:tcW w:w="1156" w:type="dxa"/>
            <w:vMerge w:val="continue"/>
            <w:tcBorders>
              <w:left w:val="single" w:color="000000" w:sz="8" w:space="0"/>
              <w:bottom w:val="single" w:color="auto" w:sz="4" w:space="0"/>
              <w:right w:val="single" w:color="000000" w:sz="8" w:space="0"/>
            </w:tcBorders>
            <w:shd w:val="clear" w:color="auto" w:fill="auto"/>
            <w:noWrap/>
            <w:vAlign w:val="center"/>
          </w:tcPr>
          <w:p w14:paraId="28000BC4">
            <w:pPr>
              <w:widowControl/>
              <w:spacing w:line="360" w:lineRule="auto"/>
              <w:jc w:val="center"/>
              <w:textAlignment w:val="center"/>
              <w:rPr>
                <w:rFonts w:ascii="宋体" w:hAnsi="宋体"/>
                <w:kern w:val="0"/>
                <w:szCs w:val="21"/>
              </w:rPr>
            </w:pPr>
          </w:p>
        </w:tc>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2B898696">
            <w:pPr>
              <w:widowControl/>
              <w:spacing w:line="360" w:lineRule="auto"/>
              <w:jc w:val="center"/>
              <w:textAlignment w:val="center"/>
              <w:rPr>
                <w:rFonts w:ascii="宋体" w:hAnsi="宋体"/>
                <w:kern w:val="0"/>
                <w:szCs w:val="21"/>
              </w:rPr>
            </w:pPr>
            <w:r>
              <w:rPr>
                <w:rFonts w:hint="eastAsia" w:ascii="宋体" w:hAnsi="宋体"/>
                <w:kern w:val="0"/>
                <w:szCs w:val="21"/>
              </w:rPr>
              <w:t>会场</w:t>
            </w:r>
          </w:p>
          <w:p w14:paraId="7A6AA8BC">
            <w:pPr>
              <w:widowControl/>
              <w:spacing w:line="360" w:lineRule="auto"/>
              <w:jc w:val="center"/>
              <w:textAlignment w:val="center"/>
              <w:rPr>
                <w:rFonts w:ascii="宋体" w:hAnsi="宋体"/>
                <w:kern w:val="0"/>
                <w:szCs w:val="21"/>
              </w:rPr>
            </w:pPr>
            <w:r>
              <w:rPr>
                <w:rFonts w:hint="eastAsia" w:ascii="宋体" w:hAnsi="宋体"/>
                <w:kern w:val="0"/>
                <w:szCs w:val="21"/>
              </w:rPr>
              <w:t>维修员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619BDDB0">
            <w:pPr>
              <w:widowControl/>
              <w:spacing w:line="360" w:lineRule="auto"/>
              <w:textAlignment w:val="center"/>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5周岁以下，男性；</w:t>
            </w:r>
          </w:p>
          <w:p w14:paraId="61765BF0">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26356988">
            <w:pPr>
              <w:spacing w:line="360" w:lineRule="auto"/>
              <w:rPr>
                <w:rFonts w:asciiTheme="minorEastAsia" w:hAnsiTheme="minorEastAsia" w:cstheme="minorEastAsia"/>
                <w:szCs w:val="21"/>
              </w:rPr>
            </w:pPr>
            <w:r>
              <w:rPr>
                <w:rFonts w:hint="eastAsia" w:asciiTheme="minorEastAsia" w:hAnsiTheme="minorEastAsia" w:cstheme="minorEastAsia"/>
                <w:szCs w:val="21"/>
              </w:rPr>
              <w:t>3.持相关岗位上岗资格证书（如维修电工、电工证、高压证或者低压证书）；</w:t>
            </w:r>
          </w:p>
          <w:p w14:paraId="09D464AA">
            <w:pPr>
              <w:spacing w:line="360" w:lineRule="auto"/>
            </w:pPr>
            <w:r>
              <w:rPr>
                <w:rFonts w:hint="eastAsia" w:asciiTheme="minorEastAsia" w:hAnsiTheme="minorEastAsia" w:cstheme="minorEastAsia"/>
                <w:szCs w:val="21"/>
              </w:rPr>
              <w:t>4.负责活动中心、各会场日常和夜间节假日水、电、木的维修。</w:t>
            </w:r>
          </w:p>
        </w:tc>
      </w:tr>
    </w:tbl>
    <w:p w14:paraId="2F8788D7">
      <w:pPr>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（2）项目岗位人员最低配置</w:t>
      </w:r>
    </w:p>
    <w:tbl>
      <w:tblPr>
        <w:tblStyle w:val="53"/>
        <w:tblW w:w="4999" w:type="pct"/>
        <w:tblInd w:w="0" w:type="dxa"/>
        <w:tblLayout w:type="autofit"/>
        <w:tblCellMar>
          <w:top w:w="0" w:type="dxa"/>
          <w:left w:w="108" w:type="dxa"/>
          <w:bottom w:w="0" w:type="dxa"/>
          <w:right w:w="108" w:type="dxa"/>
        </w:tblCellMar>
      </w:tblPr>
      <w:tblGrid>
        <w:gridCol w:w="1328"/>
        <w:gridCol w:w="4921"/>
        <w:gridCol w:w="2697"/>
      </w:tblGrid>
      <w:tr w14:paraId="229CBAF8">
        <w:tblPrEx>
          <w:tblCellMar>
            <w:top w:w="0" w:type="dxa"/>
            <w:left w:w="108" w:type="dxa"/>
            <w:bottom w:w="0" w:type="dxa"/>
            <w:right w:w="108" w:type="dxa"/>
          </w:tblCellMar>
        </w:tblPrEx>
        <w:trPr>
          <w:trHeight w:val="283" w:hRule="atLeast"/>
        </w:trPr>
        <w:tc>
          <w:tcPr>
            <w:tcW w:w="74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9A3C82">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序号</w:t>
            </w:r>
          </w:p>
        </w:tc>
        <w:tc>
          <w:tcPr>
            <w:tcW w:w="2750" w:type="pct"/>
            <w:tcBorders>
              <w:top w:val="single" w:color="000000" w:sz="8" w:space="0"/>
              <w:left w:val="nil"/>
              <w:bottom w:val="single" w:color="000000" w:sz="8" w:space="0"/>
              <w:right w:val="single" w:color="000000" w:sz="8" w:space="0"/>
            </w:tcBorders>
            <w:shd w:val="clear" w:color="auto" w:fill="auto"/>
            <w:vAlign w:val="center"/>
          </w:tcPr>
          <w:p w14:paraId="4C95A69C">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岗位</w:t>
            </w:r>
          </w:p>
        </w:tc>
        <w:tc>
          <w:tcPr>
            <w:tcW w:w="1507" w:type="pct"/>
            <w:tcBorders>
              <w:top w:val="single" w:color="000000" w:sz="8" w:space="0"/>
              <w:left w:val="nil"/>
              <w:bottom w:val="single" w:color="000000" w:sz="8" w:space="0"/>
              <w:right w:val="single" w:color="000000" w:sz="8" w:space="0"/>
            </w:tcBorders>
            <w:shd w:val="clear" w:color="auto" w:fill="auto"/>
            <w:vAlign w:val="center"/>
          </w:tcPr>
          <w:p w14:paraId="3F9E2B4B">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人数</w:t>
            </w:r>
          </w:p>
        </w:tc>
      </w:tr>
      <w:tr w14:paraId="7BA2A678">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000000" w:sz="8" w:space="0"/>
              <w:right w:val="single" w:color="000000" w:sz="8" w:space="0"/>
            </w:tcBorders>
            <w:shd w:val="clear" w:color="auto" w:fill="auto"/>
            <w:noWrap/>
            <w:vAlign w:val="center"/>
          </w:tcPr>
          <w:p w14:paraId="4315CC8D">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1</w:t>
            </w:r>
          </w:p>
        </w:tc>
        <w:tc>
          <w:tcPr>
            <w:tcW w:w="2750" w:type="pct"/>
            <w:tcBorders>
              <w:top w:val="nil"/>
              <w:left w:val="nil"/>
              <w:bottom w:val="single" w:color="000000" w:sz="8" w:space="0"/>
              <w:right w:val="single" w:color="000000" w:sz="8" w:space="0"/>
            </w:tcBorders>
            <w:shd w:val="clear" w:color="auto" w:fill="auto"/>
            <w:vAlign w:val="center"/>
          </w:tcPr>
          <w:p w14:paraId="769A543E">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公寓项目负责人</w:t>
            </w:r>
          </w:p>
        </w:tc>
        <w:tc>
          <w:tcPr>
            <w:tcW w:w="1507" w:type="pct"/>
            <w:tcBorders>
              <w:top w:val="nil"/>
              <w:left w:val="nil"/>
              <w:bottom w:val="single" w:color="000000" w:sz="8" w:space="0"/>
              <w:right w:val="single" w:color="000000" w:sz="8" w:space="0"/>
            </w:tcBorders>
            <w:shd w:val="clear" w:color="auto" w:fill="auto"/>
            <w:vAlign w:val="center"/>
          </w:tcPr>
          <w:p w14:paraId="0C30C871">
            <w:pPr>
              <w:pStyle w:val="350"/>
              <w:spacing w:line="460" w:lineRule="exact"/>
              <w:jc w:val="center"/>
              <w:rPr>
                <w:rFonts w:asciiTheme="minorEastAsia" w:hAnsiTheme="minorEastAsia" w:cstheme="minorEastAsia"/>
                <w:color w:val="auto"/>
                <w:sz w:val="21"/>
                <w:szCs w:val="21"/>
                <w:lang w:bidi="ar"/>
              </w:rPr>
            </w:pPr>
            <w:r>
              <w:rPr>
                <w:rFonts w:hint="eastAsia" w:asciiTheme="minorEastAsia" w:hAnsiTheme="minorEastAsia" w:cstheme="minorEastAsia"/>
                <w:color w:val="auto"/>
                <w:sz w:val="21"/>
                <w:szCs w:val="21"/>
                <w:lang w:bidi="ar"/>
              </w:rPr>
              <w:t>1</w:t>
            </w:r>
          </w:p>
        </w:tc>
      </w:tr>
      <w:tr w14:paraId="79912AEF">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000000" w:sz="8" w:space="0"/>
              <w:right w:val="single" w:color="000000" w:sz="8" w:space="0"/>
            </w:tcBorders>
            <w:shd w:val="clear" w:color="auto" w:fill="auto"/>
            <w:noWrap/>
            <w:vAlign w:val="center"/>
          </w:tcPr>
          <w:p w14:paraId="250D66B0">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c>
          <w:tcPr>
            <w:tcW w:w="2750" w:type="pct"/>
            <w:tcBorders>
              <w:top w:val="nil"/>
              <w:left w:val="nil"/>
              <w:bottom w:val="single" w:color="000000" w:sz="8" w:space="0"/>
              <w:right w:val="single" w:color="000000" w:sz="8" w:space="0"/>
            </w:tcBorders>
            <w:shd w:val="clear" w:color="auto" w:fill="auto"/>
            <w:vAlign w:val="center"/>
          </w:tcPr>
          <w:p w14:paraId="14CF4186">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综合服务负责人（公寓）</w:t>
            </w:r>
          </w:p>
        </w:tc>
        <w:tc>
          <w:tcPr>
            <w:tcW w:w="1507" w:type="pct"/>
            <w:tcBorders>
              <w:top w:val="nil"/>
              <w:left w:val="nil"/>
              <w:bottom w:val="single" w:color="000000" w:sz="8" w:space="0"/>
              <w:right w:val="single" w:color="000000" w:sz="8" w:space="0"/>
            </w:tcBorders>
            <w:shd w:val="clear" w:color="auto" w:fill="auto"/>
            <w:vAlign w:val="center"/>
          </w:tcPr>
          <w:p w14:paraId="0FC2748C">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r>
      <w:tr w14:paraId="2E492407">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000000" w:sz="8" w:space="0"/>
              <w:right w:val="single" w:color="000000" w:sz="8" w:space="0"/>
            </w:tcBorders>
            <w:shd w:val="clear" w:color="auto" w:fill="auto"/>
            <w:noWrap/>
            <w:vAlign w:val="center"/>
          </w:tcPr>
          <w:p w14:paraId="7B3B849B">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w:t>
            </w:r>
          </w:p>
        </w:tc>
        <w:tc>
          <w:tcPr>
            <w:tcW w:w="2750" w:type="pct"/>
            <w:tcBorders>
              <w:top w:val="nil"/>
              <w:left w:val="nil"/>
              <w:bottom w:val="single" w:color="000000" w:sz="8" w:space="0"/>
              <w:right w:val="single" w:color="000000" w:sz="8" w:space="0"/>
            </w:tcBorders>
            <w:shd w:val="clear" w:color="auto" w:fill="auto"/>
            <w:vAlign w:val="center"/>
          </w:tcPr>
          <w:p w14:paraId="7A0D984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公寓服务负责人</w:t>
            </w:r>
          </w:p>
        </w:tc>
        <w:tc>
          <w:tcPr>
            <w:tcW w:w="1507" w:type="pct"/>
            <w:tcBorders>
              <w:top w:val="nil"/>
              <w:left w:val="nil"/>
              <w:bottom w:val="single" w:color="000000" w:sz="8" w:space="0"/>
              <w:right w:val="single" w:color="000000" w:sz="8" w:space="0"/>
            </w:tcBorders>
            <w:shd w:val="clear" w:color="auto" w:fill="auto"/>
            <w:vAlign w:val="center"/>
          </w:tcPr>
          <w:p w14:paraId="59D21B45">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r>
      <w:tr w14:paraId="6186414B">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000000" w:sz="8" w:space="0"/>
              <w:right w:val="single" w:color="000000" w:sz="8" w:space="0"/>
            </w:tcBorders>
            <w:shd w:val="clear" w:color="auto" w:fill="auto"/>
            <w:noWrap/>
            <w:vAlign w:val="center"/>
          </w:tcPr>
          <w:p w14:paraId="0E9A1BFD">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4</w:t>
            </w:r>
          </w:p>
        </w:tc>
        <w:tc>
          <w:tcPr>
            <w:tcW w:w="2750" w:type="pct"/>
            <w:tcBorders>
              <w:top w:val="nil"/>
              <w:left w:val="nil"/>
              <w:bottom w:val="single" w:color="000000" w:sz="8" w:space="0"/>
              <w:right w:val="single" w:color="000000" w:sz="8" w:space="0"/>
            </w:tcBorders>
            <w:shd w:val="clear" w:color="auto" w:fill="auto"/>
            <w:vAlign w:val="center"/>
          </w:tcPr>
          <w:p w14:paraId="53D3E438">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公寓维修负责人</w:t>
            </w:r>
          </w:p>
        </w:tc>
        <w:tc>
          <w:tcPr>
            <w:tcW w:w="1507" w:type="pct"/>
            <w:tcBorders>
              <w:top w:val="nil"/>
              <w:left w:val="nil"/>
              <w:bottom w:val="single" w:color="000000" w:sz="8" w:space="0"/>
              <w:right w:val="single" w:color="000000" w:sz="8" w:space="0"/>
            </w:tcBorders>
            <w:shd w:val="clear" w:color="auto" w:fill="auto"/>
            <w:vAlign w:val="center"/>
          </w:tcPr>
          <w:p w14:paraId="68492673">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r>
      <w:tr w14:paraId="588D9A53">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000000" w:sz="8" w:space="0"/>
              <w:right w:val="single" w:color="000000" w:sz="8" w:space="0"/>
            </w:tcBorders>
            <w:shd w:val="clear" w:color="auto" w:fill="auto"/>
            <w:noWrap/>
            <w:vAlign w:val="center"/>
          </w:tcPr>
          <w:p w14:paraId="7EE20809">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5</w:t>
            </w:r>
          </w:p>
        </w:tc>
        <w:tc>
          <w:tcPr>
            <w:tcW w:w="2750" w:type="pct"/>
            <w:tcBorders>
              <w:top w:val="nil"/>
              <w:left w:val="nil"/>
              <w:bottom w:val="single" w:color="000000" w:sz="8" w:space="0"/>
              <w:right w:val="single" w:color="000000" w:sz="8" w:space="0"/>
            </w:tcBorders>
            <w:shd w:val="clear" w:color="auto" w:fill="auto"/>
            <w:vAlign w:val="center"/>
          </w:tcPr>
          <w:p w14:paraId="2F9D61EC">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公寓设备运维</w:t>
            </w:r>
          </w:p>
        </w:tc>
        <w:tc>
          <w:tcPr>
            <w:tcW w:w="1507" w:type="pct"/>
            <w:tcBorders>
              <w:top w:val="nil"/>
              <w:left w:val="nil"/>
              <w:bottom w:val="single" w:color="000000" w:sz="8" w:space="0"/>
              <w:right w:val="single" w:color="000000" w:sz="8" w:space="0"/>
            </w:tcBorders>
            <w:shd w:val="clear" w:color="auto" w:fill="auto"/>
            <w:vAlign w:val="center"/>
          </w:tcPr>
          <w:p w14:paraId="59A85B9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r>
      <w:tr w14:paraId="588E6C66">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auto" w:sz="4" w:space="0"/>
              <w:right w:val="single" w:color="000000" w:sz="8" w:space="0"/>
            </w:tcBorders>
            <w:shd w:val="clear" w:color="auto" w:fill="auto"/>
            <w:noWrap/>
            <w:vAlign w:val="center"/>
          </w:tcPr>
          <w:p w14:paraId="3661FCE0">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6</w:t>
            </w:r>
          </w:p>
        </w:tc>
        <w:tc>
          <w:tcPr>
            <w:tcW w:w="2750" w:type="pct"/>
            <w:tcBorders>
              <w:top w:val="nil"/>
              <w:left w:val="nil"/>
              <w:bottom w:val="single" w:color="000000" w:sz="8" w:space="0"/>
              <w:right w:val="single" w:color="000000" w:sz="8" w:space="0"/>
            </w:tcBorders>
            <w:shd w:val="clear" w:color="auto" w:fill="auto"/>
            <w:vAlign w:val="center"/>
          </w:tcPr>
          <w:p w14:paraId="29A7FB43">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公寓管理员</w:t>
            </w:r>
          </w:p>
        </w:tc>
        <w:tc>
          <w:tcPr>
            <w:tcW w:w="1507" w:type="pct"/>
            <w:tcBorders>
              <w:top w:val="nil"/>
              <w:left w:val="nil"/>
              <w:bottom w:val="single" w:color="000000" w:sz="8" w:space="0"/>
              <w:right w:val="single" w:color="000000" w:sz="8" w:space="0"/>
            </w:tcBorders>
            <w:shd w:val="clear" w:color="auto" w:fill="auto"/>
            <w:vAlign w:val="center"/>
          </w:tcPr>
          <w:p w14:paraId="279C84F0">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24</w:t>
            </w:r>
          </w:p>
        </w:tc>
      </w:tr>
      <w:tr w14:paraId="7C89F8D5">
        <w:tblPrEx>
          <w:tblCellMar>
            <w:top w:w="0" w:type="dxa"/>
            <w:left w:w="108" w:type="dxa"/>
            <w:bottom w:w="0" w:type="dxa"/>
            <w:right w:w="108" w:type="dxa"/>
          </w:tblCellMar>
        </w:tblPrEx>
        <w:trPr>
          <w:trHeight w:val="567" w:hRule="exact"/>
        </w:trPr>
        <w:tc>
          <w:tcPr>
            <w:tcW w:w="74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50EF5C13">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7</w:t>
            </w:r>
          </w:p>
        </w:tc>
        <w:tc>
          <w:tcPr>
            <w:tcW w:w="2750" w:type="pct"/>
            <w:tcBorders>
              <w:top w:val="nil"/>
              <w:left w:val="nil"/>
              <w:bottom w:val="single" w:color="000000" w:sz="8" w:space="0"/>
              <w:right w:val="single" w:color="000000" w:sz="8" w:space="0"/>
            </w:tcBorders>
            <w:shd w:val="clear" w:color="auto" w:fill="auto"/>
            <w:vAlign w:val="center"/>
          </w:tcPr>
          <w:p w14:paraId="0157880C">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公寓值班员</w:t>
            </w:r>
          </w:p>
        </w:tc>
        <w:tc>
          <w:tcPr>
            <w:tcW w:w="1507" w:type="pct"/>
            <w:tcBorders>
              <w:top w:val="nil"/>
              <w:left w:val="nil"/>
              <w:bottom w:val="single" w:color="000000" w:sz="8" w:space="0"/>
              <w:right w:val="single" w:color="000000" w:sz="8" w:space="0"/>
            </w:tcBorders>
            <w:shd w:val="clear" w:color="auto" w:fill="auto"/>
            <w:vAlign w:val="center"/>
          </w:tcPr>
          <w:p w14:paraId="073B393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67</w:t>
            </w:r>
          </w:p>
        </w:tc>
      </w:tr>
      <w:tr w14:paraId="74697459">
        <w:tblPrEx>
          <w:tblCellMar>
            <w:top w:w="0" w:type="dxa"/>
            <w:left w:w="108" w:type="dxa"/>
            <w:bottom w:w="0" w:type="dxa"/>
            <w:right w:w="108" w:type="dxa"/>
          </w:tblCellMar>
        </w:tblPrEx>
        <w:trPr>
          <w:trHeight w:val="567" w:hRule="exact"/>
        </w:trPr>
        <w:tc>
          <w:tcPr>
            <w:tcW w:w="742" w:type="pct"/>
            <w:tcBorders>
              <w:top w:val="nil"/>
              <w:left w:val="single" w:color="000000" w:sz="8" w:space="0"/>
              <w:bottom w:val="single" w:color="auto" w:sz="4" w:space="0"/>
              <w:right w:val="single" w:color="000000" w:sz="8" w:space="0"/>
            </w:tcBorders>
            <w:shd w:val="clear" w:color="auto" w:fill="auto"/>
            <w:noWrap/>
            <w:vAlign w:val="center"/>
          </w:tcPr>
          <w:p w14:paraId="05A2156C">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2750" w:type="pct"/>
            <w:tcBorders>
              <w:top w:val="nil"/>
              <w:left w:val="nil"/>
              <w:bottom w:val="single" w:color="auto" w:sz="4" w:space="0"/>
              <w:right w:val="single" w:color="000000" w:sz="8" w:space="0"/>
            </w:tcBorders>
            <w:shd w:val="clear" w:color="auto" w:fill="auto"/>
            <w:vAlign w:val="center"/>
          </w:tcPr>
          <w:p w14:paraId="0597F2AC">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公寓保洁员</w:t>
            </w:r>
          </w:p>
        </w:tc>
        <w:tc>
          <w:tcPr>
            <w:tcW w:w="1507" w:type="pct"/>
            <w:tcBorders>
              <w:top w:val="nil"/>
              <w:left w:val="nil"/>
              <w:bottom w:val="single" w:color="auto" w:sz="4" w:space="0"/>
              <w:right w:val="single" w:color="000000" w:sz="8" w:space="0"/>
            </w:tcBorders>
            <w:shd w:val="clear" w:color="auto" w:fill="auto"/>
            <w:vAlign w:val="center"/>
          </w:tcPr>
          <w:p w14:paraId="746823D6">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29</w:t>
            </w:r>
          </w:p>
        </w:tc>
      </w:tr>
      <w:tr w14:paraId="248BC150">
        <w:tblPrEx>
          <w:tblCellMar>
            <w:top w:w="0" w:type="dxa"/>
            <w:left w:w="108" w:type="dxa"/>
            <w:bottom w:w="0" w:type="dxa"/>
            <w:right w:w="108" w:type="dxa"/>
          </w:tblCellMar>
        </w:tblPrEx>
        <w:trPr>
          <w:trHeight w:val="567" w:hRule="exact"/>
        </w:trPr>
        <w:tc>
          <w:tcPr>
            <w:tcW w:w="742"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2FAF8AA5">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2750" w:type="pct"/>
            <w:tcBorders>
              <w:top w:val="single" w:color="auto" w:sz="4" w:space="0"/>
              <w:left w:val="nil"/>
              <w:bottom w:val="single" w:color="auto" w:sz="4" w:space="0"/>
              <w:right w:val="single" w:color="000000" w:sz="8" w:space="0"/>
            </w:tcBorders>
            <w:shd w:val="clear" w:color="auto" w:fill="auto"/>
            <w:vAlign w:val="center"/>
          </w:tcPr>
          <w:p w14:paraId="17BC9C9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公寓维修员</w:t>
            </w:r>
          </w:p>
        </w:tc>
        <w:tc>
          <w:tcPr>
            <w:tcW w:w="1507" w:type="pct"/>
            <w:tcBorders>
              <w:top w:val="single" w:color="auto" w:sz="4" w:space="0"/>
              <w:left w:val="nil"/>
              <w:bottom w:val="single" w:color="auto" w:sz="4" w:space="0"/>
              <w:right w:val="single" w:color="000000" w:sz="8" w:space="0"/>
            </w:tcBorders>
            <w:shd w:val="clear" w:color="auto" w:fill="auto"/>
            <w:vAlign w:val="center"/>
          </w:tcPr>
          <w:p w14:paraId="1B273811">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val="en-US" w:eastAsia="zh-CN" w:bidi="ar"/>
              </w:rPr>
              <w:t>9</w:t>
            </w:r>
          </w:p>
        </w:tc>
      </w:tr>
      <w:tr w14:paraId="45CA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71206F7A">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3136908C">
            <w:pPr>
              <w:spacing w:line="460" w:lineRule="exact"/>
              <w:jc w:val="center"/>
              <w:rPr>
                <w:rFonts w:asciiTheme="minorEastAsia" w:hAnsiTheme="minorEastAsia" w:cstheme="minorEastAsia"/>
                <w:szCs w:val="21"/>
              </w:rPr>
            </w:pPr>
            <w:r>
              <w:rPr>
                <w:rFonts w:hint="eastAsia"/>
                <w:szCs w:val="21"/>
              </w:rPr>
              <w:t>楼宇、环境、绿化</w:t>
            </w:r>
            <w:r>
              <w:rPr>
                <w:rFonts w:hint="eastAsia" w:asciiTheme="minorEastAsia" w:hAnsiTheme="minorEastAsia" w:cstheme="minorEastAsia"/>
                <w:szCs w:val="21"/>
              </w:rPr>
              <w:t>项目负责人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453FE6D5">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499A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2EC5424A">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11</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7D57609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综合服务负责人（</w:t>
            </w:r>
            <w:r>
              <w:rPr>
                <w:rFonts w:hint="eastAsia"/>
                <w:szCs w:val="21"/>
              </w:rPr>
              <w:t>楼宇、环境、绿化管理</w:t>
            </w:r>
            <w:r>
              <w:rPr>
                <w:rFonts w:hint="eastAsia" w:asciiTheme="minorEastAsia" w:hAnsiTheme="minorEastAsia" w:cstheme="minorEastAsia"/>
                <w:szCs w:val="21"/>
              </w:rPr>
              <w:t>）</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657021DB">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1493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A4B1349">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03986FAD">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环境保洁负责人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036A896F">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7E64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718AE455">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13</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3922A88E">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楼宇服务负责人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288B516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14:paraId="4B25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74807318">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14</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48F272C3">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园林绿化负责人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5F722D29">
            <w:pPr>
              <w:spacing w:line="460" w:lineRule="exact"/>
              <w:jc w:val="center"/>
              <w:rPr>
                <w:rFonts w:asciiTheme="minorEastAsia" w:hAnsiTheme="minorEastAsia" w:cstheme="minorEastAsia"/>
                <w:szCs w:val="21"/>
              </w:rPr>
            </w:pPr>
            <w:r>
              <w:rPr>
                <w:rFonts w:asciiTheme="minorEastAsia" w:hAnsiTheme="minorEastAsia" w:cstheme="minorEastAsia"/>
                <w:szCs w:val="21"/>
              </w:rPr>
              <w:t>1</w:t>
            </w:r>
          </w:p>
        </w:tc>
      </w:tr>
      <w:tr w14:paraId="6B0B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679DB7A2">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15</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75433465">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楼宇管理员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112A08A3">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19</w:t>
            </w:r>
          </w:p>
        </w:tc>
      </w:tr>
      <w:tr w14:paraId="7E13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3BE3E19">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48CCBB04">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多媒体管理员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4F375DE2">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18</w:t>
            </w:r>
          </w:p>
        </w:tc>
      </w:tr>
      <w:tr w14:paraId="51BD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CDAF3D3">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17</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5DFAAE03">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楼宇保洁员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3879241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75</w:t>
            </w:r>
          </w:p>
        </w:tc>
      </w:tr>
      <w:tr w14:paraId="05FF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10071A6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18</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097B9429">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电梯专管员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18AC746B">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367D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15076FA5">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19</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3E35E6DF">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特种车辆驾驶员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67DFF804">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375C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45D8085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20</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240F831C">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环境保洁员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4E9E5B0F">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20</w:t>
            </w:r>
          </w:p>
        </w:tc>
      </w:tr>
      <w:tr w14:paraId="0817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6D0423A">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21</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6F412A7D">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绿化工</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0889AE4B">
            <w:pPr>
              <w:spacing w:line="460" w:lineRule="exact"/>
              <w:jc w:val="center"/>
              <w:rPr>
                <w:rFonts w:asciiTheme="minorEastAsia" w:hAnsiTheme="minorEastAsia" w:cstheme="minorEastAsia"/>
                <w:szCs w:val="21"/>
              </w:rPr>
            </w:pPr>
            <w:r>
              <w:rPr>
                <w:rFonts w:asciiTheme="minorEastAsia" w:hAnsiTheme="minorEastAsia" w:cstheme="minorEastAsia"/>
                <w:szCs w:val="21"/>
              </w:rPr>
              <w:t>25</w:t>
            </w:r>
          </w:p>
        </w:tc>
      </w:tr>
      <w:tr w14:paraId="1C9C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255B0CAC">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22</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3A60E3F8">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修建项目负责人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208F807F">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2EA7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D78C7DD">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23</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28250B71">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综合服务负责人（修建）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57146C68">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5A19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4587C34F">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396ED2DB">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维修服务负责人</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3A3B7701">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472C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53905C4F">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78316256">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水电工程师</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3CB3FEE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6A1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D254CB6">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26</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41C0B372">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仓库管理员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5D9B9BB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4BE4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B24E103">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27</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374F98BD">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高配值班员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70F14D16">
            <w:pPr>
              <w:spacing w:line="46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5</w:t>
            </w:r>
          </w:p>
        </w:tc>
      </w:tr>
      <w:tr w14:paraId="6D0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6F9DD389">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28</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2D471129">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水电计量员（节能监管平台专管员）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1969BEC9">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14:paraId="565D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14824623">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29</w:t>
            </w:r>
          </w:p>
        </w:tc>
        <w:tc>
          <w:tcPr>
            <w:tcW w:w="2750" w:type="pct"/>
            <w:tcBorders>
              <w:top w:val="single" w:color="auto" w:sz="4" w:space="0"/>
              <w:left w:val="single" w:color="auto" w:sz="4" w:space="0"/>
              <w:bottom w:val="single" w:color="auto" w:sz="4" w:space="0"/>
              <w:right w:val="single" w:color="auto" w:sz="4" w:space="0"/>
            </w:tcBorders>
            <w:shd w:val="clear" w:color="auto" w:fill="auto"/>
            <w:vAlign w:val="center"/>
          </w:tcPr>
          <w:p w14:paraId="6876862E">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维修员</w:t>
            </w:r>
          </w:p>
        </w:tc>
        <w:tc>
          <w:tcPr>
            <w:tcW w:w="1507" w:type="pct"/>
            <w:tcBorders>
              <w:top w:val="single" w:color="auto" w:sz="4" w:space="0"/>
              <w:left w:val="single" w:color="auto" w:sz="4" w:space="0"/>
              <w:bottom w:val="single" w:color="auto" w:sz="4" w:space="0"/>
              <w:right w:val="single" w:color="auto" w:sz="4" w:space="0"/>
            </w:tcBorders>
            <w:shd w:val="clear" w:color="auto" w:fill="auto"/>
            <w:vAlign w:val="center"/>
          </w:tcPr>
          <w:p w14:paraId="31E178FD">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7</w:t>
            </w:r>
          </w:p>
        </w:tc>
      </w:tr>
      <w:tr w14:paraId="49D453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45CD">
            <w:pPr>
              <w:widowControl/>
              <w:spacing w:line="460" w:lineRule="exact"/>
              <w:jc w:val="center"/>
              <w:textAlignment w:val="center"/>
              <w:rPr>
                <w:rFonts w:ascii="宋体" w:hAnsi="宋体"/>
                <w:kern w:val="0"/>
                <w:szCs w:val="21"/>
              </w:rPr>
            </w:pPr>
            <w:r>
              <w:rPr>
                <w:rFonts w:hint="eastAsia" w:ascii="宋体" w:hAnsi="宋体"/>
                <w:kern w:val="0"/>
                <w:szCs w:val="21"/>
              </w:rPr>
              <w:t>30</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B8AC">
            <w:pPr>
              <w:widowControl/>
              <w:spacing w:line="460" w:lineRule="exact"/>
              <w:jc w:val="center"/>
              <w:textAlignment w:val="center"/>
              <w:rPr>
                <w:rFonts w:ascii="宋体" w:hAnsi="宋体"/>
                <w:kern w:val="0"/>
                <w:szCs w:val="21"/>
              </w:rPr>
            </w:pPr>
            <w:r>
              <w:rPr>
                <w:rFonts w:hint="eastAsia" w:ascii="宋体" w:hAnsi="宋体"/>
                <w:kern w:val="0"/>
                <w:szCs w:val="21"/>
              </w:rPr>
              <w:t>活动中心及会务服务负责人</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E12E">
            <w:pPr>
              <w:widowControl/>
              <w:spacing w:line="460" w:lineRule="exact"/>
              <w:jc w:val="center"/>
              <w:textAlignment w:val="center"/>
              <w:rPr>
                <w:rFonts w:ascii="宋体" w:hAnsi="宋体"/>
                <w:kern w:val="0"/>
                <w:szCs w:val="21"/>
              </w:rPr>
            </w:pPr>
            <w:r>
              <w:rPr>
                <w:rFonts w:hint="eastAsia" w:ascii="宋体" w:hAnsi="宋体"/>
                <w:kern w:val="0"/>
                <w:szCs w:val="21"/>
              </w:rPr>
              <w:t>1</w:t>
            </w:r>
          </w:p>
        </w:tc>
      </w:tr>
      <w:tr w14:paraId="492F40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D1A6">
            <w:pPr>
              <w:widowControl/>
              <w:spacing w:line="460" w:lineRule="exact"/>
              <w:jc w:val="center"/>
              <w:textAlignment w:val="center"/>
              <w:rPr>
                <w:rFonts w:ascii="宋体" w:hAnsi="宋体"/>
                <w:kern w:val="0"/>
                <w:szCs w:val="21"/>
              </w:rPr>
            </w:pPr>
            <w:r>
              <w:rPr>
                <w:rFonts w:hint="eastAsia" w:ascii="宋体" w:hAnsi="宋体"/>
                <w:kern w:val="0"/>
                <w:szCs w:val="21"/>
              </w:rPr>
              <w:t>31</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83D1">
            <w:pPr>
              <w:widowControl/>
              <w:spacing w:line="460" w:lineRule="exact"/>
              <w:jc w:val="center"/>
              <w:textAlignment w:val="center"/>
              <w:rPr>
                <w:rFonts w:ascii="宋体" w:hAnsi="宋体"/>
                <w:kern w:val="0"/>
                <w:szCs w:val="21"/>
              </w:rPr>
            </w:pPr>
            <w:r>
              <w:rPr>
                <w:rFonts w:hint="eastAsia" w:ascii="宋体" w:hAnsi="宋体"/>
                <w:kern w:val="0"/>
                <w:szCs w:val="21"/>
              </w:rPr>
              <w:t>活动中心及会场保洁员</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8447">
            <w:pPr>
              <w:widowControl/>
              <w:spacing w:line="460" w:lineRule="exact"/>
              <w:jc w:val="center"/>
              <w:textAlignment w:val="center"/>
              <w:rPr>
                <w:rFonts w:ascii="宋体" w:hAnsi="宋体"/>
                <w:kern w:val="0"/>
                <w:szCs w:val="21"/>
              </w:rPr>
            </w:pPr>
            <w:r>
              <w:rPr>
                <w:rFonts w:hint="eastAsia" w:ascii="宋体" w:hAnsi="宋体"/>
                <w:kern w:val="0"/>
                <w:szCs w:val="21"/>
              </w:rPr>
              <w:t>5</w:t>
            </w:r>
          </w:p>
        </w:tc>
      </w:tr>
      <w:tr w14:paraId="6848A0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79C2">
            <w:pPr>
              <w:widowControl/>
              <w:spacing w:line="460" w:lineRule="exact"/>
              <w:jc w:val="center"/>
              <w:textAlignment w:val="center"/>
              <w:rPr>
                <w:rFonts w:ascii="宋体" w:hAnsi="宋体"/>
                <w:kern w:val="0"/>
                <w:szCs w:val="21"/>
              </w:rPr>
            </w:pPr>
            <w:r>
              <w:rPr>
                <w:rFonts w:hint="eastAsia" w:ascii="宋体" w:hAnsi="宋体"/>
                <w:kern w:val="0"/>
                <w:szCs w:val="21"/>
              </w:rPr>
              <w:t>32</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A034">
            <w:pPr>
              <w:widowControl/>
              <w:spacing w:line="460" w:lineRule="exact"/>
              <w:jc w:val="center"/>
              <w:textAlignment w:val="center"/>
              <w:rPr>
                <w:rFonts w:ascii="宋体" w:hAnsi="宋体"/>
                <w:kern w:val="0"/>
                <w:szCs w:val="21"/>
              </w:rPr>
            </w:pPr>
            <w:r>
              <w:rPr>
                <w:rFonts w:hint="eastAsia" w:ascii="宋体" w:hAnsi="宋体"/>
                <w:kern w:val="0"/>
                <w:szCs w:val="21"/>
              </w:rPr>
              <w:t>活动中心值班员</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A731">
            <w:pPr>
              <w:widowControl/>
              <w:spacing w:line="460" w:lineRule="exact"/>
              <w:jc w:val="center"/>
              <w:textAlignment w:val="center"/>
              <w:rPr>
                <w:rFonts w:ascii="宋体" w:hAnsi="宋体"/>
                <w:kern w:val="0"/>
                <w:szCs w:val="21"/>
              </w:rPr>
            </w:pPr>
            <w:r>
              <w:rPr>
                <w:rFonts w:hint="eastAsia" w:ascii="宋体" w:hAnsi="宋体"/>
                <w:kern w:val="0"/>
                <w:szCs w:val="21"/>
              </w:rPr>
              <w:t>2</w:t>
            </w:r>
          </w:p>
        </w:tc>
      </w:tr>
      <w:tr w14:paraId="30FD7D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B9C6">
            <w:pPr>
              <w:widowControl/>
              <w:spacing w:line="460" w:lineRule="exact"/>
              <w:jc w:val="center"/>
              <w:textAlignment w:val="center"/>
              <w:rPr>
                <w:rFonts w:ascii="宋体" w:hAnsi="宋体"/>
                <w:kern w:val="0"/>
                <w:szCs w:val="21"/>
              </w:rPr>
            </w:pPr>
            <w:r>
              <w:rPr>
                <w:rFonts w:hint="eastAsia" w:ascii="宋体" w:hAnsi="宋体"/>
                <w:kern w:val="0"/>
                <w:szCs w:val="21"/>
              </w:rPr>
              <w:t>33</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8A92">
            <w:pPr>
              <w:widowControl/>
              <w:spacing w:line="460" w:lineRule="exact"/>
              <w:jc w:val="center"/>
              <w:textAlignment w:val="center"/>
              <w:rPr>
                <w:rFonts w:ascii="宋体" w:hAnsi="宋体"/>
                <w:kern w:val="0"/>
                <w:szCs w:val="21"/>
              </w:rPr>
            </w:pPr>
            <w:r>
              <w:rPr>
                <w:rFonts w:hint="eastAsia" w:ascii="宋体" w:hAnsi="宋体"/>
                <w:kern w:val="0"/>
                <w:szCs w:val="21"/>
              </w:rPr>
              <w:t>会场服务员</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8814">
            <w:pPr>
              <w:widowControl/>
              <w:spacing w:line="460" w:lineRule="exact"/>
              <w:jc w:val="center"/>
              <w:textAlignment w:val="center"/>
              <w:rPr>
                <w:rFonts w:ascii="宋体" w:hAnsi="宋体"/>
                <w:kern w:val="0"/>
                <w:szCs w:val="21"/>
              </w:rPr>
            </w:pPr>
            <w:r>
              <w:rPr>
                <w:rFonts w:hint="eastAsia" w:ascii="宋体" w:hAnsi="宋体"/>
                <w:kern w:val="0"/>
                <w:szCs w:val="21"/>
              </w:rPr>
              <w:t>7</w:t>
            </w:r>
          </w:p>
        </w:tc>
      </w:tr>
      <w:tr w14:paraId="273ADA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B2EF">
            <w:pPr>
              <w:widowControl/>
              <w:spacing w:line="460" w:lineRule="exact"/>
              <w:jc w:val="center"/>
              <w:textAlignment w:val="center"/>
              <w:rPr>
                <w:rFonts w:ascii="宋体" w:hAnsi="宋体"/>
                <w:kern w:val="0"/>
                <w:szCs w:val="21"/>
              </w:rPr>
            </w:pPr>
            <w:r>
              <w:rPr>
                <w:rFonts w:hint="eastAsia" w:ascii="宋体" w:hAnsi="宋体"/>
                <w:kern w:val="0"/>
                <w:szCs w:val="21"/>
              </w:rPr>
              <w:t>34</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47F3">
            <w:pPr>
              <w:widowControl/>
              <w:spacing w:line="460" w:lineRule="exact"/>
              <w:jc w:val="center"/>
              <w:textAlignment w:val="center"/>
              <w:rPr>
                <w:rFonts w:ascii="宋体" w:hAnsi="宋体"/>
                <w:kern w:val="0"/>
                <w:szCs w:val="21"/>
              </w:rPr>
            </w:pPr>
            <w:r>
              <w:rPr>
                <w:rFonts w:hint="eastAsia" w:ascii="宋体" w:hAnsi="宋体"/>
                <w:kern w:val="0"/>
                <w:szCs w:val="21"/>
              </w:rPr>
              <w:t>会场技术员</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6DDDF">
            <w:pPr>
              <w:widowControl/>
              <w:spacing w:line="460" w:lineRule="exact"/>
              <w:jc w:val="center"/>
              <w:textAlignment w:val="center"/>
              <w:rPr>
                <w:rFonts w:ascii="宋体" w:hAnsi="宋体"/>
                <w:kern w:val="0"/>
                <w:szCs w:val="21"/>
              </w:rPr>
            </w:pPr>
            <w:r>
              <w:rPr>
                <w:rFonts w:hint="eastAsia" w:ascii="宋体" w:hAnsi="宋体"/>
                <w:kern w:val="0"/>
                <w:szCs w:val="21"/>
              </w:rPr>
              <w:t>7</w:t>
            </w:r>
          </w:p>
        </w:tc>
      </w:tr>
      <w:tr w14:paraId="793584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4B0D">
            <w:pPr>
              <w:widowControl/>
              <w:spacing w:line="460" w:lineRule="exact"/>
              <w:jc w:val="center"/>
              <w:textAlignment w:val="center"/>
              <w:rPr>
                <w:rFonts w:ascii="宋体" w:hAnsi="宋体"/>
                <w:kern w:val="0"/>
                <w:szCs w:val="21"/>
              </w:rPr>
            </w:pPr>
            <w:r>
              <w:rPr>
                <w:rFonts w:hint="eastAsia" w:ascii="宋体" w:hAnsi="宋体"/>
                <w:kern w:val="0"/>
                <w:szCs w:val="21"/>
              </w:rPr>
              <w:t>35</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0AA8">
            <w:pPr>
              <w:widowControl/>
              <w:spacing w:line="460" w:lineRule="exact"/>
              <w:jc w:val="center"/>
              <w:textAlignment w:val="center"/>
              <w:rPr>
                <w:rFonts w:ascii="宋体" w:hAnsi="宋体"/>
                <w:kern w:val="0"/>
                <w:szCs w:val="21"/>
              </w:rPr>
            </w:pPr>
            <w:r>
              <w:rPr>
                <w:rFonts w:hint="eastAsia" w:ascii="宋体" w:hAnsi="宋体"/>
                <w:kern w:val="0"/>
                <w:szCs w:val="21"/>
              </w:rPr>
              <w:t>会场维修员</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6CC2">
            <w:pPr>
              <w:widowControl/>
              <w:spacing w:line="460" w:lineRule="exact"/>
              <w:jc w:val="center"/>
              <w:textAlignment w:val="center"/>
              <w:rPr>
                <w:rFonts w:ascii="宋体" w:hAnsi="宋体"/>
                <w:kern w:val="0"/>
                <w:szCs w:val="21"/>
              </w:rPr>
            </w:pPr>
            <w:r>
              <w:rPr>
                <w:rFonts w:hint="eastAsia" w:ascii="宋体" w:hAnsi="宋体"/>
                <w:kern w:val="0"/>
                <w:szCs w:val="21"/>
              </w:rPr>
              <w:t>1</w:t>
            </w:r>
          </w:p>
        </w:tc>
      </w:tr>
      <w:tr w14:paraId="01F429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3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D47C">
            <w:pPr>
              <w:widowControl/>
              <w:spacing w:line="460" w:lineRule="exact"/>
              <w:jc w:val="center"/>
              <w:textAlignment w:val="center"/>
              <w:rPr>
                <w:rFonts w:ascii="宋体" w:hAnsi="宋体"/>
                <w:kern w:val="0"/>
                <w:szCs w:val="21"/>
              </w:rPr>
            </w:pPr>
            <w:r>
              <w:rPr>
                <w:rFonts w:hint="eastAsia" w:ascii="宋体" w:hAnsi="宋体"/>
                <w:kern w:val="0"/>
                <w:szCs w:val="21"/>
              </w:rPr>
              <w:t>合计</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8DD6">
            <w:pPr>
              <w:widowControl/>
              <w:spacing w:line="460" w:lineRule="exact"/>
              <w:jc w:val="center"/>
              <w:textAlignment w:val="center"/>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43</w:t>
            </w:r>
          </w:p>
        </w:tc>
      </w:tr>
    </w:tbl>
    <w:p w14:paraId="018593DA">
      <w:pPr>
        <w:spacing w:before="120" w:beforeLines="50" w:after="120" w:afterLines="50" w:line="360" w:lineRule="auto"/>
        <w:ind w:firstLine="422" w:firstLineChars="200"/>
        <w:outlineLvl w:val="0"/>
        <w:rPr>
          <w:rFonts w:asciiTheme="minorEastAsia" w:hAnsiTheme="minorEastAsia" w:cstheme="minorEastAsia"/>
          <w:b/>
          <w:bCs/>
          <w:szCs w:val="21"/>
        </w:rPr>
      </w:pPr>
      <w:r>
        <w:rPr>
          <w:rFonts w:hint="eastAsia" w:asciiTheme="minorEastAsia" w:hAnsiTheme="minorEastAsia" w:cstheme="minorEastAsia"/>
          <w:b/>
          <w:bCs/>
          <w:szCs w:val="21"/>
        </w:rPr>
        <w:t>三、项目服务具体要求</w:t>
      </w:r>
    </w:p>
    <w:p w14:paraId="09EA0ED0">
      <w:pPr>
        <w:widowControl/>
        <w:spacing w:line="360" w:lineRule="auto"/>
        <w:ind w:firstLine="420"/>
        <w:outlineLvl w:val="1"/>
        <w:rPr>
          <w:rFonts w:asciiTheme="minorEastAsia" w:hAnsiTheme="minorEastAsia" w:cstheme="minorEastAsia"/>
          <w:szCs w:val="21"/>
        </w:rPr>
      </w:pPr>
      <w:r>
        <w:rPr>
          <w:rFonts w:hint="eastAsia" w:asciiTheme="minorEastAsia" w:hAnsiTheme="minorEastAsia" w:cstheme="minorEastAsia"/>
          <w:szCs w:val="21"/>
        </w:rPr>
        <w:t>（一）学生公寓服务</w:t>
      </w:r>
    </w:p>
    <w:p w14:paraId="18310DD5">
      <w:pPr>
        <w:widowControl/>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1.服务范围及总体要求</w:t>
      </w:r>
    </w:p>
    <w:p w14:paraId="1DA1FEAE">
      <w:pPr>
        <w:widowControl/>
        <w:spacing w:line="360" w:lineRule="auto"/>
        <w:ind w:firstLine="420" w:firstLineChars="200"/>
        <w:outlineLvl w:val="3"/>
        <w:rPr>
          <w:rFonts w:asciiTheme="minorEastAsia" w:hAnsiTheme="minorEastAsia" w:cstheme="minorEastAsia"/>
          <w:szCs w:val="21"/>
        </w:rPr>
      </w:pPr>
      <w:r>
        <w:rPr>
          <w:rFonts w:hint="eastAsia" w:ascii="Calibri" w:hAnsi="Calibri" w:cs="Calibri"/>
          <w:szCs w:val="21"/>
        </w:rPr>
        <w:t>（1）</w:t>
      </w:r>
      <w:r>
        <w:rPr>
          <w:rFonts w:hint="eastAsia" w:asciiTheme="minorEastAsia" w:hAnsiTheme="minorEastAsia" w:cstheme="minorEastAsia"/>
          <w:szCs w:val="21"/>
        </w:rPr>
        <w:t>服务范围</w:t>
      </w:r>
    </w:p>
    <w:p w14:paraId="1C2529BC">
      <w:pPr>
        <w:widowControl/>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东湖校区、衣锦校区学生公寓、教师公寓及平山留学生公寓的日常管理与服务保障。</w:t>
      </w:r>
    </w:p>
    <w:p w14:paraId="08F2112E">
      <w:pPr>
        <w:widowControl/>
        <w:spacing w:line="360" w:lineRule="auto"/>
        <w:ind w:firstLine="420" w:firstLineChars="200"/>
        <w:outlineLvl w:val="3"/>
        <w:rPr>
          <w:rFonts w:asciiTheme="minorEastAsia" w:hAnsiTheme="minorEastAsia" w:cstheme="minorEastAsia"/>
          <w:szCs w:val="21"/>
        </w:rPr>
      </w:pPr>
      <w:r>
        <w:rPr>
          <w:rFonts w:hint="eastAsia" w:ascii="Calibri" w:hAnsi="Calibri" w:cs="Calibri"/>
          <w:szCs w:val="21"/>
        </w:rPr>
        <w:t>（2）</w:t>
      </w:r>
      <w:r>
        <w:rPr>
          <w:rFonts w:hint="eastAsia" w:asciiTheme="minorEastAsia" w:hAnsiTheme="minorEastAsia" w:cstheme="minorEastAsia"/>
          <w:szCs w:val="21"/>
        </w:rPr>
        <w:t>工作内容</w:t>
      </w:r>
    </w:p>
    <w:p w14:paraId="452E9FEC">
      <w:pPr>
        <w:widowControl/>
        <w:spacing w:line="360" w:lineRule="auto"/>
        <w:ind w:firstLine="420" w:firstLineChars="200"/>
        <w:rPr>
          <w:rFonts w:asciiTheme="minorEastAsia" w:hAnsiTheme="minorEastAsia" w:cstheme="minorEastAsia"/>
          <w:szCs w:val="21"/>
        </w:rPr>
      </w:pPr>
      <w:r>
        <w:rPr>
          <w:rFonts w:hint="eastAsia" w:ascii="宋体" w:hAnsi="宋体" w:cs="宋体"/>
          <w:szCs w:val="21"/>
        </w:rPr>
        <w:t>①</w:t>
      </w:r>
      <w:r>
        <w:rPr>
          <w:rFonts w:hint="eastAsia" w:asciiTheme="minorEastAsia" w:hAnsiTheme="minorEastAsia" w:cstheme="minorEastAsia"/>
          <w:szCs w:val="21"/>
        </w:rPr>
        <w:t>成立公寓服务部，做好东湖校区、衣锦校区学生公寓、教师公寓及平山留学生公寓的日常管理与服务保障工作，包括但不仅限于负责学生公寓安全管理（含监控、门禁）、智能系统管理维护、日常入住与退宿全过程管理；日常学生公寓、教师公寓公共区域的保洁工作；学生公寓公共设施设备等日常巡查和报修工作；学生寝室的安排和零星调配，根据学生住宿人数，做好学生公寓的申请、安排、调整、退宿和管理工作；学生公寓安全管理及隐患排查，做好公寓突发事件的处理工作；负责学校委托管理项目的管理和服务工作等。</w:t>
      </w:r>
    </w:p>
    <w:p w14:paraId="322F8F20">
      <w:pPr>
        <w:widowControl/>
        <w:spacing w:line="360" w:lineRule="auto"/>
        <w:ind w:firstLine="420"/>
        <w:rPr>
          <w:rFonts w:asciiTheme="minorEastAsia" w:hAnsiTheme="minorEastAsia" w:cstheme="minorEastAsia"/>
          <w:szCs w:val="21"/>
        </w:rPr>
      </w:pPr>
      <w:r>
        <w:rPr>
          <w:rFonts w:hint="eastAsia" w:ascii="宋体" w:hAnsi="宋体" w:cs="宋体"/>
          <w:szCs w:val="21"/>
        </w:rPr>
        <w:t>②</w:t>
      </w:r>
      <w:r>
        <w:rPr>
          <w:rFonts w:hint="eastAsia" w:asciiTheme="minorEastAsia" w:hAnsiTheme="minorEastAsia" w:cstheme="minorEastAsia"/>
          <w:szCs w:val="21"/>
        </w:rPr>
        <w:t>学生公寓零星维修服务：按维修时限要求负责学生公寓的日常零星维修。</w:t>
      </w:r>
    </w:p>
    <w:p w14:paraId="2E39D074">
      <w:pPr>
        <w:widowControl/>
        <w:spacing w:line="360" w:lineRule="auto"/>
        <w:ind w:firstLine="420"/>
        <w:rPr>
          <w:rFonts w:asciiTheme="minorEastAsia" w:hAnsiTheme="minorEastAsia" w:cstheme="minorEastAsia"/>
          <w:szCs w:val="21"/>
        </w:rPr>
      </w:pPr>
      <w:r>
        <w:rPr>
          <w:rFonts w:hint="eastAsia" w:ascii="宋体" w:hAnsi="宋体" w:cs="宋体"/>
          <w:szCs w:val="21"/>
        </w:rPr>
        <w:t>③</w:t>
      </w:r>
      <w:r>
        <w:rPr>
          <w:rFonts w:hint="eastAsia" w:asciiTheme="minorEastAsia" w:hAnsiTheme="minorEastAsia" w:cstheme="minorEastAsia"/>
          <w:szCs w:val="21"/>
        </w:rPr>
        <w:t>学生公寓资产管理服务：协助学校做好学生公寓的家具资产信息的建账、整理与清查；做好家具资产日常维护管理: 日常巡查、资产维护维修、标签更换、台账登记。</w:t>
      </w:r>
    </w:p>
    <w:p w14:paraId="24AB2E61">
      <w:pPr>
        <w:widowControl/>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2.项目人员要求</w:t>
      </w:r>
    </w:p>
    <w:p w14:paraId="19720882">
      <w:pPr>
        <w:pStyle w:val="351"/>
        <w:spacing w:before="0" w:beforeAutospacing="0" w:after="0" w:afterAutospacing="0" w:line="360" w:lineRule="auto"/>
        <w:ind w:left="0" w:firstLine="420" w:firstLineChars="200"/>
        <w:outlineLvl w:val="3"/>
      </w:pPr>
      <w:r>
        <w:rPr>
          <w:rFonts w:hint="eastAsia" w:ascii="宋体" w:hAnsi="宋体" w:eastAsia="宋体" w:cs="宋体"/>
        </w:rPr>
        <w:t>（1）</w:t>
      </w:r>
      <w:r>
        <w:rPr>
          <w:rFonts w:hint="eastAsia"/>
        </w:rPr>
        <w:t>项目人员岗位要求</w:t>
      </w:r>
    </w:p>
    <w:tbl>
      <w:tblPr>
        <w:tblStyle w:val="53"/>
        <w:tblW w:w="8759" w:type="dxa"/>
        <w:tblInd w:w="93" w:type="dxa"/>
        <w:tblLayout w:type="fixed"/>
        <w:tblCellMar>
          <w:top w:w="0" w:type="dxa"/>
          <w:left w:w="108" w:type="dxa"/>
          <w:bottom w:w="0" w:type="dxa"/>
          <w:right w:w="108" w:type="dxa"/>
        </w:tblCellMar>
      </w:tblPr>
      <w:tblGrid>
        <w:gridCol w:w="1156"/>
        <w:gridCol w:w="7603"/>
      </w:tblGrid>
      <w:tr w14:paraId="333C88EE">
        <w:tblPrEx>
          <w:tblCellMar>
            <w:top w:w="0" w:type="dxa"/>
            <w:left w:w="108" w:type="dxa"/>
            <w:bottom w:w="0" w:type="dxa"/>
            <w:right w:w="108" w:type="dxa"/>
          </w:tblCellMar>
        </w:tblPrEx>
        <w:trPr>
          <w:trHeight w:val="149" w:hRule="atLeast"/>
        </w:trPr>
        <w:tc>
          <w:tcPr>
            <w:tcW w:w="11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E2D105">
            <w:pPr>
              <w:widowControl/>
              <w:spacing w:line="50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岗位</w:t>
            </w:r>
          </w:p>
        </w:tc>
        <w:tc>
          <w:tcPr>
            <w:tcW w:w="7603" w:type="dxa"/>
            <w:tcBorders>
              <w:top w:val="single" w:color="000000" w:sz="8" w:space="0"/>
              <w:left w:val="nil"/>
              <w:bottom w:val="single" w:color="000000" w:sz="8" w:space="0"/>
              <w:right w:val="single" w:color="000000" w:sz="8" w:space="0"/>
            </w:tcBorders>
            <w:shd w:val="clear" w:color="auto" w:fill="auto"/>
            <w:vAlign w:val="center"/>
          </w:tcPr>
          <w:p w14:paraId="55D9504A">
            <w:pPr>
              <w:widowControl/>
              <w:spacing w:line="50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岗位职责及任职要求</w:t>
            </w:r>
          </w:p>
        </w:tc>
      </w:tr>
      <w:tr w14:paraId="3D9A27A2">
        <w:tblPrEx>
          <w:tblCellMar>
            <w:top w:w="0" w:type="dxa"/>
            <w:left w:w="108" w:type="dxa"/>
            <w:bottom w:w="0" w:type="dxa"/>
            <w:right w:w="108" w:type="dxa"/>
          </w:tblCellMar>
        </w:tblPrEx>
        <w:trPr>
          <w:trHeight w:val="708" w:hRule="atLeast"/>
        </w:trPr>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21A837C4">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公寓项目负责人</w:t>
            </w:r>
          </w:p>
        </w:tc>
        <w:tc>
          <w:tcPr>
            <w:tcW w:w="7603" w:type="dxa"/>
            <w:tcBorders>
              <w:top w:val="nil"/>
              <w:left w:val="nil"/>
              <w:bottom w:val="single" w:color="000000" w:sz="8" w:space="0"/>
              <w:right w:val="single" w:color="000000" w:sz="8" w:space="0"/>
            </w:tcBorders>
            <w:shd w:val="clear" w:color="auto" w:fill="auto"/>
            <w:vAlign w:val="center"/>
          </w:tcPr>
          <w:p w14:paraId="3CAC76D8">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1.全面负责公寓工作；负责制定和实施发展规划，制定并组织实施阶段性和年度工作计划，具体公寓学生负责的日常管理、服务、安全监管、经营等工作；</w:t>
            </w:r>
          </w:p>
          <w:p w14:paraId="12977107">
            <w:pPr>
              <w:widowControl/>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2.本科以上学历或中级以上职称，政治素质好，业务能力强，工作责任感好，组织管理能力强。</w:t>
            </w:r>
          </w:p>
        </w:tc>
      </w:tr>
      <w:tr w14:paraId="7A328B7B">
        <w:tblPrEx>
          <w:tblCellMar>
            <w:top w:w="0" w:type="dxa"/>
            <w:left w:w="108" w:type="dxa"/>
            <w:bottom w:w="0" w:type="dxa"/>
            <w:right w:w="108" w:type="dxa"/>
          </w:tblCellMar>
        </w:tblPrEx>
        <w:trPr>
          <w:trHeight w:val="1649" w:hRule="atLeast"/>
        </w:trPr>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7874C38C">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综合服务负责人（公寓）</w:t>
            </w:r>
          </w:p>
        </w:tc>
        <w:tc>
          <w:tcPr>
            <w:tcW w:w="7603" w:type="dxa"/>
            <w:tcBorders>
              <w:top w:val="nil"/>
              <w:left w:val="nil"/>
              <w:bottom w:val="single" w:color="000000" w:sz="8" w:space="0"/>
              <w:right w:val="single" w:color="000000" w:sz="8" w:space="0"/>
            </w:tcBorders>
            <w:shd w:val="clear" w:color="auto" w:fill="auto"/>
            <w:vAlign w:val="center"/>
          </w:tcPr>
          <w:p w14:paraId="5A106A3C">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1.协助项目负责人做好办公室的日常综合性事务工作；负责做好行政、宣传、人事管理、监控、统计、资产管理及会务接待等工作。</w:t>
            </w:r>
          </w:p>
          <w:p w14:paraId="4BEB728F">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2.本科以上学历或中级以上职称，政治素质好，工作责任感好，具备团队合作精神，具备相应岗位的业务技能。</w:t>
            </w:r>
          </w:p>
        </w:tc>
      </w:tr>
      <w:tr w14:paraId="12FFF552">
        <w:tblPrEx>
          <w:tblCellMar>
            <w:top w:w="0" w:type="dxa"/>
            <w:left w:w="108" w:type="dxa"/>
            <w:bottom w:w="0" w:type="dxa"/>
            <w:right w:w="108" w:type="dxa"/>
          </w:tblCellMar>
        </w:tblPrEx>
        <w:trPr>
          <w:trHeight w:val="534" w:hRule="atLeast"/>
        </w:trPr>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78D1298B">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公寓服务负责人</w:t>
            </w:r>
          </w:p>
        </w:tc>
        <w:tc>
          <w:tcPr>
            <w:tcW w:w="7603" w:type="dxa"/>
            <w:tcBorders>
              <w:top w:val="nil"/>
              <w:left w:val="nil"/>
              <w:bottom w:val="single" w:color="000000" w:sz="8" w:space="0"/>
              <w:right w:val="single" w:color="000000" w:sz="8" w:space="0"/>
            </w:tcBorders>
            <w:shd w:val="clear" w:color="auto" w:fill="auto"/>
            <w:vAlign w:val="center"/>
          </w:tcPr>
          <w:p w14:paraId="3021DA0E">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1.协助项目负责人做好学生公寓的日常管理和服务工作；</w:t>
            </w:r>
          </w:p>
          <w:p w14:paraId="48CEE4CA">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2.本科以上学历或中级以上职称，政治素质好，工作责任感好，具备团队合作精神，具备相应岗位的业务技能。</w:t>
            </w:r>
          </w:p>
        </w:tc>
      </w:tr>
      <w:tr w14:paraId="6810A606">
        <w:tblPrEx>
          <w:tblCellMar>
            <w:top w:w="0" w:type="dxa"/>
            <w:left w:w="108" w:type="dxa"/>
            <w:bottom w:w="0" w:type="dxa"/>
            <w:right w:w="108" w:type="dxa"/>
          </w:tblCellMar>
        </w:tblPrEx>
        <w:trPr>
          <w:trHeight w:val="534" w:hRule="atLeast"/>
        </w:trPr>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3A49A70D">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公寓维修负责人</w:t>
            </w:r>
          </w:p>
        </w:tc>
        <w:tc>
          <w:tcPr>
            <w:tcW w:w="7603" w:type="dxa"/>
            <w:tcBorders>
              <w:top w:val="nil"/>
              <w:left w:val="nil"/>
              <w:bottom w:val="single" w:color="000000" w:sz="8" w:space="0"/>
              <w:right w:val="single" w:color="000000" w:sz="8" w:space="0"/>
            </w:tcBorders>
            <w:shd w:val="clear" w:color="auto" w:fill="auto"/>
            <w:vAlign w:val="center"/>
          </w:tcPr>
          <w:p w14:paraId="635161F4">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1.负责所辖区域内日常维修、应急抢修和检修等工作；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2.有电工上岗证，熟悉水电维修及土木泥工相关技术，有一定管理经验。</w:t>
            </w:r>
          </w:p>
        </w:tc>
      </w:tr>
      <w:tr w14:paraId="371684A9">
        <w:tblPrEx>
          <w:tblCellMar>
            <w:top w:w="0" w:type="dxa"/>
            <w:left w:w="108" w:type="dxa"/>
            <w:bottom w:w="0" w:type="dxa"/>
            <w:right w:w="108" w:type="dxa"/>
          </w:tblCellMar>
        </w:tblPrEx>
        <w:trPr>
          <w:trHeight w:val="534" w:hRule="atLeast"/>
        </w:trPr>
        <w:tc>
          <w:tcPr>
            <w:tcW w:w="1156" w:type="dxa"/>
            <w:tcBorders>
              <w:top w:val="nil"/>
              <w:left w:val="single" w:color="000000" w:sz="8" w:space="0"/>
              <w:bottom w:val="single" w:color="000000" w:sz="8" w:space="0"/>
              <w:right w:val="single" w:color="000000" w:sz="8" w:space="0"/>
            </w:tcBorders>
            <w:shd w:val="clear" w:color="auto" w:fill="auto"/>
            <w:noWrap/>
            <w:vAlign w:val="center"/>
          </w:tcPr>
          <w:p w14:paraId="60A160A1">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公寓设备运维</w:t>
            </w:r>
          </w:p>
        </w:tc>
        <w:tc>
          <w:tcPr>
            <w:tcW w:w="7603" w:type="dxa"/>
            <w:tcBorders>
              <w:top w:val="nil"/>
              <w:left w:val="nil"/>
              <w:bottom w:val="single" w:color="000000" w:sz="8" w:space="0"/>
              <w:right w:val="single" w:color="000000" w:sz="8" w:space="0"/>
            </w:tcBorders>
            <w:shd w:val="clear" w:color="auto" w:fill="auto"/>
            <w:vAlign w:val="center"/>
          </w:tcPr>
          <w:p w14:paraId="56519C35">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1.负责所辖区域内空气源、空调、电表及洗衣机等公寓设备的日常运维工作；</w:t>
            </w:r>
          </w:p>
          <w:p w14:paraId="5AF62911">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2.负责所辖区域内相关公寓智慧平台管理、数据收集及分析工作；</w:t>
            </w:r>
          </w:p>
          <w:p w14:paraId="4F8E92E6">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3.爱岗敬业，具备相应岗位的业务技能，服从领导安排。</w:t>
            </w:r>
          </w:p>
        </w:tc>
      </w:tr>
      <w:tr w14:paraId="37696C0C">
        <w:tblPrEx>
          <w:tblCellMar>
            <w:top w:w="0" w:type="dxa"/>
            <w:left w:w="108" w:type="dxa"/>
            <w:bottom w:w="0" w:type="dxa"/>
            <w:right w:w="108" w:type="dxa"/>
          </w:tblCellMar>
        </w:tblPrEx>
        <w:trPr>
          <w:trHeight w:val="90" w:hRule="atLeast"/>
        </w:trPr>
        <w:tc>
          <w:tcPr>
            <w:tcW w:w="1156" w:type="dxa"/>
            <w:tcBorders>
              <w:top w:val="nil"/>
              <w:left w:val="single" w:color="000000" w:sz="8" w:space="0"/>
              <w:bottom w:val="single" w:color="auto" w:sz="4" w:space="0"/>
              <w:right w:val="single" w:color="000000" w:sz="8" w:space="0"/>
            </w:tcBorders>
            <w:shd w:val="clear" w:color="auto" w:fill="auto"/>
            <w:noWrap/>
            <w:vAlign w:val="center"/>
          </w:tcPr>
          <w:p w14:paraId="59CAEF8D">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454E7C38">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管理员</w:t>
            </w:r>
          </w:p>
        </w:tc>
        <w:tc>
          <w:tcPr>
            <w:tcW w:w="7603" w:type="dxa"/>
            <w:tcBorders>
              <w:top w:val="nil"/>
              <w:left w:val="nil"/>
              <w:bottom w:val="single" w:color="000000" w:sz="8" w:space="0"/>
              <w:right w:val="single" w:color="000000" w:sz="8" w:space="0"/>
            </w:tcBorders>
            <w:shd w:val="clear" w:color="auto" w:fill="auto"/>
            <w:vAlign w:val="center"/>
          </w:tcPr>
          <w:p w14:paraId="568E2BE1">
            <w:pPr>
              <w:widowControl/>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1.负责所管辖区域内的学生公寓管理和服务工作及所管公寓内设施、卫生、安全、信息化管理等日常工作；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2.高中以上学历，有工作经验，具有一定沟通协调能力，服从领导安排。</w:t>
            </w:r>
          </w:p>
        </w:tc>
      </w:tr>
      <w:tr w14:paraId="487964B4">
        <w:tblPrEx>
          <w:tblCellMar>
            <w:top w:w="0" w:type="dxa"/>
            <w:left w:w="108" w:type="dxa"/>
            <w:bottom w:w="0" w:type="dxa"/>
            <w:right w:w="108" w:type="dxa"/>
          </w:tblCellMar>
        </w:tblPrEx>
        <w:trPr>
          <w:trHeight w:val="538" w:hRule="atLeast"/>
        </w:trPr>
        <w:tc>
          <w:tcPr>
            <w:tcW w:w="1156"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C5D0E0D">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5FBCDA14">
            <w:pPr>
              <w:widowControl/>
              <w:spacing w:line="360" w:lineRule="auto"/>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值班员</w:t>
            </w:r>
          </w:p>
        </w:tc>
        <w:tc>
          <w:tcPr>
            <w:tcW w:w="7603" w:type="dxa"/>
            <w:tcBorders>
              <w:top w:val="nil"/>
              <w:left w:val="nil"/>
              <w:bottom w:val="single" w:color="000000" w:sz="8" w:space="0"/>
              <w:right w:val="single" w:color="000000" w:sz="8" w:space="0"/>
            </w:tcBorders>
            <w:shd w:val="clear" w:color="auto" w:fill="auto"/>
            <w:vAlign w:val="center"/>
          </w:tcPr>
          <w:p w14:paraId="22A92BFB">
            <w:pPr>
              <w:widowControl/>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1.协助管理员执行学生公寓标准管理规定，做好方便学生的服务性工作；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2.初中以上学历，具有一定的语言表达和沟通能力，服从领导安排。</w:t>
            </w:r>
          </w:p>
        </w:tc>
      </w:tr>
      <w:tr w14:paraId="5D782A98">
        <w:tblPrEx>
          <w:tblCellMar>
            <w:top w:w="0" w:type="dxa"/>
            <w:left w:w="108" w:type="dxa"/>
            <w:bottom w:w="0" w:type="dxa"/>
            <w:right w:w="108" w:type="dxa"/>
          </w:tblCellMar>
        </w:tblPrEx>
        <w:trPr>
          <w:trHeight w:val="607" w:hRule="atLeast"/>
        </w:trPr>
        <w:tc>
          <w:tcPr>
            <w:tcW w:w="1156" w:type="dxa"/>
            <w:tcBorders>
              <w:top w:val="nil"/>
              <w:left w:val="single" w:color="000000" w:sz="8" w:space="0"/>
              <w:bottom w:val="single" w:color="auto" w:sz="4" w:space="0"/>
              <w:right w:val="single" w:color="000000" w:sz="8" w:space="0"/>
            </w:tcBorders>
            <w:shd w:val="clear" w:color="auto" w:fill="auto"/>
            <w:noWrap/>
            <w:vAlign w:val="center"/>
          </w:tcPr>
          <w:p w14:paraId="467E420B">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00635746">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保洁员</w:t>
            </w:r>
          </w:p>
        </w:tc>
        <w:tc>
          <w:tcPr>
            <w:tcW w:w="7603" w:type="dxa"/>
            <w:tcBorders>
              <w:top w:val="nil"/>
              <w:left w:val="nil"/>
              <w:bottom w:val="single" w:color="auto" w:sz="4" w:space="0"/>
              <w:right w:val="single" w:color="000000" w:sz="8" w:space="0"/>
            </w:tcBorders>
            <w:shd w:val="clear" w:color="auto" w:fill="auto"/>
            <w:vAlign w:val="center"/>
          </w:tcPr>
          <w:p w14:paraId="19688133">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1.在管理员指导下，负责公寓楼公共区域的保洁工作；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2.爱岗敬业，能做好本职工作，服从领导安排。</w:t>
            </w:r>
          </w:p>
        </w:tc>
      </w:tr>
      <w:tr w14:paraId="59B620E4">
        <w:tblPrEx>
          <w:tblCellMar>
            <w:top w:w="0" w:type="dxa"/>
            <w:left w:w="108" w:type="dxa"/>
            <w:bottom w:w="0" w:type="dxa"/>
            <w:right w:w="108" w:type="dxa"/>
          </w:tblCellMar>
        </w:tblPrEx>
        <w:trPr>
          <w:trHeight w:val="607" w:hRule="atLeast"/>
        </w:trPr>
        <w:tc>
          <w:tcPr>
            <w:tcW w:w="1156"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89602B9">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w:t>
            </w:r>
          </w:p>
          <w:p w14:paraId="53DE53FE">
            <w:pPr>
              <w:widowControl/>
              <w:spacing w:line="360" w:lineRule="auto"/>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维修员</w:t>
            </w:r>
          </w:p>
        </w:tc>
        <w:tc>
          <w:tcPr>
            <w:tcW w:w="7603" w:type="dxa"/>
            <w:tcBorders>
              <w:top w:val="single" w:color="auto" w:sz="4" w:space="0"/>
              <w:left w:val="nil"/>
              <w:bottom w:val="single" w:color="auto" w:sz="4" w:space="0"/>
              <w:right w:val="single" w:color="000000" w:sz="8" w:space="0"/>
            </w:tcBorders>
            <w:shd w:val="clear" w:color="auto" w:fill="auto"/>
            <w:vAlign w:val="center"/>
          </w:tcPr>
          <w:p w14:paraId="20C67563">
            <w:pPr>
              <w:widowControl/>
              <w:spacing w:line="360" w:lineRule="auto"/>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1.负责学生公寓的维修和应急维修等工作；</w:t>
            </w:r>
            <w:r>
              <w:rPr>
                <w:rFonts w:hint="eastAsia" w:asciiTheme="minorEastAsia" w:hAnsiTheme="minorEastAsia" w:cstheme="minorEastAsia"/>
                <w:kern w:val="0"/>
                <w:szCs w:val="21"/>
                <w:lang w:bidi="ar"/>
              </w:rPr>
              <w:br w:type="textWrapping"/>
            </w:r>
            <w:r>
              <w:rPr>
                <w:rFonts w:hint="eastAsia" w:asciiTheme="minorEastAsia" w:hAnsiTheme="minorEastAsia" w:cstheme="minorEastAsia"/>
                <w:kern w:val="0"/>
                <w:szCs w:val="21"/>
                <w:lang w:bidi="ar"/>
              </w:rPr>
              <w:t>2.初中以上文化程度，具有水电维修相关工作经验，持证，能吃苦耐劳，服从工作安排。</w:t>
            </w:r>
          </w:p>
        </w:tc>
      </w:tr>
    </w:tbl>
    <w:p w14:paraId="39431325">
      <w:pPr>
        <w:pStyle w:val="351"/>
        <w:spacing w:line="360" w:lineRule="auto"/>
        <w:ind w:left="0"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（2）项目人员最低配置</w:t>
      </w:r>
    </w:p>
    <w:tbl>
      <w:tblPr>
        <w:tblStyle w:val="53"/>
        <w:tblW w:w="8134" w:type="dxa"/>
        <w:tblInd w:w="422" w:type="dxa"/>
        <w:tblLayout w:type="fixed"/>
        <w:tblCellMar>
          <w:top w:w="0" w:type="dxa"/>
          <w:left w:w="108" w:type="dxa"/>
          <w:bottom w:w="0" w:type="dxa"/>
          <w:right w:w="108" w:type="dxa"/>
        </w:tblCellMar>
      </w:tblPr>
      <w:tblGrid>
        <w:gridCol w:w="855"/>
        <w:gridCol w:w="4716"/>
        <w:gridCol w:w="2563"/>
      </w:tblGrid>
      <w:tr w14:paraId="698BEB02">
        <w:tblPrEx>
          <w:tblCellMar>
            <w:top w:w="0" w:type="dxa"/>
            <w:left w:w="108" w:type="dxa"/>
            <w:bottom w:w="0" w:type="dxa"/>
            <w:right w:w="108" w:type="dxa"/>
          </w:tblCellMar>
        </w:tblPrEx>
        <w:trPr>
          <w:trHeight w:val="426"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373399">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序号</w:t>
            </w:r>
          </w:p>
        </w:tc>
        <w:tc>
          <w:tcPr>
            <w:tcW w:w="4716" w:type="dxa"/>
            <w:tcBorders>
              <w:top w:val="single" w:color="000000" w:sz="8" w:space="0"/>
              <w:left w:val="nil"/>
              <w:bottom w:val="single" w:color="000000" w:sz="8" w:space="0"/>
              <w:right w:val="single" w:color="000000" w:sz="8" w:space="0"/>
            </w:tcBorders>
            <w:shd w:val="clear" w:color="auto" w:fill="auto"/>
            <w:vAlign w:val="center"/>
          </w:tcPr>
          <w:p w14:paraId="416EC04D">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岗位</w:t>
            </w:r>
          </w:p>
        </w:tc>
        <w:tc>
          <w:tcPr>
            <w:tcW w:w="2563" w:type="dxa"/>
            <w:tcBorders>
              <w:top w:val="single" w:color="000000" w:sz="8" w:space="0"/>
              <w:left w:val="nil"/>
              <w:bottom w:val="single" w:color="000000" w:sz="8" w:space="0"/>
              <w:right w:val="single" w:color="000000" w:sz="8" w:space="0"/>
            </w:tcBorders>
            <w:shd w:val="clear" w:color="auto" w:fill="auto"/>
            <w:vAlign w:val="center"/>
          </w:tcPr>
          <w:p w14:paraId="2CEBA742">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人数</w:t>
            </w:r>
          </w:p>
        </w:tc>
      </w:tr>
      <w:tr w14:paraId="6AC4E1D9">
        <w:tblPrEx>
          <w:tblCellMar>
            <w:top w:w="0" w:type="dxa"/>
            <w:left w:w="108" w:type="dxa"/>
            <w:bottom w:w="0" w:type="dxa"/>
            <w:right w:w="108" w:type="dxa"/>
          </w:tblCellMar>
        </w:tblPrEx>
        <w:trPr>
          <w:trHeight w:val="426" w:hRule="atLeast"/>
        </w:trPr>
        <w:tc>
          <w:tcPr>
            <w:tcW w:w="855" w:type="dxa"/>
            <w:tcBorders>
              <w:top w:val="nil"/>
              <w:left w:val="single" w:color="000000" w:sz="8" w:space="0"/>
              <w:bottom w:val="single" w:color="000000" w:sz="8" w:space="0"/>
              <w:right w:val="single" w:color="000000" w:sz="8" w:space="0"/>
            </w:tcBorders>
            <w:shd w:val="clear" w:color="auto" w:fill="auto"/>
            <w:noWrap/>
            <w:vAlign w:val="center"/>
          </w:tcPr>
          <w:p w14:paraId="62C6121F">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1</w:t>
            </w:r>
          </w:p>
        </w:tc>
        <w:tc>
          <w:tcPr>
            <w:tcW w:w="4716" w:type="dxa"/>
            <w:tcBorders>
              <w:top w:val="nil"/>
              <w:left w:val="nil"/>
              <w:bottom w:val="single" w:color="000000" w:sz="8" w:space="0"/>
              <w:right w:val="single" w:color="000000" w:sz="8" w:space="0"/>
            </w:tcBorders>
            <w:shd w:val="clear" w:color="auto" w:fill="auto"/>
            <w:vAlign w:val="center"/>
          </w:tcPr>
          <w:p w14:paraId="7FED85BC">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公寓项目负责人</w:t>
            </w:r>
          </w:p>
        </w:tc>
        <w:tc>
          <w:tcPr>
            <w:tcW w:w="2563" w:type="dxa"/>
            <w:tcBorders>
              <w:top w:val="nil"/>
              <w:left w:val="nil"/>
              <w:bottom w:val="single" w:color="000000" w:sz="8" w:space="0"/>
              <w:right w:val="single" w:color="000000" w:sz="8" w:space="0"/>
            </w:tcBorders>
            <w:shd w:val="clear" w:color="auto" w:fill="auto"/>
            <w:vAlign w:val="center"/>
          </w:tcPr>
          <w:p w14:paraId="662B075A">
            <w:pPr>
              <w:pStyle w:val="350"/>
              <w:spacing w:line="460" w:lineRule="exact"/>
              <w:jc w:val="center"/>
              <w:rPr>
                <w:rFonts w:asciiTheme="minorEastAsia" w:hAnsiTheme="minorEastAsia" w:cstheme="minorEastAsia"/>
                <w:color w:val="auto"/>
                <w:sz w:val="21"/>
                <w:szCs w:val="21"/>
                <w:lang w:bidi="ar"/>
              </w:rPr>
            </w:pPr>
            <w:r>
              <w:rPr>
                <w:rFonts w:hint="eastAsia" w:asciiTheme="minorEastAsia" w:hAnsiTheme="minorEastAsia" w:cstheme="minorEastAsia"/>
                <w:color w:val="auto"/>
                <w:sz w:val="21"/>
                <w:szCs w:val="21"/>
                <w:lang w:bidi="ar"/>
              </w:rPr>
              <w:t>1</w:t>
            </w:r>
          </w:p>
        </w:tc>
      </w:tr>
      <w:tr w14:paraId="2E15145A">
        <w:tblPrEx>
          <w:tblCellMar>
            <w:top w:w="0" w:type="dxa"/>
            <w:left w:w="108" w:type="dxa"/>
            <w:bottom w:w="0" w:type="dxa"/>
            <w:right w:w="108" w:type="dxa"/>
          </w:tblCellMar>
        </w:tblPrEx>
        <w:trPr>
          <w:trHeight w:val="426" w:hRule="atLeast"/>
        </w:trPr>
        <w:tc>
          <w:tcPr>
            <w:tcW w:w="855" w:type="dxa"/>
            <w:tcBorders>
              <w:top w:val="nil"/>
              <w:left w:val="single" w:color="000000" w:sz="8" w:space="0"/>
              <w:bottom w:val="single" w:color="000000" w:sz="8" w:space="0"/>
              <w:right w:val="single" w:color="000000" w:sz="8" w:space="0"/>
            </w:tcBorders>
            <w:shd w:val="clear" w:color="auto" w:fill="auto"/>
            <w:noWrap/>
            <w:vAlign w:val="center"/>
          </w:tcPr>
          <w:p w14:paraId="777E9F8D">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c>
          <w:tcPr>
            <w:tcW w:w="4716" w:type="dxa"/>
            <w:tcBorders>
              <w:top w:val="nil"/>
              <w:left w:val="nil"/>
              <w:bottom w:val="single" w:color="000000" w:sz="8" w:space="0"/>
              <w:right w:val="single" w:color="000000" w:sz="8" w:space="0"/>
            </w:tcBorders>
            <w:shd w:val="clear" w:color="auto" w:fill="auto"/>
            <w:vAlign w:val="center"/>
          </w:tcPr>
          <w:p w14:paraId="617B129C">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综合服务负责人（公寓）</w:t>
            </w:r>
          </w:p>
        </w:tc>
        <w:tc>
          <w:tcPr>
            <w:tcW w:w="2563" w:type="dxa"/>
            <w:tcBorders>
              <w:top w:val="nil"/>
              <w:left w:val="nil"/>
              <w:bottom w:val="single" w:color="000000" w:sz="8" w:space="0"/>
              <w:right w:val="single" w:color="000000" w:sz="8" w:space="0"/>
            </w:tcBorders>
            <w:shd w:val="clear" w:color="auto" w:fill="auto"/>
            <w:vAlign w:val="center"/>
          </w:tcPr>
          <w:p w14:paraId="1DEB075C">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r>
      <w:tr w14:paraId="4BB2D680">
        <w:tblPrEx>
          <w:tblCellMar>
            <w:top w:w="0" w:type="dxa"/>
            <w:left w:w="108" w:type="dxa"/>
            <w:bottom w:w="0" w:type="dxa"/>
            <w:right w:w="108" w:type="dxa"/>
          </w:tblCellMar>
        </w:tblPrEx>
        <w:trPr>
          <w:trHeight w:val="426" w:hRule="atLeast"/>
        </w:trPr>
        <w:tc>
          <w:tcPr>
            <w:tcW w:w="855" w:type="dxa"/>
            <w:tcBorders>
              <w:top w:val="nil"/>
              <w:left w:val="single" w:color="000000" w:sz="8" w:space="0"/>
              <w:bottom w:val="single" w:color="000000" w:sz="8" w:space="0"/>
              <w:right w:val="single" w:color="000000" w:sz="8" w:space="0"/>
            </w:tcBorders>
            <w:shd w:val="clear" w:color="auto" w:fill="auto"/>
            <w:noWrap/>
            <w:vAlign w:val="center"/>
          </w:tcPr>
          <w:p w14:paraId="4A43A32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w:t>
            </w:r>
          </w:p>
        </w:tc>
        <w:tc>
          <w:tcPr>
            <w:tcW w:w="4716" w:type="dxa"/>
            <w:tcBorders>
              <w:top w:val="nil"/>
              <w:left w:val="nil"/>
              <w:bottom w:val="single" w:color="000000" w:sz="8" w:space="0"/>
              <w:right w:val="single" w:color="000000" w:sz="8" w:space="0"/>
            </w:tcBorders>
            <w:shd w:val="clear" w:color="auto" w:fill="auto"/>
            <w:vAlign w:val="center"/>
          </w:tcPr>
          <w:p w14:paraId="1E4C6285">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公寓服务负责人</w:t>
            </w:r>
          </w:p>
        </w:tc>
        <w:tc>
          <w:tcPr>
            <w:tcW w:w="2563" w:type="dxa"/>
            <w:tcBorders>
              <w:top w:val="nil"/>
              <w:left w:val="nil"/>
              <w:bottom w:val="single" w:color="000000" w:sz="8" w:space="0"/>
              <w:right w:val="single" w:color="000000" w:sz="8" w:space="0"/>
            </w:tcBorders>
            <w:shd w:val="clear" w:color="auto" w:fill="auto"/>
            <w:vAlign w:val="center"/>
          </w:tcPr>
          <w:p w14:paraId="4B5A0BB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r>
      <w:tr w14:paraId="0FA881D1">
        <w:tblPrEx>
          <w:tblCellMar>
            <w:top w:w="0" w:type="dxa"/>
            <w:left w:w="108" w:type="dxa"/>
            <w:bottom w:w="0" w:type="dxa"/>
            <w:right w:w="108" w:type="dxa"/>
          </w:tblCellMar>
        </w:tblPrEx>
        <w:trPr>
          <w:trHeight w:val="512" w:hRule="atLeast"/>
        </w:trPr>
        <w:tc>
          <w:tcPr>
            <w:tcW w:w="855" w:type="dxa"/>
            <w:tcBorders>
              <w:top w:val="nil"/>
              <w:left w:val="single" w:color="000000" w:sz="8" w:space="0"/>
              <w:bottom w:val="single" w:color="000000" w:sz="8" w:space="0"/>
              <w:right w:val="single" w:color="000000" w:sz="8" w:space="0"/>
            </w:tcBorders>
            <w:shd w:val="clear" w:color="auto" w:fill="auto"/>
            <w:noWrap/>
            <w:vAlign w:val="center"/>
          </w:tcPr>
          <w:p w14:paraId="0B90B203">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4</w:t>
            </w:r>
          </w:p>
        </w:tc>
        <w:tc>
          <w:tcPr>
            <w:tcW w:w="4716" w:type="dxa"/>
            <w:tcBorders>
              <w:top w:val="nil"/>
              <w:left w:val="nil"/>
              <w:bottom w:val="single" w:color="000000" w:sz="8" w:space="0"/>
              <w:right w:val="single" w:color="000000" w:sz="8" w:space="0"/>
            </w:tcBorders>
            <w:shd w:val="clear" w:color="auto" w:fill="auto"/>
            <w:vAlign w:val="center"/>
          </w:tcPr>
          <w:p w14:paraId="0EA9A88B">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公寓维修负责人</w:t>
            </w:r>
          </w:p>
        </w:tc>
        <w:tc>
          <w:tcPr>
            <w:tcW w:w="2563" w:type="dxa"/>
            <w:tcBorders>
              <w:top w:val="nil"/>
              <w:left w:val="nil"/>
              <w:bottom w:val="single" w:color="000000" w:sz="8" w:space="0"/>
              <w:right w:val="single" w:color="000000" w:sz="8" w:space="0"/>
            </w:tcBorders>
            <w:shd w:val="clear" w:color="auto" w:fill="auto"/>
            <w:vAlign w:val="center"/>
          </w:tcPr>
          <w:p w14:paraId="48F4806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r>
      <w:tr w14:paraId="27B82832">
        <w:tblPrEx>
          <w:tblCellMar>
            <w:top w:w="0" w:type="dxa"/>
            <w:left w:w="108" w:type="dxa"/>
            <w:bottom w:w="0" w:type="dxa"/>
            <w:right w:w="108" w:type="dxa"/>
          </w:tblCellMar>
        </w:tblPrEx>
        <w:trPr>
          <w:trHeight w:val="405" w:hRule="atLeast"/>
        </w:trPr>
        <w:tc>
          <w:tcPr>
            <w:tcW w:w="855" w:type="dxa"/>
            <w:tcBorders>
              <w:top w:val="nil"/>
              <w:left w:val="single" w:color="000000" w:sz="8" w:space="0"/>
              <w:bottom w:val="single" w:color="000000" w:sz="8" w:space="0"/>
              <w:right w:val="single" w:color="000000" w:sz="8" w:space="0"/>
            </w:tcBorders>
            <w:shd w:val="clear" w:color="auto" w:fill="auto"/>
            <w:noWrap/>
            <w:vAlign w:val="center"/>
          </w:tcPr>
          <w:p w14:paraId="23FD3DEA">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5</w:t>
            </w:r>
          </w:p>
        </w:tc>
        <w:tc>
          <w:tcPr>
            <w:tcW w:w="4716" w:type="dxa"/>
            <w:tcBorders>
              <w:top w:val="nil"/>
              <w:left w:val="nil"/>
              <w:bottom w:val="single" w:color="000000" w:sz="8" w:space="0"/>
              <w:right w:val="single" w:color="000000" w:sz="8" w:space="0"/>
            </w:tcBorders>
            <w:shd w:val="clear" w:color="auto" w:fill="auto"/>
            <w:vAlign w:val="center"/>
          </w:tcPr>
          <w:p w14:paraId="749E7981">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公寓设备运维</w:t>
            </w:r>
          </w:p>
        </w:tc>
        <w:tc>
          <w:tcPr>
            <w:tcW w:w="2563" w:type="dxa"/>
            <w:tcBorders>
              <w:top w:val="nil"/>
              <w:left w:val="nil"/>
              <w:bottom w:val="single" w:color="000000" w:sz="8" w:space="0"/>
              <w:right w:val="single" w:color="000000" w:sz="8" w:space="0"/>
            </w:tcBorders>
            <w:shd w:val="clear" w:color="auto" w:fill="auto"/>
            <w:vAlign w:val="center"/>
          </w:tcPr>
          <w:p w14:paraId="400713B8">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w:t>
            </w:r>
          </w:p>
        </w:tc>
      </w:tr>
      <w:tr w14:paraId="13EA3398">
        <w:tblPrEx>
          <w:tblCellMar>
            <w:top w:w="0" w:type="dxa"/>
            <w:left w:w="108" w:type="dxa"/>
            <w:bottom w:w="0" w:type="dxa"/>
            <w:right w:w="108" w:type="dxa"/>
          </w:tblCellMar>
        </w:tblPrEx>
        <w:trPr>
          <w:trHeight w:val="426" w:hRule="atLeast"/>
        </w:trPr>
        <w:tc>
          <w:tcPr>
            <w:tcW w:w="855" w:type="dxa"/>
            <w:tcBorders>
              <w:top w:val="nil"/>
              <w:left w:val="single" w:color="000000" w:sz="8" w:space="0"/>
              <w:bottom w:val="single" w:color="auto" w:sz="4" w:space="0"/>
              <w:right w:val="single" w:color="000000" w:sz="8" w:space="0"/>
            </w:tcBorders>
            <w:shd w:val="clear" w:color="auto" w:fill="auto"/>
            <w:noWrap/>
            <w:vAlign w:val="center"/>
          </w:tcPr>
          <w:p w14:paraId="20B6AC64">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6</w:t>
            </w:r>
          </w:p>
        </w:tc>
        <w:tc>
          <w:tcPr>
            <w:tcW w:w="4716" w:type="dxa"/>
            <w:tcBorders>
              <w:top w:val="nil"/>
              <w:left w:val="nil"/>
              <w:bottom w:val="single" w:color="000000" w:sz="8" w:space="0"/>
              <w:right w:val="single" w:color="000000" w:sz="8" w:space="0"/>
            </w:tcBorders>
            <w:shd w:val="clear" w:color="auto" w:fill="auto"/>
            <w:vAlign w:val="center"/>
          </w:tcPr>
          <w:p w14:paraId="5B4DF4C1">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公寓管理员</w:t>
            </w:r>
          </w:p>
        </w:tc>
        <w:tc>
          <w:tcPr>
            <w:tcW w:w="2563" w:type="dxa"/>
            <w:tcBorders>
              <w:top w:val="nil"/>
              <w:left w:val="nil"/>
              <w:bottom w:val="single" w:color="000000" w:sz="8" w:space="0"/>
              <w:right w:val="single" w:color="000000" w:sz="8" w:space="0"/>
            </w:tcBorders>
            <w:shd w:val="clear" w:color="auto" w:fill="auto"/>
            <w:vAlign w:val="center"/>
          </w:tcPr>
          <w:p w14:paraId="6FD9949B">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24</w:t>
            </w:r>
          </w:p>
        </w:tc>
      </w:tr>
      <w:tr w14:paraId="271BD68F">
        <w:tblPrEx>
          <w:tblCellMar>
            <w:top w:w="0" w:type="dxa"/>
            <w:left w:w="108" w:type="dxa"/>
            <w:bottom w:w="0" w:type="dxa"/>
            <w:right w:w="108" w:type="dxa"/>
          </w:tblCellMar>
        </w:tblPrEx>
        <w:trPr>
          <w:trHeight w:val="426" w:hRule="atLeast"/>
        </w:trPr>
        <w:tc>
          <w:tcPr>
            <w:tcW w:w="855"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86FE667">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szCs w:val="21"/>
              </w:rPr>
              <w:t>7</w:t>
            </w:r>
          </w:p>
        </w:tc>
        <w:tc>
          <w:tcPr>
            <w:tcW w:w="4716" w:type="dxa"/>
            <w:tcBorders>
              <w:top w:val="nil"/>
              <w:left w:val="nil"/>
              <w:bottom w:val="single" w:color="000000" w:sz="8" w:space="0"/>
              <w:right w:val="single" w:color="000000" w:sz="8" w:space="0"/>
            </w:tcBorders>
            <w:shd w:val="clear" w:color="auto" w:fill="auto"/>
            <w:vAlign w:val="center"/>
          </w:tcPr>
          <w:p w14:paraId="703F74F6">
            <w:pPr>
              <w:widowControl/>
              <w:spacing w:line="46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公寓值班员</w:t>
            </w:r>
          </w:p>
        </w:tc>
        <w:tc>
          <w:tcPr>
            <w:tcW w:w="2563" w:type="dxa"/>
            <w:tcBorders>
              <w:top w:val="nil"/>
              <w:left w:val="nil"/>
              <w:bottom w:val="single" w:color="000000" w:sz="8" w:space="0"/>
              <w:right w:val="single" w:color="000000" w:sz="8" w:space="0"/>
            </w:tcBorders>
            <w:shd w:val="clear" w:color="auto" w:fill="auto"/>
            <w:vAlign w:val="center"/>
          </w:tcPr>
          <w:p w14:paraId="7AE164C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67</w:t>
            </w:r>
          </w:p>
        </w:tc>
      </w:tr>
      <w:tr w14:paraId="446B72FB">
        <w:tblPrEx>
          <w:tblCellMar>
            <w:top w:w="0" w:type="dxa"/>
            <w:left w:w="108" w:type="dxa"/>
            <w:bottom w:w="0" w:type="dxa"/>
            <w:right w:w="108" w:type="dxa"/>
          </w:tblCellMar>
        </w:tblPrEx>
        <w:trPr>
          <w:trHeight w:val="426" w:hRule="atLeast"/>
        </w:trPr>
        <w:tc>
          <w:tcPr>
            <w:tcW w:w="855" w:type="dxa"/>
            <w:tcBorders>
              <w:top w:val="nil"/>
              <w:left w:val="single" w:color="000000" w:sz="8" w:space="0"/>
              <w:bottom w:val="single" w:color="auto" w:sz="4" w:space="0"/>
              <w:right w:val="single" w:color="000000" w:sz="8" w:space="0"/>
            </w:tcBorders>
            <w:shd w:val="clear" w:color="auto" w:fill="auto"/>
            <w:noWrap/>
            <w:vAlign w:val="center"/>
          </w:tcPr>
          <w:p w14:paraId="6E5C8819">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8</w:t>
            </w:r>
          </w:p>
        </w:tc>
        <w:tc>
          <w:tcPr>
            <w:tcW w:w="4716" w:type="dxa"/>
            <w:tcBorders>
              <w:top w:val="nil"/>
              <w:left w:val="nil"/>
              <w:bottom w:val="single" w:color="auto" w:sz="4" w:space="0"/>
              <w:right w:val="single" w:color="000000" w:sz="8" w:space="0"/>
            </w:tcBorders>
            <w:shd w:val="clear" w:color="auto" w:fill="auto"/>
            <w:vAlign w:val="center"/>
          </w:tcPr>
          <w:p w14:paraId="0F91B9AE">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公寓保洁员</w:t>
            </w:r>
          </w:p>
        </w:tc>
        <w:tc>
          <w:tcPr>
            <w:tcW w:w="2563" w:type="dxa"/>
            <w:tcBorders>
              <w:top w:val="nil"/>
              <w:left w:val="nil"/>
              <w:bottom w:val="single" w:color="auto" w:sz="4" w:space="0"/>
              <w:right w:val="single" w:color="000000" w:sz="8" w:space="0"/>
            </w:tcBorders>
            <w:shd w:val="clear" w:color="auto" w:fill="auto"/>
            <w:vAlign w:val="center"/>
          </w:tcPr>
          <w:p w14:paraId="37D6DCCB">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29</w:t>
            </w:r>
          </w:p>
        </w:tc>
      </w:tr>
      <w:tr w14:paraId="006C135E">
        <w:tblPrEx>
          <w:tblCellMar>
            <w:top w:w="0" w:type="dxa"/>
            <w:left w:w="108" w:type="dxa"/>
            <w:bottom w:w="0" w:type="dxa"/>
            <w:right w:w="108" w:type="dxa"/>
          </w:tblCellMar>
        </w:tblPrEx>
        <w:trPr>
          <w:trHeight w:val="426" w:hRule="atLeast"/>
        </w:trPr>
        <w:tc>
          <w:tcPr>
            <w:tcW w:w="855"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8D39326">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4716" w:type="dxa"/>
            <w:tcBorders>
              <w:top w:val="single" w:color="auto" w:sz="4" w:space="0"/>
              <w:left w:val="nil"/>
              <w:bottom w:val="single" w:color="auto" w:sz="4" w:space="0"/>
              <w:right w:val="single" w:color="000000" w:sz="8" w:space="0"/>
            </w:tcBorders>
            <w:shd w:val="clear" w:color="auto" w:fill="auto"/>
            <w:vAlign w:val="center"/>
          </w:tcPr>
          <w:p w14:paraId="355D88EA">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公寓维修员</w:t>
            </w:r>
          </w:p>
        </w:tc>
        <w:tc>
          <w:tcPr>
            <w:tcW w:w="2563" w:type="dxa"/>
            <w:tcBorders>
              <w:top w:val="single" w:color="auto" w:sz="4" w:space="0"/>
              <w:left w:val="nil"/>
              <w:bottom w:val="single" w:color="auto" w:sz="4" w:space="0"/>
              <w:right w:val="single" w:color="000000" w:sz="8" w:space="0"/>
            </w:tcBorders>
            <w:shd w:val="clear" w:color="auto" w:fill="auto"/>
            <w:vAlign w:val="center"/>
          </w:tcPr>
          <w:p w14:paraId="31135586">
            <w:pPr>
              <w:widowControl/>
              <w:spacing w:line="460" w:lineRule="exact"/>
              <w:jc w:val="center"/>
              <w:textAlignment w:val="center"/>
              <w:rPr>
                <w:rFonts w:hint="eastAsia" w:eastAsia="宋体" w:asciiTheme="minorEastAsia" w:hAnsiTheme="minorEastAsia" w:cstheme="minorEastAsia"/>
                <w:kern w:val="0"/>
                <w:szCs w:val="21"/>
                <w:lang w:eastAsia="zh-CN" w:bidi="ar"/>
              </w:rPr>
            </w:pPr>
            <w:r>
              <w:rPr>
                <w:rFonts w:hint="eastAsia" w:asciiTheme="minorEastAsia" w:hAnsiTheme="minorEastAsia" w:cstheme="minorEastAsia"/>
                <w:kern w:val="0"/>
                <w:szCs w:val="21"/>
                <w:lang w:val="en-US" w:eastAsia="zh-CN" w:bidi="ar"/>
              </w:rPr>
              <w:t>9</w:t>
            </w:r>
          </w:p>
        </w:tc>
      </w:tr>
      <w:tr w14:paraId="332E9852">
        <w:tblPrEx>
          <w:tblCellMar>
            <w:top w:w="0" w:type="dxa"/>
            <w:left w:w="108" w:type="dxa"/>
            <w:bottom w:w="0" w:type="dxa"/>
            <w:right w:w="108" w:type="dxa"/>
          </w:tblCellMar>
        </w:tblPrEx>
        <w:trPr>
          <w:trHeight w:val="426" w:hRule="atLeast"/>
        </w:trPr>
        <w:tc>
          <w:tcPr>
            <w:tcW w:w="5571" w:type="dxa"/>
            <w:gridSpan w:val="2"/>
            <w:tcBorders>
              <w:top w:val="single" w:color="auto" w:sz="4" w:space="0"/>
              <w:left w:val="single" w:color="000000" w:sz="8" w:space="0"/>
              <w:bottom w:val="single" w:color="auto" w:sz="4" w:space="0"/>
              <w:right w:val="single" w:color="000000" w:sz="8" w:space="0"/>
            </w:tcBorders>
            <w:shd w:val="clear" w:color="auto" w:fill="auto"/>
            <w:noWrap/>
            <w:vAlign w:val="center"/>
          </w:tcPr>
          <w:p w14:paraId="38870412">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合计人数</w:t>
            </w:r>
          </w:p>
        </w:tc>
        <w:tc>
          <w:tcPr>
            <w:tcW w:w="2563" w:type="dxa"/>
            <w:tcBorders>
              <w:top w:val="single" w:color="auto" w:sz="4" w:space="0"/>
              <w:left w:val="nil"/>
              <w:bottom w:val="single" w:color="auto" w:sz="4" w:space="0"/>
              <w:right w:val="single" w:color="000000" w:sz="8" w:space="0"/>
            </w:tcBorders>
            <w:shd w:val="clear" w:color="auto" w:fill="auto"/>
            <w:vAlign w:val="center"/>
          </w:tcPr>
          <w:p w14:paraId="47F79967">
            <w:pPr>
              <w:widowControl/>
              <w:spacing w:line="46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13</w:t>
            </w:r>
            <w:r>
              <w:rPr>
                <w:rFonts w:hint="eastAsia" w:asciiTheme="minorEastAsia" w:hAnsiTheme="minorEastAsia" w:cstheme="minorEastAsia"/>
                <w:kern w:val="0"/>
                <w:szCs w:val="21"/>
                <w:lang w:val="en-US" w:eastAsia="zh-CN" w:bidi="ar"/>
              </w:rPr>
              <w:t>6</w:t>
            </w:r>
          </w:p>
        </w:tc>
      </w:tr>
    </w:tbl>
    <w:p w14:paraId="73B94AFB">
      <w:pPr>
        <w:pStyle w:val="351"/>
        <w:spacing w:line="360" w:lineRule="auto"/>
        <w:ind w:left="0"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3.学生公寓服务标准</w:t>
      </w:r>
    </w:p>
    <w:tbl>
      <w:tblPr>
        <w:tblStyle w:val="53"/>
        <w:tblW w:w="844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02"/>
        <w:gridCol w:w="6841"/>
      </w:tblGrid>
      <w:tr w14:paraId="7720D7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602" w:type="dxa"/>
            <w:tcBorders>
              <w:top w:val="single" w:color="auto" w:sz="4" w:space="0"/>
              <w:left w:val="single" w:color="auto" w:sz="4" w:space="0"/>
              <w:bottom w:val="single" w:color="auto" w:sz="2" w:space="0"/>
              <w:right w:val="single" w:color="auto" w:sz="2" w:space="0"/>
            </w:tcBorders>
            <w:vAlign w:val="center"/>
          </w:tcPr>
          <w:p w14:paraId="5B414F3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服务内容</w:t>
            </w:r>
          </w:p>
        </w:tc>
        <w:tc>
          <w:tcPr>
            <w:tcW w:w="6841" w:type="dxa"/>
            <w:tcBorders>
              <w:top w:val="single" w:color="auto" w:sz="4" w:space="0"/>
              <w:left w:val="single" w:color="auto" w:sz="2" w:space="0"/>
              <w:bottom w:val="single" w:color="auto" w:sz="2" w:space="0"/>
              <w:right w:val="single" w:color="auto" w:sz="4" w:space="0"/>
            </w:tcBorders>
            <w:vAlign w:val="center"/>
          </w:tcPr>
          <w:p w14:paraId="7AC6FCB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服务标准</w:t>
            </w:r>
          </w:p>
        </w:tc>
      </w:tr>
      <w:tr w14:paraId="20910B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602" w:type="dxa"/>
            <w:tcBorders>
              <w:top w:val="single" w:color="auto" w:sz="2" w:space="0"/>
              <w:left w:val="single" w:color="auto" w:sz="4" w:space="0"/>
              <w:bottom w:val="single" w:color="auto" w:sz="2" w:space="0"/>
              <w:right w:val="single" w:color="auto" w:sz="2" w:space="0"/>
            </w:tcBorders>
            <w:vAlign w:val="center"/>
          </w:tcPr>
          <w:p w14:paraId="1121CCA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总体服务要求</w:t>
            </w:r>
          </w:p>
        </w:tc>
        <w:tc>
          <w:tcPr>
            <w:tcW w:w="6841" w:type="dxa"/>
            <w:tcBorders>
              <w:top w:val="single" w:color="auto" w:sz="2" w:space="0"/>
              <w:left w:val="single" w:color="auto" w:sz="2" w:space="0"/>
              <w:bottom w:val="single" w:color="auto" w:sz="2" w:space="0"/>
              <w:right w:val="single" w:color="auto" w:sz="4" w:space="0"/>
            </w:tcBorders>
            <w:vAlign w:val="center"/>
          </w:tcPr>
          <w:p w14:paraId="0CC16B1D">
            <w:pPr>
              <w:widowControl/>
              <w:spacing w:line="360" w:lineRule="auto"/>
              <w:rPr>
                <w:rFonts w:asciiTheme="minorEastAsia" w:hAnsiTheme="minorEastAsia" w:cstheme="minorEastAsia"/>
                <w:szCs w:val="21"/>
              </w:rPr>
            </w:pPr>
            <w:r>
              <w:rPr>
                <w:rFonts w:hint="eastAsia" w:asciiTheme="minorEastAsia" w:hAnsiTheme="minorEastAsia" w:cstheme="minorEastAsia"/>
                <w:szCs w:val="21"/>
              </w:rPr>
              <w:t>成立公寓服务部，做好东湖校区、衣锦校区学生公寓、教师公寓及平山留学生公寓的日常管理与服务保障工作，包括但不仅限于负责学生公寓安全管理（含监控、门禁）、智能系统管理维护、日常入住与退宿全过程管理；日常学生公寓、教师公寓公共区域的保洁工作；学生公寓公共设施设备等日常巡查和报修工作；学生寝室的安排和零星调配，根据学生住宿人数，做好学生公寓的申请、安排、调整、退宿和管理工作；学生公寓安全管理及隐患排查，做好公寓突发事件的处理工作；做好学校委托的学生公寓空气源热水及空调日常运营管理工作；负责学校委托管理项目的管理和服务工作等。</w:t>
            </w:r>
          </w:p>
          <w:p w14:paraId="1B2ED869">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1.公寓管理员应熟悉各楼对应学院，并建立良好的师生关系，为他们提供学生公寓服务与帮助；</w:t>
            </w:r>
          </w:p>
          <w:p w14:paraId="2A086654">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2.管理员在工作时间应穿着统一的工作制服，接待学生要态度和蔼、语气轻柔；</w:t>
            </w:r>
          </w:p>
          <w:p w14:paraId="178406C3">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3.工作流程规范化：定期巡查楼宇、具备紧急事件的应急处理预案；</w:t>
            </w:r>
          </w:p>
          <w:p w14:paraId="1B09FCBA">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4.培训和检查制度化：公寓主管负责定期对组长、管理员值班员及保洁员进行业务培训；</w:t>
            </w:r>
          </w:p>
          <w:p w14:paraId="7AC68F33">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5.做好学生公寓空气源热水及空调日常运营管理工作；</w:t>
            </w:r>
          </w:p>
          <w:p w14:paraId="50D64015">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6.做好与学校相关部门的沟通协调工作；</w:t>
            </w:r>
          </w:p>
          <w:p w14:paraId="549F3423">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7.做好学生公寓各项设施设备、资产的管理与台账建设；</w:t>
            </w:r>
          </w:p>
          <w:p w14:paraId="01692BD9">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8.配合学校做好相关采购、宣传工作；</w:t>
            </w:r>
          </w:p>
          <w:p w14:paraId="559C1833">
            <w:pPr>
              <w:pStyle w:val="642"/>
              <w:spacing w:line="360" w:lineRule="auto"/>
              <w:ind w:left="-106"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9.配合学校制作《浙江农林大学文明寝室建设制度汇编》。</w:t>
            </w:r>
          </w:p>
        </w:tc>
      </w:tr>
      <w:tr w14:paraId="32A7E6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602" w:type="dxa"/>
            <w:tcBorders>
              <w:top w:val="single" w:color="auto" w:sz="2" w:space="0"/>
              <w:left w:val="single" w:color="auto" w:sz="4" w:space="0"/>
              <w:bottom w:val="single" w:color="auto" w:sz="2" w:space="0"/>
              <w:right w:val="single" w:color="auto" w:sz="2" w:space="0"/>
            </w:tcBorders>
            <w:vAlign w:val="center"/>
          </w:tcPr>
          <w:p w14:paraId="6378C43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基础服务</w:t>
            </w:r>
          </w:p>
        </w:tc>
        <w:tc>
          <w:tcPr>
            <w:tcW w:w="6841" w:type="dxa"/>
            <w:tcBorders>
              <w:top w:val="single" w:color="auto" w:sz="2" w:space="0"/>
              <w:left w:val="single" w:color="auto" w:sz="2" w:space="0"/>
              <w:bottom w:val="single" w:color="auto" w:sz="2" w:space="0"/>
              <w:right w:val="single" w:color="auto" w:sz="4" w:space="0"/>
            </w:tcBorders>
            <w:vAlign w:val="center"/>
          </w:tcPr>
          <w:p w14:paraId="039CDC8B">
            <w:pPr>
              <w:spacing w:line="360" w:lineRule="auto"/>
              <w:rPr>
                <w:rFonts w:asciiTheme="minorEastAsia" w:hAnsiTheme="minorEastAsia" w:cstheme="minorEastAsia"/>
                <w:szCs w:val="21"/>
              </w:rPr>
            </w:pPr>
            <w:r>
              <w:rPr>
                <w:rFonts w:hint="eastAsia" w:asciiTheme="minorEastAsia" w:hAnsiTheme="minorEastAsia" w:cstheme="minorEastAsia"/>
                <w:szCs w:val="21"/>
              </w:rPr>
              <w:t>1.公寓住宿服务</w:t>
            </w:r>
          </w:p>
          <w:p w14:paraId="34C833F9">
            <w:pPr>
              <w:spacing w:line="360" w:lineRule="auto"/>
              <w:rPr>
                <w:rFonts w:ascii="宋体" w:hAnsi="宋体"/>
              </w:rPr>
            </w:pPr>
            <w:r>
              <w:rPr>
                <w:rFonts w:hint="eastAsia" w:ascii="宋体" w:hAnsi="宋体"/>
              </w:rPr>
              <w:t>做好日常入住与退宿全过程管理，包括日常学生公寓、教师公寓公共区域的保洁工作；学生公寓公共设施设备等日常巡查和报修工作；学生寝室的安排和零星调配，根据学生住宿人数，做好学生公寓的申请、安排、调整、退宿和管理工作；学生公寓安全管理及隐患排查，做好公寓突发事件的处理工作等内容。</w:t>
            </w:r>
          </w:p>
          <w:p w14:paraId="5B80FCE2">
            <w:pPr>
              <w:spacing w:line="360" w:lineRule="auto"/>
              <w:rPr>
                <w:rFonts w:asciiTheme="minorEastAsia" w:hAnsiTheme="minorEastAsia" w:cstheme="minorEastAsia"/>
                <w:szCs w:val="21"/>
              </w:rPr>
            </w:pPr>
            <w:r>
              <w:rPr>
                <w:rFonts w:hint="eastAsia" w:asciiTheme="minorEastAsia" w:hAnsiTheme="minorEastAsia" w:cstheme="minorEastAsia"/>
                <w:szCs w:val="21"/>
              </w:rPr>
              <w:t>2.公寓安全服务</w:t>
            </w:r>
          </w:p>
          <w:p w14:paraId="09AE3983">
            <w:pPr>
              <w:spacing w:line="360" w:lineRule="auto"/>
              <w:rPr>
                <w:rFonts w:asciiTheme="minorEastAsia" w:hAnsiTheme="minorEastAsia" w:cstheme="minorEastAsia"/>
                <w:szCs w:val="21"/>
              </w:rPr>
            </w:pPr>
            <w:r>
              <w:rPr>
                <w:rFonts w:hint="eastAsia" w:asciiTheme="minorEastAsia" w:hAnsiTheme="minorEastAsia" w:cstheme="minorEastAsia"/>
                <w:szCs w:val="21"/>
              </w:rPr>
              <w:t>（1）实行24小时值班，交接班有记录。外来人员有登记，违规学生登记并上报各学院，重大问题及时汇报。并按照规定的时间，确保各学生公寓准时开、关门。</w:t>
            </w:r>
          </w:p>
          <w:p w14:paraId="599DEB08">
            <w:pPr>
              <w:spacing w:line="360" w:lineRule="auto"/>
              <w:rPr>
                <w:rFonts w:asciiTheme="minorEastAsia" w:hAnsiTheme="minorEastAsia" w:cstheme="minorEastAsia"/>
                <w:szCs w:val="21"/>
              </w:rPr>
            </w:pPr>
            <w:r>
              <w:rPr>
                <w:rFonts w:hint="eastAsia" w:asciiTheme="minorEastAsia" w:hAnsiTheme="minorEastAsia" w:cstheme="minorEastAsia"/>
                <w:szCs w:val="21"/>
              </w:rPr>
              <w:t>（2）确保消防疏散通道畅通，定期检查安全出口、疏散标识设备，发现问题及时记录并上报相关部门。</w:t>
            </w:r>
          </w:p>
          <w:p w14:paraId="02DC2269">
            <w:pPr>
              <w:spacing w:line="360" w:lineRule="auto"/>
              <w:rPr>
                <w:rFonts w:asciiTheme="minorEastAsia" w:hAnsiTheme="minorEastAsia" w:cstheme="minorEastAsia"/>
                <w:szCs w:val="21"/>
              </w:rPr>
            </w:pPr>
            <w:r>
              <w:rPr>
                <w:rFonts w:hint="eastAsia" w:asciiTheme="minorEastAsia" w:hAnsiTheme="minorEastAsia" w:cstheme="minorEastAsia"/>
                <w:szCs w:val="21"/>
              </w:rPr>
              <w:t>（3）配合保卫处做好防火、防盗、防骗等安全工作，定期检查消防设施器材是否有缺损情况，灭火器是否过期，应急疏散标识、安全指示牌、安全指示灯是否完好，楼内消火栓是否完好，消除火灾隐患，做好相关记录，并及时上报学校相关部门进行整改。</w:t>
            </w:r>
          </w:p>
          <w:p w14:paraId="3DB3BE3B">
            <w:pPr>
              <w:spacing w:line="360" w:lineRule="auto"/>
              <w:rPr>
                <w:rFonts w:asciiTheme="minorEastAsia" w:hAnsiTheme="minorEastAsia" w:cstheme="minorEastAsia"/>
                <w:szCs w:val="21"/>
              </w:rPr>
            </w:pPr>
            <w:r>
              <w:rPr>
                <w:rFonts w:hint="eastAsia" w:asciiTheme="minorEastAsia" w:hAnsiTheme="minorEastAsia" w:cstheme="minorEastAsia"/>
                <w:szCs w:val="21"/>
              </w:rPr>
              <w:t>（4）每周开展学生寝室安全与卫生检查，及时收缴各类违章电器，并及时上报相关部门，同时配合做好学生的安全宣传教育工作。</w:t>
            </w:r>
          </w:p>
          <w:p w14:paraId="320CED29">
            <w:pPr>
              <w:spacing w:line="360" w:lineRule="auto"/>
              <w:rPr>
                <w:rFonts w:asciiTheme="minorEastAsia" w:hAnsiTheme="minorEastAsia" w:cstheme="minorEastAsia"/>
                <w:szCs w:val="21"/>
              </w:rPr>
            </w:pPr>
            <w:r>
              <w:rPr>
                <w:rFonts w:hint="eastAsia" w:asciiTheme="minorEastAsia" w:hAnsiTheme="minorEastAsia" w:cstheme="minorEastAsia"/>
                <w:szCs w:val="21"/>
              </w:rPr>
              <w:t>（5）管理服务人员及学生能熟练掌握消防器材的使用方法，熟悉有关报警报案的电话号码和报警程序。</w:t>
            </w:r>
          </w:p>
          <w:p w14:paraId="6D0A53F6">
            <w:pPr>
              <w:spacing w:line="360" w:lineRule="auto"/>
              <w:rPr>
                <w:rFonts w:asciiTheme="minorEastAsia" w:hAnsiTheme="minorEastAsia" w:cstheme="minorEastAsia"/>
                <w:szCs w:val="21"/>
              </w:rPr>
            </w:pPr>
            <w:r>
              <w:rPr>
                <w:rFonts w:hint="eastAsia" w:asciiTheme="minorEastAsia" w:hAnsiTheme="minorEastAsia" w:cstheme="minorEastAsia"/>
                <w:szCs w:val="21"/>
              </w:rPr>
              <w:t>（6）每年至少开展一次对管理服务人员、学生进行安全教育及消防演习。</w:t>
            </w:r>
          </w:p>
          <w:p w14:paraId="64B2744C">
            <w:pPr>
              <w:spacing w:line="360" w:lineRule="auto"/>
              <w:rPr>
                <w:rFonts w:asciiTheme="minorEastAsia" w:hAnsiTheme="minorEastAsia" w:cstheme="minorEastAsia"/>
                <w:szCs w:val="21"/>
              </w:rPr>
            </w:pPr>
            <w:r>
              <w:rPr>
                <w:rFonts w:hint="eastAsia" w:asciiTheme="minorEastAsia" w:hAnsiTheme="minorEastAsia" w:cstheme="minorEastAsia"/>
                <w:szCs w:val="21"/>
              </w:rPr>
              <w:t>（7）制定突发事件应急预案，发生突发事件及时处理，并迅速上报。</w:t>
            </w:r>
          </w:p>
          <w:p w14:paraId="53B20304">
            <w:pPr>
              <w:spacing w:line="360" w:lineRule="auto"/>
              <w:rPr>
                <w:rFonts w:asciiTheme="minorEastAsia" w:hAnsiTheme="minorEastAsia" w:cstheme="minorEastAsia"/>
                <w:szCs w:val="21"/>
              </w:rPr>
            </w:pPr>
            <w:r>
              <w:rPr>
                <w:rFonts w:hint="eastAsia" w:asciiTheme="minorEastAsia" w:hAnsiTheme="minorEastAsia" w:cstheme="minorEastAsia"/>
                <w:szCs w:val="21"/>
              </w:rPr>
              <w:t>3.公寓维修服务</w:t>
            </w:r>
          </w:p>
          <w:p w14:paraId="733F2F80">
            <w:pPr>
              <w:spacing w:line="360" w:lineRule="auto"/>
              <w:rPr>
                <w:rFonts w:asciiTheme="minorEastAsia" w:hAnsiTheme="minorEastAsia" w:cstheme="minorEastAsia"/>
                <w:szCs w:val="21"/>
              </w:rPr>
            </w:pPr>
            <w:r>
              <w:rPr>
                <w:rFonts w:hint="eastAsia" w:asciiTheme="minorEastAsia" w:hAnsiTheme="minorEastAsia" w:cstheme="minorEastAsia"/>
                <w:szCs w:val="21"/>
              </w:rPr>
              <w:t>（1）做好公寓楼内资产的检查、登记和管理工作，确保设施设备完好。</w:t>
            </w:r>
          </w:p>
          <w:p w14:paraId="2F7296BC">
            <w:pPr>
              <w:spacing w:line="360" w:lineRule="auto"/>
              <w:rPr>
                <w:rFonts w:asciiTheme="minorEastAsia" w:hAnsiTheme="minorEastAsia" w:cstheme="minorEastAsia"/>
                <w:szCs w:val="21"/>
              </w:rPr>
            </w:pPr>
            <w:r>
              <w:rPr>
                <w:rFonts w:hint="eastAsia" w:asciiTheme="minorEastAsia" w:hAnsiTheme="minorEastAsia" w:cstheme="minorEastAsia"/>
                <w:szCs w:val="21"/>
              </w:rPr>
              <w:t>（2）做好学生公寓内不涉及屋顶漏水、外立面修缮的其他维修工作（学校安排的学生公寓楼宇整体维修改造除外），发现损坏及时维修，并有报修、维修记录。</w:t>
            </w:r>
          </w:p>
          <w:p w14:paraId="5E051915">
            <w:pPr>
              <w:spacing w:line="360" w:lineRule="auto"/>
              <w:rPr>
                <w:rFonts w:asciiTheme="minorEastAsia" w:hAnsiTheme="minorEastAsia" w:cstheme="minorEastAsia"/>
                <w:szCs w:val="21"/>
              </w:rPr>
            </w:pPr>
            <w:r>
              <w:rPr>
                <w:rFonts w:hint="eastAsia" w:asciiTheme="minorEastAsia" w:hAnsiTheme="minorEastAsia" w:cstheme="minorEastAsia"/>
                <w:szCs w:val="21"/>
              </w:rPr>
              <w:t>（3）协助做好管理区域内代为管理资产（消防设施、大型水电设施、节能设备、建筑主体）的日常监管工作，发现损坏，及时通报相关部门。</w:t>
            </w:r>
          </w:p>
          <w:p w14:paraId="057DD567">
            <w:pPr>
              <w:spacing w:line="360" w:lineRule="auto"/>
              <w:rPr>
                <w:rFonts w:asciiTheme="minorEastAsia" w:hAnsiTheme="minorEastAsia" w:cstheme="minorEastAsia"/>
                <w:szCs w:val="21"/>
              </w:rPr>
            </w:pPr>
            <w:r>
              <w:rPr>
                <w:rFonts w:hint="eastAsia" w:asciiTheme="minorEastAsia" w:hAnsiTheme="minorEastAsia" w:cstheme="minorEastAsia"/>
                <w:szCs w:val="21"/>
              </w:rPr>
              <w:t>4.公寓水电服务</w:t>
            </w:r>
          </w:p>
          <w:p w14:paraId="7404590E">
            <w:pPr>
              <w:spacing w:line="360" w:lineRule="auto"/>
              <w:rPr>
                <w:rFonts w:asciiTheme="minorEastAsia" w:hAnsiTheme="minorEastAsia" w:cstheme="minorEastAsia"/>
                <w:szCs w:val="21"/>
              </w:rPr>
            </w:pPr>
            <w:r>
              <w:rPr>
                <w:rFonts w:hint="eastAsia" w:asciiTheme="minorEastAsia" w:hAnsiTheme="minorEastAsia" w:cstheme="minorEastAsia"/>
                <w:szCs w:val="21"/>
              </w:rPr>
              <w:t>（1）做好学生公寓用水用电量统计对比分析、宿舍超用水电费的统计收缴工作，收缴率确保99%以上。</w:t>
            </w:r>
          </w:p>
          <w:p w14:paraId="491E9017">
            <w:pPr>
              <w:spacing w:line="360" w:lineRule="auto"/>
              <w:rPr>
                <w:rFonts w:asciiTheme="minorEastAsia" w:hAnsiTheme="minorEastAsia" w:cstheme="minorEastAsia"/>
                <w:szCs w:val="21"/>
              </w:rPr>
            </w:pPr>
            <w:r>
              <w:rPr>
                <w:rFonts w:hint="eastAsia" w:asciiTheme="minorEastAsia" w:hAnsiTheme="minorEastAsia" w:cstheme="minorEastAsia"/>
                <w:szCs w:val="21"/>
              </w:rPr>
              <w:t>（2）做好学生公寓内水电表的维修、更换工作。</w:t>
            </w:r>
          </w:p>
          <w:p w14:paraId="6BC2AE87">
            <w:pPr>
              <w:spacing w:line="360" w:lineRule="auto"/>
              <w:rPr>
                <w:rFonts w:asciiTheme="minorEastAsia" w:hAnsiTheme="minorEastAsia" w:cstheme="minorEastAsia"/>
                <w:szCs w:val="21"/>
              </w:rPr>
            </w:pPr>
            <w:r>
              <w:rPr>
                <w:rFonts w:hint="eastAsia" w:asciiTheme="minorEastAsia" w:hAnsiTheme="minorEastAsia" w:cstheme="minorEastAsia"/>
                <w:szCs w:val="21"/>
              </w:rPr>
              <w:t>（3）抄表发现异常或水电表损坏情况，需在一周内进行及时更换计量器具，如因不及时维修导致长时间抄录数据中断及影响水电费收取的，费用从履约保证金内扣回。</w:t>
            </w:r>
          </w:p>
          <w:p w14:paraId="0C729CDF">
            <w:pPr>
              <w:spacing w:line="360" w:lineRule="auto"/>
              <w:rPr>
                <w:rFonts w:asciiTheme="minorEastAsia" w:hAnsiTheme="minorEastAsia" w:cstheme="minorEastAsia"/>
                <w:szCs w:val="21"/>
              </w:rPr>
            </w:pPr>
            <w:r>
              <w:rPr>
                <w:rFonts w:hint="eastAsia" w:asciiTheme="minorEastAsia" w:hAnsiTheme="minorEastAsia" w:cstheme="minorEastAsia"/>
                <w:szCs w:val="21"/>
              </w:rPr>
              <w:t>5.公寓人员服务态度</w:t>
            </w:r>
          </w:p>
          <w:p w14:paraId="48250942">
            <w:pPr>
              <w:spacing w:line="360" w:lineRule="auto"/>
              <w:rPr>
                <w:rFonts w:asciiTheme="minorEastAsia" w:hAnsiTheme="minorEastAsia" w:cstheme="minorEastAsia"/>
                <w:szCs w:val="21"/>
              </w:rPr>
            </w:pPr>
            <w:r>
              <w:rPr>
                <w:rFonts w:hint="eastAsia" w:asciiTheme="minorEastAsia" w:hAnsiTheme="minorEastAsia" w:cstheme="minorEastAsia"/>
                <w:szCs w:val="21"/>
              </w:rPr>
              <w:t>（1）工作人员必须爱岗敬业，遵守学校各项规章制度，遵纪守法，做到优质服务。</w:t>
            </w:r>
          </w:p>
          <w:p w14:paraId="38F7A025">
            <w:pPr>
              <w:spacing w:line="360" w:lineRule="auto"/>
              <w:rPr>
                <w:rFonts w:asciiTheme="minorEastAsia" w:hAnsiTheme="minorEastAsia" w:cstheme="minorEastAsia"/>
                <w:szCs w:val="21"/>
              </w:rPr>
            </w:pPr>
            <w:r>
              <w:rPr>
                <w:rFonts w:hint="eastAsia" w:asciiTheme="minorEastAsia" w:hAnsiTheme="minorEastAsia" w:cstheme="minorEastAsia"/>
                <w:szCs w:val="21"/>
              </w:rPr>
              <w:t>（2）个人仪表端正，服装整洁，衣着得体，举止大方。</w:t>
            </w:r>
          </w:p>
          <w:p w14:paraId="722DF46F">
            <w:pPr>
              <w:spacing w:line="360" w:lineRule="auto"/>
              <w:rPr>
                <w:rFonts w:asciiTheme="minorEastAsia" w:hAnsiTheme="minorEastAsia" w:cstheme="minorEastAsia"/>
                <w:szCs w:val="21"/>
              </w:rPr>
            </w:pPr>
            <w:r>
              <w:rPr>
                <w:rFonts w:hint="eastAsia" w:asciiTheme="minorEastAsia" w:hAnsiTheme="minorEastAsia" w:cstheme="minorEastAsia"/>
                <w:szCs w:val="21"/>
              </w:rPr>
              <w:t>（3）耐心解答学生疑问，做好新增服务设施的各项服务工作。</w:t>
            </w:r>
          </w:p>
        </w:tc>
      </w:tr>
      <w:tr w14:paraId="62D457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602" w:type="dxa"/>
            <w:tcBorders>
              <w:top w:val="single" w:color="auto" w:sz="2" w:space="0"/>
              <w:left w:val="single" w:color="auto" w:sz="4" w:space="0"/>
              <w:bottom w:val="single" w:color="auto" w:sz="4" w:space="0"/>
              <w:right w:val="single" w:color="auto" w:sz="2" w:space="0"/>
            </w:tcBorders>
            <w:vAlign w:val="center"/>
          </w:tcPr>
          <w:p w14:paraId="35E2A4B0">
            <w:pPr>
              <w:spacing w:line="360" w:lineRule="auto"/>
              <w:ind w:left="31"/>
              <w:rPr>
                <w:rFonts w:asciiTheme="minorEastAsia" w:hAnsiTheme="minorEastAsia" w:cstheme="minorEastAsia"/>
                <w:szCs w:val="21"/>
              </w:rPr>
            </w:pPr>
            <w:r>
              <w:rPr>
                <w:rFonts w:hint="eastAsia" w:asciiTheme="minorEastAsia" w:hAnsiTheme="minorEastAsia" w:cstheme="minorEastAsia"/>
                <w:szCs w:val="21"/>
              </w:rPr>
              <w:t>增值服务</w:t>
            </w:r>
          </w:p>
          <w:p w14:paraId="4E7F7DF3">
            <w:pPr>
              <w:spacing w:line="360" w:lineRule="auto"/>
              <w:jc w:val="center"/>
              <w:rPr>
                <w:rFonts w:asciiTheme="minorEastAsia" w:hAnsiTheme="minorEastAsia" w:cstheme="minorEastAsia"/>
                <w:szCs w:val="21"/>
              </w:rPr>
            </w:pPr>
          </w:p>
        </w:tc>
        <w:tc>
          <w:tcPr>
            <w:tcW w:w="6841" w:type="dxa"/>
            <w:tcBorders>
              <w:top w:val="single" w:color="auto" w:sz="2" w:space="0"/>
              <w:left w:val="single" w:color="auto" w:sz="2" w:space="0"/>
              <w:bottom w:val="single" w:color="auto" w:sz="4" w:space="0"/>
              <w:right w:val="single" w:color="auto" w:sz="4" w:space="0"/>
            </w:tcBorders>
            <w:vAlign w:val="center"/>
          </w:tcPr>
          <w:p w14:paraId="01F983E9">
            <w:pPr>
              <w:spacing w:line="360" w:lineRule="auto"/>
              <w:rPr>
                <w:rFonts w:asciiTheme="minorEastAsia" w:hAnsiTheme="minorEastAsia" w:cstheme="minorEastAsia"/>
                <w:szCs w:val="21"/>
              </w:rPr>
            </w:pPr>
            <w:r>
              <w:rPr>
                <w:rFonts w:hint="eastAsia" w:asciiTheme="minorEastAsia" w:hAnsiTheme="minorEastAsia" w:cstheme="minorEastAsia"/>
                <w:szCs w:val="21"/>
              </w:rPr>
              <w:t>1.每年组织或参加四次公寓相关文化活动。</w:t>
            </w:r>
          </w:p>
          <w:p w14:paraId="7746D4D5">
            <w:pPr>
              <w:spacing w:line="360" w:lineRule="auto"/>
              <w:rPr>
                <w:rFonts w:asciiTheme="minorEastAsia" w:hAnsiTheme="minorEastAsia" w:cstheme="minorEastAsia"/>
                <w:szCs w:val="21"/>
              </w:rPr>
            </w:pPr>
            <w:r>
              <w:rPr>
                <w:rFonts w:hint="eastAsia" w:asciiTheme="minorEastAsia" w:hAnsiTheme="minorEastAsia" w:cstheme="minorEastAsia"/>
                <w:szCs w:val="21"/>
              </w:rPr>
              <w:t>2.为学生公寓提供热水、空调、洗衣服务、维修修缮、休读空间，吹风机服务、洗鞋服务等。</w:t>
            </w:r>
          </w:p>
          <w:p w14:paraId="16E71544">
            <w:pPr>
              <w:spacing w:line="360" w:lineRule="auto"/>
              <w:rPr>
                <w:rFonts w:asciiTheme="minorEastAsia" w:hAnsiTheme="minorEastAsia" w:cstheme="minorEastAsia"/>
                <w:szCs w:val="21"/>
              </w:rPr>
            </w:pPr>
            <w:r>
              <w:rPr>
                <w:rFonts w:hint="eastAsia" w:asciiTheme="minorEastAsia" w:hAnsiTheme="minorEastAsia" w:cstheme="minorEastAsia"/>
                <w:szCs w:val="21"/>
              </w:rPr>
              <w:t>3. 为学生公寓门厅提供爱心服务（针线、创口贴等）。</w:t>
            </w:r>
          </w:p>
        </w:tc>
      </w:tr>
    </w:tbl>
    <w:p w14:paraId="023DFBF4">
      <w:pPr>
        <w:pStyle w:val="351"/>
        <w:spacing w:line="360" w:lineRule="auto"/>
        <w:ind w:left="0"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4.学生公寓清单</w:t>
      </w:r>
    </w:p>
    <w:tbl>
      <w:tblPr>
        <w:tblStyle w:val="53"/>
        <w:tblW w:w="9097" w:type="dxa"/>
        <w:jc w:val="center"/>
        <w:tblLayout w:type="fixed"/>
        <w:tblCellMar>
          <w:top w:w="0" w:type="dxa"/>
          <w:left w:w="108" w:type="dxa"/>
          <w:bottom w:w="0" w:type="dxa"/>
          <w:right w:w="108" w:type="dxa"/>
        </w:tblCellMar>
      </w:tblPr>
      <w:tblGrid>
        <w:gridCol w:w="725"/>
        <w:gridCol w:w="1260"/>
        <w:gridCol w:w="1215"/>
        <w:gridCol w:w="1695"/>
        <w:gridCol w:w="1839"/>
        <w:gridCol w:w="2363"/>
      </w:tblGrid>
      <w:tr w14:paraId="6B3AAAE3">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9CB2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序号</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BF3A27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隶属校区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5BD958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房屋名称</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029E03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建筑面积（</w:t>
            </w:r>
            <w:r>
              <w:rPr>
                <w:rFonts w:ascii="Arial" w:hAnsi="Arial" w:cs="Arial"/>
                <w:sz w:val="19"/>
                <w:szCs w:val="19"/>
                <w:shd w:val="clear" w:color="auto" w:fill="FFFFFF"/>
              </w:rPr>
              <w:t>m²</w:t>
            </w:r>
            <w:r>
              <w:rPr>
                <w:rFonts w:hint="eastAsia" w:asciiTheme="minorEastAsia" w:hAnsiTheme="minorEastAsia" w:cstheme="minorEastAsia"/>
                <w:kern w:val="0"/>
                <w:szCs w:val="21"/>
                <w:lang w:bidi="ar"/>
              </w:rPr>
              <w:t>）</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74CC9C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使用面积（</w:t>
            </w:r>
            <w:r>
              <w:rPr>
                <w:rFonts w:ascii="Arial" w:hAnsi="Arial" w:cs="Arial"/>
                <w:sz w:val="19"/>
                <w:szCs w:val="19"/>
                <w:shd w:val="clear" w:color="auto" w:fill="FFFFFF"/>
              </w:rPr>
              <w:t>m²</w:t>
            </w:r>
            <w:r>
              <w:rPr>
                <w:rFonts w:hint="eastAsia" w:asciiTheme="minorEastAsia" w:hAnsiTheme="minorEastAsia" w:cstheme="minorEastAsia"/>
                <w:kern w:val="0"/>
                <w:szCs w:val="21"/>
                <w:lang w:bidi="ar"/>
              </w:rPr>
              <w:t>）</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20B1FA5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房屋用途</w:t>
            </w:r>
          </w:p>
        </w:tc>
      </w:tr>
      <w:tr w14:paraId="1047BC4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678E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0190C8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378C3E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A63082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5880.40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9A9BCD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4006.88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32A6379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3FFAFC3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67B4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FE1FF0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85E51D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A0A548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5303.59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AD75E4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3505.13</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753BA27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2D698CB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AF9B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0FF3C7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B8D612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A3楼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02B5607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5880.40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3A9162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4007.39</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E5E123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767F57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5D17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B5C62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847422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BE4FAE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5303.59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49544A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3420.61</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7959188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00E7C7B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B918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D4A722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6D1743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A5楼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3FCDE2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4618.50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2925CB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3164.99</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3E2114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60CD9FD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2F3C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B801F9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885543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A6楼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9C8D63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7119.76</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018578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4595.06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F5ED6E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0EDC04A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2517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B58ED4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84F623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A7楼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79AC05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5970.70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7092A6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4378.82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3B316D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21B034A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9820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F587FF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501B17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A8楼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815E91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2778.58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CA9A0A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2378.85</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2B6DE9E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1B368629">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F72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0DA3D3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B708EF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A9楼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C50FD3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2648.57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2D6E40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1858.58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DB7820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355351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482C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68299C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F6F9A1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A10楼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D6E353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2648.57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437AAD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1869.52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44FAE02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33813A23">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CC0A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51C1D4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B3CC55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A11楼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E0FD8B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2648.57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51B993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1852.24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A5E3C4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5A2A1C0">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5A2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EB22A0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41B7D7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2780BA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5672.90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3BE7A8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3620.16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B6A7BB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B85EE3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7593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E7B35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38D195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4F8CED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5096.81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F122BA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3926.89</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CB93BB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0AB2450F">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18E7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8C4EC5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A18D89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B3楼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1A4683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5953.90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E5BCD2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3620.16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3B2F8F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0D3349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463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A1CBB3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8F65CA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B4楼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0D57C3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5685.70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54BF4A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4548.88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01BB00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233E673A">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E565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ED9FB9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DB3FF5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B5楼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FED198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5953.90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51D20F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3620.16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7BCEEAA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8EA766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87E9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8B247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78F6EE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B6楼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F174FC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5685.70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F206FC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4471.20</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A0C0E2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0C1F391">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8CD0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4476CF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76BDC1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B7楼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0B4B5E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5395.02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74968A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3939.57</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2D7BE0E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79E0D92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1A8F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9D5A84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B7CCC5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B8楼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C19B5A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5623.58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899873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3981.96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7584B1C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4E737C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DA2B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2825F5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484381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B9楼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08732BB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5395.02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76D387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3931.2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71C239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7C536D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EE7D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BF4627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6E9F36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B10楼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74401E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5623.58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405297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3788.03</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8803AC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1BCD2A4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E73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3D8573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222C9F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B11楼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367020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17826.07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4B3902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15002.00</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E015A5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82D4501">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945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46E8DE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CE5212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B12楼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072F2F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15036.54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4BAFB5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11925.20</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E1CA20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207578F0">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33AA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4D9506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C65EBE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E42BBB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7318.14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DC1252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5287.68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AFF64E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39E54546">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BEE8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AA7E65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6D9BFA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5FB6E3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5652.59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FBF53E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3987.36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27F209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6A7EF0E0">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EBBD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5D4457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9BC731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C3楼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5C8E39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5985.31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4EF112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4337.28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38204DC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29E9EF4E">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BB66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D0AFD3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030B2F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C4楼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F47A83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5597.67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DAD0E8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4073.76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10D920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32F0836E">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9A5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C7FC0E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81B45D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C5楼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F9F80A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7543.38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6CAC21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5425.92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104926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9C5075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CF54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B7500F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B75836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C6楼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2898E9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5985.31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48A72F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4341.68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7AF74D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2A898AA">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3223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35E7DB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88F781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C7楼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DF2643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5593.49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0D6F46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4019.72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9AFC0B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31266330">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C236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17B3CF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D1132C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C8楼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69D4C8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5593.49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188233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4034.22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00D9B7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2A4C5E99">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1BE7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58CD3B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6DF9B3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C9楼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479581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6971.27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08E7CF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4184.01</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35E847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BBE1741">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CB75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BC59A6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5A51F0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C10楼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C5A8B6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5601.00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87B3EF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4664.48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06DEFD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13EAC62F">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939A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116A0D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93826F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C11楼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A44851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6971.27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653324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4184.08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5C4949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69EC192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AF5B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BB183C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7647B9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C12楼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0A84FD7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5601.00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8EDBD7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4663.35</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B2937B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33C59237">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7870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70854E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DF2B2A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联建E1楼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7DCDF3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6518.79</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7218B0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4588.54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36AA535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0E6CF6C3">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9C48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446234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8A7D4D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联建E2楼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D91B46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7054.92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5FA71E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4958.28</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D1E984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5699FA08">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4D0E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6475D9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CA25E5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联建E3楼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3433B2E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5088.70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5C0D4F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3734.64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365487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07A572C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EBA4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8B0472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961D32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联建E4楼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90FC70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4800.00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E8E17D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3628.80</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74BC69A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0A92326D">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9F17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FF92E7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175A2CF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联建E5楼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6B4A06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4800.00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5046DC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3628.80</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786E48F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6F4F33B">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33D69">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CFA145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24585B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联建E6楼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252366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2757.00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C61E81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1720.44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246974C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67750CA4">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12DD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1B9703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7C8285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E7楼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DD7F8A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3793.46</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AFF578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2684.26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2051AEE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18BA0A83">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73968">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75311D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F709E0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E8楼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747456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3793.46</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0FEFBA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2776.06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F15ED1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73FEBF1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2ACE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F0467E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B52502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E10楼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94DF3D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2470.65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C8ADB5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2341.44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3E050286">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6E074BB9">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F7F6E">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5325A4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6EF32C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E11楼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6CC051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374.48</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8A8F4F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202.92</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EE61B9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6EA4C50C">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83DD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36DF36D">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20201125">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E12楼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5D6E543">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374.47</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3754DEC">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179.55</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70186F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7B968522">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337C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EC62BC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衣锦校区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966DA6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S4楼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93FE404">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1625.54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B62BB0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1196.64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142B1951">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学生宿舍</w:t>
            </w:r>
          </w:p>
        </w:tc>
      </w:tr>
      <w:tr w14:paraId="49054C65">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3F81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699902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404275B">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平山公寓1</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E3D50E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2589.00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D1C4C8F">
            <w:pPr>
              <w:spacing w:line="440" w:lineRule="exact"/>
              <w:jc w:val="center"/>
              <w:rPr>
                <w:rFonts w:asciiTheme="minorEastAsia" w:hAnsiTheme="minorEastAsia" w:cstheme="minorEastAsia"/>
                <w:szCs w:val="21"/>
              </w:rPr>
            </w:pP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49D36D7">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留学生宿舍(国教学院)</w:t>
            </w:r>
          </w:p>
        </w:tc>
      </w:tr>
      <w:tr w14:paraId="69D25125">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5C992">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B11DC2A">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5473A0F">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平山公寓2</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C5F93B0">
            <w:pPr>
              <w:widowControl/>
              <w:spacing w:line="440" w:lineRule="exact"/>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4022.00</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791BC70">
            <w:pPr>
              <w:spacing w:line="440" w:lineRule="exact"/>
              <w:jc w:val="center"/>
              <w:rPr>
                <w:rFonts w:asciiTheme="minorEastAsia" w:hAnsiTheme="minorEastAsia" w:cstheme="minorEastAsia"/>
                <w:szCs w:val="21"/>
              </w:rPr>
            </w:pP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560411F2">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留学生宿舍（国教学院）</w:t>
            </w:r>
          </w:p>
        </w:tc>
      </w:tr>
      <w:tr w14:paraId="08FEB063">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8C95">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50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9E29E15">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48C84BA">
            <w:pPr>
              <w:widowControl/>
              <w:spacing w:line="440" w:lineRule="exact"/>
              <w:jc w:val="center"/>
              <w:textAlignment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D1</w:t>
            </w:r>
            <w:r>
              <w:rPr>
                <w:rFonts w:hint="eastAsia" w:asciiTheme="minorEastAsia" w:hAnsiTheme="minorEastAsia" w:cstheme="minorEastAsia"/>
                <w:kern w:val="0"/>
                <w:szCs w:val="21"/>
                <w:lang w:bidi="ar"/>
              </w:rPr>
              <w:t>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93D1D10">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13812.75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65D8820">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8919.36</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03081A58">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学生宿舍</w:t>
            </w:r>
          </w:p>
        </w:tc>
      </w:tr>
      <w:tr w14:paraId="2E1F2746">
        <w:tblPrEx>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DBD8">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51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60AA7B0">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东湖校区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96D2ECB">
            <w:pPr>
              <w:widowControl/>
              <w:spacing w:line="440" w:lineRule="exact"/>
              <w:jc w:val="center"/>
              <w:textAlignment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D2</w:t>
            </w:r>
            <w:r>
              <w:rPr>
                <w:rFonts w:hint="eastAsia" w:asciiTheme="minorEastAsia" w:hAnsiTheme="minorEastAsia" w:cstheme="minorEastAsia"/>
                <w:kern w:val="0"/>
                <w:szCs w:val="21"/>
                <w:lang w:bidi="ar"/>
              </w:rPr>
              <w:t>楼</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F1E599A">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15644.25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FEA331D">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10643.04</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6A144005">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学生宿舍</w:t>
            </w:r>
          </w:p>
        </w:tc>
      </w:tr>
      <w:tr w14:paraId="354989BF">
        <w:tblPrEx>
          <w:tblCellMar>
            <w:top w:w="0" w:type="dxa"/>
            <w:left w:w="108" w:type="dxa"/>
            <w:bottom w:w="0" w:type="dxa"/>
            <w:right w:w="108" w:type="dxa"/>
          </w:tblCellMar>
        </w:tblPrEx>
        <w:trPr>
          <w:trHeight w:val="285" w:hRule="atLeast"/>
          <w:jc w:val="center"/>
        </w:trPr>
        <w:tc>
          <w:tcPr>
            <w:tcW w:w="32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A29614">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合计</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E67B466">
            <w:pPr>
              <w:widowControl/>
              <w:spacing w:line="440" w:lineRule="exact"/>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293683.34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48CAB29">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205819.79</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14:paraId="3FC76FF0">
            <w:pPr>
              <w:widowControl/>
              <w:spacing w:line="440" w:lineRule="exact"/>
              <w:jc w:val="center"/>
              <w:textAlignment w:val="center"/>
              <w:rPr>
                <w:rFonts w:asciiTheme="minorEastAsia" w:hAnsiTheme="minorEastAsia" w:cstheme="minorEastAsia"/>
                <w:kern w:val="0"/>
                <w:szCs w:val="21"/>
                <w:lang w:bidi="ar"/>
              </w:rPr>
            </w:pPr>
          </w:p>
        </w:tc>
      </w:tr>
    </w:tbl>
    <w:p w14:paraId="47B865BB">
      <w:pPr>
        <w:spacing w:line="360" w:lineRule="auto"/>
      </w:pPr>
    </w:p>
    <w:p w14:paraId="2F5BB370">
      <w:pPr>
        <w:spacing w:line="360" w:lineRule="auto"/>
        <w:ind w:firstLine="420" w:firstLineChars="200"/>
        <w:outlineLvl w:val="1"/>
        <w:rPr>
          <w:szCs w:val="21"/>
        </w:rPr>
      </w:pPr>
      <w:r>
        <w:rPr>
          <w:rFonts w:hint="eastAsia"/>
          <w:szCs w:val="21"/>
        </w:rPr>
        <w:t>（二）楼宇、环境、绿化管理</w:t>
      </w:r>
    </w:p>
    <w:p w14:paraId="1B71C743">
      <w:pPr>
        <w:spacing w:line="360" w:lineRule="auto"/>
        <w:ind w:firstLine="420" w:firstLineChars="200"/>
        <w:outlineLvl w:val="2"/>
        <w:rPr>
          <w:rFonts w:ascii="宋体" w:hAnsi="宋体" w:cs="宋体"/>
          <w:szCs w:val="21"/>
        </w:rPr>
      </w:pPr>
      <w:r>
        <w:rPr>
          <w:rFonts w:hint="eastAsia" w:ascii="宋体" w:hAnsi="宋体"/>
          <w:szCs w:val="21"/>
        </w:rPr>
        <w:t>1.</w:t>
      </w:r>
      <w:r>
        <w:rPr>
          <w:rFonts w:hint="eastAsia" w:ascii="宋体" w:hAnsi="宋体" w:cs="宋体"/>
          <w:szCs w:val="21"/>
        </w:rPr>
        <w:t>服务范围及总体要求</w:t>
      </w:r>
    </w:p>
    <w:p w14:paraId="5891790C">
      <w:pPr>
        <w:widowControl/>
        <w:adjustRightInd w:val="0"/>
        <w:snapToGrid w:val="0"/>
        <w:spacing w:line="360" w:lineRule="auto"/>
        <w:ind w:firstLine="420" w:firstLineChars="200"/>
        <w:outlineLvl w:val="3"/>
        <w:rPr>
          <w:rFonts w:ascii="宋体" w:hAnsi="宋体"/>
          <w:szCs w:val="21"/>
        </w:rPr>
      </w:pPr>
      <w:r>
        <w:rPr>
          <w:rFonts w:hint="eastAsia" w:ascii="宋体" w:hAnsi="宋体"/>
          <w:szCs w:val="21"/>
        </w:rPr>
        <w:t>（1）服务范围</w:t>
      </w:r>
    </w:p>
    <w:p w14:paraId="66DAE3F6">
      <w:pPr>
        <w:widowControl/>
        <w:adjustRightInd w:val="0"/>
        <w:snapToGrid w:val="0"/>
        <w:spacing w:line="360" w:lineRule="auto"/>
        <w:ind w:firstLine="420" w:firstLineChars="200"/>
        <w:rPr>
          <w:rFonts w:ascii="宋体" w:hAnsi="宋体"/>
          <w:szCs w:val="21"/>
        </w:rPr>
      </w:pPr>
      <w:r>
        <w:rPr>
          <w:rFonts w:hint="eastAsia" w:ascii="宋体" w:hAnsi="宋体"/>
          <w:szCs w:val="21"/>
        </w:rPr>
        <w:t>东湖校区、衣锦校区校园整体</w:t>
      </w:r>
      <w:r>
        <w:rPr>
          <w:rFonts w:hint="eastAsia" w:asciiTheme="minorEastAsia" w:hAnsiTheme="minorEastAsia" w:cstheme="minorEastAsia"/>
          <w:szCs w:val="21"/>
        </w:rPr>
        <w:t>楼宇、环境、绿化</w:t>
      </w:r>
      <w:r>
        <w:rPr>
          <w:rFonts w:hint="eastAsia" w:ascii="宋体" w:hAnsi="宋体"/>
          <w:szCs w:val="21"/>
        </w:rPr>
        <w:t>服务（含平山学生公寓绿化管理）。</w:t>
      </w:r>
    </w:p>
    <w:p w14:paraId="490DADB0">
      <w:pPr>
        <w:widowControl/>
        <w:adjustRightInd w:val="0"/>
        <w:snapToGrid w:val="0"/>
        <w:spacing w:line="360" w:lineRule="auto"/>
        <w:ind w:firstLine="420" w:firstLineChars="200"/>
        <w:outlineLvl w:val="3"/>
        <w:rPr>
          <w:rFonts w:ascii="宋体" w:hAnsi="宋体"/>
          <w:szCs w:val="21"/>
        </w:rPr>
      </w:pPr>
      <w:r>
        <w:rPr>
          <w:rFonts w:hint="eastAsia" w:ascii="宋体" w:hAnsi="宋体"/>
          <w:szCs w:val="21"/>
        </w:rPr>
        <w:t>（2）工作内容</w:t>
      </w:r>
    </w:p>
    <w:p w14:paraId="0324A6C1">
      <w:pPr>
        <w:widowControl/>
        <w:adjustRightInd w:val="0"/>
        <w:snapToGrid w:val="0"/>
        <w:spacing w:line="360" w:lineRule="auto"/>
        <w:ind w:firstLine="420"/>
        <w:rPr>
          <w:rFonts w:ascii="宋体" w:hAnsi="宋体"/>
          <w:szCs w:val="21"/>
        </w:rPr>
      </w:pPr>
      <w:r>
        <w:rPr>
          <w:rFonts w:hint="eastAsia" w:ascii="宋体" w:hAnsi="宋体" w:cs="宋体"/>
          <w:szCs w:val="21"/>
        </w:rPr>
        <w:t>①</w:t>
      </w:r>
      <w:r>
        <w:rPr>
          <w:rFonts w:hint="eastAsia" w:ascii="宋体" w:hAnsi="宋体"/>
          <w:szCs w:val="21"/>
        </w:rPr>
        <w:t>负责东湖校区和衣锦校区的</w:t>
      </w:r>
      <w:r>
        <w:rPr>
          <w:rFonts w:hint="eastAsia"/>
          <w:szCs w:val="21"/>
        </w:rPr>
        <w:t>楼宇、环境、绿化</w:t>
      </w:r>
      <w:r>
        <w:rPr>
          <w:rFonts w:hint="eastAsia" w:ascii="宋体" w:hAnsi="宋体"/>
          <w:szCs w:val="21"/>
        </w:rPr>
        <w:t>服务，包括但不仅限于楼宇综合服务、环境保洁、设施运行与日常维护、绿化养护等，具体见主要服务内容说明。</w:t>
      </w:r>
    </w:p>
    <w:p w14:paraId="1F037940">
      <w:pPr>
        <w:widowControl/>
        <w:adjustRightInd w:val="0"/>
        <w:snapToGrid w:val="0"/>
        <w:spacing w:line="360" w:lineRule="auto"/>
        <w:ind w:firstLine="420"/>
        <w:rPr>
          <w:rFonts w:ascii="宋体" w:hAnsi="宋体"/>
          <w:szCs w:val="21"/>
        </w:rPr>
      </w:pPr>
      <w:r>
        <w:rPr>
          <w:rFonts w:hint="eastAsia" w:ascii="宋体" w:hAnsi="宋体" w:cs="宋体"/>
          <w:szCs w:val="21"/>
        </w:rPr>
        <w:t>②</w:t>
      </w:r>
      <w:r>
        <w:rPr>
          <w:rFonts w:hint="eastAsia" w:ascii="宋体" w:hAnsi="宋体"/>
          <w:szCs w:val="21"/>
        </w:rPr>
        <w:t>采购人教学楼或部分楼宇的教学空间内的教学相关设施:激光笔、白板笔、白板擦、需更换的激光笔电池、话筒电池等，以上费用包含在投标报价内。</w:t>
      </w:r>
    </w:p>
    <w:p w14:paraId="3B792163">
      <w:pPr>
        <w:widowControl/>
        <w:adjustRightInd w:val="0"/>
        <w:snapToGrid w:val="0"/>
        <w:spacing w:line="360" w:lineRule="auto"/>
        <w:ind w:firstLine="420"/>
        <w:rPr>
          <w:rFonts w:ascii="宋体" w:hAnsi="宋体"/>
          <w:szCs w:val="21"/>
        </w:rPr>
      </w:pPr>
      <w:r>
        <w:rPr>
          <w:rFonts w:hint="eastAsia" w:ascii="宋体" w:hAnsi="宋体" w:cs="宋体"/>
          <w:szCs w:val="21"/>
        </w:rPr>
        <w:t>③</w:t>
      </w:r>
      <w:r>
        <w:rPr>
          <w:rFonts w:hint="eastAsia" w:ascii="宋体" w:hAnsi="宋体"/>
          <w:szCs w:val="21"/>
        </w:rPr>
        <w:t>楼宇内垃圾桶由采购人一次性采购到位，物业合同期内有垃圾桶损坏或丢失的，由中标人出资统一维修或更换。更换的垃圾桶和校区提供的现有品牌、外观、规格、型号一致，品牌型号不</w:t>
      </w:r>
      <w:r>
        <w:rPr>
          <w:rFonts w:hint="eastAsia" w:ascii="宋体" w:hAnsi="宋体"/>
          <w:szCs w:val="21"/>
          <w:lang w:val="en-US" w:eastAsia="zh-CN"/>
        </w:rPr>
        <w:t>一</w:t>
      </w:r>
      <w:r>
        <w:rPr>
          <w:rFonts w:hint="eastAsia" w:ascii="宋体" w:hAnsi="宋体"/>
          <w:szCs w:val="21"/>
        </w:rPr>
        <w:t>致的须经采购人同意。</w:t>
      </w:r>
    </w:p>
    <w:p w14:paraId="19B4114A">
      <w:pPr>
        <w:widowControl/>
        <w:adjustRightInd w:val="0"/>
        <w:snapToGrid w:val="0"/>
        <w:spacing w:line="360" w:lineRule="auto"/>
        <w:ind w:firstLine="420"/>
        <w:rPr>
          <w:rFonts w:ascii="宋体" w:hAnsi="宋体"/>
          <w:szCs w:val="21"/>
        </w:rPr>
      </w:pPr>
      <w:r>
        <w:rPr>
          <w:rFonts w:hint="eastAsia" w:ascii="宋体" w:hAnsi="宋体" w:cs="宋体"/>
          <w:szCs w:val="21"/>
        </w:rPr>
        <w:t>④</w:t>
      </w:r>
      <w:r>
        <w:rPr>
          <w:rFonts w:hint="eastAsia" w:ascii="宋体" w:hAnsi="宋体"/>
          <w:szCs w:val="21"/>
        </w:rPr>
        <w:t>中标人提供本次招标范围内保洁服务所需的清洁设备、工具和耗材，其中耗材提供包括但不仅限于擦手纸（行政楼）、洗手液（行政楼）、垃圾袋、香氛替换装等消耗用品，提供的上述设备、工具和消耗品的品质不得低于校区现有品质。上述设备、材料和消耗品费用包含在投标价内。</w:t>
      </w:r>
    </w:p>
    <w:p w14:paraId="3A8FB7E9">
      <w:pPr>
        <w:widowControl/>
        <w:adjustRightInd w:val="0"/>
        <w:snapToGrid w:val="0"/>
        <w:spacing w:line="360" w:lineRule="auto"/>
        <w:ind w:firstLine="420" w:firstLineChars="200"/>
        <w:rPr>
          <w:rFonts w:ascii="宋体" w:hAnsi="宋体"/>
          <w:szCs w:val="21"/>
        </w:rPr>
      </w:pPr>
      <w:r>
        <w:rPr>
          <w:rFonts w:hint="eastAsia" w:ascii="宋体" w:hAnsi="宋体" w:cs="宋体"/>
          <w:szCs w:val="21"/>
        </w:rPr>
        <w:t>⑤</w:t>
      </w:r>
      <w:r>
        <w:rPr>
          <w:rFonts w:hint="eastAsia" w:ascii="宋体" w:hAnsi="宋体"/>
          <w:szCs w:val="21"/>
        </w:rPr>
        <w:t>行政楼室内绿植养护由中标人承担，绿植养护所需的设备、耗品、肥料等由中标人提供，绿植采购费由中标人负责。</w:t>
      </w:r>
    </w:p>
    <w:p w14:paraId="0A922C18">
      <w:pPr>
        <w:widowControl/>
        <w:adjustRightInd w:val="0"/>
        <w:snapToGrid w:val="0"/>
        <w:spacing w:line="360" w:lineRule="auto"/>
        <w:ind w:firstLine="420"/>
        <w:rPr>
          <w:rFonts w:ascii="宋体" w:hAnsi="宋体"/>
          <w:szCs w:val="21"/>
        </w:rPr>
      </w:pPr>
      <w:r>
        <w:rPr>
          <w:rFonts w:hint="eastAsia" w:ascii="宋体" w:hAnsi="宋体" w:cs="宋体"/>
          <w:szCs w:val="21"/>
        </w:rPr>
        <w:t>⑥</w:t>
      </w:r>
      <w:r>
        <w:rPr>
          <w:rFonts w:hint="eastAsia" w:ascii="宋体" w:hAnsi="宋体"/>
          <w:szCs w:val="21"/>
        </w:rPr>
        <w:t>电梯维保。本项目需提供维保服务的电梯共计64部，详见物业维保电梯清单。电梯的维保由中标人承担。电梯维保报价以月计单价，分年度按总计12个月总额计入投标报价。维保费用报价说明：</w:t>
      </w:r>
    </w:p>
    <w:p w14:paraId="35C04646">
      <w:pPr>
        <w:widowControl/>
        <w:adjustRightInd w:val="0"/>
        <w:snapToGrid w:val="0"/>
        <w:spacing w:line="360" w:lineRule="auto"/>
        <w:ind w:firstLine="424" w:firstLineChars="202"/>
        <w:rPr>
          <w:rFonts w:ascii="宋体" w:hAnsi="宋体"/>
          <w:szCs w:val="21"/>
        </w:rPr>
      </w:pPr>
      <w:r>
        <w:rPr>
          <w:rFonts w:hint="eastAsia" w:ascii="宋体" w:hAnsi="宋体"/>
          <w:szCs w:val="21"/>
        </w:rPr>
        <w:t>电梯维保单位服务内容包括对电梯正常使用条件下的全程维护、保养、维修及年检，免费更换非人为因素产生的故障而必须更换的各类零部件，其中含曳引机、线路板、曳引绳、变频器等四大件整装设备及内部器件单价在1万元以上的更换由采购方承担，更换部件需报主管部门登记确认，方可进行实施。非正常使用情况所造成的电梯损坏，维修费用由采购人承担。</w:t>
      </w:r>
    </w:p>
    <w:p w14:paraId="79CB470F">
      <w:pPr>
        <w:widowControl/>
        <w:adjustRightInd w:val="0"/>
        <w:snapToGrid w:val="0"/>
        <w:spacing w:line="360" w:lineRule="auto"/>
        <w:ind w:firstLine="420" w:firstLineChars="200"/>
        <w:rPr>
          <w:rFonts w:ascii="宋体" w:hAnsi="宋体"/>
          <w:szCs w:val="21"/>
        </w:rPr>
      </w:pPr>
      <w:r>
        <w:rPr>
          <w:rFonts w:hint="eastAsia" w:ascii="宋体" w:hAnsi="宋体" w:cs="宋体"/>
          <w:szCs w:val="21"/>
        </w:rPr>
        <w:t>⑦</w:t>
      </w:r>
      <w:r>
        <w:rPr>
          <w:rFonts w:hint="eastAsia" w:ascii="宋体" w:hAnsi="宋体"/>
          <w:szCs w:val="21"/>
        </w:rPr>
        <w:t>绿化养护。由养护范围、单列项目与暂定项目三个部分组成。一是养护范围内以等级划分面积计算，包含人工除草、整形修剪、病虫防治、施肥、花海播种以及防台支撑等日常养护；二是东湖天鹅喂养、湖面保洁两个单列项目，三是暂定项目包含时花、草花种子、有机肥及临时用工，以实际支出作为结算依据（新增或减少服务内容产生的费用在年度考核时按照投标相应总价据实调整）。</w:t>
      </w:r>
    </w:p>
    <w:p w14:paraId="2E8194B4">
      <w:pPr>
        <w:widowControl/>
        <w:adjustRightInd w:val="0"/>
        <w:snapToGrid w:val="0"/>
        <w:spacing w:line="360" w:lineRule="auto"/>
        <w:ind w:firstLine="420"/>
        <w:rPr>
          <w:rFonts w:ascii="宋体" w:hAnsi="宋体"/>
          <w:szCs w:val="21"/>
        </w:rPr>
      </w:pPr>
      <w:r>
        <w:rPr>
          <w:rFonts w:hint="eastAsia" w:ascii="宋体" w:hAnsi="宋体" w:cs="宋体"/>
          <w:szCs w:val="21"/>
        </w:rPr>
        <w:t>⑧</w:t>
      </w:r>
      <w:r>
        <w:rPr>
          <w:rFonts w:hint="eastAsia" w:ascii="宋体" w:hAnsi="宋体"/>
          <w:szCs w:val="21"/>
        </w:rPr>
        <w:t>实际启用楼宇物业楼宇面积（含新增或减少服务区域）偏差不超过招标文件中所列服务面积的5%，双方无权向对方提出任何异议及调整任何费用，超过5%时据实调整服务费用。新增或减少服务区域产生的费用在年度考核时按照投标相应单价据实调整。</w:t>
      </w:r>
    </w:p>
    <w:p w14:paraId="3391668A">
      <w:pPr>
        <w:widowControl/>
        <w:adjustRightInd w:val="0"/>
        <w:snapToGrid w:val="0"/>
        <w:spacing w:line="360" w:lineRule="auto"/>
        <w:ind w:firstLine="420" w:firstLineChars="200"/>
        <w:outlineLvl w:val="2"/>
        <w:rPr>
          <w:rFonts w:ascii="宋体" w:hAnsi="宋体"/>
          <w:szCs w:val="21"/>
        </w:rPr>
      </w:pPr>
      <w:r>
        <w:rPr>
          <w:rFonts w:hint="eastAsia" w:ascii="宋体" w:hAnsi="宋体"/>
          <w:szCs w:val="21"/>
        </w:rPr>
        <w:t>2.服务要点与主要服务内容说明</w:t>
      </w:r>
    </w:p>
    <w:p w14:paraId="209396E0">
      <w:pPr>
        <w:widowControl/>
        <w:adjustRightInd w:val="0"/>
        <w:snapToGrid w:val="0"/>
        <w:spacing w:line="360" w:lineRule="auto"/>
        <w:ind w:firstLine="424" w:firstLineChars="202"/>
        <w:outlineLvl w:val="3"/>
        <w:rPr>
          <w:rFonts w:ascii="宋体" w:hAnsi="宋体"/>
          <w:szCs w:val="21"/>
        </w:rPr>
      </w:pPr>
      <w:r>
        <w:rPr>
          <w:rFonts w:hint="eastAsia" w:ascii="宋体" w:hAnsi="宋体"/>
          <w:szCs w:val="21"/>
        </w:rPr>
        <w:t>（1）服务要点说明</w:t>
      </w:r>
    </w:p>
    <w:p w14:paraId="0FB6D570">
      <w:pPr>
        <w:widowControl/>
        <w:adjustRightInd w:val="0"/>
        <w:snapToGrid w:val="0"/>
        <w:spacing w:line="360" w:lineRule="auto"/>
        <w:ind w:firstLine="424" w:firstLineChars="202"/>
        <w:rPr>
          <w:rFonts w:ascii="宋体" w:hAnsi="宋体"/>
          <w:szCs w:val="21"/>
        </w:rPr>
      </w:pPr>
      <w:r>
        <w:rPr>
          <w:rFonts w:hint="eastAsia" w:ascii="宋体" w:hAnsi="宋体"/>
          <w:szCs w:val="21"/>
        </w:rPr>
        <w:t>为了保证日常卫生达标，中标人的保洁服务频率不得少于基础服务频率（详见物业服务标准），若在完成该频率的情况下，仍有不符合卫生服务标准的位置，则需要采取措施直到达到服务标准为止；此外，学校重大活动期间（如校庆、运动会、开学典礼和毕业典礼、毕业生退宿和新生入住、重大接待活动、重大检查活动等）中标人须根据活动的重大程度增加保洁服务频率或增加服务人员，达到卫生服务标准。</w:t>
      </w:r>
    </w:p>
    <w:p w14:paraId="7A636242">
      <w:pPr>
        <w:widowControl/>
        <w:adjustRightInd w:val="0"/>
        <w:snapToGrid w:val="0"/>
        <w:spacing w:line="360" w:lineRule="auto"/>
        <w:ind w:firstLine="420" w:firstLineChars="200"/>
        <w:rPr>
          <w:rFonts w:ascii="宋体" w:hAnsi="宋体"/>
          <w:szCs w:val="21"/>
        </w:rPr>
      </w:pPr>
      <w:r>
        <w:rPr>
          <w:rFonts w:hint="eastAsia" w:ascii="宋体" w:hAnsi="宋体" w:cs="宋体"/>
          <w:szCs w:val="21"/>
        </w:rPr>
        <w:t>①</w:t>
      </w:r>
      <w:r>
        <w:rPr>
          <w:rFonts w:hint="eastAsia" w:ascii="宋体" w:hAnsi="宋体"/>
          <w:szCs w:val="21"/>
        </w:rPr>
        <w:t>遇防汛、防灾或特殊情况，中标人全部工作人员应服从学校统一调度。遇特殊天气和特殊情况，应提前到岗或延迟离岗，保证学校正常运行。</w:t>
      </w:r>
    </w:p>
    <w:p w14:paraId="5667DEF8">
      <w:pPr>
        <w:widowControl/>
        <w:adjustRightInd w:val="0"/>
        <w:snapToGrid w:val="0"/>
        <w:spacing w:line="360" w:lineRule="auto"/>
        <w:ind w:left="424" w:leftChars="202"/>
        <w:rPr>
          <w:rFonts w:ascii="宋体" w:hAnsi="宋体"/>
          <w:szCs w:val="21"/>
        </w:rPr>
      </w:pPr>
      <w:r>
        <w:rPr>
          <w:rFonts w:hint="eastAsia" w:ascii="宋体" w:hAnsi="宋体" w:cs="宋体"/>
          <w:szCs w:val="21"/>
        </w:rPr>
        <w:t>②</w:t>
      </w:r>
      <w:r>
        <w:rPr>
          <w:rFonts w:hint="eastAsia" w:ascii="宋体" w:hAnsi="宋体"/>
          <w:szCs w:val="21"/>
        </w:rPr>
        <w:t>需中标人负责的维修维护服务范围及相关原则：</w:t>
      </w:r>
    </w:p>
    <w:p w14:paraId="2C2AFE0D">
      <w:pPr>
        <w:widowControl/>
        <w:adjustRightInd w:val="0"/>
        <w:snapToGrid w:val="0"/>
        <w:spacing w:line="360" w:lineRule="auto"/>
        <w:ind w:firstLine="420" w:firstLineChars="200"/>
        <w:rPr>
          <w:rFonts w:ascii="宋体" w:hAnsi="宋体"/>
          <w:szCs w:val="21"/>
        </w:rPr>
      </w:pPr>
      <w:r>
        <w:rPr>
          <w:rFonts w:hint="eastAsia" w:ascii="宋体" w:hAnsi="宋体"/>
          <w:szCs w:val="21"/>
        </w:rPr>
        <w:t>电梯设备：中标人负责专业维保和年检、故障维修、日常巡查、清洁保养、运行保养记录等相关工作，采购人协助做好相关工作；</w:t>
      </w:r>
    </w:p>
    <w:p w14:paraId="253D28DC">
      <w:pPr>
        <w:widowControl/>
        <w:adjustRightInd w:val="0"/>
        <w:snapToGrid w:val="0"/>
        <w:spacing w:line="360" w:lineRule="auto"/>
        <w:ind w:firstLine="420" w:firstLineChars="200"/>
        <w:rPr>
          <w:rFonts w:ascii="宋体" w:hAnsi="宋体"/>
          <w:szCs w:val="21"/>
        </w:rPr>
      </w:pPr>
      <w:r>
        <w:rPr>
          <w:rFonts w:hint="eastAsia" w:ascii="宋体" w:hAnsi="宋体"/>
          <w:szCs w:val="21"/>
        </w:rPr>
        <w:t>楼宇多媒体设备：中标人负责日常巡查、清洁、维护等日常管理，确保正常运行；专业维保服务由采购人负责，中标人协助做好相关工作。</w:t>
      </w:r>
    </w:p>
    <w:p w14:paraId="33004438">
      <w:pPr>
        <w:spacing w:line="360" w:lineRule="auto"/>
        <w:ind w:firstLine="420" w:firstLineChars="200"/>
        <w:outlineLvl w:val="3"/>
        <w:rPr>
          <w:rFonts w:ascii="宋体" w:hAnsi="宋体"/>
          <w:szCs w:val="21"/>
        </w:rPr>
      </w:pPr>
      <w:r>
        <w:rPr>
          <w:rFonts w:hint="eastAsia" w:ascii="宋体" w:hAnsi="宋体"/>
          <w:szCs w:val="21"/>
        </w:rPr>
        <w:t>（2）主要服务内容</w:t>
      </w:r>
    </w:p>
    <w:p w14:paraId="051EC809">
      <w:pPr>
        <w:spacing w:line="360" w:lineRule="auto"/>
        <w:ind w:firstLine="420"/>
        <w:rPr>
          <w:rFonts w:ascii="宋体" w:hAnsi="宋体"/>
          <w:szCs w:val="21"/>
        </w:rPr>
      </w:pPr>
      <w:r>
        <w:rPr>
          <w:rFonts w:hint="eastAsia" w:ascii="宋体" w:hAnsi="宋体" w:cs="宋体"/>
        </w:rPr>
        <w:t>①</w:t>
      </w:r>
      <w:r>
        <w:rPr>
          <w:rFonts w:hint="eastAsia" w:ascii="宋体" w:hAnsi="宋体"/>
          <w:szCs w:val="21"/>
        </w:rPr>
        <w:t>楼宇综合服务根据校区不同楼宇功能，按照行政楼、学院办公研究楼、教学楼、图书馆、实验楼和会务场所等，分别提供不同功能需求的楼宇综合物业服务。其中：</w:t>
      </w:r>
    </w:p>
    <w:p w14:paraId="6BE923A8">
      <w:pPr>
        <w:widowControl/>
        <w:snapToGrid w:val="0"/>
        <w:spacing w:line="360" w:lineRule="auto"/>
        <w:ind w:firstLine="424" w:firstLineChars="202"/>
        <w:rPr>
          <w:rFonts w:ascii="宋体" w:hAnsi="宋体"/>
          <w:szCs w:val="21"/>
        </w:rPr>
      </w:pPr>
      <w:r>
        <w:rPr>
          <w:rFonts w:hint="eastAsia" w:ascii="宋体" w:hAnsi="宋体"/>
          <w:szCs w:val="21"/>
        </w:rPr>
        <w:t>公共教学场所服务（教学楼1、2、3、4、5，衣锦主教学楼、衣锦东大楼、衣锦老图书馆，各学院楼教室等教学区域），根据校区对教学区域的服务要求，确保教学顺利进行。包括但不限于教学准备、设备调试、教学空间布置、教学楼公共服务、师生咨询、根据课表安排校区场所教务系统中对教室预约需求做好开关门和空间设施准备、多媒体设施巡检、考试配合等工作。</w:t>
      </w:r>
    </w:p>
    <w:p w14:paraId="1ED94264">
      <w:pPr>
        <w:spacing w:line="360" w:lineRule="auto"/>
        <w:ind w:firstLine="420"/>
        <w:rPr>
          <w:rFonts w:asciiTheme="minorEastAsia" w:hAnsiTheme="minorEastAsia" w:cstheme="minorEastAsia"/>
          <w:szCs w:val="21"/>
        </w:rPr>
      </w:pPr>
      <w:r>
        <w:rPr>
          <w:rFonts w:hint="eastAsia" w:ascii="宋体" w:hAnsi="宋体"/>
          <w:szCs w:val="21"/>
        </w:rPr>
        <w:t>卫生保洁服务根据物业标准负责物业范围内所有建筑内外（包含屋顶、地面、绿化带、楼道、走廊、扶手、卫生间、卫生器具、楼宇外墙或玻璃立面、室内外家具）的卫生保洁。做好生活垃圾</w:t>
      </w:r>
      <w:r>
        <w:rPr>
          <w:rFonts w:hint="eastAsia" w:asciiTheme="minorEastAsia" w:hAnsiTheme="minorEastAsia" w:cstheme="minorEastAsia"/>
          <w:szCs w:val="21"/>
        </w:rPr>
        <w:t>的清理及外运工作，配合做好生活垃圾分类与定点回收工作。行政楼卫生间放置擦手纸、洗手液，做好化粪池掏粪和清运等工作。</w:t>
      </w:r>
    </w:p>
    <w:p w14:paraId="7AF58661">
      <w:pPr>
        <w:widowControl/>
        <w:adjustRightInd w:val="0"/>
        <w:snapToGrid w:val="0"/>
        <w:spacing w:line="360" w:lineRule="auto"/>
        <w:ind w:firstLine="424" w:firstLineChars="202"/>
        <w:rPr>
          <w:rFonts w:asciiTheme="minorEastAsia" w:hAnsiTheme="minorEastAsia" w:cstheme="minorEastAsia"/>
          <w:szCs w:val="21"/>
        </w:rPr>
      </w:pPr>
      <w:r>
        <w:rPr>
          <w:rFonts w:hint="eastAsia" w:asciiTheme="minorEastAsia" w:hAnsiTheme="minorEastAsia" w:cstheme="minorEastAsia"/>
          <w:szCs w:val="21"/>
        </w:rPr>
        <w:t>电梯运行管理与专业维保；</w:t>
      </w:r>
    </w:p>
    <w:p w14:paraId="5F58CB9B">
      <w:pPr>
        <w:widowControl/>
        <w:adjustRightInd w:val="0"/>
        <w:snapToGrid w:val="0"/>
        <w:spacing w:line="360" w:lineRule="auto"/>
        <w:ind w:firstLine="424" w:firstLineChars="202"/>
        <w:rPr>
          <w:rFonts w:asciiTheme="minorEastAsia" w:hAnsiTheme="minorEastAsia" w:cstheme="minorEastAsia"/>
          <w:szCs w:val="21"/>
        </w:rPr>
      </w:pPr>
      <w:r>
        <w:rPr>
          <w:rFonts w:hint="eastAsia" w:asciiTheme="minorEastAsia" w:hAnsiTheme="minorEastAsia" w:cstheme="minorEastAsia"/>
          <w:szCs w:val="21"/>
        </w:rPr>
        <w:t>楼宇多媒体设备的日常巡检和运行使用管理，负责教室内多媒体的日常管理，专业设备的维保监管，日常活动的多媒体设备开关服务。</w:t>
      </w:r>
    </w:p>
    <w:p w14:paraId="49FA23B0">
      <w:pPr>
        <w:spacing w:line="360" w:lineRule="auto"/>
        <w:ind w:firstLine="420"/>
        <w:rPr>
          <w:rFonts w:asciiTheme="minorEastAsia" w:hAnsiTheme="minorEastAsia" w:cstheme="minorEastAsia"/>
          <w:szCs w:val="21"/>
        </w:rPr>
      </w:pPr>
      <w:r>
        <w:rPr>
          <w:rFonts w:hint="eastAsia" w:ascii="宋体" w:hAnsi="宋体" w:cs="宋体"/>
          <w:szCs w:val="21"/>
        </w:rPr>
        <w:t>②</w:t>
      </w:r>
      <w:r>
        <w:rPr>
          <w:rFonts w:hint="eastAsia" w:asciiTheme="minorEastAsia" w:hAnsiTheme="minorEastAsia" w:cstheme="minorEastAsia"/>
          <w:szCs w:val="21"/>
        </w:rPr>
        <w:t>绿化养护根据《园林绿化养护标准</w:t>
      </w:r>
      <w:r>
        <w:rPr>
          <w:rFonts w:asciiTheme="minorEastAsia" w:hAnsiTheme="minorEastAsia" w:cstheme="minorEastAsia"/>
          <w:szCs w:val="21"/>
        </w:rPr>
        <w:t xml:space="preserve"> CJJ/T287-2018》</w:t>
      </w:r>
      <w:r>
        <w:rPr>
          <w:rFonts w:hint="eastAsia" w:asciiTheme="minorEastAsia" w:hAnsiTheme="minorEastAsia" w:cstheme="minorEastAsia"/>
          <w:szCs w:val="21"/>
        </w:rPr>
        <w:t>和《浙江农林大学校园绿化养护管理标准与技术规程》负责校区范围内的绿化养护工作，包括东湖校区水域管理、黑天鹅喂养等；绿化养护队伍负责人应为园林绿化专业中级及以上职称，专业技术工种应包括绿化工、花卉工等。绿化养护须优先使用河水、湖水，干旱季节需经审批后使用自来水或消防水。</w:t>
      </w:r>
    </w:p>
    <w:p w14:paraId="45566E6B">
      <w:pPr>
        <w:pStyle w:val="350"/>
        <w:spacing w:line="360" w:lineRule="auto"/>
        <w:ind w:firstLine="480"/>
        <w:rPr>
          <w:rFonts w:asciiTheme="minorEastAsia" w:hAnsiTheme="minorEastAsia" w:cstheme="minorEastAsia"/>
          <w:color w:val="auto"/>
          <w:sz w:val="21"/>
          <w:szCs w:val="21"/>
        </w:rPr>
      </w:pPr>
      <w:r>
        <w:rPr>
          <w:rFonts w:hint="eastAsia" w:ascii="宋体" w:hAnsi="宋体" w:eastAsia="宋体" w:cs="宋体"/>
          <w:color w:val="auto"/>
          <w:sz w:val="21"/>
          <w:szCs w:val="21"/>
        </w:rPr>
        <w:t>③家具资产管理</w:t>
      </w:r>
    </w:p>
    <w:p w14:paraId="58205BB5">
      <w:pPr>
        <w:widowControl/>
        <w:adjustRightInd w:val="0"/>
        <w:snapToGrid w:val="0"/>
        <w:spacing w:line="360" w:lineRule="auto"/>
        <w:ind w:firstLine="424" w:firstLineChars="202"/>
        <w:rPr>
          <w:rFonts w:asciiTheme="minorEastAsia" w:hAnsiTheme="minorEastAsia" w:cstheme="minorEastAsia"/>
          <w:szCs w:val="21"/>
        </w:rPr>
      </w:pPr>
      <w:r>
        <w:rPr>
          <w:rFonts w:hint="eastAsia" w:asciiTheme="minorEastAsia" w:hAnsiTheme="minorEastAsia" w:cstheme="minorEastAsia"/>
          <w:szCs w:val="21"/>
        </w:rPr>
        <w:t>家具信息维护：协助学校做好家具资产信息的保管；</w:t>
      </w:r>
    </w:p>
    <w:p w14:paraId="2AAB2564">
      <w:pPr>
        <w:widowControl/>
        <w:adjustRightInd w:val="0"/>
        <w:snapToGrid w:val="0"/>
        <w:spacing w:line="360" w:lineRule="auto"/>
        <w:ind w:firstLine="424" w:firstLineChars="202"/>
        <w:rPr>
          <w:rFonts w:asciiTheme="minorEastAsia" w:hAnsiTheme="minorEastAsia" w:cstheme="minorEastAsia"/>
          <w:szCs w:val="21"/>
        </w:rPr>
      </w:pPr>
      <w:r>
        <w:rPr>
          <w:rFonts w:hint="eastAsia" w:asciiTheme="minorEastAsia" w:hAnsiTheme="minorEastAsia" w:cstheme="minorEastAsia"/>
          <w:szCs w:val="21"/>
        </w:rPr>
        <w:t>做好家具资产日常维护管理: 日常巡查、标签更换、日常报修；</w:t>
      </w:r>
    </w:p>
    <w:p w14:paraId="6332394E">
      <w:pPr>
        <w:widowControl/>
        <w:adjustRightInd w:val="0"/>
        <w:snapToGrid w:val="0"/>
        <w:spacing w:line="360" w:lineRule="auto"/>
        <w:ind w:firstLine="424" w:firstLineChars="202"/>
        <w:rPr>
          <w:rFonts w:asciiTheme="minorEastAsia" w:hAnsiTheme="minorEastAsia" w:cstheme="minorEastAsia"/>
          <w:szCs w:val="21"/>
        </w:rPr>
      </w:pPr>
      <w:r>
        <w:rPr>
          <w:rFonts w:hint="eastAsia" w:asciiTheme="minorEastAsia" w:hAnsiTheme="minorEastAsia" w:cstheme="minorEastAsia"/>
          <w:szCs w:val="21"/>
        </w:rPr>
        <w:t>其他家具资产管理和保管相关工作。</w:t>
      </w:r>
    </w:p>
    <w:p w14:paraId="6CBD08DC">
      <w:pPr>
        <w:pStyle w:val="350"/>
        <w:spacing w:line="360" w:lineRule="auto"/>
        <w:ind w:firstLine="480"/>
        <w:rPr>
          <w:rFonts w:asciiTheme="minorEastAsia" w:hAnsiTheme="minorEastAsia" w:cstheme="minorEastAsia"/>
          <w:color w:val="auto"/>
          <w:sz w:val="21"/>
          <w:szCs w:val="21"/>
        </w:rPr>
      </w:pPr>
      <w:r>
        <w:rPr>
          <w:rFonts w:hint="eastAsia" w:ascii="宋体" w:hAnsi="宋体" w:eastAsia="宋体" w:cs="宋体"/>
          <w:color w:val="auto"/>
          <w:sz w:val="21"/>
          <w:szCs w:val="21"/>
        </w:rPr>
        <w:t>④其他服务</w:t>
      </w:r>
    </w:p>
    <w:p w14:paraId="59E066C1">
      <w:pPr>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3.项目人员要求</w:t>
      </w:r>
    </w:p>
    <w:p w14:paraId="75662526">
      <w:pPr>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（1）项目人员岗位要求</w:t>
      </w:r>
    </w:p>
    <w:tbl>
      <w:tblPr>
        <w:tblStyle w:val="53"/>
        <w:tblpPr w:leftFromText="180" w:rightFromText="180" w:vertAnchor="text" w:horzAnchor="page" w:tblpX="1923" w:tblpY="465"/>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909"/>
      </w:tblGrid>
      <w:tr w14:paraId="1D63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0" w:type="dxa"/>
            <w:tcBorders>
              <w:top w:val="single" w:color="auto" w:sz="4" w:space="0"/>
              <w:left w:val="single" w:color="auto" w:sz="4" w:space="0"/>
              <w:bottom w:val="single" w:color="auto" w:sz="4" w:space="0"/>
              <w:right w:val="single" w:color="auto" w:sz="4" w:space="0"/>
            </w:tcBorders>
            <w:vAlign w:val="center"/>
          </w:tcPr>
          <w:p w14:paraId="5E5C0F41">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岗位名称</w:t>
            </w:r>
          </w:p>
        </w:tc>
        <w:tc>
          <w:tcPr>
            <w:tcW w:w="7909" w:type="dxa"/>
            <w:tcBorders>
              <w:top w:val="single" w:color="auto" w:sz="4" w:space="0"/>
              <w:left w:val="single" w:color="auto" w:sz="4" w:space="0"/>
              <w:bottom w:val="single" w:color="auto" w:sz="4" w:space="0"/>
              <w:right w:val="single" w:color="auto" w:sz="4" w:space="0"/>
            </w:tcBorders>
            <w:vAlign w:val="center"/>
          </w:tcPr>
          <w:p w14:paraId="004279CD">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岗位职责及任职要求</w:t>
            </w:r>
          </w:p>
        </w:tc>
      </w:tr>
      <w:tr w14:paraId="6EBB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5820849C">
            <w:pPr>
              <w:spacing w:line="360" w:lineRule="auto"/>
              <w:jc w:val="center"/>
              <w:rPr>
                <w:rFonts w:asciiTheme="minorEastAsia" w:hAnsiTheme="minorEastAsia" w:cstheme="minorEastAsia"/>
                <w:szCs w:val="21"/>
              </w:rPr>
            </w:pPr>
            <w:r>
              <w:rPr>
                <w:rFonts w:hint="eastAsia" w:asciiTheme="minorEastAsia" w:hAnsiTheme="minorEastAsia" w:cstheme="minorEastAsia"/>
                <w:sz w:val="21"/>
                <w:szCs w:val="21"/>
              </w:rPr>
              <w:t>楼宇环境绿化项目负责人</w:t>
            </w:r>
          </w:p>
        </w:tc>
        <w:tc>
          <w:tcPr>
            <w:tcW w:w="7909" w:type="dxa"/>
            <w:tcBorders>
              <w:top w:val="single" w:color="auto" w:sz="4" w:space="0"/>
              <w:left w:val="single" w:color="auto" w:sz="4" w:space="0"/>
              <w:bottom w:val="single" w:color="auto" w:sz="4" w:space="0"/>
              <w:right w:val="single" w:color="auto" w:sz="4" w:space="0"/>
            </w:tcBorders>
            <w:vAlign w:val="center"/>
          </w:tcPr>
          <w:p w14:paraId="2AAD5A61">
            <w:pPr>
              <w:spacing w:line="360" w:lineRule="auto"/>
              <w:rPr>
                <w:rFonts w:asciiTheme="minorEastAsia" w:hAnsiTheme="minorEastAsia" w:cstheme="minorEastAsia"/>
                <w:szCs w:val="21"/>
              </w:rPr>
            </w:pPr>
            <w:r>
              <w:rPr>
                <w:rFonts w:hint="eastAsia" w:asciiTheme="minorEastAsia" w:hAnsiTheme="minorEastAsia" w:cstheme="minorEastAsia"/>
                <w:szCs w:val="21"/>
              </w:rPr>
              <w:t>1.30-60周岁，性别不限，大专及以上学历；</w:t>
            </w:r>
          </w:p>
          <w:p w14:paraId="7DEE565D">
            <w:pPr>
              <w:spacing w:line="360" w:lineRule="auto"/>
              <w:rPr>
                <w:rFonts w:asciiTheme="minorEastAsia" w:hAnsiTheme="minorEastAsia" w:cstheme="minorEastAsia"/>
                <w:szCs w:val="21"/>
              </w:rPr>
            </w:pPr>
            <w:r>
              <w:rPr>
                <w:rFonts w:hint="eastAsia" w:asciiTheme="minorEastAsia" w:hAnsiTheme="minorEastAsia" w:cstheme="minorEastAsia"/>
                <w:szCs w:val="21"/>
              </w:rPr>
              <w:t>2.有较好的沟通管理能力；</w:t>
            </w:r>
          </w:p>
          <w:p w14:paraId="2F24C4D2">
            <w:pPr>
              <w:spacing w:line="360" w:lineRule="auto"/>
              <w:rPr>
                <w:rFonts w:asciiTheme="minorEastAsia" w:hAnsiTheme="minorEastAsia" w:cstheme="minorEastAsia"/>
                <w:szCs w:val="21"/>
              </w:rPr>
            </w:pPr>
            <w:r>
              <w:rPr>
                <w:rFonts w:hint="eastAsia" w:asciiTheme="minorEastAsia" w:hAnsiTheme="minorEastAsia" w:cstheme="minorEastAsia"/>
                <w:szCs w:val="21"/>
              </w:rPr>
              <w:t>3.政治素质好，业务能力强，工作责任感好，组织管理能力；</w:t>
            </w:r>
          </w:p>
          <w:p w14:paraId="7CC2C5A5">
            <w:pPr>
              <w:spacing w:line="360" w:lineRule="auto"/>
              <w:rPr>
                <w:rFonts w:asciiTheme="minorEastAsia" w:hAnsiTheme="minorEastAsia" w:cstheme="minorEastAsia"/>
                <w:szCs w:val="21"/>
              </w:rPr>
            </w:pPr>
            <w:r>
              <w:rPr>
                <w:rFonts w:hint="eastAsia" w:asciiTheme="minorEastAsia" w:hAnsiTheme="minorEastAsia" w:cstheme="minorEastAsia"/>
                <w:szCs w:val="21"/>
              </w:rPr>
              <w:t>4.有2年以上楼宇环境管理经历，熟悉物业管理有关法律法规；</w:t>
            </w:r>
          </w:p>
          <w:p w14:paraId="286C05C4">
            <w:pPr>
              <w:spacing w:line="360" w:lineRule="auto"/>
              <w:rPr>
                <w:rFonts w:asciiTheme="minorEastAsia" w:hAnsiTheme="minorEastAsia" w:cstheme="minorEastAsia"/>
                <w:szCs w:val="21"/>
              </w:rPr>
            </w:pPr>
            <w:r>
              <w:rPr>
                <w:rFonts w:hint="eastAsia" w:asciiTheme="minorEastAsia" w:hAnsiTheme="minorEastAsia" w:cstheme="minorEastAsia"/>
                <w:szCs w:val="21"/>
              </w:rPr>
              <w:t>5.全面负责楼宇、环境、绿化项目的各项管理工作。</w:t>
            </w:r>
          </w:p>
        </w:tc>
      </w:tr>
      <w:tr w14:paraId="5E08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1C7762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综合服务</w:t>
            </w:r>
          </w:p>
          <w:p w14:paraId="6B130BD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负责人</w:t>
            </w:r>
          </w:p>
          <w:p w14:paraId="36D4EBA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（楼宇环境绿化）</w:t>
            </w:r>
          </w:p>
        </w:tc>
        <w:tc>
          <w:tcPr>
            <w:tcW w:w="7909" w:type="dxa"/>
            <w:tcBorders>
              <w:top w:val="single" w:color="auto" w:sz="4" w:space="0"/>
              <w:left w:val="single" w:color="auto" w:sz="4" w:space="0"/>
              <w:bottom w:val="single" w:color="auto" w:sz="4" w:space="0"/>
              <w:right w:val="single" w:color="auto" w:sz="4" w:space="0"/>
            </w:tcBorders>
            <w:vAlign w:val="center"/>
          </w:tcPr>
          <w:p w14:paraId="41F8F07A">
            <w:pPr>
              <w:widowControl/>
              <w:numPr>
                <w:ilvl w:val="255"/>
                <w:numId w:val="0"/>
              </w:numPr>
              <w:spacing w:line="360" w:lineRule="auto"/>
              <w:jc w:val="left"/>
              <w:textAlignment w:val="center"/>
              <w:rPr>
                <w:rFonts w:ascii="宋体" w:hAnsi="宋体" w:cs="宋体"/>
                <w:szCs w:val="21"/>
              </w:rPr>
            </w:pPr>
            <w:r>
              <w:rPr>
                <w:rFonts w:hint="eastAsia" w:ascii="宋体" w:hAnsi="宋体" w:cs="宋体"/>
                <w:szCs w:val="21"/>
              </w:rPr>
              <w:t>1.28-55周岁，性别不限，本科及以上学历；</w:t>
            </w:r>
          </w:p>
          <w:p w14:paraId="3BC6CA06">
            <w:pPr>
              <w:widowControl/>
              <w:numPr>
                <w:ilvl w:val="255"/>
                <w:numId w:val="0"/>
              </w:numPr>
              <w:spacing w:line="360" w:lineRule="auto"/>
              <w:jc w:val="left"/>
              <w:textAlignment w:val="center"/>
              <w:rPr>
                <w:rFonts w:ascii="宋体" w:hAnsi="宋体" w:cs="宋体"/>
                <w:szCs w:val="21"/>
              </w:rPr>
            </w:pPr>
            <w:r>
              <w:rPr>
                <w:rFonts w:hint="eastAsia" w:ascii="宋体" w:hAnsi="宋体" w:cs="宋体"/>
                <w:szCs w:val="21"/>
              </w:rPr>
              <w:t>2.政治素质好，工作责任感好，具备团队合作精神；</w:t>
            </w:r>
          </w:p>
          <w:p w14:paraId="26F2D8E9">
            <w:pPr>
              <w:widowControl/>
              <w:numPr>
                <w:ilvl w:val="255"/>
                <w:numId w:val="0"/>
              </w:numPr>
              <w:spacing w:line="360" w:lineRule="auto"/>
              <w:jc w:val="left"/>
              <w:textAlignment w:val="center"/>
              <w:rPr>
                <w:rFonts w:ascii="宋体" w:hAnsi="宋体" w:cs="宋体"/>
                <w:szCs w:val="21"/>
              </w:rPr>
            </w:pPr>
            <w:r>
              <w:rPr>
                <w:rFonts w:hint="eastAsia" w:ascii="宋体" w:hAnsi="宋体" w:cs="宋体"/>
                <w:szCs w:val="21"/>
              </w:rPr>
              <w:t>3.有较好的文字功底，熟练使用办公软件；</w:t>
            </w:r>
          </w:p>
          <w:p w14:paraId="3EEF17D8">
            <w:pPr>
              <w:widowControl/>
              <w:numPr>
                <w:ilvl w:val="255"/>
                <w:numId w:val="0"/>
              </w:numPr>
              <w:spacing w:line="360" w:lineRule="auto"/>
              <w:jc w:val="left"/>
              <w:textAlignment w:val="center"/>
              <w:rPr>
                <w:rFonts w:asciiTheme="minorEastAsia" w:hAnsiTheme="minorEastAsia" w:cstheme="minorEastAsia"/>
                <w:szCs w:val="21"/>
              </w:rPr>
            </w:pPr>
            <w:r>
              <w:rPr>
                <w:rFonts w:hint="eastAsia" w:ascii="宋体" w:hAnsi="宋体" w:cs="宋体"/>
                <w:szCs w:val="21"/>
              </w:rPr>
              <w:t>4.</w:t>
            </w:r>
            <w:r>
              <w:rPr>
                <w:rFonts w:hint="eastAsia" w:asciiTheme="minorEastAsia" w:hAnsiTheme="minorEastAsia" w:cstheme="minorEastAsia"/>
                <w:szCs w:val="21"/>
              </w:rPr>
              <w:t>有2年以上后勤管理从业经历，2年以上办公室业务工作经验；</w:t>
            </w:r>
          </w:p>
          <w:p w14:paraId="508F108A">
            <w:pPr>
              <w:widowControl/>
              <w:numPr>
                <w:ilvl w:val="255"/>
                <w:numId w:val="0"/>
              </w:numPr>
              <w:spacing w:line="360" w:lineRule="auto"/>
              <w:jc w:val="left"/>
              <w:textAlignment w:val="center"/>
              <w:rPr>
                <w:rFonts w:asciiTheme="minorEastAsia" w:hAnsiTheme="minorEastAsia" w:cstheme="minorEastAsia"/>
                <w:szCs w:val="21"/>
              </w:rPr>
            </w:pPr>
            <w:r>
              <w:rPr>
                <w:rFonts w:hint="eastAsia" w:asciiTheme="minorEastAsia" w:hAnsiTheme="minorEastAsia" w:cstheme="minorEastAsia"/>
                <w:szCs w:val="21"/>
              </w:rPr>
              <w:t>5.</w:t>
            </w:r>
            <w:r>
              <w:rPr>
                <w:rFonts w:hint="eastAsia" w:asciiTheme="minorEastAsia" w:hAnsiTheme="minorEastAsia" w:cstheme="minorEastAsia"/>
                <w:kern w:val="0"/>
                <w:szCs w:val="21"/>
                <w:lang w:bidi="ar"/>
              </w:rPr>
              <w:t>协助项目负责人做好办公室的日常综合性事务工作。</w:t>
            </w:r>
          </w:p>
        </w:tc>
      </w:tr>
      <w:tr w14:paraId="47CC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tcBorders>
              <w:top w:val="single" w:color="auto" w:sz="4" w:space="0"/>
              <w:left w:val="single" w:color="auto" w:sz="4" w:space="0"/>
              <w:bottom w:val="single" w:color="auto" w:sz="4" w:space="0"/>
              <w:right w:val="single" w:color="auto" w:sz="4" w:space="0"/>
            </w:tcBorders>
            <w:vAlign w:val="center"/>
          </w:tcPr>
          <w:p w14:paraId="1CFEE5D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楼宇服务</w:t>
            </w:r>
          </w:p>
          <w:p w14:paraId="30B49B8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负责人</w:t>
            </w:r>
          </w:p>
        </w:tc>
        <w:tc>
          <w:tcPr>
            <w:tcW w:w="7909" w:type="dxa"/>
            <w:tcBorders>
              <w:top w:val="single" w:color="auto" w:sz="4" w:space="0"/>
              <w:left w:val="single" w:color="auto" w:sz="4" w:space="0"/>
              <w:bottom w:val="single" w:color="auto" w:sz="4" w:space="0"/>
              <w:right w:val="single" w:color="auto" w:sz="4" w:space="0"/>
            </w:tcBorders>
            <w:vAlign w:val="center"/>
          </w:tcPr>
          <w:p w14:paraId="762E5D7F">
            <w:pPr>
              <w:spacing w:line="360" w:lineRule="auto"/>
              <w:rPr>
                <w:rFonts w:asciiTheme="minorEastAsia" w:hAnsiTheme="minorEastAsia" w:cstheme="minorEastAsia"/>
                <w:szCs w:val="21"/>
              </w:rPr>
            </w:pPr>
            <w:r>
              <w:rPr>
                <w:rFonts w:hint="eastAsia" w:asciiTheme="minorEastAsia" w:hAnsiTheme="minorEastAsia" w:cstheme="minorEastAsia"/>
                <w:szCs w:val="21"/>
              </w:rPr>
              <w:t>1.25-60周岁，性别不限，大专及以上学历；</w:t>
            </w:r>
          </w:p>
          <w:p w14:paraId="42F3265C">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2.业务能力强，工作责任心强，具有较强的团结和组织能力，协调和沟通能力，有应对突发事件的反应和处置能力； </w:t>
            </w:r>
          </w:p>
          <w:p w14:paraId="466ADD65">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3.有楼宇相关管理经历、学生工作经历者优先考虑； </w:t>
            </w:r>
          </w:p>
          <w:p w14:paraId="6DBD838D">
            <w:pPr>
              <w:spacing w:line="360" w:lineRule="auto"/>
              <w:rPr>
                <w:rFonts w:asciiTheme="minorEastAsia" w:hAnsiTheme="minorEastAsia" w:cstheme="minorEastAsia"/>
                <w:szCs w:val="21"/>
              </w:rPr>
            </w:pPr>
            <w:r>
              <w:rPr>
                <w:rFonts w:hint="eastAsia" w:asciiTheme="minorEastAsia" w:hAnsiTheme="minorEastAsia" w:cstheme="minorEastAsia"/>
                <w:szCs w:val="21"/>
              </w:rPr>
              <w:t>4.有2年以上物业管理从业经历。</w:t>
            </w:r>
          </w:p>
          <w:p w14:paraId="0628681D">
            <w:pPr>
              <w:spacing w:line="360" w:lineRule="auto"/>
              <w:rPr>
                <w:rFonts w:asciiTheme="minorEastAsia" w:hAnsiTheme="minorEastAsia" w:cstheme="minorEastAsia"/>
                <w:szCs w:val="21"/>
              </w:rPr>
            </w:pPr>
            <w:r>
              <w:rPr>
                <w:rFonts w:hint="eastAsia" w:asciiTheme="minorEastAsia" w:hAnsiTheme="minorEastAsia" w:cstheme="minorEastAsia"/>
                <w:szCs w:val="21"/>
              </w:rPr>
              <w:t>5.协助项目负责人做好楼宇服务相关工作。</w:t>
            </w:r>
          </w:p>
        </w:tc>
      </w:tr>
      <w:tr w14:paraId="751F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3BC21EE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环境保洁</w:t>
            </w:r>
          </w:p>
          <w:p w14:paraId="22F8FE7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负责人</w:t>
            </w:r>
          </w:p>
        </w:tc>
        <w:tc>
          <w:tcPr>
            <w:tcW w:w="7909" w:type="dxa"/>
            <w:tcBorders>
              <w:top w:val="single" w:color="auto" w:sz="4" w:space="0"/>
              <w:left w:val="single" w:color="auto" w:sz="4" w:space="0"/>
              <w:bottom w:val="single" w:color="auto" w:sz="4" w:space="0"/>
              <w:right w:val="single" w:color="auto" w:sz="4" w:space="0"/>
            </w:tcBorders>
            <w:vAlign w:val="center"/>
          </w:tcPr>
          <w:p w14:paraId="323801A3">
            <w:pPr>
              <w:spacing w:line="360" w:lineRule="auto"/>
              <w:rPr>
                <w:rFonts w:ascii="宋体" w:hAnsi="宋体" w:cs="宋体"/>
                <w:szCs w:val="21"/>
              </w:rPr>
            </w:pPr>
            <w:r>
              <w:rPr>
                <w:rFonts w:hint="eastAsia" w:ascii="宋体" w:hAnsi="宋体" w:cs="宋体"/>
                <w:szCs w:val="21"/>
              </w:rPr>
              <w:t>1.28周岁-60周岁，性别不限，大专及以上学历；</w:t>
            </w:r>
          </w:p>
          <w:p w14:paraId="3503EF06">
            <w:pPr>
              <w:spacing w:line="360" w:lineRule="auto"/>
              <w:rPr>
                <w:rFonts w:ascii="宋体" w:hAnsi="宋体" w:cs="宋体"/>
                <w:szCs w:val="21"/>
              </w:rPr>
            </w:pPr>
            <w:r>
              <w:rPr>
                <w:rFonts w:hint="eastAsia" w:ascii="宋体" w:hAnsi="宋体" w:cs="宋体"/>
                <w:szCs w:val="21"/>
              </w:rPr>
              <w:t>2.吃苦耐劳，政治素质好，工作责任感好，具备团队合作精神；</w:t>
            </w:r>
          </w:p>
          <w:p w14:paraId="032DE7AD">
            <w:pPr>
              <w:spacing w:line="360" w:lineRule="auto"/>
              <w:rPr>
                <w:rFonts w:asciiTheme="minorEastAsia" w:hAnsiTheme="minorEastAsia" w:cstheme="minorEastAsia"/>
                <w:szCs w:val="21"/>
              </w:rPr>
            </w:pPr>
            <w:r>
              <w:rPr>
                <w:rFonts w:hint="eastAsia" w:ascii="宋体" w:hAnsi="宋体" w:cs="宋体"/>
                <w:szCs w:val="21"/>
              </w:rPr>
              <w:t>3.有2</w:t>
            </w:r>
            <w:r>
              <w:rPr>
                <w:rFonts w:hint="eastAsia" w:asciiTheme="minorEastAsia" w:hAnsiTheme="minorEastAsia" w:cstheme="minorEastAsia"/>
                <w:szCs w:val="21"/>
              </w:rPr>
              <w:t>年以上后勤管理从业经历；</w:t>
            </w:r>
          </w:p>
          <w:p w14:paraId="04857D5B">
            <w:pPr>
              <w:spacing w:line="360" w:lineRule="auto"/>
              <w:rPr>
                <w:rFonts w:asciiTheme="minorEastAsia" w:hAnsiTheme="minorEastAsia" w:cstheme="minorEastAsia"/>
                <w:szCs w:val="21"/>
              </w:rPr>
            </w:pPr>
            <w:r>
              <w:rPr>
                <w:rFonts w:hint="eastAsia" w:asciiTheme="minorEastAsia" w:hAnsiTheme="minorEastAsia" w:cstheme="minorEastAsia"/>
                <w:szCs w:val="21"/>
              </w:rPr>
              <w:t>4.协助项目负责人做好环境保洁相关工作。</w:t>
            </w:r>
          </w:p>
        </w:tc>
      </w:tr>
      <w:tr w14:paraId="06FB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1FCBF46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园林绿化</w:t>
            </w:r>
          </w:p>
          <w:p w14:paraId="08A058F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负责人</w:t>
            </w:r>
          </w:p>
        </w:tc>
        <w:tc>
          <w:tcPr>
            <w:tcW w:w="7909" w:type="dxa"/>
            <w:tcBorders>
              <w:top w:val="single" w:color="auto" w:sz="4" w:space="0"/>
              <w:left w:val="single" w:color="auto" w:sz="4" w:space="0"/>
              <w:bottom w:val="single" w:color="auto" w:sz="4" w:space="0"/>
              <w:right w:val="single" w:color="auto" w:sz="4" w:space="0"/>
            </w:tcBorders>
            <w:vAlign w:val="center"/>
          </w:tcPr>
          <w:p w14:paraId="362769FC">
            <w:pPr>
              <w:spacing w:line="360" w:lineRule="auto"/>
              <w:rPr>
                <w:rFonts w:asciiTheme="minorEastAsia" w:hAnsiTheme="minorEastAsia" w:cstheme="minorEastAsia"/>
                <w:szCs w:val="21"/>
              </w:rPr>
            </w:pPr>
            <w:r>
              <w:rPr>
                <w:rFonts w:asciiTheme="minorEastAsia" w:hAnsiTheme="minorEastAsia" w:cstheme="minorEastAsia"/>
                <w:szCs w:val="21"/>
              </w:rPr>
              <w:t>1.28-60</w:t>
            </w:r>
            <w:r>
              <w:rPr>
                <w:rFonts w:hint="eastAsia" w:asciiTheme="minorEastAsia" w:hAnsiTheme="minorEastAsia" w:cstheme="minorEastAsia"/>
                <w:szCs w:val="21"/>
              </w:rPr>
              <w:t>周岁，身体健康，相关专业本科及以上学历</w:t>
            </w:r>
            <w:r>
              <w:rPr>
                <w:rFonts w:asciiTheme="minorEastAsia" w:hAnsiTheme="minorEastAsia" w:cstheme="minorEastAsia"/>
                <w:szCs w:val="21"/>
              </w:rPr>
              <w:t xml:space="preserve">, </w:t>
            </w:r>
            <w:r>
              <w:rPr>
                <w:rFonts w:hint="eastAsia" w:asciiTheme="minorEastAsia" w:hAnsiTheme="minorEastAsia" w:cstheme="minorEastAsia"/>
                <w:szCs w:val="21"/>
              </w:rPr>
              <w:t>工程师（中级）及以上；</w:t>
            </w:r>
          </w:p>
          <w:p w14:paraId="152C77C4">
            <w:pPr>
              <w:spacing w:line="360" w:lineRule="auto"/>
              <w:rPr>
                <w:rFonts w:asciiTheme="minorEastAsia" w:hAnsiTheme="minorEastAsia" w:cstheme="minorEastAsia"/>
                <w:szCs w:val="21"/>
              </w:rPr>
            </w:pPr>
            <w:r>
              <w:rPr>
                <w:rFonts w:asciiTheme="minorEastAsia" w:hAnsiTheme="minorEastAsia" w:cstheme="minorEastAsia"/>
                <w:szCs w:val="21"/>
              </w:rPr>
              <w:t>2.至少2年以上绿化园林项目养护管理工作经验，独立承担绿化面积500亩及以上的管理养护项目业绩且有业主证明；</w:t>
            </w:r>
          </w:p>
          <w:p w14:paraId="3E6B0495">
            <w:pPr>
              <w:spacing w:line="360" w:lineRule="auto"/>
              <w:rPr>
                <w:rFonts w:asciiTheme="minorEastAsia" w:hAnsiTheme="minorEastAsia" w:cstheme="minorEastAsia"/>
                <w:szCs w:val="21"/>
              </w:rPr>
            </w:pPr>
            <w:r>
              <w:rPr>
                <w:rFonts w:asciiTheme="minorEastAsia" w:hAnsiTheme="minorEastAsia" w:cstheme="minorEastAsia"/>
                <w:szCs w:val="21"/>
              </w:rPr>
              <w:t>3.政治素质好，工作责任感好，具备团队合作精神</w:t>
            </w:r>
            <w:r>
              <w:rPr>
                <w:rFonts w:hint="eastAsia" w:asciiTheme="minorEastAsia" w:hAnsiTheme="minorEastAsia" w:cstheme="minorEastAsia"/>
                <w:szCs w:val="21"/>
              </w:rPr>
              <w:t>；</w:t>
            </w:r>
          </w:p>
          <w:p w14:paraId="456C9134">
            <w:pPr>
              <w:spacing w:line="360" w:lineRule="auto"/>
              <w:rPr>
                <w:rFonts w:asciiTheme="minorEastAsia" w:hAnsiTheme="minorEastAsia" w:cstheme="minorEastAsia"/>
                <w:szCs w:val="21"/>
              </w:rPr>
            </w:pPr>
            <w:r>
              <w:rPr>
                <w:rFonts w:asciiTheme="minorEastAsia" w:hAnsiTheme="minorEastAsia" w:cstheme="minorEastAsia"/>
                <w:szCs w:val="21"/>
              </w:rPr>
              <w:t>4.协助项目负责人做好园林绿化相关工作。</w:t>
            </w:r>
          </w:p>
        </w:tc>
      </w:tr>
      <w:tr w14:paraId="3B2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668F5E9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楼宇管理员</w:t>
            </w:r>
          </w:p>
        </w:tc>
        <w:tc>
          <w:tcPr>
            <w:tcW w:w="7909" w:type="dxa"/>
            <w:tcBorders>
              <w:top w:val="single" w:color="auto" w:sz="4" w:space="0"/>
              <w:left w:val="single" w:color="auto" w:sz="4" w:space="0"/>
              <w:bottom w:val="single" w:color="auto" w:sz="4" w:space="0"/>
              <w:right w:val="single" w:color="auto" w:sz="4" w:space="0"/>
            </w:tcBorders>
            <w:vAlign w:val="center"/>
          </w:tcPr>
          <w:p w14:paraId="1CF74624">
            <w:pPr>
              <w:spacing w:line="360" w:lineRule="auto"/>
              <w:rPr>
                <w:rFonts w:asciiTheme="minorEastAsia" w:hAnsiTheme="minorEastAsia" w:cstheme="minorEastAsia"/>
                <w:szCs w:val="21"/>
              </w:rPr>
            </w:pPr>
            <w:r>
              <w:rPr>
                <w:rFonts w:hint="eastAsia" w:asciiTheme="minorEastAsia" w:hAnsiTheme="minorEastAsia" w:cstheme="minorEastAsia"/>
                <w:szCs w:val="21"/>
              </w:rPr>
              <w:t>1.要求25-60周岁，性别不限，高中及以上学历；</w:t>
            </w:r>
          </w:p>
          <w:p w14:paraId="1C20A296">
            <w:pPr>
              <w:spacing w:line="360" w:lineRule="auto"/>
              <w:rPr>
                <w:rFonts w:asciiTheme="minorEastAsia" w:hAnsiTheme="minorEastAsia" w:cstheme="minorEastAsia"/>
                <w:szCs w:val="21"/>
              </w:rPr>
            </w:pPr>
            <w:r>
              <w:rPr>
                <w:rFonts w:hint="eastAsia" w:asciiTheme="minorEastAsia" w:hAnsiTheme="minorEastAsia" w:cstheme="minorEastAsia"/>
                <w:szCs w:val="21"/>
              </w:rPr>
              <w:t>2.有良好的沟通能力；</w:t>
            </w:r>
          </w:p>
          <w:p w14:paraId="059E8773">
            <w:pPr>
              <w:spacing w:line="360" w:lineRule="auto"/>
              <w:rPr>
                <w:rFonts w:asciiTheme="minorEastAsia" w:hAnsiTheme="minorEastAsia" w:cstheme="minorEastAsia"/>
                <w:szCs w:val="21"/>
              </w:rPr>
            </w:pPr>
            <w:r>
              <w:rPr>
                <w:rFonts w:hint="eastAsia" w:asciiTheme="minorEastAsia" w:hAnsiTheme="minorEastAsia" w:cstheme="minorEastAsia"/>
                <w:szCs w:val="21"/>
              </w:rPr>
              <w:t>3.主要负责各楼宇的综合服务协调；</w:t>
            </w:r>
          </w:p>
          <w:p w14:paraId="22C01789">
            <w:pPr>
              <w:spacing w:line="360" w:lineRule="auto"/>
              <w:rPr>
                <w:rFonts w:asciiTheme="minorEastAsia" w:hAnsiTheme="minorEastAsia" w:cstheme="minorEastAsia"/>
                <w:szCs w:val="21"/>
              </w:rPr>
            </w:pPr>
            <w:r>
              <w:rPr>
                <w:rFonts w:hint="eastAsia" w:asciiTheme="minorEastAsia" w:hAnsiTheme="minorEastAsia" w:cstheme="minorEastAsia"/>
                <w:szCs w:val="21"/>
              </w:rPr>
              <w:t>4.若有学校重大活动，双休日及假期均需无条件配合听从采购人指挥并在学校工作。</w:t>
            </w:r>
          </w:p>
        </w:tc>
      </w:tr>
      <w:tr w14:paraId="5494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tcBorders>
              <w:top w:val="single" w:color="auto" w:sz="4" w:space="0"/>
              <w:left w:val="single" w:color="auto" w:sz="4" w:space="0"/>
              <w:bottom w:val="single" w:color="auto" w:sz="4" w:space="0"/>
              <w:right w:val="single" w:color="auto" w:sz="4" w:space="0"/>
            </w:tcBorders>
            <w:vAlign w:val="center"/>
          </w:tcPr>
          <w:p w14:paraId="1C051F3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楼宇保洁员</w:t>
            </w:r>
          </w:p>
        </w:tc>
        <w:tc>
          <w:tcPr>
            <w:tcW w:w="7909" w:type="dxa"/>
            <w:tcBorders>
              <w:top w:val="single" w:color="auto" w:sz="4" w:space="0"/>
              <w:left w:val="single" w:color="auto" w:sz="4" w:space="0"/>
              <w:bottom w:val="single" w:color="auto" w:sz="4" w:space="0"/>
              <w:right w:val="single" w:color="auto" w:sz="4" w:space="0"/>
            </w:tcBorders>
            <w:vAlign w:val="center"/>
          </w:tcPr>
          <w:p w14:paraId="6BABBBAD">
            <w:pPr>
              <w:spacing w:line="360" w:lineRule="auto"/>
              <w:rPr>
                <w:rFonts w:asciiTheme="minorEastAsia" w:hAnsiTheme="minorEastAsia" w:cstheme="minorEastAsia"/>
                <w:szCs w:val="21"/>
              </w:rPr>
            </w:pPr>
            <w:r>
              <w:rPr>
                <w:rFonts w:hint="eastAsia" w:asciiTheme="minorEastAsia" w:hAnsiTheme="minorEastAsia" w:cstheme="minorEastAsia"/>
                <w:szCs w:val="21"/>
              </w:rPr>
              <w:t>1.60周岁以下，具有物业环境保洁工作经验。身体健康，无犯罪记录；</w:t>
            </w:r>
          </w:p>
          <w:p w14:paraId="7E3BC3FE">
            <w:pPr>
              <w:spacing w:line="360" w:lineRule="auto"/>
              <w:rPr>
                <w:rFonts w:asciiTheme="minorEastAsia" w:hAnsiTheme="minorEastAsia" w:cstheme="minorEastAsia"/>
                <w:szCs w:val="21"/>
              </w:rPr>
            </w:pPr>
            <w:r>
              <w:rPr>
                <w:rFonts w:hint="eastAsia" w:asciiTheme="minorEastAsia" w:hAnsiTheme="minorEastAsia" w:cstheme="minorEastAsia"/>
                <w:szCs w:val="21"/>
              </w:rPr>
              <w:t>2.负责楼宇相关区域的卫生保洁。</w:t>
            </w:r>
          </w:p>
        </w:tc>
      </w:tr>
      <w:tr w14:paraId="1FE9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73BC2FFE">
            <w:pPr>
              <w:jc w:val="center"/>
              <w:rPr>
                <w:rFonts w:ascii="宋体" w:hAnsi="宋体" w:cs="宋体"/>
                <w:szCs w:val="21"/>
              </w:rPr>
            </w:pPr>
            <w:r>
              <w:rPr>
                <w:rFonts w:hint="eastAsia" w:asciiTheme="minorEastAsia" w:hAnsiTheme="minorEastAsia" w:cstheme="minorEastAsia"/>
                <w:szCs w:val="21"/>
              </w:rPr>
              <w:t>电梯专管员</w:t>
            </w:r>
          </w:p>
        </w:tc>
        <w:tc>
          <w:tcPr>
            <w:tcW w:w="7909" w:type="dxa"/>
            <w:tcBorders>
              <w:top w:val="single" w:color="auto" w:sz="4" w:space="0"/>
              <w:left w:val="single" w:color="auto" w:sz="4" w:space="0"/>
              <w:bottom w:val="single" w:color="auto" w:sz="4" w:space="0"/>
              <w:right w:val="single" w:color="auto" w:sz="4" w:space="0"/>
            </w:tcBorders>
            <w:vAlign w:val="center"/>
          </w:tcPr>
          <w:p w14:paraId="6CF10789">
            <w:pPr>
              <w:spacing w:line="360" w:lineRule="auto"/>
              <w:rPr>
                <w:rFonts w:asciiTheme="minorEastAsia" w:hAnsiTheme="minorEastAsia" w:cstheme="minorEastAsia"/>
                <w:szCs w:val="21"/>
              </w:rPr>
            </w:pPr>
            <w:r>
              <w:rPr>
                <w:rFonts w:hint="eastAsia" w:asciiTheme="minorEastAsia" w:hAnsiTheme="minorEastAsia" w:cstheme="minorEastAsia"/>
                <w:szCs w:val="21"/>
              </w:rPr>
              <w:t>1.60周岁以下，身体健康，具有相应资格上岗证书；</w:t>
            </w:r>
          </w:p>
          <w:p w14:paraId="7ADFF284">
            <w:pPr>
              <w:spacing w:line="360" w:lineRule="auto"/>
              <w:rPr>
                <w:rFonts w:ascii="宋体" w:hAnsi="宋体" w:cs="宋体"/>
                <w:szCs w:val="21"/>
              </w:rPr>
            </w:pPr>
            <w:r>
              <w:rPr>
                <w:rFonts w:hint="eastAsia" w:asciiTheme="minorEastAsia" w:hAnsiTheme="minorEastAsia" w:cstheme="minorEastAsia"/>
                <w:szCs w:val="21"/>
              </w:rPr>
              <w:t>2.负责大楼内电梯的日常管理，确保正常、安全运行。</w:t>
            </w:r>
          </w:p>
        </w:tc>
      </w:tr>
      <w:tr w14:paraId="31E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21390C3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多媒体</w:t>
            </w:r>
          </w:p>
          <w:p w14:paraId="22A7C52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管理员</w:t>
            </w:r>
          </w:p>
        </w:tc>
        <w:tc>
          <w:tcPr>
            <w:tcW w:w="7909" w:type="dxa"/>
            <w:tcBorders>
              <w:top w:val="single" w:color="auto" w:sz="4" w:space="0"/>
              <w:left w:val="single" w:color="auto" w:sz="4" w:space="0"/>
              <w:bottom w:val="single" w:color="auto" w:sz="4" w:space="0"/>
              <w:right w:val="single" w:color="auto" w:sz="4" w:space="0"/>
            </w:tcBorders>
            <w:vAlign w:val="center"/>
          </w:tcPr>
          <w:p w14:paraId="36360D5E">
            <w:pPr>
              <w:spacing w:line="360" w:lineRule="auto"/>
              <w:rPr>
                <w:rFonts w:asciiTheme="minorEastAsia" w:hAnsiTheme="minorEastAsia" w:cstheme="minorEastAsia"/>
                <w:szCs w:val="21"/>
              </w:rPr>
            </w:pPr>
            <w:r>
              <w:rPr>
                <w:rFonts w:hint="eastAsia" w:asciiTheme="minorEastAsia" w:hAnsiTheme="minorEastAsia" w:cstheme="minorEastAsia"/>
                <w:szCs w:val="21"/>
              </w:rPr>
              <w:t>1.具备相关专业经验，有一定的相似工作经历；</w:t>
            </w:r>
          </w:p>
          <w:p w14:paraId="1EA76342">
            <w:pPr>
              <w:spacing w:line="360" w:lineRule="auto"/>
              <w:rPr>
                <w:rFonts w:asciiTheme="minorEastAsia" w:hAnsiTheme="minorEastAsia" w:cstheme="minorEastAsia"/>
                <w:szCs w:val="21"/>
              </w:rPr>
            </w:pPr>
            <w:r>
              <w:rPr>
                <w:rFonts w:hint="eastAsia" w:asciiTheme="minorEastAsia" w:hAnsiTheme="minorEastAsia" w:cstheme="minorEastAsia"/>
                <w:szCs w:val="21"/>
              </w:rPr>
              <w:t>2.协助采购人做好设施运行、维护相关技术工作；</w:t>
            </w:r>
          </w:p>
          <w:p w14:paraId="258C54A7">
            <w:pPr>
              <w:spacing w:line="360" w:lineRule="auto"/>
              <w:rPr>
                <w:rFonts w:asciiTheme="minorEastAsia" w:hAnsiTheme="minorEastAsia" w:cstheme="minorEastAsia"/>
                <w:szCs w:val="21"/>
              </w:rPr>
            </w:pPr>
            <w:r>
              <w:rPr>
                <w:rFonts w:hint="eastAsia" w:asciiTheme="minorEastAsia" w:hAnsiTheme="minorEastAsia" w:cstheme="minorEastAsia"/>
                <w:szCs w:val="21"/>
              </w:rPr>
              <w:t>3.负责保证教室等场所的灯光、音响、多媒体设备等正常运营，协助配合专业维保。</w:t>
            </w:r>
          </w:p>
        </w:tc>
      </w:tr>
      <w:tr w14:paraId="3C1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7BA438A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特种车辆驾驶员</w:t>
            </w:r>
          </w:p>
        </w:tc>
        <w:tc>
          <w:tcPr>
            <w:tcW w:w="7909" w:type="dxa"/>
            <w:tcBorders>
              <w:top w:val="single" w:color="auto" w:sz="4" w:space="0"/>
              <w:left w:val="single" w:color="auto" w:sz="4" w:space="0"/>
              <w:bottom w:val="single" w:color="auto" w:sz="4" w:space="0"/>
              <w:right w:val="single" w:color="auto" w:sz="4" w:space="0"/>
            </w:tcBorders>
            <w:vAlign w:val="center"/>
          </w:tcPr>
          <w:p w14:paraId="7C282360">
            <w:pPr>
              <w:spacing w:line="360" w:lineRule="auto"/>
              <w:rPr>
                <w:rFonts w:asciiTheme="minorEastAsia" w:hAnsiTheme="minorEastAsia" w:cstheme="minorEastAsia"/>
                <w:szCs w:val="21"/>
              </w:rPr>
            </w:pPr>
            <w:r>
              <w:rPr>
                <w:rFonts w:hint="eastAsia" w:asciiTheme="minorEastAsia" w:hAnsiTheme="minorEastAsia" w:cstheme="minorEastAsia"/>
                <w:szCs w:val="21"/>
              </w:rPr>
              <w:t>1.60周岁以下，身体健康，无犯罪记录；</w:t>
            </w:r>
          </w:p>
          <w:p w14:paraId="0721A448">
            <w:pPr>
              <w:spacing w:line="360" w:lineRule="auto"/>
              <w:rPr>
                <w:rFonts w:asciiTheme="minorEastAsia" w:hAnsiTheme="minorEastAsia" w:cstheme="minorEastAsia"/>
                <w:szCs w:val="21"/>
              </w:rPr>
            </w:pPr>
            <w:r>
              <w:rPr>
                <w:rFonts w:hint="eastAsia" w:asciiTheme="minorEastAsia" w:hAnsiTheme="minorEastAsia" w:cstheme="minorEastAsia"/>
                <w:szCs w:val="21"/>
              </w:rPr>
              <w:t>2.具有特种车辆驾驶证（驾驶证B照以上）；</w:t>
            </w:r>
          </w:p>
          <w:p w14:paraId="7FC3C26B">
            <w:pPr>
              <w:spacing w:line="360" w:lineRule="auto"/>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负责驾驶洒水车、扫地车等特种车辆。</w:t>
            </w:r>
          </w:p>
        </w:tc>
      </w:tr>
      <w:tr w14:paraId="0999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14:paraId="3CD5B10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环境保洁员</w:t>
            </w:r>
          </w:p>
        </w:tc>
        <w:tc>
          <w:tcPr>
            <w:tcW w:w="7909" w:type="dxa"/>
            <w:tcBorders>
              <w:top w:val="single" w:color="auto" w:sz="4" w:space="0"/>
              <w:left w:val="single" w:color="auto" w:sz="4" w:space="0"/>
              <w:bottom w:val="single" w:color="auto" w:sz="4" w:space="0"/>
              <w:right w:val="single" w:color="auto" w:sz="4" w:space="0"/>
            </w:tcBorders>
            <w:vAlign w:val="center"/>
          </w:tcPr>
          <w:p w14:paraId="3CCBA0F5">
            <w:pPr>
              <w:spacing w:line="360" w:lineRule="auto"/>
              <w:rPr>
                <w:rFonts w:asciiTheme="minorEastAsia" w:hAnsiTheme="minorEastAsia" w:cstheme="minorEastAsia"/>
                <w:szCs w:val="21"/>
              </w:rPr>
            </w:pPr>
            <w:r>
              <w:rPr>
                <w:rFonts w:hint="eastAsia" w:asciiTheme="minorEastAsia" w:hAnsiTheme="minorEastAsia" w:cstheme="minorEastAsia"/>
                <w:szCs w:val="21"/>
              </w:rPr>
              <w:t>1.65周岁以下，具有物业环境保洁工作经验。身体健康，无犯罪记录；</w:t>
            </w:r>
          </w:p>
          <w:p w14:paraId="3BD9A17E">
            <w:pPr>
              <w:spacing w:line="360" w:lineRule="auto"/>
              <w:rPr>
                <w:rFonts w:asciiTheme="minorEastAsia" w:hAnsiTheme="minorEastAsia" w:cstheme="minorEastAsia"/>
                <w:szCs w:val="21"/>
              </w:rPr>
            </w:pPr>
            <w:r>
              <w:rPr>
                <w:rFonts w:hint="eastAsia" w:asciiTheme="minorEastAsia" w:hAnsiTheme="minorEastAsia" w:cstheme="minorEastAsia"/>
                <w:szCs w:val="21"/>
              </w:rPr>
              <w:t>2.负责校园环境卫生保洁。</w:t>
            </w:r>
          </w:p>
        </w:tc>
      </w:tr>
      <w:tr w14:paraId="3787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00" w:type="dxa"/>
            <w:tcBorders>
              <w:top w:val="single" w:color="auto" w:sz="4" w:space="0"/>
              <w:left w:val="single" w:color="auto" w:sz="4" w:space="0"/>
              <w:bottom w:val="single" w:color="auto" w:sz="4" w:space="0"/>
              <w:right w:val="single" w:color="auto" w:sz="4" w:space="0"/>
            </w:tcBorders>
            <w:vAlign w:val="center"/>
          </w:tcPr>
          <w:p w14:paraId="64204ED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绿化工</w:t>
            </w:r>
          </w:p>
        </w:tc>
        <w:tc>
          <w:tcPr>
            <w:tcW w:w="7909" w:type="dxa"/>
            <w:tcBorders>
              <w:top w:val="single" w:color="auto" w:sz="4" w:space="0"/>
              <w:left w:val="single" w:color="auto" w:sz="4" w:space="0"/>
              <w:bottom w:val="single" w:color="auto" w:sz="4" w:space="0"/>
              <w:right w:val="single" w:color="auto" w:sz="4" w:space="0"/>
            </w:tcBorders>
            <w:vAlign w:val="center"/>
          </w:tcPr>
          <w:p w14:paraId="1A9436B5">
            <w:pPr>
              <w:spacing w:line="360" w:lineRule="auto"/>
              <w:rPr>
                <w:rFonts w:asciiTheme="minorEastAsia" w:hAnsiTheme="minorEastAsia" w:cstheme="minorEastAsia"/>
                <w:szCs w:val="21"/>
              </w:rPr>
            </w:pPr>
            <w:r>
              <w:rPr>
                <w:rFonts w:asciiTheme="minorEastAsia" w:hAnsiTheme="minorEastAsia" w:cstheme="minorEastAsia"/>
                <w:szCs w:val="21"/>
              </w:rPr>
              <w:t>1.65周岁及以下，身体健康，无犯罪记录</w:t>
            </w:r>
            <w:r>
              <w:rPr>
                <w:rFonts w:hint="eastAsia" w:asciiTheme="minorEastAsia" w:hAnsiTheme="minorEastAsia" w:cstheme="minorEastAsia"/>
                <w:szCs w:val="21"/>
              </w:rPr>
              <w:t>；</w:t>
            </w:r>
          </w:p>
          <w:p w14:paraId="5B2A05D2">
            <w:pPr>
              <w:spacing w:line="360" w:lineRule="auto"/>
              <w:rPr>
                <w:rFonts w:asciiTheme="minorEastAsia" w:hAnsiTheme="minorEastAsia" w:cstheme="minorEastAsia"/>
                <w:szCs w:val="21"/>
              </w:rPr>
            </w:pPr>
            <w:r>
              <w:rPr>
                <w:rFonts w:asciiTheme="minorEastAsia" w:hAnsiTheme="minorEastAsia" w:cstheme="minorEastAsia"/>
                <w:szCs w:val="21"/>
              </w:rPr>
              <w:t>2.做好校园绿化的具体工作。</w:t>
            </w:r>
          </w:p>
        </w:tc>
      </w:tr>
    </w:tbl>
    <w:p w14:paraId="1135DF69">
      <w:pPr>
        <w:pStyle w:val="6"/>
        <w:numPr>
          <w:ilvl w:val="3"/>
          <w:numId w:val="0"/>
        </w:numPr>
        <w:tabs>
          <w:tab w:val="left" w:pos="851"/>
        </w:tabs>
        <w:spacing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（2）人员最低配置</w:t>
      </w:r>
    </w:p>
    <w:tbl>
      <w:tblPr>
        <w:tblStyle w:val="5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4485"/>
        <w:gridCol w:w="2731"/>
      </w:tblGrid>
      <w:tr w14:paraId="5A62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C4A2AE4">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4485" w:type="dxa"/>
            <w:tcBorders>
              <w:top w:val="single" w:color="auto" w:sz="4" w:space="0"/>
              <w:left w:val="single" w:color="auto" w:sz="4" w:space="0"/>
              <w:bottom w:val="single" w:color="auto" w:sz="4" w:space="0"/>
              <w:right w:val="single" w:color="auto" w:sz="4" w:space="0"/>
            </w:tcBorders>
            <w:vAlign w:val="center"/>
          </w:tcPr>
          <w:p w14:paraId="420A5C74">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岗位</w:t>
            </w:r>
          </w:p>
        </w:tc>
        <w:tc>
          <w:tcPr>
            <w:tcW w:w="2731" w:type="dxa"/>
            <w:tcBorders>
              <w:top w:val="single" w:color="auto" w:sz="4" w:space="0"/>
              <w:left w:val="single" w:color="auto" w:sz="4" w:space="0"/>
              <w:bottom w:val="single" w:color="auto" w:sz="4" w:space="0"/>
              <w:right w:val="single" w:color="auto" w:sz="4" w:space="0"/>
            </w:tcBorders>
            <w:vAlign w:val="center"/>
          </w:tcPr>
          <w:p w14:paraId="23888990">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r>
      <w:tr w14:paraId="15F3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E2D3129">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4485" w:type="dxa"/>
            <w:tcBorders>
              <w:top w:val="single" w:color="auto" w:sz="4" w:space="0"/>
              <w:left w:val="single" w:color="auto" w:sz="4" w:space="0"/>
              <w:bottom w:val="single" w:color="auto" w:sz="4" w:space="0"/>
              <w:right w:val="single" w:color="auto" w:sz="4" w:space="0"/>
            </w:tcBorders>
            <w:vAlign w:val="center"/>
          </w:tcPr>
          <w:p w14:paraId="14D485E8">
            <w:pPr>
              <w:spacing w:line="420" w:lineRule="exact"/>
              <w:jc w:val="center"/>
              <w:rPr>
                <w:rFonts w:asciiTheme="minorEastAsia" w:hAnsiTheme="minorEastAsia" w:cstheme="minorEastAsia"/>
                <w:szCs w:val="21"/>
              </w:rPr>
            </w:pPr>
            <w:r>
              <w:rPr>
                <w:rFonts w:hint="eastAsia"/>
                <w:szCs w:val="21"/>
              </w:rPr>
              <w:t>楼宇、环境、绿化</w:t>
            </w:r>
            <w:r>
              <w:rPr>
                <w:rFonts w:hint="eastAsia" w:asciiTheme="minorEastAsia" w:hAnsiTheme="minorEastAsia" w:cstheme="minorEastAsia"/>
                <w:szCs w:val="21"/>
              </w:rPr>
              <w:t>项目负责人</w:t>
            </w:r>
          </w:p>
        </w:tc>
        <w:tc>
          <w:tcPr>
            <w:tcW w:w="2731" w:type="dxa"/>
            <w:tcBorders>
              <w:top w:val="single" w:color="auto" w:sz="4" w:space="0"/>
              <w:left w:val="single" w:color="auto" w:sz="4" w:space="0"/>
              <w:bottom w:val="single" w:color="auto" w:sz="4" w:space="0"/>
              <w:right w:val="single" w:color="auto" w:sz="4" w:space="0"/>
            </w:tcBorders>
            <w:vAlign w:val="center"/>
          </w:tcPr>
          <w:p w14:paraId="302C80DE">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25D0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D87DC8C">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4485" w:type="dxa"/>
            <w:tcBorders>
              <w:top w:val="single" w:color="auto" w:sz="4" w:space="0"/>
              <w:left w:val="single" w:color="auto" w:sz="4" w:space="0"/>
              <w:bottom w:val="single" w:color="auto" w:sz="4" w:space="0"/>
              <w:right w:val="single" w:color="auto" w:sz="4" w:space="0"/>
            </w:tcBorders>
            <w:vAlign w:val="center"/>
          </w:tcPr>
          <w:p w14:paraId="34E76766">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综合服务负责人（</w:t>
            </w:r>
            <w:r>
              <w:rPr>
                <w:rFonts w:hint="eastAsia"/>
                <w:szCs w:val="21"/>
              </w:rPr>
              <w:t>楼宇、环境、绿化管理</w:t>
            </w:r>
            <w:r>
              <w:rPr>
                <w:rFonts w:hint="eastAsia" w:asciiTheme="minorEastAsia" w:hAnsiTheme="minorEastAsia" w:cstheme="minorEastAsia"/>
                <w:szCs w:val="21"/>
              </w:rPr>
              <w:t>）</w:t>
            </w:r>
          </w:p>
        </w:tc>
        <w:tc>
          <w:tcPr>
            <w:tcW w:w="2731" w:type="dxa"/>
            <w:tcBorders>
              <w:top w:val="single" w:color="auto" w:sz="4" w:space="0"/>
              <w:left w:val="single" w:color="auto" w:sz="4" w:space="0"/>
              <w:bottom w:val="single" w:color="auto" w:sz="4" w:space="0"/>
              <w:right w:val="single" w:color="auto" w:sz="4" w:space="0"/>
            </w:tcBorders>
            <w:vAlign w:val="center"/>
          </w:tcPr>
          <w:p w14:paraId="31909854">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5A00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52686F0">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4485" w:type="dxa"/>
            <w:tcBorders>
              <w:top w:val="single" w:color="auto" w:sz="4" w:space="0"/>
              <w:left w:val="single" w:color="auto" w:sz="4" w:space="0"/>
              <w:bottom w:val="single" w:color="auto" w:sz="4" w:space="0"/>
              <w:right w:val="single" w:color="auto" w:sz="4" w:space="0"/>
            </w:tcBorders>
            <w:vAlign w:val="center"/>
          </w:tcPr>
          <w:p w14:paraId="59BCC2F8">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环境保洁负责人</w:t>
            </w:r>
          </w:p>
        </w:tc>
        <w:tc>
          <w:tcPr>
            <w:tcW w:w="2731" w:type="dxa"/>
            <w:tcBorders>
              <w:top w:val="single" w:color="auto" w:sz="4" w:space="0"/>
              <w:left w:val="single" w:color="auto" w:sz="4" w:space="0"/>
              <w:bottom w:val="single" w:color="auto" w:sz="4" w:space="0"/>
              <w:right w:val="single" w:color="auto" w:sz="4" w:space="0"/>
            </w:tcBorders>
            <w:vAlign w:val="center"/>
          </w:tcPr>
          <w:p w14:paraId="6B757201">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2D8B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CB4141F">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4485" w:type="dxa"/>
            <w:tcBorders>
              <w:top w:val="single" w:color="auto" w:sz="4" w:space="0"/>
              <w:left w:val="single" w:color="auto" w:sz="4" w:space="0"/>
              <w:bottom w:val="single" w:color="auto" w:sz="4" w:space="0"/>
              <w:right w:val="single" w:color="auto" w:sz="4" w:space="0"/>
            </w:tcBorders>
            <w:vAlign w:val="center"/>
          </w:tcPr>
          <w:p w14:paraId="742B063B">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楼宇服务负责人</w:t>
            </w:r>
          </w:p>
        </w:tc>
        <w:tc>
          <w:tcPr>
            <w:tcW w:w="2731" w:type="dxa"/>
            <w:tcBorders>
              <w:top w:val="single" w:color="auto" w:sz="4" w:space="0"/>
              <w:left w:val="single" w:color="auto" w:sz="4" w:space="0"/>
              <w:bottom w:val="single" w:color="auto" w:sz="4" w:space="0"/>
              <w:right w:val="single" w:color="auto" w:sz="4" w:space="0"/>
            </w:tcBorders>
            <w:vAlign w:val="center"/>
          </w:tcPr>
          <w:p w14:paraId="526F05B2">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14:paraId="7D6F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262DB47">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5</w:t>
            </w:r>
          </w:p>
        </w:tc>
        <w:tc>
          <w:tcPr>
            <w:tcW w:w="4485" w:type="dxa"/>
            <w:tcBorders>
              <w:top w:val="single" w:color="auto" w:sz="4" w:space="0"/>
              <w:left w:val="single" w:color="auto" w:sz="4" w:space="0"/>
              <w:bottom w:val="single" w:color="auto" w:sz="4" w:space="0"/>
              <w:right w:val="single" w:color="auto" w:sz="4" w:space="0"/>
            </w:tcBorders>
            <w:vAlign w:val="center"/>
          </w:tcPr>
          <w:p w14:paraId="6F690920">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园林绿化负责人</w:t>
            </w:r>
          </w:p>
        </w:tc>
        <w:tc>
          <w:tcPr>
            <w:tcW w:w="2731" w:type="dxa"/>
            <w:tcBorders>
              <w:top w:val="single" w:color="auto" w:sz="4" w:space="0"/>
              <w:left w:val="single" w:color="auto" w:sz="4" w:space="0"/>
              <w:bottom w:val="single" w:color="auto" w:sz="4" w:space="0"/>
              <w:right w:val="single" w:color="auto" w:sz="4" w:space="0"/>
            </w:tcBorders>
            <w:vAlign w:val="center"/>
          </w:tcPr>
          <w:p w14:paraId="1E9CB079">
            <w:pPr>
              <w:spacing w:line="420" w:lineRule="exact"/>
              <w:jc w:val="center"/>
              <w:rPr>
                <w:rFonts w:asciiTheme="minorEastAsia" w:hAnsiTheme="minorEastAsia" w:cstheme="minorEastAsia"/>
                <w:szCs w:val="21"/>
              </w:rPr>
            </w:pPr>
            <w:r>
              <w:rPr>
                <w:rFonts w:asciiTheme="minorEastAsia" w:hAnsiTheme="minorEastAsia" w:cstheme="minorEastAsia"/>
                <w:szCs w:val="21"/>
              </w:rPr>
              <w:t>1</w:t>
            </w:r>
          </w:p>
        </w:tc>
      </w:tr>
      <w:tr w14:paraId="26CA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41E6DB8D">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4485" w:type="dxa"/>
            <w:tcBorders>
              <w:top w:val="single" w:color="auto" w:sz="4" w:space="0"/>
              <w:left w:val="single" w:color="auto" w:sz="4" w:space="0"/>
              <w:bottom w:val="single" w:color="auto" w:sz="4" w:space="0"/>
              <w:right w:val="single" w:color="auto" w:sz="4" w:space="0"/>
            </w:tcBorders>
            <w:vAlign w:val="center"/>
          </w:tcPr>
          <w:p w14:paraId="74BF03DB">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楼宇管理员</w:t>
            </w:r>
          </w:p>
        </w:tc>
        <w:tc>
          <w:tcPr>
            <w:tcW w:w="2731" w:type="dxa"/>
            <w:tcBorders>
              <w:top w:val="single" w:color="auto" w:sz="4" w:space="0"/>
              <w:left w:val="single" w:color="auto" w:sz="4" w:space="0"/>
              <w:bottom w:val="single" w:color="auto" w:sz="4" w:space="0"/>
              <w:right w:val="single" w:color="auto" w:sz="4" w:space="0"/>
            </w:tcBorders>
            <w:vAlign w:val="center"/>
          </w:tcPr>
          <w:p w14:paraId="51DE6E73">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19</w:t>
            </w:r>
          </w:p>
        </w:tc>
      </w:tr>
      <w:tr w14:paraId="1E39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F66A57E">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7</w:t>
            </w:r>
          </w:p>
        </w:tc>
        <w:tc>
          <w:tcPr>
            <w:tcW w:w="4485" w:type="dxa"/>
            <w:tcBorders>
              <w:top w:val="single" w:color="auto" w:sz="4" w:space="0"/>
              <w:left w:val="single" w:color="auto" w:sz="4" w:space="0"/>
              <w:bottom w:val="single" w:color="auto" w:sz="4" w:space="0"/>
              <w:right w:val="single" w:color="auto" w:sz="4" w:space="0"/>
            </w:tcBorders>
            <w:vAlign w:val="center"/>
          </w:tcPr>
          <w:p w14:paraId="771AA425">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多媒体管理员</w:t>
            </w:r>
          </w:p>
        </w:tc>
        <w:tc>
          <w:tcPr>
            <w:tcW w:w="2731" w:type="dxa"/>
            <w:tcBorders>
              <w:top w:val="single" w:color="auto" w:sz="4" w:space="0"/>
              <w:left w:val="single" w:color="auto" w:sz="4" w:space="0"/>
              <w:bottom w:val="single" w:color="auto" w:sz="4" w:space="0"/>
              <w:right w:val="single" w:color="auto" w:sz="4" w:space="0"/>
            </w:tcBorders>
            <w:vAlign w:val="center"/>
          </w:tcPr>
          <w:p w14:paraId="4087F967">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18</w:t>
            </w:r>
          </w:p>
        </w:tc>
      </w:tr>
      <w:tr w14:paraId="5109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B433592">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8</w:t>
            </w:r>
          </w:p>
        </w:tc>
        <w:tc>
          <w:tcPr>
            <w:tcW w:w="4485" w:type="dxa"/>
            <w:tcBorders>
              <w:top w:val="single" w:color="auto" w:sz="4" w:space="0"/>
              <w:left w:val="single" w:color="auto" w:sz="4" w:space="0"/>
              <w:bottom w:val="single" w:color="auto" w:sz="4" w:space="0"/>
              <w:right w:val="single" w:color="auto" w:sz="4" w:space="0"/>
            </w:tcBorders>
            <w:vAlign w:val="center"/>
          </w:tcPr>
          <w:p w14:paraId="029858FD">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楼宇保洁员</w:t>
            </w:r>
          </w:p>
        </w:tc>
        <w:tc>
          <w:tcPr>
            <w:tcW w:w="2731" w:type="dxa"/>
            <w:tcBorders>
              <w:top w:val="single" w:color="auto" w:sz="4" w:space="0"/>
              <w:left w:val="single" w:color="auto" w:sz="4" w:space="0"/>
              <w:bottom w:val="single" w:color="auto" w:sz="4" w:space="0"/>
              <w:right w:val="single" w:color="auto" w:sz="4" w:space="0"/>
            </w:tcBorders>
            <w:vAlign w:val="center"/>
          </w:tcPr>
          <w:p w14:paraId="38A79A16">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75</w:t>
            </w:r>
          </w:p>
        </w:tc>
      </w:tr>
      <w:tr w14:paraId="13AD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5B283716">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9</w:t>
            </w:r>
          </w:p>
        </w:tc>
        <w:tc>
          <w:tcPr>
            <w:tcW w:w="4485" w:type="dxa"/>
            <w:tcBorders>
              <w:top w:val="single" w:color="auto" w:sz="4" w:space="0"/>
              <w:left w:val="single" w:color="auto" w:sz="4" w:space="0"/>
              <w:bottom w:val="single" w:color="auto" w:sz="4" w:space="0"/>
              <w:right w:val="single" w:color="auto" w:sz="4" w:space="0"/>
            </w:tcBorders>
            <w:vAlign w:val="center"/>
          </w:tcPr>
          <w:p w14:paraId="4BECE8AB">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电梯专管员</w:t>
            </w:r>
          </w:p>
        </w:tc>
        <w:tc>
          <w:tcPr>
            <w:tcW w:w="2731" w:type="dxa"/>
            <w:tcBorders>
              <w:top w:val="single" w:color="auto" w:sz="4" w:space="0"/>
              <w:left w:val="single" w:color="auto" w:sz="4" w:space="0"/>
              <w:bottom w:val="single" w:color="auto" w:sz="4" w:space="0"/>
              <w:right w:val="single" w:color="auto" w:sz="4" w:space="0"/>
            </w:tcBorders>
            <w:vAlign w:val="center"/>
          </w:tcPr>
          <w:p w14:paraId="1C2D670C">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574D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99E6835">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4485" w:type="dxa"/>
            <w:tcBorders>
              <w:top w:val="single" w:color="auto" w:sz="4" w:space="0"/>
              <w:left w:val="single" w:color="auto" w:sz="4" w:space="0"/>
              <w:bottom w:val="single" w:color="auto" w:sz="4" w:space="0"/>
              <w:right w:val="single" w:color="auto" w:sz="4" w:space="0"/>
            </w:tcBorders>
            <w:vAlign w:val="center"/>
          </w:tcPr>
          <w:p w14:paraId="4FC978DA">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环境保洁员</w:t>
            </w:r>
          </w:p>
        </w:tc>
        <w:tc>
          <w:tcPr>
            <w:tcW w:w="2731" w:type="dxa"/>
            <w:tcBorders>
              <w:top w:val="single" w:color="auto" w:sz="4" w:space="0"/>
              <w:left w:val="single" w:color="auto" w:sz="4" w:space="0"/>
              <w:bottom w:val="single" w:color="auto" w:sz="4" w:space="0"/>
              <w:right w:val="single" w:color="auto" w:sz="4" w:space="0"/>
            </w:tcBorders>
            <w:vAlign w:val="center"/>
          </w:tcPr>
          <w:p w14:paraId="041C800B">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20</w:t>
            </w:r>
          </w:p>
        </w:tc>
      </w:tr>
      <w:tr w14:paraId="08D3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C401FDA">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11</w:t>
            </w:r>
          </w:p>
        </w:tc>
        <w:tc>
          <w:tcPr>
            <w:tcW w:w="4485" w:type="dxa"/>
            <w:tcBorders>
              <w:top w:val="single" w:color="auto" w:sz="4" w:space="0"/>
              <w:left w:val="single" w:color="auto" w:sz="4" w:space="0"/>
              <w:bottom w:val="single" w:color="auto" w:sz="4" w:space="0"/>
              <w:right w:val="single" w:color="auto" w:sz="4" w:space="0"/>
            </w:tcBorders>
            <w:vAlign w:val="center"/>
          </w:tcPr>
          <w:p w14:paraId="425940A6">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特种车辆驾驶员</w:t>
            </w:r>
          </w:p>
        </w:tc>
        <w:tc>
          <w:tcPr>
            <w:tcW w:w="2731" w:type="dxa"/>
            <w:tcBorders>
              <w:top w:val="single" w:color="auto" w:sz="4" w:space="0"/>
              <w:left w:val="single" w:color="auto" w:sz="4" w:space="0"/>
              <w:bottom w:val="single" w:color="auto" w:sz="4" w:space="0"/>
              <w:right w:val="single" w:color="auto" w:sz="4" w:space="0"/>
            </w:tcBorders>
            <w:vAlign w:val="center"/>
          </w:tcPr>
          <w:p w14:paraId="195F9BF2">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47A2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07123E35">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4485" w:type="dxa"/>
            <w:tcBorders>
              <w:top w:val="single" w:color="auto" w:sz="4" w:space="0"/>
              <w:left w:val="single" w:color="auto" w:sz="4" w:space="0"/>
              <w:bottom w:val="single" w:color="auto" w:sz="4" w:space="0"/>
              <w:right w:val="single" w:color="auto" w:sz="4" w:space="0"/>
            </w:tcBorders>
            <w:vAlign w:val="center"/>
          </w:tcPr>
          <w:p w14:paraId="3D2DECCE">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绿化工</w:t>
            </w:r>
          </w:p>
        </w:tc>
        <w:tc>
          <w:tcPr>
            <w:tcW w:w="2731" w:type="dxa"/>
            <w:tcBorders>
              <w:top w:val="single" w:color="auto" w:sz="4" w:space="0"/>
              <w:left w:val="single" w:color="auto" w:sz="4" w:space="0"/>
              <w:bottom w:val="single" w:color="auto" w:sz="4" w:space="0"/>
              <w:right w:val="single" w:color="auto" w:sz="4" w:space="0"/>
            </w:tcBorders>
            <w:vAlign w:val="center"/>
          </w:tcPr>
          <w:p w14:paraId="633B91B0">
            <w:pPr>
              <w:spacing w:line="420" w:lineRule="exact"/>
              <w:jc w:val="center"/>
              <w:rPr>
                <w:rFonts w:asciiTheme="minorEastAsia" w:hAnsiTheme="minorEastAsia" w:cstheme="minorEastAsia"/>
                <w:szCs w:val="21"/>
              </w:rPr>
            </w:pPr>
            <w:r>
              <w:rPr>
                <w:rFonts w:asciiTheme="minorEastAsia" w:hAnsiTheme="minorEastAsia" w:cstheme="minorEastAsia"/>
                <w:szCs w:val="21"/>
              </w:rPr>
              <w:t>25</w:t>
            </w:r>
          </w:p>
        </w:tc>
      </w:tr>
      <w:tr w14:paraId="60FF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89" w:type="dxa"/>
            <w:gridSpan w:val="2"/>
            <w:tcBorders>
              <w:top w:val="single" w:color="auto" w:sz="4" w:space="0"/>
              <w:left w:val="single" w:color="auto" w:sz="4" w:space="0"/>
              <w:bottom w:val="single" w:color="auto" w:sz="4" w:space="0"/>
              <w:right w:val="single" w:color="auto" w:sz="4" w:space="0"/>
            </w:tcBorders>
            <w:vAlign w:val="center"/>
          </w:tcPr>
          <w:p w14:paraId="6625C851">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总计</w:t>
            </w:r>
          </w:p>
        </w:tc>
        <w:tc>
          <w:tcPr>
            <w:tcW w:w="2731" w:type="dxa"/>
            <w:tcBorders>
              <w:top w:val="single" w:color="auto" w:sz="4" w:space="0"/>
              <w:left w:val="single" w:color="auto" w:sz="4" w:space="0"/>
              <w:bottom w:val="single" w:color="auto" w:sz="4" w:space="0"/>
              <w:right w:val="single" w:color="auto" w:sz="4" w:space="0"/>
            </w:tcBorders>
            <w:vAlign w:val="center"/>
          </w:tcPr>
          <w:p w14:paraId="4A3790F3">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165</w:t>
            </w:r>
          </w:p>
        </w:tc>
      </w:tr>
    </w:tbl>
    <w:p w14:paraId="40A4FE55">
      <w:pPr>
        <w:spacing w:line="360" w:lineRule="auto"/>
        <w:ind w:firstLine="420" w:firstLineChars="200"/>
        <w:rPr>
          <w:rFonts w:asciiTheme="minorEastAsia" w:hAnsiTheme="minorEastAsia" w:cstheme="minorEastAsia"/>
          <w:szCs w:val="21"/>
        </w:rPr>
      </w:pPr>
    </w:p>
    <w:p w14:paraId="07BFA065">
      <w:pPr>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4.</w:t>
      </w:r>
      <w:r>
        <w:rPr>
          <w:rFonts w:hint="eastAsia"/>
          <w:szCs w:val="21"/>
        </w:rPr>
        <w:t>楼宇、环境、绿化</w:t>
      </w:r>
      <w:r>
        <w:rPr>
          <w:rFonts w:hint="eastAsia" w:asciiTheme="minorEastAsia" w:hAnsiTheme="minorEastAsia" w:cstheme="minorEastAsia"/>
          <w:szCs w:val="21"/>
        </w:rPr>
        <w:t>服务标准</w:t>
      </w:r>
    </w:p>
    <w:p w14:paraId="18DA36E4">
      <w:pPr>
        <w:pStyle w:val="350"/>
        <w:spacing w:line="360" w:lineRule="auto"/>
        <w:ind w:firstLine="420" w:firstLineChars="200"/>
        <w:outlineLvl w:val="3"/>
        <w:rPr>
          <w:rFonts w:ascii="宋体" w:hAnsi="宋体" w:eastAsia="宋体" w:cs="宋体"/>
          <w:color w:val="auto"/>
          <w:sz w:val="21"/>
          <w:szCs w:val="21"/>
        </w:rPr>
      </w:pPr>
      <w:r>
        <w:rPr>
          <w:rFonts w:hint="eastAsia" w:ascii="宋体" w:hAnsi="宋体" w:eastAsia="宋体" w:cs="宋体"/>
          <w:color w:val="auto"/>
          <w:sz w:val="21"/>
          <w:szCs w:val="21"/>
        </w:rPr>
        <w:t>（1）楼宇综合服务（除公寓外）</w:t>
      </w:r>
    </w:p>
    <w:tbl>
      <w:tblPr>
        <w:tblStyle w:val="53"/>
        <w:tblW w:w="906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7649"/>
      </w:tblGrid>
      <w:tr w14:paraId="1619A1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2" w:space="0"/>
              <w:right w:val="single" w:color="auto" w:sz="2" w:space="0"/>
            </w:tcBorders>
            <w:vAlign w:val="center"/>
          </w:tcPr>
          <w:p w14:paraId="072A3E02">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服务内容</w:t>
            </w:r>
          </w:p>
        </w:tc>
        <w:tc>
          <w:tcPr>
            <w:tcW w:w="7649" w:type="dxa"/>
            <w:tcBorders>
              <w:top w:val="single" w:color="auto" w:sz="4" w:space="0"/>
              <w:left w:val="single" w:color="auto" w:sz="2" w:space="0"/>
              <w:bottom w:val="single" w:color="auto" w:sz="2" w:space="0"/>
              <w:right w:val="single" w:color="auto" w:sz="4" w:space="0"/>
            </w:tcBorders>
            <w:vAlign w:val="center"/>
          </w:tcPr>
          <w:p w14:paraId="23A9CE08">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服务标准</w:t>
            </w:r>
          </w:p>
        </w:tc>
      </w:tr>
      <w:tr w14:paraId="16125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1418" w:type="dxa"/>
            <w:tcBorders>
              <w:top w:val="single" w:color="auto" w:sz="2" w:space="0"/>
              <w:left w:val="single" w:color="auto" w:sz="4" w:space="0"/>
              <w:bottom w:val="single" w:color="auto" w:sz="2" w:space="0"/>
              <w:right w:val="single" w:color="auto" w:sz="2" w:space="0"/>
            </w:tcBorders>
            <w:vAlign w:val="center"/>
          </w:tcPr>
          <w:p w14:paraId="37AD6DA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总体</w:t>
            </w:r>
          </w:p>
          <w:p w14:paraId="14AFE99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服务要求</w:t>
            </w:r>
          </w:p>
        </w:tc>
        <w:tc>
          <w:tcPr>
            <w:tcW w:w="7649" w:type="dxa"/>
            <w:tcBorders>
              <w:top w:val="single" w:color="auto" w:sz="2" w:space="0"/>
              <w:left w:val="single" w:color="auto" w:sz="2" w:space="0"/>
              <w:bottom w:val="single" w:color="auto" w:sz="2" w:space="0"/>
              <w:right w:val="single" w:color="auto" w:sz="4" w:space="0"/>
            </w:tcBorders>
            <w:vAlign w:val="center"/>
          </w:tcPr>
          <w:p w14:paraId="3962F9D4">
            <w:pPr>
              <w:spacing w:line="360" w:lineRule="auto"/>
              <w:ind w:left="23" w:leftChars="11"/>
              <w:rPr>
                <w:rFonts w:ascii="宋体" w:hAnsi="宋体" w:cs="宋体"/>
                <w:szCs w:val="21"/>
              </w:rPr>
            </w:pPr>
            <w:r>
              <w:rPr>
                <w:rFonts w:hint="eastAsia" w:ascii="宋体" w:hAnsi="宋体" w:cs="宋体"/>
                <w:szCs w:val="21"/>
              </w:rPr>
              <w:t>1.除特别说明外，所有楼宇均需要提供楼宇管理员服务。楼宇管理员是指定楼宇的物业界面的联络人，由其负责该楼宇内所有服务的统筹和协调，包括但不仅限于教学服务、环境清洁、安全巡视等；</w:t>
            </w:r>
          </w:p>
          <w:p w14:paraId="5347F52E">
            <w:pPr>
              <w:spacing w:line="360" w:lineRule="auto"/>
              <w:ind w:left="23" w:leftChars="11"/>
              <w:rPr>
                <w:rFonts w:ascii="宋体" w:hAnsi="宋体" w:cs="宋体"/>
                <w:szCs w:val="21"/>
              </w:rPr>
            </w:pPr>
            <w:r>
              <w:rPr>
                <w:rFonts w:hint="eastAsia" w:ascii="宋体" w:hAnsi="宋体" w:cs="宋体"/>
                <w:szCs w:val="21"/>
              </w:rPr>
              <w:t>2.楼宇管理员应熟悉楼内总体情况，并为师生提供服务与帮助。在工作时间的楼宇服务能够做到15分钟响应；</w:t>
            </w:r>
          </w:p>
          <w:p w14:paraId="76188045">
            <w:pPr>
              <w:spacing w:line="360" w:lineRule="auto"/>
              <w:ind w:left="23" w:leftChars="11"/>
              <w:rPr>
                <w:rFonts w:ascii="宋体" w:hAnsi="宋体" w:cs="宋体"/>
                <w:szCs w:val="21"/>
              </w:rPr>
            </w:pPr>
            <w:r>
              <w:rPr>
                <w:rFonts w:hint="eastAsia" w:ascii="宋体" w:hAnsi="宋体" w:cs="宋体"/>
                <w:szCs w:val="21"/>
              </w:rPr>
              <w:t>3.根据楼宇的不同使用功能，各楼宇的综合服务标准按楼宇功能不同执行以下各分项标准。</w:t>
            </w:r>
          </w:p>
        </w:tc>
      </w:tr>
      <w:tr w14:paraId="571EEE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418" w:type="dxa"/>
            <w:tcBorders>
              <w:top w:val="single" w:color="auto" w:sz="2" w:space="0"/>
              <w:left w:val="single" w:color="auto" w:sz="4" w:space="0"/>
              <w:bottom w:val="single" w:color="auto" w:sz="2" w:space="0"/>
              <w:right w:val="single" w:color="auto" w:sz="2" w:space="0"/>
            </w:tcBorders>
            <w:vAlign w:val="center"/>
          </w:tcPr>
          <w:p w14:paraId="03EDBB2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教学楼（教学楼1、2、3、4、5，衣锦主教学楼、衣锦东大楼、衣锦老图书馆，各学院楼教室）</w:t>
            </w:r>
          </w:p>
        </w:tc>
        <w:tc>
          <w:tcPr>
            <w:tcW w:w="7649" w:type="dxa"/>
            <w:tcBorders>
              <w:top w:val="single" w:color="auto" w:sz="2" w:space="0"/>
              <w:left w:val="single" w:color="auto" w:sz="2" w:space="0"/>
              <w:bottom w:val="single" w:color="auto" w:sz="2" w:space="0"/>
              <w:right w:val="single" w:color="auto" w:sz="4" w:space="0"/>
            </w:tcBorders>
            <w:vAlign w:val="center"/>
          </w:tcPr>
          <w:p w14:paraId="7F53DAFF">
            <w:pPr>
              <w:spacing w:line="360" w:lineRule="auto"/>
              <w:rPr>
                <w:rFonts w:asciiTheme="minorEastAsia" w:hAnsiTheme="minorEastAsia" w:cstheme="minorEastAsia"/>
                <w:szCs w:val="21"/>
              </w:rPr>
            </w:pPr>
            <w:r>
              <w:rPr>
                <w:rFonts w:hint="eastAsia" w:asciiTheme="minorEastAsia" w:hAnsiTheme="minorEastAsia" w:cstheme="minorEastAsia"/>
                <w:szCs w:val="21"/>
              </w:rPr>
              <w:t>1.管理员应熟悉教学服务需求，提供包括教学准备、设备调试、教学空间布置、教学楼公共服务、师生咨询等教学楼内发生的各类活动的支持服务；</w:t>
            </w:r>
          </w:p>
          <w:p w14:paraId="469994BF">
            <w:pPr>
              <w:spacing w:line="360" w:lineRule="auto"/>
              <w:rPr>
                <w:rFonts w:asciiTheme="minorEastAsia" w:hAnsiTheme="minorEastAsia" w:cstheme="minorEastAsia"/>
                <w:szCs w:val="21"/>
              </w:rPr>
            </w:pPr>
            <w:r>
              <w:rPr>
                <w:rFonts w:hint="eastAsia" w:asciiTheme="minorEastAsia" w:hAnsiTheme="minorEastAsia" w:cstheme="minorEastAsia"/>
                <w:szCs w:val="21"/>
              </w:rPr>
              <w:t>2.应积极与任课教师、助教沟通，了解他们的需求，并协助作好教学；</w:t>
            </w:r>
          </w:p>
          <w:p w14:paraId="7799CDB0">
            <w:pPr>
              <w:spacing w:line="360" w:lineRule="auto"/>
              <w:rPr>
                <w:rFonts w:asciiTheme="minorEastAsia" w:hAnsiTheme="minorEastAsia" w:cstheme="minorEastAsia"/>
                <w:szCs w:val="21"/>
              </w:rPr>
            </w:pPr>
            <w:r>
              <w:rPr>
                <w:rFonts w:hint="eastAsia" w:asciiTheme="minorEastAsia" w:hAnsiTheme="minorEastAsia" w:cstheme="minorEastAsia"/>
                <w:szCs w:val="21"/>
              </w:rPr>
              <w:t>3.协调督促落实楼宇内维修、清卫、照明、空调运营与日常维护工作，保证楼环宇境整洁有序、设备运行良好；</w:t>
            </w:r>
          </w:p>
          <w:p w14:paraId="4C2D0FB3">
            <w:pPr>
              <w:spacing w:line="360" w:lineRule="auto"/>
              <w:rPr>
                <w:rFonts w:asciiTheme="minorEastAsia" w:hAnsiTheme="minorEastAsia" w:cstheme="minorEastAsia"/>
                <w:szCs w:val="21"/>
              </w:rPr>
            </w:pPr>
            <w:r>
              <w:rPr>
                <w:rFonts w:hint="eastAsia" w:asciiTheme="minorEastAsia" w:hAnsiTheme="minorEastAsia" w:cstheme="minorEastAsia"/>
                <w:szCs w:val="21"/>
              </w:rPr>
              <w:t>4.根据课表安排以及教务系统中对教室的预约需求做好开关门和空间设施准备；</w:t>
            </w:r>
          </w:p>
          <w:p w14:paraId="267B1CB3">
            <w:pPr>
              <w:spacing w:line="360" w:lineRule="auto"/>
              <w:rPr>
                <w:rFonts w:asciiTheme="minorEastAsia" w:hAnsiTheme="minorEastAsia" w:cstheme="minorEastAsia"/>
                <w:szCs w:val="21"/>
              </w:rPr>
            </w:pPr>
            <w:r>
              <w:rPr>
                <w:rFonts w:hint="eastAsia" w:asciiTheme="minorEastAsia" w:hAnsiTheme="minorEastAsia" w:cstheme="minorEastAsia"/>
                <w:szCs w:val="21"/>
              </w:rPr>
              <w:t>5.协助负责处理师生遇到的日常系统使用问题；针对无法解决的问题及时协同学校处理，保障教学过程正常开展；</w:t>
            </w:r>
          </w:p>
          <w:p w14:paraId="1AF8FF62">
            <w:pPr>
              <w:spacing w:line="360" w:lineRule="auto"/>
              <w:rPr>
                <w:rFonts w:asciiTheme="minorEastAsia" w:hAnsiTheme="minorEastAsia" w:cstheme="minorEastAsia"/>
                <w:szCs w:val="21"/>
              </w:rPr>
            </w:pPr>
            <w:r>
              <w:rPr>
                <w:rFonts w:hint="eastAsia" w:asciiTheme="minorEastAsia" w:hAnsiTheme="minorEastAsia" w:cstheme="minorEastAsia"/>
                <w:szCs w:val="21"/>
              </w:rPr>
              <w:t>6.协助教学多媒体设备日常巡检，针对巡检发现的问题须第一时间上报学校处理，跟进处理结果，保障教学多媒体使用体验；</w:t>
            </w:r>
          </w:p>
          <w:p w14:paraId="3E951698">
            <w:pPr>
              <w:spacing w:line="360" w:lineRule="auto"/>
              <w:rPr>
                <w:rFonts w:asciiTheme="minorEastAsia" w:hAnsiTheme="minorEastAsia" w:cstheme="minorEastAsia"/>
                <w:szCs w:val="21"/>
              </w:rPr>
            </w:pPr>
            <w:r>
              <w:rPr>
                <w:rFonts w:hint="eastAsia" w:asciiTheme="minorEastAsia" w:hAnsiTheme="minorEastAsia" w:cstheme="minorEastAsia"/>
                <w:szCs w:val="21"/>
              </w:rPr>
              <w:t>7.根据课程安排、考试安排等调整桌椅布局；</w:t>
            </w:r>
          </w:p>
          <w:p w14:paraId="69610654">
            <w:pPr>
              <w:spacing w:line="360" w:lineRule="auto"/>
              <w:rPr>
                <w:rFonts w:asciiTheme="minorEastAsia" w:hAnsiTheme="minorEastAsia" w:cstheme="minorEastAsia"/>
                <w:szCs w:val="21"/>
              </w:rPr>
            </w:pPr>
            <w:r>
              <w:rPr>
                <w:rFonts w:hint="eastAsia" w:asciiTheme="minorEastAsia" w:hAnsiTheme="minorEastAsia" w:cstheme="minorEastAsia"/>
                <w:szCs w:val="21"/>
              </w:rPr>
              <w:t>8.协助校区做好楼内设备设施清点、家具配置登记与巡检、建筑空间信息整理、标识标牌整理等工作；</w:t>
            </w:r>
          </w:p>
          <w:p w14:paraId="546A7DB8">
            <w:pPr>
              <w:spacing w:line="360" w:lineRule="auto"/>
              <w:rPr>
                <w:rFonts w:asciiTheme="minorEastAsia" w:hAnsiTheme="minorEastAsia" w:cstheme="minorEastAsia"/>
                <w:szCs w:val="21"/>
              </w:rPr>
            </w:pPr>
            <w:r>
              <w:rPr>
                <w:rFonts w:hint="eastAsia" w:asciiTheme="minorEastAsia" w:hAnsiTheme="minorEastAsia" w:cstheme="minorEastAsia"/>
                <w:szCs w:val="21"/>
              </w:rPr>
              <w:t>9.做好教师休息室相关服务，包括茶水、办公设备等服务；</w:t>
            </w:r>
          </w:p>
          <w:p w14:paraId="3FD24124">
            <w:pPr>
              <w:spacing w:line="360" w:lineRule="auto"/>
              <w:rPr>
                <w:rFonts w:asciiTheme="minorEastAsia" w:hAnsiTheme="minorEastAsia" w:cstheme="minorEastAsia"/>
                <w:szCs w:val="21"/>
              </w:rPr>
            </w:pPr>
            <w:r>
              <w:rPr>
                <w:rFonts w:hint="eastAsia" w:asciiTheme="minorEastAsia" w:hAnsiTheme="minorEastAsia" w:cstheme="minorEastAsia"/>
                <w:szCs w:val="21"/>
              </w:rPr>
              <w:t>10.了解师生对教学设施、教学空间与教学服务的意见建议并向学校反馈。</w:t>
            </w:r>
          </w:p>
        </w:tc>
      </w:tr>
      <w:tr w14:paraId="2C979F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1418" w:type="dxa"/>
            <w:tcBorders>
              <w:top w:val="single" w:color="auto" w:sz="2" w:space="0"/>
              <w:left w:val="single" w:color="auto" w:sz="4" w:space="0"/>
              <w:bottom w:val="single" w:color="auto" w:sz="2" w:space="0"/>
              <w:right w:val="single" w:color="auto" w:sz="2" w:space="0"/>
            </w:tcBorders>
            <w:vAlign w:val="center"/>
          </w:tcPr>
          <w:p w14:paraId="442F7CA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行政楼</w:t>
            </w:r>
          </w:p>
        </w:tc>
        <w:tc>
          <w:tcPr>
            <w:tcW w:w="7649" w:type="dxa"/>
            <w:tcBorders>
              <w:top w:val="single" w:color="auto" w:sz="2" w:space="0"/>
              <w:left w:val="single" w:color="auto" w:sz="2" w:space="0"/>
              <w:bottom w:val="single" w:color="auto" w:sz="2" w:space="0"/>
              <w:right w:val="single" w:color="auto" w:sz="4" w:space="0"/>
            </w:tcBorders>
            <w:vAlign w:val="center"/>
          </w:tcPr>
          <w:p w14:paraId="5F6424D3">
            <w:pPr>
              <w:spacing w:line="360" w:lineRule="auto"/>
              <w:rPr>
                <w:rFonts w:asciiTheme="minorEastAsia" w:hAnsiTheme="minorEastAsia" w:cstheme="minorEastAsia"/>
                <w:szCs w:val="21"/>
              </w:rPr>
            </w:pPr>
            <w:r>
              <w:rPr>
                <w:rFonts w:hint="eastAsia" w:asciiTheme="minorEastAsia" w:hAnsiTheme="minorEastAsia" w:cstheme="minorEastAsia"/>
                <w:szCs w:val="21"/>
              </w:rPr>
              <w:t>1.管理员应熟悉楼宇内服务对象，了解楼宇内服务对象需求，提供相应的服务流程，积极主动和服务对象沟通，接受咨询并提供帮助；</w:t>
            </w:r>
          </w:p>
          <w:p w14:paraId="36A5BA88">
            <w:pPr>
              <w:spacing w:line="360" w:lineRule="auto"/>
              <w:rPr>
                <w:rFonts w:asciiTheme="minorEastAsia" w:hAnsiTheme="minorEastAsia" w:cstheme="minorEastAsia"/>
                <w:szCs w:val="21"/>
              </w:rPr>
            </w:pPr>
            <w:r>
              <w:rPr>
                <w:rFonts w:hint="eastAsia" w:asciiTheme="minorEastAsia" w:hAnsiTheme="minorEastAsia" w:cstheme="minorEastAsia"/>
                <w:szCs w:val="21"/>
              </w:rPr>
              <w:t>2.协调督促落实楼宇内维修、清卫、照明等日常维护工作，保证楼环宇境整洁有序、设备运行良好；</w:t>
            </w:r>
          </w:p>
          <w:p w14:paraId="3E8A3144">
            <w:pPr>
              <w:spacing w:line="360" w:lineRule="auto"/>
              <w:rPr>
                <w:rFonts w:asciiTheme="minorEastAsia" w:hAnsiTheme="minorEastAsia" w:cstheme="minorEastAsia"/>
                <w:szCs w:val="21"/>
              </w:rPr>
            </w:pPr>
            <w:r>
              <w:rPr>
                <w:rFonts w:hint="eastAsia" w:asciiTheme="minorEastAsia" w:hAnsiTheme="minorEastAsia" w:cstheme="minorEastAsia"/>
                <w:szCs w:val="21"/>
              </w:rPr>
              <w:t>3.做好植物花盆的摆放和更换维护；</w:t>
            </w:r>
          </w:p>
          <w:p w14:paraId="0E231183">
            <w:pPr>
              <w:spacing w:line="360" w:lineRule="auto"/>
              <w:rPr>
                <w:rFonts w:asciiTheme="minorEastAsia" w:hAnsiTheme="minorEastAsia" w:cstheme="minorEastAsia"/>
                <w:szCs w:val="21"/>
              </w:rPr>
            </w:pPr>
            <w:r>
              <w:rPr>
                <w:rFonts w:hint="eastAsia" w:asciiTheme="minorEastAsia" w:hAnsiTheme="minorEastAsia" w:cstheme="minorEastAsia"/>
                <w:szCs w:val="21"/>
              </w:rPr>
              <w:t>4.协助维持楼宇秩序。</w:t>
            </w:r>
          </w:p>
        </w:tc>
      </w:tr>
      <w:tr w14:paraId="1E855A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5" w:hRule="atLeast"/>
          <w:jc w:val="center"/>
        </w:trPr>
        <w:tc>
          <w:tcPr>
            <w:tcW w:w="1418" w:type="dxa"/>
            <w:tcBorders>
              <w:top w:val="single" w:color="auto" w:sz="2" w:space="0"/>
              <w:left w:val="single" w:color="auto" w:sz="4" w:space="0"/>
              <w:bottom w:val="single" w:color="auto" w:sz="2" w:space="0"/>
              <w:right w:val="single" w:color="auto" w:sz="2" w:space="0"/>
            </w:tcBorders>
            <w:vAlign w:val="center"/>
          </w:tcPr>
          <w:p w14:paraId="03957F5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学院楼、各类科研平台办公大楼</w:t>
            </w:r>
          </w:p>
        </w:tc>
        <w:tc>
          <w:tcPr>
            <w:tcW w:w="7649" w:type="dxa"/>
            <w:tcBorders>
              <w:top w:val="single" w:color="auto" w:sz="2" w:space="0"/>
              <w:left w:val="single" w:color="auto" w:sz="2" w:space="0"/>
              <w:bottom w:val="single" w:color="auto" w:sz="2" w:space="0"/>
              <w:right w:val="single" w:color="auto" w:sz="4" w:space="0"/>
            </w:tcBorders>
            <w:vAlign w:val="center"/>
          </w:tcPr>
          <w:p w14:paraId="3904725F">
            <w:pPr>
              <w:spacing w:line="360" w:lineRule="auto"/>
              <w:rPr>
                <w:rFonts w:asciiTheme="minorEastAsia" w:hAnsiTheme="minorEastAsia" w:cstheme="minorEastAsia"/>
                <w:szCs w:val="21"/>
              </w:rPr>
            </w:pPr>
            <w:r>
              <w:rPr>
                <w:rFonts w:hint="eastAsia" w:asciiTheme="minorEastAsia" w:hAnsiTheme="minorEastAsia" w:cstheme="minorEastAsia"/>
                <w:szCs w:val="21"/>
              </w:rPr>
              <w:t>1.管理员应熟悉楼宇内服务对象，了解楼宇内服务对象的需求，提供相应的服务流程，积极主动和服务对象沟通，接受咨询并提供帮助；</w:t>
            </w:r>
          </w:p>
          <w:p w14:paraId="2B41713E">
            <w:pPr>
              <w:spacing w:line="360" w:lineRule="auto"/>
              <w:rPr>
                <w:rFonts w:asciiTheme="minorEastAsia" w:hAnsiTheme="minorEastAsia" w:cstheme="minorEastAsia"/>
                <w:szCs w:val="21"/>
              </w:rPr>
            </w:pPr>
            <w:r>
              <w:rPr>
                <w:rFonts w:hint="eastAsia" w:asciiTheme="minorEastAsia" w:hAnsiTheme="minorEastAsia" w:cstheme="minorEastAsia"/>
                <w:szCs w:val="21"/>
              </w:rPr>
              <w:t>2.协调督促落实楼宇内维修、清卫、照明与日常维护工作，保证楼环宇境整洁有序、设备运行良好；</w:t>
            </w:r>
          </w:p>
          <w:p w14:paraId="46CEBA84">
            <w:pPr>
              <w:spacing w:line="360" w:lineRule="auto"/>
              <w:rPr>
                <w:rFonts w:asciiTheme="minorEastAsia" w:hAnsiTheme="minorEastAsia" w:cstheme="minorEastAsia"/>
                <w:szCs w:val="21"/>
              </w:rPr>
            </w:pPr>
            <w:r>
              <w:rPr>
                <w:rFonts w:hint="eastAsia" w:asciiTheme="minorEastAsia" w:hAnsiTheme="minorEastAsia" w:cstheme="minorEastAsia"/>
                <w:szCs w:val="21"/>
              </w:rPr>
              <w:t>3.协助维持楼宇秩序。</w:t>
            </w:r>
          </w:p>
          <w:p w14:paraId="5D2BA800">
            <w:pPr>
              <w:pStyle w:val="350"/>
              <w:spacing w:line="360" w:lineRule="auto"/>
              <w:rPr>
                <w:rFonts w:asciiTheme="minorEastAsia" w:hAnsiTheme="minorEastAsia" w:cstheme="minorEastAsia"/>
                <w:color w:val="auto"/>
                <w:sz w:val="21"/>
                <w:szCs w:val="21"/>
              </w:rPr>
            </w:pPr>
          </w:p>
        </w:tc>
      </w:tr>
      <w:tr w14:paraId="47A03D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1418" w:type="dxa"/>
            <w:tcBorders>
              <w:top w:val="single" w:color="auto" w:sz="2" w:space="0"/>
              <w:left w:val="single" w:color="auto" w:sz="4" w:space="0"/>
              <w:bottom w:val="single" w:color="auto" w:sz="2" w:space="0"/>
              <w:right w:val="single" w:color="auto" w:sz="2" w:space="0"/>
            </w:tcBorders>
            <w:vAlign w:val="center"/>
          </w:tcPr>
          <w:p w14:paraId="25EAC46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图书馆</w:t>
            </w:r>
          </w:p>
        </w:tc>
        <w:tc>
          <w:tcPr>
            <w:tcW w:w="7649" w:type="dxa"/>
            <w:tcBorders>
              <w:top w:val="single" w:color="auto" w:sz="2" w:space="0"/>
              <w:left w:val="single" w:color="auto" w:sz="2" w:space="0"/>
              <w:bottom w:val="single" w:color="auto" w:sz="2" w:space="0"/>
              <w:right w:val="single" w:color="auto" w:sz="4" w:space="0"/>
            </w:tcBorders>
            <w:vAlign w:val="center"/>
          </w:tcPr>
          <w:p w14:paraId="7CA50634">
            <w:pPr>
              <w:spacing w:line="360" w:lineRule="auto"/>
              <w:rPr>
                <w:rFonts w:asciiTheme="minorEastAsia" w:hAnsiTheme="minorEastAsia" w:cstheme="minorEastAsia"/>
                <w:szCs w:val="21"/>
              </w:rPr>
            </w:pPr>
            <w:r>
              <w:rPr>
                <w:rFonts w:hint="eastAsia" w:asciiTheme="minorEastAsia" w:hAnsiTheme="minorEastAsia" w:cstheme="minorEastAsia"/>
                <w:szCs w:val="21"/>
              </w:rPr>
              <w:t>1.管理员应熟悉图书馆需求，提供相应的服务流程，积极主动和服务对象沟通，接受咨询并提供帮助；</w:t>
            </w:r>
          </w:p>
          <w:p w14:paraId="7894C019">
            <w:pPr>
              <w:spacing w:line="360" w:lineRule="auto"/>
              <w:rPr>
                <w:rFonts w:asciiTheme="minorEastAsia" w:hAnsiTheme="minorEastAsia" w:cstheme="minorEastAsia"/>
                <w:szCs w:val="21"/>
              </w:rPr>
            </w:pPr>
            <w:r>
              <w:rPr>
                <w:rFonts w:hint="eastAsia" w:asciiTheme="minorEastAsia" w:hAnsiTheme="minorEastAsia" w:cstheme="minorEastAsia"/>
                <w:szCs w:val="21"/>
              </w:rPr>
              <w:t>2.协调督促落实楼宇内维修、清卫、照明、基础设备维修与日常维护工作，保证楼环宇境整洁有序、设备运行良好。</w:t>
            </w:r>
          </w:p>
        </w:tc>
      </w:tr>
    </w:tbl>
    <w:p w14:paraId="38546A3F">
      <w:pPr>
        <w:widowControl/>
        <w:adjustRightInd w:val="0"/>
        <w:snapToGrid w:val="0"/>
        <w:spacing w:line="360" w:lineRule="auto"/>
        <w:ind w:firstLine="420" w:firstLineChars="200"/>
        <w:jc w:val="left"/>
        <w:outlineLvl w:val="3"/>
        <w:rPr>
          <w:rFonts w:asciiTheme="minorEastAsia" w:hAnsiTheme="minorEastAsia" w:cstheme="minorEastAsia"/>
          <w:szCs w:val="21"/>
        </w:rPr>
      </w:pPr>
      <w:r>
        <w:rPr>
          <w:rFonts w:hint="eastAsia" w:asciiTheme="minorEastAsia" w:hAnsiTheme="minorEastAsia" w:cstheme="minorEastAsia"/>
          <w:szCs w:val="21"/>
        </w:rPr>
        <w:t>（2）卫生保洁服务</w:t>
      </w:r>
    </w:p>
    <w:tbl>
      <w:tblPr>
        <w:tblStyle w:val="53"/>
        <w:tblW w:w="9662" w:type="dxa"/>
        <w:jc w:val="center"/>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47"/>
        <w:gridCol w:w="2055"/>
        <w:gridCol w:w="3045"/>
        <w:gridCol w:w="3615"/>
      </w:tblGrid>
      <w:tr w14:paraId="512FD7C3">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947" w:type="dxa"/>
            <w:tcBorders>
              <w:top w:val="single" w:color="auto" w:sz="4" w:space="0"/>
              <w:left w:val="single" w:color="auto" w:sz="2" w:space="0"/>
              <w:bottom w:val="single" w:color="auto" w:sz="2" w:space="0"/>
              <w:right w:val="single" w:color="auto" w:sz="2" w:space="0"/>
            </w:tcBorders>
            <w:vAlign w:val="center"/>
          </w:tcPr>
          <w:p w14:paraId="1F94D3E3">
            <w:pPr>
              <w:adjustRightInd w:val="0"/>
              <w:snapToGrid w:val="0"/>
              <w:spacing w:line="460" w:lineRule="exact"/>
              <w:jc w:val="center"/>
              <w:rPr>
                <w:rFonts w:asciiTheme="minorEastAsia" w:hAnsiTheme="minorEastAsia" w:cstheme="minorEastAsia"/>
                <w:szCs w:val="21"/>
              </w:rPr>
            </w:pPr>
            <w:r>
              <w:rPr>
                <w:rFonts w:hint="eastAsia" w:asciiTheme="minorEastAsia" w:hAnsiTheme="minorEastAsia" w:cstheme="minorEastAsia"/>
                <w:szCs w:val="21"/>
              </w:rPr>
              <w:t>项目</w:t>
            </w:r>
          </w:p>
        </w:tc>
        <w:tc>
          <w:tcPr>
            <w:tcW w:w="2055" w:type="dxa"/>
            <w:tcBorders>
              <w:top w:val="single" w:color="auto" w:sz="4" w:space="0"/>
              <w:left w:val="single" w:color="auto" w:sz="2" w:space="0"/>
              <w:bottom w:val="single" w:color="auto" w:sz="2" w:space="0"/>
              <w:right w:val="single" w:color="auto" w:sz="2" w:space="0"/>
            </w:tcBorders>
            <w:vAlign w:val="center"/>
          </w:tcPr>
          <w:p w14:paraId="69B55DDA">
            <w:pPr>
              <w:adjustRightInd w:val="0"/>
              <w:snapToGrid w:val="0"/>
              <w:spacing w:line="460" w:lineRule="exact"/>
              <w:jc w:val="center"/>
              <w:rPr>
                <w:rFonts w:asciiTheme="minorEastAsia" w:hAnsiTheme="minorEastAsia" w:cstheme="minorEastAsia"/>
                <w:szCs w:val="21"/>
              </w:rPr>
            </w:pPr>
            <w:r>
              <w:rPr>
                <w:rFonts w:hint="eastAsia" w:asciiTheme="minorEastAsia" w:hAnsiTheme="minorEastAsia" w:cstheme="minorEastAsia"/>
                <w:szCs w:val="21"/>
              </w:rPr>
              <w:t>保洁范围</w:t>
            </w:r>
          </w:p>
        </w:tc>
        <w:tc>
          <w:tcPr>
            <w:tcW w:w="3045" w:type="dxa"/>
            <w:tcBorders>
              <w:top w:val="single" w:color="auto" w:sz="4" w:space="0"/>
              <w:left w:val="single" w:color="auto" w:sz="2" w:space="0"/>
              <w:bottom w:val="single" w:color="auto" w:sz="2" w:space="0"/>
              <w:right w:val="single" w:color="auto" w:sz="2" w:space="0"/>
            </w:tcBorders>
            <w:vAlign w:val="center"/>
          </w:tcPr>
          <w:p w14:paraId="2287324F">
            <w:pPr>
              <w:adjustRightInd w:val="0"/>
              <w:snapToGrid w:val="0"/>
              <w:spacing w:line="460" w:lineRule="exact"/>
              <w:jc w:val="center"/>
              <w:rPr>
                <w:rFonts w:asciiTheme="minorEastAsia" w:hAnsiTheme="minorEastAsia" w:cstheme="minorEastAsia"/>
                <w:szCs w:val="21"/>
              </w:rPr>
            </w:pPr>
            <w:r>
              <w:rPr>
                <w:rFonts w:hint="eastAsia" w:asciiTheme="minorEastAsia" w:hAnsiTheme="minorEastAsia" w:cstheme="minorEastAsia"/>
                <w:szCs w:val="21"/>
              </w:rPr>
              <w:t>作业频率</w:t>
            </w:r>
          </w:p>
        </w:tc>
        <w:tc>
          <w:tcPr>
            <w:tcW w:w="3615" w:type="dxa"/>
            <w:tcBorders>
              <w:top w:val="single" w:color="auto" w:sz="4" w:space="0"/>
              <w:left w:val="single" w:color="auto" w:sz="2" w:space="0"/>
              <w:bottom w:val="single" w:color="auto" w:sz="2" w:space="0"/>
              <w:right w:val="single" w:color="auto" w:sz="4" w:space="0"/>
            </w:tcBorders>
            <w:vAlign w:val="center"/>
          </w:tcPr>
          <w:p w14:paraId="4839E282">
            <w:pPr>
              <w:adjustRightInd w:val="0"/>
              <w:snapToGrid w:val="0"/>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服务质量标准</w:t>
            </w:r>
          </w:p>
        </w:tc>
      </w:tr>
      <w:tr w14:paraId="6C22A2D8">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7" w:hRule="atLeast"/>
          <w:jc w:val="center"/>
        </w:trPr>
        <w:tc>
          <w:tcPr>
            <w:tcW w:w="947" w:type="dxa"/>
            <w:vMerge w:val="restart"/>
            <w:tcBorders>
              <w:top w:val="single" w:color="auto" w:sz="2" w:space="0"/>
              <w:left w:val="single" w:color="auto" w:sz="2" w:space="0"/>
              <w:bottom w:val="single" w:color="auto" w:sz="2" w:space="0"/>
              <w:right w:val="single" w:color="auto" w:sz="2" w:space="0"/>
            </w:tcBorders>
            <w:vAlign w:val="center"/>
          </w:tcPr>
          <w:p w14:paraId="0865D888">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教学楼（教学楼1、2、3、4、5，衣锦主教学楼、衣锦东大楼、衣锦老图书馆，各学院楼教室）</w:t>
            </w:r>
          </w:p>
        </w:tc>
        <w:tc>
          <w:tcPr>
            <w:tcW w:w="2055" w:type="dxa"/>
            <w:tcBorders>
              <w:top w:val="single" w:color="auto" w:sz="2" w:space="0"/>
              <w:left w:val="single" w:color="auto" w:sz="2" w:space="0"/>
              <w:bottom w:val="single" w:color="auto" w:sz="2" w:space="0"/>
              <w:right w:val="single" w:color="auto" w:sz="2" w:space="0"/>
            </w:tcBorders>
            <w:vAlign w:val="center"/>
          </w:tcPr>
          <w:p w14:paraId="5ED57F0B">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1.大厅：地面、墙面、踢脚线、台阶、门及门套、门窗玻璃、窗台、宣传窗、垃圾桶、消防设施、灯具、柱子等</w:t>
            </w:r>
          </w:p>
        </w:tc>
        <w:tc>
          <w:tcPr>
            <w:tcW w:w="3045" w:type="dxa"/>
            <w:tcBorders>
              <w:top w:val="single" w:color="auto" w:sz="2" w:space="0"/>
              <w:left w:val="single" w:color="auto" w:sz="2" w:space="0"/>
              <w:bottom w:val="single" w:color="auto" w:sz="2" w:space="0"/>
              <w:right w:val="single" w:color="auto" w:sz="2" w:space="0"/>
            </w:tcBorders>
            <w:vAlign w:val="center"/>
          </w:tcPr>
          <w:p w14:paraId="2A581452">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地面、台阶、垃圾桶每天清洁1次且巡回保洁；门及门套、踢脚线、门窗玻璃、墙面、消防设施、灯具每月保洁1次；台阶每学期彻底刷洗不少于1次。</w:t>
            </w:r>
          </w:p>
        </w:tc>
        <w:tc>
          <w:tcPr>
            <w:tcW w:w="3615" w:type="dxa"/>
            <w:tcBorders>
              <w:top w:val="single" w:color="auto" w:sz="2" w:space="0"/>
              <w:left w:val="single" w:color="auto" w:sz="2" w:space="0"/>
              <w:bottom w:val="single" w:color="auto" w:sz="2" w:space="0"/>
              <w:right w:val="single" w:color="auto" w:sz="4" w:space="0"/>
            </w:tcBorders>
            <w:vAlign w:val="center"/>
          </w:tcPr>
          <w:p w14:paraId="52325A15">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地面无水渍、无污渍，无垃圾，无积尘，光亮；</w:t>
            </w:r>
          </w:p>
          <w:p w14:paraId="4CF2B2ED">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墙面无灰尘、无污渍，光亮，墙角无蜘蛛网，公共设施表面无积尘、无污渍、光亮；</w:t>
            </w:r>
          </w:p>
          <w:p w14:paraId="6F17CC62">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不锈钢表面无手印，无积尘，无污渍、光亮；</w:t>
            </w:r>
          </w:p>
          <w:p w14:paraId="04A02115">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玻璃上无手印，无积尘，无污渍、明亮。</w:t>
            </w:r>
          </w:p>
        </w:tc>
      </w:tr>
      <w:tr w14:paraId="3CD5371E">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947" w:type="dxa"/>
            <w:vMerge w:val="continue"/>
            <w:tcBorders>
              <w:top w:val="single" w:color="auto" w:sz="2" w:space="0"/>
              <w:left w:val="single" w:color="auto" w:sz="2" w:space="0"/>
              <w:bottom w:val="single" w:color="auto" w:sz="2" w:space="0"/>
              <w:right w:val="single" w:color="auto" w:sz="2" w:space="0"/>
            </w:tcBorders>
            <w:vAlign w:val="center"/>
          </w:tcPr>
          <w:p w14:paraId="27864249">
            <w:pPr>
              <w:widowControl/>
              <w:spacing w:line="360" w:lineRule="auto"/>
              <w:jc w:val="left"/>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5469E3ED">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2.公共区、楼道：桌椅、地面、楼梯、扶手、墙面、门窗玻璃、窗台、踢脚线、配电箱、消防设备、楼道门、窗、灯具及开关、垃圾桶等</w:t>
            </w:r>
          </w:p>
        </w:tc>
        <w:tc>
          <w:tcPr>
            <w:tcW w:w="3045" w:type="dxa"/>
            <w:tcBorders>
              <w:top w:val="single" w:color="auto" w:sz="2" w:space="0"/>
              <w:left w:val="single" w:color="auto" w:sz="2" w:space="0"/>
              <w:bottom w:val="single" w:color="auto" w:sz="2" w:space="0"/>
              <w:right w:val="single" w:color="auto" w:sz="2" w:space="0"/>
            </w:tcBorders>
            <w:vAlign w:val="center"/>
          </w:tcPr>
          <w:p w14:paraId="665A9F56">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桌椅、地面、楼梯、墙面、垃圾桶、窗台等每天保洁2次且巡回保洁；踢脚线、配电箱、消防设备、楼道门、窗、灯具及开关每二周保洁1次。</w:t>
            </w:r>
          </w:p>
        </w:tc>
        <w:tc>
          <w:tcPr>
            <w:tcW w:w="3615" w:type="dxa"/>
            <w:tcBorders>
              <w:top w:val="single" w:color="auto" w:sz="2" w:space="0"/>
              <w:left w:val="single" w:color="auto" w:sz="2" w:space="0"/>
              <w:bottom w:val="single" w:color="auto" w:sz="2" w:space="0"/>
              <w:right w:val="single" w:color="auto" w:sz="4" w:space="0"/>
            </w:tcBorders>
            <w:vAlign w:val="center"/>
          </w:tcPr>
          <w:p w14:paraId="08CD409F">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地面无水渍、无污渍，无垃圾，光亮;墙面无污渍，光亮，墙角无蜘蛛网；公共设施表面无积、无污渍、光亮；玻璃上无手印，无积尘，无污渍、明亮；窗台无积尘。</w:t>
            </w:r>
          </w:p>
        </w:tc>
      </w:tr>
      <w:tr w14:paraId="5AC797A5">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947" w:type="dxa"/>
            <w:vMerge w:val="continue"/>
            <w:tcBorders>
              <w:top w:val="single" w:color="auto" w:sz="2" w:space="0"/>
              <w:left w:val="single" w:color="auto" w:sz="2" w:space="0"/>
              <w:bottom w:val="single" w:color="auto" w:sz="2" w:space="0"/>
              <w:right w:val="single" w:color="auto" w:sz="2" w:space="0"/>
            </w:tcBorders>
            <w:vAlign w:val="center"/>
          </w:tcPr>
          <w:p w14:paraId="06575680">
            <w:pPr>
              <w:widowControl/>
              <w:spacing w:line="360" w:lineRule="auto"/>
              <w:jc w:val="left"/>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5E8ACDEC">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3.公共卫生间及走廊：地面、墙面、大小便器、垃圾桶、台面、镜子、门窗玻璃、窗台、灯具、排气扇等</w:t>
            </w:r>
          </w:p>
        </w:tc>
        <w:tc>
          <w:tcPr>
            <w:tcW w:w="3045" w:type="dxa"/>
            <w:tcBorders>
              <w:top w:val="single" w:color="auto" w:sz="2" w:space="0"/>
              <w:left w:val="single" w:color="auto" w:sz="2" w:space="0"/>
              <w:bottom w:val="single" w:color="auto" w:sz="2" w:space="0"/>
              <w:right w:val="single" w:color="auto" w:sz="2" w:space="0"/>
            </w:tcBorders>
            <w:vAlign w:val="center"/>
          </w:tcPr>
          <w:p w14:paraId="56776309">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每天1次对卫生间全面保洁，且巡回保洁；灯具、门窗玻璃排气扇每两月保洁1次；窗台每日一次。</w:t>
            </w:r>
          </w:p>
        </w:tc>
        <w:tc>
          <w:tcPr>
            <w:tcW w:w="3615" w:type="dxa"/>
            <w:tcBorders>
              <w:top w:val="single" w:color="auto" w:sz="2" w:space="0"/>
              <w:left w:val="single" w:color="auto" w:sz="2" w:space="0"/>
              <w:bottom w:val="single" w:color="auto" w:sz="2" w:space="0"/>
              <w:right w:val="single" w:color="auto" w:sz="4" w:space="0"/>
            </w:tcBorders>
            <w:vAlign w:val="center"/>
          </w:tcPr>
          <w:p w14:paraId="13C7C250">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卫生间无异味、厕坑便具洁净无黄渍、镜面、水盆、台面无污点，光亮；纸篓随时清理，篓内垃圾不得超过2/3；墙面、墙角、灯具无积尘、无蜘蛛网；地面无水渍、无污渍，无垃圾，保洁工具与保洁用品统一放在指定地点。</w:t>
            </w:r>
          </w:p>
        </w:tc>
      </w:tr>
      <w:tr w14:paraId="7C007EFF">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92" w:hRule="atLeast"/>
          <w:jc w:val="center"/>
        </w:trPr>
        <w:tc>
          <w:tcPr>
            <w:tcW w:w="947" w:type="dxa"/>
            <w:vMerge w:val="continue"/>
            <w:tcBorders>
              <w:top w:val="single" w:color="auto" w:sz="2" w:space="0"/>
              <w:left w:val="single" w:color="auto" w:sz="2" w:space="0"/>
              <w:bottom w:val="single" w:color="auto" w:sz="2" w:space="0"/>
              <w:right w:val="single" w:color="auto" w:sz="2" w:space="0"/>
            </w:tcBorders>
            <w:vAlign w:val="center"/>
          </w:tcPr>
          <w:p w14:paraId="6E74901D">
            <w:pPr>
              <w:widowControl/>
              <w:spacing w:line="360" w:lineRule="auto"/>
              <w:jc w:val="left"/>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6279B0B9">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4.教室：桌椅、讲台，白板、地面、窗台、门窗玻璃、门楣、门套、墙面、墙角、灯具及设备等</w:t>
            </w:r>
          </w:p>
        </w:tc>
        <w:tc>
          <w:tcPr>
            <w:tcW w:w="3045" w:type="dxa"/>
            <w:tcBorders>
              <w:top w:val="single" w:color="auto" w:sz="2" w:space="0"/>
              <w:left w:val="single" w:color="auto" w:sz="2" w:space="0"/>
              <w:bottom w:val="single" w:color="auto" w:sz="2" w:space="0"/>
              <w:right w:val="single" w:color="auto" w:sz="2" w:space="0"/>
            </w:tcBorders>
            <w:vAlign w:val="center"/>
          </w:tcPr>
          <w:p w14:paraId="5FDD9334">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桌椅、讲台，黑板、地面、窗台、门楣、门套、墙面、墙角每日2次；灯具、设备每月1次；门窗玻璃每月1次。</w:t>
            </w:r>
          </w:p>
        </w:tc>
        <w:tc>
          <w:tcPr>
            <w:tcW w:w="3615" w:type="dxa"/>
            <w:tcBorders>
              <w:top w:val="single" w:color="auto" w:sz="2" w:space="0"/>
              <w:left w:val="single" w:color="auto" w:sz="2" w:space="0"/>
              <w:bottom w:val="single" w:color="auto" w:sz="2" w:space="0"/>
              <w:right w:val="single" w:color="auto" w:sz="4" w:space="0"/>
            </w:tcBorders>
            <w:vAlign w:val="center"/>
          </w:tcPr>
          <w:p w14:paraId="56ABB599">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桌椅、讲台，窗台、黑板、地面、门楣、门套、墙面、墙角无积尘，光亮；桌斗内无杂质；黑板板面擦净，黑板周围整洁；窗台无积尘，窗帘挂放整齐；室内无异味；捡拾物品及时上交做失物招领，不私自处理。</w:t>
            </w:r>
          </w:p>
        </w:tc>
      </w:tr>
      <w:tr w14:paraId="75E5F16D">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47" w:type="dxa"/>
            <w:vMerge w:val="continue"/>
            <w:tcBorders>
              <w:top w:val="single" w:color="auto" w:sz="2" w:space="0"/>
              <w:left w:val="single" w:color="auto" w:sz="2" w:space="0"/>
              <w:bottom w:val="single" w:color="auto" w:sz="2" w:space="0"/>
              <w:right w:val="single" w:color="auto" w:sz="2" w:space="0"/>
            </w:tcBorders>
            <w:vAlign w:val="center"/>
          </w:tcPr>
          <w:p w14:paraId="27A2955A">
            <w:pPr>
              <w:widowControl/>
              <w:spacing w:line="360" w:lineRule="auto"/>
              <w:jc w:val="left"/>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3E18C8D1">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5.教师休息室：桌椅、地面、窗台、门窗玻璃、门楣、门套、墙面、墙角、灯具及设备等</w:t>
            </w:r>
          </w:p>
        </w:tc>
        <w:tc>
          <w:tcPr>
            <w:tcW w:w="3045" w:type="dxa"/>
            <w:tcBorders>
              <w:top w:val="single" w:color="auto" w:sz="2" w:space="0"/>
              <w:left w:val="single" w:color="auto" w:sz="2" w:space="0"/>
              <w:bottom w:val="single" w:color="auto" w:sz="2" w:space="0"/>
              <w:right w:val="single" w:color="auto" w:sz="2" w:space="0"/>
            </w:tcBorders>
            <w:vAlign w:val="center"/>
          </w:tcPr>
          <w:p w14:paraId="49B89EB9">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地面、窗台、门楣、门套、墙面、墙角每日1次；灯具、设备每月1次；门窗玻璃每月1次。</w:t>
            </w:r>
          </w:p>
        </w:tc>
        <w:tc>
          <w:tcPr>
            <w:tcW w:w="3615" w:type="dxa"/>
            <w:tcBorders>
              <w:top w:val="single" w:color="auto" w:sz="2" w:space="0"/>
              <w:left w:val="single" w:color="auto" w:sz="2" w:space="0"/>
              <w:bottom w:val="single" w:color="auto" w:sz="2" w:space="0"/>
              <w:right w:val="single" w:color="auto" w:sz="4" w:space="0"/>
            </w:tcBorders>
            <w:vAlign w:val="center"/>
          </w:tcPr>
          <w:p w14:paraId="47ED7C7A">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地面、门楣、门套、墙面、墙角无积尘、光亮；窗台无积尘，窗帘挂放整齐；室内无异味。</w:t>
            </w:r>
          </w:p>
        </w:tc>
      </w:tr>
      <w:tr w14:paraId="75837784">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PrEx>
        <w:trPr>
          <w:trHeight w:val="613" w:hRule="atLeast"/>
          <w:jc w:val="center"/>
        </w:trPr>
        <w:tc>
          <w:tcPr>
            <w:tcW w:w="947" w:type="dxa"/>
            <w:vMerge w:val="restart"/>
            <w:tcBorders>
              <w:top w:val="single" w:color="auto" w:sz="2" w:space="0"/>
              <w:left w:val="single" w:color="auto" w:sz="2" w:space="0"/>
              <w:right w:val="single" w:color="auto" w:sz="2" w:space="0"/>
            </w:tcBorders>
            <w:vAlign w:val="center"/>
          </w:tcPr>
          <w:p w14:paraId="58CB3E7E">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行政楼、国家重点实验室、新农科大楼</w:t>
            </w:r>
          </w:p>
        </w:tc>
        <w:tc>
          <w:tcPr>
            <w:tcW w:w="2055" w:type="dxa"/>
            <w:tcBorders>
              <w:top w:val="single" w:color="auto" w:sz="2" w:space="0"/>
              <w:left w:val="single" w:color="auto" w:sz="2" w:space="0"/>
              <w:bottom w:val="single" w:color="auto" w:sz="2" w:space="0"/>
              <w:right w:val="single" w:color="auto" w:sz="2" w:space="0"/>
            </w:tcBorders>
            <w:vAlign w:val="center"/>
          </w:tcPr>
          <w:p w14:paraId="7C049BFF">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1.大厅：地面、墙面、踢脚线、台阶、天棚、门及门套、门窗玻璃、窗台、宣传窗、垃圾桶、消防设施、灯具、柱子、植物花盆等</w:t>
            </w:r>
          </w:p>
        </w:tc>
        <w:tc>
          <w:tcPr>
            <w:tcW w:w="3045" w:type="dxa"/>
            <w:tcBorders>
              <w:top w:val="single" w:color="auto" w:sz="2" w:space="0"/>
              <w:left w:val="single" w:color="auto" w:sz="2" w:space="0"/>
              <w:bottom w:val="single" w:color="auto" w:sz="2" w:space="0"/>
              <w:right w:val="single" w:color="auto" w:sz="2" w:space="0"/>
            </w:tcBorders>
            <w:vAlign w:val="center"/>
          </w:tcPr>
          <w:p w14:paraId="09E04E5F">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台阶、宣传窗、垃圾桶、柱子、植物花盆等每天清洁1次且巡回保洁；窗台每天一次；门及门套、踢脚线、门窗玻璃、墙面、消防设施、灯具每二周保洁1次；地砖或固化地坪地面每两月彻底刷洗不少于1次、天棚每学期清洗1次。</w:t>
            </w:r>
          </w:p>
        </w:tc>
        <w:tc>
          <w:tcPr>
            <w:tcW w:w="3615" w:type="dxa"/>
            <w:tcBorders>
              <w:top w:val="single" w:color="auto" w:sz="2" w:space="0"/>
              <w:left w:val="single" w:color="auto" w:sz="2" w:space="0"/>
              <w:bottom w:val="single" w:color="auto" w:sz="2" w:space="0"/>
              <w:right w:val="single" w:color="auto" w:sz="4" w:space="0"/>
            </w:tcBorders>
            <w:vAlign w:val="center"/>
          </w:tcPr>
          <w:p w14:paraId="39070ADE">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无水渍、无污渍，无垃圾，无积尘，光亮。墙面无灰尘、无污渍，光亮，墙角无蜘蛛网。公共设施表面无积尘、无污渍、光亮。不锈钢表面无手印，无积尘，无污渍、光亮；玻璃上无手印，无积尘，无污渍、明亮植物花盆无积尘，无污渍。</w:t>
            </w:r>
          </w:p>
        </w:tc>
      </w:tr>
      <w:tr w14:paraId="2458C038">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jc w:val="center"/>
        </w:trPr>
        <w:tc>
          <w:tcPr>
            <w:tcW w:w="947" w:type="dxa"/>
            <w:vMerge w:val="continue"/>
            <w:tcBorders>
              <w:left w:val="single" w:color="auto" w:sz="2" w:space="0"/>
              <w:right w:val="single" w:color="auto" w:sz="2" w:space="0"/>
            </w:tcBorders>
            <w:vAlign w:val="center"/>
          </w:tcPr>
          <w:p w14:paraId="085EDD3E">
            <w:pPr>
              <w:adjustRightInd w:val="0"/>
              <w:snapToGrid w:val="0"/>
              <w:spacing w:line="360" w:lineRule="auto"/>
              <w:jc w:val="center"/>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4C25FAF5">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2.楼道、公共区：地面、桌椅、楼道梯级、扶手、墙面、门窗玻璃、窗台、踢脚线、配电箱、消防设备、楼道门、窗、灯具及开关、垃圾桶等</w:t>
            </w:r>
          </w:p>
        </w:tc>
        <w:tc>
          <w:tcPr>
            <w:tcW w:w="3045" w:type="dxa"/>
            <w:tcBorders>
              <w:top w:val="single" w:color="auto" w:sz="2" w:space="0"/>
              <w:left w:val="single" w:color="auto" w:sz="2" w:space="0"/>
              <w:bottom w:val="single" w:color="auto" w:sz="2" w:space="0"/>
              <w:right w:val="single" w:color="auto" w:sz="2" w:space="0"/>
            </w:tcBorders>
            <w:vAlign w:val="center"/>
          </w:tcPr>
          <w:p w14:paraId="03FE8D33">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地面、楼梯、扶手、墙面、垃圾桶等每天保洁1次且巡回保洁；窗台每天一次；门窗玻璃、踢脚线、配电箱、消防设备、楼道门、窗、灯具及开关每二周保洁1次。</w:t>
            </w:r>
          </w:p>
        </w:tc>
        <w:tc>
          <w:tcPr>
            <w:tcW w:w="3615" w:type="dxa"/>
            <w:tcBorders>
              <w:top w:val="single" w:color="auto" w:sz="2" w:space="0"/>
              <w:left w:val="single" w:color="auto" w:sz="2" w:space="0"/>
              <w:bottom w:val="single" w:color="auto" w:sz="2" w:space="0"/>
              <w:right w:val="single" w:color="auto" w:sz="4" w:space="0"/>
            </w:tcBorders>
            <w:vAlign w:val="center"/>
          </w:tcPr>
          <w:p w14:paraId="730324ED">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无水渍、无污渍，无垃圾，无积尘，光亮。墙面灰尘、无污渍，光亮，墙角无蜘蛛网。公共设施表面无积尘、无污渍、光亮。不锈钢表面无手印，无积尘，无污渍、光亮；玻璃上无手印，无积尘，无污渍、明亮；窗台无积尘。</w:t>
            </w:r>
          </w:p>
        </w:tc>
      </w:tr>
      <w:tr w14:paraId="0D2A35A9">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jc w:val="center"/>
        </w:trPr>
        <w:tc>
          <w:tcPr>
            <w:tcW w:w="947" w:type="dxa"/>
            <w:vMerge w:val="continue"/>
            <w:tcBorders>
              <w:left w:val="single" w:color="auto" w:sz="2" w:space="0"/>
              <w:bottom w:val="single" w:color="auto" w:sz="2" w:space="0"/>
              <w:right w:val="single" w:color="auto" w:sz="2" w:space="0"/>
            </w:tcBorders>
            <w:vAlign w:val="center"/>
          </w:tcPr>
          <w:p w14:paraId="77BA802B">
            <w:pPr>
              <w:adjustRightInd w:val="0"/>
              <w:snapToGrid w:val="0"/>
              <w:spacing w:line="360" w:lineRule="auto"/>
              <w:jc w:val="center"/>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6C3EAEBE">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3.公共卫生间：地面、墙面、踢脚线、大小便器、垃圾篓、洗手盆、台面、镜子、门窗玻璃、窗台、标牌、灯具、排气扇、水龙头、开水箱等</w:t>
            </w:r>
          </w:p>
        </w:tc>
        <w:tc>
          <w:tcPr>
            <w:tcW w:w="3045" w:type="dxa"/>
            <w:tcBorders>
              <w:top w:val="single" w:color="auto" w:sz="2" w:space="0"/>
              <w:left w:val="single" w:color="auto" w:sz="2" w:space="0"/>
              <w:bottom w:val="single" w:color="auto" w:sz="2" w:space="0"/>
              <w:right w:val="single" w:color="auto" w:sz="2" w:space="0"/>
            </w:tcBorders>
            <w:vAlign w:val="center"/>
          </w:tcPr>
          <w:p w14:paraId="4B18703F">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每天1次对卫生间全面保洁，且每日巡回保洁；灯具、窗玻璃排气扇每月保洁1次；门窗玻璃每二周保洁1次；窗台每天一次。</w:t>
            </w:r>
          </w:p>
        </w:tc>
        <w:tc>
          <w:tcPr>
            <w:tcW w:w="3615" w:type="dxa"/>
            <w:tcBorders>
              <w:top w:val="single" w:color="auto" w:sz="2" w:space="0"/>
              <w:left w:val="single" w:color="auto" w:sz="2" w:space="0"/>
              <w:bottom w:val="single" w:color="auto" w:sz="2" w:space="0"/>
              <w:right w:val="single" w:color="auto" w:sz="4" w:space="0"/>
            </w:tcBorders>
            <w:vAlign w:val="center"/>
          </w:tcPr>
          <w:p w14:paraId="20AB5171">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卫生间无异味、厕坑便具洁净无黄渍、镜面、水盆、台面无污点，光亮；纸篓随时清理；墙面、墙角、灯具无积尘、蜘蛛网，光亮；地面无水渍、无污渍，无垃圾；开水房达到卫生标准、安全可靠。保洁工具与保洁用品要统一放在指定地点。</w:t>
            </w:r>
          </w:p>
        </w:tc>
      </w:tr>
      <w:tr w14:paraId="4F1808BB">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3" w:hRule="atLeast"/>
          <w:jc w:val="center"/>
        </w:trPr>
        <w:tc>
          <w:tcPr>
            <w:tcW w:w="947" w:type="dxa"/>
            <w:vMerge w:val="restart"/>
            <w:tcBorders>
              <w:top w:val="single" w:color="auto" w:sz="2" w:space="0"/>
              <w:left w:val="single" w:color="auto" w:sz="2" w:space="0"/>
              <w:bottom w:val="single" w:color="auto" w:sz="2" w:space="0"/>
              <w:right w:val="single" w:color="auto" w:sz="2" w:space="0"/>
            </w:tcBorders>
            <w:vAlign w:val="center"/>
          </w:tcPr>
          <w:p w14:paraId="13A013AA">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学院楼、基础实验楼、卫生所</w:t>
            </w:r>
          </w:p>
        </w:tc>
        <w:tc>
          <w:tcPr>
            <w:tcW w:w="2055" w:type="dxa"/>
            <w:tcBorders>
              <w:top w:val="single" w:color="auto" w:sz="2" w:space="0"/>
              <w:left w:val="single" w:color="auto" w:sz="2" w:space="0"/>
              <w:bottom w:val="single" w:color="auto" w:sz="2" w:space="0"/>
              <w:right w:val="single" w:color="auto" w:sz="2" w:space="0"/>
            </w:tcBorders>
            <w:vAlign w:val="center"/>
          </w:tcPr>
          <w:p w14:paraId="4401988C">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1.大厅：地面、墙面、踢脚线、台阶、门及门套、门窗玻璃、窗台、垃圾桶、消防设施、灯具、柱子等</w:t>
            </w:r>
          </w:p>
        </w:tc>
        <w:tc>
          <w:tcPr>
            <w:tcW w:w="3045" w:type="dxa"/>
            <w:tcBorders>
              <w:top w:val="single" w:color="auto" w:sz="2" w:space="0"/>
              <w:left w:val="single" w:color="auto" w:sz="2" w:space="0"/>
              <w:bottom w:val="single" w:color="auto" w:sz="2" w:space="0"/>
              <w:right w:val="single" w:color="auto" w:sz="2" w:space="0"/>
            </w:tcBorders>
            <w:vAlign w:val="center"/>
          </w:tcPr>
          <w:p w14:paraId="29746A31">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地面、台阶、垃圾桶每天清洁1次且巡回保洁；门及门套、踢脚线、门窗玻璃、墙面、消防设施、灯具每月保洁1次台阶每学期彻底刷洗不少于1次。</w:t>
            </w:r>
          </w:p>
        </w:tc>
        <w:tc>
          <w:tcPr>
            <w:tcW w:w="3615" w:type="dxa"/>
            <w:tcBorders>
              <w:top w:val="single" w:color="auto" w:sz="2" w:space="0"/>
              <w:left w:val="single" w:color="auto" w:sz="2" w:space="0"/>
              <w:bottom w:val="single" w:color="auto" w:sz="2" w:space="0"/>
              <w:right w:val="single" w:color="auto" w:sz="4" w:space="0"/>
            </w:tcBorders>
            <w:vAlign w:val="center"/>
          </w:tcPr>
          <w:p w14:paraId="3DA44BAB">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地面无水渍、无污渍，无垃圾，无积尘，光亮；</w:t>
            </w:r>
          </w:p>
          <w:p w14:paraId="0C19915A">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墙面无灰尘、无污渍，光亮，墙角无蜘蛛网，公共设施表面无积尘、无污渍、光亮；</w:t>
            </w:r>
          </w:p>
          <w:p w14:paraId="30554D00">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不锈钢表面无手印，无积尘，无污渍、光亮；</w:t>
            </w:r>
          </w:p>
          <w:p w14:paraId="7699DC8C">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玻璃上无手印，无积尘，无污渍、明亮。</w:t>
            </w:r>
          </w:p>
        </w:tc>
      </w:tr>
      <w:tr w14:paraId="3C58D395">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947" w:type="dxa"/>
            <w:vMerge w:val="continue"/>
            <w:tcBorders>
              <w:top w:val="single" w:color="auto" w:sz="2" w:space="0"/>
              <w:left w:val="single" w:color="auto" w:sz="2" w:space="0"/>
              <w:bottom w:val="single" w:color="auto" w:sz="2" w:space="0"/>
              <w:right w:val="single" w:color="auto" w:sz="2" w:space="0"/>
            </w:tcBorders>
            <w:vAlign w:val="center"/>
          </w:tcPr>
          <w:p w14:paraId="74F896C9">
            <w:pPr>
              <w:widowControl/>
              <w:spacing w:line="360" w:lineRule="auto"/>
              <w:jc w:val="left"/>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4F71FF50">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2.公共区、楼道：桌椅、地面、楼梯、扶手、墙面、门窗玻璃、窗台、踢脚线、配电箱、消防设备、楼道门、窗、灯具及开关、垃圾桶等</w:t>
            </w:r>
          </w:p>
        </w:tc>
        <w:tc>
          <w:tcPr>
            <w:tcW w:w="3045" w:type="dxa"/>
            <w:tcBorders>
              <w:top w:val="single" w:color="auto" w:sz="2" w:space="0"/>
              <w:left w:val="single" w:color="auto" w:sz="2" w:space="0"/>
              <w:bottom w:val="single" w:color="auto" w:sz="2" w:space="0"/>
              <w:right w:val="single" w:color="auto" w:sz="2" w:space="0"/>
            </w:tcBorders>
            <w:vAlign w:val="center"/>
          </w:tcPr>
          <w:p w14:paraId="28E41001">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桌椅、地面、楼梯、墙面、垃圾桶、窗台等每天保洁2次且巡回保洁；踢脚线、配电箱、消防设备、楼道门、窗、灯具及开关每二周保洁1次。</w:t>
            </w:r>
          </w:p>
        </w:tc>
        <w:tc>
          <w:tcPr>
            <w:tcW w:w="3615" w:type="dxa"/>
            <w:tcBorders>
              <w:top w:val="single" w:color="auto" w:sz="2" w:space="0"/>
              <w:left w:val="single" w:color="auto" w:sz="2" w:space="0"/>
              <w:bottom w:val="single" w:color="auto" w:sz="2" w:space="0"/>
              <w:right w:val="single" w:color="auto" w:sz="4" w:space="0"/>
            </w:tcBorders>
            <w:vAlign w:val="center"/>
          </w:tcPr>
          <w:p w14:paraId="462B1284">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地面无水渍、无污渍，无垃圾，光亮;墙面无污渍，光亮，墙角无蜘蛛网；公共设施表面无积、无污渍、光亮；玻璃上无手印，无积尘，无污渍、明亮；窗台无积尘。</w:t>
            </w:r>
          </w:p>
        </w:tc>
      </w:tr>
      <w:tr w14:paraId="458E7F30">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PrEx>
        <w:trPr>
          <w:trHeight w:val="295" w:hRule="atLeast"/>
          <w:jc w:val="center"/>
        </w:trPr>
        <w:tc>
          <w:tcPr>
            <w:tcW w:w="947" w:type="dxa"/>
            <w:vMerge w:val="continue"/>
            <w:tcBorders>
              <w:top w:val="single" w:color="auto" w:sz="2" w:space="0"/>
              <w:left w:val="single" w:color="auto" w:sz="2" w:space="0"/>
              <w:bottom w:val="single" w:color="auto" w:sz="2" w:space="0"/>
              <w:right w:val="single" w:color="auto" w:sz="2" w:space="0"/>
            </w:tcBorders>
            <w:vAlign w:val="center"/>
          </w:tcPr>
          <w:p w14:paraId="7A303F80">
            <w:pPr>
              <w:widowControl/>
              <w:spacing w:line="360" w:lineRule="auto"/>
              <w:jc w:val="left"/>
              <w:rPr>
                <w:rFonts w:asciiTheme="minorEastAsia" w:hAnsiTheme="minorEastAsia" w:cstheme="minorEastAsia"/>
                <w:szCs w:val="21"/>
              </w:rPr>
            </w:pPr>
          </w:p>
        </w:tc>
        <w:tc>
          <w:tcPr>
            <w:tcW w:w="2055" w:type="dxa"/>
            <w:tcBorders>
              <w:top w:val="single" w:color="auto" w:sz="2" w:space="0"/>
              <w:left w:val="single" w:color="auto" w:sz="2" w:space="0"/>
              <w:bottom w:val="single" w:color="auto" w:sz="2" w:space="0"/>
              <w:right w:val="single" w:color="auto" w:sz="2" w:space="0"/>
            </w:tcBorders>
            <w:vAlign w:val="center"/>
          </w:tcPr>
          <w:p w14:paraId="7671CE5D">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3.公共卫生间及走廊：地面、墙面、大小便器、垃圾桶、台面、镜子、门窗玻璃、窗台、灯具、排气扇</w:t>
            </w:r>
          </w:p>
        </w:tc>
        <w:tc>
          <w:tcPr>
            <w:tcW w:w="3045" w:type="dxa"/>
            <w:tcBorders>
              <w:top w:val="single" w:color="auto" w:sz="2" w:space="0"/>
              <w:left w:val="single" w:color="auto" w:sz="2" w:space="0"/>
              <w:bottom w:val="single" w:color="auto" w:sz="2" w:space="0"/>
              <w:right w:val="single" w:color="auto" w:sz="2" w:space="0"/>
            </w:tcBorders>
            <w:vAlign w:val="center"/>
          </w:tcPr>
          <w:p w14:paraId="24404B74">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每天1次对卫生间全面保洁，且巡回保洁；灯具、门窗玻璃排气扇每两月保洁1次；窗台每日一次。</w:t>
            </w:r>
          </w:p>
        </w:tc>
        <w:tc>
          <w:tcPr>
            <w:tcW w:w="3615" w:type="dxa"/>
            <w:tcBorders>
              <w:top w:val="single" w:color="auto" w:sz="2" w:space="0"/>
              <w:left w:val="single" w:color="auto" w:sz="2" w:space="0"/>
              <w:bottom w:val="single" w:color="auto" w:sz="2" w:space="0"/>
              <w:right w:val="single" w:color="auto" w:sz="4" w:space="0"/>
            </w:tcBorders>
            <w:vAlign w:val="center"/>
          </w:tcPr>
          <w:p w14:paraId="06BCEF54">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卫生间无异味、厕坑便具洁净无黄渍、镜面、水盆、台面无污点，光亮；纸篓随时清理；墙面、墙角、灯具无积尘、无蜘蛛网；地面无水渍、无污渍，无垃圾，保洁工具与保洁用品统一放在指定地点。</w:t>
            </w:r>
          </w:p>
        </w:tc>
      </w:tr>
      <w:tr w14:paraId="5DE52436">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96" w:hRule="atLeast"/>
          <w:jc w:val="center"/>
        </w:trPr>
        <w:tc>
          <w:tcPr>
            <w:tcW w:w="947" w:type="dxa"/>
            <w:tcBorders>
              <w:top w:val="single" w:color="auto" w:sz="2" w:space="0"/>
              <w:left w:val="single" w:color="auto" w:sz="2" w:space="0"/>
              <w:bottom w:val="single" w:color="auto" w:sz="2" w:space="0"/>
              <w:right w:val="single" w:color="auto" w:sz="2" w:space="0"/>
            </w:tcBorders>
            <w:vAlign w:val="center"/>
          </w:tcPr>
          <w:p w14:paraId="7F3BAB5D">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图书馆</w:t>
            </w:r>
          </w:p>
        </w:tc>
        <w:tc>
          <w:tcPr>
            <w:tcW w:w="2055" w:type="dxa"/>
            <w:tcBorders>
              <w:top w:val="single" w:color="auto" w:sz="2" w:space="0"/>
              <w:left w:val="single" w:color="auto" w:sz="2" w:space="0"/>
              <w:bottom w:val="single" w:color="auto" w:sz="2" w:space="0"/>
              <w:right w:val="single" w:color="auto" w:sz="2" w:space="0"/>
            </w:tcBorders>
            <w:vAlign w:val="center"/>
          </w:tcPr>
          <w:p w14:paraId="7CF50C93">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阅览区地面、台阶、桌椅、窗台、门窗、玻璃、顶棚</w:t>
            </w:r>
          </w:p>
        </w:tc>
        <w:tc>
          <w:tcPr>
            <w:tcW w:w="3045" w:type="dxa"/>
            <w:tcBorders>
              <w:top w:val="single" w:color="auto" w:sz="2" w:space="0"/>
              <w:left w:val="single" w:color="auto" w:sz="2" w:space="0"/>
              <w:bottom w:val="single" w:color="auto" w:sz="2" w:space="0"/>
              <w:right w:val="single" w:color="auto" w:sz="2" w:space="0"/>
            </w:tcBorders>
            <w:vAlign w:val="center"/>
          </w:tcPr>
          <w:p w14:paraId="4383474A">
            <w:pPr>
              <w:numPr>
                <w:ilvl w:val="0"/>
                <w:numId w:val="20"/>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地面每日拖洗不少于1次；</w:t>
            </w:r>
          </w:p>
          <w:p w14:paraId="69E21E9A">
            <w:pPr>
              <w:numPr>
                <w:ilvl w:val="0"/>
                <w:numId w:val="20"/>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门口雨棚每学期清洗1次。</w:t>
            </w:r>
          </w:p>
        </w:tc>
        <w:tc>
          <w:tcPr>
            <w:tcW w:w="3615" w:type="dxa"/>
            <w:tcBorders>
              <w:top w:val="single" w:color="auto" w:sz="2" w:space="0"/>
              <w:left w:val="single" w:color="auto" w:sz="2" w:space="0"/>
              <w:bottom w:val="single" w:color="auto" w:sz="2" w:space="0"/>
              <w:right w:val="single" w:color="auto" w:sz="4" w:space="0"/>
            </w:tcBorders>
            <w:vAlign w:val="center"/>
          </w:tcPr>
          <w:p w14:paraId="731D349B">
            <w:pPr>
              <w:numPr>
                <w:ilvl w:val="0"/>
                <w:numId w:val="21"/>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地面、台阶无水渍、无污渍、无垃圾、无积尘，光亮；</w:t>
            </w:r>
          </w:p>
          <w:p w14:paraId="06BB9F67">
            <w:pPr>
              <w:numPr>
                <w:ilvl w:val="0"/>
                <w:numId w:val="21"/>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墙面无灰尘、无乱悬挂、无乱张贴等现象；顶棚目视无灰尘、无蛛网；</w:t>
            </w:r>
          </w:p>
          <w:p w14:paraId="3DAB6634">
            <w:pPr>
              <w:numPr>
                <w:ilvl w:val="0"/>
                <w:numId w:val="21"/>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门窗玻璃上无手印、无积尘、无污渍，明亮；</w:t>
            </w:r>
          </w:p>
          <w:p w14:paraId="33E6ED5D">
            <w:pPr>
              <w:numPr>
                <w:ilvl w:val="0"/>
                <w:numId w:val="21"/>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公共设施表面无积尘、无污渍、无损坏；</w:t>
            </w:r>
          </w:p>
          <w:p w14:paraId="2158645B">
            <w:pPr>
              <w:numPr>
                <w:ilvl w:val="0"/>
                <w:numId w:val="21"/>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厕所无异味；</w:t>
            </w:r>
          </w:p>
          <w:p w14:paraId="241C7B18">
            <w:pPr>
              <w:numPr>
                <w:ilvl w:val="0"/>
                <w:numId w:val="21"/>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保洁工作尽量少干扰读者。</w:t>
            </w:r>
          </w:p>
        </w:tc>
      </w:tr>
      <w:tr w14:paraId="5BC3D0CA">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947" w:type="dxa"/>
            <w:tcBorders>
              <w:top w:val="single" w:color="auto" w:sz="2" w:space="0"/>
              <w:left w:val="single" w:color="auto" w:sz="2" w:space="0"/>
              <w:bottom w:val="single" w:color="auto" w:sz="2" w:space="0"/>
              <w:right w:val="single" w:color="auto" w:sz="2" w:space="0"/>
            </w:tcBorders>
            <w:vAlign w:val="center"/>
          </w:tcPr>
          <w:p w14:paraId="6BD612F1">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rPr>
              <w:t>地下车库</w:t>
            </w:r>
          </w:p>
        </w:tc>
        <w:tc>
          <w:tcPr>
            <w:tcW w:w="2055" w:type="dxa"/>
            <w:tcBorders>
              <w:top w:val="single" w:color="auto" w:sz="2" w:space="0"/>
              <w:left w:val="single" w:color="auto" w:sz="2" w:space="0"/>
              <w:bottom w:val="single" w:color="auto" w:sz="2" w:space="0"/>
              <w:right w:val="single" w:color="auto" w:sz="2" w:space="0"/>
            </w:tcBorders>
            <w:vAlign w:val="center"/>
          </w:tcPr>
          <w:p w14:paraId="089AE97B">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kern w:val="0"/>
                <w:szCs w:val="21"/>
              </w:rPr>
              <w:t>行车步道、车位、楼梯间、电梯间</w:t>
            </w:r>
          </w:p>
        </w:tc>
        <w:tc>
          <w:tcPr>
            <w:tcW w:w="3045" w:type="dxa"/>
            <w:tcBorders>
              <w:top w:val="single" w:color="auto" w:sz="2" w:space="0"/>
              <w:left w:val="single" w:color="auto" w:sz="2" w:space="0"/>
              <w:bottom w:val="single" w:color="auto" w:sz="2" w:space="0"/>
              <w:right w:val="single" w:color="auto" w:sz="2" w:space="0"/>
            </w:tcBorders>
            <w:vAlign w:val="center"/>
          </w:tcPr>
          <w:p w14:paraId="34901036">
            <w:pPr>
              <w:adjustRightInd w:val="0"/>
              <w:snapToGrid w:val="0"/>
              <w:spacing w:line="360" w:lineRule="auto"/>
              <w:ind w:left="19" w:leftChars="9"/>
              <w:jc w:val="left"/>
              <w:rPr>
                <w:rFonts w:asciiTheme="minorEastAsia" w:hAnsiTheme="minorEastAsia" w:cstheme="minorEastAsia"/>
                <w:kern w:val="0"/>
                <w:szCs w:val="21"/>
              </w:rPr>
            </w:pPr>
            <w:r>
              <w:rPr>
                <w:rFonts w:hint="eastAsia" w:asciiTheme="minorEastAsia" w:hAnsiTheme="minorEastAsia" w:cstheme="minorEastAsia"/>
                <w:kern w:val="0"/>
                <w:szCs w:val="21"/>
              </w:rPr>
              <w:t>1.每日清洁：清扫地面及行车道路尘土、捡拾垃圾；清倒垃圾桶；及时跟进维修事务；</w:t>
            </w:r>
          </w:p>
          <w:p w14:paraId="2DDF2EE1">
            <w:pPr>
              <w:pStyle w:val="350"/>
              <w:spacing w:line="360" w:lineRule="auto"/>
              <w:rPr>
                <w:rFonts w:asciiTheme="minorEastAsia" w:hAnsiTheme="minorEastAsia" w:cstheme="minorEastAsia"/>
                <w:color w:val="auto"/>
                <w:sz w:val="21"/>
                <w:szCs w:val="21"/>
              </w:rPr>
            </w:pPr>
            <w:r>
              <w:rPr>
                <w:rFonts w:hint="eastAsia" w:ascii="宋体" w:hAnsi="宋体" w:eastAsia="宋体" w:cs="宋体"/>
                <w:color w:val="auto"/>
                <w:sz w:val="21"/>
                <w:szCs w:val="21"/>
              </w:rPr>
              <w:t>2.梅雨季节增加地面清洁频率，地面无明显积水。</w:t>
            </w:r>
          </w:p>
        </w:tc>
        <w:tc>
          <w:tcPr>
            <w:tcW w:w="3615" w:type="dxa"/>
            <w:tcBorders>
              <w:top w:val="single" w:color="auto" w:sz="2" w:space="0"/>
              <w:left w:val="single" w:color="auto" w:sz="2" w:space="0"/>
              <w:bottom w:val="single" w:color="auto" w:sz="2" w:space="0"/>
              <w:right w:val="single" w:color="auto" w:sz="4" w:space="0"/>
            </w:tcBorders>
            <w:vAlign w:val="center"/>
          </w:tcPr>
          <w:p w14:paraId="21AB2E88">
            <w:pPr>
              <w:pStyle w:val="642"/>
              <w:numPr>
                <w:ilvl w:val="0"/>
                <w:numId w:val="22"/>
              </w:numPr>
              <w:adjustRightInd w:val="0"/>
              <w:snapToGrid w:val="0"/>
              <w:spacing w:line="360" w:lineRule="auto"/>
              <w:ind w:firstLineChars="0"/>
              <w:rPr>
                <w:rFonts w:asciiTheme="minorEastAsia" w:hAnsiTheme="minorEastAsia" w:cstheme="minorEastAsia"/>
                <w:sz w:val="21"/>
                <w:szCs w:val="21"/>
              </w:rPr>
            </w:pPr>
            <w:r>
              <w:rPr>
                <w:rFonts w:hint="eastAsia" w:asciiTheme="minorEastAsia" w:hAnsiTheme="minorEastAsia" w:cstheme="minorEastAsia"/>
                <w:sz w:val="21"/>
                <w:szCs w:val="21"/>
              </w:rPr>
              <w:t>周边环境清洁，无垃圾堆放；</w:t>
            </w:r>
          </w:p>
          <w:p w14:paraId="5F798A7C">
            <w:pPr>
              <w:pStyle w:val="642"/>
              <w:numPr>
                <w:ilvl w:val="0"/>
                <w:numId w:val="22"/>
              </w:numPr>
              <w:adjustRightInd w:val="0"/>
              <w:snapToGrid w:val="0"/>
              <w:spacing w:line="360" w:lineRule="auto"/>
              <w:ind w:firstLineChars="0"/>
              <w:rPr>
                <w:rFonts w:asciiTheme="minorEastAsia" w:hAnsiTheme="minorEastAsia" w:cstheme="minorEastAsia"/>
                <w:sz w:val="21"/>
                <w:szCs w:val="21"/>
              </w:rPr>
            </w:pPr>
            <w:r>
              <w:rPr>
                <w:rFonts w:hint="eastAsia" w:asciiTheme="minorEastAsia" w:hAnsiTheme="minorEastAsia" w:cstheme="minorEastAsia"/>
                <w:sz w:val="21"/>
                <w:szCs w:val="21"/>
              </w:rPr>
              <w:t>地面洁净、无水渍、无污渍、无油渍；</w:t>
            </w:r>
          </w:p>
          <w:p w14:paraId="23B59F3F">
            <w:pPr>
              <w:pStyle w:val="642"/>
              <w:numPr>
                <w:ilvl w:val="0"/>
                <w:numId w:val="22"/>
              </w:numPr>
              <w:adjustRightInd w:val="0"/>
              <w:snapToGrid w:val="0"/>
              <w:spacing w:line="360" w:lineRule="auto"/>
              <w:ind w:firstLineChars="0"/>
              <w:rPr>
                <w:rFonts w:asciiTheme="minorEastAsia" w:hAnsiTheme="minorEastAsia" w:cstheme="minorEastAsia"/>
                <w:sz w:val="21"/>
                <w:szCs w:val="21"/>
              </w:rPr>
            </w:pPr>
            <w:r>
              <w:rPr>
                <w:rFonts w:hint="eastAsia" w:asciiTheme="minorEastAsia" w:hAnsiTheme="minorEastAsia" w:cstheme="minorEastAsia"/>
                <w:sz w:val="21"/>
                <w:szCs w:val="21"/>
              </w:rPr>
              <w:t>停车场设施设备干净、无明显污渍。</w:t>
            </w:r>
          </w:p>
        </w:tc>
      </w:tr>
      <w:tr w14:paraId="5B653D6A">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jc w:val="center"/>
        </w:trPr>
        <w:tc>
          <w:tcPr>
            <w:tcW w:w="3002" w:type="dxa"/>
            <w:gridSpan w:val="2"/>
            <w:tcBorders>
              <w:top w:val="single" w:color="auto" w:sz="2" w:space="0"/>
              <w:left w:val="single" w:color="auto" w:sz="2" w:space="0"/>
              <w:bottom w:val="single" w:color="auto" w:sz="2" w:space="0"/>
              <w:right w:val="single" w:color="auto" w:sz="2" w:space="0"/>
            </w:tcBorders>
            <w:vAlign w:val="center"/>
          </w:tcPr>
          <w:p w14:paraId="31305C23">
            <w:pPr>
              <w:adjustRightInd w:val="0"/>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外立面保洁</w:t>
            </w:r>
          </w:p>
        </w:tc>
        <w:tc>
          <w:tcPr>
            <w:tcW w:w="6660" w:type="dxa"/>
            <w:gridSpan w:val="2"/>
            <w:tcBorders>
              <w:top w:val="single" w:color="auto" w:sz="2" w:space="0"/>
              <w:left w:val="single" w:color="auto" w:sz="2" w:space="0"/>
              <w:bottom w:val="single" w:color="auto" w:sz="2" w:space="0"/>
              <w:right w:val="single" w:color="auto" w:sz="4" w:space="0"/>
            </w:tcBorders>
          </w:tcPr>
          <w:p w14:paraId="4E1CA01C">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1.按要求对建筑墙面（含玻璃幕墙）、屋顶、房檐、天沟等进行定期清洁。玻璃幕墙、透光屋顶每学期清洗一次；</w:t>
            </w:r>
          </w:p>
          <w:p w14:paraId="011E34A2">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2.做到墙面洁净，无明显污痕，房檐无悬挂物，屋顶无垃圾堆积，天沟排水通畅。</w:t>
            </w:r>
          </w:p>
        </w:tc>
      </w:tr>
      <w:tr w14:paraId="1EA6863E">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3002" w:type="dxa"/>
            <w:gridSpan w:val="2"/>
            <w:tcBorders>
              <w:top w:val="single" w:color="auto" w:sz="2" w:space="0"/>
              <w:left w:val="single" w:color="auto" w:sz="2" w:space="0"/>
              <w:bottom w:val="single" w:color="auto" w:sz="2" w:space="0"/>
              <w:right w:val="single" w:color="auto" w:sz="2" w:space="0"/>
            </w:tcBorders>
            <w:vAlign w:val="center"/>
          </w:tcPr>
          <w:p w14:paraId="000EC1ED">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室外区域</w:t>
            </w:r>
          </w:p>
        </w:tc>
        <w:tc>
          <w:tcPr>
            <w:tcW w:w="6660" w:type="dxa"/>
            <w:gridSpan w:val="2"/>
            <w:tcBorders>
              <w:top w:val="single" w:color="auto" w:sz="2" w:space="0"/>
              <w:left w:val="single" w:color="auto" w:sz="2" w:space="0"/>
              <w:bottom w:val="single" w:color="auto" w:sz="2" w:space="0"/>
              <w:right w:val="single" w:color="auto" w:sz="4" w:space="0"/>
            </w:tcBorders>
            <w:vAlign w:val="center"/>
          </w:tcPr>
          <w:p w14:paraId="2D3B2787">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1.硬化地面、主干道无垃圾、无杂物、干净整洁；</w:t>
            </w:r>
          </w:p>
          <w:p w14:paraId="44981EB5">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2.绿地无垃圾、无杂物、干净整洁；</w:t>
            </w:r>
          </w:p>
          <w:p w14:paraId="5AFFA383">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3.风雨连廊顶面无杂物、干净整洁；</w:t>
            </w:r>
          </w:p>
          <w:p w14:paraId="476ED530">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4.楼外物业管理区域日常设专人保洁，保持干净整洁无杂物；</w:t>
            </w:r>
          </w:p>
          <w:p w14:paraId="28FF0DCB">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5.车棚日常保洁维护，地面干净整洁，车辆摆放整齐；</w:t>
            </w:r>
          </w:p>
          <w:p w14:paraId="38D86A75">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6.对区域内主路、干路落叶、积水、积雪等适时进行清扫；</w:t>
            </w:r>
          </w:p>
          <w:p w14:paraId="0F99F4BC">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7.如遇降雪，应根据气温变化和降雪量，及时组织人力进行清理，并适当使用融雪剂、防滑垫等器材，保证主要道路正常通行；</w:t>
            </w:r>
          </w:p>
          <w:p w14:paraId="5E600D64">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8.宣传栏、室外标识牌无灰尘、无污痕、无破损；</w:t>
            </w:r>
          </w:p>
          <w:p w14:paraId="08B8651B">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9.垃圾桶、果皮箱无异味，夏季每天消毒，桶、箱外壁洁净、无明显污渍，桶、箱内垃圾不超过一半；</w:t>
            </w:r>
          </w:p>
          <w:p w14:paraId="345C26A2">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10.灯杆、楼前灯无灰尘、无污痕、无损坏；</w:t>
            </w:r>
          </w:p>
          <w:p w14:paraId="6F9A453B">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11.户外座椅定期进行油漆维护；</w:t>
            </w:r>
          </w:p>
          <w:p w14:paraId="54AD8E72">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12.日常清洁不得使用自来水和消防水，特殊情况必须使用自来水的需报学校同意后使用。</w:t>
            </w:r>
          </w:p>
        </w:tc>
      </w:tr>
      <w:tr w14:paraId="23BA7E59">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jc w:val="center"/>
        </w:trPr>
        <w:tc>
          <w:tcPr>
            <w:tcW w:w="3002" w:type="dxa"/>
            <w:gridSpan w:val="2"/>
            <w:tcBorders>
              <w:top w:val="single" w:color="auto" w:sz="2" w:space="0"/>
              <w:left w:val="single" w:color="auto" w:sz="2" w:space="0"/>
              <w:bottom w:val="single" w:color="auto" w:sz="2" w:space="0"/>
              <w:right w:val="single" w:color="auto" w:sz="2" w:space="0"/>
            </w:tcBorders>
            <w:vAlign w:val="center"/>
          </w:tcPr>
          <w:p w14:paraId="69F186E6">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窨井、化粪池清掏</w:t>
            </w:r>
          </w:p>
        </w:tc>
        <w:tc>
          <w:tcPr>
            <w:tcW w:w="6660" w:type="dxa"/>
            <w:gridSpan w:val="2"/>
            <w:tcBorders>
              <w:top w:val="single" w:color="auto" w:sz="2" w:space="0"/>
              <w:left w:val="single" w:color="auto" w:sz="2" w:space="0"/>
              <w:bottom w:val="single" w:color="auto" w:sz="2" w:space="0"/>
              <w:right w:val="single" w:color="auto" w:sz="4" w:space="0"/>
            </w:tcBorders>
            <w:vAlign w:val="center"/>
          </w:tcPr>
          <w:p w14:paraId="10500047">
            <w:pPr>
              <w:numPr>
                <w:ilvl w:val="0"/>
                <w:numId w:val="23"/>
              </w:num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保证窨井盖完好，保证日常雨水、污水管道畅通，无粪便堵塞或溢出现象。清掏物全部清运；清理后，目视井内无积物、无块状浮物，出入口畅通，污水不溢出地面；</w:t>
            </w:r>
          </w:p>
          <w:p w14:paraId="68DB71E0">
            <w:pPr>
              <w:numPr>
                <w:ilvl w:val="0"/>
                <w:numId w:val="23"/>
              </w:num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化粪池每半个月检查并吸抽一次。</w:t>
            </w:r>
          </w:p>
        </w:tc>
      </w:tr>
      <w:tr w14:paraId="294ACBBD">
        <w:tblPrEx>
          <w:tblBorders>
            <w:top w:val="single" w:color="auto" w:sz="4" w:space="0"/>
            <w:left w:val="single" w:color="auto" w:sz="2"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34" w:hRule="atLeast"/>
          <w:jc w:val="center"/>
        </w:trPr>
        <w:tc>
          <w:tcPr>
            <w:tcW w:w="3002" w:type="dxa"/>
            <w:gridSpan w:val="2"/>
            <w:tcBorders>
              <w:top w:val="single" w:color="auto" w:sz="2" w:space="0"/>
              <w:left w:val="single" w:color="auto" w:sz="2" w:space="0"/>
              <w:bottom w:val="single" w:color="auto" w:sz="4" w:space="0"/>
              <w:right w:val="single" w:color="auto" w:sz="2" w:space="0"/>
            </w:tcBorders>
            <w:vAlign w:val="center"/>
          </w:tcPr>
          <w:p w14:paraId="69A99133">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垃圾清运与垃圾中转站（含危化品中转站）的保洁管理</w:t>
            </w:r>
          </w:p>
        </w:tc>
        <w:tc>
          <w:tcPr>
            <w:tcW w:w="6660" w:type="dxa"/>
            <w:gridSpan w:val="2"/>
            <w:tcBorders>
              <w:top w:val="single" w:color="auto" w:sz="2" w:space="0"/>
              <w:left w:val="single" w:color="auto" w:sz="2" w:space="0"/>
              <w:bottom w:val="single" w:color="auto" w:sz="4" w:space="0"/>
              <w:right w:val="single" w:color="auto" w:sz="4" w:space="0"/>
            </w:tcBorders>
            <w:vAlign w:val="center"/>
          </w:tcPr>
          <w:p w14:paraId="0D57EBFD">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负责校区整体的生活垃圾清运（食堂、商铺的餐厨垃圾、建筑垃圾、大件包装垃圾、实验室危废除外），垃圾需安排每日清运，清运方式由投标方与当地环卫部门自行联系决定，垃圾清运的费用包含在本次报价内。2024年全年生活垃圾桶数为19380桶（240L）供参考。 </w:t>
            </w:r>
          </w:p>
        </w:tc>
      </w:tr>
    </w:tbl>
    <w:p w14:paraId="71CBC2B2">
      <w:pPr>
        <w:widowControl/>
        <w:adjustRightInd w:val="0"/>
        <w:snapToGrid w:val="0"/>
        <w:spacing w:line="360" w:lineRule="auto"/>
        <w:ind w:firstLine="420" w:firstLineChars="200"/>
        <w:jc w:val="left"/>
        <w:outlineLvl w:val="3"/>
        <w:rPr>
          <w:rFonts w:asciiTheme="minorEastAsia" w:hAnsiTheme="minorEastAsia" w:cstheme="minorEastAsia"/>
          <w:szCs w:val="21"/>
        </w:rPr>
      </w:pPr>
    </w:p>
    <w:p w14:paraId="24DBFE0C">
      <w:pPr>
        <w:widowControl/>
        <w:adjustRightInd w:val="0"/>
        <w:snapToGrid w:val="0"/>
        <w:spacing w:line="360" w:lineRule="auto"/>
        <w:ind w:firstLine="420" w:firstLineChars="200"/>
        <w:jc w:val="left"/>
        <w:outlineLvl w:val="3"/>
        <w:rPr>
          <w:rFonts w:asciiTheme="minorEastAsia" w:hAnsiTheme="minorEastAsia" w:cstheme="minorEastAsia"/>
          <w:szCs w:val="21"/>
        </w:rPr>
      </w:pPr>
    </w:p>
    <w:p w14:paraId="1E9E2CD4">
      <w:pPr>
        <w:widowControl/>
        <w:adjustRightInd w:val="0"/>
        <w:snapToGrid w:val="0"/>
        <w:spacing w:line="360" w:lineRule="auto"/>
        <w:ind w:firstLine="420" w:firstLineChars="200"/>
        <w:jc w:val="left"/>
        <w:outlineLvl w:val="3"/>
        <w:rPr>
          <w:rFonts w:asciiTheme="minorEastAsia" w:hAnsiTheme="minorEastAsia" w:cstheme="minorEastAsia"/>
          <w:szCs w:val="21"/>
        </w:rPr>
      </w:pPr>
      <w:r>
        <w:rPr>
          <w:rFonts w:hint="eastAsia" w:asciiTheme="minorEastAsia" w:hAnsiTheme="minorEastAsia" w:cstheme="minorEastAsia"/>
          <w:szCs w:val="21"/>
        </w:rPr>
        <w:t>（3）设施运行维护</w:t>
      </w:r>
    </w:p>
    <w:tbl>
      <w:tblPr>
        <w:tblStyle w:val="53"/>
        <w:tblW w:w="9067" w:type="dxa"/>
        <w:tblInd w:w="136" w:type="dxa"/>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5"/>
        <w:gridCol w:w="2415"/>
        <w:gridCol w:w="5097"/>
      </w:tblGrid>
      <w:tr w14:paraId="497F0348">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trPr>
        <w:tc>
          <w:tcPr>
            <w:tcW w:w="1555" w:type="dxa"/>
            <w:tcBorders>
              <w:top w:val="single" w:color="auto" w:sz="2" w:space="0"/>
              <w:left w:val="single" w:color="auto" w:sz="4" w:space="0"/>
              <w:bottom w:val="single" w:color="auto" w:sz="2" w:space="0"/>
              <w:right w:val="single" w:color="auto" w:sz="2" w:space="0"/>
            </w:tcBorders>
            <w:vAlign w:val="center"/>
          </w:tcPr>
          <w:p w14:paraId="6BBF0630">
            <w:pPr>
              <w:adjustRightInd w:val="0"/>
              <w:snapToGrid w:val="0"/>
              <w:spacing w:line="500" w:lineRule="exact"/>
              <w:jc w:val="center"/>
              <w:rPr>
                <w:rFonts w:asciiTheme="minorEastAsia" w:hAnsiTheme="minorEastAsia" w:cstheme="minorEastAsia"/>
                <w:szCs w:val="21"/>
              </w:rPr>
            </w:pPr>
            <w:r>
              <w:rPr>
                <w:rFonts w:hint="eastAsia" w:asciiTheme="minorEastAsia" w:hAnsiTheme="minorEastAsia" w:cstheme="minorEastAsia"/>
                <w:szCs w:val="21"/>
              </w:rPr>
              <w:t>服务内容</w:t>
            </w:r>
          </w:p>
        </w:tc>
        <w:tc>
          <w:tcPr>
            <w:tcW w:w="2415" w:type="dxa"/>
            <w:tcBorders>
              <w:top w:val="single" w:color="auto" w:sz="2" w:space="0"/>
              <w:left w:val="single" w:color="auto" w:sz="2" w:space="0"/>
              <w:bottom w:val="single" w:color="auto" w:sz="2" w:space="0"/>
              <w:right w:val="single" w:color="auto" w:sz="2" w:space="0"/>
            </w:tcBorders>
            <w:vAlign w:val="center"/>
          </w:tcPr>
          <w:p w14:paraId="7E645FB1">
            <w:pPr>
              <w:adjustRightInd w:val="0"/>
              <w:snapToGrid w:val="0"/>
              <w:spacing w:line="500" w:lineRule="exact"/>
              <w:jc w:val="center"/>
              <w:rPr>
                <w:rFonts w:asciiTheme="minorEastAsia" w:hAnsiTheme="minorEastAsia" w:cstheme="minorEastAsia"/>
                <w:szCs w:val="21"/>
              </w:rPr>
            </w:pPr>
            <w:r>
              <w:rPr>
                <w:rFonts w:hint="eastAsia" w:asciiTheme="minorEastAsia" w:hAnsiTheme="minorEastAsia" w:cstheme="minorEastAsia"/>
                <w:szCs w:val="21"/>
              </w:rPr>
              <w:t>作业频率</w:t>
            </w:r>
          </w:p>
        </w:tc>
        <w:tc>
          <w:tcPr>
            <w:tcW w:w="5097" w:type="dxa"/>
            <w:tcBorders>
              <w:top w:val="single" w:color="auto" w:sz="2" w:space="0"/>
              <w:left w:val="single" w:color="auto" w:sz="2" w:space="0"/>
              <w:bottom w:val="single" w:color="auto" w:sz="2" w:space="0"/>
              <w:right w:val="single" w:color="auto" w:sz="2" w:space="0"/>
            </w:tcBorders>
            <w:vAlign w:val="center"/>
          </w:tcPr>
          <w:p w14:paraId="145E00F6">
            <w:pPr>
              <w:adjustRightInd w:val="0"/>
              <w:snapToGrid w:val="0"/>
              <w:spacing w:line="500" w:lineRule="exact"/>
              <w:jc w:val="center"/>
              <w:rPr>
                <w:rFonts w:asciiTheme="minorEastAsia" w:hAnsiTheme="minorEastAsia" w:cstheme="minorEastAsia"/>
                <w:szCs w:val="21"/>
              </w:rPr>
            </w:pPr>
            <w:r>
              <w:rPr>
                <w:rFonts w:hint="eastAsia" w:asciiTheme="minorEastAsia" w:hAnsiTheme="minorEastAsia" w:cstheme="minorEastAsia"/>
                <w:szCs w:val="21"/>
              </w:rPr>
              <w:t>服务标准</w:t>
            </w:r>
          </w:p>
        </w:tc>
      </w:tr>
      <w:tr w14:paraId="21247464">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55" w:type="dxa"/>
            <w:tcBorders>
              <w:top w:val="single" w:color="auto" w:sz="2" w:space="0"/>
              <w:left w:val="single" w:color="auto" w:sz="4" w:space="0"/>
              <w:bottom w:val="single" w:color="auto" w:sz="2" w:space="0"/>
              <w:right w:val="single" w:color="auto" w:sz="2" w:space="0"/>
            </w:tcBorders>
            <w:vAlign w:val="center"/>
          </w:tcPr>
          <w:p w14:paraId="20541D1A">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电梯管理</w:t>
            </w:r>
          </w:p>
        </w:tc>
        <w:tc>
          <w:tcPr>
            <w:tcW w:w="2415" w:type="dxa"/>
            <w:tcBorders>
              <w:top w:val="single" w:color="auto" w:sz="2" w:space="0"/>
              <w:left w:val="single" w:color="auto" w:sz="2" w:space="0"/>
              <w:bottom w:val="single" w:color="auto" w:sz="2" w:space="0"/>
              <w:right w:val="single" w:color="auto" w:sz="2" w:space="0"/>
            </w:tcBorders>
            <w:vAlign w:val="center"/>
          </w:tcPr>
          <w:p w14:paraId="1C2C18D5">
            <w:pPr>
              <w:adjustRightInd w:val="0"/>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电梯的运行、维护、小修、中修，严格执行国家有关电梯维护保养规定。</w:t>
            </w:r>
          </w:p>
        </w:tc>
        <w:tc>
          <w:tcPr>
            <w:tcW w:w="5097" w:type="dxa"/>
            <w:tcBorders>
              <w:top w:val="single" w:color="auto" w:sz="2" w:space="0"/>
              <w:left w:val="single" w:color="auto" w:sz="2" w:space="0"/>
              <w:bottom w:val="single" w:color="auto" w:sz="2" w:space="0"/>
              <w:right w:val="single" w:color="auto" w:sz="2" w:space="0"/>
            </w:tcBorders>
            <w:vAlign w:val="center"/>
          </w:tcPr>
          <w:p w14:paraId="029E0D11">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1．配合做好电梯机房标准化建设；</w:t>
            </w:r>
          </w:p>
          <w:p w14:paraId="3BABB464">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2．中标人委托专业资质单位进行系统保养，负责制定全年保养计划，根据保养计划按时保质完成维护保养工作；</w:t>
            </w:r>
          </w:p>
          <w:p w14:paraId="48875A00">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3．电梯24小时运行，实行巡查制，确保电梯正常运行；</w:t>
            </w:r>
          </w:p>
          <w:p w14:paraId="58D34803">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4．电梯每日进行一次质量安全巡查，并填写巡查记录；</w:t>
            </w:r>
          </w:p>
          <w:p w14:paraId="14983292">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5.电梯维护保养定期进行、定期检验，合格率达到100%；</w:t>
            </w:r>
          </w:p>
          <w:p w14:paraId="2D0A67C5">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6．电梯技术档案资料齐全，技术数据准确。</w:t>
            </w:r>
          </w:p>
        </w:tc>
      </w:tr>
      <w:tr w14:paraId="4E1B7DF6">
        <w:tblPrEx>
          <w:tblBorders>
            <w:top w:val="single" w:color="auto" w:sz="2" w:space="0"/>
            <w:left w:val="single" w:color="auto" w:sz="4"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trPr>
        <w:tc>
          <w:tcPr>
            <w:tcW w:w="1555" w:type="dxa"/>
            <w:tcBorders>
              <w:top w:val="single" w:color="auto" w:sz="2" w:space="0"/>
              <w:left w:val="single" w:color="auto" w:sz="4" w:space="0"/>
              <w:bottom w:val="single" w:color="auto" w:sz="2" w:space="0"/>
              <w:right w:val="single" w:color="auto" w:sz="2" w:space="0"/>
            </w:tcBorders>
            <w:vAlign w:val="center"/>
          </w:tcPr>
          <w:p w14:paraId="672D28C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建筑</w:t>
            </w:r>
          </w:p>
          <w:p w14:paraId="0FE528A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灭火器维护</w:t>
            </w:r>
          </w:p>
        </w:tc>
        <w:tc>
          <w:tcPr>
            <w:tcW w:w="2415" w:type="dxa"/>
            <w:tcBorders>
              <w:top w:val="single" w:color="auto" w:sz="2" w:space="0"/>
              <w:left w:val="single" w:color="auto" w:sz="2" w:space="0"/>
              <w:bottom w:val="single" w:color="auto" w:sz="2" w:space="0"/>
              <w:right w:val="single" w:color="auto" w:sz="2" w:space="0"/>
            </w:tcBorders>
            <w:vAlign w:val="center"/>
          </w:tcPr>
          <w:p w14:paraId="704AED6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日常管理</w:t>
            </w:r>
          </w:p>
        </w:tc>
        <w:tc>
          <w:tcPr>
            <w:tcW w:w="5097" w:type="dxa"/>
            <w:tcBorders>
              <w:top w:val="single" w:color="auto" w:sz="2" w:space="0"/>
              <w:left w:val="single" w:color="auto" w:sz="2" w:space="0"/>
              <w:bottom w:val="single" w:color="auto" w:sz="2" w:space="0"/>
              <w:right w:val="single" w:color="auto" w:sz="2" w:space="0"/>
            </w:tcBorders>
            <w:vAlign w:val="center"/>
          </w:tcPr>
          <w:p w14:paraId="21B51F3C">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1.每月检查灭火器材并填写消防维护卡；</w:t>
            </w:r>
          </w:p>
          <w:p w14:paraId="1B2B2A26">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2.做好灭火设施的缺失上报，确保灭火器压力指示器指向绿区，灭火器外观无明显损伤和缺陷，保险装置的铅封（塑料带、线封）完好无损。</w:t>
            </w:r>
          </w:p>
        </w:tc>
      </w:tr>
    </w:tbl>
    <w:p w14:paraId="10576B98">
      <w:pPr>
        <w:pStyle w:val="351"/>
        <w:spacing w:line="360" w:lineRule="auto"/>
        <w:ind w:left="0"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（4）绿地养护</w:t>
      </w:r>
    </w:p>
    <w:tbl>
      <w:tblPr>
        <w:tblStyle w:val="53"/>
        <w:tblW w:w="9069" w:type="dxa"/>
        <w:tblInd w:w="13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8"/>
        <w:gridCol w:w="7371"/>
      </w:tblGrid>
      <w:tr w14:paraId="5865A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698" w:type="dxa"/>
            <w:tcBorders>
              <w:top w:val="single" w:color="auto" w:sz="2" w:space="0"/>
              <w:left w:val="single" w:color="auto" w:sz="2" w:space="0"/>
              <w:bottom w:val="single" w:color="auto" w:sz="2" w:space="0"/>
              <w:right w:val="single" w:color="auto" w:sz="2" w:space="0"/>
            </w:tcBorders>
            <w:vAlign w:val="center"/>
          </w:tcPr>
          <w:p w14:paraId="23DBF127">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服务内容</w:t>
            </w:r>
          </w:p>
        </w:tc>
        <w:tc>
          <w:tcPr>
            <w:tcW w:w="7371" w:type="dxa"/>
            <w:tcBorders>
              <w:top w:val="single" w:color="auto" w:sz="2" w:space="0"/>
              <w:left w:val="single" w:color="auto" w:sz="2" w:space="0"/>
              <w:bottom w:val="single" w:color="auto" w:sz="2" w:space="0"/>
              <w:right w:val="single" w:color="auto" w:sz="2" w:space="0"/>
            </w:tcBorders>
            <w:vAlign w:val="center"/>
          </w:tcPr>
          <w:p w14:paraId="4CEB1614">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服务标准</w:t>
            </w:r>
          </w:p>
        </w:tc>
      </w:tr>
      <w:tr w14:paraId="24B6BD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698" w:type="dxa"/>
            <w:tcBorders>
              <w:top w:val="single" w:color="auto" w:sz="2" w:space="0"/>
              <w:left w:val="single" w:color="auto" w:sz="2" w:space="0"/>
              <w:bottom w:val="single" w:color="auto" w:sz="2" w:space="0"/>
              <w:right w:val="single" w:color="auto" w:sz="2" w:space="0"/>
            </w:tcBorders>
            <w:vAlign w:val="center"/>
          </w:tcPr>
          <w:p w14:paraId="29046BC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服务范围及总体要求</w:t>
            </w:r>
          </w:p>
        </w:tc>
        <w:tc>
          <w:tcPr>
            <w:tcW w:w="7371" w:type="dxa"/>
            <w:tcBorders>
              <w:top w:val="single" w:color="auto" w:sz="2" w:space="0"/>
              <w:left w:val="single" w:color="auto" w:sz="2" w:space="0"/>
              <w:bottom w:val="single" w:color="auto" w:sz="2" w:space="0"/>
              <w:right w:val="single" w:color="auto" w:sz="2" w:space="0"/>
            </w:tcBorders>
            <w:vAlign w:val="center"/>
          </w:tcPr>
          <w:p w14:paraId="70DBDC12">
            <w:pPr>
              <w:spacing w:line="360" w:lineRule="auto"/>
              <w:rPr>
                <w:rFonts w:ascii="宋体" w:hAnsi="宋体"/>
                <w:szCs w:val="21"/>
              </w:rPr>
            </w:pPr>
            <w:r>
              <w:rPr>
                <w:rFonts w:hint="eastAsia" w:asciiTheme="minorEastAsia" w:hAnsiTheme="minorEastAsia" w:cstheme="minorEastAsia"/>
                <w:szCs w:val="21"/>
              </w:rPr>
              <w:t>1.校园绿化共约55万平方米；</w:t>
            </w:r>
          </w:p>
          <w:p w14:paraId="4712F480">
            <w:pPr>
              <w:spacing w:line="360" w:lineRule="auto"/>
              <w:rPr>
                <w:rFonts w:asciiTheme="minorEastAsia" w:hAnsiTheme="minorEastAsia" w:cstheme="minorEastAsia"/>
                <w:szCs w:val="21"/>
              </w:rPr>
            </w:pPr>
            <w:r>
              <w:rPr>
                <w:rFonts w:hint="eastAsia" w:asciiTheme="minorEastAsia" w:hAnsiTheme="minorEastAsia" w:cstheme="minorEastAsia"/>
                <w:szCs w:val="21"/>
              </w:rPr>
              <w:t>2.养护期内中标人代表采购人对养护单位的养护质量按本标准进行监管，做好绿化档案建档，对影响道路通行提前向师生通告，喷洒农药区域设安全警示牌等；</w:t>
            </w:r>
          </w:p>
          <w:p w14:paraId="52C37289">
            <w:pPr>
              <w:spacing w:line="360" w:lineRule="auto"/>
              <w:rPr>
                <w:rFonts w:asciiTheme="minorEastAsia" w:hAnsiTheme="minorEastAsia" w:cstheme="minorEastAsia"/>
                <w:szCs w:val="21"/>
              </w:rPr>
            </w:pPr>
            <w:r>
              <w:rPr>
                <w:rFonts w:hint="eastAsia" w:asciiTheme="minorEastAsia" w:hAnsiTheme="minorEastAsia" w:cstheme="minorEastAsia"/>
                <w:szCs w:val="21"/>
              </w:rPr>
              <w:t>3.</w:t>
            </w:r>
            <w:r>
              <w:rPr>
                <w:rFonts w:hint="eastAsia" w:ascii="宋体" w:hAnsi="宋体"/>
                <w:szCs w:val="21"/>
              </w:rPr>
              <w:t>明确绿化养护管理负责人及主要岗位工作人员，无特殊情况不得调换；绿化养护队伍应是乙方的基本队伍，不得挂靠其它单位</w:t>
            </w:r>
            <w:r>
              <w:rPr>
                <w:rFonts w:hint="eastAsia" w:asciiTheme="minorEastAsia" w:hAnsiTheme="minorEastAsia" w:cstheme="minorEastAsia"/>
                <w:szCs w:val="21"/>
              </w:rPr>
              <w:t>；</w:t>
            </w:r>
          </w:p>
          <w:p w14:paraId="6AD2213E">
            <w:pPr>
              <w:spacing w:line="360" w:lineRule="auto"/>
              <w:rPr>
                <w:rFonts w:ascii="宋体" w:hAnsi="宋体"/>
                <w:szCs w:val="21"/>
              </w:rPr>
            </w:pPr>
            <w:r>
              <w:rPr>
                <w:rFonts w:hint="eastAsia" w:ascii="宋体" w:hAnsi="宋体"/>
                <w:szCs w:val="21"/>
              </w:rPr>
              <w:t>4.加强养护队伍技术和素质培训，提高绿化养护水平：</w:t>
            </w:r>
          </w:p>
          <w:p w14:paraId="0F23D3DA">
            <w:pPr>
              <w:spacing w:line="360" w:lineRule="auto"/>
              <w:rPr>
                <w:rFonts w:ascii="宋体" w:hAnsi="宋体"/>
                <w:szCs w:val="21"/>
              </w:rPr>
            </w:pPr>
            <w:r>
              <w:rPr>
                <w:rFonts w:hint="eastAsia" w:ascii="宋体" w:hAnsi="宋体"/>
                <w:szCs w:val="21"/>
              </w:rPr>
              <w:t>5.校园绿化养护工作过程中，应统一着装，安全养护，文明养护。</w:t>
            </w:r>
          </w:p>
          <w:p w14:paraId="46582077">
            <w:pPr>
              <w:spacing w:line="360" w:lineRule="auto"/>
              <w:rPr>
                <w:rFonts w:asciiTheme="minorEastAsia" w:hAnsiTheme="minorEastAsia" w:cstheme="minorEastAsia"/>
                <w:szCs w:val="21"/>
              </w:rPr>
            </w:pPr>
            <w:r>
              <w:rPr>
                <w:rFonts w:hint="eastAsia" w:asciiTheme="minorEastAsia" w:hAnsiTheme="minorEastAsia" w:cstheme="minorEastAsia"/>
                <w:szCs w:val="21"/>
              </w:rPr>
              <w:t>6．负责绿化带、草地等落叶清扫和垃圾清理，保证绿地卫生；养护期结束后，按标准及采购人要求负责正常绿化养护；</w:t>
            </w:r>
          </w:p>
          <w:p w14:paraId="6E98642A">
            <w:pPr>
              <w:spacing w:line="360" w:lineRule="auto"/>
              <w:rPr>
                <w:rFonts w:asciiTheme="minorEastAsia" w:hAnsiTheme="minorEastAsia" w:cstheme="minorEastAsia"/>
                <w:szCs w:val="21"/>
              </w:rPr>
            </w:pPr>
            <w:r>
              <w:rPr>
                <w:rFonts w:hint="eastAsia" w:asciiTheme="minorEastAsia" w:hAnsiTheme="minorEastAsia" w:cstheme="minorEastAsia"/>
                <w:szCs w:val="21"/>
              </w:rPr>
              <w:t>7．水域水位的保持、水面漂浮物打捞、水生植物养护等由中标人负责；</w:t>
            </w:r>
          </w:p>
          <w:p w14:paraId="6CC8C0CF">
            <w:pPr>
              <w:spacing w:line="360" w:lineRule="auto"/>
              <w:rPr>
                <w:rFonts w:asciiTheme="minorEastAsia" w:hAnsiTheme="minorEastAsia" w:cstheme="minorEastAsia"/>
                <w:szCs w:val="21"/>
              </w:rPr>
            </w:pPr>
            <w:r>
              <w:rPr>
                <w:rFonts w:hint="eastAsia" w:asciiTheme="minorEastAsia" w:hAnsiTheme="minorEastAsia" w:cstheme="minorEastAsia"/>
                <w:szCs w:val="21"/>
              </w:rPr>
              <w:t>8．绿化作业除按《CJJT 287-2018 园林绿化养护标准》标准执行外，还需按照《浙江农林大学校园绿化养护管理标准与技术规程》执行（见附件）。</w:t>
            </w:r>
          </w:p>
          <w:p w14:paraId="6C7E8C7F">
            <w:pPr>
              <w:spacing w:line="360" w:lineRule="auto"/>
              <w:rPr>
                <w:rFonts w:ascii="宋体" w:hAnsi="宋体"/>
                <w:szCs w:val="21"/>
              </w:rPr>
            </w:pPr>
            <w:r>
              <w:rPr>
                <w:rFonts w:hint="eastAsia" w:asciiTheme="minorEastAsia" w:hAnsiTheme="minorEastAsia" w:cstheme="minorEastAsia"/>
                <w:szCs w:val="21"/>
              </w:rPr>
              <w:t>9.</w:t>
            </w:r>
            <w:r>
              <w:rPr>
                <w:rFonts w:hint="eastAsia" w:ascii="宋体" w:hAnsi="宋体"/>
                <w:szCs w:val="21"/>
              </w:rPr>
              <w:t>在绿化养护期间，乙方每天到场的养护人员(非管理人员)不得低于25人，雨天不能操作情况及其它特殊情况除外，植物园管理办公室人员每月对现场养护人员进行不定期抽查，连续3次不满25人，扣除该年度养护经费的1%。</w:t>
            </w:r>
          </w:p>
          <w:p w14:paraId="0C088081">
            <w:pPr>
              <w:spacing w:line="360" w:lineRule="auto"/>
              <w:rPr>
                <w:rFonts w:asciiTheme="minorEastAsia" w:hAnsiTheme="minorEastAsia" w:cstheme="minorEastAsia"/>
                <w:szCs w:val="21"/>
              </w:rPr>
            </w:pPr>
            <w:r>
              <w:rPr>
                <w:rFonts w:hint="eastAsia" w:ascii="宋体" w:hAnsi="宋体"/>
                <w:szCs w:val="21"/>
              </w:rPr>
              <w:t>10.甲方在植物园建设与管理过程中需要乙方的员工协助开展植物引种、移栽和其它工作,由乙方通过派遣形式优先安排员工，派遣工人的日常管理、劳动安全与责任风险由乙方负责，甲方不承担派遣工人的日常管理、劳动安全与责任风险。临时派遣工人的工资含在合同总费用中，工资标准:按150元/天·人。</w:t>
            </w:r>
          </w:p>
        </w:tc>
      </w:tr>
      <w:tr w14:paraId="7CA54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trPr>
        <w:tc>
          <w:tcPr>
            <w:tcW w:w="1698" w:type="dxa"/>
            <w:tcBorders>
              <w:top w:val="single" w:color="auto" w:sz="2" w:space="0"/>
              <w:left w:val="single" w:color="auto" w:sz="2" w:space="0"/>
              <w:bottom w:val="single" w:color="auto" w:sz="2" w:space="0"/>
              <w:right w:val="single" w:color="auto" w:sz="2" w:space="0"/>
            </w:tcBorders>
            <w:vAlign w:val="center"/>
          </w:tcPr>
          <w:p w14:paraId="3027D65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乔灌木养护</w:t>
            </w:r>
          </w:p>
        </w:tc>
        <w:tc>
          <w:tcPr>
            <w:tcW w:w="7371" w:type="dxa"/>
            <w:tcBorders>
              <w:top w:val="single" w:color="auto" w:sz="2" w:space="0"/>
              <w:left w:val="single" w:color="auto" w:sz="2" w:space="0"/>
              <w:bottom w:val="single" w:color="auto" w:sz="2" w:space="0"/>
              <w:right w:val="single" w:color="auto" w:sz="2" w:space="0"/>
            </w:tcBorders>
          </w:tcPr>
          <w:p w14:paraId="5713A986">
            <w:pPr>
              <w:spacing w:line="360" w:lineRule="auto"/>
              <w:rPr>
                <w:rFonts w:asciiTheme="minorEastAsia" w:hAnsiTheme="minorEastAsia" w:cstheme="minorEastAsia"/>
                <w:szCs w:val="21"/>
              </w:rPr>
            </w:pPr>
            <w:r>
              <w:rPr>
                <w:rFonts w:hint="eastAsia" w:asciiTheme="minorEastAsia" w:hAnsiTheme="minorEastAsia" w:cstheme="minorEastAsia"/>
                <w:szCs w:val="21"/>
              </w:rPr>
              <w:t>1.植物配置基本合理。乔、灌、花、草齐全，特级和一级区域内基本无裸露土地；</w:t>
            </w:r>
          </w:p>
          <w:p w14:paraId="35D6BB44">
            <w:pPr>
              <w:spacing w:line="360" w:lineRule="auto"/>
              <w:rPr>
                <w:rFonts w:asciiTheme="minorEastAsia" w:hAnsiTheme="minorEastAsia" w:cstheme="minorEastAsia"/>
                <w:szCs w:val="21"/>
              </w:rPr>
            </w:pPr>
            <w:r>
              <w:rPr>
                <w:rFonts w:hint="eastAsia" w:asciiTheme="minorEastAsia" w:hAnsiTheme="minorEastAsia" w:cstheme="minorEastAsia"/>
                <w:szCs w:val="21"/>
              </w:rPr>
              <w:t>2.树木生长正常，树冠基本完整，内膛不乱，通风透光，无明显枯枝死杈；</w:t>
            </w:r>
          </w:p>
          <w:p w14:paraId="599C4FC2">
            <w:pPr>
              <w:spacing w:line="360" w:lineRule="auto"/>
              <w:rPr>
                <w:rFonts w:asciiTheme="minorEastAsia" w:hAnsiTheme="minorEastAsia" w:cstheme="minorEastAsia"/>
                <w:szCs w:val="21"/>
              </w:rPr>
            </w:pPr>
            <w:r>
              <w:rPr>
                <w:rFonts w:hint="eastAsia" w:asciiTheme="minorEastAsia" w:hAnsiTheme="minorEastAsia" w:cstheme="minorEastAsia"/>
                <w:szCs w:val="21"/>
              </w:rPr>
              <w:t>3.在正常条件下，生长季节有少量黄叶、焦叶、卷叶；</w:t>
            </w:r>
          </w:p>
          <w:p w14:paraId="53E212B0">
            <w:pPr>
              <w:spacing w:line="360" w:lineRule="auto"/>
              <w:rPr>
                <w:rFonts w:asciiTheme="minorEastAsia" w:hAnsiTheme="minorEastAsia" w:cstheme="minorEastAsia"/>
                <w:szCs w:val="21"/>
              </w:rPr>
            </w:pPr>
            <w:r>
              <w:rPr>
                <w:rFonts w:hint="eastAsia" w:asciiTheme="minorEastAsia" w:hAnsiTheme="minorEastAsia" w:cstheme="minorEastAsia"/>
                <w:szCs w:val="21"/>
              </w:rPr>
              <w:t>4.乔木适时修剪，灌木整形修剪每年一次，绿篱、球灌木等按生长情况、造型要求及时修剪，每年修剪不少于三遍，做到枝叶紧密，无脱节；</w:t>
            </w:r>
          </w:p>
          <w:p w14:paraId="450E1306">
            <w:pPr>
              <w:spacing w:line="360" w:lineRule="auto"/>
              <w:rPr>
                <w:rFonts w:asciiTheme="minorEastAsia" w:hAnsiTheme="minorEastAsia" w:cstheme="minorEastAsia"/>
                <w:szCs w:val="21"/>
              </w:rPr>
            </w:pPr>
            <w:r>
              <w:rPr>
                <w:rFonts w:hint="eastAsia" w:asciiTheme="minorEastAsia" w:hAnsiTheme="minorEastAsia" w:cstheme="minorEastAsia"/>
                <w:szCs w:val="21"/>
              </w:rPr>
              <w:t>5.每年除杂草六次及以上；</w:t>
            </w:r>
          </w:p>
          <w:p w14:paraId="0A634A82">
            <w:pPr>
              <w:spacing w:line="360" w:lineRule="auto"/>
              <w:rPr>
                <w:rFonts w:asciiTheme="minorEastAsia" w:hAnsiTheme="minorEastAsia" w:cstheme="minorEastAsia"/>
                <w:szCs w:val="21"/>
              </w:rPr>
            </w:pPr>
            <w:r>
              <w:rPr>
                <w:rFonts w:hint="eastAsia" w:asciiTheme="minorEastAsia" w:hAnsiTheme="minorEastAsia" w:cstheme="minorEastAsia"/>
                <w:szCs w:val="21"/>
              </w:rPr>
              <w:t>6.适量施肥。每年普施复合肥一遍，花灌木增施追肥一遍，其它植物视情进行施肥；</w:t>
            </w:r>
          </w:p>
          <w:p w14:paraId="62C5A27E">
            <w:pPr>
              <w:spacing w:line="360" w:lineRule="auto"/>
              <w:rPr>
                <w:rFonts w:asciiTheme="minorEastAsia" w:hAnsiTheme="minorEastAsia" w:cstheme="minorEastAsia"/>
                <w:szCs w:val="21"/>
              </w:rPr>
            </w:pPr>
            <w:r>
              <w:rPr>
                <w:rFonts w:hint="eastAsia" w:asciiTheme="minorEastAsia" w:hAnsiTheme="minorEastAsia" w:cstheme="minorEastAsia"/>
                <w:szCs w:val="21"/>
              </w:rPr>
              <w:t>7.防治结合，病虫害以预防为主，发现后及时防治扩散；</w:t>
            </w:r>
          </w:p>
          <w:p w14:paraId="77D66BF8">
            <w:pPr>
              <w:spacing w:line="360" w:lineRule="auto"/>
              <w:rPr>
                <w:rFonts w:asciiTheme="minorEastAsia" w:hAnsiTheme="minorEastAsia" w:cstheme="minorEastAsia"/>
                <w:szCs w:val="21"/>
              </w:rPr>
            </w:pPr>
            <w:r>
              <w:rPr>
                <w:rFonts w:hint="eastAsia" w:asciiTheme="minorEastAsia" w:hAnsiTheme="minorEastAsia" w:cstheme="minorEastAsia"/>
                <w:szCs w:val="21"/>
              </w:rPr>
              <w:t>8.树木基本无钉栓、捆绑现象；因天气造成树木倾斜及时支撑扶正。</w:t>
            </w:r>
          </w:p>
        </w:tc>
      </w:tr>
      <w:tr w14:paraId="45914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98" w:type="dxa"/>
            <w:tcBorders>
              <w:top w:val="single" w:color="auto" w:sz="2" w:space="0"/>
              <w:left w:val="single" w:color="auto" w:sz="2" w:space="0"/>
              <w:bottom w:val="single" w:color="auto" w:sz="2" w:space="0"/>
              <w:right w:val="single" w:color="auto" w:sz="2" w:space="0"/>
            </w:tcBorders>
            <w:vAlign w:val="center"/>
          </w:tcPr>
          <w:p w14:paraId="597555F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草坪养护</w:t>
            </w:r>
          </w:p>
        </w:tc>
        <w:tc>
          <w:tcPr>
            <w:tcW w:w="7371" w:type="dxa"/>
            <w:tcBorders>
              <w:top w:val="single" w:color="auto" w:sz="2" w:space="0"/>
              <w:left w:val="single" w:color="auto" w:sz="2" w:space="0"/>
              <w:bottom w:val="single" w:color="auto" w:sz="2" w:space="0"/>
              <w:right w:val="single" w:color="auto" w:sz="2" w:space="0"/>
            </w:tcBorders>
          </w:tcPr>
          <w:p w14:paraId="52D5F43F">
            <w:pPr>
              <w:spacing w:line="360" w:lineRule="auto"/>
              <w:rPr>
                <w:rFonts w:asciiTheme="minorEastAsia" w:hAnsiTheme="minorEastAsia" w:cstheme="minorEastAsia"/>
                <w:szCs w:val="21"/>
              </w:rPr>
            </w:pPr>
            <w:r>
              <w:rPr>
                <w:rFonts w:hint="eastAsia" w:asciiTheme="minorEastAsia" w:hAnsiTheme="minorEastAsia" w:cstheme="minorEastAsia"/>
                <w:szCs w:val="21"/>
              </w:rPr>
              <w:t>1.草坪覆盖率达到95%以上，生长旺盛，草根基本不裸露；</w:t>
            </w:r>
          </w:p>
          <w:p w14:paraId="73713E84">
            <w:pPr>
              <w:spacing w:line="360" w:lineRule="auto"/>
              <w:rPr>
                <w:rFonts w:asciiTheme="minorEastAsia" w:hAnsiTheme="minorEastAsia" w:cstheme="minorEastAsia"/>
                <w:szCs w:val="21"/>
              </w:rPr>
            </w:pPr>
            <w:r>
              <w:rPr>
                <w:rFonts w:hint="eastAsia" w:asciiTheme="minorEastAsia" w:hAnsiTheme="minorEastAsia" w:cstheme="minorEastAsia"/>
                <w:szCs w:val="21"/>
              </w:rPr>
              <w:t>2.叶色正常，生长季节基本无枯黄；</w:t>
            </w:r>
          </w:p>
          <w:p w14:paraId="4B7C2ABB">
            <w:pPr>
              <w:spacing w:line="360" w:lineRule="auto"/>
              <w:rPr>
                <w:rFonts w:asciiTheme="minorEastAsia" w:hAnsiTheme="minorEastAsia" w:cstheme="minorEastAsia"/>
                <w:szCs w:val="21"/>
              </w:rPr>
            </w:pPr>
            <w:r>
              <w:rPr>
                <w:rFonts w:hint="eastAsia" w:asciiTheme="minorEastAsia" w:hAnsiTheme="minorEastAsia" w:cstheme="minorEastAsia"/>
                <w:szCs w:val="21"/>
              </w:rPr>
              <w:t>3.定期草坪进行修剪，高度控制在8cm以下；</w:t>
            </w:r>
          </w:p>
          <w:p w14:paraId="2742C643">
            <w:pPr>
              <w:spacing w:line="360" w:lineRule="auto"/>
              <w:rPr>
                <w:rFonts w:asciiTheme="minorEastAsia" w:hAnsiTheme="minorEastAsia" w:cstheme="minorEastAsia"/>
                <w:szCs w:val="21"/>
              </w:rPr>
            </w:pPr>
            <w:r>
              <w:rPr>
                <w:rFonts w:hint="eastAsia" w:asciiTheme="minorEastAsia" w:hAnsiTheme="minorEastAsia" w:cstheme="minorEastAsia"/>
                <w:szCs w:val="21"/>
              </w:rPr>
              <w:t>4.及时防治杂草，每年人工杂草8次以上，杂草率控制在5%左右；</w:t>
            </w:r>
          </w:p>
          <w:p w14:paraId="6FB2FB48">
            <w:pPr>
              <w:spacing w:line="360" w:lineRule="auto"/>
              <w:rPr>
                <w:rFonts w:asciiTheme="minorEastAsia" w:hAnsiTheme="minorEastAsia" w:cstheme="minorEastAsia"/>
                <w:szCs w:val="21"/>
              </w:rPr>
            </w:pPr>
            <w:r>
              <w:rPr>
                <w:rFonts w:hint="eastAsia" w:asciiTheme="minorEastAsia" w:hAnsiTheme="minorEastAsia" w:cstheme="minorEastAsia"/>
                <w:szCs w:val="21"/>
              </w:rPr>
              <w:t>5.干旱、高温季节基本保持有效灌溉，有低洼及时平整，基本无积水；</w:t>
            </w:r>
          </w:p>
          <w:p w14:paraId="2CA216B9">
            <w:pPr>
              <w:spacing w:line="360" w:lineRule="auto"/>
              <w:rPr>
                <w:rFonts w:asciiTheme="minorEastAsia" w:hAnsiTheme="minorEastAsia" w:cstheme="minorEastAsia"/>
                <w:szCs w:val="21"/>
              </w:rPr>
            </w:pPr>
            <w:r>
              <w:rPr>
                <w:rFonts w:hint="eastAsia" w:asciiTheme="minorEastAsia" w:hAnsiTheme="minorEastAsia" w:cstheme="minorEastAsia"/>
                <w:szCs w:val="21"/>
              </w:rPr>
              <w:t>6.按生长情况，适时适量施有机肥；</w:t>
            </w:r>
          </w:p>
          <w:p w14:paraId="7FCDA16F">
            <w:pPr>
              <w:spacing w:line="360" w:lineRule="auto"/>
              <w:rPr>
                <w:rFonts w:asciiTheme="minorEastAsia" w:hAnsiTheme="minorEastAsia" w:cstheme="minorEastAsia"/>
                <w:szCs w:val="21"/>
              </w:rPr>
            </w:pPr>
            <w:r>
              <w:rPr>
                <w:rFonts w:hint="eastAsia" w:asciiTheme="minorEastAsia" w:hAnsiTheme="minorEastAsia" w:cstheme="minorEastAsia"/>
                <w:szCs w:val="21"/>
              </w:rPr>
              <w:t>7.及时做好病虫害防防治；</w:t>
            </w:r>
          </w:p>
          <w:p w14:paraId="5A1EE084">
            <w:pPr>
              <w:spacing w:line="360" w:lineRule="auto"/>
              <w:rPr>
                <w:rFonts w:asciiTheme="minorEastAsia" w:hAnsiTheme="minorEastAsia" w:cstheme="minorEastAsia"/>
                <w:szCs w:val="21"/>
              </w:rPr>
            </w:pPr>
            <w:r>
              <w:rPr>
                <w:rFonts w:hint="eastAsia" w:asciiTheme="minorEastAsia" w:hAnsiTheme="minorEastAsia" w:cstheme="minorEastAsia"/>
                <w:szCs w:val="21"/>
              </w:rPr>
              <w:t>8.绿地整洁，生长良好；能及时清理垃圾杂物；</w:t>
            </w:r>
          </w:p>
          <w:p w14:paraId="02EF4C6D">
            <w:pPr>
              <w:spacing w:line="360" w:lineRule="auto"/>
            </w:pPr>
            <w:r>
              <w:rPr>
                <w:rFonts w:hint="eastAsia" w:asciiTheme="minorEastAsia" w:hAnsiTheme="minorEastAsia" w:cstheme="minorEastAsia"/>
                <w:szCs w:val="21"/>
              </w:rPr>
              <w:t>9.1年更换花卉(品种)不少于6次，基本做到2个月换1次；花海播种一年更新不少于2次。草花种植前，品种应先与甲方商定，每次要保证草花质量并经甲方人员签单确认，未经签单确认的不予结算费用；种植时清除杂草，以有机肥作底肥；泥士不裸露，高度以不影响美观为宜，做到月月有花，花卉生长鲜艳茂盛。</w:t>
            </w:r>
          </w:p>
          <w:p w14:paraId="75FD8469">
            <w:pPr>
              <w:spacing w:line="360" w:lineRule="auto"/>
            </w:pPr>
            <w:r>
              <w:rPr>
                <w:rFonts w:ascii="宋体" w:hAnsi="宋体" w:cs="宋体"/>
              </w:rPr>
              <w:t>10</w:t>
            </w:r>
            <w:r>
              <w:rPr>
                <w:rFonts w:ascii="宋体" w:hAnsi="宋体" w:cs="宋体"/>
                <w:szCs w:val="21"/>
              </w:rPr>
              <w:t>.</w:t>
            </w:r>
            <w:r>
              <w:rPr>
                <w:rFonts w:hint="eastAsia" w:ascii="宋体" w:hAnsi="宋体" w:cs="宋体"/>
              </w:rPr>
              <w:t>遇学校举办重大活动(各种国际、国内会议等活动)、重要节假日(5月1日、9月10日、10月1日等)和每学期开学前1周内，应对校园养护范围的绿地进行重点清查整理</w:t>
            </w:r>
          </w:p>
        </w:tc>
      </w:tr>
      <w:tr w14:paraId="71F9B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3" w:hRule="atLeast"/>
        </w:trPr>
        <w:tc>
          <w:tcPr>
            <w:tcW w:w="1698" w:type="dxa"/>
            <w:tcBorders>
              <w:top w:val="single" w:color="auto" w:sz="2" w:space="0"/>
              <w:left w:val="single" w:color="auto" w:sz="2" w:space="0"/>
              <w:bottom w:val="single" w:color="auto" w:sz="2" w:space="0"/>
              <w:right w:val="single" w:color="auto" w:sz="2" w:space="0"/>
            </w:tcBorders>
            <w:vAlign w:val="center"/>
          </w:tcPr>
          <w:p w14:paraId="60E8CFE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水域管理</w:t>
            </w:r>
          </w:p>
        </w:tc>
        <w:tc>
          <w:tcPr>
            <w:tcW w:w="7371" w:type="dxa"/>
            <w:tcBorders>
              <w:top w:val="single" w:color="auto" w:sz="2" w:space="0"/>
              <w:left w:val="single" w:color="auto" w:sz="2" w:space="0"/>
              <w:bottom w:val="single" w:color="auto" w:sz="2" w:space="0"/>
              <w:right w:val="single" w:color="auto" w:sz="2" w:space="0"/>
            </w:tcBorders>
          </w:tcPr>
          <w:p w14:paraId="59A2A443">
            <w:pPr>
              <w:numPr>
                <w:ilvl w:val="1"/>
                <w:numId w:val="24"/>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按照城市水域保洁一级要求进行保洁；</w:t>
            </w:r>
          </w:p>
          <w:p w14:paraId="4F3DAF15">
            <w:pPr>
              <w:numPr>
                <w:ilvl w:val="1"/>
                <w:numId w:val="24"/>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水质按照设计要求保持水位,结合季节特性制定具体水质管理方案；</w:t>
            </w:r>
          </w:p>
          <w:p w14:paraId="09C4ED81">
            <w:pPr>
              <w:numPr>
                <w:ilvl w:val="1"/>
                <w:numId w:val="24"/>
              </w:numPr>
              <w:adjustRightInd w:val="0"/>
              <w:snapToGrid w:val="0"/>
              <w:spacing w:line="360" w:lineRule="auto"/>
              <w:ind w:left="0" w:firstLine="0"/>
              <w:rPr>
                <w:rFonts w:asciiTheme="minorEastAsia" w:hAnsiTheme="minorEastAsia" w:cstheme="minorEastAsia"/>
                <w:szCs w:val="21"/>
              </w:rPr>
            </w:pPr>
            <w:r>
              <w:rPr>
                <w:rFonts w:hint="eastAsia" w:asciiTheme="minorEastAsia" w:hAnsiTheme="minorEastAsia" w:cstheme="minorEastAsia"/>
                <w:szCs w:val="21"/>
              </w:rPr>
              <w:t>负责种植水生植物对水体进行净化；</w:t>
            </w:r>
          </w:p>
          <w:p w14:paraId="0D7553A7">
            <w:pPr>
              <w:pStyle w:val="642"/>
              <w:adjustRightInd w:val="0"/>
              <w:snapToGrid w:val="0"/>
              <w:spacing w:line="36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4.定期负责水域藻类的防治和清理；</w:t>
            </w:r>
          </w:p>
          <w:p w14:paraId="1E814274">
            <w:pPr>
              <w:pStyle w:val="642"/>
              <w:adjustRightInd w:val="0"/>
              <w:snapToGrid w:val="0"/>
              <w:spacing w:line="36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5.对湖面漂浮物每日打捞一次；</w:t>
            </w:r>
          </w:p>
          <w:p w14:paraId="4C9500F1">
            <w:pPr>
              <w:spacing w:line="360" w:lineRule="auto"/>
              <w:rPr>
                <w:rFonts w:asciiTheme="minorEastAsia" w:hAnsiTheme="minorEastAsia" w:cstheme="minorEastAsia"/>
                <w:szCs w:val="21"/>
              </w:rPr>
            </w:pPr>
            <w:r>
              <w:rPr>
                <w:rFonts w:hint="eastAsia" w:asciiTheme="minorEastAsia" w:hAnsiTheme="minorEastAsia" w:cstheme="minorEastAsia"/>
                <w:szCs w:val="21"/>
              </w:rPr>
              <w:t>6.负责黑天鹅日常观察和喂养。</w:t>
            </w:r>
          </w:p>
        </w:tc>
      </w:tr>
      <w:tr w14:paraId="6F2CE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3" w:hRule="atLeast"/>
        </w:trPr>
        <w:tc>
          <w:tcPr>
            <w:tcW w:w="1698" w:type="dxa"/>
            <w:tcBorders>
              <w:top w:val="single" w:color="auto" w:sz="2" w:space="0"/>
              <w:left w:val="single" w:color="auto" w:sz="2" w:space="0"/>
              <w:bottom w:val="single" w:color="auto" w:sz="2" w:space="0"/>
              <w:right w:val="single" w:color="auto" w:sz="2" w:space="0"/>
            </w:tcBorders>
            <w:vAlign w:val="center"/>
          </w:tcPr>
          <w:p w14:paraId="396CAD7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其他要求</w:t>
            </w:r>
          </w:p>
        </w:tc>
        <w:tc>
          <w:tcPr>
            <w:tcW w:w="7371" w:type="dxa"/>
            <w:tcBorders>
              <w:top w:val="single" w:color="auto" w:sz="2" w:space="0"/>
              <w:left w:val="single" w:color="auto" w:sz="2" w:space="0"/>
              <w:bottom w:val="single" w:color="auto" w:sz="2" w:space="0"/>
              <w:right w:val="single" w:color="auto" w:sz="2" w:space="0"/>
            </w:tcBorders>
          </w:tcPr>
          <w:p w14:paraId="3DE5C87E">
            <w:pPr>
              <w:spacing w:line="360" w:lineRule="auto"/>
              <w:rPr>
                <w:rFonts w:asciiTheme="minorEastAsia" w:hAnsiTheme="minorEastAsia" w:cstheme="minorEastAsia"/>
                <w:szCs w:val="21"/>
              </w:rPr>
            </w:pPr>
            <w:r>
              <w:rPr>
                <w:rFonts w:hint="eastAsia" w:asciiTheme="minorEastAsia" w:hAnsiTheme="minorEastAsia" w:cstheme="minorEastAsia"/>
                <w:szCs w:val="21"/>
              </w:rPr>
              <w:t>1.绿地卫生保洁及巡查要求:在养护管理的绿地范围内，保证每天有专人巡查，发现塑料袋、枯枝、干草等废物、垃圾等能及时迅速清理，枯枝落叶集中堆放粉碎、生态化处理</w:t>
            </w:r>
            <w:r>
              <w:rPr>
                <w:rFonts w:hint="eastAsia" w:asciiTheme="minorEastAsia" w:hAnsiTheme="minorEastAsia" w:cstheme="minorEastAsia"/>
                <w:szCs w:val="21"/>
                <w:lang w:eastAsia="zh-CN"/>
              </w:rPr>
              <w:t>；</w:t>
            </w:r>
            <w:r>
              <w:rPr>
                <w:rFonts w:hint="eastAsia" w:asciiTheme="minorEastAsia" w:hAnsiTheme="minorEastAsia" w:cstheme="minorEastAsia"/>
                <w:szCs w:val="21"/>
              </w:rPr>
              <w:t>加强养护范围内的水面卫生保洁；做好乔木树种枯枝的及时清理，加强安全防范工作。对绿地养护范围内出现种菜和随意种植其它植物的应及时</w:t>
            </w:r>
            <w:r>
              <w:rPr>
                <w:rFonts w:hint="eastAsia" w:asciiTheme="minorEastAsia" w:hAnsiTheme="minorEastAsia" w:cstheme="minorEastAsia"/>
                <w:szCs w:val="21"/>
                <w:lang w:val="en-US" w:eastAsia="zh-CN"/>
              </w:rPr>
              <w:t>清理</w:t>
            </w:r>
            <w:r>
              <w:rPr>
                <w:rFonts w:hint="eastAsia" w:asciiTheme="minorEastAsia" w:hAnsiTheme="minorEastAsia" w:cstheme="minorEastAsia"/>
                <w:szCs w:val="21"/>
              </w:rPr>
              <w:t>，并上报植物园管理办公室。要配合做好校园(植物园)植物盗、盗采防范措施，一旦发现要立即向保卫处报警并上报植物园管理办公室。</w:t>
            </w:r>
          </w:p>
          <w:p w14:paraId="296189DC">
            <w:pPr>
              <w:spacing w:line="360" w:lineRule="auto"/>
              <w:rPr>
                <w:rFonts w:asciiTheme="minorEastAsia" w:hAnsiTheme="minorEastAsia" w:cstheme="minorEastAsia"/>
                <w:szCs w:val="21"/>
              </w:rPr>
            </w:pPr>
            <w:r>
              <w:rPr>
                <w:rFonts w:hint="eastAsia" w:asciiTheme="minorEastAsia" w:hAnsiTheme="minorEastAsia" w:cstheme="minorEastAsia"/>
                <w:szCs w:val="21"/>
              </w:rPr>
              <w:t>2.农药、菌剂使用要求:应加强病虫检查，发现主要病虫害应很据虫情预报及时采取防治措施；多采用物理、生物防治手段；运用化学试剂应选用高效、低毒、无污染、少臭、少异(怪)味、对天敌较安全的环保药剂，确保用药安全。注意药剂交替使用，标本兼治，减少喷药次数；要加强树干蛀虫的预防；加强农药安全管理，禁止使用各类除草剂，如发现使用视为绿化年度履约考核不合格。</w:t>
            </w:r>
          </w:p>
          <w:p w14:paraId="15223178">
            <w:pPr>
              <w:spacing w:line="360" w:lineRule="auto"/>
              <w:rPr>
                <w:rFonts w:asciiTheme="minorEastAsia" w:hAnsiTheme="minorEastAsia" w:cstheme="minorEastAsia"/>
                <w:szCs w:val="21"/>
              </w:rPr>
            </w:pPr>
            <w:r>
              <w:rPr>
                <w:rFonts w:hint="eastAsia" w:asciiTheme="minorEastAsia" w:hAnsiTheme="minorEastAsia" w:cstheme="minorEastAsia"/>
                <w:szCs w:val="21"/>
              </w:rPr>
              <w:t>3.机械要求:配置洒水车1辆，小型工具车1辆，电动三轮运输车3辆及各类草坪机、绿篱机、割灌机、微耕机等设备。鼓励开展新的绿化养护技术和方法研究，鼓励使用新技术、新方法等开展绿化养护管理。</w:t>
            </w:r>
          </w:p>
          <w:p w14:paraId="67427D8A">
            <w:pPr>
              <w:spacing w:line="360" w:lineRule="auto"/>
              <w:rPr>
                <w:rFonts w:asciiTheme="minorEastAsia" w:hAnsiTheme="minorEastAsia" w:cstheme="minorEastAsia"/>
                <w:szCs w:val="21"/>
              </w:rPr>
            </w:pPr>
            <w:r>
              <w:rPr>
                <w:rFonts w:hint="eastAsia" w:asciiTheme="minorEastAsia" w:hAnsiTheme="minorEastAsia" w:cstheme="minorEastAsia"/>
                <w:szCs w:val="21"/>
              </w:rPr>
              <w:t>4.因绿化养护失误造成的植物毁损，应由养护单位负责采购及补植工作。</w:t>
            </w:r>
          </w:p>
        </w:tc>
      </w:tr>
    </w:tbl>
    <w:p w14:paraId="3D0AE066">
      <w:pPr>
        <w:widowControl/>
        <w:spacing w:line="360" w:lineRule="auto"/>
        <w:ind w:firstLine="420"/>
        <w:outlineLvl w:val="3"/>
        <w:rPr>
          <w:rFonts w:asciiTheme="minorEastAsia" w:hAnsiTheme="minorEastAsia" w:cstheme="minorEastAsia"/>
          <w:szCs w:val="21"/>
        </w:rPr>
      </w:pPr>
      <w:r>
        <w:rPr>
          <w:rFonts w:hint="eastAsia" w:asciiTheme="minorEastAsia" w:hAnsiTheme="minorEastAsia" w:cstheme="minorEastAsia"/>
          <w:szCs w:val="21"/>
        </w:rPr>
        <w:t>（5）资产管理服务</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531"/>
      </w:tblGrid>
      <w:tr w14:paraId="0E8A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80" w:type="dxa"/>
            <w:tcBorders>
              <w:top w:val="single" w:color="auto" w:sz="4" w:space="0"/>
              <w:left w:val="single" w:color="auto" w:sz="4" w:space="0"/>
              <w:bottom w:val="single" w:color="auto" w:sz="4" w:space="0"/>
              <w:right w:val="single" w:color="auto" w:sz="4" w:space="0"/>
            </w:tcBorders>
          </w:tcPr>
          <w:p w14:paraId="2F794438">
            <w:pPr>
              <w:spacing w:line="460" w:lineRule="exact"/>
              <w:jc w:val="center"/>
              <w:rPr>
                <w:rFonts w:asciiTheme="minorEastAsia" w:hAnsiTheme="minorEastAsia" w:cstheme="minorEastAsia"/>
                <w:szCs w:val="21"/>
              </w:rPr>
            </w:pPr>
            <w:r>
              <w:rPr>
                <w:rFonts w:hint="eastAsia" w:asciiTheme="minorEastAsia" w:hAnsiTheme="minorEastAsia" w:cstheme="minorEastAsia"/>
                <w:kern w:val="0"/>
                <w:szCs w:val="21"/>
              </w:rPr>
              <w:t>服务内容</w:t>
            </w:r>
          </w:p>
        </w:tc>
        <w:tc>
          <w:tcPr>
            <w:tcW w:w="7531" w:type="dxa"/>
            <w:tcBorders>
              <w:top w:val="single" w:color="auto" w:sz="4" w:space="0"/>
              <w:left w:val="single" w:color="auto" w:sz="4" w:space="0"/>
              <w:bottom w:val="single" w:color="auto" w:sz="4" w:space="0"/>
              <w:right w:val="single" w:color="auto" w:sz="4" w:space="0"/>
            </w:tcBorders>
          </w:tcPr>
          <w:p w14:paraId="46442435">
            <w:pPr>
              <w:spacing w:line="460" w:lineRule="exact"/>
              <w:ind w:firstLine="420"/>
              <w:jc w:val="center"/>
              <w:rPr>
                <w:rFonts w:asciiTheme="minorEastAsia" w:hAnsiTheme="minorEastAsia" w:cstheme="minorEastAsia"/>
                <w:szCs w:val="21"/>
              </w:rPr>
            </w:pPr>
            <w:r>
              <w:rPr>
                <w:rFonts w:hint="eastAsia" w:asciiTheme="minorEastAsia" w:hAnsiTheme="minorEastAsia" w:cstheme="minorEastAsia"/>
                <w:kern w:val="0"/>
                <w:szCs w:val="21"/>
              </w:rPr>
              <w:t>服务标准</w:t>
            </w:r>
          </w:p>
        </w:tc>
      </w:tr>
      <w:tr w14:paraId="04A0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680" w:type="dxa"/>
            <w:tcBorders>
              <w:top w:val="single" w:color="auto" w:sz="4" w:space="0"/>
              <w:left w:val="single" w:color="auto" w:sz="4" w:space="0"/>
              <w:bottom w:val="single" w:color="auto" w:sz="4" w:space="0"/>
              <w:right w:val="single" w:color="auto" w:sz="4" w:space="0"/>
            </w:tcBorders>
            <w:vAlign w:val="center"/>
          </w:tcPr>
          <w:p w14:paraId="0B02A9F9">
            <w:pPr>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rPr>
              <w:t>家具资产管理</w:t>
            </w:r>
          </w:p>
        </w:tc>
        <w:tc>
          <w:tcPr>
            <w:tcW w:w="7531" w:type="dxa"/>
            <w:tcBorders>
              <w:top w:val="single" w:color="auto" w:sz="4" w:space="0"/>
              <w:left w:val="single" w:color="auto" w:sz="4" w:space="0"/>
              <w:bottom w:val="single" w:color="auto" w:sz="4" w:space="0"/>
              <w:right w:val="single" w:color="auto" w:sz="4" w:space="0"/>
            </w:tcBorders>
          </w:tcPr>
          <w:p w14:paraId="4921FD0F">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1.信息维护：协助学校做好楼宇的家具资产保管。</w:t>
            </w:r>
          </w:p>
          <w:p w14:paraId="6681DBEB">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2.日常管理：</w:t>
            </w:r>
          </w:p>
          <w:p w14:paraId="1EE0476A">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（1）做好家具资产日常维护管理:对所有房屋（包括库存家具）日常巡查、资产报修、标签张贴更换；</w:t>
            </w:r>
          </w:p>
          <w:p w14:paraId="7B6CD51F">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（2）配合做好家具资产调拨、搬运拆装等工作。</w:t>
            </w:r>
          </w:p>
          <w:p w14:paraId="232B0343">
            <w:pPr>
              <w:spacing w:line="360" w:lineRule="auto"/>
              <w:ind w:left="-88" w:leftChars="-42"/>
              <w:rPr>
                <w:rFonts w:asciiTheme="minorEastAsia" w:hAnsiTheme="minorEastAsia" w:cstheme="minorEastAsia"/>
                <w:szCs w:val="21"/>
              </w:rPr>
            </w:pPr>
          </w:p>
        </w:tc>
      </w:tr>
      <w:tr w14:paraId="0358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80" w:type="dxa"/>
            <w:tcBorders>
              <w:top w:val="single" w:color="auto" w:sz="4" w:space="0"/>
              <w:left w:val="single" w:color="auto" w:sz="4" w:space="0"/>
              <w:bottom w:val="single" w:color="auto" w:sz="4" w:space="0"/>
              <w:right w:val="single" w:color="auto" w:sz="4" w:space="0"/>
            </w:tcBorders>
            <w:vAlign w:val="center"/>
          </w:tcPr>
          <w:p w14:paraId="26E88006">
            <w:pPr>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rPr>
              <w:t>仪器设备管理</w:t>
            </w:r>
          </w:p>
        </w:tc>
        <w:tc>
          <w:tcPr>
            <w:tcW w:w="7531" w:type="dxa"/>
            <w:tcBorders>
              <w:top w:val="single" w:color="auto" w:sz="4" w:space="0"/>
              <w:left w:val="single" w:color="auto" w:sz="4" w:space="0"/>
              <w:bottom w:val="single" w:color="auto" w:sz="4" w:space="0"/>
              <w:right w:val="single" w:color="auto" w:sz="4" w:space="0"/>
            </w:tcBorders>
          </w:tcPr>
          <w:p w14:paraId="4D0A8E90">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1.做好多媒体设备的日常维护、管理，对楼宇内多媒体设备情况进行巡查、标签更换；</w:t>
            </w:r>
          </w:p>
          <w:p w14:paraId="562165C5">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2.配合做好设备资产的调拨、报废、报废设备清运等。</w:t>
            </w:r>
          </w:p>
        </w:tc>
      </w:tr>
    </w:tbl>
    <w:p w14:paraId="4F1FA4F6">
      <w:pPr>
        <w:widowControl/>
        <w:spacing w:line="360" w:lineRule="auto"/>
        <w:ind w:firstLine="420"/>
        <w:outlineLvl w:val="3"/>
        <w:rPr>
          <w:rFonts w:asciiTheme="minorEastAsia" w:hAnsiTheme="minorEastAsia" w:cstheme="minorEastAsia"/>
          <w:szCs w:val="21"/>
        </w:rPr>
      </w:pPr>
      <w:r>
        <w:rPr>
          <w:rFonts w:hint="eastAsia" w:asciiTheme="minorEastAsia" w:hAnsiTheme="minorEastAsia" w:cstheme="minorEastAsia"/>
          <w:szCs w:val="21"/>
        </w:rPr>
        <w:t>（6）其他服务</w:t>
      </w:r>
    </w:p>
    <w:tbl>
      <w:tblPr>
        <w:tblStyle w:val="53"/>
        <w:tblW w:w="906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7644"/>
      </w:tblGrid>
      <w:tr w14:paraId="5240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3" w:type="dxa"/>
            <w:tcBorders>
              <w:top w:val="single" w:color="auto" w:sz="4" w:space="0"/>
              <w:left w:val="single" w:color="auto" w:sz="4" w:space="0"/>
              <w:bottom w:val="single" w:color="auto" w:sz="4" w:space="0"/>
              <w:right w:val="single" w:color="auto" w:sz="4" w:space="0"/>
            </w:tcBorders>
            <w:vAlign w:val="center"/>
          </w:tcPr>
          <w:p w14:paraId="3FC96CEF">
            <w:pPr>
              <w:widowControl/>
              <w:spacing w:line="4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服务内容</w:t>
            </w:r>
          </w:p>
        </w:tc>
        <w:tc>
          <w:tcPr>
            <w:tcW w:w="7644" w:type="dxa"/>
            <w:tcBorders>
              <w:top w:val="single" w:color="auto" w:sz="4" w:space="0"/>
              <w:left w:val="single" w:color="auto" w:sz="4" w:space="0"/>
              <w:bottom w:val="single" w:color="auto" w:sz="4" w:space="0"/>
              <w:right w:val="single" w:color="auto" w:sz="4" w:space="0"/>
            </w:tcBorders>
            <w:vAlign w:val="center"/>
          </w:tcPr>
          <w:p w14:paraId="7E0C9A14">
            <w:pPr>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服务标准</w:t>
            </w:r>
          </w:p>
        </w:tc>
      </w:tr>
      <w:tr w14:paraId="27A6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Borders>
              <w:top w:val="single" w:color="auto" w:sz="4" w:space="0"/>
              <w:left w:val="single" w:color="auto" w:sz="4" w:space="0"/>
              <w:bottom w:val="single" w:color="auto" w:sz="4" w:space="0"/>
              <w:right w:val="single" w:color="auto" w:sz="4" w:space="0"/>
            </w:tcBorders>
            <w:vAlign w:val="center"/>
          </w:tcPr>
          <w:p w14:paraId="216135DA">
            <w:pPr>
              <w:widowControl/>
              <w:autoSpaceDE w:val="0"/>
              <w:autoSpaceDN w:val="0"/>
              <w:adjustRightInd w:val="0"/>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信息化服务</w:t>
            </w:r>
          </w:p>
        </w:tc>
        <w:tc>
          <w:tcPr>
            <w:tcW w:w="7644" w:type="dxa"/>
            <w:tcBorders>
              <w:top w:val="single" w:color="auto" w:sz="4" w:space="0"/>
              <w:left w:val="single" w:color="auto" w:sz="4" w:space="0"/>
              <w:bottom w:val="single" w:color="auto" w:sz="4" w:space="0"/>
              <w:right w:val="single" w:color="auto" w:sz="4" w:space="0"/>
            </w:tcBorders>
            <w:vAlign w:val="center"/>
          </w:tcPr>
          <w:p w14:paraId="671A4BDE">
            <w:pPr>
              <w:pStyle w:val="199"/>
              <w:spacing w:line="360" w:lineRule="auto"/>
              <w:ind w:firstLine="0" w:firstLineChars="0"/>
              <w:rPr>
                <w:rFonts w:asciiTheme="minorEastAsia" w:hAnsiTheme="minorEastAsia" w:cstheme="minorEastAsia"/>
                <w:szCs w:val="21"/>
              </w:rPr>
            </w:pPr>
            <w:r>
              <w:rPr>
                <w:rFonts w:hint="eastAsia" w:asciiTheme="minorEastAsia" w:hAnsiTheme="minorEastAsia" w:cstheme="minorEastAsia"/>
                <w:szCs w:val="21"/>
              </w:rPr>
              <w:t>1.公共多媒体技术支持：根据校区教学安排，做好公共教室（教1、2、3、4、5，各学院楼公共教室、衣锦主教学楼、衣锦东大楼、衣锦老图书馆等）的功能巡检、问题受理，保障公共教室多媒体设备运行正常。</w:t>
            </w:r>
          </w:p>
        </w:tc>
      </w:tr>
      <w:tr w14:paraId="5C14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Borders>
              <w:top w:val="single" w:color="auto" w:sz="4" w:space="0"/>
              <w:left w:val="single" w:color="auto" w:sz="4" w:space="0"/>
              <w:bottom w:val="single" w:color="auto" w:sz="4" w:space="0"/>
              <w:right w:val="single" w:color="auto" w:sz="4" w:space="0"/>
            </w:tcBorders>
            <w:vAlign w:val="center"/>
          </w:tcPr>
          <w:p w14:paraId="7D686488">
            <w:pPr>
              <w:widowControl/>
              <w:autoSpaceDE w:val="0"/>
              <w:autoSpaceDN w:val="0"/>
              <w:adjustRightInd w:val="0"/>
              <w:spacing w:line="360" w:lineRule="auto"/>
              <w:rPr>
                <w:rFonts w:asciiTheme="minorEastAsia" w:hAnsiTheme="minorEastAsia" w:cstheme="minorEastAsia"/>
                <w:szCs w:val="21"/>
              </w:rPr>
            </w:pPr>
            <w:r>
              <w:rPr>
                <w:rFonts w:hint="eastAsia" w:asciiTheme="minorEastAsia" w:hAnsiTheme="minorEastAsia" w:cstheme="minorEastAsia"/>
                <w:szCs w:val="21"/>
              </w:rPr>
              <w:t>校园标识标</w:t>
            </w:r>
            <w:r>
              <w:rPr>
                <w:rFonts w:hint="eastAsia" w:asciiTheme="minorEastAsia" w:hAnsiTheme="minorEastAsia" w:cstheme="minorEastAsia"/>
                <w:szCs w:val="21"/>
                <w:lang w:val="en-US" w:eastAsia="zh-CN"/>
              </w:rPr>
              <w:t>牌</w:t>
            </w:r>
          </w:p>
        </w:tc>
        <w:tc>
          <w:tcPr>
            <w:tcW w:w="7644" w:type="dxa"/>
            <w:tcBorders>
              <w:top w:val="single" w:color="auto" w:sz="4" w:space="0"/>
              <w:left w:val="single" w:color="auto" w:sz="4" w:space="0"/>
              <w:bottom w:val="single" w:color="auto" w:sz="4" w:space="0"/>
              <w:right w:val="single" w:color="auto" w:sz="4" w:space="0"/>
            </w:tcBorders>
            <w:vAlign w:val="center"/>
          </w:tcPr>
          <w:p w14:paraId="484DE7CD">
            <w:pPr>
              <w:pStyle w:val="199"/>
              <w:spacing w:line="360" w:lineRule="auto"/>
              <w:ind w:firstLine="0" w:firstLineChars="0"/>
              <w:rPr>
                <w:rFonts w:asciiTheme="minorEastAsia" w:hAnsiTheme="minorEastAsia" w:cstheme="minorEastAsia"/>
                <w:szCs w:val="21"/>
              </w:rPr>
            </w:pPr>
            <w:r>
              <w:rPr>
                <w:rFonts w:hint="eastAsia" w:asciiTheme="minorEastAsia" w:hAnsiTheme="minorEastAsia" w:cstheme="minorEastAsia"/>
                <w:szCs w:val="21"/>
              </w:rPr>
              <w:t>5.配合做好楼宇、家具及资产管理的标识标牌张贴安装，负责每年对校区楼宇内服务提醒类标识标牌的进行更换。</w:t>
            </w:r>
          </w:p>
          <w:p w14:paraId="31B0E717">
            <w:pPr>
              <w:pStyle w:val="199"/>
              <w:spacing w:line="360" w:lineRule="auto"/>
              <w:ind w:firstLine="0" w:firstLineChars="0"/>
              <w:rPr>
                <w:rFonts w:asciiTheme="minorEastAsia" w:hAnsiTheme="minorEastAsia" w:cstheme="minorEastAsia"/>
                <w:szCs w:val="21"/>
              </w:rPr>
            </w:pPr>
          </w:p>
        </w:tc>
      </w:tr>
    </w:tbl>
    <w:p w14:paraId="74001DF4">
      <w:pPr>
        <w:spacing w:line="360" w:lineRule="auto"/>
      </w:pPr>
    </w:p>
    <w:p w14:paraId="77B17300">
      <w:pPr>
        <w:spacing w:line="360" w:lineRule="auto"/>
        <w:ind w:firstLine="420" w:firstLineChars="200"/>
        <w:outlineLvl w:val="2"/>
      </w:pPr>
      <w:r>
        <w:rPr>
          <w:rFonts w:hint="eastAsia" w:ascii="宋体" w:hAnsi="宋体" w:cs="宋体"/>
        </w:rPr>
        <w:t>5.</w:t>
      </w:r>
      <w:r>
        <w:rPr>
          <w:rFonts w:hint="eastAsia"/>
        </w:rPr>
        <w:t>楼宇、电梯清单</w:t>
      </w:r>
    </w:p>
    <w:p w14:paraId="550EA44D">
      <w:pPr>
        <w:spacing w:line="360" w:lineRule="auto"/>
        <w:ind w:firstLine="420" w:firstLineChars="200"/>
        <w:outlineLvl w:val="3"/>
      </w:pPr>
      <w:r>
        <w:rPr>
          <w:rFonts w:hint="eastAsia" w:ascii="宋体" w:hAnsi="宋体" w:cs="宋体"/>
        </w:rPr>
        <w:t>（1）</w:t>
      </w:r>
      <w:r>
        <w:rPr>
          <w:rFonts w:hint="eastAsia"/>
        </w:rPr>
        <w:t>东湖校区、衣锦校区楼宇清单</w:t>
      </w:r>
    </w:p>
    <w:tbl>
      <w:tblPr>
        <w:tblStyle w:val="53"/>
        <w:tblW w:w="9614" w:type="dxa"/>
        <w:tblInd w:w="-178" w:type="dxa"/>
        <w:tblLayout w:type="fixed"/>
        <w:tblCellMar>
          <w:top w:w="0" w:type="dxa"/>
          <w:left w:w="108" w:type="dxa"/>
          <w:bottom w:w="0" w:type="dxa"/>
          <w:right w:w="108" w:type="dxa"/>
        </w:tblCellMar>
      </w:tblPr>
      <w:tblGrid>
        <w:gridCol w:w="621"/>
        <w:gridCol w:w="1110"/>
        <w:gridCol w:w="1800"/>
        <w:gridCol w:w="1200"/>
        <w:gridCol w:w="1230"/>
        <w:gridCol w:w="2040"/>
        <w:gridCol w:w="933"/>
        <w:gridCol w:w="680"/>
      </w:tblGrid>
      <w:tr w14:paraId="2DA2F03F">
        <w:tblPrEx>
          <w:tblCellMar>
            <w:top w:w="0" w:type="dxa"/>
            <w:left w:w="108" w:type="dxa"/>
            <w:bottom w:w="0" w:type="dxa"/>
            <w:right w:w="108" w:type="dxa"/>
          </w:tblCellMar>
        </w:tblPrEx>
        <w:trPr>
          <w:trHeight w:val="28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2B8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D6E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隶属校区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310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房屋名称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9D7">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建筑面积 （m²）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2592">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使用面积  （m²）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75C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房屋用途</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1A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建成  年份</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640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层数</w:t>
            </w:r>
          </w:p>
        </w:tc>
      </w:tr>
      <w:tr w14:paraId="1A1D38F5">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2CB7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ACD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76B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行政楼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9A6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6447.25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2C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4031.31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405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行政办公用房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AC6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945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38942F2C">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52012">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D06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AC7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学1楼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317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6840.34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817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4242.52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0C14">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E39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504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105E9751">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E79F7">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1B3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2B7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77E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7815.74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73D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5182.97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C6C">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35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BA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7A7E53C6">
        <w:tblPrEx>
          <w:tblCellMar>
            <w:top w:w="0" w:type="dxa"/>
            <w:left w:w="108" w:type="dxa"/>
            <w:bottom w:w="0" w:type="dxa"/>
            <w:right w:w="108" w:type="dxa"/>
          </w:tblCellMar>
        </w:tblPrEx>
        <w:trPr>
          <w:trHeight w:val="36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C0DE7">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C0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399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学3楼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DC3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8949.74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2F2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5513.12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CCB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FB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C04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6566C966">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B2483">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296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BF8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学4楼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37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10454.84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7A4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6327.68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447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D2D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2D6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23E936F3">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5AC29">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E2D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50F">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学5楼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952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3877.08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BB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2709.4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FE3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B5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321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5B403863">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3F421">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C55F">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608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学6楼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9DE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8011.59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057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4931.93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06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C71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4A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6FA446E7">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06CA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849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C0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学7楼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B63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4693.91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F8E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3118.14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8D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214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7D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35839E90">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25472">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47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1BA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学9楼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E97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11546.77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5D9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7322.37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376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B3C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B6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16497A43">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0657D">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1164">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F57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学9楼附属楼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EA7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888.08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250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674.54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3CE">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6C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60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471B65EB">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2DA60">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0EE">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B47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学10楼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60B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8877.88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46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4834.14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3F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CE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565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668BE7A6">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43539">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C6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DA0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学11楼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17D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4493.88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BA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2841.23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818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FCC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85C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5DF68239">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EA8E5">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86D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E8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学14楼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0AC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5669.71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565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5475.57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A9E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DAB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DAC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1B81C15A">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F792B">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CF7C">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49C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学15楼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F8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14824.29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622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8215.46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DA8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D4C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B67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w:t>
            </w:r>
          </w:p>
        </w:tc>
      </w:tr>
      <w:tr w14:paraId="16A818D0">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0090A">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074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F5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学16楼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92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5822.00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8B4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4650.06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AB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实验室、实习场所</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CA0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524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686F9728">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10A9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0F5E">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84E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教1楼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92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15604.87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007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8263.46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A2E">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D4C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15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7</w:t>
            </w:r>
          </w:p>
        </w:tc>
      </w:tr>
      <w:tr w14:paraId="369D4E50">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E2B0">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F6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61E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440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5500.44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4C0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2963.23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70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71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D55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36F32D66">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B8945">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4E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D4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教3楼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CB6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2535.80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6E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1733.31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894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3D1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32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0BD6217C">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0FBA2">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E1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16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教4楼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4A8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5199.99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91F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2838.92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E69F">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EC6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F6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04747D82">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A679C">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44C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2F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教5楼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A0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6622.66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21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4522.63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C8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36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37B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6A4DFF35">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0C2F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C2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CB0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A12楼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2B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3965.66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BD1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2313.13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ACE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40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35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19DCC3D7">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4A294">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75E">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AB5E">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图书馆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A5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19578.55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EAF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10246.02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6BA4">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图书馆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FB7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E5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35910DB5">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BB5B6">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CFDF">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0C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智能实验楼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CA3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7220.47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BF5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4635.02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88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实验室、实习场所</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3B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418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0CE56BE3">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8020F">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A76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3B70">
            <w:pPr>
              <w:widowControl/>
              <w:spacing w:line="400" w:lineRule="exact"/>
              <w:jc w:val="left"/>
              <w:textAlignment w:val="center"/>
              <w:rPr>
                <w:rFonts w:ascii="宋体" w:hAnsi="宋体" w:cs="宋体"/>
                <w:sz w:val="20"/>
                <w:szCs w:val="20"/>
              </w:rPr>
            </w:pPr>
            <w:r>
              <w:rPr>
                <w:rFonts w:hint="eastAsia" w:ascii="宋体" w:hAnsi="宋体" w:cs="宋体"/>
                <w:kern w:val="0"/>
                <w:sz w:val="18"/>
                <w:szCs w:val="18"/>
                <w:lang w:bidi="ar"/>
              </w:rPr>
              <w:t>国家木材工程中心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63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6673.00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890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4630.51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35F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51F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82F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2BDAA5C2">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45C70">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E2C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DAA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碳汇楼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5C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4463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C6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3174.28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E10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56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10C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74FAB7A2">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FCD37">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58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5B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东大楼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76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4444.29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E6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3320.06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B7E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教学及辅助用房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2E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1960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4D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2CBAD0F3">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70ADA">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8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8F2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西大楼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E44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4451.45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C8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3370.91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E80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行政办公用房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AC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1962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C40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167EB468">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5097B">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AFB">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173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教学主楼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625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19792.57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854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11461.55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637C">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10D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C56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9</w:t>
            </w:r>
          </w:p>
        </w:tc>
      </w:tr>
      <w:tr w14:paraId="4072FB1A">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133F6">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45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66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实验大楼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069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9245.26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14A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7010.97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15C">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实验室、实习场所</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5F0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1990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0F0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w:t>
            </w:r>
          </w:p>
        </w:tc>
      </w:tr>
      <w:tr w14:paraId="44C2428E">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E5A5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8D6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3B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图书馆大楼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23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6509.54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2E8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5696.23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DB7F">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图书馆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713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DF1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w:t>
            </w:r>
          </w:p>
        </w:tc>
      </w:tr>
      <w:tr w14:paraId="4597C31F">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1240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15F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752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活动中心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25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14770.51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4DB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8190.80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A69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师生活动用房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210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D50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4D18D034">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AE24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E92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38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学生活动中心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D6F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5579.85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56C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4898.84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DE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师生活动用房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CB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59B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w:t>
            </w:r>
          </w:p>
        </w:tc>
      </w:tr>
      <w:tr w14:paraId="585CC284">
        <w:tblPrEx>
          <w:tblCellMar>
            <w:top w:w="0" w:type="dxa"/>
            <w:left w:w="108" w:type="dxa"/>
            <w:bottom w:w="0" w:type="dxa"/>
            <w:right w:w="108" w:type="dxa"/>
          </w:tblCellMar>
        </w:tblPrEx>
        <w:trPr>
          <w:trHeight w:val="6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E889">
            <w:pPr>
              <w:widowControl/>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C1D2">
            <w:pPr>
              <w:widowControl/>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407">
            <w:pPr>
              <w:widowControl/>
              <w:jc w:val="left"/>
              <w:textAlignment w:val="center"/>
              <w:rPr>
                <w:rFonts w:ascii="宋体" w:hAnsi="宋体" w:cs="宋体"/>
                <w:sz w:val="20"/>
                <w:szCs w:val="20"/>
              </w:rPr>
            </w:pPr>
            <w:r>
              <w:rPr>
                <w:rFonts w:hint="eastAsia" w:ascii="宋体" w:hAnsi="宋体" w:cs="宋体"/>
                <w:kern w:val="0"/>
                <w:sz w:val="20"/>
                <w:szCs w:val="20"/>
                <w:lang w:bidi="ar"/>
              </w:rPr>
              <w:t>省部共建亚热带森林培育国家重点实验室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7349">
            <w:pPr>
              <w:widowControl/>
              <w:jc w:val="center"/>
              <w:textAlignment w:val="center"/>
              <w:rPr>
                <w:rFonts w:ascii="宋体" w:hAnsi="宋体" w:cs="宋体"/>
                <w:sz w:val="20"/>
                <w:szCs w:val="20"/>
              </w:rPr>
            </w:pPr>
            <w:r>
              <w:rPr>
                <w:rFonts w:hint="eastAsia" w:ascii="宋体" w:hAnsi="宋体" w:cs="宋体"/>
                <w:kern w:val="0"/>
                <w:sz w:val="20"/>
                <w:szCs w:val="20"/>
                <w:lang w:bidi="ar"/>
              </w:rPr>
              <w:t>24721.00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BDDA">
            <w:pPr>
              <w:widowControl/>
              <w:jc w:val="center"/>
              <w:textAlignment w:val="center"/>
              <w:rPr>
                <w:rFonts w:ascii="宋体" w:hAnsi="宋体" w:cs="宋体"/>
                <w:sz w:val="20"/>
                <w:szCs w:val="20"/>
              </w:rPr>
            </w:pPr>
            <w:r>
              <w:rPr>
                <w:rFonts w:hint="eastAsia" w:ascii="宋体" w:hAnsi="宋体" w:cs="宋体"/>
                <w:kern w:val="0"/>
                <w:sz w:val="20"/>
                <w:szCs w:val="20"/>
                <w:lang w:bidi="ar"/>
              </w:rPr>
              <w:t>17274.15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BBD6">
            <w:pPr>
              <w:widowControl/>
              <w:jc w:val="left"/>
              <w:textAlignment w:val="center"/>
              <w:rPr>
                <w:rFonts w:ascii="宋体" w:hAnsi="宋体" w:cs="宋体"/>
                <w:sz w:val="20"/>
                <w:szCs w:val="20"/>
              </w:rPr>
            </w:pPr>
            <w:r>
              <w:rPr>
                <w:rFonts w:hint="eastAsia" w:ascii="宋体" w:hAnsi="宋体" w:cs="宋体"/>
                <w:kern w:val="0"/>
                <w:sz w:val="20"/>
                <w:szCs w:val="20"/>
                <w:lang w:bidi="ar"/>
              </w:rPr>
              <w:t>专职科研机构办公及研究用房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8AB2">
            <w:pPr>
              <w:widowControl/>
              <w:jc w:val="center"/>
              <w:textAlignment w:val="center"/>
              <w:rPr>
                <w:rFonts w:ascii="宋体" w:hAnsi="宋体" w:cs="宋体"/>
                <w:sz w:val="20"/>
                <w:szCs w:val="20"/>
              </w:rPr>
            </w:pPr>
            <w:r>
              <w:rPr>
                <w:rFonts w:hint="eastAsia" w:ascii="宋体" w:hAnsi="宋体" w:cs="宋体"/>
                <w:kern w:val="0"/>
                <w:sz w:val="20"/>
                <w:szCs w:val="20"/>
                <w:lang w:bidi="ar"/>
              </w:rPr>
              <w:t>2020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11E2">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r>
      <w:tr w14:paraId="0B11ABB8">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68144">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C4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20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绿色农药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92F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2991.80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DD8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2393.44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85C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58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4AD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1EB24736">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CD6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88A8">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9D0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中试车间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A0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1432.84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4BF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1074.63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CA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实验室、实习场所</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0B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06C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6239C85D">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B2B85">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B9C">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12A5">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工训中心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971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2571.4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12F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2057.12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C29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F38A">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DB7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61485B41">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82B4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52A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FB2A">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东湖校区南门传达室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38F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96.93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EC2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91.32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8C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33C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14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259D042F">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0A6C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7E2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CDF5">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东湖校区大西门传达室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95F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34.83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303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34.83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6F8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生活福利及附属用房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AF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2003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EC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11FEF31F">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BF56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69F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64E0">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东湖校区东门传达室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EC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55.78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D18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35.67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114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93E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8A6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142AF19E">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BCDDF">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9EF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00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风雨操场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C1F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4932.92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EF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3938.03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3E1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体育场馆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932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092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55745BA8">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6956B">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41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24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060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田径场看台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53E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1814.00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97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573.68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DDC">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体育场馆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79F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6B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2F023A99">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446EF">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C990">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58C8">
            <w:pPr>
              <w:widowControl/>
              <w:spacing w:line="4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红房子（园林学院）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53C5">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228.42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00FC">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228.41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B7A">
            <w:pPr>
              <w:widowControl/>
              <w:spacing w:line="400" w:lineRule="exact"/>
              <w:jc w:val="left"/>
              <w:textAlignment w:val="center"/>
              <w:rPr>
                <w:rFonts w:ascii="宋体" w:hAnsi="宋体" w:cs="宋体"/>
                <w:kern w:val="0"/>
                <w:sz w:val="20"/>
                <w:szCs w:val="20"/>
                <w:lang w:bidi="ar"/>
              </w:rPr>
            </w:pPr>
            <w:r>
              <w:rPr>
                <w:rFonts w:hint="eastAsia" w:ascii="宋体" w:hAnsi="宋体" w:cs="宋体"/>
                <w:kern w:val="0"/>
                <w:sz w:val="20"/>
                <w:szCs w:val="20"/>
                <w:lang w:bidi="ar"/>
              </w:rPr>
              <w:t>实验室、实习场所</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F89">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2004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71BF">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7B7FD6AB">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4888C">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3AA">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26D">
            <w:pPr>
              <w:widowControl/>
              <w:spacing w:line="4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小木屋（环资学院）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481B">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66.21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3699">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59.59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00C1">
            <w:pPr>
              <w:widowControl/>
              <w:spacing w:line="400" w:lineRule="exact"/>
              <w:jc w:val="left"/>
              <w:textAlignment w:val="center"/>
              <w:rPr>
                <w:rFonts w:ascii="宋体" w:hAnsi="宋体" w:cs="宋体"/>
                <w:kern w:val="0"/>
                <w:sz w:val="20"/>
                <w:szCs w:val="20"/>
                <w:lang w:bidi="ar"/>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6C43">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2019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ACEF">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70CD9D47">
        <w:tblPrEx>
          <w:tblCellMar>
            <w:top w:w="0" w:type="dxa"/>
            <w:left w:w="108" w:type="dxa"/>
            <w:bottom w:w="0" w:type="dxa"/>
            <w:right w:w="108" w:type="dxa"/>
          </w:tblCellMar>
        </w:tblPrEx>
        <w:trPr>
          <w:trHeight w:val="4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47C0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652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812B">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污水处理房（环资学院）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A9E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115.86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FFA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104.27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6BAA">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A09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3FC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662023B3">
        <w:tblPrEx>
          <w:tblCellMar>
            <w:top w:w="0" w:type="dxa"/>
            <w:left w:w="108" w:type="dxa"/>
            <w:bottom w:w="0" w:type="dxa"/>
            <w:right w:w="108" w:type="dxa"/>
          </w:tblCellMar>
        </w:tblPrEx>
        <w:trPr>
          <w:trHeight w:val="5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1CDE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F7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344">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农药活性测试分室（林生院）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FD5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293.00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67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263.34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BA44">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实验室、实习场所</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EE2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81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r>
      <w:tr w14:paraId="623792A2">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77962">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11B">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D1B2">
            <w:pPr>
              <w:widowControl/>
              <w:spacing w:line="400" w:lineRule="exact"/>
              <w:jc w:val="left"/>
              <w:textAlignment w:val="center"/>
              <w:rPr>
                <w:rFonts w:ascii="宋体" w:hAnsi="宋体" w:cs="宋体"/>
                <w:kern w:val="0"/>
                <w:sz w:val="20"/>
                <w:szCs w:val="20"/>
                <w:lang w:bidi="ar"/>
              </w:rPr>
            </w:pPr>
            <w:r>
              <w:rPr>
                <w:rFonts w:hint="eastAsia" w:ascii="宋体" w:hAnsi="宋体" w:cs="宋体"/>
                <w:kern w:val="0"/>
                <w:sz w:val="18"/>
                <w:szCs w:val="18"/>
                <w:lang w:bidi="ar"/>
              </w:rPr>
              <w:t>药品采购配送中心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32B9">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547.67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C63D">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329.16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E600">
            <w:pPr>
              <w:widowControl/>
              <w:spacing w:line="400" w:lineRule="exact"/>
              <w:jc w:val="left"/>
              <w:textAlignment w:val="center"/>
              <w:rPr>
                <w:rFonts w:ascii="宋体" w:hAnsi="宋体" w:cs="宋体"/>
                <w:kern w:val="0"/>
                <w:sz w:val="20"/>
                <w:szCs w:val="20"/>
                <w:lang w:bidi="ar"/>
              </w:rPr>
            </w:pPr>
            <w:r>
              <w:rPr>
                <w:rFonts w:hint="eastAsia" w:ascii="宋体" w:hAnsi="宋体" w:cs="宋体"/>
                <w:kern w:val="0"/>
                <w:sz w:val="20"/>
                <w:szCs w:val="20"/>
                <w:lang w:bidi="ar"/>
              </w:rPr>
              <w:t>专用科研用房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460">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2013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AEDA">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5D274976">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5C39D">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E76">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E28">
            <w:pPr>
              <w:widowControl/>
              <w:spacing w:line="400" w:lineRule="exact"/>
              <w:jc w:val="left"/>
              <w:textAlignment w:val="center"/>
              <w:rPr>
                <w:rFonts w:ascii="宋体" w:hAnsi="宋体" w:cs="宋体"/>
                <w:kern w:val="0"/>
                <w:sz w:val="20"/>
                <w:szCs w:val="20"/>
                <w:lang w:bidi="ar"/>
              </w:rPr>
            </w:pPr>
            <w:r>
              <w:rPr>
                <w:rFonts w:hint="eastAsia" w:ascii="宋体" w:hAnsi="宋体" w:cs="宋体"/>
                <w:kern w:val="0"/>
                <w:sz w:val="20"/>
                <w:szCs w:val="20"/>
                <w:lang w:bidi="ar"/>
              </w:rPr>
              <w:t>A区操场后高配房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ED90">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119.28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131">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113.6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05AE">
            <w:pPr>
              <w:widowControl/>
              <w:spacing w:line="400" w:lineRule="exact"/>
              <w:jc w:val="left"/>
              <w:textAlignment w:val="center"/>
              <w:rPr>
                <w:rFonts w:ascii="宋体" w:hAnsi="宋体" w:cs="宋体"/>
                <w:kern w:val="0"/>
                <w:sz w:val="20"/>
                <w:szCs w:val="20"/>
                <w:lang w:bidi="ar"/>
              </w:rPr>
            </w:pPr>
            <w:r>
              <w:rPr>
                <w:rFonts w:hint="eastAsia" w:ascii="宋体" w:hAnsi="宋体" w:cs="宋体"/>
                <w:kern w:val="0"/>
                <w:sz w:val="20"/>
                <w:szCs w:val="20"/>
                <w:lang w:bidi="ar"/>
              </w:rPr>
              <w:t>生活福利及附属用房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AE39">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2002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50E9">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1C3992FB">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2B6B0">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6AB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553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报告厅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254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1759.08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AA3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1108.4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E6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会议场馆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079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A7C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w:t>
            </w:r>
          </w:p>
        </w:tc>
      </w:tr>
      <w:tr w14:paraId="59B8C3B6">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E2414">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BBF9">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2F76">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老图书馆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FC8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2812.97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6F2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1692.69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7013">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教室</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1DD9">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1984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9C25">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1C1147C0">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246BE">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8D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325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衣锦校区高配房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B38D">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136.22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46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128.55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A970">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FB3">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2001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20AB">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09CBA9BD">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9CC70">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6A0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6D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衣锦校区水机房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6D4">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51.98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0448">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46.35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418A">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生活福利及附属用房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D81">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1990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8F46">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7E5730DE">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03881">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091">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05D">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风雨操场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4A0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4243.33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5FF">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2610.19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4BE2">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体育场馆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F50">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977">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3</w:t>
            </w:r>
          </w:p>
        </w:tc>
      </w:tr>
      <w:tr w14:paraId="6AC44F89">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E5B3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A35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FF3A">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衣锦校区南门传达室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6BB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56.25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908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52.70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79D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844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1979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CEA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07857408">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6D20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EF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CC1">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衣锦校区南门保卫室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92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56.25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4EC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52.71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15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A5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1979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535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6F470A14">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E223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02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F75">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衣锦校区东门传达室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63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69.21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0A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36.03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E1D6">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生活福利及附属用房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61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80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7DE0EC52">
        <w:tblPrEx>
          <w:tblCellMar>
            <w:top w:w="0" w:type="dxa"/>
            <w:left w:w="108" w:type="dxa"/>
            <w:bottom w:w="0" w:type="dxa"/>
            <w:right w:w="108"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3475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E68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71A2">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衣锦校区东区传达室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363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53.76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7FF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48.84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CE0">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生活福利及其他用房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850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1999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54A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r>
      <w:tr w14:paraId="5CF50E3C">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D3909">
            <w:pPr>
              <w:widowControl/>
              <w:spacing w:line="400" w:lineRule="exact"/>
              <w:jc w:val="center"/>
              <w:textAlignment w:val="bottom"/>
              <w:rPr>
                <w:rFonts w:ascii="宋体" w:hAnsi="宋体" w:cs="宋体"/>
                <w:sz w:val="20"/>
                <w:szCs w:val="20"/>
              </w:rPr>
            </w:pPr>
            <w:r>
              <w:rPr>
                <w:rFonts w:hint="eastAsia" w:ascii="宋体" w:hAnsi="宋体" w:cs="宋体"/>
                <w:kern w:val="0"/>
                <w:sz w:val="20"/>
                <w:szCs w:val="20"/>
                <w:lang w:bidi="ar"/>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CC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衣锦校区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5A61">
            <w:pPr>
              <w:widowControl/>
              <w:spacing w:line="400" w:lineRule="exact"/>
              <w:textAlignment w:val="center"/>
              <w:rPr>
                <w:rFonts w:ascii="宋体" w:hAnsi="宋体" w:cs="宋体"/>
                <w:sz w:val="20"/>
                <w:szCs w:val="20"/>
              </w:rPr>
            </w:pPr>
            <w:r>
              <w:rPr>
                <w:rFonts w:hint="eastAsia" w:ascii="宋体" w:hAnsi="宋体" w:cs="宋体"/>
                <w:kern w:val="0"/>
                <w:sz w:val="20"/>
                <w:szCs w:val="20"/>
                <w:lang w:bidi="ar"/>
              </w:rPr>
              <w:t>联建办事大厅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41E">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192.85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4D2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183.25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ADF7">
            <w:pPr>
              <w:widowControl/>
              <w:spacing w:line="400" w:lineRule="exact"/>
              <w:jc w:val="left"/>
              <w:textAlignment w:val="center"/>
              <w:rPr>
                <w:rFonts w:ascii="宋体" w:hAnsi="宋体" w:cs="宋体"/>
                <w:sz w:val="20"/>
                <w:szCs w:val="20"/>
              </w:rPr>
            </w:pPr>
            <w:r>
              <w:rPr>
                <w:rFonts w:hint="eastAsia" w:ascii="宋体" w:hAnsi="宋体" w:cs="宋体"/>
                <w:kern w:val="0"/>
                <w:sz w:val="20"/>
                <w:szCs w:val="20"/>
                <w:lang w:bidi="ar"/>
              </w:rPr>
              <w:t>生活福利及附属用房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E17C">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2020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C622">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lang w:bidi="ar"/>
              </w:rPr>
              <w:t>1</w:t>
            </w:r>
          </w:p>
        </w:tc>
      </w:tr>
      <w:tr w14:paraId="53D28A60">
        <w:tblPrEx>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69B5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9EA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东湖校区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622A">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新农科大楼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B76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63000.00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B88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44000.00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E0FC">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专职科研机构办公及研究用房</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43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46A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w:t>
            </w:r>
          </w:p>
        </w:tc>
      </w:tr>
      <w:tr w14:paraId="589D4E97">
        <w:tblPrEx>
          <w:tblCellMar>
            <w:top w:w="0" w:type="dxa"/>
            <w:left w:w="108" w:type="dxa"/>
            <w:bottom w:w="0" w:type="dxa"/>
            <w:right w:w="108" w:type="dxa"/>
          </w:tblCellMar>
        </w:tblPrEx>
        <w:trPr>
          <w:trHeight w:val="288" w:hRule="atLeast"/>
        </w:trPr>
        <w:tc>
          <w:tcPr>
            <w:tcW w:w="35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CC64">
            <w:pPr>
              <w:widowControl/>
              <w:spacing w:line="400" w:lineRule="exact"/>
              <w:jc w:val="center"/>
              <w:textAlignment w:val="center"/>
              <w:rPr>
                <w:rFonts w:ascii="宋体" w:hAnsi="宋体" w:cs="宋体"/>
                <w:sz w:val="22"/>
              </w:rPr>
            </w:pPr>
            <w:r>
              <w:rPr>
                <w:rFonts w:hint="eastAsia" w:ascii="宋体" w:hAnsi="宋体" w:cs="宋体"/>
                <w:kern w:val="0"/>
                <w:sz w:val="22"/>
                <w:lang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50A3">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363824.85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C318">
            <w:pPr>
              <w:widowControl/>
              <w:spacing w:line="40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237871.26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E451">
            <w:pPr>
              <w:spacing w:line="400" w:lineRule="exact"/>
              <w:rPr>
                <w:rFonts w:ascii="宋体" w:hAnsi="宋体" w:cs="宋体"/>
                <w:sz w:val="22"/>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01CB">
            <w:pPr>
              <w:spacing w:line="400" w:lineRule="exact"/>
              <w:jc w:val="center"/>
              <w:rPr>
                <w:rFonts w:ascii="宋体" w:hAnsi="宋体" w:cs="宋体"/>
                <w:sz w:val="22"/>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E13">
            <w:pPr>
              <w:spacing w:line="400" w:lineRule="exact"/>
              <w:jc w:val="center"/>
              <w:rPr>
                <w:rFonts w:ascii="宋体" w:hAnsi="宋体" w:cs="宋体"/>
                <w:sz w:val="22"/>
              </w:rPr>
            </w:pPr>
          </w:p>
        </w:tc>
      </w:tr>
      <w:tr w14:paraId="6D9C2A5A">
        <w:tblPrEx>
          <w:tblCellMar>
            <w:top w:w="0" w:type="dxa"/>
            <w:left w:w="108" w:type="dxa"/>
            <w:bottom w:w="0" w:type="dxa"/>
            <w:right w:w="108" w:type="dxa"/>
          </w:tblCellMar>
        </w:tblPrEx>
        <w:trPr>
          <w:trHeight w:val="2985" w:hRule="atLeast"/>
        </w:trPr>
        <w:tc>
          <w:tcPr>
            <w:tcW w:w="961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4D0D">
            <w:pPr>
              <w:spacing w:line="400" w:lineRule="exact"/>
              <w:rPr>
                <w:rFonts w:ascii="宋体" w:hAnsi="宋体" w:cs="宋体"/>
                <w:sz w:val="22"/>
              </w:rPr>
            </w:pPr>
            <w:r>
              <w:rPr>
                <w:rFonts w:hint="eastAsia" w:ascii="宋体" w:hAnsi="宋体" w:cs="宋体"/>
                <w:sz w:val="22"/>
              </w:rPr>
              <w:t>1.楼宇管理总面积为363824.85㎡，其中屋面清淤楼宇91幢，高空玻璃清洗3106.8㎡；</w:t>
            </w:r>
          </w:p>
          <w:p w14:paraId="3C31462D">
            <w:pPr>
              <w:spacing w:line="400" w:lineRule="exact"/>
              <w:rPr>
                <w:rFonts w:ascii="宋体" w:hAnsi="宋体" w:cs="宋体"/>
                <w:sz w:val="22"/>
              </w:rPr>
            </w:pPr>
            <w:r>
              <w:rPr>
                <w:rFonts w:hint="eastAsia" w:ascii="宋体" w:hAnsi="宋体" w:cs="宋体"/>
                <w:sz w:val="22"/>
              </w:rPr>
              <w:t>3.室外环境卫生总面积约为47.75万㎡；</w:t>
            </w:r>
          </w:p>
          <w:p w14:paraId="05E32705">
            <w:pPr>
              <w:spacing w:line="400" w:lineRule="exact"/>
              <w:rPr>
                <w:rFonts w:ascii="宋体" w:hAnsi="宋体" w:cs="宋体"/>
                <w:sz w:val="22"/>
              </w:rPr>
            </w:pPr>
            <w:r>
              <w:rPr>
                <w:rFonts w:hint="eastAsia" w:ascii="宋体" w:hAnsi="宋体" w:cs="宋体"/>
                <w:sz w:val="22"/>
              </w:rPr>
              <w:t>4</w:t>
            </w:r>
            <w:r>
              <w:rPr>
                <w:rFonts w:ascii="宋体" w:hAnsi="宋体" w:cs="宋体"/>
                <w:sz w:val="22"/>
              </w:rPr>
              <w:t>.室外绿化养护范围主要包括：东湖校区校训园、古道文化园、松柏园、木兰园、蔷薇园、文化林、槭树园、棕榈园、香花园（茶室周围）、溯源大道、名花园（行政楼周围）、文学花园（教学楼1-3、学1-11、学14-15、学生活动中心）、杜鹃园（A区）、桂花园（B区）、山茶园（C区）、金缕梅园（A5-A12）、户外训练基地、智能实验楼及学15、学16楼、体育场内外、国家工程中心、碳汇楼，东湖天鹅喂养和管护，东湖校区水面保洁等，衣锦校区包括联建公寓、孵化园。其中特级绿地养护面积共6477㎡，一级绿地面积共26048</w:t>
            </w:r>
            <w:r>
              <w:rPr>
                <w:rFonts w:hint="eastAsia" w:ascii="宋体" w:hAnsi="宋体" w:cs="宋体"/>
                <w:sz w:val="22"/>
              </w:rPr>
              <w:t>㎡，三级绿地为面积为</w:t>
            </w:r>
            <w:r>
              <w:rPr>
                <w:rFonts w:ascii="宋体" w:hAnsi="宋体" w:cs="宋体"/>
                <w:sz w:val="22"/>
              </w:rPr>
              <w:t>349814㎡，四级绿地为158196㎡。</w:t>
            </w:r>
          </w:p>
          <w:p w14:paraId="389A1CB9">
            <w:pPr>
              <w:spacing w:line="400" w:lineRule="exact"/>
              <w:rPr>
                <w:rFonts w:ascii="宋体" w:hAnsi="宋体" w:cs="宋体"/>
                <w:sz w:val="22"/>
              </w:rPr>
            </w:pPr>
            <w:r>
              <w:rPr>
                <w:rFonts w:hint="eastAsia" w:ascii="宋体" w:hAnsi="宋体" w:cs="宋体"/>
                <w:sz w:val="22"/>
              </w:rPr>
              <w:t>4.投标人根据建筑基本情况及投入使用的情况考虑合适的人员配置与服务方案。</w:t>
            </w:r>
          </w:p>
        </w:tc>
      </w:tr>
    </w:tbl>
    <w:p w14:paraId="2FE47DB0">
      <w:pPr>
        <w:pStyle w:val="350"/>
        <w:spacing w:line="360" w:lineRule="auto"/>
        <w:ind w:firstLine="420" w:firstLineChars="200"/>
        <w:outlineLvl w:val="3"/>
        <w:rPr>
          <w:rFonts w:ascii="宋体" w:hAnsi="宋体" w:eastAsia="宋体"/>
          <w:color w:val="auto"/>
          <w:sz w:val="21"/>
          <w:szCs w:val="21"/>
        </w:rPr>
      </w:pPr>
      <w:r>
        <w:rPr>
          <w:rFonts w:hint="eastAsia" w:ascii="宋体" w:hAnsi="宋体" w:eastAsia="宋体"/>
          <w:color w:val="auto"/>
          <w:sz w:val="21"/>
          <w:szCs w:val="21"/>
        </w:rPr>
        <w:t>（2）电梯清单</w:t>
      </w:r>
    </w:p>
    <w:tbl>
      <w:tblPr>
        <w:tblStyle w:val="53"/>
        <w:tblW w:w="9694" w:type="dxa"/>
        <w:tblInd w:w="-172" w:type="dxa"/>
        <w:tblLayout w:type="fixed"/>
        <w:tblCellMar>
          <w:top w:w="0" w:type="dxa"/>
          <w:left w:w="108" w:type="dxa"/>
          <w:bottom w:w="0" w:type="dxa"/>
          <w:right w:w="108" w:type="dxa"/>
        </w:tblCellMar>
      </w:tblPr>
      <w:tblGrid>
        <w:gridCol w:w="557"/>
        <w:gridCol w:w="1523"/>
        <w:gridCol w:w="1237"/>
        <w:gridCol w:w="1489"/>
        <w:gridCol w:w="1216"/>
        <w:gridCol w:w="1075"/>
        <w:gridCol w:w="910"/>
        <w:gridCol w:w="1687"/>
      </w:tblGrid>
      <w:tr w14:paraId="2C5224D7">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796B">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9BB1">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安装地点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BF5">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品牌</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DAD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型号参数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F16F">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安装日期</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0258">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额定速度</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16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载重量</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DEB">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层站数</w:t>
            </w:r>
          </w:p>
        </w:tc>
      </w:tr>
      <w:tr w14:paraId="2AEAA7F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DB6B">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B76">
            <w:pPr>
              <w:widowControl/>
              <w:jc w:val="center"/>
              <w:textAlignment w:val="center"/>
              <w:rPr>
                <w:rFonts w:ascii="宋体" w:hAnsi="宋体" w:cs="宋体"/>
                <w:sz w:val="20"/>
                <w:szCs w:val="20"/>
              </w:rPr>
            </w:pPr>
            <w:r>
              <w:rPr>
                <w:rFonts w:hint="eastAsia" w:ascii="宋体" w:hAnsi="宋体" w:cs="宋体"/>
                <w:kern w:val="0"/>
                <w:sz w:val="20"/>
                <w:szCs w:val="20"/>
                <w:lang w:bidi="ar"/>
              </w:rPr>
              <w:t>衣锦教学楼1#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84B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208E2E6F">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21E">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405E">
            <w:pPr>
              <w:widowControl/>
              <w:jc w:val="center"/>
              <w:textAlignment w:val="center"/>
              <w:rPr>
                <w:rFonts w:ascii="宋体" w:hAnsi="宋体" w:cs="宋体"/>
                <w:sz w:val="20"/>
                <w:szCs w:val="20"/>
              </w:rPr>
            </w:pPr>
            <w:r>
              <w:rPr>
                <w:rFonts w:hint="eastAsia" w:ascii="宋体" w:hAnsi="宋体" w:cs="宋体"/>
                <w:kern w:val="0"/>
                <w:sz w:val="20"/>
                <w:szCs w:val="20"/>
                <w:lang w:bidi="ar"/>
              </w:rPr>
              <w:t>2023.7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47F">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3733">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4EA8">
            <w:pPr>
              <w:widowControl/>
              <w:jc w:val="center"/>
              <w:textAlignment w:val="center"/>
              <w:rPr>
                <w:rFonts w:ascii="宋体" w:hAnsi="宋体" w:cs="宋体"/>
                <w:sz w:val="20"/>
                <w:szCs w:val="20"/>
              </w:rPr>
            </w:pPr>
            <w:r>
              <w:rPr>
                <w:rFonts w:hint="eastAsia" w:ascii="宋体" w:hAnsi="宋体" w:cs="宋体"/>
                <w:kern w:val="0"/>
                <w:sz w:val="20"/>
                <w:szCs w:val="20"/>
                <w:lang w:bidi="ar"/>
              </w:rPr>
              <w:t>9层9站</w:t>
            </w:r>
          </w:p>
        </w:tc>
      </w:tr>
      <w:tr w14:paraId="728B94E7">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2959">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4B1">
            <w:pPr>
              <w:widowControl/>
              <w:jc w:val="center"/>
              <w:textAlignment w:val="center"/>
              <w:rPr>
                <w:rFonts w:ascii="宋体" w:hAnsi="宋体" w:cs="宋体"/>
                <w:sz w:val="20"/>
                <w:szCs w:val="20"/>
              </w:rPr>
            </w:pPr>
            <w:r>
              <w:rPr>
                <w:rFonts w:hint="eastAsia" w:ascii="宋体" w:hAnsi="宋体" w:cs="宋体"/>
                <w:kern w:val="0"/>
                <w:sz w:val="20"/>
                <w:szCs w:val="20"/>
                <w:lang w:bidi="ar"/>
              </w:rPr>
              <w:t>衣锦教学楼2#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053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7541EAE6">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F947">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7C86">
            <w:pPr>
              <w:widowControl/>
              <w:jc w:val="center"/>
              <w:textAlignment w:val="center"/>
              <w:rPr>
                <w:rFonts w:ascii="宋体" w:hAnsi="宋体" w:cs="宋体"/>
                <w:sz w:val="20"/>
                <w:szCs w:val="20"/>
              </w:rPr>
            </w:pPr>
            <w:r>
              <w:rPr>
                <w:rFonts w:hint="eastAsia" w:ascii="宋体" w:hAnsi="宋体" w:cs="宋体"/>
                <w:kern w:val="0"/>
                <w:sz w:val="20"/>
                <w:szCs w:val="20"/>
                <w:lang w:bidi="ar"/>
              </w:rPr>
              <w:t>2023.6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D946">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C093">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21DD">
            <w:pPr>
              <w:widowControl/>
              <w:jc w:val="center"/>
              <w:textAlignment w:val="center"/>
              <w:rPr>
                <w:rFonts w:ascii="宋体" w:hAnsi="宋体" w:cs="宋体"/>
                <w:sz w:val="20"/>
                <w:szCs w:val="20"/>
              </w:rPr>
            </w:pPr>
            <w:r>
              <w:rPr>
                <w:rFonts w:hint="eastAsia" w:ascii="宋体" w:hAnsi="宋体" w:cs="宋体"/>
                <w:kern w:val="0"/>
                <w:sz w:val="20"/>
                <w:szCs w:val="20"/>
                <w:lang w:bidi="ar"/>
              </w:rPr>
              <w:t>9层9站</w:t>
            </w:r>
          </w:p>
        </w:tc>
      </w:tr>
      <w:tr w14:paraId="6A88E261">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EDA1">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C085">
            <w:pPr>
              <w:widowControl/>
              <w:jc w:val="center"/>
              <w:textAlignment w:val="center"/>
              <w:rPr>
                <w:rFonts w:ascii="宋体" w:hAnsi="宋体" w:cs="宋体"/>
                <w:sz w:val="20"/>
                <w:szCs w:val="20"/>
              </w:rPr>
            </w:pPr>
            <w:r>
              <w:rPr>
                <w:rFonts w:hint="eastAsia" w:ascii="宋体" w:hAnsi="宋体" w:cs="宋体"/>
                <w:kern w:val="0"/>
                <w:sz w:val="20"/>
                <w:szCs w:val="20"/>
                <w:lang w:bidi="ar"/>
              </w:rPr>
              <w:t>衣锦教学楼3#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E33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20394055">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EDA0">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2C51">
            <w:pPr>
              <w:widowControl/>
              <w:jc w:val="center"/>
              <w:textAlignment w:val="center"/>
              <w:rPr>
                <w:rFonts w:ascii="宋体" w:hAnsi="宋体" w:cs="宋体"/>
                <w:sz w:val="20"/>
                <w:szCs w:val="20"/>
              </w:rPr>
            </w:pPr>
            <w:r>
              <w:rPr>
                <w:rFonts w:hint="eastAsia" w:ascii="宋体" w:hAnsi="宋体" w:cs="宋体"/>
                <w:kern w:val="0"/>
                <w:sz w:val="20"/>
                <w:szCs w:val="20"/>
                <w:lang w:bidi="ar"/>
              </w:rPr>
              <w:t>2023.6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819">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2E62">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28D3">
            <w:pPr>
              <w:widowControl/>
              <w:jc w:val="center"/>
              <w:textAlignment w:val="center"/>
              <w:rPr>
                <w:rFonts w:ascii="宋体" w:hAnsi="宋体" w:cs="宋体"/>
                <w:sz w:val="20"/>
                <w:szCs w:val="20"/>
              </w:rPr>
            </w:pPr>
            <w:r>
              <w:rPr>
                <w:rFonts w:hint="eastAsia" w:ascii="宋体" w:hAnsi="宋体" w:cs="宋体"/>
                <w:kern w:val="0"/>
                <w:sz w:val="20"/>
                <w:szCs w:val="20"/>
                <w:lang w:bidi="ar"/>
              </w:rPr>
              <w:t>9层9站</w:t>
            </w:r>
          </w:p>
        </w:tc>
      </w:tr>
      <w:tr w14:paraId="287C9D9C">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81BF">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1C36">
            <w:pPr>
              <w:widowControl/>
              <w:jc w:val="center"/>
              <w:textAlignment w:val="center"/>
              <w:rPr>
                <w:rFonts w:ascii="宋体" w:hAnsi="宋体" w:cs="宋体"/>
                <w:sz w:val="20"/>
                <w:szCs w:val="20"/>
              </w:rPr>
            </w:pPr>
            <w:r>
              <w:rPr>
                <w:rFonts w:hint="eastAsia" w:ascii="宋体" w:hAnsi="宋体" w:cs="宋体"/>
                <w:kern w:val="0"/>
                <w:sz w:val="20"/>
                <w:szCs w:val="20"/>
                <w:lang w:bidi="ar"/>
              </w:rPr>
              <w:t>衣锦图书馆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41C">
            <w:pPr>
              <w:widowControl/>
              <w:jc w:val="center"/>
              <w:textAlignment w:val="center"/>
              <w:rPr>
                <w:rFonts w:ascii="宋体" w:hAnsi="宋体" w:cs="宋体"/>
                <w:sz w:val="20"/>
                <w:szCs w:val="20"/>
              </w:rPr>
            </w:pPr>
            <w:r>
              <w:rPr>
                <w:rFonts w:hint="eastAsia" w:ascii="宋体" w:hAnsi="宋体" w:cs="宋体"/>
                <w:kern w:val="0"/>
                <w:sz w:val="20"/>
                <w:szCs w:val="20"/>
                <w:lang w:bidi="ar"/>
              </w:rPr>
              <w:t>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E9F">
            <w:pPr>
              <w:widowControl/>
              <w:jc w:val="center"/>
              <w:textAlignment w:val="center"/>
              <w:rPr>
                <w:rFonts w:ascii="宋体" w:hAnsi="宋体" w:cs="宋体"/>
                <w:sz w:val="20"/>
                <w:szCs w:val="20"/>
              </w:rPr>
            </w:pPr>
            <w:r>
              <w:rPr>
                <w:rFonts w:hint="eastAsia" w:ascii="宋体" w:hAnsi="宋体" w:cs="宋体"/>
                <w:kern w:val="0"/>
                <w:sz w:val="20"/>
                <w:szCs w:val="20"/>
                <w:lang w:bidi="ar"/>
              </w:rPr>
              <w:t>TKJ1000/1.0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B495">
            <w:pPr>
              <w:widowControl/>
              <w:jc w:val="center"/>
              <w:textAlignment w:val="center"/>
              <w:rPr>
                <w:rFonts w:ascii="宋体" w:hAnsi="宋体" w:cs="宋体"/>
                <w:sz w:val="20"/>
                <w:szCs w:val="20"/>
              </w:rPr>
            </w:pPr>
            <w:r>
              <w:rPr>
                <w:rFonts w:hint="eastAsia" w:ascii="宋体" w:hAnsi="宋体" w:cs="宋体"/>
                <w:kern w:val="0"/>
                <w:sz w:val="20"/>
                <w:szCs w:val="20"/>
                <w:lang w:bidi="ar"/>
              </w:rPr>
              <w:t>2002.03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40A2">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CB17">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A26A">
            <w:pPr>
              <w:widowControl/>
              <w:jc w:val="center"/>
              <w:textAlignment w:val="center"/>
              <w:rPr>
                <w:rFonts w:ascii="宋体" w:hAnsi="宋体" w:cs="宋体"/>
                <w:sz w:val="20"/>
                <w:szCs w:val="20"/>
              </w:rPr>
            </w:pPr>
            <w:r>
              <w:rPr>
                <w:rFonts w:hint="eastAsia" w:ascii="宋体" w:hAnsi="宋体" w:cs="宋体"/>
                <w:kern w:val="0"/>
                <w:sz w:val="20"/>
                <w:szCs w:val="20"/>
                <w:lang w:bidi="ar"/>
              </w:rPr>
              <w:t>5层5站</w:t>
            </w:r>
          </w:p>
        </w:tc>
      </w:tr>
      <w:tr w14:paraId="58319951">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4F1B">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C507">
            <w:pPr>
              <w:widowControl/>
              <w:jc w:val="center"/>
              <w:textAlignment w:val="center"/>
              <w:rPr>
                <w:rFonts w:ascii="宋体" w:hAnsi="宋体" w:cs="宋体"/>
                <w:sz w:val="20"/>
                <w:szCs w:val="20"/>
              </w:rPr>
            </w:pPr>
            <w:r>
              <w:rPr>
                <w:rFonts w:hint="eastAsia" w:ascii="宋体" w:hAnsi="宋体" w:cs="宋体"/>
                <w:kern w:val="0"/>
                <w:sz w:val="20"/>
                <w:szCs w:val="20"/>
                <w:lang w:bidi="ar"/>
              </w:rPr>
              <w:t>行政楼1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A591">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0C12">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E9F">
            <w:pPr>
              <w:widowControl/>
              <w:jc w:val="center"/>
              <w:textAlignment w:val="center"/>
              <w:rPr>
                <w:rFonts w:ascii="宋体" w:hAnsi="宋体" w:cs="宋体"/>
                <w:sz w:val="20"/>
                <w:szCs w:val="20"/>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635">
            <w:pPr>
              <w:widowControl/>
              <w:jc w:val="center"/>
              <w:textAlignment w:val="center"/>
              <w:rPr>
                <w:rFonts w:ascii="宋体" w:hAnsi="宋体" w:cs="宋体"/>
                <w:sz w:val="20"/>
                <w:szCs w:val="20"/>
              </w:rPr>
            </w:pPr>
            <w:r>
              <w:rPr>
                <w:rFonts w:hint="eastAsia" w:ascii="宋体" w:hAnsi="宋体" w:cs="宋体"/>
                <w:kern w:val="0"/>
                <w:sz w:val="20"/>
                <w:szCs w:val="20"/>
                <w:lang w:bidi="ar"/>
              </w:rPr>
              <w:t>1.50m/s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406E">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EF7">
            <w:pPr>
              <w:widowControl/>
              <w:jc w:val="center"/>
              <w:textAlignment w:val="center"/>
              <w:rPr>
                <w:rFonts w:ascii="宋体" w:hAnsi="宋体" w:cs="宋体"/>
                <w:sz w:val="20"/>
                <w:szCs w:val="20"/>
              </w:rPr>
            </w:pPr>
            <w:r>
              <w:rPr>
                <w:rFonts w:hint="eastAsia" w:ascii="宋体" w:hAnsi="宋体" w:cs="宋体"/>
                <w:kern w:val="0"/>
                <w:sz w:val="20"/>
                <w:szCs w:val="20"/>
                <w:lang w:bidi="ar"/>
              </w:rPr>
              <w:t>4层4站</w:t>
            </w:r>
          </w:p>
        </w:tc>
      </w:tr>
      <w:tr w14:paraId="204D0399">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300F">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E391">
            <w:pPr>
              <w:widowControl/>
              <w:jc w:val="center"/>
              <w:textAlignment w:val="center"/>
              <w:rPr>
                <w:rFonts w:ascii="宋体" w:hAnsi="宋体" w:cs="宋体"/>
                <w:sz w:val="20"/>
                <w:szCs w:val="20"/>
              </w:rPr>
            </w:pPr>
            <w:r>
              <w:rPr>
                <w:rFonts w:hint="eastAsia" w:ascii="宋体" w:hAnsi="宋体" w:cs="宋体"/>
                <w:kern w:val="0"/>
                <w:sz w:val="20"/>
                <w:szCs w:val="20"/>
                <w:lang w:bidi="ar"/>
              </w:rPr>
              <w:t>教学1号楼A#</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9E31">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92F">
            <w:pPr>
              <w:widowControl/>
              <w:jc w:val="center"/>
              <w:textAlignment w:val="center"/>
              <w:rPr>
                <w:rFonts w:ascii="宋体" w:hAnsi="宋体" w:cs="宋体"/>
                <w:sz w:val="20"/>
                <w:szCs w:val="20"/>
              </w:rPr>
            </w:pPr>
            <w:r>
              <w:rPr>
                <w:rFonts w:hint="eastAsia" w:ascii="宋体" w:hAnsi="宋体" w:cs="宋体"/>
                <w:kern w:val="0"/>
                <w:sz w:val="20"/>
                <w:szCs w:val="20"/>
                <w:lang w:bidi="ar"/>
              </w:rPr>
              <w:t>TKJ1350/1.5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292">
            <w:pPr>
              <w:widowControl/>
              <w:jc w:val="center"/>
              <w:textAlignment w:val="center"/>
              <w:rPr>
                <w:rFonts w:ascii="宋体" w:hAnsi="宋体" w:cs="宋体"/>
                <w:sz w:val="20"/>
                <w:szCs w:val="20"/>
              </w:rPr>
            </w:pPr>
            <w:r>
              <w:rPr>
                <w:rFonts w:hint="eastAsia" w:ascii="宋体" w:hAnsi="宋体" w:cs="宋体"/>
                <w:kern w:val="0"/>
                <w:sz w:val="20"/>
                <w:szCs w:val="20"/>
                <w:lang w:bidi="ar"/>
              </w:rPr>
              <w:t>2002.05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B7B">
            <w:pPr>
              <w:widowControl/>
              <w:jc w:val="center"/>
              <w:textAlignment w:val="center"/>
              <w:rPr>
                <w:rFonts w:ascii="宋体" w:hAnsi="宋体" w:cs="宋体"/>
                <w:sz w:val="20"/>
                <w:szCs w:val="20"/>
              </w:rPr>
            </w:pPr>
            <w:r>
              <w:rPr>
                <w:rFonts w:hint="eastAsia" w:ascii="宋体" w:hAnsi="宋体" w:cs="宋体"/>
                <w:kern w:val="0"/>
                <w:sz w:val="20"/>
                <w:szCs w:val="20"/>
                <w:lang w:bidi="ar"/>
              </w:rPr>
              <w:t>1.50m/s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2F8C">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D153">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3DC1FC5D">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47FE">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061">
            <w:pPr>
              <w:widowControl/>
              <w:jc w:val="center"/>
              <w:textAlignment w:val="center"/>
              <w:rPr>
                <w:rFonts w:ascii="宋体" w:hAnsi="宋体" w:cs="宋体"/>
                <w:sz w:val="20"/>
                <w:szCs w:val="20"/>
              </w:rPr>
            </w:pPr>
            <w:r>
              <w:rPr>
                <w:rFonts w:hint="eastAsia" w:ascii="宋体" w:hAnsi="宋体" w:cs="宋体"/>
                <w:kern w:val="0"/>
                <w:sz w:val="20"/>
                <w:szCs w:val="20"/>
                <w:lang w:bidi="ar"/>
              </w:rPr>
              <w:t>教学1号楼B#</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FE5B">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98D3">
            <w:pPr>
              <w:widowControl/>
              <w:jc w:val="center"/>
              <w:textAlignment w:val="center"/>
              <w:rPr>
                <w:rFonts w:ascii="宋体" w:hAnsi="宋体" w:cs="宋体"/>
                <w:sz w:val="20"/>
                <w:szCs w:val="20"/>
              </w:rPr>
            </w:pPr>
            <w:r>
              <w:rPr>
                <w:rFonts w:hint="eastAsia" w:ascii="宋体" w:hAnsi="宋体" w:cs="宋体"/>
                <w:kern w:val="0"/>
                <w:sz w:val="20"/>
                <w:szCs w:val="20"/>
                <w:lang w:bidi="ar"/>
              </w:rPr>
              <w:t>TKJ1350/1.5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DEFD">
            <w:pPr>
              <w:widowControl/>
              <w:jc w:val="center"/>
              <w:textAlignment w:val="center"/>
              <w:rPr>
                <w:rFonts w:ascii="宋体" w:hAnsi="宋体" w:cs="宋体"/>
                <w:sz w:val="20"/>
                <w:szCs w:val="20"/>
              </w:rPr>
            </w:pPr>
            <w:r>
              <w:rPr>
                <w:rFonts w:hint="eastAsia" w:ascii="宋体" w:hAnsi="宋体" w:cs="宋体"/>
                <w:kern w:val="0"/>
                <w:sz w:val="20"/>
                <w:szCs w:val="20"/>
                <w:lang w:bidi="ar"/>
              </w:rPr>
              <w:t>2002.05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91F2">
            <w:pPr>
              <w:widowControl/>
              <w:jc w:val="center"/>
              <w:textAlignment w:val="center"/>
              <w:rPr>
                <w:rFonts w:ascii="宋体" w:hAnsi="宋体" w:cs="宋体"/>
                <w:sz w:val="20"/>
                <w:szCs w:val="20"/>
              </w:rPr>
            </w:pPr>
            <w:r>
              <w:rPr>
                <w:rFonts w:hint="eastAsia" w:ascii="宋体" w:hAnsi="宋体" w:cs="宋体"/>
                <w:kern w:val="0"/>
                <w:sz w:val="20"/>
                <w:szCs w:val="20"/>
                <w:lang w:bidi="ar"/>
              </w:rPr>
              <w:t>1.50m/s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58AD">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5B2">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2193B1FA">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EC5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1AFF">
            <w:pPr>
              <w:widowControl/>
              <w:jc w:val="center"/>
              <w:textAlignment w:val="center"/>
              <w:rPr>
                <w:rFonts w:ascii="宋体" w:hAnsi="宋体" w:cs="宋体"/>
                <w:sz w:val="20"/>
                <w:szCs w:val="20"/>
              </w:rPr>
            </w:pPr>
            <w:r>
              <w:rPr>
                <w:rFonts w:hint="eastAsia" w:ascii="宋体" w:hAnsi="宋体" w:cs="宋体"/>
                <w:kern w:val="0"/>
                <w:sz w:val="20"/>
                <w:szCs w:val="20"/>
                <w:lang w:bidi="ar"/>
              </w:rPr>
              <w:t>教学1号楼C#</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1722">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3605">
            <w:pPr>
              <w:widowControl/>
              <w:jc w:val="center"/>
              <w:textAlignment w:val="center"/>
              <w:rPr>
                <w:rFonts w:ascii="宋体" w:hAnsi="宋体" w:cs="宋体"/>
                <w:sz w:val="20"/>
                <w:szCs w:val="20"/>
              </w:rPr>
            </w:pPr>
            <w:r>
              <w:rPr>
                <w:rFonts w:hint="eastAsia" w:ascii="宋体" w:hAnsi="宋体" w:cs="宋体"/>
                <w:kern w:val="0"/>
                <w:sz w:val="20"/>
                <w:szCs w:val="20"/>
                <w:lang w:bidi="ar"/>
              </w:rPr>
              <w:t>TKJ1350/1.5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135F">
            <w:pPr>
              <w:widowControl/>
              <w:jc w:val="center"/>
              <w:textAlignment w:val="center"/>
              <w:rPr>
                <w:rFonts w:ascii="宋体" w:hAnsi="宋体" w:cs="宋体"/>
                <w:sz w:val="20"/>
                <w:szCs w:val="20"/>
              </w:rPr>
            </w:pPr>
            <w:r>
              <w:rPr>
                <w:rFonts w:hint="eastAsia" w:ascii="宋体" w:hAnsi="宋体" w:cs="宋体"/>
                <w:kern w:val="0"/>
                <w:sz w:val="20"/>
                <w:szCs w:val="20"/>
                <w:lang w:bidi="ar"/>
              </w:rPr>
              <w:t>2002.05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E78B">
            <w:pPr>
              <w:widowControl/>
              <w:jc w:val="center"/>
              <w:textAlignment w:val="center"/>
              <w:rPr>
                <w:rFonts w:ascii="宋体" w:hAnsi="宋体" w:cs="宋体"/>
                <w:sz w:val="20"/>
                <w:szCs w:val="20"/>
              </w:rPr>
            </w:pPr>
            <w:r>
              <w:rPr>
                <w:rFonts w:hint="eastAsia" w:ascii="宋体" w:hAnsi="宋体" w:cs="宋体"/>
                <w:kern w:val="0"/>
                <w:sz w:val="20"/>
                <w:szCs w:val="20"/>
                <w:lang w:bidi="ar"/>
              </w:rPr>
              <w:t>1.50m/s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176B">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4F5">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21FE0B7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3F8">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085B">
            <w:pPr>
              <w:widowControl/>
              <w:jc w:val="center"/>
              <w:textAlignment w:val="center"/>
              <w:rPr>
                <w:rFonts w:ascii="宋体" w:hAnsi="宋体" w:cs="宋体"/>
                <w:sz w:val="20"/>
                <w:szCs w:val="20"/>
              </w:rPr>
            </w:pPr>
            <w:r>
              <w:rPr>
                <w:rFonts w:hint="eastAsia" w:ascii="宋体" w:hAnsi="宋体" w:cs="宋体"/>
                <w:kern w:val="0"/>
                <w:sz w:val="20"/>
                <w:szCs w:val="20"/>
                <w:lang w:bidi="ar"/>
              </w:rPr>
              <w:t>东湖图书馆9#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D55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04BBEF22">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B77">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0AA1">
            <w:pPr>
              <w:widowControl/>
              <w:jc w:val="center"/>
              <w:textAlignment w:val="center"/>
              <w:rPr>
                <w:rFonts w:ascii="宋体" w:hAnsi="宋体" w:cs="宋体"/>
                <w:sz w:val="20"/>
                <w:szCs w:val="20"/>
              </w:rPr>
            </w:pPr>
            <w:r>
              <w:rPr>
                <w:rFonts w:hint="eastAsia" w:ascii="宋体" w:hAnsi="宋体" w:cs="宋体"/>
                <w:kern w:val="0"/>
                <w:sz w:val="20"/>
                <w:szCs w:val="20"/>
                <w:lang w:bidi="ar"/>
              </w:rPr>
              <w:t>2023.6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FB5">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C50">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B183">
            <w:pPr>
              <w:widowControl/>
              <w:jc w:val="center"/>
              <w:textAlignment w:val="center"/>
              <w:rPr>
                <w:rFonts w:ascii="宋体" w:hAnsi="宋体" w:cs="宋体"/>
                <w:sz w:val="20"/>
                <w:szCs w:val="20"/>
              </w:rPr>
            </w:pPr>
            <w:r>
              <w:rPr>
                <w:rFonts w:hint="eastAsia" w:ascii="宋体" w:hAnsi="宋体" w:cs="宋体"/>
                <w:kern w:val="0"/>
                <w:sz w:val="20"/>
                <w:szCs w:val="20"/>
                <w:lang w:bidi="ar"/>
              </w:rPr>
              <w:t>5层5站</w:t>
            </w:r>
          </w:p>
        </w:tc>
      </w:tr>
      <w:tr w14:paraId="07F7F02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9D2">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D16">
            <w:pPr>
              <w:widowControl/>
              <w:jc w:val="center"/>
              <w:textAlignment w:val="center"/>
              <w:rPr>
                <w:rFonts w:ascii="宋体" w:hAnsi="宋体" w:cs="宋体"/>
                <w:sz w:val="20"/>
                <w:szCs w:val="20"/>
              </w:rPr>
            </w:pPr>
            <w:r>
              <w:rPr>
                <w:rFonts w:hint="eastAsia" w:ascii="宋体" w:hAnsi="宋体" w:cs="宋体"/>
                <w:kern w:val="0"/>
                <w:sz w:val="20"/>
                <w:szCs w:val="20"/>
                <w:lang w:bidi="ar"/>
              </w:rPr>
              <w:t>东湖图书馆10#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60B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69433F16">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DA8D">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DACE">
            <w:pPr>
              <w:widowControl/>
              <w:jc w:val="center"/>
              <w:textAlignment w:val="center"/>
              <w:rPr>
                <w:rFonts w:ascii="宋体" w:hAnsi="宋体" w:cs="宋体"/>
                <w:sz w:val="20"/>
                <w:szCs w:val="20"/>
              </w:rPr>
            </w:pPr>
            <w:r>
              <w:rPr>
                <w:rFonts w:hint="eastAsia" w:ascii="宋体" w:hAnsi="宋体" w:cs="宋体"/>
                <w:kern w:val="0"/>
                <w:sz w:val="20"/>
                <w:szCs w:val="20"/>
                <w:lang w:bidi="ar"/>
              </w:rPr>
              <w:t>2023.7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9A8">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0561">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327">
            <w:pPr>
              <w:widowControl/>
              <w:jc w:val="center"/>
              <w:textAlignment w:val="center"/>
              <w:rPr>
                <w:rFonts w:ascii="宋体" w:hAnsi="宋体" w:cs="宋体"/>
                <w:sz w:val="20"/>
                <w:szCs w:val="20"/>
              </w:rPr>
            </w:pPr>
            <w:r>
              <w:rPr>
                <w:rFonts w:hint="eastAsia" w:ascii="宋体" w:hAnsi="宋体" w:cs="宋体"/>
                <w:kern w:val="0"/>
                <w:sz w:val="20"/>
                <w:szCs w:val="20"/>
                <w:lang w:bidi="ar"/>
              </w:rPr>
              <w:t>5层5站</w:t>
            </w:r>
          </w:p>
        </w:tc>
      </w:tr>
      <w:tr w14:paraId="2B72F69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3C58">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C3A5">
            <w:pPr>
              <w:widowControl/>
              <w:jc w:val="center"/>
              <w:textAlignment w:val="center"/>
              <w:rPr>
                <w:rFonts w:ascii="宋体" w:hAnsi="宋体" w:cs="宋体"/>
                <w:sz w:val="20"/>
                <w:szCs w:val="20"/>
              </w:rPr>
            </w:pPr>
            <w:r>
              <w:rPr>
                <w:rFonts w:hint="eastAsia" w:ascii="宋体" w:hAnsi="宋体" w:cs="宋体"/>
                <w:kern w:val="0"/>
                <w:sz w:val="20"/>
                <w:szCs w:val="20"/>
                <w:lang w:bidi="ar"/>
              </w:rPr>
              <w:t>东湖图书馆C#</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0E2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苏州迅达</w:t>
            </w:r>
          </w:p>
          <w:p w14:paraId="3AE569AC">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854">
            <w:pPr>
              <w:widowControl/>
              <w:jc w:val="center"/>
              <w:textAlignment w:val="center"/>
              <w:rPr>
                <w:rFonts w:ascii="宋体" w:hAnsi="宋体" w:cs="宋体"/>
                <w:sz w:val="20"/>
                <w:szCs w:val="20"/>
              </w:rPr>
            </w:pPr>
            <w:r>
              <w:rPr>
                <w:rFonts w:hint="eastAsia" w:ascii="宋体" w:hAnsi="宋体" w:cs="宋体"/>
                <w:kern w:val="0"/>
                <w:sz w:val="20"/>
                <w:szCs w:val="20"/>
                <w:lang w:bidi="ar"/>
              </w:rPr>
              <w:t>300P</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A51">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2003.10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36B">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757D">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A0DE">
            <w:pPr>
              <w:widowControl/>
              <w:jc w:val="center"/>
              <w:textAlignment w:val="center"/>
              <w:rPr>
                <w:rFonts w:ascii="宋体" w:hAnsi="宋体" w:cs="宋体"/>
                <w:sz w:val="20"/>
                <w:szCs w:val="20"/>
              </w:rPr>
            </w:pPr>
            <w:r>
              <w:rPr>
                <w:rFonts w:hint="eastAsia" w:ascii="宋体" w:hAnsi="宋体" w:cs="宋体"/>
                <w:kern w:val="0"/>
                <w:sz w:val="20"/>
                <w:szCs w:val="20"/>
                <w:lang w:bidi="ar"/>
              </w:rPr>
              <w:t>05层05站</w:t>
            </w:r>
          </w:p>
        </w:tc>
      </w:tr>
      <w:tr w14:paraId="01F5D5C3">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5533">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B70">
            <w:pPr>
              <w:widowControl/>
              <w:jc w:val="center"/>
              <w:textAlignment w:val="center"/>
              <w:rPr>
                <w:rFonts w:ascii="宋体" w:hAnsi="宋体" w:cs="宋体"/>
                <w:sz w:val="20"/>
                <w:szCs w:val="20"/>
              </w:rPr>
            </w:pPr>
            <w:r>
              <w:rPr>
                <w:rFonts w:hint="eastAsia" w:ascii="宋体" w:hAnsi="宋体" w:cs="宋体"/>
                <w:kern w:val="0"/>
                <w:sz w:val="20"/>
                <w:szCs w:val="20"/>
                <w:lang w:bidi="ar"/>
              </w:rPr>
              <w:t>1号学院楼4#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821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442D6DC5">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9835">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2C9">
            <w:pPr>
              <w:widowControl/>
              <w:jc w:val="center"/>
              <w:textAlignment w:val="center"/>
              <w:rPr>
                <w:rFonts w:ascii="宋体" w:hAnsi="宋体" w:cs="宋体"/>
                <w:sz w:val="20"/>
                <w:szCs w:val="20"/>
              </w:rPr>
            </w:pPr>
            <w:r>
              <w:rPr>
                <w:rFonts w:hint="eastAsia" w:ascii="宋体" w:hAnsi="宋体" w:cs="宋体"/>
                <w:kern w:val="0"/>
                <w:sz w:val="20"/>
                <w:szCs w:val="20"/>
                <w:lang w:bidi="ar"/>
              </w:rPr>
              <w:t>2023.8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5222">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7D61">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5155">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3B090DD6">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E0F">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D0D8">
            <w:pPr>
              <w:widowControl/>
              <w:jc w:val="center"/>
              <w:textAlignment w:val="center"/>
              <w:rPr>
                <w:rFonts w:ascii="宋体" w:hAnsi="宋体" w:cs="宋体"/>
                <w:sz w:val="20"/>
                <w:szCs w:val="20"/>
              </w:rPr>
            </w:pPr>
            <w:r>
              <w:rPr>
                <w:rFonts w:hint="eastAsia" w:ascii="宋体" w:hAnsi="宋体" w:cs="宋体"/>
                <w:kern w:val="0"/>
                <w:sz w:val="20"/>
                <w:szCs w:val="20"/>
                <w:lang w:bidi="ar"/>
              </w:rPr>
              <w:t>1号学院楼5#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505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52838B0A">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D634">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DFB6">
            <w:pPr>
              <w:widowControl/>
              <w:jc w:val="center"/>
              <w:textAlignment w:val="center"/>
              <w:rPr>
                <w:rFonts w:ascii="宋体" w:hAnsi="宋体" w:cs="宋体"/>
                <w:sz w:val="20"/>
                <w:szCs w:val="20"/>
              </w:rPr>
            </w:pPr>
            <w:r>
              <w:rPr>
                <w:rFonts w:hint="eastAsia" w:ascii="宋体" w:hAnsi="宋体" w:cs="宋体"/>
                <w:kern w:val="0"/>
                <w:sz w:val="20"/>
                <w:szCs w:val="20"/>
                <w:lang w:bidi="ar"/>
              </w:rPr>
              <w:t>2023.8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F71B">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6E1">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9E1B">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79AB4711">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3B9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95E4">
            <w:pPr>
              <w:widowControl/>
              <w:jc w:val="center"/>
              <w:textAlignment w:val="center"/>
              <w:rPr>
                <w:rFonts w:ascii="宋体" w:hAnsi="宋体" w:cs="宋体"/>
                <w:sz w:val="20"/>
                <w:szCs w:val="20"/>
              </w:rPr>
            </w:pPr>
            <w:r>
              <w:rPr>
                <w:rFonts w:hint="eastAsia" w:ascii="宋体" w:hAnsi="宋体" w:cs="宋体"/>
                <w:kern w:val="0"/>
                <w:sz w:val="20"/>
                <w:szCs w:val="20"/>
                <w:lang w:bidi="ar"/>
              </w:rPr>
              <w:t>2号学院楼6#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1C45">
            <w:pPr>
              <w:widowControl/>
              <w:jc w:val="center"/>
              <w:textAlignment w:val="center"/>
              <w:rPr>
                <w:rFonts w:ascii="宋体" w:hAnsi="宋体" w:cs="宋体"/>
                <w:sz w:val="20"/>
                <w:szCs w:val="20"/>
              </w:rPr>
            </w:pPr>
            <w:r>
              <w:rPr>
                <w:rFonts w:hint="eastAsia" w:ascii="宋体" w:hAnsi="宋体" w:cs="宋体"/>
                <w:kern w:val="0"/>
                <w:sz w:val="20"/>
                <w:szCs w:val="20"/>
                <w:lang w:bidi="ar"/>
              </w:rPr>
              <w:t>上海三菱电梯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DEDF">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F25">
            <w:pPr>
              <w:widowControl/>
              <w:jc w:val="center"/>
              <w:textAlignment w:val="center"/>
              <w:rPr>
                <w:rFonts w:ascii="宋体" w:hAnsi="宋体" w:cs="宋体"/>
                <w:sz w:val="20"/>
                <w:szCs w:val="20"/>
              </w:rPr>
            </w:pPr>
            <w:r>
              <w:rPr>
                <w:rFonts w:hint="eastAsia" w:ascii="宋体" w:hAnsi="宋体" w:cs="宋体"/>
                <w:kern w:val="0"/>
                <w:sz w:val="20"/>
                <w:szCs w:val="20"/>
                <w:lang w:bidi="ar"/>
              </w:rPr>
              <w:t>2023.8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BF1">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D9F0">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2E2E">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194B2D24">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9D18">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4B44">
            <w:pPr>
              <w:widowControl/>
              <w:jc w:val="center"/>
              <w:textAlignment w:val="center"/>
              <w:rPr>
                <w:rFonts w:ascii="宋体" w:hAnsi="宋体" w:cs="宋体"/>
                <w:sz w:val="20"/>
                <w:szCs w:val="20"/>
              </w:rPr>
            </w:pPr>
            <w:r>
              <w:rPr>
                <w:rFonts w:hint="eastAsia" w:ascii="宋体" w:hAnsi="宋体" w:cs="宋体"/>
                <w:kern w:val="0"/>
                <w:sz w:val="20"/>
                <w:szCs w:val="20"/>
                <w:lang w:bidi="ar"/>
              </w:rPr>
              <w:t>2号学院楼7#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9E7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4EAA8466">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25B">
            <w:pPr>
              <w:widowControl/>
              <w:jc w:val="center"/>
              <w:textAlignment w:val="center"/>
              <w:rPr>
                <w:rFonts w:ascii="宋体" w:hAnsi="宋体" w:cs="宋体"/>
                <w:sz w:val="20"/>
                <w:szCs w:val="20"/>
              </w:rPr>
            </w:pPr>
            <w:r>
              <w:rPr>
                <w:rFonts w:hint="eastAsia" w:ascii="宋体" w:hAnsi="宋体" w:cs="宋体"/>
                <w:kern w:val="0"/>
                <w:sz w:val="20"/>
                <w:szCs w:val="20"/>
                <w:lang w:bidi="ar"/>
              </w:rPr>
              <w:t>LEHY-III-S</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F9DD">
            <w:pPr>
              <w:widowControl/>
              <w:jc w:val="center"/>
              <w:textAlignment w:val="center"/>
              <w:rPr>
                <w:rFonts w:ascii="宋体" w:hAnsi="宋体" w:cs="宋体"/>
                <w:sz w:val="20"/>
                <w:szCs w:val="20"/>
              </w:rPr>
            </w:pPr>
            <w:r>
              <w:rPr>
                <w:rFonts w:hint="eastAsia" w:ascii="宋体" w:hAnsi="宋体" w:cs="宋体"/>
                <w:kern w:val="0"/>
                <w:sz w:val="20"/>
                <w:szCs w:val="20"/>
                <w:lang w:bidi="ar"/>
              </w:rPr>
              <w:t>2023.8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D92D">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07DF">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A228">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26538B82">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D93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53B5">
            <w:pPr>
              <w:widowControl/>
              <w:jc w:val="center"/>
              <w:textAlignment w:val="center"/>
              <w:rPr>
                <w:rFonts w:ascii="宋体" w:hAnsi="宋体" w:cs="宋体"/>
                <w:sz w:val="20"/>
                <w:szCs w:val="20"/>
              </w:rPr>
            </w:pPr>
            <w:r>
              <w:rPr>
                <w:rFonts w:hint="eastAsia" w:ascii="宋体" w:hAnsi="宋体" w:cs="宋体"/>
                <w:kern w:val="0"/>
                <w:sz w:val="20"/>
                <w:szCs w:val="20"/>
                <w:lang w:bidi="ar"/>
              </w:rPr>
              <w:t>3号学院楼1#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D82E">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4C1">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540A">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1BC">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32AE">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DAA">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5CA4A154">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32E">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9BD">
            <w:pPr>
              <w:widowControl/>
              <w:jc w:val="center"/>
              <w:textAlignment w:val="center"/>
              <w:rPr>
                <w:rFonts w:ascii="宋体" w:hAnsi="宋体" w:cs="宋体"/>
                <w:sz w:val="20"/>
                <w:szCs w:val="20"/>
              </w:rPr>
            </w:pPr>
            <w:r>
              <w:rPr>
                <w:rFonts w:hint="eastAsia" w:ascii="宋体" w:hAnsi="宋体" w:cs="宋体"/>
                <w:kern w:val="0"/>
                <w:sz w:val="20"/>
                <w:szCs w:val="20"/>
                <w:lang w:bidi="ar"/>
              </w:rPr>
              <w:t>3号学院楼2#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7E4A">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6A69">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3C16">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7393">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2DAA">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75D">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03ED61BB">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C1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FB22">
            <w:pPr>
              <w:widowControl/>
              <w:jc w:val="center"/>
              <w:textAlignment w:val="center"/>
              <w:rPr>
                <w:rFonts w:ascii="宋体" w:hAnsi="宋体" w:cs="宋体"/>
                <w:sz w:val="20"/>
                <w:szCs w:val="20"/>
              </w:rPr>
            </w:pPr>
            <w:r>
              <w:rPr>
                <w:rFonts w:hint="eastAsia" w:ascii="宋体" w:hAnsi="宋体" w:cs="宋体"/>
                <w:kern w:val="0"/>
                <w:sz w:val="20"/>
                <w:szCs w:val="20"/>
                <w:lang w:bidi="ar"/>
              </w:rPr>
              <w:t>4号学院楼1#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E11">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9FD6">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BB8">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AF40">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B738">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9C1">
            <w:pPr>
              <w:widowControl/>
              <w:jc w:val="center"/>
              <w:textAlignment w:val="center"/>
              <w:rPr>
                <w:rFonts w:ascii="宋体" w:hAnsi="宋体" w:cs="宋体"/>
                <w:sz w:val="20"/>
                <w:szCs w:val="20"/>
              </w:rPr>
            </w:pPr>
            <w:r>
              <w:rPr>
                <w:rFonts w:hint="eastAsia" w:ascii="宋体" w:hAnsi="宋体" w:cs="宋体"/>
                <w:kern w:val="0"/>
                <w:sz w:val="20"/>
                <w:szCs w:val="20"/>
                <w:lang w:bidi="ar"/>
              </w:rPr>
              <w:t>05层05站</w:t>
            </w:r>
          </w:p>
        </w:tc>
      </w:tr>
      <w:tr w14:paraId="3B141A5A">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0D7D">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19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32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4号学院楼2#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EF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041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D50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D51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E6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20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05层05站</w:t>
            </w:r>
          </w:p>
        </w:tc>
      </w:tr>
      <w:tr w14:paraId="4BECBFB9">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E04">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222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5号学院楼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AD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47F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DA3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2024.02.26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CAE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1D0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7F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05层05站</w:t>
            </w:r>
          </w:p>
        </w:tc>
      </w:tr>
      <w:tr w14:paraId="4AE5B66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934">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EC1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403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1A1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187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C71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22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1F7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05层05站</w:t>
            </w:r>
          </w:p>
        </w:tc>
      </w:tr>
      <w:tr w14:paraId="5AE8827D">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E958">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62C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6号学院楼2#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381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EA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26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826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C31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DE9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05层05站</w:t>
            </w:r>
          </w:p>
        </w:tc>
      </w:tr>
      <w:tr w14:paraId="4E7B8DDB">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715B">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77E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86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1F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E4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2024.09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C0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3D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59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05层05站</w:t>
            </w:r>
          </w:p>
        </w:tc>
      </w:tr>
      <w:tr w14:paraId="466D384D">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4460">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614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9号学院楼东</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09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36D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3E3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2024.02.26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346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B55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45B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04层04站</w:t>
            </w:r>
          </w:p>
        </w:tc>
      </w:tr>
      <w:tr w14:paraId="4FA79DE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187E">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70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9号学院楼西</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BFD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579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DF7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2024.02.26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432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782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3EE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05层05站</w:t>
            </w:r>
          </w:p>
        </w:tc>
      </w:tr>
      <w:tr w14:paraId="0D8A87D2">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3CD">
            <w:pPr>
              <w:widowControl/>
              <w:spacing w:line="360" w:lineRule="auto"/>
              <w:jc w:val="center"/>
              <w:textAlignment w:val="center"/>
              <w:rPr>
                <w:rFonts w:ascii="宋体" w:hAnsi="宋体" w:cs="宋体"/>
                <w:kern w:val="0"/>
                <w:sz w:val="20"/>
                <w:szCs w:val="20"/>
                <w:lang w:bidi="ar"/>
              </w:rPr>
            </w:pPr>
            <w:r>
              <w:rPr>
                <w:rFonts w:hint="eastAsia" w:ascii="宋体" w:hAnsi="宋体" w:cs="宋体"/>
                <w:kern w:val="0"/>
                <w:sz w:val="20"/>
                <w:szCs w:val="20"/>
                <w:lang w:bidi="ar"/>
              </w:rPr>
              <w:t>26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840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CDA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7DC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815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A9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1CD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6D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06层06站</w:t>
            </w:r>
          </w:p>
        </w:tc>
      </w:tr>
      <w:tr w14:paraId="0A5E092C">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274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27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627C">
            <w:pPr>
              <w:widowControl/>
              <w:jc w:val="center"/>
              <w:textAlignment w:val="center"/>
              <w:rPr>
                <w:rFonts w:ascii="宋体" w:hAnsi="宋体" w:cs="宋体"/>
                <w:sz w:val="20"/>
                <w:szCs w:val="20"/>
              </w:rPr>
            </w:pPr>
            <w:r>
              <w:rPr>
                <w:rFonts w:hint="eastAsia" w:ascii="宋体" w:hAnsi="宋体" w:cs="宋体"/>
                <w:kern w:val="0"/>
                <w:sz w:val="20"/>
                <w:szCs w:val="20"/>
                <w:lang w:bidi="ar"/>
              </w:rPr>
              <w:t>10号学院楼2#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9AF9">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BF50">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03C4">
            <w:pPr>
              <w:widowControl/>
              <w:jc w:val="center"/>
              <w:textAlignment w:val="center"/>
              <w:rPr>
                <w:rFonts w:ascii="宋体" w:hAnsi="宋体" w:cs="宋体"/>
                <w:sz w:val="20"/>
                <w:szCs w:val="20"/>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020F">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CA40">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F73">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78933AFB">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294">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28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AF4F">
            <w:pPr>
              <w:widowControl/>
              <w:jc w:val="center"/>
              <w:textAlignment w:val="center"/>
              <w:rPr>
                <w:rFonts w:ascii="宋体" w:hAnsi="宋体" w:cs="宋体"/>
                <w:sz w:val="20"/>
                <w:szCs w:val="20"/>
              </w:rPr>
            </w:pPr>
            <w:r>
              <w:rPr>
                <w:rFonts w:hint="eastAsia" w:ascii="宋体" w:hAnsi="宋体" w:cs="宋体"/>
                <w:kern w:val="0"/>
                <w:sz w:val="20"/>
                <w:szCs w:val="20"/>
                <w:lang w:bidi="ar"/>
              </w:rPr>
              <w:t>11号学院楼8#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3E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上海三菱</w:t>
            </w:r>
          </w:p>
          <w:p w14:paraId="41152BB8">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237">
            <w:pPr>
              <w:widowControl/>
              <w:jc w:val="center"/>
              <w:textAlignment w:val="center"/>
              <w:rPr>
                <w:rFonts w:ascii="宋体" w:hAnsi="宋体" w:cs="宋体"/>
                <w:sz w:val="20"/>
                <w:szCs w:val="20"/>
              </w:rPr>
            </w:pPr>
            <w:r>
              <w:rPr>
                <w:rFonts w:hint="eastAsia" w:ascii="宋体" w:hAnsi="宋体" w:cs="宋体"/>
                <w:kern w:val="0"/>
                <w:sz w:val="20"/>
                <w:szCs w:val="20"/>
                <w:lang w:bidi="ar"/>
              </w:rPr>
              <w:t>LEHY-III</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AA8">
            <w:pPr>
              <w:widowControl/>
              <w:jc w:val="center"/>
              <w:textAlignment w:val="center"/>
              <w:rPr>
                <w:rFonts w:ascii="宋体" w:hAnsi="宋体" w:cs="宋体"/>
                <w:sz w:val="20"/>
                <w:szCs w:val="20"/>
              </w:rPr>
            </w:pPr>
            <w:r>
              <w:rPr>
                <w:rFonts w:hint="eastAsia" w:ascii="宋体" w:hAnsi="宋体" w:cs="宋体"/>
                <w:kern w:val="0"/>
                <w:sz w:val="20"/>
                <w:szCs w:val="20"/>
                <w:lang w:bidi="ar"/>
              </w:rPr>
              <w:t>2023.8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B361">
            <w:pPr>
              <w:widowControl/>
              <w:jc w:val="center"/>
              <w:textAlignment w:val="center"/>
              <w:rPr>
                <w:rFonts w:ascii="宋体" w:hAnsi="宋体" w:cs="宋体"/>
                <w:sz w:val="20"/>
                <w:szCs w:val="20"/>
              </w:rPr>
            </w:pPr>
            <w:r>
              <w:rPr>
                <w:rFonts w:hint="eastAsia" w:ascii="宋体" w:hAnsi="宋体" w:cs="宋体"/>
                <w:kern w:val="0"/>
                <w:sz w:val="20"/>
                <w:szCs w:val="20"/>
                <w:lang w:bidi="ar"/>
              </w:rPr>
              <w:t>1.0m/s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6B3F">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EC1A">
            <w:pPr>
              <w:widowControl/>
              <w:jc w:val="center"/>
              <w:textAlignment w:val="center"/>
              <w:rPr>
                <w:rFonts w:ascii="宋体" w:hAnsi="宋体" w:cs="宋体"/>
                <w:sz w:val="20"/>
                <w:szCs w:val="20"/>
              </w:rPr>
            </w:pPr>
            <w:r>
              <w:rPr>
                <w:rFonts w:hint="eastAsia" w:ascii="宋体" w:hAnsi="宋体" w:cs="宋体"/>
                <w:kern w:val="0"/>
                <w:sz w:val="20"/>
                <w:szCs w:val="20"/>
                <w:lang w:bidi="ar"/>
              </w:rPr>
              <w:t>5层5站</w:t>
            </w:r>
          </w:p>
        </w:tc>
      </w:tr>
      <w:tr w14:paraId="5816686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C46">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074">
            <w:pPr>
              <w:widowControl/>
              <w:jc w:val="center"/>
              <w:textAlignment w:val="center"/>
              <w:rPr>
                <w:rFonts w:ascii="宋体" w:hAnsi="宋体" w:cs="宋体"/>
                <w:sz w:val="20"/>
                <w:szCs w:val="20"/>
              </w:rPr>
            </w:pPr>
            <w:r>
              <w:rPr>
                <w:rFonts w:hint="eastAsia" w:ascii="宋体" w:hAnsi="宋体" w:cs="宋体"/>
                <w:kern w:val="0"/>
                <w:sz w:val="20"/>
                <w:szCs w:val="20"/>
                <w:lang w:bidi="ar"/>
              </w:rPr>
              <w:t>教学5号楼1#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F25B">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5D0D">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1C8C">
            <w:pPr>
              <w:widowControl/>
              <w:jc w:val="center"/>
              <w:textAlignment w:val="center"/>
              <w:rPr>
                <w:rFonts w:ascii="宋体" w:hAnsi="宋体" w:cs="宋体"/>
                <w:sz w:val="20"/>
                <w:szCs w:val="20"/>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C781">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888">
            <w:pPr>
              <w:widowControl/>
              <w:jc w:val="center"/>
              <w:textAlignment w:val="center"/>
              <w:rPr>
                <w:rFonts w:ascii="宋体" w:hAnsi="宋体" w:cs="宋体"/>
                <w:sz w:val="20"/>
                <w:szCs w:val="20"/>
              </w:rPr>
            </w:pPr>
            <w:r>
              <w:rPr>
                <w:rFonts w:hint="eastAsia" w:ascii="宋体" w:hAnsi="宋体" w:cs="宋体"/>
                <w:kern w:val="0"/>
                <w:sz w:val="20"/>
                <w:szCs w:val="20"/>
                <w:lang w:bidi="ar"/>
              </w:rPr>
              <w:t>1150kg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7D4">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3289341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428F">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38C">
            <w:pPr>
              <w:widowControl/>
              <w:jc w:val="center"/>
              <w:textAlignment w:val="center"/>
              <w:rPr>
                <w:rFonts w:ascii="宋体" w:hAnsi="宋体" w:cs="宋体"/>
                <w:sz w:val="20"/>
                <w:szCs w:val="20"/>
              </w:rPr>
            </w:pPr>
            <w:r>
              <w:rPr>
                <w:rFonts w:hint="eastAsia" w:ascii="宋体" w:hAnsi="宋体" w:cs="宋体"/>
                <w:kern w:val="0"/>
                <w:sz w:val="20"/>
                <w:szCs w:val="20"/>
                <w:lang w:bidi="ar"/>
              </w:rPr>
              <w:t>教学5号楼2#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685F">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6FF">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10D2">
            <w:pPr>
              <w:widowControl/>
              <w:jc w:val="center"/>
              <w:textAlignment w:val="center"/>
              <w:rPr>
                <w:rFonts w:ascii="宋体" w:hAnsi="宋体" w:cs="宋体"/>
                <w:sz w:val="20"/>
                <w:szCs w:val="20"/>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8798">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DB52">
            <w:pPr>
              <w:widowControl/>
              <w:jc w:val="center"/>
              <w:textAlignment w:val="center"/>
              <w:rPr>
                <w:rFonts w:ascii="宋体" w:hAnsi="宋体" w:cs="宋体"/>
                <w:sz w:val="20"/>
                <w:szCs w:val="20"/>
              </w:rPr>
            </w:pPr>
            <w:r>
              <w:rPr>
                <w:rFonts w:hint="eastAsia" w:ascii="宋体" w:hAnsi="宋体" w:cs="宋体"/>
                <w:kern w:val="0"/>
                <w:sz w:val="20"/>
                <w:szCs w:val="20"/>
                <w:lang w:bidi="ar"/>
              </w:rPr>
              <w:t>1150kg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F492">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7352E257">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C0B5">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92D">
            <w:pPr>
              <w:widowControl/>
              <w:jc w:val="center"/>
              <w:textAlignment w:val="center"/>
              <w:rPr>
                <w:rFonts w:ascii="宋体" w:hAnsi="宋体" w:cs="宋体"/>
                <w:sz w:val="20"/>
                <w:szCs w:val="20"/>
              </w:rPr>
            </w:pPr>
            <w:r>
              <w:rPr>
                <w:rFonts w:hint="eastAsia" w:ascii="宋体" w:hAnsi="宋体" w:cs="宋体"/>
                <w:kern w:val="0"/>
                <w:sz w:val="20"/>
                <w:szCs w:val="20"/>
                <w:lang w:bidi="ar"/>
              </w:rPr>
              <w:t>东湖卫保中心</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9073">
            <w:pPr>
              <w:widowControl/>
              <w:jc w:val="center"/>
              <w:textAlignment w:val="center"/>
              <w:rPr>
                <w:rFonts w:ascii="宋体" w:hAnsi="宋体" w:cs="宋体"/>
                <w:sz w:val="20"/>
                <w:szCs w:val="20"/>
              </w:rPr>
            </w:pPr>
            <w:r>
              <w:rPr>
                <w:rFonts w:hint="eastAsia" w:ascii="宋体" w:hAnsi="宋体" w:cs="宋体"/>
                <w:kern w:val="0"/>
                <w:sz w:val="20"/>
                <w:szCs w:val="20"/>
                <w:lang w:bidi="ar"/>
              </w:rPr>
              <w:t>通力电梯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85E">
            <w:pPr>
              <w:widowControl/>
              <w:jc w:val="center"/>
              <w:textAlignment w:val="center"/>
              <w:rPr>
                <w:rFonts w:ascii="宋体" w:hAnsi="宋体" w:cs="宋体"/>
                <w:sz w:val="20"/>
                <w:szCs w:val="20"/>
              </w:rPr>
            </w:pPr>
            <w:r>
              <w:rPr>
                <w:rFonts w:hint="eastAsia" w:ascii="宋体" w:hAnsi="宋体" w:cs="宋体"/>
                <w:kern w:val="0"/>
                <w:sz w:val="20"/>
                <w:szCs w:val="20"/>
                <w:lang w:bidi="ar"/>
              </w:rPr>
              <w:t>KONE Minispace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6D22">
            <w:pPr>
              <w:widowControl/>
              <w:jc w:val="center"/>
              <w:textAlignment w:val="center"/>
              <w:rPr>
                <w:rFonts w:ascii="宋体" w:hAnsi="宋体" w:cs="宋体"/>
                <w:sz w:val="20"/>
                <w:szCs w:val="20"/>
              </w:rPr>
            </w:pPr>
            <w:r>
              <w:rPr>
                <w:rFonts w:hint="eastAsia" w:ascii="宋体" w:hAnsi="宋体" w:cs="宋体"/>
                <w:kern w:val="0"/>
                <w:sz w:val="20"/>
                <w:szCs w:val="20"/>
                <w:lang w:bidi="ar"/>
              </w:rPr>
              <w:t>2005.09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81C">
            <w:pPr>
              <w:widowControl/>
              <w:jc w:val="center"/>
              <w:textAlignment w:val="center"/>
              <w:rPr>
                <w:rFonts w:ascii="宋体" w:hAnsi="宋体" w:cs="宋体"/>
                <w:sz w:val="20"/>
                <w:szCs w:val="20"/>
              </w:rPr>
            </w:pPr>
            <w:r>
              <w:rPr>
                <w:rFonts w:hint="eastAsia" w:ascii="宋体" w:hAnsi="宋体" w:cs="宋体"/>
                <w:kern w:val="0"/>
                <w:sz w:val="20"/>
                <w:szCs w:val="20"/>
                <w:lang w:bidi="ar"/>
              </w:rPr>
              <w:t>0.5m/s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0EB">
            <w:pPr>
              <w:widowControl/>
              <w:jc w:val="center"/>
              <w:textAlignment w:val="center"/>
              <w:rPr>
                <w:rFonts w:ascii="宋体" w:hAnsi="宋体" w:cs="宋体"/>
                <w:sz w:val="20"/>
                <w:szCs w:val="20"/>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171D">
            <w:pPr>
              <w:widowControl/>
              <w:jc w:val="center"/>
              <w:textAlignment w:val="center"/>
              <w:rPr>
                <w:rFonts w:ascii="宋体" w:hAnsi="宋体" w:cs="宋体"/>
                <w:sz w:val="20"/>
                <w:szCs w:val="20"/>
              </w:rPr>
            </w:pPr>
            <w:r>
              <w:rPr>
                <w:rFonts w:hint="eastAsia" w:ascii="宋体" w:hAnsi="宋体" w:cs="宋体"/>
                <w:kern w:val="0"/>
                <w:sz w:val="20"/>
                <w:szCs w:val="20"/>
                <w:lang w:bidi="ar"/>
              </w:rPr>
              <w:t>04层04站</w:t>
            </w:r>
          </w:p>
        </w:tc>
      </w:tr>
      <w:tr w14:paraId="694EAF26">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3782">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3BB1">
            <w:pPr>
              <w:widowControl/>
              <w:jc w:val="center"/>
              <w:textAlignment w:val="center"/>
              <w:rPr>
                <w:rFonts w:ascii="宋体" w:hAnsi="宋体" w:cs="宋体"/>
                <w:sz w:val="20"/>
                <w:szCs w:val="20"/>
              </w:rPr>
            </w:pPr>
            <w:r>
              <w:rPr>
                <w:rFonts w:hint="eastAsia" w:ascii="宋体" w:hAnsi="宋体" w:cs="宋体"/>
                <w:kern w:val="0"/>
                <w:sz w:val="20"/>
                <w:szCs w:val="20"/>
                <w:lang w:bidi="ar"/>
              </w:rPr>
              <w:t>智能实验楼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500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广州日立</w:t>
            </w:r>
          </w:p>
          <w:p w14:paraId="16CFFB13">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D56A">
            <w:pPr>
              <w:widowControl/>
              <w:jc w:val="center"/>
              <w:textAlignment w:val="center"/>
              <w:rPr>
                <w:rFonts w:ascii="宋体" w:hAnsi="宋体" w:cs="宋体"/>
                <w:sz w:val="20"/>
                <w:szCs w:val="20"/>
              </w:rPr>
            </w:pPr>
            <w:r>
              <w:rPr>
                <w:rFonts w:hint="eastAsia" w:ascii="宋体" w:hAnsi="宋体" w:cs="宋体"/>
                <w:kern w:val="0"/>
                <w:sz w:val="20"/>
                <w:szCs w:val="20"/>
                <w:lang w:bidi="ar"/>
              </w:rPr>
              <w:t>NPH</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6B81">
            <w:pPr>
              <w:widowControl/>
              <w:jc w:val="center"/>
              <w:textAlignment w:val="center"/>
              <w:rPr>
                <w:rFonts w:ascii="宋体" w:hAnsi="宋体" w:cs="宋体"/>
                <w:sz w:val="20"/>
                <w:szCs w:val="20"/>
              </w:rPr>
            </w:pPr>
            <w:r>
              <w:rPr>
                <w:rFonts w:hint="eastAsia" w:ascii="宋体" w:hAnsi="宋体" w:cs="宋体"/>
                <w:kern w:val="0"/>
                <w:sz w:val="20"/>
                <w:szCs w:val="20"/>
                <w:lang w:bidi="ar"/>
              </w:rPr>
              <w:t>2006.04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7342">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6AC6">
            <w:pPr>
              <w:widowControl/>
              <w:jc w:val="center"/>
              <w:textAlignment w:val="center"/>
              <w:rPr>
                <w:rFonts w:ascii="宋体" w:hAnsi="宋体" w:cs="宋体"/>
                <w:sz w:val="20"/>
                <w:szCs w:val="20"/>
              </w:rPr>
            </w:pPr>
            <w:r>
              <w:rPr>
                <w:rFonts w:hint="eastAsia" w:ascii="宋体" w:hAnsi="宋体" w:cs="宋体"/>
                <w:kern w:val="0"/>
                <w:sz w:val="20"/>
                <w:szCs w:val="20"/>
                <w:lang w:bidi="ar"/>
              </w:rPr>
              <w:t>1150kg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4C17">
            <w:pPr>
              <w:widowControl/>
              <w:jc w:val="center"/>
              <w:textAlignment w:val="center"/>
              <w:rPr>
                <w:rFonts w:ascii="宋体" w:hAnsi="宋体" w:cs="宋体"/>
                <w:sz w:val="20"/>
                <w:szCs w:val="20"/>
              </w:rPr>
            </w:pPr>
            <w:r>
              <w:rPr>
                <w:rFonts w:hint="eastAsia" w:ascii="宋体" w:hAnsi="宋体" w:cs="宋体"/>
                <w:kern w:val="0"/>
                <w:sz w:val="20"/>
                <w:szCs w:val="20"/>
                <w:lang w:bidi="ar"/>
              </w:rPr>
              <w:t>04层04站</w:t>
            </w:r>
          </w:p>
        </w:tc>
      </w:tr>
      <w:tr w14:paraId="3BDBC9B4">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8103">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65C8">
            <w:pPr>
              <w:widowControl/>
              <w:jc w:val="center"/>
              <w:textAlignment w:val="center"/>
              <w:rPr>
                <w:rFonts w:ascii="宋体" w:hAnsi="宋体" w:cs="宋体"/>
                <w:sz w:val="20"/>
                <w:szCs w:val="20"/>
              </w:rPr>
            </w:pPr>
            <w:r>
              <w:rPr>
                <w:rFonts w:hint="eastAsia" w:ascii="宋体" w:hAnsi="宋体" w:cs="宋体"/>
                <w:kern w:val="0"/>
                <w:sz w:val="20"/>
                <w:szCs w:val="20"/>
                <w:lang w:bidi="ar"/>
              </w:rPr>
              <w:t>14号学院楼1#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1DD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广州日立</w:t>
            </w:r>
          </w:p>
          <w:p w14:paraId="6C6C73C0">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EF23">
            <w:pPr>
              <w:widowControl/>
              <w:jc w:val="center"/>
              <w:textAlignment w:val="center"/>
              <w:rPr>
                <w:rFonts w:ascii="宋体" w:hAnsi="宋体" w:cs="宋体"/>
                <w:sz w:val="20"/>
                <w:szCs w:val="20"/>
              </w:rPr>
            </w:pPr>
            <w:r>
              <w:rPr>
                <w:rFonts w:hint="eastAsia" w:ascii="宋体" w:hAnsi="宋体" w:cs="宋体"/>
                <w:kern w:val="0"/>
                <w:sz w:val="20"/>
                <w:szCs w:val="20"/>
                <w:lang w:bidi="ar"/>
              </w:rPr>
              <w:t>NPH</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597">
            <w:pPr>
              <w:widowControl/>
              <w:jc w:val="center"/>
              <w:textAlignment w:val="center"/>
              <w:rPr>
                <w:rFonts w:ascii="宋体" w:hAnsi="宋体" w:cs="宋体"/>
                <w:sz w:val="20"/>
                <w:szCs w:val="20"/>
              </w:rPr>
            </w:pPr>
            <w:r>
              <w:rPr>
                <w:rFonts w:hint="eastAsia" w:ascii="宋体" w:hAnsi="宋体" w:cs="宋体"/>
                <w:kern w:val="0"/>
                <w:sz w:val="20"/>
                <w:szCs w:val="20"/>
                <w:lang w:bidi="ar"/>
              </w:rPr>
              <w:t>2006.04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970D">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003C">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B457">
            <w:pPr>
              <w:widowControl/>
              <w:jc w:val="center"/>
              <w:textAlignment w:val="center"/>
              <w:rPr>
                <w:rFonts w:ascii="宋体" w:hAnsi="宋体" w:cs="宋体"/>
                <w:sz w:val="20"/>
                <w:szCs w:val="20"/>
              </w:rPr>
            </w:pPr>
            <w:r>
              <w:rPr>
                <w:rFonts w:hint="eastAsia" w:ascii="宋体" w:hAnsi="宋体" w:cs="宋体"/>
                <w:kern w:val="0"/>
                <w:sz w:val="20"/>
                <w:szCs w:val="20"/>
                <w:lang w:bidi="ar"/>
              </w:rPr>
              <w:t>05层05站</w:t>
            </w:r>
          </w:p>
        </w:tc>
      </w:tr>
      <w:tr w14:paraId="5DF097EA">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5A3">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7FD5">
            <w:pPr>
              <w:widowControl/>
              <w:jc w:val="center"/>
              <w:textAlignment w:val="center"/>
              <w:rPr>
                <w:rFonts w:ascii="宋体" w:hAnsi="宋体" w:cs="宋体"/>
                <w:sz w:val="20"/>
                <w:szCs w:val="20"/>
              </w:rPr>
            </w:pPr>
            <w:r>
              <w:rPr>
                <w:rFonts w:hint="eastAsia" w:ascii="宋体" w:hAnsi="宋体" w:cs="宋体"/>
                <w:kern w:val="0"/>
                <w:sz w:val="20"/>
                <w:szCs w:val="20"/>
                <w:lang w:bidi="ar"/>
              </w:rPr>
              <w:t>14号学院楼2#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A4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广州日立</w:t>
            </w:r>
          </w:p>
          <w:p w14:paraId="37C29992">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42CF">
            <w:pPr>
              <w:widowControl/>
              <w:jc w:val="center"/>
              <w:textAlignment w:val="center"/>
              <w:rPr>
                <w:rFonts w:ascii="宋体" w:hAnsi="宋体" w:cs="宋体"/>
                <w:sz w:val="20"/>
                <w:szCs w:val="20"/>
              </w:rPr>
            </w:pPr>
            <w:r>
              <w:rPr>
                <w:rFonts w:hint="eastAsia" w:ascii="宋体" w:hAnsi="宋体" w:cs="宋体"/>
                <w:kern w:val="0"/>
                <w:sz w:val="20"/>
                <w:szCs w:val="20"/>
                <w:lang w:bidi="ar"/>
              </w:rPr>
              <w:t>NPH</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DF11">
            <w:pPr>
              <w:widowControl/>
              <w:jc w:val="center"/>
              <w:textAlignment w:val="center"/>
              <w:rPr>
                <w:rFonts w:ascii="宋体" w:hAnsi="宋体" w:cs="宋体"/>
                <w:sz w:val="20"/>
                <w:szCs w:val="20"/>
              </w:rPr>
            </w:pPr>
            <w:r>
              <w:rPr>
                <w:rFonts w:hint="eastAsia" w:ascii="宋体" w:hAnsi="宋体" w:cs="宋体"/>
                <w:kern w:val="0"/>
                <w:sz w:val="20"/>
                <w:szCs w:val="20"/>
                <w:lang w:bidi="ar"/>
              </w:rPr>
              <w:t>2006.04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51F0">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FF82">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2BC1">
            <w:pPr>
              <w:widowControl/>
              <w:jc w:val="center"/>
              <w:textAlignment w:val="center"/>
              <w:rPr>
                <w:rFonts w:ascii="宋体" w:hAnsi="宋体" w:cs="宋体"/>
                <w:sz w:val="20"/>
                <w:szCs w:val="20"/>
              </w:rPr>
            </w:pPr>
            <w:r>
              <w:rPr>
                <w:rFonts w:hint="eastAsia" w:ascii="宋体" w:hAnsi="宋体" w:cs="宋体"/>
                <w:kern w:val="0"/>
                <w:sz w:val="20"/>
                <w:szCs w:val="20"/>
                <w:lang w:bidi="ar"/>
              </w:rPr>
              <w:t>05层05站</w:t>
            </w:r>
          </w:p>
        </w:tc>
      </w:tr>
      <w:tr w14:paraId="12CA69E2">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8F12">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47EC">
            <w:pPr>
              <w:widowControl/>
              <w:jc w:val="center"/>
              <w:textAlignment w:val="center"/>
              <w:rPr>
                <w:rFonts w:ascii="宋体" w:hAnsi="宋体" w:cs="宋体"/>
                <w:sz w:val="20"/>
                <w:szCs w:val="20"/>
              </w:rPr>
            </w:pPr>
            <w:r>
              <w:rPr>
                <w:rFonts w:hint="eastAsia" w:ascii="宋体" w:hAnsi="宋体" w:cs="宋体"/>
                <w:kern w:val="0"/>
                <w:sz w:val="20"/>
                <w:szCs w:val="20"/>
                <w:lang w:bidi="ar"/>
              </w:rPr>
              <w:t>15号学院楼1#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38A5">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BF18">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D3C">
            <w:pPr>
              <w:widowControl/>
              <w:jc w:val="center"/>
              <w:textAlignment w:val="center"/>
              <w:rPr>
                <w:rFonts w:ascii="宋体" w:hAnsi="宋体" w:cs="宋体"/>
                <w:sz w:val="20"/>
                <w:szCs w:val="20"/>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0AC1">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ECE0">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6E85">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0E03E9F4">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E93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7C7">
            <w:pPr>
              <w:widowControl/>
              <w:jc w:val="center"/>
              <w:textAlignment w:val="center"/>
              <w:rPr>
                <w:rFonts w:ascii="宋体" w:hAnsi="宋体" w:cs="宋体"/>
                <w:sz w:val="20"/>
                <w:szCs w:val="20"/>
              </w:rPr>
            </w:pPr>
            <w:r>
              <w:rPr>
                <w:rFonts w:hint="eastAsia" w:ascii="宋体" w:hAnsi="宋体" w:cs="宋体"/>
                <w:kern w:val="0"/>
                <w:sz w:val="20"/>
                <w:szCs w:val="20"/>
                <w:lang w:bidi="ar"/>
              </w:rPr>
              <w:t>15号学院楼2#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10C">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5EA1">
            <w:pPr>
              <w:widowControl/>
              <w:jc w:val="center"/>
              <w:textAlignment w:val="center"/>
              <w:rPr>
                <w:rFonts w:ascii="宋体" w:hAnsi="宋体" w:cs="宋体"/>
                <w:sz w:val="20"/>
                <w:szCs w:val="20"/>
              </w:rPr>
            </w:pPr>
            <w:r>
              <w:rPr>
                <w:rFonts w:hint="eastAsia" w:ascii="宋体" w:hAnsi="宋体" w:cs="宋体"/>
                <w:kern w:val="0"/>
                <w:sz w:val="20"/>
                <w:szCs w:val="20"/>
                <w:lang w:bidi="ar"/>
              </w:rPr>
              <w:t>GeN2-MR</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A74">
            <w:pPr>
              <w:widowControl/>
              <w:jc w:val="center"/>
              <w:textAlignment w:val="center"/>
              <w:rPr>
                <w:rFonts w:ascii="宋体" w:hAnsi="宋体" w:cs="宋体"/>
                <w:sz w:val="20"/>
                <w:szCs w:val="20"/>
              </w:rPr>
            </w:pPr>
            <w:r>
              <w:rPr>
                <w:rFonts w:hint="eastAsia" w:ascii="宋体" w:hAnsi="宋体" w:cs="宋体"/>
                <w:kern w:val="0"/>
                <w:sz w:val="20"/>
                <w:szCs w:val="20"/>
                <w:lang w:bidi="ar"/>
              </w:rPr>
              <w:t>2024.09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4CF">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AA7">
            <w:pPr>
              <w:widowControl/>
              <w:jc w:val="center"/>
              <w:textAlignment w:val="center"/>
              <w:rPr>
                <w:rFonts w:ascii="宋体" w:hAnsi="宋体" w:cs="宋体"/>
                <w:sz w:val="20"/>
                <w:szCs w:val="20"/>
              </w:rPr>
            </w:pPr>
            <w:r>
              <w:rPr>
                <w:rFonts w:hint="eastAsia" w:ascii="宋体" w:hAnsi="宋体" w:cs="宋体"/>
                <w:kern w:val="0"/>
                <w:sz w:val="20"/>
                <w:szCs w:val="20"/>
                <w:lang w:bidi="ar"/>
              </w:rPr>
              <w:t>1350kg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8530">
            <w:pPr>
              <w:widowControl/>
              <w:jc w:val="center"/>
              <w:textAlignment w:val="center"/>
              <w:rPr>
                <w:rFonts w:ascii="宋体" w:hAnsi="宋体" w:cs="宋体"/>
                <w:sz w:val="20"/>
                <w:szCs w:val="20"/>
              </w:rPr>
            </w:pPr>
            <w:r>
              <w:rPr>
                <w:rFonts w:hint="eastAsia" w:ascii="宋体" w:hAnsi="宋体" w:cs="宋体"/>
                <w:kern w:val="0"/>
                <w:sz w:val="20"/>
                <w:szCs w:val="20"/>
                <w:lang w:bidi="ar"/>
              </w:rPr>
              <w:t>06层06站</w:t>
            </w:r>
          </w:p>
        </w:tc>
      </w:tr>
      <w:tr w14:paraId="25E463C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878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989">
            <w:pPr>
              <w:widowControl/>
              <w:jc w:val="center"/>
              <w:textAlignment w:val="center"/>
              <w:rPr>
                <w:rFonts w:ascii="宋体" w:hAnsi="宋体" w:cs="宋体"/>
                <w:sz w:val="20"/>
                <w:szCs w:val="20"/>
              </w:rPr>
            </w:pPr>
            <w:r>
              <w:rPr>
                <w:rFonts w:hint="eastAsia" w:ascii="宋体" w:hAnsi="宋体" w:cs="宋体"/>
                <w:kern w:val="0"/>
                <w:sz w:val="20"/>
                <w:szCs w:val="20"/>
                <w:lang w:bidi="ar"/>
              </w:rPr>
              <w:t>衣锦实验大楼1#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614">
            <w:pPr>
              <w:widowControl/>
              <w:jc w:val="center"/>
              <w:textAlignment w:val="center"/>
              <w:rPr>
                <w:rFonts w:ascii="宋体" w:hAnsi="宋体" w:cs="宋体"/>
                <w:sz w:val="20"/>
                <w:szCs w:val="20"/>
              </w:rPr>
            </w:pPr>
            <w:r>
              <w:rPr>
                <w:rFonts w:hint="eastAsia" w:ascii="宋体" w:hAnsi="宋体" w:cs="宋体"/>
                <w:kern w:val="0"/>
                <w:sz w:val="20"/>
                <w:szCs w:val="20"/>
                <w:lang w:bidi="ar"/>
              </w:rPr>
              <w:t>西奥</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0D99">
            <w:pPr>
              <w:widowControl/>
              <w:jc w:val="center"/>
              <w:textAlignment w:val="center"/>
              <w:rPr>
                <w:rFonts w:ascii="宋体" w:hAnsi="宋体" w:cs="宋体"/>
                <w:sz w:val="20"/>
                <w:szCs w:val="20"/>
              </w:rPr>
            </w:pPr>
            <w:r>
              <w:rPr>
                <w:rFonts w:hint="eastAsia" w:ascii="宋体" w:hAnsi="宋体" w:cs="宋体"/>
                <w:kern w:val="0"/>
                <w:sz w:val="20"/>
                <w:szCs w:val="20"/>
                <w:lang w:bidi="ar"/>
              </w:rPr>
              <w:t>TKJ1000/1.0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F2C6">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2009.10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666">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683F">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6B4">
            <w:pPr>
              <w:widowControl/>
              <w:jc w:val="center"/>
              <w:textAlignment w:val="center"/>
              <w:rPr>
                <w:rFonts w:ascii="宋体" w:hAnsi="宋体" w:cs="宋体"/>
                <w:sz w:val="20"/>
                <w:szCs w:val="20"/>
              </w:rPr>
            </w:pPr>
            <w:r>
              <w:rPr>
                <w:rFonts w:hint="eastAsia" w:ascii="宋体" w:hAnsi="宋体" w:cs="宋体"/>
                <w:kern w:val="0"/>
                <w:sz w:val="20"/>
                <w:szCs w:val="20"/>
                <w:lang w:bidi="ar"/>
              </w:rPr>
              <w:t>7层7站</w:t>
            </w:r>
          </w:p>
        </w:tc>
      </w:tr>
      <w:tr w14:paraId="79E6D0B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AAE">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DD51">
            <w:pPr>
              <w:widowControl/>
              <w:jc w:val="center"/>
              <w:textAlignment w:val="center"/>
              <w:rPr>
                <w:rFonts w:ascii="宋体" w:hAnsi="宋体" w:cs="宋体"/>
                <w:sz w:val="20"/>
                <w:szCs w:val="20"/>
              </w:rPr>
            </w:pPr>
            <w:r>
              <w:rPr>
                <w:rFonts w:hint="eastAsia" w:ascii="宋体" w:hAnsi="宋体" w:cs="宋体"/>
                <w:kern w:val="0"/>
                <w:sz w:val="18"/>
                <w:szCs w:val="18"/>
                <w:lang w:bidi="ar"/>
              </w:rPr>
              <w:t>16号学院楼（茶文化学院）</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5CFC">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4A32">
            <w:pPr>
              <w:widowControl/>
              <w:jc w:val="center"/>
              <w:textAlignment w:val="center"/>
              <w:rPr>
                <w:rFonts w:ascii="宋体" w:hAnsi="宋体" w:cs="宋体"/>
                <w:sz w:val="20"/>
                <w:szCs w:val="20"/>
              </w:rPr>
            </w:pPr>
            <w:r>
              <w:rPr>
                <w:rFonts w:hint="eastAsia" w:ascii="宋体" w:hAnsi="宋体" w:cs="宋体"/>
                <w:kern w:val="0"/>
                <w:sz w:val="20"/>
                <w:szCs w:val="20"/>
                <w:lang w:bidi="ar"/>
              </w:rPr>
              <w:t>TKJ1000/1.5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31C">
            <w:pPr>
              <w:widowControl/>
              <w:jc w:val="center"/>
              <w:textAlignment w:val="center"/>
              <w:rPr>
                <w:rFonts w:ascii="宋体" w:hAnsi="宋体" w:cs="宋体"/>
                <w:sz w:val="20"/>
                <w:szCs w:val="20"/>
              </w:rPr>
            </w:pPr>
            <w:r>
              <w:rPr>
                <w:rFonts w:hint="eastAsia" w:ascii="宋体" w:hAnsi="宋体" w:cs="宋体"/>
                <w:kern w:val="0"/>
                <w:sz w:val="20"/>
                <w:szCs w:val="20"/>
                <w:lang w:bidi="ar"/>
              </w:rPr>
              <w:t>2010.02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C46F">
            <w:pPr>
              <w:widowControl/>
              <w:jc w:val="center"/>
              <w:textAlignment w:val="center"/>
              <w:rPr>
                <w:rFonts w:ascii="宋体" w:hAnsi="宋体" w:cs="宋体"/>
                <w:sz w:val="20"/>
                <w:szCs w:val="20"/>
              </w:rPr>
            </w:pPr>
            <w:r>
              <w:rPr>
                <w:rFonts w:hint="eastAsia" w:ascii="宋体" w:hAnsi="宋体" w:cs="宋体"/>
                <w:kern w:val="0"/>
                <w:sz w:val="20"/>
                <w:szCs w:val="20"/>
                <w:lang w:bidi="ar"/>
              </w:rPr>
              <w:t>1.50m/s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3AA">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1D98">
            <w:pPr>
              <w:widowControl/>
              <w:jc w:val="center"/>
              <w:textAlignment w:val="center"/>
              <w:rPr>
                <w:rFonts w:ascii="宋体" w:hAnsi="宋体" w:cs="宋体"/>
                <w:sz w:val="20"/>
                <w:szCs w:val="20"/>
              </w:rPr>
            </w:pPr>
            <w:r>
              <w:rPr>
                <w:rFonts w:hint="eastAsia" w:ascii="宋体" w:hAnsi="宋体" w:cs="宋体"/>
                <w:kern w:val="0"/>
                <w:sz w:val="20"/>
                <w:szCs w:val="20"/>
                <w:lang w:bidi="ar"/>
              </w:rPr>
              <w:t>3层3站</w:t>
            </w:r>
          </w:p>
        </w:tc>
      </w:tr>
      <w:tr w14:paraId="5820F0DD">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FDB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8DEE">
            <w:pPr>
              <w:widowControl/>
              <w:jc w:val="center"/>
              <w:textAlignment w:val="center"/>
              <w:rPr>
                <w:rFonts w:ascii="宋体" w:hAnsi="宋体" w:cs="宋体"/>
                <w:sz w:val="20"/>
                <w:szCs w:val="20"/>
              </w:rPr>
            </w:pPr>
            <w:r>
              <w:rPr>
                <w:rFonts w:hint="eastAsia" w:ascii="宋体" w:hAnsi="宋体" w:cs="宋体"/>
                <w:kern w:val="0"/>
                <w:sz w:val="20"/>
                <w:szCs w:val="20"/>
                <w:lang w:bidi="ar"/>
              </w:rPr>
              <w:t>碳汇楼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13AE">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EF8">
            <w:pPr>
              <w:widowControl/>
              <w:jc w:val="center"/>
              <w:textAlignment w:val="center"/>
              <w:rPr>
                <w:rFonts w:ascii="宋体" w:hAnsi="宋体" w:cs="宋体"/>
                <w:sz w:val="20"/>
                <w:szCs w:val="20"/>
              </w:rPr>
            </w:pPr>
            <w:r>
              <w:rPr>
                <w:rFonts w:hint="eastAsia" w:ascii="宋体" w:hAnsi="宋体" w:cs="宋体"/>
                <w:kern w:val="0"/>
                <w:sz w:val="20"/>
                <w:szCs w:val="20"/>
                <w:lang w:bidi="ar"/>
              </w:rPr>
              <w:t>TKJ1000/1.0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DF14">
            <w:pPr>
              <w:widowControl/>
              <w:jc w:val="center"/>
              <w:textAlignment w:val="center"/>
              <w:rPr>
                <w:rFonts w:ascii="宋体" w:hAnsi="宋体" w:cs="宋体"/>
                <w:sz w:val="20"/>
                <w:szCs w:val="20"/>
              </w:rPr>
            </w:pPr>
            <w:r>
              <w:rPr>
                <w:rFonts w:hint="eastAsia" w:ascii="宋体" w:hAnsi="宋体" w:cs="宋体"/>
                <w:kern w:val="0"/>
                <w:sz w:val="20"/>
                <w:szCs w:val="20"/>
                <w:lang w:bidi="ar"/>
              </w:rPr>
              <w:t>2013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AFC">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48C1">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6EF7">
            <w:pPr>
              <w:widowControl/>
              <w:jc w:val="center"/>
              <w:textAlignment w:val="center"/>
              <w:rPr>
                <w:rFonts w:ascii="宋体" w:hAnsi="宋体" w:cs="宋体"/>
                <w:sz w:val="20"/>
                <w:szCs w:val="20"/>
              </w:rPr>
            </w:pPr>
            <w:r>
              <w:rPr>
                <w:rFonts w:hint="eastAsia" w:ascii="宋体" w:hAnsi="宋体" w:cs="宋体"/>
                <w:kern w:val="0"/>
                <w:sz w:val="20"/>
                <w:szCs w:val="20"/>
                <w:lang w:bidi="ar"/>
              </w:rPr>
              <w:t>3层3站</w:t>
            </w:r>
          </w:p>
        </w:tc>
      </w:tr>
      <w:tr w14:paraId="4E666D7F">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7DE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223A">
            <w:pPr>
              <w:widowControl/>
              <w:jc w:val="center"/>
              <w:textAlignment w:val="center"/>
              <w:rPr>
                <w:rFonts w:ascii="宋体" w:hAnsi="宋体" w:cs="宋体"/>
                <w:sz w:val="20"/>
                <w:szCs w:val="20"/>
              </w:rPr>
            </w:pPr>
            <w:r>
              <w:rPr>
                <w:rFonts w:hint="eastAsia" w:ascii="宋体" w:hAnsi="宋体" w:cs="宋体"/>
                <w:kern w:val="0"/>
                <w:sz w:val="20"/>
                <w:szCs w:val="20"/>
                <w:lang w:bidi="ar"/>
              </w:rPr>
              <w:t>木材中心</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C250">
            <w:pPr>
              <w:widowControl/>
              <w:jc w:val="center"/>
              <w:textAlignment w:val="center"/>
              <w:rPr>
                <w:rFonts w:ascii="宋体" w:hAnsi="宋体" w:cs="宋体"/>
                <w:sz w:val="20"/>
                <w:szCs w:val="20"/>
              </w:rPr>
            </w:pPr>
            <w:r>
              <w:rPr>
                <w:rFonts w:hint="eastAsia" w:ascii="宋体" w:hAnsi="宋体" w:cs="宋体"/>
                <w:kern w:val="0"/>
                <w:sz w:val="20"/>
                <w:szCs w:val="20"/>
                <w:lang w:bidi="ar"/>
              </w:rPr>
              <w:t>奥的斯电梯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3DD5">
            <w:pPr>
              <w:widowControl/>
              <w:jc w:val="center"/>
              <w:textAlignment w:val="center"/>
              <w:rPr>
                <w:rFonts w:ascii="宋体" w:hAnsi="宋体" w:cs="宋体"/>
                <w:sz w:val="20"/>
                <w:szCs w:val="20"/>
              </w:rPr>
            </w:pPr>
            <w:r>
              <w:rPr>
                <w:rFonts w:hint="eastAsia" w:ascii="宋体" w:hAnsi="宋体" w:cs="宋体"/>
                <w:kern w:val="0"/>
                <w:sz w:val="20"/>
                <w:szCs w:val="20"/>
                <w:lang w:bidi="ar"/>
              </w:rPr>
              <w:t>TKJ1000/1.0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FB8B">
            <w:pPr>
              <w:widowControl/>
              <w:jc w:val="center"/>
              <w:textAlignment w:val="center"/>
              <w:rPr>
                <w:rFonts w:ascii="宋体" w:hAnsi="宋体" w:cs="宋体"/>
                <w:sz w:val="20"/>
                <w:szCs w:val="20"/>
              </w:rPr>
            </w:pPr>
            <w:r>
              <w:rPr>
                <w:rFonts w:hint="eastAsia" w:ascii="宋体" w:hAnsi="宋体" w:cs="宋体"/>
                <w:kern w:val="0"/>
                <w:sz w:val="20"/>
                <w:szCs w:val="20"/>
                <w:lang w:bidi="ar"/>
              </w:rPr>
              <w:t>2013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6D4">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278">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4EB4">
            <w:pPr>
              <w:widowControl/>
              <w:jc w:val="center"/>
              <w:textAlignment w:val="center"/>
              <w:rPr>
                <w:rFonts w:ascii="宋体" w:hAnsi="宋体" w:cs="宋体"/>
                <w:sz w:val="20"/>
                <w:szCs w:val="20"/>
              </w:rPr>
            </w:pPr>
            <w:r>
              <w:rPr>
                <w:rFonts w:hint="eastAsia" w:ascii="宋体" w:hAnsi="宋体" w:cs="宋体"/>
                <w:kern w:val="0"/>
                <w:sz w:val="20"/>
                <w:szCs w:val="20"/>
                <w:lang w:bidi="ar"/>
              </w:rPr>
              <w:t>3层3站</w:t>
            </w:r>
          </w:p>
        </w:tc>
      </w:tr>
      <w:tr w14:paraId="63515E2A">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C63B">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597">
            <w:pPr>
              <w:widowControl/>
              <w:jc w:val="center"/>
              <w:textAlignment w:val="center"/>
              <w:rPr>
                <w:rFonts w:ascii="宋体" w:hAnsi="宋体" w:cs="宋体"/>
                <w:sz w:val="20"/>
                <w:szCs w:val="20"/>
              </w:rPr>
            </w:pPr>
            <w:r>
              <w:rPr>
                <w:rFonts w:hint="eastAsia" w:ascii="宋体" w:hAnsi="宋体" w:cs="宋体"/>
                <w:kern w:val="0"/>
                <w:sz w:val="20"/>
                <w:szCs w:val="20"/>
                <w:lang w:bidi="ar"/>
              </w:rPr>
              <w:t>衣锦实验大楼2#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55D">
            <w:pPr>
              <w:widowControl/>
              <w:jc w:val="center"/>
              <w:textAlignment w:val="center"/>
              <w:rPr>
                <w:rFonts w:ascii="宋体" w:hAnsi="宋体" w:cs="宋体"/>
                <w:sz w:val="20"/>
                <w:szCs w:val="20"/>
              </w:rPr>
            </w:pPr>
            <w:r>
              <w:rPr>
                <w:rFonts w:hint="eastAsia" w:ascii="宋体" w:hAnsi="宋体" w:cs="宋体"/>
                <w:kern w:val="0"/>
                <w:sz w:val="20"/>
                <w:szCs w:val="20"/>
                <w:lang w:bidi="ar"/>
              </w:rPr>
              <w:t>西子奥的斯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1C5">
            <w:pPr>
              <w:widowControl/>
              <w:jc w:val="center"/>
              <w:textAlignment w:val="center"/>
              <w:rPr>
                <w:rFonts w:ascii="宋体" w:hAnsi="宋体" w:cs="宋体"/>
                <w:sz w:val="20"/>
                <w:szCs w:val="20"/>
              </w:rPr>
            </w:pPr>
            <w:r>
              <w:rPr>
                <w:rFonts w:hint="eastAsia" w:ascii="宋体" w:hAnsi="宋体" w:cs="宋体"/>
                <w:kern w:val="0"/>
                <w:sz w:val="20"/>
                <w:szCs w:val="20"/>
                <w:lang w:bidi="ar"/>
              </w:rPr>
              <w:t>TKJ1000/1.0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544">
            <w:pPr>
              <w:widowControl/>
              <w:jc w:val="center"/>
              <w:textAlignment w:val="center"/>
              <w:rPr>
                <w:rFonts w:ascii="宋体" w:hAnsi="宋体" w:cs="宋体"/>
                <w:sz w:val="20"/>
                <w:szCs w:val="20"/>
              </w:rPr>
            </w:pPr>
            <w:r>
              <w:rPr>
                <w:rFonts w:hint="eastAsia" w:ascii="宋体" w:hAnsi="宋体" w:cs="宋体"/>
                <w:kern w:val="0"/>
                <w:sz w:val="20"/>
                <w:szCs w:val="20"/>
                <w:lang w:bidi="ar"/>
              </w:rPr>
              <w:t>2015.8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47E9">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F6C">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5A65">
            <w:pPr>
              <w:widowControl/>
              <w:jc w:val="center"/>
              <w:textAlignment w:val="center"/>
              <w:rPr>
                <w:rFonts w:ascii="宋体" w:hAnsi="宋体" w:cs="宋体"/>
                <w:sz w:val="20"/>
                <w:szCs w:val="20"/>
              </w:rPr>
            </w:pPr>
            <w:r>
              <w:rPr>
                <w:rFonts w:hint="eastAsia" w:ascii="宋体" w:hAnsi="宋体" w:cs="宋体"/>
                <w:kern w:val="0"/>
                <w:sz w:val="20"/>
                <w:szCs w:val="20"/>
                <w:lang w:bidi="ar"/>
              </w:rPr>
              <w:t>7层7站7门</w:t>
            </w:r>
          </w:p>
        </w:tc>
      </w:tr>
      <w:tr w14:paraId="11A358C0">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D6B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6EE9">
            <w:pPr>
              <w:widowControl/>
              <w:jc w:val="center"/>
              <w:textAlignment w:val="center"/>
              <w:rPr>
                <w:rFonts w:ascii="宋体" w:hAnsi="宋体" w:cs="宋体"/>
                <w:sz w:val="20"/>
                <w:szCs w:val="20"/>
              </w:rPr>
            </w:pPr>
            <w:r>
              <w:rPr>
                <w:rFonts w:hint="eastAsia" w:ascii="宋体" w:hAnsi="宋体" w:cs="宋体"/>
                <w:kern w:val="0"/>
                <w:sz w:val="20"/>
                <w:szCs w:val="20"/>
                <w:lang w:bidi="ar"/>
              </w:rPr>
              <w:t>国家重点实验室（货梯）</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603A">
            <w:pPr>
              <w:widowControl/>
              <w:jc w:val="center"/>
              <w:textAlignment w:val="center"/>
              <w:rPr>
                <w:rFonts w:ascii="宋体" w:hAnsi="宋体" w:cs="宋体"/>
                <w:sz w:val="20"/>
                <w:szCs w:val="20"/>
              </w:rPr>
            </w:pPr>
            <w:r>
              <w:rPr>
                <w:rFonts w:hint="eastAsia" w:ascii="宋体" w:hAnsi="宋体" w:cs="宋体"/>
                <w:kern w:val="0"/>
                <w:sz w:val="20"/>
                <w:szCs w:val="20"/>
                <w:lang w:bidi="ar"/>
              </w:rPr>
              <w:t>上海三菱电梯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CB85">
            <w:pPr>
              <w:widowControl/>
              <w:jc w:val="center"/>
              <w:textAlignment w:val="center"/>
              <w:rPr>
                <w:rFonts w:ascii="宋体" w:hAnsi="宋体" w:cs="宋体"/>
                <w:sz w:val="20"/>
                <w:szCs w:val="20"/>
              </w:rPr>
            </w:pPr>
            <w:r>
              <w:rPr>
                <w:rFonts w:hint="eastAsia" w:ascii="宋体" w:hAnsi="宋体" w:cs="宋体"/>
                <w:kern w:val="0"/>
                <w:sz w:val="20"/>
                <w:szCs w:val="20"/>
                <w:lang w:bidi="ar"/>
              </w:rPr>
              <w:t>LEHY-MRL-II</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189">
            <w:pPr>
              <w:widowControl/>
              <w:jc w:val="center"/>
              <w:textAlignment w:val="center"/>
              <w:rPr>
                <w:rFonts w:ascii="宋体" w:hAnsi="宋体" w:cs="宋体"/>
                <w:sz w:val="20"/>
                <w:szCs w:val="20"/>
              </w:rPr>
            </w:pPr>
            <w:r>
              <w:rPr>
                <w:rFonts w:hint="eastAsia" w:ascii="宋体" w:hAnsi="宋体" w:cs="宋体"/>
                <w:kern w:val="0"/>
                <w:sz w:val="20"/>
                <w:szCs w:val="20"/>
                <w:lang w:bidi="ar"/>
              </w:rPr>
              <w:t>2021.03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AF0C">
            <w:pPr>
              <w:widowControl/>
              <w:jc w:val="center"/>
              <w:textAlignment w:val="center"/>
              <w:rPr>
                <w:rFonts w:ascii="宋体" w:hAnsi="宋体" w:cs="宋体"/>
                <w:sz w:val="20"/>
                <w:szCs w:val="20"/>
              </w:rPr>
            </w:pPr>
            <w:r>
              <w:rPr>
                <w:rFonts w:hint="eastAsia" w:ascii="宋体" w:hAnsi="宋体" w:cs="宋体"/>
                <w:kern w:val="0"/>
                <w:sz w:val="20"/>
                <w:szCs w:val="20"/>
                <w:lang w:bidi="ar"/>
              </w:rPr>
              <w:t>1.00m/s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7717">
            <w:pPr>
              <w:widowControl/>
              <w:jc w:val="center"/>
              <w:textAlignment w:val="center"/>
              <w:rPr>
                <w:rFonts w:ascii="宋体" w:hAnsi="宋体" w:cs="宋体"/>
                <w:sz w:val="20"/>
                <w:szCs w:val="20"/>
              </w:rPr>
            </w:pPr>
            <w:r>
              <w:rPr>
                <w:rFonts w:hint="eastAsia" w:ascii="宋体" w:hAnsi="宋体" w:cs="宋体"/>
                <w:kern w:val="0"/>
                <w:sz w:val="20"/>
                <w:szCs w:val="20"/>
                <w:lang w:bidi="ar"/>
              </w:rPr>
              <w:t>2000kg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95B">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78AF8A77">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A4F9">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BF5">
            <w:pPr>
              <w:widowControl/>
              <w:jc w:val="center"/>
              <w:textAlignment w:val="center"/>
              <w:rPr>
                <w:rFonts w:ascii="宋体" w:hAnsi="宋体" w:cs="宋体"/>
                <w:sz w:val="20"/>
                <w:szCs w:val="20"/>
              </w:rPr>
            </w:pPr>
            <w:r>
              <w:rPr>
                <w:rFonts w:hint="eastAsia" w:ascii="宋体" w:hAnsi="宋体" w:cs="宋体"/>
                <w:kern w:val="0"/>
                <w:sz w:val="20"/>
                <w:szCs w:val="20"/>
                <w:lang w:bidi="ar"/>
              </w:rPr>
              <w:t>国家重点实验室（客梯）</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9D38">
            <w:pPr>
              <w:widowControl/>
              <w:jc w:val="center"/>
              <w:textAlignment w:val="center"/>
              <w:rPr>
                <w:rFonts w:ascii="宋体" w:hAnsi="宋体" w:cs="宋体"/>
                <w:sz w:val="20"/>
                <w:szCs w:val="20"/>
              </w:rPr>
            </w:pPr>
            <w:r>
              <w:rPr>
                <w:rFonts w:hint="eastAsia" w:ascii="宋体" w:hAnsi="宋体" w:cs="宋体"/>
                <w:kern w:val="0"/>
                <w:sz w:val="20"/>
                <w:szCs w:val="20"/>
                <w:lang w:bidi="ar"/>
              </w:rPr>
              <w:t>上海三菱电梯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3968">
            <w:pPr>
              <w:widowControl/>
              <w:jc w:val="center"/>
              <w:textAlignment w:val="center"/>
              <w:rPr>
                <w:rFonts w:ascii="宋体" w:hAnsi="宋体" w:cs="宋体"/>
                <w:sz w:val="20"/>
                <w:szCs w:val="20"/>
              </w:rPr>
            </w:pPr>
            <w:r>
              <w:rPr>
                <w:rFonts w:hint="eastAsia" w:ascii="宋体" w:hAnsi="宋体" w:cs="宋体"/>
                <w:kern w:val="0"/>
                <w:sz w:val="20"/>
                <w:szCs w:val="20"/>
                <w:lang w:bidi="ar"/>
              </w:rPr>
              <w:t>LEHY-MRL-II</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3399">
            <w:pPr>
              <w:widowControl/>
              <w:jc w:val="center"/>
              <w:textAlignment w:val="center"/>
              <w:rPr>
                <w:rFonts w:ascii="宋体" w:hAnsi="宋体" w:cs="宋体"/>
                <w:sz w:val="20"/>
                <w:szCs w:val="20"/>
              </w:rPr>
            </w:pPr>
            <w:r>
              <w:rPr>
                <w:rFonts w:hint="eastAsia" w:ascii="宋体" w:hAnsi="宋体" w:cs="宋体"/>
                <w:kern w:val="0"/>
                <w:sz w:val="20"/>
                <w:szCs w:val="20"/>
                <w:lang w:bidi="ar"/>
              </w:rPr>
              <w:t>2021.03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1D1D">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368F">
            <w:pPr>
              <w:widowControl/>
              <w:jc w:val="center"/>
              <w:textAlignment w:val="center"/>
              <w:rPr>
                <w:rFonts w:ascii="宋体" w:hAnsi="宋体" w:cs="宋体"/>
                <w:sz w:val="20"/>
                <w:szCs w:val="20"/>
              </w:rPr>
            </w:pPr>
            <w:r>
              <w:rPr>
                <w:rFonts w:hint="eastAsia" w:ascii="宋体" w:hAnsi="宋体" w:cs="宋体"/>
                <w:kern w:val="0"/>
                <w:sz w:val="20"/>
                <w:szCs w:val="20"/>
                <w:lang w:bidi="ar"/>
              </w:rPr>
              <w:t>1050kg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35CC">
            <w:pPr>
              <w:widowControl/>
              <w:jc w:val="center"/>
              <w:textAlignment w:val="center"/>
              <w:rPr>
                <w:rFonts w:ascii="宋体" w:hAnsi="宋体" w:cs="宋体"/>
                <w:sz w:val="20"/>
                <w:szCs w:val="20"/>
              </w:rPr>
            </w:pPr>
            <w:r>
              <w:rPr>
                <w:rFonts w:hint="eastAsia" w:ascii="宋体" w:hAnsi="宋体" w:cs="宋体"/>
                <w:kern w:val="0"/>
                <w:sz w:val="20"/>
                <w:szCs w:val="20"/>
                <w:lang w:bidi="ar"/>
              </w:rPr>
              <w:t>6层6站</w:t>
            </w:r>
          </w:p>
        </w:tc>
      </w:tr>
      <w:tr w14:paraId="56A49CB4">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3071">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A3B">
            <w:pPr>
              <w:widowControl/>
              <w:jc w:val="center"/>
              <w:textAlignment w:val="center"/>
              <w:rPr>
                <w:rFonts w:ascii="宋体" w:hAnsi="宋体" w:cs="宋体"/>
                <w:sz w:val="20"/>
                <w:szCs w:val="20"/>
              </w:rPr>
            </w:pPr>
            <w:r>
              <w:rPr>
                <w:rFonts w:hint="eastAsia" w:ascii="宋体" w:hAnsi="宋体" w:cs="宋体"/>
                <w:kern w:val="0"/>
                <w:sz w:val="20"/>
                <w:szCs w:val="20"/>
                <w:lang w:bidi="ar"/>
              </w:rPr>
              <w:t>平山学生公寓1号楼L1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4C22">
            <w:pPr>
              <w:widowControl/>
              <w:jc w:val="center"/>
              <w:textAlignment w:val="center"/>
              <w:rPr>
                <w:rFonts w:ascii="宋体" w:hAnsi="宋体" w:cs="宋体"/>
                <w:sz w:val="20"/>
                <w:szCs w:val="20"/>
              </w:rPr>
            </w:pPr>
            <w:r>
              <w:rPr>
                <w:rFonts w:hint="eastAsia" w:ascii="宋体" w:hAnsi="宋体" w:cs="宋体"/>
                <w:kern w:val="0"/>
                <w:sz w:val="20"/>
                <w:szCs w:val="20"/>
                <w:lang w:bidi="ar"/>
              </w:rPr>
              <w:t>浙江欧姆龙电梯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1772">
            <w:pPr>
              <w:widowControl/>
              <w:jc w:val="center"/>
              <w:textAlignment w:val="center"/>
              <w:rPr>
                <w:rFonts w:ascii="宋体" w:hAnsi="宋体" w:cs="宋体"/>
                <w:sz w:val="20"/>
                <w:szCs w:val="20"/>
              </w:rPr>
            </w:pPr>
            <w:r>
              <w:rPr>
                <w:rFonts w:hint="eastAsia" w:ascii="宋体" w:hAnsi="宋体" w:cs="宋体"/>
                <w:kern w:val="0"/>
                <w:sz w:val="20"/>
                <w:szCs w:val="20"/>
                <w:lang w:bidi="ar"/>
              </w:rPr>
              <w:t>OML-KXF1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3617">
            <w:pPr>
              <w:widowControl/>
              <w:jc w:val="center"/>
              <w:textAlignment w:val="center"/>
              <w:rPr>
                <w:rFonts w:ascii="宋体" w:hAnsi="宋体" w:cs="宋体"/>
                <w:sz w:val="20"/>
                <w:szCs w:val="20"/>
              </w:rPr>
            </w:pPr>
            <w:r>
              <w:rPr>
                <w:rFonts w:hint="eastAsia" w:ascii="宋体" w:hAnsi="宋体" w:cs="宋体"/>
                <w:kern w:val="0"/>
                <w:sz w:val="20"/>
                <w:szCs w:val="20"/>
                <w:lang w:bidi="ar"/>
              </w:rPr>
              <w:t>2022.3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FC85">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029A">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18A">
            <w:pPr>
              <w:widowControl/>
              <w:jc w:val="center"/>
              <w:textAlignment w:val="center"/>
              <w:rPr>
                <w:rFonts w:ascii="宋体" w:hAnsi="宋体" w:cs="宋体"/>
                <w:sz w:val="20"/>
                <w:szCs w:val="20"/>
              </w:rPr>
            </w:pPr>
            <w:r>
              <w:rPr>
                <w:rFonts w:hint="eastAsia" w:ascii="宋体" w:hAnsi="宋体" w:cs="宋体"/>
                <w:kern w:val="0"/>
                <w:sz w:val="20"/>
                <w:szCs w:val="20"/>
                <w:lang w:bidi="ar"/>
              </w:rPr>
              <w:t>15层15站</w:t>
            </w:r>
          </w:p>
        </w:tc>
      </w:tr>
      <w:tr w14:paraId="6265183A">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F78">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A28C">
            <w:pPr>
              <w:widowControl/>
              <w:jc w:val="center"/>
              <w:textAlignment w:val="center"/>
              <w:rPr>
                <w:rFonts w:ascii="宋体" w:hAnsi="宋体" w:cs="宋体"/>
                <w:sz w:val="20"/>
                <w:szCs w:val="20"/>
              </w:rPr>
            </w:pPr>
            <w:r>
              <w:rPr>
                <w:rFonts w:hint="eastAsia" w:ascii="宋体" w:hAnsi="宋体" w:cs="宋体"/>
                <w:kern w:val="0"/>
                <w:sz w:val="20"/>
                <w:szCs w:val="20"/>
                <w:lang w:bidi="ar"/>
              </w:rPr>
              <w:t>平山学生公寓1号楼L2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6756">
            <w:pPr>
              <w:widowControl/>
              <w:jc w:val="center"/>
              <w:textAlignment w:val="center"/>
              <w:rPr>
                <w:rFonts w:ascii="宋体" w:hAnsi="宋体" w:cs="宋体"/>
                <w:sz w:val="20"/>
                <w:szCs w:val="20"/>
              </w:rPr>
            </w:pPr>
            <w:r>
              <w:rPr>
                <w:rFonts w:hint="eastAsia" w:ascii="宋体" w:hAnsi="宋体" w:cs="宋体"/>
                <w:kern w:val="0"/>
                <w:sz w:val="20"/>
                <w:szCs w:val="20"/>
                <w:lang w:bidi="ar"/>
              </w:rPr>
              <w:t>浙江欧姆龙电梯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E45">
            <w:pPr>
              <w:widowControl/>
              <w:jc w:val="center"/>
              <w:textAlignment w:val="center"/>
              <w:rPr>
                <w:rFonts w:ascii="宋体" w:hAnsi="宋体" w:cs="宋体"/>
                <w:sz w:val="20"/>
                <w:szCs w:val="20"/>
              </w:rPr>
            </w:pPr>
            <w:r>
              <w:rPr>
                <w:rFonts w:hint="eastAsia" w:ascii="宋体" w:hAnsi="宋体" w:cs="宋体"/>
                <w:kern w:val="0"/>
                <w:sz w:val="20"/>
                <w:szCs w:val="20"/>
                <w:lang w:bidi="ar"/>
              </w:rPr>
              <w:t>OML-KXF1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369">
            <w:pPr>
              <w:widowControl/>
              <w:jc w:val="center"/>
              <w:textAlignment w:val="center"/>
              <w:rPr>
                <w:rFonts w:ascii="宋体" w:hAnsi="宋体" w:cs="宋体"/>
                <w:sz w:val="20"/>
                <w:szCs w:val="20"/>
              </w:rPr>
            </w:pPr>
            <w:r>
              <w:rPr>
                <w:rFonts w:hint="eastAsia" w:ascii="宋体" w:hAnsi="宋体" w:cs="宋体"/>
                <w:kern w:val="0"/>
                <w:sz w:val="20"/>
                <w:szCs w:val="20"/>
                <w:lang w:bidi="ar"/>
              </w:rPr>
              <w:t>2022.3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5193">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A698">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8F26">
            <w:pPr>
              <w:widowControl/>
              <w:jc w:val="center"/>
              <w:textAlignment w:val="center"/>
              <w:rPr>
                <w:rFonts w:ascii="宋体" w:hAnsi="宋体" w:cs="宋体"/>
                <w:sz w:val="20"/>
                <w:szCs w:val="20"/>
              </w:rPr>
            </w:pPr>
            <w:r>
              <w:rPr>
                <w:rFonts w:hint="eastAsia" w:ascii="宋体" w:hAnsi="宋体" w:cs="宋体"/>
                <w:kern w:val="0"/>
                <w:sz w:val="20"/>
                <w:szCs w:val="20"/>
                <w:lang w:bidi="ar"/>
              </w:rPr>
              <w:t>15层15站</w:t>
            </w:r>
          </w:p>
        </w:tc>
      </w:tr>
      <w:tr w14:paraId="2B55339F">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B56">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70EE">
            <w:pPr>
              <w:widowControl/>
              <w:jc w:val="center"/>
              <w:textAlignment w:val="center"/>
              <w:rPr>
                <w:rFonts w:ascii="宋体" w:hAnsi="宋体" w:cs="宋体"/>
                <w:sz w:val="20"/>
                <w:szCs w:val="20"/>
              </w:rPr>
            </w:pPr>
            <w:r>
              <w:rPr>
                <w:rFonts w:hint="eastAsia" w:ascii="宋体" w:hAnsi="宋体" w:cs="宋体"/>
                <w:kern w:val="0"/>
                <w:sz w:val="20"/>
                <w:szCs w:val="20"/>
                <w:lang w:bidi="ar"/>
              </w:rPr>
              <w:t>平山学生公寓2号楼L3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FA8">
            <w:pPr>
              <w:widowControl/>
              <w:jc w:val="center"/>
              <w:textAlignment w:val="center"/>
              <w:rPr>
                <w:rFonts w:ascii="宋体" w:hAnsi="宋体" w:cs="宋体"/>
                <w:sz w:val="20"/>
                <w:szCs w:val="20"/>
              </w:rPr>
            </w:pPr>
            <w:r>
              <w:rPr>
                <w:rFonts w:hint="eastAsia" w:ascii="宋体" w:hAnsi="宋体" w:cs="宋体"/>
                <w:kern w:val="0"/>
                <w:sz w:val="20"/>
                <w:szCs w:val="20"/>
                <w:lang w:bidi="ar"/>
              </w:rPr>
              <w:t>浙江欧姆龙电梯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17A">
            <w:pPr>
              <w:widowControl/>
              <w:jc w:val="center"/>
              <w:textAlignment w:val="center"/>
              <w:rPr>
                <w:rFonts w:ascii="宋体" w:hAnsi="宋体" w:cs="宋体"/>
                <w:sz w:val="20"/>
                <w:szCs w:val="20"/>
              </w:rPr>
            </w:pPr>
            <w:r>
              <w:rPr>
                <w:rFonts w:hint="eastAsia" w:ascii="宋体" w:hAnsi="宋体" w:cs="宋体"/>
                <w:kern w:val="0"/>
                <w:sz w:val="20"/>
                <w:szCs w:val="20"/>
                <w:lang w:bidi="ar"/>
              </w:rPr>
              <w:t>OML-KXF1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F862">
            <w:pPr>
              <w:widowControl/>
              <w:jc w:val="center"/>
              <w:textAlignment w:val="center"/>
              <w:rPr>
                <w:rFonts w:ascii="宋体" w:hAnsi="宋体" w:cs="宋体"/>
                <w:sz w:val="20"/>
                <w:szCs w:val="20"/>
              </w:rPr>
            </w:pPr>
            <w:r>
              <w:rPr>
                <w:rFonts w:hint="eastAsia" w:ascii="宋体" w:hAnsi="宋体" w:cs="宋体"/>
                <w:kern w:val="0"/>
                <w:sz w:val="20"/>
                <w:szCs w:val="20"/>
                <w:lang w:bidi="ar"/>
              </w:rPr>
              <w:t>2022.3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1047">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DF0C">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F58">
            <w:pPr>
              <w:widowControl/>
              <w:jc w:val="center"/>
              <w:textAlignment w:val="center"/>
              <w:rPr>
                <w:rFonts w:ascii="宋体" w:hAnsi="宋体" w:cs="宋体"/>
                <w:sz w:val="20"/>
                <w:szCs w:val="20"/>
              </w:rPr>
            </w:pPr>
            <w:r>
              <w:rPr>
                <w:rFonts w:hint="eastAsia" w:ascii="宋体" w:hAnsi="宋体" w:cs="宋体"/>
                <w:kern w:val="0"/>
                <w:sz w:val="20"/>
                <w:szCs w:val="20"/>
                <w:lang w:bidi="ar"/>
              </w:rPr>
              <w:t>12层12站</w:t>
            </w:r>
          </w:p>
        </w:tc>
      </w:tr>
      <w:tr w14:paraId="0385346C">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5B00">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40D5">
            <w:pPr>
              <w:widowControl/>
              <w:jc w:val="center"/>
              <w:textAlignment w:val="center"/>
              <w:rPr>
                <w:rFonts w:ascii="宋体" w:hAnsi="宋体" w:cs="宋体"/>
                <w:sz w:val="20"/>
                <w:szCs w:val="20"/>
              </w:rPr>
            </w:pPr>
            <w:r>
              <w:rPr>
                <w:rFonts w:hint="eastAsia" w:ascii="宋体" w:hAnsi="宋体" w:cs="宋体"/>
                <w:kern w:val="0"/>
                <w:sz w:val="20"/>
                <w:szCs w:val="20"/>
                <w:lang w:bidi="ar"/>
              </w:rPr>
              <w:t>平山学生公寓2号楼L4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937B">
            <w:pPr>
              <w:widowControl/>
              <w:jc w:val="center"/>
              <w:textAlignment w:val="center"/>
              <w:rPr>
                <w:rFonts w:ascii="宋体" w:hAnsi="宋体" w:cs="宋体"/>
                <w:sz w:val="20"/>
                <w:szCs w:val="20"/>
              </w:rPr>
            </w:pPr>
            <w:r>
              <w:rPr>
                <w:rFonts w:hint="eastAsia" w:ascii="宋体" w:hAnsi="宋体" w:cs="宋体"/>
                <w:kern w:val="0"/>
                <w:sz w:val="20"/>
                <w:szCs w:val="20"/>
                <w:lang w:bidi="ar"/>
              </w:rPr>
              <w:t>浙江欧姆龙电梯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027">
            <w:pPr>
              <w:widowControl/>
              <w:jc w:val="center"/>
              <w:textAlignment w:val="center"/>
              <w:rPr>
                <w:rFonts w:ascii="宋体" w:hAnsi="宋体" w:cs="宋体"/>
                <w:sz w:val="20"/>
                <w:szCs w:val="20"/>
              </w:rPr>
            </w:pPr>
            <w:r>
              <w:rPr>
                <w:rFonts w:hint="eastAsia" w:ascii="宋体" w:hAnsi="宋体" w:cs="宋体"/>
                <w:kern w:val="0"/>
                <w:sz w:val="20"/>
                <w:szCs w:val="20"/>
                <w:lang w:bidi="ar"/>
              </w:rPr>
              <w:t>OML-KXF1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3A1">
            <w:pPr>
              <w:widowControl/>
              <w:jc w:val="center"/>
              <w:textAlignment w:val="center"/>
              <w:rPr>
                <w:rFonts w:ascii="宋体" w:hAnsi="宋体" w:cs="宋体"/>
                <w:sz w:val="20"/>
                <w:szCs w:val="20"/>
              </w:rPr>
            </w:pPr>
            <w:r>
              <w:rPr>
                <w:rFonts w:hint="eastAsia" w:ascii="宋体" w:hAnsi="宋体" w:cs="宋体"/>
                <w:kern w:val="0"/>
                <w:sz w:val="20"/>
                <w:szCs w:val="20"/>
                <w:lang w:bidi="ar"/>
              </w:rPr>
              <w:t>2022.3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5D94">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F069">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60C3">
            <w:pPr>
              <w:widowControl/>
              <w:jc w:val="center"/>
              <w:textAlignment w:val="center"/>
              <w:rPr>
                <w:rFonts w:ascii="宋体" w:hAnsi="宋体" w:cs="宋体"/>
                <w:sz w:val="20"/>
                <w:szCs w:val="20"/>
              </w:rPr>
            </w:pPr>
            <w:r>
              <w:rPr>
                <w:rFonts w:hint="eastAsia" w:ascii="宋体" w:hAnsi="宋体" w:cs="宋体"/>
                <w:kern w:val="0"/>
                <w:sz w:val="20"/>
                <w:szCs w:val="20"/>
                <w:lang w:bidi="ar"/>
              </w:rPr>
              <w:t>12层12站</w:t>
            </w:r>
          </w:p>
        </w:tc>
      </w:tr>
      <w:tr w14:paraId="796736B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89CC">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B96F">
            <w:pPr>
              <w:widowControl/>
              <w:jc w:val="center"/>
              <w:textAlignment w:val="center"/>
              <w:rPr>
                <w:rFonts w:ascii="宋体" w:hAnsi="宋体" w:cs="宋体"/>
                <w:sz w:val="20"/>
                <w:szCs w:val="20"/>
              </w:rPr>
            </w:pPr>
            <w:r>
              <w:rPr>
                <w:rFonts w:hint="eastAsia" w:ascii="宋体" w:hAnsi="宋体" w:cs="宋体"/>
                <w:kern w:val="0"/>
                <w:sz w:val="20"/>
                <w:szCs w:val="20"/>
                <w:lang w:bidi="ar"/>
              </w:rPr>
              <w:t>B11学生公寓电梯-东梯</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6561">
            <w:pPr>
              <w:widowControl/>
              <w:jc w:val="center"/>
              <w:textAlignment w:val="center"/>
              <w:rPr>
                <w:rFonts w:ascii="宋体" w:hAnsi="宋体" w:cs="宋体"/>
                <w:sz w:val="20"/>
                <w:szCs w:val="20"/>
              </w:rPr>
            </w:pPr>
            <w:r>
              <w:rPr>
                <w:rFonts w:hint="eastAsia" w:ascii="宋体" w:hAnsi="宋体" w:cs="宋体"/>
                <w:kern w:val="0"/>
                <w:sz w:val="20"/>
                <w:szCs w:val="20"/>
                <w:lang w:bidi="ar"/>
              </w:rPr>
              <w:t>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1121">
            <w:pPr>
              <w:widowControl/>
              <w:jc w:val="center"/>
              <w:textAlignment w:val="center"/>
              <w:rPr>
                <w:rFonts w:ascii="宋体" w:hAnsi="宋体" w:cs="宋体"/>
                <w:sz w:val="20"/>
                <w:szCs w:val="20"/>
              </w:rPr>
            </w:pPr>
            <w:r>
              <w:rPr>
                <w:rFonts w:hint="eastAsia" w:ascii="宋体" w:hAnsi="宋体" w:cs="宋体"/>
                <w:kern w:val="0"/>
                <w:sz w:val="20"/>
                <w:szCs w:val="20"/>
                <w:lang w:bidi="ar"/>
              </w:rPr>
              <w:t>LGE-1000-C0105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64A">
            <w:pPr>
              <w:widowControl/>
              <w:jc w:val="center"/>
              <w:textAlignment w:val="center"/>
              <w:rPr>
                <w:rFonts w:ascii="宋体" w:hAnsi="宋体" w:cs="宋体"/>
                <w:sz w:val="20"/>
                <w:szCs w:val="20"/>
              </w:rPr>
            </w:pPr>
            <w:r>
              <w:rPr>
                <w:rFonts w:hint="eastAsia" w:ascii="宋体" w:hAnsi="宋体" w:cs="宋体"/>
                <w:kern w:val="0"/>
                <w:sz w:val="20"/>
                <w:szCs w:val="20"/>
                <w:lang w:bidi="ar"/>
              </w:rPr>
              <w:t>2022.5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B085">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524">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3BE">
            <w:pPr>
              <w:widowControl/>
              <w:jc w:val="center"/>
              <w:textAlignment w:val="center"/>
              <w:rPr>
                <w:rFonts w:ascii="宋体" w:hAnsi="宋体" w:cs="宋体"/>
                <w:sz w:val="20"/>
                <w:szCs w:val="20"/>
              </w:rPr>
            </w:pPr>
            <w:r>
              <w:rPr>
                <w:rFonts w:hint="eastAsia" w:ascii="宋体" w:hAnsi="宋体" w:cs="宋体"/>
                <w:kern w:val="0"/>
                <w:sz w:val="20"/>
                <w:szCs w:val="20"/>
                <w:lang w:bidi="ar"/>
              </w:rPr>
              <w:t>7层7站7门</w:t>
            </w:r>
          </w:p>
        </w:tc>
      </w:tr>
      <w:tr w14:paraId="39D452EB">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866B">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49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12FD">
            <w:pPr>
              <w:widowControl/>
              <w:jc w:val="center"/>
              <w:textAlignment w:val="center"/>
              <w:rPr>
                <w:rFonts w:ascii="宋体" w:hAnsi="宋体" w:cs="宋体"/>
                <w:sz w:val="20"/>
                <w:szCs w:val="20"/>
              </w:rPr>
            </w:pPr>
            <w:r>
              <w:rPr>
                <w:rFonts w:hint="eastAsia" w:ascii="宋体" w:hAnsi="宋体" w:cs="宋体"/>
                <w:kern w:val="0"/>
                <w:sz w:val="20"/>
                <w:szCs w:val="20"/>
                <w:lang w:bidi="ar"/>
              </w:rPr>
              <w:t>B11学生公寓电梯-西梯</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5E3">
            <w:pPr>
              <w:widowControl/>
              <w:jc w:val="center"/>
              <w:textAlignment w:val="center"/>
              <w:rPr>
                <w:rFonts w:ascii="宋体" w:hAnsi="宋体" w:cs="宋体"/>
                <w:sz w:val="20"/>
                <w:szCs w:val="20"/>
              </w:rPr>
            </w:pPr>
            <w:r>
              <w:rPr>
                <w:rFonts w:hint="eastAsia" w:ascii="宋体" w:hAnsi="宋体" w:cs="宋体"/>
                <w:kern w:val="0"/>
                <w:sz w:val="20"/>
                <w:szCs w:val="20"/>
                <w:lang w:bidi="ar"/>
              </w:rPr>
              <w:t>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A6D">
            <w:pPr>
              <w:widowControl/>
              <w:jc w:val="center"/>
              <w:textAlignment w:val="center"/>
              <w:rPr>
                <w:rFonts w:ascii="宋体" w:hAnsi="宋体" w:cs="宋体"/>
                <w:sz w:val="20"/>
                <w:szCs w:val="20"/>
              </w:rPr>
            </w:pPr>
            <w:r>
              <w:rPr>
                <w:rFonts w:hint="eastAsia" w:ascii="宋体" w:hAnsi="宋体" w:cs="宋体"/>
                <w:kern w:val="0"/>
                <w:sz w:val="20"/>
                <w:szCs w:val="20"/>
                <w:lang w:bidi="ar"/>
              </w:rPr>
              <w:t>LGE-1000-C0105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3938">
            <w:pPr>
              <w:widowControl/>
              <w:jc w:val="center"/>
              <w:textAlignment w:val="center"/>
              <w:rPr>
                <w:rFonts w:ascii="宋体" w:hAnsi="宋体" w:cs="宋体"/>
                <w:sz w:val="20"/>
                <w:szCs w:val="20"/>
              </w:rPr>
            </w:pPr>
            <w:r>
              <w:rPr>
                <w:rFonts w:hint="eastAsia" w:ascii="宋体" w:hAnsi="宋体" w:cs="宋体"/>
                <w:kern w:val="0"/>
                <w:sz w:val="20"/>
                <w:szCs w:val="20"/>
                <w:lang w:bidi="ar"/>
              </w:rPr>
              <w:t>2022.5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C759">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ACB">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11B9">
            <w:pPr>
              <w:widowControl/>
              <w:jc w:val="center"/>
              <w:textAlignment w:val="center"/>
              <w:rPr>
                <w:rFonts w:ascii="宋体" w:hAnsi="宋体" w:cs="宋体"/>
                <w:sz w:val="20"/>
                <w:szCs w:val="20"/>
              </w:rPr>
            </w:pPr>
            <w:r>
              <w:rPr>
                <w:rFonts w:hint="eastAsia" w:ascii="宋体" w:hAnsi="宋体" w:cs="宋体"/>
                <w:kern w:val="0"/>
                <w:sz w:val="20"/>
                <w:szCs w:val="20"/>
                <w:lang w:bidi="ar"/>
              </w:rPr>
              <w:t>7层7站7门</w:t>
            </w:r>
          </w:p>
        </w:tc>
      </w:tr>
      <w:tr w14:paraId="72C9DD6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7219">
            <w:pPr>
              <w:widowControl/>
              <w:spacing w:line="360" w:lineRule="auto"/>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FFB0">
            <w:pPr>
              <w:widowControl/>
              <w:jc w:val="center"/>
              <w:textAlignment w:val="center"/>
              <w:rPr>
                <w:rFonts w:ascii="宋体" w:hAnsi="宋体" w:cs="宋体"/>
                <w:sz w:val="20"/>
                <w:szCs w:val="20"/>
              </w:rPr>
            </w:pPr>
            <w:r>
              <w:rPr>
                <w:rFonts w:hint="eastAsia" w:ascii="宋体" w:hAnsi="宋体" w:cs="宋体"/>
                <w:kern w:val="0"/>
                <w:sz w:val="20"/>
                <w:szCs w:val="20"/>
                <w:lang w:bidi="ar"/>
              </w:rPr>
              <w:t>B12学生公寓电梯</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81A4">
            <w:pPr>
              <w:widowControl/>
              <w:jc w:val="center"/>
              <w:textAlignment w:val="center"/>
              <w:rPr>
                <w:rFonts w:ascii="宋体" w:hAnsi="宋体" w:cs="宋体"/>
                <w:sz w:val="20"/>
                <w:szCs w:val="20"/>
              </w:rPr>
            </w:pPr>
            <w:r>
              <w:rPr>
                <w:rFonts w:hint="eastAsia" w:ascii="宋体" w:hAnsi="宋体" w:cs="宋体"/>
                <w:kern w:val="0"/>
                <w:sz w:val="20"/>
                <w:szCs w:val="20"/>
                <w:lang w:bidi="ar"/>
              </w:rPr>
              <w:t>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566B">
            <w:pPr>
              <w:widowControl/>
              <w:jc w:val="center"/>
              <w:textAlignment w:val="center"/>
              <w:rPr>
                <w:rFonts w:ascii="宋体" w:hAnsi="宋体" w:cs="宋体"/>
                <w:sz w:val="20"/>
                <w:szCs w:val="20"/>
              </w:rPr>
            </w:pPr>
            <w:r>
              <w:rPr>
                <w:rFonts w:hint="eastAsia" w:ascii="宋体" w:hAnsi="宋体" w:cs="宋体"/>
                <w:kern w:val="0"/>
                <w:sz w:val="20"/>
                <w:szCs w:val="20"/>
                <w:lang w:bidi="ar"/>
              </w:rPr>
              <w:t>LGE-1000-C0105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1864">
            <w:pPr>
              <w:widowControl/>
              <w:jc w:val="center"/>
              <w:textAlignment w:val="center"/>
              <w:rPr>
                <w:rFonts w:ascii="宋体" w:hAnsi="宋体" w:cs="宋体"/>
                <w:sz w:val="20"/>
                <w:szCs w:val="20"/>
              </w:rPr>
            </w:pPr>
            <w:r>
              <w:rPr>
                <w:rFonts w:hint="eastAsia" w:ascii="宋体" w:hAnsi="宋体" w:cs="宋体"/>
                <w:kern w:val="0"/>
                <w:sz w:val="20"/>
                <w:szCs w:val="20"/>
                <w:lang w:bidi="ar"/>
              </w:rPr>
              <w:t>2022.5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D08E">
            <w:pPr>
              <w:widowControl/>
              <w:jc w:val="center"/>
              <w:textAlignment w:val="center"/>
              <w:rPr>
                <w:rFonts w:ascii="宋体" w:hAnsi="宋体" w:cs="宋体"/>
                <w:sz w:val="20"/>
                <w:szCs w:val="20"/>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B1E">
            <w:pPr>
              <w:widowControl/>
              <w:jc w:val="center"/>
              <w:textAlignment w:val="center"/>
              <w:rPr>
                <w:rFonts w:ascii="宋体" w:hAnsi="宋体" w:cs="宋体"/>
                <w:sz w:val="20"/>
                <w:szCs w:val="20"/>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2ACF">
            <w:pPr>
              <w:widowControl/>
              <w:jc w:val="center"/>
              <w:textAlignment w:val="center"/>
              <w:rPr>
                <w:rFonts w:ascii="宋体" w:hAnsi="宋体" w:cs="宋体"/>
                <w:sz w:val="20"/>
                <w:szCs w:val="20"/>
              </w:rPr>
            </w:pPr>
            <w:r>
              <w:rPr>
                <w:rFonts w:hint="eastAsia" w:ascii="宋体" w:hAnsi="宋体" w:cs="宋体"/>
                <w:kern w:val="0"/>
                <w:sz w:val="20"/>
                <w:szCs w:val="20"/>
                <w:lang w:bidi="ar"/>
              </w:rPr>
              <w:t>7层7站7门</w:t>
            </w:r>
          </w:p>
        </w:tc>
      </w:tr>
      <w:tr w14:paraId="19F63159">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8209">
            <w:pPr>
              <w:widowControl/>
              <w:jc w:val="center"/>
              <w:textAlignment w:val="center"/>
              <w:rPr>
                <w:rFonts w:ascii="宋体" w:hAnsi="宋体" w:cs="宋体"/>
                <w:sz w:val="20"/>
                <w:szCs w:val="20"/>
              </w:rPr>
            </w:pPr>
            <w:r>
              <w:rPr>
                <w:rFonts w:hint="eastAsia" w:ascii="宋体" w:hAnsi="宋体" w:cs="宋体"/>
                <w:kern w:val="0"/>
                <w:sz w:val="20"/>
                <w:szCs w:val="20"/>
                <w:lang w:bidi="ar"/>
              </w:rPr>
              <w:t>51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74D8">
            <w:pPr>
              <w:widowControl/>
              <w:jc w:val="center"/>
              <w:textAlignment w:val="center"/>
              <w:rPr>
                <w:rFonts w:ascii="宋体" w:hAnsi="宋体" w:cs="宋体"/>
                <w:sz w:val="20"/>
                <w:szCs w:val="20"/>
              </w:rPr>
            </w:pPr>
            <w:r>
              <w:rPr>
                <w:rFonts w:hint="eastAsia" w:ascii="宋体" w:hAnsi="宋体" w:cs="宋体"/>
                <w:kern w:val="0"/>
                <w:sz w:val="20"/>
                <w:szCs w:val="20"/>
                <w:lang w:bidi="ar"/>
              </w:rPr>
              <w:t>绿色农药大楼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74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杭州新马</w:t>
            </w:r>
          </w:p>
          <w:p w14:paraId="3B3A0A4E">
            <w:pPr>
              <w:widowControl/>
              <w:jc w:val="center"/>
              <w:textAlignment w:val="center"/>
              <w:rPr>
                <w:rFonts w:ascii="宋体" w:hAnsi="宋体" w:cs="宋体"/>
                <w:sz w:val="20"/>
                <w:szCs w:val="20"/>
              </w:rPr>
            </w:pPr>
            <w:r>
              <w:rPr>
                <w:rFonts w:hint="eastAsia" w:ascii="宋体" w:hAnsi="宋体" w:cs="宋体"/>
                <w:kern w:val="0"/>
                <w:sz w:val="20"/>
                <w:szCs w:val="20"/>
                <w:lang w:bidi="ar"/>
              </w:rPr>
              <w:t>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5B7C">
            <w:pPr>
              <w:widowControl/>
              <w:jc w:val="center"/>
              <w:textAlignment w:val="center"/>
              <w:rPr>
                <w:rFonts w:ascii="SimSun-8537" w:hAnsi="SimSun-8537" w:eastAsia="SimSun-8537" w:cs="SimSun-8537"/>
                <w:sz w:val="20"/>
                <w:szCs w:val="20"/>
              </w:rPr>
            </w:pPr>
            <w:r>
              <w:rPr>
                <w:rFonts w:hint="eastAsia" w:ascii="宋体" w:hAnsi="宋体" w:cs="宋体"/>
                <w:kern w:val="0"/>
                <w:sz w:val="20"/>
                <w:szCs w:val="20"/>
                <w:lang w:bidi="ar"/>
              </w:rPr>
              <w:t>XMH-Gn</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98C0">
            <w:pPr>
              <w:widowControl/>
              <w:jc w:val="center"/>
              <w:textAlignment w:val="center"/>
              <w:rPr>
                <w:rFonts w:ascii="宋体" w:hAnsi="宋体" w:cs="宋体"/>
                <w:sz w:val="20"/>
                <w:szCs w:val="20"/>
              </w:rPr>
            </w:pPr>
            <w:r>
              <w:rPr>
                <w:rFonts w:hint="eastAsia" w:ascii="宋体" w:hAnsi="宋体" w:cs="宋体"/>
                <w:kern w:val="0"/>
                <w:sz w:val="20"/>
                <w:szCs w:val="20"/>
                <w:lang w:bidi="ar"/>
              </w:rPr>
              <w:t>2021.1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178">
            <w:pPr>
              <w:widowControl/>
              <w:jc w:val="center"/>
              <w:textAlignment w:val="center"/>
              <w:rPr>
                <w:rFonts w:ascii="SimSun-8537" w:hAnsi="SimSun-8537" w:eastAsia="SimSun-8537" w:cs="SimSun-8537"/>
                <w:sz w:val="20"/>
                <w:szCs w:val="20"/>
              </w:rPr>
            </w:pPr>
            <w:r>
              <w:rPr>
                <w:rFonts w:hint="eastAsia" w:ascii="宋体" w:hAnsi="宋体" w:cs="宋体"/>
                <w:kern w:val="0"/>
                <w:sz w:val="20"/>
                <w:szCs w:val="20"/>
                <w:lang w:bidi="ar"/>
              </w:rPr>
              <w:t>0.5m/s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69BF">
            <w:pPr>
              <w:widowControl/>
              <w:jc w:val="center"/>
              <w:textAlignment w:val="center"/>
              <w:rPr>
                <w:rFonts w:ascii="宋体" w:hAnsi="宋体" w:cs="宋体"/>
                <w:sz w:val="20"/>
                <w:szCs w:val="20"/>
              </w:rPr>
            </w:pPr>
            <w:r>
              <w:rPr>
                <w:rFonts w:hint="eastAsia" w:ascii="宋体" w:hAnsi="宋体" w:cs="宋体"/>
                <w:kern w:val="0"/>
                <w:sz w:val="20"/>
                <w:szCs w:val="20"/>
                <w:lang w:bidi="ar"/>
              </w:rPr>
              <w:t>2000kg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AE93">
            <w:pPr>
              <w:widowControl/>
              <w:jc w:val="center"/>
              <w:textAlignment w:val="center"/>
              <w:rPr>
                <w:rFonts w:ascii="宋体" w:hAnsi="宋体" w:cs="宋体"/>
                <w:sz w:val="20"/>
                <w:szCs w:val="20"/>
              </w:rPr>
            </w:pPr>
            <w:r>
              <w:rPr>
                <w:rFonts w:hint="eastAsia" w:ascii="宋体" w:hAnsi="宋体" w:cs="宋体"/>
                <w:kern w:val="0"/>
                <w:sz w:val="20"/>
                <w:szCs w:val="20"/>
                <w:lang w:bidi="ar"/>
              </w:rPr>
              <w:t>4层4站4门</w:t>
            </w:r>
          </w:p>
        </w:tc>
      </w:tr>
      <w:tr w14:paraId="7ED9D031">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DC1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36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新农科1号楼1#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E30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A4B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2EA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29B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80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E4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5层5站5门</w:t>
            </w:r>
          </w:p>
        </w:tc>
      </w:tr>
      <w:tr w14:paraId="09040EC6">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B72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B52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新农科1号楼2#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8B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E87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4A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05D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06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1CE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5层5站5门</w:t>
            </w:r>
          </w:p>
        </w:tc>
      </w:tr>
      <w:tr w14:paraId="3E835A49">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C09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620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新农科2号楼1#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AD1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47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715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86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BF1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351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5层5站5门</w:t>
            </w:r>
          </w:p>
        </w:tc>
      </w:tr>
      <w:tr w14:paraId="37E8C1F0">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0D1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0A5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新农科2号楼2#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800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3B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1E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002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120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8CC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5层5站5门</w:t>
            </w:r>
          </w:p>
        </w:tc>
      </w:tr>
      <w:tr w14:paraId="219703C9">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65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24E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新农科3号楼1#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6F6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54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BDF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0BE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037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D05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5层5站5门</w:t>
            </w:r>
          </w:p>
        </w:tc>
      </w:tr>
      <w:tr w14:paraId="37261029">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BC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70A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新农科3号楼2#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AA8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E9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B6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BE6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D0C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1E3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5层5站5门</w:t>
            </w:r>
          </w:p>
        </w:tc>
      </w:tr>
      <w:tr w14:paraId="2F5C56FD">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2BF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39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新农科4号楼1#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F09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6C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F41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35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50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FC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7层7站7门</w:t>
            </w:r>
          </w:p>
        </w:tc>
      </w:tr>
      <w:tr w14:paraId="5C1360F7">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BA7">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59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6E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新农科4号楼2#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301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55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511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7A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BB0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813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7层7站7门</w:t>
            </w:r>
          </w:p>
        </w:tc>
      </w:tr>
      <w:tr w14:paraId="0D3B8A1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BD5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9B8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新农科5号楼1#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51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F90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7D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3C5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4CA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68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7层7站7门</w:t>
            </w:r>
          </w:p>
        </w:tc>
      </w:tr>
      <w:tr w14:paraId="08D07E05">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63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111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新农科5号楼2#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94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BC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304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DA8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34AE">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734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7层7站7门</w:t>
            </w:r>
          </w:p>
        </w:tc>
      </w:tr>
      <w:tr w14:paraId="0A1CFD32">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EE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C4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新农科5号楼3#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408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386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A6C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87E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20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F03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6层6站6门</w:t>
            </w:r>
          </w:p>
        </w:tc>
      </w:tr>
      <w:tr w14:paraId="01244CF8">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D65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97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新农科6号楼1#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41F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DFA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335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C49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AF6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226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3层3站3门</w:t>
            </w:r>
          </w:p>
        </w:tc>
      </w:tr>
      <w:tr w14:paraId="0B3379A6">
        <w:tblPrEx>
          <w:tblCellMar>
            <w:top w:w="0" w:type="dxa"/>
            <w:left w:w="108" w:type="dxa"/>
            <w:bottom w:w="0" w:type="dxa"/>
            <w:right w:w="108" w:type="dxa"/>
          </w:tblCellMar>
        </w:tblPrEx>
        <w:trPr>
          <w:trHeight w:val="5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12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AA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新农科6号楼2#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E12A">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 xml:space="preserve"> 日立电梯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10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LGE</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F0D5">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2024.07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E8D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1.75m/s</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676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1600kg</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048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3层3站3门</w:t>
            </w:r>
          </w:p>
        </w:tc>
      </w:tr>
    </w:tbl>
    <w:p w14:paraId="1CAC322E">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（三）维修服务</w:t>
      </w:r>
    </w:p>
    <w:p w14:paraId="45147B29">
      <w:pPr>
        <w:spacing w:line="360" w:lineRule="auto"/>
        <w:ind w:firstLine="420" w:firstLineChars="200"/>
        <w:jc w:val="left"/>
        <w:outlineLvl w:val="2"/>
        <w:rPr>
          <w:rFonts w:asciiTheme="minorEastAsia" w:hAnsiTheme="minorEastAsia" w:cstheme="minorEastAsia"/>
          <w:szCs w:val="21"/>
        </w:rPr>
      </w:pPr>
      <w:r>
        <w:rPr>
          <w:rFonts w:hint="eastAsia" w:asciiTheme="minorEastAsia" w:hAnsiTheme="minorEastAsia" w:cstheme="minorEastAsia"/>
          <w:szCs w:val="21"/>
        </w:rPr>
        <w:t>1.服务范围及总体要求</w:t>
      </w:r>
    </w:p>
    <w:p w14:paraId="47497F86">
      <w:pPr>
        <w:spacing w:line="360" w:lineRule="auto"/>
        <w:ind w:firstLine="420" w:firstLineChars="200"/>
        <w:jc w:val="left"/>
        <w:outlineLvl w:val="3"/>
        <w:rPr>
          <w:rFonts w:asciiTheme="minorEastAsia" w:hAnsiTheme="minorEastAsia" w:cstheme="minorEastAsia"/>
          <w:szCs w:val="21"/>
        </w:rPr>
      </w:pPr>
      <w:r>
        <w:rPr>
          <w:rFonts w:hint="eastAsia" w:asciiTheme="minorEastAsia" w:hAnsiTheme="minorEastAsia" w:cstheme="minorEastAsia"/>
          <w:szCs w:val="21"/>
        </w:rPr>
        <w:t>（1）服务范围和面积</w:t>
      </w:r>
    </w:p>
    <w:p w14:paraId="0BA6955B">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东湖校区（含平山公寓）、衣锦校区公共区域维修服务，共312758.54㎡。</w:t>
      </w:r>
    </w:p>
    <w:p w14:paraId="64D2CA6E">
      <w:pPr>
        <w:spacing w:line="360" w:lineRule="auto"/>
        <w:ind w:firstLine="420" w:firstLineChars="200"/>
        <w:jc w:val="left"/>
        <w:outlineLvl w:val="3"/>
        <w:rPr>
          <w:rFonts w:asciiTheme="minorEastAsia" w:hAnsiTheme="minorEastAsia" w:cstheme="minorEastAsia"/>
          <w:szCs w:val="21"/>
        </w:rPr>
      </w:pPr>
      <w:r>
        <w:rPr>
          <w:rFonts w:hint="eastAsia" w:asciiTheme="minorEastAsia" w:hAnsiTheme="minorEastAsia" w:cstheme="minorEastAsia"/>
          <w:szCs w:val="21"/>
        </w:rPr>
        <w:t>（2）工作内容</w:t>
      </w:r>
    </w:p>
    <w:p w14:paraId="5B137DC4">
      <w:pPr>
        <w:spacing w:line="360" w:lineRule="auto"/>
        <w:ind w:firstLine="420" w:firstLineChars="200"/>
        <w:jc w:val="left"/>
        <w:rPr>
          <w:rFonts w:asciiTheme="minorEastAsia" w:hAnsiTheme="minorEastAsia" w:cstheme="minorEastAsia"/>
          <w:szCs w:val="21"/>
        </w:rPr>
      </w:pPr>
      <w:r>
        <w:rPr>
          <w:rFonts w:hint="eastAsia" w:ascii="宋体" w:hAnsi="宋体" w:cs="宋体"/>
          <w:szCs w:val="21"/>
        </w:rPr>
        <w:t>①</w:t>
      </w:r>
      <w:r>
        <w:rPr>
          <w:rFonts w:hint="eastAsia" w:asciiTheme="minorEastAsia" w:hAnsiTheme="minorEastAsia" w:cstheme="minorEastAsia"/>
          <w:szCs w:val="21"/>
        </w:rPr>
        <w:t>负责公共区域门、窗（含纱窗）及五金配件，公共区域水龙头、灯具、灯管、灯泡、开关、插座，洁具、洗脸盆、拖把池及配件的维修及更换。</w:t>
      </w:r>
    </w:p>
    <w:p w14:paraId="29D2ACF4">
      <w:pPr>
        <w:widowControl/>
        <w:adjustRightInd w:val="0"/>
        <w:snapToGrid w:val="0"/>
        <w:spacing w:line="360" w:lineRule="auto"/>
        <w:ind w:left="424" w:leftChars="202"/>
        <w:rPr>
          <w:rFonts w:asciiTheme="minorEastAsia" w:hAnsiTheme="minorEastAsia" w:cstheme="minorEastAsia"/>
          <w:szCs w:val="21"/>
        </w:rPr>
      </w:pPr>
      <w:r>
        <w:rPr>
          <w:rFonts w:hint="eastAsia" w:ascii="宋体" w:hAnsi="宋体" w:cs="宋体"/>
          <w:szCs w:val="21"/>
        </w:rPr>
        <w:t>②</w:t>
      </w:r>
      <w:r>
        <w:rPr>
          <w:rFonts w:hint="eastAsia" w:asciiTheme="minorEastAsia" w:hAnsiTheme="minorEastAsia" w:cstheme="minorEastAsia"/>
          <w:szCs w:val="21"/>
        </w:rPr>
        <w:t>负责公共区域地砖、吊顶、内墙涂料、护栏扶手的维修及更换。</w:t>
      </w:r>
    </w:p>
    <w:p w14:paraId="0061D879">
      <w:pPr>
        <w:widowControl/>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③</w:t>
      </w:r>
      <w:r>
        <w:rPr>
          <w:rFonts w:hint="eastAsia" w:asciiTheme="minorEastAsia" w:hAnsiTheme="minorEastAsia" w:cstheme="minorEastAsia"/>
          <w:szCs w:val="21"/>
        </w:rPr>
        <w:t>负责公共区域二级水表后的供水管道，公共区域建筑物的雨水管、污水管、废水管分别至室外第一个窨井之间的管道的维修及更换。</w:t>
      </w:r>
    </w:p>
    <w:p w14:paraId="35BD3461">
      <w:pPr>
        <w:widowControl/>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④</w:t>
      </w:r>
      <w:r>
        <w:rPr>
          <w:rFonts w:hint="eastAsia" w:asciiTheme="minorEastAsia" w:hAnsiTheme="minorEastAsia" w:cstheme="minorEastAsia"/>
          <w:szCs w:val="21"/>
        </w:rPr>
        <w:t>负责公共区域二级电表后的电线、电缆、配电箱及电气元件的维修及更换，公共区域室外路灯的维修及更换。</w:t>
      </w:r>
    </w:p>
    <w:p w14:paraId="0FBFABB8">
      <w:pPr>
        <w:widowControl/>
        <w:adjustRightInd w:val="0"/>
        <w:snapToGrid w:val="0"/>
        <w:spacing w:line="360" w:lineRule="auto"/>
        <w:ind w:left="424" w:leftChars="202"/>
        <w:rPr>
          <w:rFonts w:asciiTheme="minorEastAsia" w:hAnsiTheme="minorEastAsia" w:cstheme="minorEastAsia"/>
          <w:szCs w:val="21"/>
        </w:rPr>
      </w:pPr>
      <w:r>
        <w:rPr>
          <w:rFonts w:hint="eastAsia" w:ascii="宋体" w:hAnsi="宋体" w:cs="宋体"/>
          <w:szCs w:val="21"/>
        </w:rPr>
        <w:t>⑤</w:t>
      </w:r>
      <w:r>
        <w:rPr>
          <w:rFonts w:hint="eastAsia" w:asciiTheme="minorEastAsia" w:hAnsiTheme="minorEastAsia" w:cstheme="minorEastAsia"/>
          <w:szCs w:val="21"/>
        </w:rPr>
        <w:t>负责公共区域教师公寓公共区域的零星水电维修及更换。</w:t>
      </w:r>
    </w:p>
    <w:p w14:paraId="0AAEF66F">
      <w:pPr>
        <w:widowControl/>
        <w:adjustRightInd w:val="0"/>
        <w:snapToGrid w:val="0"/>
        <w:spacing w:line="360" w:lineRule="auto"/>
        <w:ind w:left="424" w:leftChars="202"/>
        <w:rPr>
          <w:rFonts w:asciiTheme="minorEastAsia" w:hAnsiTheme="minorEastAsia" w:cstheme="minorEastAsia"/>
          <w:szCs w:val="21"/>
        </w:rPr>
      </w:pPr>
      <w:r>
        <w:rPr>
          <w:rFonts w:hint="eastAsia" w:ascii="宋体" w:hAnsi="宋体" w:cs="宋体"/>
          <w:szCs w:val="21"/>
        </w:rPr>
        <w:t>⑥</w:t>
      </w:r>
      <w:r>
        <w:rPr>
          <w:rFonts w:hint="eastAsia" w:asciiTheme="minorEastAsia" w:hAnsiTheme="minorEastAsia" w:cstheme="minorEastAsia"/>
          <w:szCs w:val="21"/>
        </w:rPr>
        <w:t>负责公共区域花坛花岗岩、人行道道板、广场砖破损修复。</w:t>
      </w:r>
    </w:p>
    <w:p w14:paraId="7DCED0D5">
      <w:pPr>
        <w:widowControl/>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⑦</w:t>
      </w:r>
      <w:r>
        <w:rPr>
          <w:rFonts w:hint="eastAsia" w:asciiTheme="minorEastAsia" w:hAnsiTheme="minorEastAsia" w:cstheme="minorEastAsia"/>
          <w:szCs w:val="21"/>
        </w:rPr>
        <w:t>负责服务区域内供配电设施设备和各类照明灯具的运行管理和日常维护维修；</w:t>
      </w:r>
    </w:p>
    <w:p w14:paraId="67C6792D">
      <w:pPr>
        <w:widowControl/>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⑧</w:t>
      </w:r>
      <w:r>
        <w:rPr>
          <w:rFonts w:hint="eastAsia" w:asciiTheme="minorEastAsia" w:hAnsiTheme="minorEastAsia" w:cstheme="minorEastAsia"/>
          <w:szCs w:val="21"/>
        </w:rPr>
        <w:t>负责锅炉房日常巡查、清洁、维护等日常工作；专业维保由采购人负责，中标人协助做好相关工作；</w:t>
      </w:r>
    </w:p>
    <w:p w14:paraId="14A21E3E">
      <w:pPr>
        <w:widowControl/>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⑨</w:t>
      </w:r>
      <w:r>
        <w:rPr>
          <w:rFonts w:hint="eastAsia" w:asciiTheme="minorEastAsia" w:hAnsiTheme="minorEastAsia" w:cstheme="minorEastAsia"/>
          <w:szCs w:val="21"/>
        </w:rPr>
        <w:t>负责水泵房日常巡查、清洁、维护等相关工作；专业维保由采购人负责，中标人协助做好相关工作；</w:t>
      </w:r>
    </w:p>
    <w:p w14:paraId="02B3FED5">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⑩负责国家重点实验大楼3台、图书馆3台、活动中心2台中央空调系统（包括新风系统）、VRF、分体空调巡查、使用维护等日常工作。专业维保由采购人负责，中标人协助做好相关工作；</w:t>
      </w:r>
    </w:p>
    <w:p w14:paraId="3750AFD2">
      <w:pPr>
        <w:spacing w:line="360" w:lineRule="auto"/>
        <w:ind w:firstLine="420" w:firstLineChars="200"/>
        <w:jc w:val="left"/>
        <w:outlineLvl w:val="2"/>
        <w:rPr>
          <w:rFonts w:asciiTheme="minorEastAsia" w:hAnsiTheme="minorEastAsia" w:cstheme="minorEastAsia"/>
          <w:szCs w:val="21"/>
        </w:rPr>
      </w:pPr>
      <w:r>
        <w:rPr>
          <w:rFonts w:hint="eastAsia" w:asciiTheme="minorEastAsia" w:hAnsiTheme="minorEastAsia" w:cstheme="minorEastAsia"/>
          <w:szCs w:val="21"/>
        </w:rPr>
        <w:t>2.服务要点说明</w:t>
      </w:r>
    </w:p>
    <w:p w14:paraId="5FADDF96">
      <w:pPr>
        <w:widowControl/>
        <w:adjustRightInd w:val="0"/>
        <w:snapToGrid w:val="0"/>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（1）设施运行维护与维修</w:t>
      </w:r>
    </w:p>
    <w:p w14:paraId="59899AF8">
      <w:pPr>
        <w:widowControl/>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①</w:t>
      </w:r>
      <w:r>
        <w:rPr>
          <w:rFonts w:hint="eastAsia" w:asciiTheme="minorEastAsia" w:hAnsiTheme="minorEastAsia" w:cstheme="minorEastAsia"/>
          <w:szCs w:val="21"/>
        </w:rPr>
        <w:t>设备设施运行与日常维护工作。按照技术规程与服务要求负责采购人指定的设施设备日常运行、维护、巡查、值守和清洁等工作，包括但不限于：高低压配电（进线10KV）系统、室内外照明系统；</w:t>
      </w:r>
    </w:p>
    <w:p w14:paraId="58B404D2">
      <w:pPr>
        <w:widowControl/>
        <w:adjustRightInd w:val="0"/>
        <w:snapToGrid w:val="0"/>
        <w:spacing w:line="360" w:lineRule="auto"/>
        <w:ind w:left="424" w:leftChars="202"/>
        <w:rPr>
          <w:rFonts w:asciiTheme="minorEastAsia" w:hAnsiTheme="minorEastAsia" w:cstheme="minorEastAsia"/>
          <w:szCs w:val="21"/>
        </w:rPr>
      </w:pPr>
      <w:r>
        <w:rPr>
          <w:rFonts w:hint="eastAsia" w:ascii="宋体" w:hAnsi="宋体" w:cs="宋体"/>
          <w:szCs w:val="21"/>
        </w:rPr>
        <w:t>②</w:t>
      </w:r>
      <w:r>
        <w:rPr>
          <w:rFonts w:hint="eastAsia" w:asciiTheme="minorEastAsia" w:hAnsiTheme="minorEastAsia" w:cstheme="minorEastAsia"/>
          <w:szCs w:val="21"/>
        </w:rPr>
        <w:t>生活给水系统、楼宇到第一个窨井之间的管道及其设施；</w:t>
      </w:r>
    </w:p>
    <w:p w14:paraId="632C94BF">
      <w:pPr>
        <w:widowControl/>
        <w:adjustRightInd w:val="0"/>
        <w:snapToGrid w:val="0"/>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（2）紧急抢修与应急抢险</w:t>
      </w:r>
    </w:p>
    <w:p w14:paraId="36CFBC25">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应制定应对突发事件的应急预案及相应的措施。包括断电、给排水突发事故、自然灾害等。并自行备有实施相应预案所需的必要物资。紧急抢修与应急抢险的必备工具由中标人出资采购，常备物资由中标人负责出资采购。</w:t>
      </w:r>
    </w:p>
    <w:p w14:paraId="651516F0">
      <w:pPr>
        <w:widowControl/>
        <w:adjustRightInd w:val="0"/>
        <w:snapToGrid w:val="0"/>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（3）维修服务时限</w:t>
      </w:r>
    </w:p>
    <w:p w14:paraId="1392DABF">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维修服务15分钟内响应，若不能完成的要有紧急处理措施，并对报修师生或使用人做出合理解释；修复完成时间不得超过24小时。遇有不属于中标人维护维修范围内的设备设施损坏，或中标人力所不及的维修项目，中标人应在发现损坏或接到使用人报修后1小时内，核实损坏情况，上报采购人相关部门，并保留好报修记录。</w:t>
      </w:r>
    </w:p>
    <w:p w14:paraId="72103CB9">
      <w:pPr>
        <w:spacing w:line="360" w:lineRule="auto"/>
        <w:ind w:firstLine="420" w:firstLineChars="200"/>
        <w:jc w:val="left"/>
        <w:outlineLvl w:val="2"/>
        <w:rPr>
          <w:rFonts w:asciiTheme="minorEastAsia" w:hAnsiTheme="minorEastAsia" w:cstheme="minorEastAsia"/>
          <w:szCs w:val="21"/>
        </w:rPr>
      </w:pPr>
      <w:r>
        <w:rPr>
          <w:rFonts w:hint="eastAsia" w:asciiTheme="minorEastAsia" w:hAnsiTheme="minorEastAsia" w:cstheme="minorEastAsia"/>
          <w:szCs w:val="21"/>
        </w:rPr>
        <w:t>3.项目人员要求</w:t>
      </w:r>
    </w:p>
    <w:p w14:paraId="00A8849D">
      <w:pPr>
        <w:spacing w:line="360" w:lineRule="auto"/>
        <w:ind w:firstLine="420" w:firstLineChars="200"/>
        <w:jc w:val="left"/>
        <w:outlineLvl w:val="3"/>
        <w:rPr>
          <w:rFonts w:asciiTheme="minorEastAsia" w:hAnsiTheme="minorEastAsia" w:cstheme="minorEastAsia"/>
          <w:szCs w:val="21"/>
        </w:rPr>
      </w:pPr>
      <w:r>
        <w:rPr>
          <w:rFonts w:hint="eastAsia" w:asciiTheme="minorEastAsia" w:hAnsiTheme="minorEastAsia" w:cstheme="minorEastAsia"/>
          <w:szCs w:val="21"/>
        </w:rPr>
        <w:t>（1）项目人员岗位要求</w:t>
      </w:r>
    </w:p>
    <w:tbl>
      <w:tblPr>
        <w:tblStyle w:val="5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6584"/>
      </w:tblGrid>
      <w:tr w14:paraId="1B13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69" w:type="dxa"/>
            <w:vAlign w:val="center"/>
          </w:tcPr>
          <w:p w14:paraId="6274AE51">
            <w:pPr>
              <w:widowControl/>
              <w:adjustRightInd w:val="0"/>
              <w:snapToGrid w:val="0"/>
              <w:spacing w:line="500" w:lineRule="exact"/>
              <w:jc w:val="center"/>
              <w:rPr>
                <w:rFonts w:asciiTheme="minorEastAsia" w:hAnsiTheme="minorEastAsia" w:cstheme="minorEastAsia"/>
                <w:szCs w:val="21"/>
              </w:rPr>
            </w:pPr>
            <w:r>
              <w:rPr>
                <w:rFonts w:hint="eastAsia" w:asciiTheme="minorEastAsia" w:hAnsiTheme="minorEastAsia" w:cstheme="minorEastAsia"/>
                <w:szCs w:val="21"/>
              </w:rPr>
              <w:t>岗位名称</w:t>
            </w:r>
          </w:p>
        </w:tc>
        <w:tc>
          <w:tcPr>
            <w:tcW w:w="6584" w:type="dxa"/>
            <w:vAlign w:val="center"/>
          </w:tcPr>
          <w:p w14:paraId="645F1779">
            <w:pPr>
              <w:widowControl/>
              <w:adjustRightInd w:val="0"/>
              <w:snapToGrid w:val="0"/>
              <w:spacing w:line="500" w:lineRule="exact"/>
              <w:jc w:val="center"/>
              <w:rPr>
                <w:rFonts w:asciiTheme="minorEastAsia" w:hAnsiTheme="minorEastAsia" w:cstheme="minorEastAsia"/>
                <w:szCs w:val="21"/>
              </w:rPr>
            </w:pPr>
            <w:r>
              <w:rPr>
                <w:rFonts w:hint="eastAsia" w:asciiTheme="minorEastAsia" w:hAnsiTheme="minorEastAsia" w:cstheme="minorEastAsia"/>
                <w:szCs w:val="21"/>
              </w:rPr>
              <w:t>岗位职责及任职要求</w:t>
            </w:r>
          </w:p>
        </w:tc>
      </w:tr>
      <w:tr w14:paraId="1221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2869" w:type="dxa"/>
            <w:vAlign w:val="center"/>
          </w:tcPr>
          <w:p w14:paraId="3C3AAFB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修建项目负责人</w:t>
            </w:r>
          </w:p>
        </w:tc>
        <w:tc>
          <w:tcPr>
            <w:tcW w:w="6584" w:type="dxa"/>
            <w:vAlign w:val="center"/>
          </w:tcPr>
          <w:p w14:paraId="002E7FA5">
            <w:pPr>
              <w:spacing w:line="360" w:lineRule="auto"/>
              <w:rPr>
                <w:rFonts w:asciiTheme="minorEastAsia" w:hAnsiTheme="minorEastAsia" w:cstheme="minorEastAsia"/>
                <w:szCs w:val="21"/>
              </w:rPr>
            </w:pPr>
            <w:r>
              <w:rPr>
                <w:rFonts w:hint="eastAsia" w:asciiTheme="minorEastAsia" w:hAnsiTheme="minorEastAsia" w:cstheme="minorEastAsia"/>
                <w:szCs w:val="21"/>
              </w:rPr>
              <w:t>1.30-60周岁，性别不限，专科及以上学历；</w:t>
            </w:r>
          </w:p>
          <w:p w14:paraId="2D340488">
            <w:pPr>
              <w:spacing w:line="360" w:lineRule="auto"/>
              <w:rPr>
                <w:rFonts w:asciiTheme="minorEastAsia" w:hAnsiTheme="minorEastAsia" w:cstheme="minorEastAsia"/>
                <w:szCs w:val="21"/>
              </w:rPr>
            </w:pPr>
            <w:r>
              <w:rPr>
                <w:rFonts w:hint="eastAsia" w:asciiTheme="minorEastAsia" w:hAnsiTheme="minorEastAsia" w:cstheme="minorEastAsia"/>
                <w:szCs w:val="21"/>
              </w:rPr>
              <w:t>2.有较好的沟通管理能力；</w:t>
            </w:r>
          </w:p>
          <w:p w14:paraId="75932691">
            <w:pPr>
              <w:spacing w:line="360" w:lineRule="auto"/>
              <w:rPr>
                <w:rFonts w:asciiTheme="minorEastAsia" w:hAnsiTheme="minorEastAsia" w:cstheme="minorEastAsia"/>
                <w:szCs w:val="21"/>
              </w:rPr>
            </w:pPr>
            <w:r>
              <w:rPr>
                <w:rFonts w:hint="eastAsia" w:asciiTheme="minorEastAsia" w:hAnsiTheme="minorEastAsia" w:cstheme="minorEastAsia"/>
                <w:szCs w:val="21"/>
              </w:rPr>
              <w:t>3.政治素质好，业务能力强，工作责任感好，组织管理能力；</w:t>
            </w:r>
          </w:p>
          <w:p w14:paraId="2F70BD80">
            <w:pPr>
              <w:spacing w:line="360" w:lineRule="auto"/>
              <w:rPr>
                <w:rFonts w:asciiTheme="minorEastAsia" w:hAnsiTheme="minorEastAsia" w:cstheme="minorEastAsia"/>
                <w:szCs w:val="21"/>
              </w:rPr>
            </w:pPr>
            <w:r>
              <w:rPr>
                <w:rFonts w:hint="eastAsia" w:asciiTheme="minorEastAsia" w:hAnsiTheme="minorEastAsia" w:cstheme="minorEastAsia"/>
                <w:szCs w:val="21"/>
              </w:rPr>
              <w:t>4.全面负责修建服务项目的日常管理。</w:t>
            </w:r>
          </w:p>
        </w:tc>
      </w:tr>
      <w:tr w14:paraId="6CFA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2869" w:type="dxa"/>
            <w:vAlign w:val="center"/>
          </w:tcPr>
          <w:p w14:paraId="3C1545D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综合服务负责人（修建）</w:t>
            </w:r>
          </w:p>
        </w:tc>
        <w:tc>
          <w:tcPr>
            <w:tcW w:w="6584" w:type="dxa"/>
            <w:vAlign w:val="center"/>
          </w:tcPr>
          <w:p w14:paraId="401AD635">
            <w:pPr>
              <w:spacing w:line="360" w:lineRule="auto"/>
              <w:rPr>
                <w:rFonts w:asciiTheme="minorEastAsia" w:hAnsiTheme="minorEastAsia" w:cstheme="minorEastAsia"/>
                <w:szCs w:val="21"/>
              </w:rPr>
            </w:pPr>
            <w:r>
              <w:rPr>
                <w:rFonts w:hint="eastAsia" w:asciiTheme="minorEastAsia" w:hAnsiTheme="minorEastAsia" w:cstheme="minorEastAsia"/>
                <w:szCs w:val="21"/>
              </w:rPr>
              <w:t>1.28-50周岁，性别不限，本科及以上学历；</w:t>
            </w:r>
          </w:p>
          <w:p w14:paraId="07B56071">
            <w:pPr>
              <w:spacing w:line="360" w:lineRule="auto"/>
              <w:rPr>
                <w:rFonts w:asciiTheme="minorEastAsia" w:hAnsiTheme="minorEastAsia" w:cstheme="minorEastAsia"/>
                <w:szCs w:val="21"/>
              </w:rPr>
            </w:pPr>
            <w:r>
              <w:rPr>
                <w:rFonts w:hint="eastAsia" w:asciiTheme="minorEastAsia" w:hAnsiTheme="minorEastAsia" w:cstheme="minorEastAsia"/>
                <w:szCs w:val="21"/>
              </w:rPr>
              <w:t>2.政治素质好，工作责任感好，具备团队合作精神；</w:t>
            </w:r>
          </w:p>
          <w:p w14:paraId="4EB8668A">
            <w:pPr>
              <w:spacing w:line="360" w:lineRule="auto"/>
              <w:rPr>
                <w:rFonts w:asciiTheme="minorEastAsia" w:hAnsiTheme="minorEastAsia" w:cstheme="minorEastAsia"/>
                <w:szCs w:val="21"/>
              </w:rPr>
            </w:pPr>
            <w:r>
              <w:rPr>
                <w:rFonts w:hint="eastAsia" w:asciiTheme="minorEastAsia" w:hAnsiTheme="minorEastAsia" w:cstheme="minorEastAsia"/>
                <w:szCs w:val="21"/>
              </w:rPr>
              <w:t>3.有较好的文字功底，熟练使用办公软件；</w:t>
            </w:r>
          </w:p>
          <w:p w14:paraId="549FDCFB">
            <w:pPr>
              <w:spacing w:line="360" w:lineRule="auto"/>
              <w:rPr>
                <w:rFonts w:asciiTheme="minorEastAsia" w:hAnsiTheme="minorEastAsia" w:cstheme="minorEastAsia"/>
                <w:szCs w:val="21"/>
              </w:rPr>
            </w:pPr>
            <w:r>
              <w:rPr>
                <w:rFonts w:hint="eastAsia" w:asciiTheme="minorEastAsia" w:hAnsiTheme="minorEastAsia" w:cstheme="minorEastAsia"/>
                <w:szCs w:val="21"/>
              </w:rPr>
              <w:t>4.</w:t>
            </w:r>
            <w:r>
              <w:rPr>
                <w:rFonts w:hint="eastAsia" w:asciiTheme="minorEastAsia" w:hAnsiTheme="minorEastAsia" w:cstheme="minorEastAsia"/>
                <w:kern w:val="0"/>
                <w:szCs w:val="21"/>
                <w:lang w:bidi="ar"/>
              </w:rPr>
              <w:t>协助项目负责人做好办公室的日常综合性事务工作。</w:t>
            </w:r>
          </w:p>
        </w:tc>
      </w:tr>
      <w:tr w14:paraId="7BF8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vAlign w:val="center"/>
          </w:tcPr>
          <w:p w14:paraId="42E5793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维修服务负责人</w:t>
            </w:r>
          </w:p>
        </w:tc>
        <w:tc>
          <w:tcPr>
            <w:tcW w:w="6584" w:type="dxa"/>
            <w:vAlign w:val="center"/>
          </w:tcPr>
          <w:p w14:paraId="33910F92">
            <w:pPr>
              <w:spacing w:line="360" w:lineRule="auto"/>
              <w:rPr>
                <w:rFonts w:asciiTheme="minorEastAsia" w:hAnsiTheme="minorEastAsia" w:cstheme="minorEastAsia"/>
                <w:szCs w:val="21"/>
              </w:rPr>
            </w:pPr>
            <w:r>
              <w:rPr>
                <w:rFonts w:hint="eastAsia" w:asciiTheme="minorEastAsia" w:hAnsiTheme="minorEastAsia" w:cstheme="minorEastAsia"/>
                <w:szCs w:val="21"/>
              </w:rPr>
              <w:t>1.25-55周岁，性别不限，专科及以上学历；</w:t>
            </w:r>
          </w:p>
          <w:p w14:paraId="1AF7DDF8">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2.业务能力强，工作责任心强，具有较强的团结和组织能力，协调和沟通能力，有应对突发事件的反应和处置能力；</w:t>
            </w:r>
          </w:p>
          <w:p w14:paraId="08697FFB">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3.协助项目负责人做好日常维修服务的管理工作。</w:t>
            </w:r>
          </w:p>
        </w:tc>
      </w:tr>
      <w:tr w14:paraId="2776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shd w:val="clear" w:color="auto" w:fill="auto"/>
            <w:vAlign w:val="center"/>
          </w:tcPr>
          <w:p w14:paraId="695DD5A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水电工程师</w:t>
            </w:r>
          </w:p>
        </w:tc>
        <w:tc>
          <w:tcPr>
            <w:tcW w:w="6584" w:type="dxa"/>
            <w:shd w:val="clear" w:color="auto" w:fill="auto"/>
            <w:vAlign w:val="center"/>
          </w:tcPr>
          <w:p w14:paraId="3D5090DC">
            <w:pPr>
              <w:spacing w:line="360" w:lineRule="auto"/>
              <w:rPr>
                <w:rFonts w:asciiTheme="minorEastAsia" w:hAnsiTheme="minorEastAsia" w:cstheme="minorEastAsia"/>
                <w:szCs w:val="21"/>
              </w:rPr>
            </w:pPr>
            <w:r>
              <w:rPr>
                <w:rFonts w:hint="eastAsia" w:asciiTheme="minorEastAsia" w:hAnsiTheme="minorEastAsia" w:cstheme="minorEastAsia"/>
                <w:szCs w:val="21"/>
              </w:rPr>
              <w:t>1.25-55周岁，性别不限，专科及以上学历；</w:t>
            </w:r>
          </w:p>
          <w:p w14:paraId="7349EF88">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2.业务能力强，工作责任心强，有应对突发事件的反应和处置能力； </w:t>
            </w:r>
          </w:p>
          <w:p w14:paraId="7B0D7849">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3.有维修相关管理经历； </w:t>
            </w:r>
          </w:p>
          <w:p w14:paraId="3EAD229D">
            <w:pPr>
              <w:spacing w:line="360" w:lineRule="auto"/>
              <w:rPr>
                <w:rFonts w:asciiTheme="minorEastAsia" w:hAnsiTheme="minorEastAsia" w:cstheme="minorEastAsia"/>
                <w:szCs w:val="21"/>
              </w:rPr>
            </w:pPr>
            <w:r>
              <w:rPr>
                <w:rFonts w:hint="eastAsia" w:asciiTheme="minorEastAsia" w:hAnsiTheme="minorEastAsia" w:cstheme="minorEastAsia"/>
                <w:szCs w:val="21"/>
              </w:rPr>
              <w:t>4.持电工相关证件；</w:t>
            </w:r>
          </w:p>
          <w:p w14:paraId="1B123716">
            <w:pPr>
              <w:spacing w:line="360" w:lineRule="auto"/>
              <w:rPr>
                <w:rFonts w:asciiTheme="minorEastAsia" w:hAnsiTheme="minorEastAsia" w:cstheme="minorEastAsia"/>
                <w:szCs w:val="21"/>
              </w:rPr>
            </w:pPr>
            <w:r>
              <w:rPr>
                <w:rFonts w:hint="eastAsia" w:asciiTheme="minorEastAsia" w:hAnsiTheme="minorEastAsia" w:cstheme="minorEastAsia"/>
                <w:szCs w:val="21"/>
              </w:rPr>
              <w:t>5.有3年以上维修管理从业经历；</w:t>
            </w:r>
          </w:p>
          <w:p w14:paraId="48EB9452">
            <w:pPr>
              <w:spacing w:line="360" w:lineRule="auto"/>
              <w:rPr>
                <w:rFonts w:asciiTheme="minorEastAsia" w:hAnsiTheme="minorEastAsia" w:cstheme="minorEastAsia"/>
                <w:szCs w:val="21"/>
              </w:rPr>
            </w:pPr>
            <w:r>
              <w:rPr>
                <w:rFonts w:hint="eastAsia" w:asciiTheme="minorEastAsia" w:hAnsiTheme="minorEastAsia" w:cstheme="minorEastAsia"/>
                <w:szCs w:val="21"/>
              </w:rPr>
              <w:t>6.协助项目负责人做好水电维修的管理工作。</w:t>
            </w:r>
          </w:p>
        </w:tc>
      </w:tr>
      <w:tr w14:paraId="0ADC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vAlign w:val="center"/>
          </w:tcPr>
          <w:p w14:paraId="666BF7A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仓库管理员</w:t>
            </w:r>
          </w:p>
        </w:tc>
        <w:tc>
          <w:tcPr>
            <w:tcW w:w="6584" w:type="dxa"/>
            <w:vAlign w:val="center"/>
          </w:tcPr>
          <w:p w14:paraId="56C111F5">
            <w:pPr>
              <w:widowControl/>
              <w:kinsoku w:val="0"/>
              <w:autoSpaceDE w:val="0"/>
              <w:autoSpaceDN w:val="0"/>
              <w:adjustRightInd w:val="0"/>
              <w:snapToGrid w:val="0"/>
              <w:spacing w:line="360" w:lineRule="auto"/>
              <w:textAlignment w:val="baseline"/>
              <w:rPr>
                <w:rFonts w:asciiTheme="minorEastAsia" w:hAnsiTheme="minorEastAsia" w:cstheme="minorEastAsia"/>
                <w:szCs w:val="21"/>
              </w:rPr>
            </w:pPr>
            <w:r>
              <w:rPr>
                <w:rFonts w:hint="eastAsia" w:asciiTheme="minorEastAsia" w:hAnsiTheme="minorEastAsia" w:cstheme="minorEastAsia"/>
                <w:szCs w:val="21"/>
              </w:rPr>
              <w:t>1.高中以上文化程度；</w:t>
            </w:r>
          </w:p>
          <w:p w14:paraId="49EB5D27">
            <w:pPr>
              <w:widowControl/>
              <w:kinsoku w:val="0"/>
              <w:autoSpaceDE w:val="0"/>
              <w:autoSpaceDN w:val="0"/>
              <w:adjustRightInd w:val="0"/>
              <w:snapToGrid w:val="0"/>
              <w:spacing w:line="360" w:lineRule="auto"/>
              <w:textAlignment w:val="baseline"/>
              <w:rPr>
                <w:rFonts w:asciiTheme="minorEastAsia" w:hAnsiTheme="minorEastAsia" w:cstheme="minorEastAsia"/>
                <w:sz w:val="24"/>
              </w:rPr>
            </w:pPr>
            <w:r>
              <w:rPr>
                <w:rFonts w:hint="eastAsia" w:asciiTheme="minorEastAsia" w:hAnsiTheme="minorEastAsia" w:cstheme="minorEastAsia"/>
                <w:szCs w:val="21"/>
              </w:rPr>
              <w:t>2.工作耐心细致，责任心强；</w:t>
            </w:r>
          </w:p>
          <w:p w14:paraId="6AA2C999">
            <w:pPr>
              <w:widowControl/>
              <w:kinsoku w:val="0"/>
              <w:autoSpaceDE w:val="0"/>
              <w:autoSpaceDN w:val="0"/>
              <w:adjustRightInd w:val="0"/>
              <w:snapToGrid w:val="0"/>
              <w:spacing w:line="360" w:lineRule="auto"/>
              <w:textAlignment w:val="baseline"/>
              <w:rPr>
                <w:rFonts w:asciiTheme="minorEastAsia" w:hAnsiTheme="minorEastAsia" w:cstheme="minorEastAsia"/>
                <w:szCs w:val="21"/>
              </w:rPr>
            </w:pPr>
            <w:r>
              <w:rPr>
                <w:rFonts w:hint="eastAsia" w:asciiTheme="minorEastAsia" w:hAnsiTheme="minorEastAsia" w:cstheme="minorEastAsia"/>
                <w:szCs w:val="21"/>
              </w:rPr>
              <w:t>3.有一定的物资管理经验，熟悉仓库物资出入库流程，熟悉相关软件操作；</w:t>
            </w:r>
          </w:p>
          <w:p w14:paraId="65448EF3">
            <w:pPr>
              <w:widowControl/>
              <w:kinsoku w:val="0"/>
              <w:autoSpaceDE w:val="0"/>
              <w:autoSpaceDN w:val="0"/>
              <w:adjustRightInd w:val="0"/>
              <w:snapToGrid w:val="0"/>
              <w:spacing w:line="360" w:lineRule="auto"/>
              <w:textAlignment w:val="baseline"/>
              <w:rPr>
                <w:rFonts w:asciiTheme="minorEastAsia" w:hAnsiTheme="minorEastAsia" w:cstheme="minorEastAsia"/>
                <w:szCs w:val="21"/>
              </w:rPr>
            </w:pPr>
            <w:r>
              <w:rPr>
                <w:rFonts w:hint="eastAsia" w:asciiTheme="minorEastAsia" w:hAnsiTheme="minorEastAsia" w:cstheme="minorEastAsia"/>
                <w:szCs w:val="21"/>
              </w:rPr>
              <w:t>4.负责维修仓库的日常管理。</w:t>
            </w:r>
          </w:p>
        </w:tc>
      </w:tr>
      <w:tr w14:paraId="1EA7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vAlign w:val="center"/>
          </w:tcPr>
          <w:p w14:paraId="25744B2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高配值班员</w:t>
            </w:r>
          </w:p>
        </w:tc>
        <w:tc>
          <w:tcPr>
            <w:tcW w:w="6584" w:type="dxa"/>
            <w:vAlign w:val="center"/>
          </w:tcPr>
          <w:p w14:paraId="3E6F0C0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1.持有高配上岗证书，对工作认真负责；</w:t>
            </w:r>
          </w:p>
          <w:p w14:paraId="4D46C71D">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2.保证7*24H在岗；</w:t>
            </w:r>
          </w:p>
          <w:p w14:paraId="69506816">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3.负责东湖、衣锦高低配电房和水房管理，负责学校供电设备的安全运行和供水正常。</w:t>
            </w:r>
          </w:p>
        </w:tc>
      </w:tr>
      <w:tr w14:paraId="13B3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869" w:type="dxa"/>
            <w:vAlign w:val="center"/>
          </w:tcPr>
          <w:p w14:paraId="140CEA3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水电计量员</w:t>
            </w:r>
          </w:p>
          <w:p w14:paraId="14CCEB8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（节能监管平台专管员）</w:t>
            </w:r>
          </w:p>
        </w:tc>
        <w:tc>
          <w:tcPr>
            <w:tcW w:w="6584" w:type="dxa"/>
            <w:vAlign w:val="center"/>
          </w:tcPr>
          <w:p w14:paraId="5CCF5315">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1.熟悉学校水电表分布情况；</w:t>
            </w:r>
          </w:p>
          <w:p w14:paraId="54FEA8CA">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2.工作耐心细致，责任心强；</w:t>
            </w:r>
          </w:p>
          <w:p w14:paraId="07CB2110">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3.熟悉电脑操作、统计工作；</w:t>
            </w:r>
          </w:p>
          <w:p w14:paraId="081D3752">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4.负责学校水电计量，节能平台日常监管。</w:t>
            </w:r>
          </w:p>
        </w:tc>
      </w:tr>
      <w:tr w14:paraId="67F2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869" w:type="dxa"/>
            <w:vAlign w:val="center"/>
          </w:tcPr>
          <w:p w14:paraId="3AAC6D8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维修员</w:t>
            </w:r>
          </w:p>
        </w:tc>
        <w:tc>
          <w:tcPr>
            <w:tcW w:w="6584" w:type="dxa"/>
            <w:vAlign w:val="center"/>
          </w:tcPr>
          <w:p w14:paraId="67E2FD4F">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1.55周岁以下，身体健康，具备相应维修服务经验，具有相应资格上岗证书；</w:t>
            </w:r>
          </w:p>
          <w:p w14:paraId="2D335B41">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2.负责学生公寓、公共楼宇及公共区域的维修和应急维修等工作。</w:t>
            </w:r>
          </w:p>
        </w:tc>
      </w:tr>
    </w:tbl>
    <w:p w14:paraId="4E3B89F0">
      <w:pPr>
        <w:spacing w:line="360" w:lineRule="auto"/>
        <w:ind w:firstLine="420" w:firstLineChars="200"/>
        <w:jc w:val="left"/>
        <w:outlineLvl w:val="3"/>
        <w:rPr>
          <w:rFonts w:asciiTheme="minorEastAsia" w:hAnsiTheme="minorEastAsia" w:cstheme="minorEastAsia"/>
          <w:szCs w:val="21"/>
        </w:rPr>
      </w:pPr>
      <w:r>
        <w:rPr>
          <w:rFonts w:hint="eastAsia" w:asciiTheme="minorEastAsia" w:hAnsiTheme="minorEastAsia" w:cstheme="minorEastAsia"/>
          <w:szCs w:val="21"/>
        </w:rPr>
        <w:t>（2）人员最低配置</w:t>
      </w:r>
    </w:p>
    <w:tbl>
      <w:tblPr>
        <w:tblStyle w:val="53"/>
        <w:tblW w:w="945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4702"/>
        <w:gridCol w:w="3131"/>
      </w:tblGrid>
      <w:tr w14:paraId="2745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17" w:type="dxa"/>
            <w:tcBorders>
              <w:top w:val="single" w:color="auto" w:sz="4" w:space="0"/>
              <w:left w:val="single" w:color="auto" w:sz="4" w:space="0"/>
              <w:bottom w:val="single" w:color="auto" w:sz="4" w:space="0"/>
              <w:right w:val="single" w:color="auto" w:sz="4" w:space="0"/>
            </w:tcBorders>
            <w:vAlign w:val="center"/>
          </w:tcPr>
          <w:p w14:paraId="4DD8A03A">
            <w:pPr>
              <w:widowControl/>
              <w:adjustRightInd w:val="0"/>
              <w:snapToGrid w:val="0"/>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4702" w:type="dxa"/>
            <w:tcBorders>
              <w:top w:val="single" w:color="auto" w:sz="4" w:space="0"/>
              <w:left w:val="single" w:color="auto" w:sz="4" w:space="0"/>
              <w:bottom w:val="single" w:color="auto" w:sz="4" w:space="0"/>
              <w:right w:val="single" w:color="auto" w:sz="4" w:space="0"/>
            </w:tcBorders>
            <w:vAlign w:val="center"/>
          </w:tcPr>
          <w:p w14:paraId="6370110E">
            <w:pPr>
              <w:widowControl/>
              <w:adjustRightInd w:val="0"/>
              <w:snapToGrid w:val="0"/>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岗位</w:t>
            </w:r>
          </w:p>
        </w:tc>
        <w:tc>
          <w:tcPr>
            <w:tcW w:w="3131" w:type="dxa"/>
            <w:tcBorders>
              <w:top w:val="single" w:color="auto" w:sz="4" w:space="0"/>
              <w:left w:val="single" w:color="auto" w:sz="4" w:space="0"/>
              <w:bottom w:val="single" w:color="auto" w:sz="4" w:space="0"/>
              <w:right w:val="single" w:color="auto" w:sz="4" w:space="0"/>
            </w:tcBorders>
            <w:vAlign w:val="center"/>
          </w:tcPr>
          <w:p w14:paraId="7A3BD013">
            <w:pPr>
              <w:widowControl/>
              <w:adjustRightInd w:val="0"/>
              <w:snapToGrid w:val="0"/>
              <w:spacing w:line="44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r>
      <w:tr w14:paraId="4ED2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301C6EC7">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4702" w:type="dxa"/>
            <w:tcBorders>
              <w:top w:val="single" w:color="auto" w:sz="4" w:space="0"/>
              <w:left w:val="single" w:color="auto" w:sz="4" w:space="0"/>
              <w:bottom w:val="single" w:color="auto" w:sz="4" w:space="0"/>
              <w:right w:val="single" w:color="auto" w:sz="4" w:space="0"/>
            </w:tcBorders>
            <w:vAlign w:val="center"/>
          </w:tcPr>
          <w:p w14:paraId="39A9D43A">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修建项目负责人</w:t>
            </w:r>
          </w:p>
        </w:tc>
        <w:tc>
          <w:tcPr>
            <w:tcW w:w="3131" w:type="dxa"/>
            <w:tcBorders>
              <w:top w:val="single" w:color="auto" w:sz="4" w:space="0"/>
              <w:left w:val="single" w:color="auto" w:sz="4" w:space="0"/>
              <w:bottom w:val="single" w:color="auto" w:sz="4" w:space="0"/>
              <w:right w:val="single" w:color="auto" w:sz="4" w:space="0"/>
            </w:tcBorders>
            <w:vAlign w:val="center"/>
          </w:tcPr>
          <w:p w14:paraId="226384DC">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3F61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074055D0">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4702" w:type="dxa"/>
            <w:tcBorders>
              <w:top w:val="single" w:color="auto" w:sz="4" w:space="0"/>
              <w:left w:val="single" w:color="auto" w:sz="4" w:space="0"/>
              <w:bottom w:val="single" w:color="auto" w:sz="4" w:space="0"/>
              <w:right w:val="single" w:color="auto" w:sz="4" w:space="0"/>
            </w:tcBorders>
            <w:vAlign w:val="center"/>
          </w:tcPr>
          <w:p w14:paraId="51FA2231">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综合服务负责人</w:t>
            </w:r>
          </w:p>
        </w:tc>
        <w:tc>
          <w:tcPr>
            <w:tcW w:w="3131" w:type="dxa"/>
            <w:tcBorders>
              <w:top w:val="single" w:color="auto" w:sz="4" w:space="0"/>
              <w:left w:val="single" w:color="auto" w:sz="4" w:space="0"/>
              <w:bottom w:val="single" w:color="auto" w:sz="4" w:space="0"/>
              <w:right w:val="single" w:color="auto" w:sz="4" w:space="0"/>
            </w:tcBorders>
            <w:vAlign w:val="center"/>
          </w:tcPr>
          <w:p w14:paraId="58AC942D">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799E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2F35E0DA">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4702" w:type="dxa"/>
            <w:tcBorders>
              <w:top w:val="single" w:color="auto" w:sz="4" w:space="0"/>
              <w:left w:val="single" w:color="auto" w:sz="4" w:space="0"/>
              <w:bottom w:val="single" w:color="auto" w:sz="4" w:space="0"/>
              <w:right w:val="single" w:color="auto" w:sz="4" w:space="0"/>
            </w:tcBorders>
            <w:vAlign w:val="center"/>
          </w:tcPr>
          <w:p w14:paraId="0D99E35E">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维修服务负责人</w:t>
            </w:r>
          </w:p>
        </w:tc>
        <w:tc>
          <w:tcPr>
            <w:tcW w:w="3131" w:type="dxa"/>
            <w:tcBorders>
              <w:top w:val="single" w:color="auto" w:sz="4" w:space="0"/>
              <w:left w:val="single" w:color="auto" w:sz="4" w:space="0"/>
              <w:bottom w:val="single" w:color="auto" w:sz="4" w:space="0"/>
              <w:right w:val="single" w:color="auto" w:sz="4" w:space="0"/>
            </w:tcBorders>
            <w:vAlign w:val="center"/>
          </w:tcPr>
          <w:p w14:paraId="76D4EF0A">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52CA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21115D1E">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4702" w:type="dxa"/>
            <w:tcBorders>
              <w:top w:val="single" w:color="auto" w:sz="4" w:space="0"/>
              <w:left w:val="single" w:color="auto" w:sz="4" w:space="0"/>
              <w:bottom w:val="single" w:color="auto" w:sz="4" w:space="0"/>
              <w:right w:val="single" w:color="auto" w:sz="4" w:space="0"/>
            </w:tcBorders>
            <w:vAlign w:val="center"/>
          </w:tcPr>
          <w:p w14:paraId="65CAD83D">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水电工程师</w:t>
            </w:r>
          </w:p>
        </w:tc>
        <w:tc>
          <w:tcPr>
            <w:tcW w:w="3131" w:type="dxa"/>
            <w:tcBorders>
              <w:top w:val="single" w:color="auto" w:sz="4" w:space="0"/>
              <w:left w:val="single" w:color="auto" w:sz="4" w:space="0"/>
              <w:bottom w:val="single" w:color="auto" w:sz="4" w:space="0"/>
              <w:right w:val="single" w:color="auto" w:sz="4" w:space="0"/>
            </w:tcBorders>
            <w:vAlign w:val="center"/>
          </w:tcPr>
          <w:p w14:paraId="7BF79200">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5481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375304B5">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5</w:t>
            </w:r>
          </w:p>
        </w:tc>
        <w:tc>
          <w:tcPr>
            <w:tcW w:w="4702" w:type="dxa"/>
            <w:tcBorders>
              <w:top w:val="single" w:color="auto" w:sz="4" w:space="0"/>
              <w:left w:val="single" w:color="auto" w:sz="4" w:space="0"/>
              <w:bottom w:val="single" w:color="auto" w:sz="4" w:space="0"/>
              <w:right w:val="single" w:color="auto" w:sz="4" w:space="0"/>
            </w:tcBorders>
            <w:vAlign w:val="center"/>
          </w:tcPr>
          <w:p w14:paraId="00265A06">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仓库管理员</w:t>
            </w:r>
          </w:p>
        </w:tc>
        <w:tc>
          <w:tcPr>
            <w:tcW w:w="3131" w:type="dxa"/>
            <w:tcBorders>
              <w:top w:val="single" w:color="auto" w:sz="4" w:space="0"/>
              <w:left w:val="single" w:color="auto" w:sz="4" w:space="0"/>
              <w:bottom w:val="single" w:color="auto" w:sz="4" w:space="0"/>
              <w:right w:val="single" w:color="auto" w:sz="4" w:space="0"/>
            </w:tcBorders>
            <w:vAlign w:val="center"/>
          </w:tcPr>
          <w:p w14:paraId="74D3AF0F">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r>
      <w:tr w14:paraId="4FA9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0EAF7140">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4702" w:type="dxa"/>
            <w:tcBorders>
              <w:top w:val="single" w:color="auto" w:sz="4" w:space="0"/>
              <w:left w:val="single" w:color="auto" w:sz="4" w:space="0"/>
              <w:bottom w:val="single" w:color="auto" w:sz="4" w:space="0"/>
              <w:right w:val="single" w:color="auto" w:sz="4" w:space="0"/>
            </w:tcBorders>
            <w:vAlign w:val="center"/>
          </w:tcPr>
          <w:p w14:paraId="3842A963">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高配值班员</w:t>
            </w:r>
          </w:p>
        </w:tc>
        <w:tc>
          <w:tcPr>
            <w:tcW w:w="3131" w:type="dxa"/>
            <w:tcBorders>
              <w:top w:val="single" w:color="auto" w:sz="4" w:space="0"/>
              <w:left w:val="single" w:color="auto" w:sz="4" w:space="0"/>
              <w:bottom w:val="single" w:color="auto" w:sz="4" w:space="0"/>
              <w:right w:val="single" w:color="auto" w:sz="4" w:space="0"/>
            </w:tcBorders>
            <w:vAlign w:val="center"/>
          </w:tcPr>
          <w:p w14:paraId="3FF1D52A">
            <w:pPr>
              <w:spacing w:line="440" w:lineRule="exact"/>
              <w:jc w:val="center"/>
              <w:rPr>
                <w:rFonts w:hint="eastAsia" w:eastAsia="宋体" w:asciiTheme="minorEastAsia" w:hAnsiTheme="minorEastAsia" w:cstheme="minorEastAsia"/>
                <w:szCs w:val="21"/>
                <w:lang w:eastAsia="zh-CN"/>
              </w:rPr>
            </w:pPr>
            <w:r>
              <w:rPr>
                <w:rFonts w:hint="eastAsia" w:asciiTheme="minorEastAsia" w:hAnsiTheme="minorEastAsia" w:cstheme="minorEastAsia"/>
                <w:szCs w:val="21"/>
                <w:lang w:val="en-US" w:eastAsia="zh-CN"/>
              </w:rPr>
              <w:t>5</w:t>
            </w:r>
          </w:p>
        </w:tc>
      </w:tr>
      <w:tr w14:paraId="2DB8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7EC1D196">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7</w:t>
            </w:r>
          </w:p>
        </w:tc>
        <w:tc>
          <w:tcPr>
            <w:tcW w:w="4702" w:type="dxa"/>
            <w:tcBorders>
              <w:top w:val="single" w:color="auto" w:sz="4" w:space="0"/>
              <w:left w:val="single" w:color="auto" w:sz="4" w:space="0"/>
              <w:bottom w:val="single" w:color="auto" w:sz="4" w:space="0"/>
              <w:right w:val="single" w:color="auto" w:sz="4" w:space="0"/>
            </w:tcBorders>
            <w:vAlign w:val="center"/>
          </w:tcPr>
          <w:p w14:paraId="616C9E6C">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水电计量员（节能监管平台专管员）</w:t>
            </w:r>
          </w:p>
        </w:tc>
        <w:tc>
          <w:tcPr>
            <w:tcW w:w="3131" w:type="dxa"/>
            <w:tcBorders>
              <w:top w:val="single" w:color="auto" w:sz="4" w:space="0"/>
              <w:left w:val="single" w:color="auto" w:sz="4" w:space="0"/>
              <w:bottom w:val="single" w:color="auto" w:sz="4" w:space="0"/>
              <w:right w:val="single" w:color="auto" w:sz="4" w:space="0"/>
            </w:tcBorders>
            <w:vAlign w:val="center"/>
          </w:tcPr>
          <w:p w14:paraId="503B3C5E">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2</w:t>
            </w:r>
          </w:p>
        </w:tc>
      </w:tr>
      <w:tr w14:paraId="1D05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5A5BFDF7">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8</w:t>
            </w:r>
          </w:p>
        </w:tc>
        <w:tc>
          <w:tcPr>
            <w:tcW w:w="4702" w:type="dxa"/>
            <w:tcBorders>
              <w:top w:val="single" w:color="auto" w:sz="4" w:space="0"/>
              <w:left w:val="single" w:color="auto" w:sz="4" w:space="0"/>
              <w:bottom w:val="single" w:color="auto" w:sz="4" w:space="0"/>
              <w:right w:val="single" w:color="auto" w:sz="4" w:space="0"/>
            </w:tcBorders>
            <w:vAlign w:val="center"/>
          </w:tcPr>
          <w:p w14:paraId="13018C05">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维修员</w:t>
            </w:r>
          </w:p>
        </w:tc>
        <w:tc>
          <w:tcPr>
            <w:tcW w:w="3131" w:type="dxa"/>
            <w:tcBorders>
              <w:top w:val="single" w:color="auto" w:sz="4" w:space="0"/>
              <w:left w:val="single" w:color="auto" w:sz="4" w:space="0"/>
              <w:bottom w:val="single" w:color="auto" w:sz="4" w:space="0"/>
              <w:right w:val="single" w:color="auto" w:sz="4" w:space="0"/>
            </w:tcBorders>
            <w:vAlign w:val="center"/>
          </w:tcPr>
          <w:p w14:paraId="5DF84AFD">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7</w:t>
            </w:r>
          </w:p>
        </w:tc>
      </w:tr>
      <w:tr w14:paraId="0CF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7" w:type="dxa"/>
            <w:tcBorders>
              <w:top w:val="single" w:color="auto" w:sz="4" w:space="0"/>
              <w:left w:val="single" w:color="auto" w:sz="4" w:space="0"/>
              <w:bottom w:val="single" w:color="auto" w:sz="4" w:space="0"/>
              <w:right w:val="single" w:color="auto" w:sz="4" w:space="0"/>
            </w:tcBorders>
            <w:vAlign w:val="center"/>
          </w:tcPr>
          <w:p w14:paraId="1E39A068">
            <w:pPr>
              <w:spacing w:line="440" w:lineRule="exact"/>
              <w:jc w:val="center"/>
              <w:rPr>
                <w:rFonts w:asciiTheme="minorEastAsia" w:hAnsiTheme="minorEastAsia" w:cstheme="minorEastAsia"/>
                <w:szCs w:val="21"/>
              </w:rPr>
            </w:pPr>
          </w:p>
        </w:tc>
        <w:tc>
          <w:tcPr>
            <w:tcW w:w="4702" w:type="dxa"/>
            <w:tcBorders>
              <w:top w:val="single" w:color="auto" w:sz="4" w:space="0"/>
              <w:left w:val="single" w:color="auto" w:sz="4" w:space="0"/>
              <w:bottom w:val="single" w:color="auto" w:sz="4" w:space="0"/>
              <w:right w:val="single" w:color="auto" w:sz="4" w:space="0"/>
            </w:tcBorders>
            <w:vAlign w:val="center"/>
          </w:tcPr>
          <w:p w14:paraId="32A5B445">
            <w:pPr>
              <w:spacing w:line="440" w:lineRule="exact"/>
              <w:jc w:val="center"/>
              <w:rPr>
                <w:rFonts w:asciiTheme="minorEastAsia" w:hAnsiTheme="minorEastAsia" w:cstheme="minorEastAsia"/>
                <w:szCs w:val="21"/>
              </w:rPr>
            </w:pPr>
          </w:p>
        </w:tc>
        <w:tc>
          <w:tcPr>
            <w:tcW w:w="3131" w:type="dxa"/>
            <w:tcBorders>
              <w:top w:val="single" w:color="auto" w:sz="4" w:space="0"/>
              <w:left w:val="single" w:color="auto" w:sz="4" w:space="0"/>
              <w:bottom w:val="single" w:color="auto" w:sz="4" w:space="0"/>
              <w:right w:val="single" w:color="auto" w:sz="4" w:space="0"/>
            </w:tcBorders>
            <w:vAlign w:val="center"/>
          </w:tcPr>
          <w:p w14:paraId="5A6CEEB2">
            <w:pPr>
              <w:spacing w:line="4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19</w:t>
            </w:r>
          </w:p>
        </w:tc>
      </w:tr>
    </w:tbl>
    <w:p w14:paraId="03A3A810">
      <w:pPr>
        <w:spacing w:line="360" w:lineRule="auto"/>
        <w:ind w:firstLine="420" w:firstLineChars="200"/>
        <w:jc w:val="left"/>
        <w:outlineLvl w:val="2"/>
        <w:rPr>
          <w:rFonts w:asciiTheme="minorEastAsia" w:hAnsiTheme="minorEastAsia" w:cstheme="minorEastAsia"/>
          <w:szCs w:val="21"/>
        </w:rPr>
      </w:pPr>
      <w:r>
        <w:rPr>
          <w:rFonts w:hint="eastAsia" w:asciiTheme="minorEastAsia" w:hAnsiTheme="minorEastAsia" w:cstheme="minorEastAsia"/>
          <w:szCs w:val="21"/>
        </w:rPr>
        <w:t>4.维修服务标准</w:t>
      </w:r>
    </w:p>
    <w:tbl>
      <w:tblPr>
        <w:tblStyle w:val="5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8065"/>
      </w:tblGrid>
      <w:tr w14:paraId="4122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vAlign w:val="center"/>
          </w:tcPr>
          <w:p w14:paraId="5251322B">
            <w:pPr>
              <w:widowControl/>
              <w:adjustRightInd w:val="0"/>
              <w:snapToGrid w:val="0"/>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服务内容</w:t>
            </w:r>
          </w:p>
        </w:tc>
        <w:tc>
          <w:tcPr>
            <w:tcW w:w="8065" w:type="dxa"/>
            <w:vAlign w:val="center"/>
          </w:tcPr>
          <w:p w14:paraId="0655D8A2">
            <w:pPr>
              <w:widowControl/>
              <w:adjustRightInd w:val="0"/>
              <w:snapToGrid w:val="0"/>
              <w:spacing w:line="460" w:lineRule="exact"/>
              <w:jc w:val="center"/>
              <w:rPr>
                <w:rFonts w:asciiTheme="minorEastAsia" w:hAnsiTheme="minorEastAsia" w:cstheme="minorEastAsia"/>
                <w:szCs w:val="21"/>
              </w:rPr>
            </w:pPr>
            <w:r>
              <w:rPr>
                <w:rFonts w:hint="eastAsia" w:asciiTheme="minorEastAsia" w:hAnsiTheme="minorEastAsia" w:cstheme="minorEastAsia"/>
                <w:szCs w:val="21"/>
              </w:rPr>
              <w:t>服务要求</w:t>
            </w:r>
          </w:p>
        </w:tc>
      </w:tr>
      <w:tr w14:paraId="4DA9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14:paraId="499EC9E2">
            <w:pPr>
              <w:pStyle w:val="35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配电房、水房日常管理</w:t>
            </w:r>
          </w:p>
        </w:tc>
        <w:tc>
          <w:tcPr>
            <w:tcW w:w="8065" w:type="dxa"/>
            <w:vAlign w:val="center"/>
          </w:tcPr>
          <w:p w14:paraId="73C6B30D">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1.负责全校42个变（配）电房设备、13个水泵房设备的（不含消防）的资产管理和运行管理工作，负责水电资产管理，保证正常运转，坏损设备及时报修。负责学校电网、管网及供水供电开关阀门的日常维护，做好各类阀门的养护每年不少于2次，做好养护记录，确保阀门能够正常开启关闭。对出现突发事件，及时关闭事件发生所属楼层（区域）的开关阀门，不能影响其他楼层（区域）的正常使用，并及时上报、组织抢修。</w:t>
            </w:r>
          </w:p>
          <w:p w14:paraId="0F973855">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2.实行24小时值班制度，保障全校正常供水、供电。</w:t>
            </w:r>
          </w:p>
          <w:p w14:paraId="7D31AC43">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3.值班人员必须坚守岗位，按时记录，遇到设备出现故障等情况，应及时解决；遇供电局和自来水公司等相关部门计划性停水、停电信息要及时、准确公告；遇外部故障停电，来电时应立即恢复供电。</w:t>
            </w:r>
          </w:p>
          <w:p w14:paraId="3ECEC07E">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4.每日需对各高配房、水房巡查不少于3次，并填写运行日记，发生异常情况及时采取措施并立即上报。</w:t>
            </w:r>
          </w:p>
          <w:p w14:paraId="1BF787A2">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5.定期做好校内水箱的清洗工作，并按规定要求进行水质检测，确保全校饮水安全（要求做好校园内27处</w:t>
            </w:r>
            <w:r>
              <w:rPr>
                <w:rFonts w:hint="eastAsia" w:asciiTheme="minorEastAsia" w:hAnsiTheme="minorEastAsia" w:eastAsiaTheme="minorEastAsia" w:cstheme="minorEastAsia"/>
                <w:color w:val="auto"/>
                <w:sz w:val="21"/>
                <w:szCs w:val="21"/>
              </w:rPr>
              <w:t>总容量1309.76m³</w:t>
            </w:r>
            <w:r>
              <w:rPr>
                <w:rFonts w:hint="eastAsia" w:ascii="宋体" w:hAnsi="宋体" w:eastAsia="宋体" w:cs="宋体"/>
                <w:color w:val="auto"/>
                <w:sz w:val="21"/>
                <w:szCs w:val="21"/>
              </w:rPr>
              <w:t>水箱的清洗及水质检测工作，每年2次。）。</w:t>
            </w:r>
          </w:p>
        </w:tc>
      </w:tr>
      <w:tr w14:paraId="79CC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14:paraId="1F5C9F19">
            <w:pPr>
              <w:pStyle w:val="35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水电节能</w:t>
            </w:r>
          </w:p>
          <w:p w14:paraId="37245F2C">
            <w:pPr>
              <w:pStyle w:val="35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监管</w:t>
            </w:r>
          </w:p>
        </w:tc>
        <w:tc>
          <w:tcPr>
            <w:tcW w:w="8065" w:type="dxa"/>
            <w:vAlign w:val="center"/>
          </w:tcPr>
          <w:p w14:paraId="612C3E31">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1.负责水电计量工作及学校能耗监控平台的管理与运用，完成全校水电费统计分析工作。要求配备专业的水电管理人员（节能监管平台专管员）2人，熟练掌握电脑操作技能，能熟练操作能耗监管平台系统，管理人员应具备接待外校调研人员的现场介绍能力，负责全校范围水电计量、统计、分析等工作。如人员安排不合理，按2万元/人/年从履约保证金内扣回。</w:t>
            </w:r>
          </w:p>
          <w:p w14:paraId="2E048AEC">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2.水电计量应确保数据准确性、连续性和完整性。除抄表外，对能耗数据进行能耗统计诊断，如发现数据不正常，应主动查明原因，及时处理，对计量不准或损坏的应及时上报相关部门。</w:t>
            </w:r>
          </w:p>
          <w:p w14:paraId="5493D9E7">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3.对学校各配电房实时使用荷载能及时出具数据，对超负荷使用及空余负荷量能及时进行监控并提供数据供学校管理部门进行调整。</w:t>
            </w:r>
          </w:p>
          <w:p w14:paraId="16D5F664">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4.协助学校做好因教学、科研、办公所需增加的水电设施负荷审核工作。</w:t>
            </w:r>
          </w:p>
          <w:p w14:paraId="7E016617">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5.各类水电抄表要求做到全覆盖，表没抄到或者出现遗漏学校根据情况年底进行扣罚。抄表发现异常或水电表损坏情况，需在一周内主动报告给各相关部门进行及时更换计量器具，如因不及时报告导致长时间抄录数据中断及影响水电费收取的，费用从履约保证金内扣回。</w:t>
            </w:r>
          </w:p>
        </w:tc>
      </w:tr>
      <w:tr w14:paraId="013F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388" w:type="dxa"/>
            <w:vAlign w:val="center"/>
          </w:tcPr>
          <w:p w14:paraId="0C54B233">
            <w:pPr>
              <w:widowControl/>
              <w:spacing w:line="36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设备房</w:t>
            </w:r>
          </w:p>
        </w:tc>
        <w:tc>
          <w:tcPr>
            <w:tcW w:w="8065" w:type="dxa"/>
            <w:vAlign w:val="center"/>
          </w:tcPr>
          <w:p w14:paraId="54899045">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1.上墙制度背景统一，制度包括运行管理制度、操作流程和应急预案。</w:t>
            </w:r>
          </w:p>
          <w:p w14:paraId="27D84807">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2.统一设置机房责任牌，配置外来人员登记表、设施设备巡检表和设施设备运行记录表。</w:t>
            </w:r>
          </w:p>
          <w:p w14:paraId="73ABC084">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3.地面统一环氧树脂地坪漆；墙面防霉涂料，顶棚刷白、喷灰或喷黑处理（具体由学校确认）。</w:t>
            </w:r>
          </w:p>
          <w:p w14:paraId="1B653CED">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4.设置不锈钢两节挡鼠板，方便人员进出；通风设施设置不锈钢钢丝网；</w:t>
            </w:r>
          </w:p>
          <w:p w14:paraId="74B35852">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5.每间设备房必须配置电子式温度湿度计，配置通风。</w:t>
            </w:r>
          </w:p>
          <w:p w14:paraId="4A904FA3">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6.设备房入口和设施设备周边警示标识清楚并健全。</w:t>
            </w:r>
          </w:p>
          <w:p w14:paraId="5689E5FA">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7.做好管线标识标准化，涉及水流方向指示和进出线缆的应与实际相符。</w:t>
            </w:r>
          </w:p>
          <w:p w14:paraId="2F90A7A9">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8.按规定配置相关工器具，并定期进行检测。</w:t>
            </w:r>
          </w:p>
          <w:p w14:paraId="6997F206">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9.需建设的设备房标准化方案须由采购人确认后在合同签定后半年内实施完毕。</w:t>
            </w:r>
          </w:p>
        </w:tc>
      </w:tr>
      <w:tr w14:paraId="2D6D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388" w:type="dxa"/>
            <w:vAlign w:val="center"/>
          </w:tcPr>
          <w:p w14:paraId="60DD7357">
            <w:pPr>
              <w:widowControl/>
              <w:spacing w:line="36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公共区域</w:t>
            </w:r>
          </w:p>
          <w:p w14:paraId="691A48F6">
            <w:pPr>
              <w:widowControl/>
              <w:spacing w:line="360" w:lineRule="auto"/>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维修</w:t>
            </w:r>
          </w:p>
        </w:tc>
        <w:tc>
          <w:tcPr>
            <w:tcW w:w="8065" w:type="dxa"/>
            <w:vAlign w:val="center"/>
          </w:tcPr>
          <w:p w14:paraId="3176E306">
            <w:pPr>
              <w:widowControl/>
              <w:spacing w:line="360" w:lineRule="auto"/>
              <w:jc w:val="left"/>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1.教学、科研、办公楼、图书馆、活动中心、教师公寓、体军部等区域和室外公共区域（不包括的范围：后勤用房、学生公寓、继续教育学院用房、经营网点、温室大棚、平山基地）。</w:t>
            </w:r>
          </w:p>
          <w:p w14:paraId="5F807C7D">
            <w:pPr>
              <w:widowControl/>
              <w:spacing w:line="360" w:lineRule="auto"/>
              <w:jc w:val="left"/>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2.维修人员应要定期对公共区域进行检查，每月至少2次，做好检查记录，将发现的问题通知相关部门、学院，确认后进行维修。</w:t>
            </w:r>
          </w:p>
          <w:p w14:paraId="3772C639">
            <w:pPr>
              <w:pStyle w:val="350"/>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3.维修人员在接到维修通知后，应立即组织相关专业人员进行维修。原则上维修项目应在24小时内完成，如遇特殊情况，必须履行告知义务，及时向报修部门做出解释，并确定具体维修时间。</w:t>
            </w:r>
          </w:p>
          <w:p w14:paraId="0EF3A170">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4.维修人员应提高维修的效率和及时性，严禁将维修项目累计一次性修理。</w:t>
            </w:r>
          </w:p>
          <w:p w14:paraId="36C9653A">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5.在维修项目完工后，应及时清理施工中产生的各种废弃物，并堆放到指定地点。</w:t>
            </w:r>
          </w:p>
          <w:p w14:paraId="04085771">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6.涉及墙体拆封以及水、电线路改造项目，必须经学校审核同意后方能施工。</w:t>
            </w:r>
          </w:p>
        </w:tc>
      </w:tr>
    </w:tbl>
    <w:p w14:paraId="4E65FA64">
      <w:pPr>
        <w:spacing w:line="360" w:lineRule="auto"/>
        <w:ind w:firstLine="420" w:firstLineChars="200"/>
        <w:jc w:val="left"/>
        <w:rPr>
          <w:rFonts w:asciiTheme="minorEastAsia" w:hAnsiTheme="minorEastAsia" w:cstheme="minorEastAsia"/>
          <w:szCs w:val="21"/>
        </w:rPr>
      </w:pPr>
    </w:p>
    <w:p w14:paraId="27396B29">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w:t>
      </w:r>
    </w:p>
    <w:p w14:paraId="3E7350BB">
      <w:pPr>
        <w:spacing w:line="360" w:lineRule="auto"/>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（四）活动中心及会场管理</w:t>
      </w:r>
    </w:p>
    <w:p w14:paraId="57AD205F">
      <w:pPr>
        <w:spacing w:line="360" w:lineRule="auto"/>
        <w:ind w:firstLine="420" w:firstLineChars="200"/>
        <w:jc w:val="left"/>
        <w:outlineLvl w:val="2"/>
        <w:rPr>
          <w:rFonts w:asciiTheme="minorEastAsia" w:hAnsiTheme="minorEastAsia" w:cstheme="minorEastAsia"/>
          <w:szCs w:val="21"/>
        </w:rPr>
      </w:pPr>
      <w:r>
        <w:rPr>
          <w:rFonts w:hint="eastAsia" w:asciiTheme="minorEastAsia" w:hAnsiTheme="minorEastAsia" w:cstheme="minorEastAsia"/>
          <w:szCs w:val="21"/>
        </w:rPr>
        <w:t>1.服务范围及服务内容</w:t>
      </w:r>
    </w:p>
    <w:p w14:paraId="42520AE0">
      <w:pPr>
        <w:spacing w:line="360" w:lineRule="auto"/>
        <w:ind w:firstLine="420" w:firstLineChars="200"/>
        <w:jc w:val="left"/>
        <w:outlineLvl w:val="3"/>
        <w:rPr>
          <w:rFonts w:asciiTheme="minorEastAsia" w:hAnsiTheme="minorEastAsia" w:cstheme="minorEastAsia"/>
          <w:szCs w:val="21"/>
        </w:rPr>
      </w:pPr>
      <w:r>
        <w:rPr>
          <w:rFonts w:hint="eastAsia" w:ascii="宋体" w:hAnsi="宋体"/>
          <w:szCs w:val="21"/>
        </w:rPr>
        <w:t>（1）</w:t>
      </w:r>
      <w:r>
        <w:rPr>
          <w:rFonts w:hint="eastAsia" w:asciiTheme="minorEastAsia" w:hAnsiTheme="minorEastAsia" w:cstheme="minorEastAsia"/>
          <w:szCs w:val="21"/>
        </w:rPr>
        <w:t>服务范围</w:t>
      </w:r>
    </w:p>
    <w:p w14:paraId="46643E9F">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东湖校区和衣锦校区报告厅、会场管理及活动中心的大楼管理</w:t>
      </w:r>
    </w:p>
    <w:p w14:paraId="0C35760D">
      <w:pPr>
        <w:spacing w:line="360" w:lineRule="auto"/>
        <w:ind w:firstLine="420" w:firstLineChars="200"/>
        <w:jc w:val="left"/>
        <w:outlineLvl w:val="3"/>
        <w:rPr>
          <w:rFonts w:ascii="宋体" w:hAnsi="宋体"/>
          <w:szCs w:val="21"/>
        </w:rPr>
      </w:pPr>
      <w:r>
        <w:rPr>
          <w:rFonts w:hint="eastAsia" w:ascii="宋体" w:hAnsi="宋体"/>
          <w:szCs w:val="21"/>
        </w:rPr>
        <w:t>（2）工作内容</w:t>
      </w:r>
    </w:p>
    <w:p w14:paraId="44D72222">
      <w:pPr>
        <w:spacing w:line="360" w:lineRule="auto"/>
        <w:ind w:firstLine="420" w:firstLineChars="200"/>
        <w:jc w:val="left"/>
        <w:rPr>
          <w:rFonts w:asciiTheme="minorEastAsia" w:hAnsiTheme="minorEastAsia" w:cstheme="minorEastAsia"/>
          <w:szCs w:val="21"/>
        </w:rPr>
      </w:pPr>
      <w:r>
        <w:rPr>
          <w:rFonts w:hint="eastAsia" w:ascii="宋体" w:hAnsi="宋体"/>
          <w:szCs w:val="21"/>
        </w:rPr>
        <w:t>负责活动中心大楼的日常保洁和值班服务；负责</w:t>
      </w:r>
      <w:r>
        <w:rPr>
          <w:rFonts w:hint="eastAsia" w:asciiTheme="minorEastAsia" w:hAnsiTheme="minorEastAsia" w:cstheme="minorEastAsia"/>
          <w:szCs w:val="21"/>
        </w:rPr>
        <w:t>东湖校区和衣锦校区报告厅、会场的设施设备运行和维护、会议统筹、司茶服务、卫生保洁、资产代管等工作。</w:t>
      </w:r>
    </w:p>
    <w:p w14:paraId="2E70A06E">
      <w:pPr>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2.项目人员要求</w:t>
      </w:r>
    </w:p>
    <w:p w14:paraId="01624288">
      <w:pPr>
        <w:spacing w:line="360" w:lineRule="auto"/>
        <w:ind w:firstLine="420" w:firstLineChars="200"/>
        <w:outlineLvl w:val="3"/>
        <w:rPr>
          <w:rFonts w:asciiTheme="minorEastAsia" w:hAnsiTheme="minorEastAsia" w:cstheme="minorEastAsia"/>
          <w:szCs w:val="21"/>
        </w:rPr>
      </w:pPr>
      <w:r>
        <w:rPr>
          <w:rFonts w:hint="eastAsia" w:asciiTheme="minorEastAsia" w:hAnsiTheme="minorEastAsia" w:cstheme="minorEastAsia"/>
          <w:szCs w:val="21"/>
        </w:rPr>
        <w:t>（1）项目人员岗位要求</w:t>
      </w:r>
    </w:p>
    <w:tbl>
      <w:tblPr>
        <w:tblStyle w:val="53"/>
        <w:tblW w:w="9127" w:type="dxa"/>
        <w:jc w:val="center"/>
        <w:tblLayout w:type="fixed"/>
        <w:tblCellMar>
          <w:top w:w="0" w:type="dxa"/>
          <w:left w:w="108" w:type="dxa"/>
          <w:bottom w:w="0" w:type="dxa"/>
          <w:right w:w="108" w:type="dxa"/>
        </w:tblCellMar>
      </w:tblPr>
      <w:tblGrid>
        <w:gridCol w:w="3007"/>
        <w:gridCol w:w="6120"/>
      </w:tblGrid>
      <w:tr w14:paraId="771674F0">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086">
            <w:pPr>
              <w:widowControl/>
              <w:spacing w:line="360" w:lineRule="auto"/>
              <w:jc w:val="center"/>
              <w:textAlignment w:val="center"/>
              <w:rPr>
                <w:rFonts w:ascii="宋体" w:hAnsi="宋体"/>
                <w:kern w:val="0"/>
                <w:szCs w:val="21"/>
              </w:rPr>
            </w:pPr>
            <w:r>
              <w:rPr>
                <w:rFonts w:hint="eastAsia" w:ascii="宋体" w:hAnsi="宋体"/>
                <w:kern w:val="0"/>
                <w:szCs w:val="21"/>
                <w:lang w:val="en-GB"/>
              </w:rPr>
              <w:t>岗位</w:t>
            </w:r>
            <w:r>
              <w:rPr>
                <w:rFonts w:hint="eastAsia" w:ascii="宋体" w:hAnsi="宋体"/>
                <w:kern w:val="0"/>
                <w:szCs w:val="21"/>
              </w:rPr>
              <w:t>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E8D">
            <w:pPr>
              <w:widowControl/>
              <w:spacing w:line="360" w:lineRule="auto"/>
              <w:jc w:val="center"/>
              <w:textAlignment w:val="center"/>
              <w:rPr>
                <w:rFonts w:ascii="宋体" w:hAnsi="宋体"/>
                <w:kern w:val="0"/>
                <w:szCs w:val="21"/>
                <w:lang w:val="en-GB"/>
              </w:rPr>
            </w:pPr>
            <w:r>
              <w:rPr>
                <w:rFonts w:hint="eastAsia" w:asciiTheme="minorEastAsia" w:hAnsiTheme="minorEastAsia" w:cstheme="minorEastAsia"/>
                <w:szCs w:val="21"/>
              </w:rPr>
              <w:t>岗位职责及任职要求</w:t>
            </w:r>
          </w:p>
        </w:tc>
      </w:tr>
      <w:tr w14:paraId="5672ED48">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497F">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活动中心及会场服务负责人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8696">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在60周岁以下，性别不限，大专及以上学历；</w:t>
            </w:r>
          </w:p>
          <w:p w14:paraId="2C28C004">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58926C5B">
            <w:pPr>
              <w:spacing w:line="360" w:lineRule="auto"/>
              <w:rPr>
                <w:rFonts w:asciiTheme="minorEastAsia" w:hAnsiTheme="minorEastAsia" w:cstheme="minorEastAsia"/>
                <w:szCs w:val="21"/>
              </w:rPr>
            </w:pPr>
            <w:r>
              <w:rPr>
                <w:rFonts w:hint="eastAsia" w:asciiTheme="minorEastAsia" w:hAnsiTheme="minorEastAsia" w:cstheme="minorEastAsia"/>
                <w:szCs w:val="21"/>
              </w:rPr>
              <w:t>3.有较强的组织领导和管理能力，具备团队合作精神，具备相应岗位的业务技能。</w:t>
            </w:r>
          </w:p>
          <w:p w14:paraId="73EC596A">
            <w:pPr>
              <w:spacing w:line="360" w:lineRule="auto"/>
              <w:rPr>
                <w:rFonts w:asciiTheme="minorEastAsia" w:hAnsiTheme="minorEastAsia" w:cstheme="minorEastAsia"/>
                <w:szCs w:val="21"/>
              </w:rPr>
            </w:pPr>
            <w:r>
              <w:rPr>
                <w:rFonts w:hint="eastAsia" w:asciiTheme="minorEastAsia" w:hAnsiTheme="minorEastAsia" w:cstheme="minorEastAsia"/>
                <w:szCs w:val="21"/>
              </w:rPr>
              <w:t>4.负责活动中心及各会场的日常管理和综合协调。</w:t>
            </w:r>
          </w:p>
        </w:tc>
      </w:tr>
      <w:tr w14:paraId="65E477DB">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30BC">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活动中心及会场保洁员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223">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在65周岁以下，性别不限；</w:t>
            </w:r>
          </w:p>
          <w:p w14:paraId="7240768A">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6A0DB5FA">
            <w:pPr>
              <w:spacing w:line="360" w:lineRule="auto"/>
              <w:rPr>
                <w:rFonts w:asciiTheme="minorEastAsia" w:hAnsiTheme="minorEastAsia" w:cstheme="minorEastAsia"/>
                <w:szCs w:val="21"/>
                <w:lang w:val="en-GB"/>
              </w:rPr>
            </w:pPr>
            <w:r>
              <w:rPr>
                <w:rFonts w:hint="eastAsia" w:asciiTheme="minorEastAsia" w:hAnsiTheme="minorEastAsia" w:cstheme="minorEastAsia"/>
                <w:szCs w:val="21"/>
              </w:rPr>
              <w:t>3.做好活动中心及会场的每日保洁。</w:t>
            </w:r>
          </w:p>
        </w:tc>
      </w:tr>
      <w:tr w14:paraId="53289C78">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9C8F">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活动中心值班员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DA3E">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在65周岁以下，男性；</w:t>
            </w:r>
          </w:p>
          <w:p w14:paraId="37EBF487">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0CA8CC92">
            <w:pPr>
              <w:spacing w:line="360" w:lineRule="auto"/>
              <w:rPr>
                <w:rFonts w:asciiTheme="minorEastAsia" w:hAnsiTheme="minorEastAsia" w:cstheme="minorEastAsia"/>
                <w:szCs w:val="21"/>
              </w:rPr>
            </w:pPr>
            <w:r>
              <w:rPr>
                <w:rFonts w:hint="eastAsia" w:asciiTheme="minorEastAsia" w:hAnsiTheme="minorEastAsia" w:cstheme="minorEastAsia"/>
                <w:szCs w:val="21"/>
              </w:rPr>
              <w:t>3.要求24小时值班制；</w:t>
            </w:r>
          </w:p>
          <w:p w14:paraId="4793C9A6">
            <w:pPr>
              <w:spacing w:line="360" w:lineRule="auto"/>
              <w:rPr>
                <w:rFonts w:asciiTheme="minorEastAsia" w:hAnsiTheme="minorEastAsia" w:cstheme="minorEastAsia"/>
                <w:szCs w:val="21"/>
                <w:lang w:val="en-GB"/>
              </w:rPr>
            </w:pPr>
            <w:r>
              <w:rPr>
                <w:rFonts w:hint="eastAsia" w:asciiTheme="minorEastAsia" w:hAnsiTheme="minorEastAsia" w:cstheme="minorEastAsia"/>
                <w:szCs w:val="21"/>
              </w:rPr>
              <w:t>4.做好活动中心的日常值班。</w:t>
            </w:r>
          </w:p>
        </w:tc>
      </w:tr>
      <w:tr w14:paraId="3A410EBB">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7A7E">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会场服务员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B1F6">
            <w:pPr>
              <w:spacing w:line="360" w:lineRule="auto"/>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在50周岁以下，女性，高中以上学历；</w:t>
            </w:r>
          </w:p>
          <w:p w14:paraId="6A7E3816">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2.身体健康，形象较好，能够适应任职工作岗位的要求；</w:t>
            </w:r>
          </w:p>
          <w:p w14:paraId="5DB3BDA8">
            <w:pPr>
              <w:spacing w:line="360" w:lineRule="auto"/>
              <w:rPr>
                <w:rFonts w:asciiTheme="minorEastAsia" w:hAnsiTheme="minorEastAsia" w:cstheme="minorEastAsia"/>
                <w:szCs w:val="21"/>
              </w:rPr>
            </w:pPr>
            <w:r>
              <w:rPr>
                <w:rFonts w:hint="eastAsia" w:asciiTheme="minorEastAsia" w:hAnsiTheme="minorEastAsia" w:cstheme="minorEastAsia"/>
                <w:szCs w:val="21"/>
              </w:rPr>
              <w:t>3.有较强的协调、沟通能力，</w:t>
            </w:r>
            <w:r>
              <w:rPr>
                <w:rFonts w:hint="eastAsia" w:asciiTheme="minorEastAsia" w:hAnsiTheme="minorEastAsia" w:cstheme="minorEastAsia"/>
                <w:kern w:val="0"/>
                <w:szCs w:val="21"/>
                <w:lang w:bidi="ar"/>
              </w:rPr>
              <w:t>有一定的业务知识与技能；</w:t>
            </w:r>
          </w:p>
          <w:p w14:paraId="561267CC">
            <w:pPr>
              <w:spacing w:line="360" w:lineRule="auto"/>
              <w:rPr>
                <w:rFonts w:asciiTheme="minorEastAsia" w:hAnsiTheme="minorEastAsia" w:cstheme="minorEastAsia"/>
                <w:szCs w:val="21"/>
              </w:rPr>
            </w:pPr>
            <w:r>
              <w:rPr>
                <w:rFonts w:hint="eastAsia" w:asciiTheme="minorEastAsia" w:hAnsiTheme="minorEastAsia" w:cstheme="minorEastAsia"/>
                <w:szCs w:val="21"/>
              </w:rPr>
              <w:t>4.负责会场预约、登记、结算签单及会务安排和会场司茶等工作。</w:t>
            </w:r>
          </w:p>
        </w:tc>
      </w:tr>
      <w:tr w14:paraId="4C323EC1">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044C">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会场技术员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EA7E">
            <w:pPr>
              <w:spacing w:line="360" w:lineRule="auto"/>
              <w:rPr>
                <w:rFonts w:asciiTheme="minorEastAsia" w:hAnsiTheme="minorEastAsia" w:cstheme="minorEastAsia"/>
                <w:szCs w:val="21"/>
              </w:rPr>
            </w:pPr>
            <w:r>
              <w:rPr>
                <w:rFonts w:hint="eastAsia" w:asciiTheme="minorEastAsia" w:hAnsiTheme="minorEastAsia" w:cstheme="minorEastAsia"/>
                <w:szCs w:val="21"/>
              </w:rPr>
              <w:t>1.年龄原则上在60周岁以下，性别不限，大专及以上学历；</w:t>
            </w:r>
          </w:p>
          <w:p w14:paraId="593DFDD0">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223B7974">
            <w:pPr>
              <w:spacing w:line="360" w:lineRule="auto"/>
              <w:rPr>
                <w:rFonts w:asciiTheme="minorEastAsia" w:hAnsiTheme="minorEastAsia" w:cstheme="minorEastAsia"/>
                <w:szCs w:val="21"/>
              </w:rPr>
            </w:pPr>
            <w:r>
              <w:rPr>
                <w:rFonts w:hint="eastAsia" w:asciiTheme="minorEastAsia" w:hAnsiTheme="minorEastAsia" w:cstheme="minorEastAsia"/>
                <w:szCs w:val="21"/>
              </w:rPr>
              <w:t>3.有较强的协调、沟通能力，有一定的业务知识与技能；</w:t>
            </w:r>
          </w:p>
          <w:p w14:paraId="54B8AFEF">
            <w:pPr>
              <w:spacing w:line="360" w:lineRule="auto"/>
              <w:rPr>
                <w:rFonts w:asciiTheme="minorEastAsia" w:hAnsiTheme="minorEastAsia" w:cstheme="minorEastAsia"/>
                <w:kern w:val="0"/>
                <w:szCs w:val="21"/>
              </w:rPr>
            </w:pPr>
            <w:r>
              <w:rPr>
                <w:rFonts w:hint="eastAsia" w:asciiTheme="minorEastAsia" w:hAnsiTheme="minorEastAsia" w:cstheme="minorEastAsia"/>
                <w:szCs w:val="21"/>
              </w:rPr>
              <w:t>4.负责会场灯光、音响、LED大屏幕、多媒体、视频会议系统等正常运行，协助配合专业维保。</w:t>
            </w:r>
          </w:p>
        </w:tc>
      </w:tr>
      <w:tr w14:paraId="20CA6084">
        <w:tblPrEx>
          <w:tblCellMar>
            <w:top w:w="0" w:type="dxa"/>
            <w:left w:w="108" w:type="dxa"/>
            <w:bottom w:w="0" w:type="dxa"/>
            <w:right w:w="108" w:type="dxa"/>
          </w:tblCellMar>
        </w:tblPrEx>
        <w:trPr>
          <w:trHeight w:val="624" w:hRule="atLeast"/>
          <w:jc w:val="center"/>
        </w:trPr>
        <w:tc>
          <w:tcPr>
            <w:tcW w:w="3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576E">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会场维修员</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7CB">
            <w:pPr>
              <w:widowControl/>
              <w:spacing w:line="360" w:lineRule="auto"/>
              <w:textAlignment w:val="center"/>
              <w:rPr>
                <w:rFonts w:asciiTheme="minorEastAsia" w:hAnsiTheme="minorEastAsia" w:cstheme="minorEastAsia"/>
                <w:szCs w:val="21"/>
              </w:rPr>
            </w:pPr>
            <w:r>
              <w:rPr>
                <w:rFonts w:hint="eastAsia" w:asciiTheme="minorEastAsia" w:hAnsiTheme="minorEastAsia" w:cstheme="minorEastAsia"/>
                <w:szCs w:val="21"/>
              </w:rPr>
              <w:t>1.年龄</w:t>
            </w:r>
            <w:r>
              <w:rPr>
                <w:rFonts w:hint="eastAsia" w:asciiTheme="minorEastAsia" w:hAnsiTheme="minorEastAsia" w:cstheme="minorEastAsia"/>
                <w:kern w:val="0"/>
                <w:szCs w:val="21"/>
              </w:rPr>
              <w:t>原则上</w:t>
            </w:r>
            <w:r>
              <w:rPr>
                <w:rFonts w:hint="eastAsia" w:asciiTheme="minorEastAsia" w:hAnsiTheme="minorEastAsia" w:cstheme="minorEastAsia"/>
                <w:szCs w:val="21"/>
              </w:rPr>
              <w:t>在65周岁以下，男性；</w:t>
            </w:r>
          </w:p>
          <w:p w14:paraId="37A50F3B">
            <w:pPr>
              <w:spacing w:line="360" w:lineRule="auto"/>
              <w:rPr>
                <w:rFonts w:asciiTheme="minorEastAsia" w:hAnsiTheme="minorEastAsia" w:cstheme="minorEastAsia"/>
                <w:szCs w:val="21"/>
              </w:rPr>
            </w:pPr>
            <w:r>
              <w:rPr>
                <w:rFonts w:hint="eastAsia" w:asciiTheme="minorEastAsia" w:hAnsiTheme="minorEastAsia" w:cstheme="minorEastAsia"/>
                <w:szCs w:val="21"/>
              </w:rPr>
              <w:t>2.身体健康，能够适应任职工作岗位的要求；</w:t>
            </w:r>
          </w:p>
          <w:p w14:paraId="026B2F1E">
            <w:pPr>
              <w:spacing w:line="360" w:lineRule="auto"/>
              <w:rPr>
                <w:rFonts w:asciiTheme="minorEastAsia" w:hAnsiTheme="minorEastAsia" w:cstheme="minorEastAsia"/>
                <w:szCs w:val="21"/>
              </w:rPr>
            </w:pPr>
            <w:r>
              <w:rPr>
                <w:rFonts w:hint="eastAsia" w:asciiTheme="minorEastAsia" w:hAnsiTheme="minorEastAsia" w:cstheme="minorEastAsia"/>
                <w:szCs w:val="21"/>
              </w:rPr>
              <w:t>3.持相关岗位上岗资格证书（如维修电工、电工证、高压证或者低压证书）；</w:t>
            </w:r>
          </w:p>
          <w:p w14:paraId="4BA3F22F">
            <w:pPr>
              <w:spacing w:line="360" w:lineRule="auto"/>
            </w:pPr>
            <w:r>
              <w:rPr>
                <w:rFonts w:hint="eastAsia" w:asciiTheme="minorEastAsia" w:hAnsiTheme="minorEastAsia" w:cstheme="minorEastAsia"/>
                <w:szCs w:val="21"/>
              </w:rPr>
              <w:t>4.负责活动中心、各会场日常和夜间节假日水、电、木的维修。</w:t>
            </w:r>
          </w:p>
        </w:tc>
      </w:tr>
    </w:tbl>
    <w:p w14:paraId="1F3665DA">
      <w:pPr>
        <w:pStyle w:val="6"/>
        <w:numPr>
          <w:ilvl w:val="3"/>
          <w:numId w:val="0"/>
        </w:numPr>
        <w:tabs>
          <w:tab w:val="left" w:pos="851"/>
        </w:tabs>
        <w:spacing w:line="360" w:lineRule="auto"/>
        <w:ind w:left="851"/>
        <w:rPr>
          <w:rFonts w:ascii="宋体" w:hAnsi="宋体" w:eastAsia="宋体" w:cs="宋体"/>
          <w:b w:val="0"/>
          <w:bCs w:val="0"/>
          <w:sz w:val="21"/>
          <w:szCs w:val="21"/>
        </w:rPr>
      </w:pPr>
      <w:r>
        <w:rPr>
          <w:rFonts w:hint="eastAsia" w:ascii="宋体" w:hAnsi="宋体" w:eastAsia="宋体" w:cs="宋体"/>
          <w:b w:val="0"/>
          <w:bCs w:val="0"/>
          <w:sz w:val="21"/>
          <w:szCs w:val="21"/>
        </w:rPr>
        <w:t>（2）人员最低配置</w:t>
      </w:r>
    </w:p>
    <w:tbl>
      <w:tblPr>
        <w:tblStyle w:val="53"/>
        <w:tblW w:w="8037" w:type="dxa"/>
        <w:tblInd w:w="346" w:type="dxa"/>
        <w:tblLayout w:type="fixed"/>
        <w:tblCellMar>
          <w:top w:w="0" w:type="dxa"/>
          <w:left w:w="108" w:type="dxa"/>
          <w:bottom w:w="0" w:type="dxa"/>
          <w:right w:w="108" w:type="dxa"/>
        </w:tblCellMar>
      </w:tblPr>
      <w:tblGrid>
        <w:gridCol w:w="661"/>
        <w:gridCol w:w="4116"/>
        <w:gridCol w:w="1096"/>
        <w:gridCol w:w="2164"/>
      </w:tblGrid>
      <w:tr w14:paraId="2478FB2C">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391">
            <w:pPr>
              <w:widowControl/>
              <w:spacing w:line="460" w:lineRule="exact"/>
              <w:jc w:val="center"/>
              <w:textAlignment w:val="center"/>
              <w:rPr>
                <w:rFonts w:ascii="宋体" w:hAnsi="宋体"/>
                <w:kern w:val="0"/>
                <w:szCs w:val="21"/>
                <w:lang w:val="en-GB"/>
              </w:rPr>
            </w:pPr>
            <w:r>
              <w:rPr>
                <w:rFonts w:hint="eastAsia" w:ascii="宋体" w:hAnsi="宋体"/>
                <w:kern w:val="0"/>
                <w:szCs w:val="21"/>
                <w:lang w:val="en-GB"/>
              </w:rPr>
              <w:t>序号</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4A66">
            <w:pPr>
              <w:widowControl/>
              <w:spacing w:line="460" w:lineRule="exact"/>
              <w:jc w:val="center"/>
              <w:textAlignment w:val="center"/>
              <w:rPr>
                <w:rFonts w:ascii="宋体" w:hAnsi="宋体"/>
                <w:kern w:val="0"/>
                <w:szCs w:val="21"/>
                <w:lang w:val="en-GB"/>
              </w:rPr>
            </w:pPr>
            <w:r>
              <w:rPr>
                <w:rFonts w:hint="eastAsia" w:ascii="宋体" w:hAnsi="宋体"/>
                <w:kern w:val="0"/>
                <w:szCs w:val="21"/>
                <w:lang w:val="en-GB"/>
              </w:rPr>
              <w:t>岗  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7CC9">
            <w:pPr>
              <w:widowControl/>
              <w:spacing w:line="460" w:lineRule="exact"/>
              <w:jc w:val="center"/>
              <w:textAlignment w:val="center"/>
              <w:rPr>
                <w:rFonts w:ascii="宋体" w:hAnsi="宋体"/>
                <w:kern w:val="0"/>
                <w:szCs w:val="21"/>
              </w:rPr>
            </w:pPr>
            <w:r>
              <w:rPr>
                <w:rFonts w:hint="eastAsia" w:ascii="宋体" w:hAnsi="宋体"/>
                <w:kern w:val="0"/>
                <w:szCs w:val="21"/>
              </w:rPr>
              <w:t>人数要求</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2704">
            <w:pPr>
              <w:widowControl/>
              <w:spacing w:line="460" w:lineRule="exact"/>
              <w:jc w:val="center"/>
              <w:textAlignment w:val="center"/>
              <w:rPr>
                <w:rFonts w:ascii="宋体" w:hAnsi="宋体"/>
                <w:kern w:val="0"/>
                <w:szCs w:val="21"/>
              </w:rPr>
            </w:pPr>
            <w:r>
              <w:rPr>
                <w:rFonts w:hint="eastAsia" w:ascii="宋体" w:hAnsi="宋体"/>
                <w:kern w:val="0"/>
                <w:szCs w:val="21"/>
              </w:rPr>
              <w:t>备注</w:t>
            </w:r>
          </w:p>
        </w:tc>
      </w:tr>
      <w:tr w14:paraId="11786489">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86A">
            <w:pPr>
              <w:widowControl/>
              <w:spacing w:line="460" w:lineRule="exact"/>
              <w:jc w:val="center"/>
              <w:textAlignment w:val="center"/>
              <w:rPr>
                <w:rFonts w:ascii="宋体" w:hAnsi="宋体"/>
                <w:kern w:val="0"/>
                <w:szCs w:val="21"/>
              </w:rPr>
            </w:pPr>
            <w:r>
              <w:rPr>
                <w:rFonts w:hint="eastAsia" w:ascii="宋体" w:hAnsi="宋体"/>
                <w:kern w:val="0"/>
                <w:szCs w:val="21"/>
              </w:rPr>
              <w:t>1</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356D">
            <w:pPr>
              <w:widowControl/>
              <w:spacing w:line="460" w:lineRule="exact"/>
              <w:jc w:val="center"/>
              <w:textAlignment w:val="center"/>
              <w:rPr>
                <w:rFonts w:ascii="宋体" w:hAnsi="宋体"/>
                <w:kern w:val="0"/>
                <w:szCs w:val="21"/>
              </w:rPr>
            </w:pPr>
            <w:r>
              <w:rPr>
                <w:rFonts w:hint="eastAsia" w:ascii="宋体" w:hAnsi="宋体"/>
                <w:kern w:val="0"/>
                <w:szCs w:val="21"/>
              </w:rPr>
              <w:t>活动中心及会务服务负责人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43A8">
            <w:pPr>
              <w:widowControl/>
              <w:spacing w:line="460" w:lineRule="exact"/>
              <w:jc w:val="center"/>
              <w:textAlignment w:val="center"/>
              <w:rPr>
                <w:rFonts w:ascii="宋体" w:hAnsi="宋体"/>
                <w:kern w:val="0"/>
                <w:szCs w:val="21"/>
              </w:rPr>
            </w:pPr>
            <w:r>
              <w:rPr>
                <w:rFonts w:hint="eastAsia" w:ascii="宋体" w:hAnsi="宋体"/>
                <w:kern w:val="0"/>
                <w:szCs w:val="21"/>
              </w:rPr>
              <w:t>1</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CF7">
            <w:pPr>
              <w:widowControl/>
              <w:spacing w:line="460" w:lineRule="exact"/>
              <w:jc w:val="center"/>
              <w:textAlignment w:val="center"/>
              <w:rPr>
                <w:rFonts w:ascii="宋体" w:hAnsi="宋体"/>
                <w:kern w:val="0"/>
                <w:szCs w:val="21"/>
              </w:rPr>
            </w:pPr>
          </w:p>
        </w:tc>
      </w:tr>
      <w:tr w14:paraId="1674ADF2">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56B">
            <w:pPr>
              <w:widowControl/>
              <w:spacing w:line="460" w:lineRule="exact"/>
              <w:jc w:val="center"/>
              <w:textAlignment w:val="center"/>
              <w:rPr>
                <w:rFonts w:ascii="宋体" w:hAnsi="宋体"/>
                <w:kern w:val="0"/>
                <w:szCs w:val="21"/>
              </w:rPr>
            </w:pPr>
            <w:r>
              <w:rPr>
                <w:rFonts w:hint="eastAsia" w:ascii="宋体" w:hAnsi="宋体"/>
                <w:kern w:val="0"/>
                <w:szCs w:val="21"/>
              </w:rPr>
              <w:t>2</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32C4">
            <w:pPr>
              <w:widowControl/>
              <w:spacing w:line="460" w:lineRule="exact"/>
              <w:jc w:val="center"/>
              <w:textAlignment w:val="center"/>
              <w:rPr>
                <w:rFonts w:ascii="宋体" w:hAnsi="宋体"/>
                <w:kern w:val="0"/>
                <w:szCs w:val="21"/>
              </w:rPr>
            </w:pPr>
            <w:r>
              <w:rPr>
                <w:rFonts w:hint="eastAsia" w:ascii="宋体" w:hAnsi="宋体"/>
                <w:kern w:val="0"/>
                <w:szCs w:val="21"/>
              </w:rPr>
              <w:t>活动中心及会场保洁员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D5F0">
            <w:pPr>
              <w:widowControl/>
              <w:spacing w:line="460" w:lineRule="exact"/>
              <w:jc w:val="center"/>
              <w:textAlignment w:val="center"/>
              <w:rPr>
                <w:rFonts w:ascii="宋体" w:hAnsi="宋体"/>
                <w:kern w:val="0"/>
                <w:szCs w:val="21"/>
              </w:rPr>
            </w:pPr>
            <w:r>
              <w:rPr>
                <w:rFonts w:hint="eastAsia" w:ascii="宋体" w:hAnsi="宋体"/>
                <w:kern w:val="0"/>
                <w:szCs w:val="21"/>
              </w:rPr>
              <w:t>5</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7A93">
            <w:pPr>
              <w:widowControl/>
              <w:spacing w:line="460" w:lineRule="exact"/>
              <w:jc w:val="center"/>
              <w:textAlignment w:val="center"/>
              <w:rPr>
                <w:rFonts w:ascii="宋体" w:hAnsi="宋体"/>
                <w:kern w:val="0"/>
                <w:szCs w:val="21"/>
              </w:rPr>
            </w:pPr>
          </w:p>
        </w:tc>
      </w:tr>
      <w:tr w14:paraId="31FBA0A5">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F73">
            <w:pPr>
              <w:widowControl/>
              <w:spacing w:line="460" w:lineRule="exact"/>
              <w:jc w:val="center"/>
              <w:textAlignment w:val="center"/>
              <w:rPr>
                <w:rFonts w:ascii="宋体" w:hAnsi="宋体"/>
                <w:kern w:val="0"/>
                <w:szCs w:val="21"/>
              </w:rPr>
            </w:pPr>
            <w:r>
              <w:rPr>
                <w:rFonts w:hint="eastAsia" w:ascii="宋体" w:hAnsi="宋体"/>
                <w:kern w:val="0"/>
                <w:szCs w:val="21"/>
              </w:rPr>
              <w:t>3</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4B89">
            <w:pPr>
              <w:widowControl/>
              <w:spacing w:line="460" w:lineRule="exact"/>
              <w:jc w:val="center"/>
              <w:textAlignment w:val="center"/>
              <w:rPr>
                <w:rFonts w:ascii="宋体" w:hAnsi="宋体"/>
                <w:kern w:val="0"/>
                <w:szCs w:val="21"/>
              </w:rPr>
            </w:pPr>
            <w:r>
              <w:rPr>
                <w:rFonts w:hint="eastAsia" w:ascii="宋体" w:hAnsi="宋体"/>
                <w:kern w:val="0"/>
                <w:szCs w:val="21"/>
              </w:rPr>
              <w:t>活动中心值班员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259">
            <w:pPr>
              <w:widowControl/>
              <w:spacing w:line="460" w:lineRule="exact"/>
              <w:jc w:val="center"/>
              <w:textAlignment w:val="center"/>
              <w:rPr>
                <w:rFonts w:ascii="宋体" w:hAnsi="宋体"/>
                <w:kern w:val="0"/>
                <w:szCs w:val="21"/>
              </w:rPr>
            </w:pPr>
            <w:r>
              <w:rPr>
                <w:rFonts w:hint="eastAsia" w:ascii="宋体" w:hAnsi="宋体"/>
                <w:kern w:val="0"/>
                <w:szCs w:val="21"/>
              </w:rPr>
              <w:t>2</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3385">
            <w:pPr>
              <w:widowControl/>
              <w:spacing w:line="460" w:lineRule="exact"/>
              <w:jc w:val="center"/>
              <w:textAlignment w:val="center"/>
              <w:rPr>
                <w:rFonts w:ascii="宋体" w:hAnsi="宋体"/>
                <w:kern w:val="0"/>
                <w:szCs w:val="21"/>
              </w:rPr>
            </w:pPr>
          </w:p>
        </w:tc>
      </w:tr>
      <w:tr w14:paraId="614B4D7A">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D89">
            <w:pPr>
              <w:widowControl/>
              <w:spacing w:line="460" w:lineRule="exact"/>
              <w:jc w:val="center"/>
              <w:textAlignment w:val="center"/>
              <w:rPr>
                <w:rFonts w:ascii="宋体" w:hAnsi="宋体"/>
                <w:kern w:val="0"/>
                <w:szCs w:val="21"/>
              </w:rPr>
            </w:pPr>
            <w:r>
              <w:rPr>
                <w:rFonts w:hint="eastAsia" w:ascii="宋体" w:hAnsi="宋体"/>
                <w:kern w:val="0"/>
                <w:szCs w:val="21"/>
              </w:rPr>
              <w:t>4</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D8C">
            <w:pPr>
              <w:widowControl/>
              <w:spacing w:line="460" w:lineRule="exact"/>
              <w:jc w:val="center"/>
              <w:textAlignment w:val="center"/>
              <w:rPr>
                <w:rFonts w:ascii="宋体" w:hAnsi="宋体"/>
                <w:kern w:val="0"/>
                <w:szCs w:val="21"/>
              </w:rPr>
            </w:pPr>
            <w:r>
              <w:rPr>
                <w:rFonts w:hint="eastAsia" w:ascii="宋体" w:hAnsi="宋体"/>
                <w:kern w:val="0"/>
                <w:szCs w:val="21"/>
              </w:rPr>
              <w:t>会场服务员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339">
            <w:pPr>
              <w:widowControl/>
              <w:spacing w:line="460" w:lineRule="exact"/>
              <w:jc w:val="center"/>
              <w:textAlignment w:val="center"/>
              <w:rPr>
                <w:rFonts w:ascii="宋体" w:hAnsi="宋体"/>
                <w:kern w:val="0"/>
                <w:szCs w:val="21"/>
              </w:rPr>
            </w:pPr>
            <w:r>
              <w:rPr>
                <w:rFonts w:hint="eastAsia" w:ascii="宋体" w:hAnsi="宋体"/>
                <w:kern w:val="0"/>
                <w:szCs w:val="21"/>
              </w:rPr>
              <w:t>7</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C2D5">
            <w:pPr>
              <w:widowControl/>
              <w:spacing w:line="460" w:lineRule="exact"/>
              <w:jc w:val="center"/>
              <w:textAlignment w:val="center"/>
              <w:rPr>
                <w:rFonts w:ascii="宋体" w:hAnsi="宋体"/>
                <w:kern w:val="0"/>
                <w:szCs w:val="21"/>
              </w:rPr>
            </w:pPr>
          </w:p>
        </w:tc>
      </w:tr>
      <w:tr w14:paraId="071DEA62">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B787">
            <w:pPr>
              <w:widowControl/>
              <w:spacing w:line="460" w:lineRule="exact"/>
              <w:jc w:val="center"/>
              <w:textAlignment w:val="center"/>
              <w:rPr>
                <w:rFonts w:ascii="宋体" w:hAnsi="宋体"/>
                <w:kern w:val="0"/>
                <w:szCs w:val="21"/>
              </w:rPr>
            </w:pPr>
            <w:r>
              <w:rPr>
                <w:rFonts w:hint="eastAsia" w:ascii="宋体" w:hAnsi="宋体"/>
                <w:kern w:val="0"/>
                <w:szCs w:val="21"/>
              </w:rPr>
              <w:t>5</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F8B">
            <w:pPr>
              <w:widowControl/>
              <w:spacing w:line="460" w:lineRule="exact"/>
              <w:jc w:val="center"/>
              <w:textAlignment w:val="center"/>
              <w:rPr>
                <w:rFonts w:ascii="宋体" w:hAnsi="宋体"/>
                <w:kern w:val="0"/>
                <w:szCs w:val="21"/>
              </w:rPr>
            </w:pPr>
            <w:r>
              <w:rPr>
                <w:rFonts w:hint="eastAsia" w:ascii="宋体" w:hAnsi="宋体"/>
                <w:kern w:val="0"/>
                <w:szCs w:val="21"/>
              </w:rPr>
              <w:t>会场技术员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F84C">
            <w:pPr>
              <w:widowControl/>
              <w:spacing w:line="460" w:lineRule="exact"/>
              <w:jc w:val="center"/>
              <w:textAlignment w:val="center"/>
              <w:rPr>
                <w:rFonts w:ascii="宋体" w:hAnsi="宋体"/>
                <w:kern w:val="0"/>
                <w:szCs w:val="21"/>
              </w:rPr>
            </w:pPr>
            <w:r>
              <w:rPr>
                <w:rFonts w:hint="eastAsia" w:ascii="宋体" w:hAnsi="宋体"/>
                <w:kern w:val="0"/>
                <w:szCs w:val="21"/>
              </w:rPr>
              <w:t>7</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B98C">
            <w:pPr>
              <w:widowControl/>
              <w:spacing w:line="460" w:lineRule="exact"/>
              <w:jc w:val="center"/>
              <w:textAlignment w:val="center"/>
              <w:rPr>
                <w:rFonts w:ascii="宋体" w:hAnsi="宋体"/>
                <w:kern w:val="0"/>
                <w:szCs w:val="21"/>
              </w:rPr>
            </w:pPr>
          </w:p>
        </w:tc>
      </w:tr>
      <w:tr w14:paraId="0D6AA8C2">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9B14">
            <w:pPr>
              <w:widowControl/>
              <w:spacing w:line="460" w:lineRule="exact"/>
              <w:jc w:val="center"/>
              <w:textAlignment w:val="center"/>
              <w:rPr>
                <w:rFonts w:ascii="宋体" w:hAnsi="宋体"/>
                <w:kern w:val="0"/>
                <w:szCs w:val="21"/>
              </w:rPr>
            </w:pPr>
            <w:r>
              <w:rPr>
                <w:rFonts w:hint="eastAsia" w:ascii="宋体" w:hAnsi="宋体"/>
                <w:kern w:val="0"/>
                <w:szCs w:val="21"/>
              </w:rPr>
              <w:t>6</w:t>
            </w:r>
          </w:p>
        </w:tc>
        <w:tc>
          <w:tcPr>
            <w:tcW w:w="4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722D">
            <w:pPr>
              <w:widowControl/>
              <w:spacing w:line="460" w:lineRule="exact"/>
              <w:jc w:val="center"/>
              <w:textAlignment w:val="center"/>
              <w:rPr>
                <w:rFonts w:ascii="宋体" w:hAnsi="宋体"/>
                <w:kern w:val="0"/>
                <w:szCs w:val="21"/>
              </w:rPr>
            </w:pPr>
            <w:r>
              <w:rPr>
                <w:rFonts w:hint="eastAsia" w:ascii="宋体" w:hAnsi="宋体"/>
                <w:kern w:val="0"/>
                <w:szCs w:val="21"/>
              </w:rPr>
              <w:t>会场维修员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84D9">
            <w:pPr>
              <w:widowControl/>
              <w:spacing w:line="460" w:lineRule="exact"/>
              <w:jc w:val="center"/>
              <w:textAlignment w:val="center"/>
              <w:rPr>
                <w:rFonts w:ascii="宋体" w:hAnsi="宋体"/>
                <w:kern w:val="0"/>
                <w:szCs w:val="21"/>
              </w:rPr>
            </w:pPr>
            <w:r>
              <w:rPr>
                <w:rFonts w:hint="eastAsia" w:ascii="宋体" w:hAnsi="宋体"/>
                <w:kern w:val="0"/>
                <w:szCs w:val="21"/>
              </w:rPr>
              <w:t>1</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D207">
            <w:pPr>
              <w:widowControl/>
              <w:spacing w:line="460" w:lineRule="exact"/>
              <w:jc w:val="center"/>
              <w:textAlignment w:val="center"/>
              <w:rPr>
                <w:rFonts w:ascii="宋体" w:hAnsi="宋体"/>
                <w:kern w:val="0"/>
                <w:szCs w:val="21"/>
              </w:rPr>
            </w:pPr>
          </w:p>
        </w:tc>
      </w:tr>
      <w:tr w14:paraId="03333F4B">
        <w:tblPrEx>
          <w:tblCellMar>
            <w:top w:w="0" w:type="dxa"/>
            <w:left w:w="108" w:type="dxa"/>
            <w:bottom w:w="0" w:type="dxa"/>
            <w:right w:w="108" w:type="dxa"/>
          </w:tblCellMar>
        </w:tblPrEx>
        <w:trPr>
          <w:trHeight w:val="516" w:hRule="atLeast"/>
        </w:trPr>
        <w:tc>
          <w:tcPr>
            <w:tcW w:w="4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9C27C">
            <w:pPr>
              <w:widowControl/>
              <w:spacing w:line="460" w:lineRule="exact"/>
              <w:jc w:val="center"/>
              <w:textAlignment w:val="center"/>
              <w:rPr>
                <w:rFonts w:ascii="宋体" w:hAnsi="宋体"/>
                <w:kern w:val="0"/>
                <w:szCs w:val="21"/>
              </w:rPr>
            </w:pPr>
            <w:r>
              <w:rPr>
                <w:rFonts w:hint="eastAsia" w:ascii="宋体" w:hAnsi="宋体"/>
                <w:kern w:val="0"/>
                <w:szCs w:val="21"/>
              </w:rPr>
              <w:t>小计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DA42">
            <w:pPr>
              <w:widowControl/>
              <w:spacing w:line="460" w:lineRule="exact"/>
              <w:jc w:val="center"/>
              <w:textAlignment w:val="center"/>
              <w:rPr>
                <w:rFonts w:ascii="宋体" w:hAnsi="宋体"/>
                <w:kern w:val="0"/>
                <w:szCs w:val="21"/>
              </w:rPr>
            </w:pPr>
            <w:r>
              <w:rPr>
                <w:rFonts w:hint="eastAsia" w:ascii="宋体" w:hAnsi="宋体"/>
                <w:kern w:val="0"/>
                <w:szCs w:val="21"/>
              </w:rPr>
              <w:t>23</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18A0">
            <w:pPr>
              <w:widowControl/>
              <w:spacing w:line="460" w:lineRule="exact"/>
              <w:jc w:val="center"/>
              <w:textAlignment w:val="center"/>
              <w:rPr>
                <w:rFonts w:ascii="宋体" w:hAnsi="宋体"/>
                <w:kern w:val="0"/>
                <w:szCs w:val="21"/>
              </w:rPr>
            </w:pPr>
          </w:p>
        </w:tc>
      </w:tr>
    </w:tbl>
    <w:p w14:paraId="10D9D83D">
      <w:pPr>
        <w:spacing w:line="360" w:lineRule="auto"/>
        <w:ind w:firstLine="420" w:firstLineChars="200"/>
        <w:outlineLvl w:val="2"/>
        <w:rPr>
          <w:rFonts w:asciiTheme="minorEastAsia" w:hAnsiTheme="minorEastAsia" w:cstheme="minorEastAsia"/>
          <w:szCs w:val="21"/>
        </w:rPr>
      </w:pPr>
      <w:r>
        <w:rPr>
          <w:rFonts w:hint="eastAsia" w:asciiTheme="minorEastAsia" w:hAnsiTheme="minorEastAsia" w:cstheme="minorEastAsia"/>
          <w:szCs w:val="21"/>
        </w:rPr>
        <w:t>3.活动中心及会务服务标准</w:t>
      </w:r>
    </w:p>
    <w:tbl>
      <w:tblPr>
        <w:tblStyle w:val="53"/>
        <w:tblW w:w="8773"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815"/>
        <w:gridCol w:w="6286"/>
      </w:tblGrid>
      <w:tr w14:paraId="17CB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2" w:type="dxa"/>
            <w:vAlign w:val="center"/>
          </w:tcPr>
          <w:p w14:paraId="18974F7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815" w:type="dxa"/>
            <w:vAlign w:val="center"/>
          </w:tcPr>
          <w:p w14:paraId="495F96C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服务内容</w:t>
            </w:r>
          </w:p>
        </w:tc>
        <w:tc>
          <w:tcPr>
            <w:tcW w:w="6286" w:type="dxa"/>
            <w:vAlign w:val="center"/>
          </w:tcPr>
          <w:p w14:paraId="3D04A80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服务要求</w:t>
            </w:r>
          </w:p>
        </w:tc>
      </w:tr>
      <w:tr w14:paraId="627C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28A6A53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815" w:type="dxa"/>
            <w:vAlign w:val="center"/>
          </w:tcPr>
          <w:p w14:paraId="472CE794">
            <w:pPr>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rPr>
              <w:t>会务服务</w:t>
            </w:r>
          </w:p>
        </w:tc>
        <w:tc>
          <w:tcPr>
            <w:tcW w:w="6286" w:type="dxa"/>
            <w:vAlign w:val="center"/>
          </w:tcPr>
          <w:p w14:paraId="4C315DB8">
            <w:pPr>
              <w:numPr>
                <w:ilvl w:val="0"/>
                <w:numId w:val="25"/>
              </w:num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根据会务规格和会议要求进行场地布置；保证会议室环境的整洁、清爽。以上工作一般提前半天准备到位。</w:t>
            </w:r>
          </w:p>
          <w:p w14:paraId="22BF9F83">
            <w:pPr>
              <w:numPr>
                <w:ilvl w:val="0"/>
                <w:numId w:val="25"/>
              </w:num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认真做好会场卫生，茶具、毛巾应按标准严格消毒；会议期间保障茶水供应，合理调节室内温度。</w:t>
            </w:r>
          </w:p>
          <w:p w14:paraId="0C447492">
            <w:pPr>
              <w:numPr>
                <w:ilvl w:val="255"/>
                <w:numId w:val="0"/>
              </w:num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3.会议服务期间按要求穿着统一工作服。</w:t>
            </w:r>
          </w:p>
          <w:p w14:paraId="77C7F729">
            <w:pPr>
              <w:spacing w:line="360" w:lineRule="auto"/>
              <w:rPr>
                <w:rFonts w:ascii="宋体" w:hAnsi="宋体" w:cs="宋体"/>
              </w:rPr>
            </w:pPr>
            <w:r>
              <w:rPr>
                <w:rFonts w:hint="eastAsia" w:asciiTheme="minorEastAsia" w:hAnsiTheme="minorEastAsia" w:cstheme="minorEastAsia"/>
                <w:kern w:val="0"/>
                <w:szCs w:val="21"/>
              </w:rPr>
              <w:t>4.会后应及时清扫场地，关闭门窗、空调、灯光等。会前、会后做好会场通风。</w:t>
            </w:r>
          </w:p>
          <w:p w14:paraId="7B5AC557">
            <w:pPr>
              <w:pStyle w:val="350"/>
              <w:spacing w:line="360" w:lineRule="auto"/>
              <w:rPr>
                <w:rFonts w:asciiTheme="minorEastAsia" w:hAnsiTheme="minorEastAsia" w:cstheme="minorEastAsia"/>
                <w:color w:val="auto"/>
                <w:sz w:val="21"/>
                <w:szCs w:val="21"/>
              </w:rPr>
            </w:pPr>
            <w:r>
              <w:rPr>
                <w:rFonts w:hint="eastAsia" w:ascii="宋体" w:hAnsi="宋体" w:eastAsia="宋体" w:cs="宋体"/>
                <w:color w:val="auto"/>
                <w:sz w:val="21"/>
                <w:szCs w:val="21"/>
              </w:rPr>
              <w:t>5.工作时间以会务保障要求为准。</w:t>
            </w:r>
          </w:p>
        </w:tc>
      </w:tr>
      <w:tr w14:paraId="5C3D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701FAA7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815" w:type="dxa"/>
            <w:vAlign w:val="center"/>
          </w:tcPr>
          <w:p w14:paraId="1E70A52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音控保障</w:t>
            </w:r>
          </w:p>
        </w:tc>
        <w:tc>
          <w:tcPr>
            <w:tcW w:w="6286" w:type="dxa"/>
            <w:vAlign w:val="center"/>
          </w:tcPr>
          <w:p w14:paraId="60E093F9">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1.定期对音控、灯光、LED屏、投影和多媒体等设备进行维护保养，出现故障要及时处理，必要时与维保单位沟通，保障设备的正常使用。</w:t>
            </w:r>
          </w:p>
          <w:p w14:paraId="5E46BCD4">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2.有会议和活动任务，需提前进行调试，提前30分钟等候；结束后要及时关闭设备和电源，并将设备归位，如有临时任务，应服从工作安排。</w:t>
            </w:r>
          </w:p>
          <w:p w14:paraId="52E5A4AC">
            <w:pPr>
              <w:pStyle w:val="350"/>
              <w:spacing w:line="360" w:lineRule="auto"/>
              <w:rPr>
                <w:rFonts w:asciiTheme="minorEastAsia" w:hAnsiTheme="minorEastAsia" w:cstheme="minorEastAsia"/>
                <w:color w:val="auto"/>
                <w:sz w:val="21"/>
                <w:szCs w:val="21"/>
              </w:rPr>
            </w:pPr>
            <w:r>
              <w:rPr>
                <w:rFonts w:hint="eastAsia" w:ascii="宋体" w:hAnsi="宋体" w:eastAsia="宋体" w:cs="宋体"/>
                <w:color w:val="auto"/>
                <w:sz w:val="21"/>
                <w:szCs w:val="21"/>
              </w:rPr>
              <w:t>3.工作时间以会务保障要求为准。</w:t>
            </w:r>
          </w:p>
        </w:tc>
      </w:tr>
      <w:tr w14:paraId="6D48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02514B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815" w:type="dxa"/>
            <w:vAlign w:val="center"/>
          </w:tcPr>
          <w:p w14:paraId="101EC1F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卫生保洁</w:t>
            </w:r>
          </w:p>
        </w:tc>
        <w:tc>
          <w:tcPr>
            <w:tcW w:w="6286" w:type="dxa"/>
            <w:vAlign w:val="center"/>
          </w:tcPr>
          <w:p w14:paraId="3FA6BDA9">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1.保证地面、墙面、楼梯、扶手、大厅、玻璃、走廊等整洁干净，无垃圾、无积灰、无污渍。</w:t>
            </w:r>
          </w:p>
          <w:p w14:paraId="6FD03243">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2.地面清洁无异味，物品摆放有序，无垃圾、无污迹、无积水、无堆积杂物，电器设施外观清洁。</w:t>
            </w:r>
          </w:p>
          <w:p w14:paraId="28BA7813">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3.垃圾日产日清，无过量垃圾，如遇重大活动要随时清理。</w:t>
            </w:r>
          </w:p>
        </w:tc>
      </w:tr>
      <w:tr w14:paraId="1546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A5A789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1815" w:type="dxa"/>
            <w:vAlign w:val="center"/>
          </w:tcPr>
          <w:p w14:paraId="035834E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活动中心值班</w:t>
            </w:r>
          </w:p>
        </w:tc>
        <w:tc>
          <w:tcPr>
            <w:tcW w:w="6286" w:type="dxa"/>
            <w:vAlign w:val="center"/>
          </w:tcPr>
          <w:p w14:paraId="1EE62DE9">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1.实行24小时值班。</w:t>
            </w:r>
          </w:p>
          <w:p w14:paraId="7580A45E">
            <w:pPr>
              <w:widowControl/>
              <w:spacing w:line="360" w:lineRule="auto"/>
              <w:rPr>
                <w:rFonts w:asciiTheme="minorEastAsia" w:hAnsiTheme="minorEastAsia" w:cstheme="minorEastAsia"/>
                <w:szCs w:val="21"/>
              </w:rPr>
            </w:pPr>
            <w:r>
              <w:rPr>
                <w:rFonts w:hint="eastAsia" w:asciiTheme="minorEastAsia" w:hAnsiTheme="minorEastAsia" w:cstheme="minorEastAsia"/>
                <w:kern w:val="0"/>
                <w:szCs w:val="21"/>
              </w:rPr>
              <w:t>2.对重要区域、部位、设备机房进行重点检查，及时发现和处理各种安全和事故隐患。</w:t>
            </w:r>
          </w:p>
        </w:tc>
      </w:tr>
      <w:tr w14:paraId="6204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7E51E14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1815" w:type="dxa"/>
            <w:vAlign w:val="center"/>
          </w:tcPr>
          <w:p w14:paraId="12BACF9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维修</w:t>
            </w:r>
          </w:p>
        </w:tc>
        <w:tc>
          <w:tcPr>
            <w:tcW w:w="6286" w:type="dxa"/>
            <w:vAlign w:val="center"/>
          </w:tcPr>
          <w:p w14:paraId="7CB33087">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1.保障服务范围内的场所水电正常运行。</w:t>
            </w:r>
          </w:p>
          <w:p w14:paraId="7C37B65C">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2.接到报修任务须及时维修。一般维修任务须在当天完成，当天不能完成的必须说明原因。紧急报修任务须在10分钟内赶到故障现场。</w:t>
            </w:r>
          </w:p>
          <w:p w14:paraId="0EF7A81D">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3.学校大型活动或者其他必须到达现场。</w:t>
            </w:r>
          </w:p>
        </w:tc>
      </w:tr>
      <w:tr w14:paraId="227C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133FA4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1815" w:type="dxa"/>
            <w:vAlign w:val="center"/>
          </w:tcPr>
          <w:p w14:paraId="1D3F7E6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物品清洗</w:t>
            </w:r>
          </w:p>
        </w:tc>
        <w:tc>
          <w:tcPr>
            <w:tcW w:w="6286" w:type="dxa"/>
            <w:vAlign w:val="center"/>
          </w:tcPr>
          <w:p w14:paraId="66F92A11">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会议用品、沙发、台布、地毯等随时保持干净。</w:t>
            </w:r>
          </w:p>
        </w:tc>
      </w:tr>
    </w:tbl>
    <w:p w14:paraId="40A5C719">
      <w:pPr>
        <w:spacing w:line="360" w:lineRule="auto"/>
        <w:ind w:firstLine="420" w:firstLineChars="200"/>
        <w:jc w:val="left"/>
        <w:rPr>
          <w:rFonts w:asciiTheme="minorEastAsia" w:hAnsiTheme="minorEastAsia" w:cstheme="minorEastAsia"/>
          <w:szCs w:val="21"/>
        </w:rPr>
      </w:pPr>
    </w:p>
    <w:p w14:paraId="4E16E58B">
      <w:pPr>
        <w:numPr>
          <w:ilvl w:val="255"/>
          <w:numId w:val="0"/>
        </w:numPr>
        <w:spacing w:line="360" w:lineRule="auto"/>
        <w:ind w:firstLine="420" w:firstLineChars="200"/>
        <w:jc w:val="left"/>
        <w:outlineLvl w:val="2"/>
        <w:rPr>
          <w:rFonts w:ascii="宋体" w:hAnsi="宋体"/>
          <w:szCs w:val="21"/>
        </w:rPr>
      </w:pPr>
      <w:r>
        <w:rPr>
          <w:rFonts w:hint="eastAsia" w:asciiTheme="minorEastAsia" w:hAnsiTheme="minorEastAsia" w:cstheme="minorEastAsia"/>
          <w:szCs w:val="21"/>
        </w:rPr>
        <w:t>4.活动中心及会场清单</w:t>
      </w:r>
    </w:p>
    <w:tbl>
      <w:tblPr>
        <w:tblStyle w:val="53"/>
        <w:tblW w:w="4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595"/>
        <w:gridCol w:w="2022"/>
        <w:gridCol w:w="2637"/>
      </w:tblGrid>
      <w:tr w14:paraId="2987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7B5515EA">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序号</w:t>
            </w:r>
          </w:p>
        </w:tc>
        <w:tc>
          <w:tcPr>
            <w:tcW w:w="1608" w:type="pct"/>
            <w:tcBorders>
              <w:top w:val="single" w:color="auto" w:sz="4" w:space="0"/>
              <w:left w:val="single" w:color="auto" w:sz="4" w:space="0"/>
              <w:bottom w:val="single" w:color="auto" w:sz="4" w:space="0"/>
              <w:right w:val="single" w:color="auto" w:sz="4" w:space="0"/>
            </w:tcBorders>
            <w:vAlign w:val="center"/>
          </w:tcPr>
          <w:p w14:paraId="4E2EB506">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名称</w:t>
            </w:r>
          </w:p>
        </w:tc>
        <w:tc>
          <w:tcPr>
            <w:tcW w:w="1253" w:type="pct"/>
            <w:tcBorders>
              <w:top w:val="single" w:color="auto" w:sz="4" w:space="0"/>
              <w:left w:val="single" w:color="auto" w:sz="4" w:space="0"/>
              <w:bottom w:val="single" w:color="auto" w:sz="4" w:space="0"/>
              <w:right w:val="single" w:color="auto" w:sz="4" w:space="0"/>
            </w:tcBorders>
            <w:vAlign w:val="center"/>
          </w:tcPr>
          <w:p w14:paraId="6F2CA289">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建筑总面积(m</w:t>
            </w:r>
            <w:r>
              <w:rPr>
                <w:rFonts w:hint="eastAsia" w:asciiTheme="minorEastAsia" w:hAnsiTheme="minorEastAsia" w:cstheme="minorEastAsia"/>
                <w:kern w:val="0"/>
                <w:szCs w:val="21"/>
                <w:vertAlign w:val="superscript"/>
              </w:rPr>
              <w:t>2</w:t>
            </w: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65685FD8">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座位数</w:t>
            </w:r>
          </w:p>
        </w:tc>
      </w:tr>
      <w:tr w14:paraId="082E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6225D79E">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608" w:type="pct"/>
            <w:tcBorders>
              <w:top w:val="single" w:color="auto" w:sz="4" w:space="0"/>
              <w:left w:val="single" w:color="auto" w:sz="4" w:space="0"/>
              <w:bottom w:val="single" w:color="auto" w:sz="4" w:space="0"/>
              <w:right w:val="single" w:color="auto" w:sz="4" w:space="0"/>
            </w:tcBorders>
            <w:vAlign w:val="center"/>
          </w:tcPr>
          <w:p w14:paraId="79E4C30D">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活动中心</w:t>
            </w:r>
          </w:p>
        </w:tc>
        <w:tc>
          <w:tcPr>
            <w:tcW w:w="1253" w:type="pct"/>
            <w:tcBorders>
              <w:top w:val="single" w:color="auto" w:sz="4" w:space="0"/>
              <w:left w:val="single" w:color="auto" w:sz="4" w:space="0"/>
              <w:bottom w:val="single" w:color="auto" w:sz="4" w:space="0"/>
              <w:right w:val="single" w:color="auto" w:sz="4" w:space="0"/>
            </w:tcBorders>
            <w:vAlign w:val="center"/>
          </w:tcPr>
          <w:p w14:paraId="0EFB0E89">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8190.80</w:t>
            </w:r>
          </w:p>
        </w:tc>
        <w:tc>
          <w:tcPr>
            <w:tcW w:w="1634" w:type="pct"/>
            <w:tcBorders>
              <w:top w:val="single" w:color="auto" w:sz="4" w:space="0"/>
              <w:left w:val="single" w:color="auto" w:sz="4" w:space="0"/>
              <w:bottom w:val="single" w:color="auto" w:sz="4" w:space="0"/>
              <w:right w:val="single" w:color="auto" w:sz="4" w:space="0"/>
            </w:tcBorders>
            <w:vAlign w:val="center"/>
          </w:tcPr>
          <w:p w14:paraId="727A913C">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r>
      <w:tr w14:paraId="44B7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3B8A1EC9">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608" w:type="pct"/>
            <w:tcBorders>
              <w:top w:val="single" w:color="auto" w:sz="4" w:space="0"/>
              <w:left w:val="single" w:color="auto" w:sz="4" w:space="0"/>
              <w:bottom w:val="single" w:color="auto" w:sz="4" w:space="0"/>
              <w:right w:val="single" w:color="auto" w:sz="4" w:space="0"/>
            </w:tcBorders>
            <w:vAlign w:val="center"/>
          </w:tcPr>
          <w:p w14:paraId="19DA4392">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图书馆第一报告厅</w:t>
            </w:r>
          </w:p>
        </w:tc>
        <w:tc>
          <w:tcPr>
            <w:tcW w:w="1253" w:type="pct"/>
            <w:tcBorders>
              <w:top w:val="single" w:color="auto" w:sz="4" w:space="0"/>
              <w:left w:val="single" w:color="auto" w:sz="4" w:space="0"/>
              <w:bottom w:val="single" w:color="auto" w:sz="4" w:space="0"/>
              <w:right w:val="single" w:color="auto" w:sz="4" w:space="0"/>
            </w:tcBorders>
            <w:vAlign w:val="center"/>
          </w:tcPr>
          <w:p w14:paraId="1150806C">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41F211CB">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528 人</w:t>
            </w:r>
          </w:p>
        </w:tc>
      </w:tr>
      <w:tr w14:paraId="575C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28C37CFB">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608" w:type="pct"/>
            <w:tcBorders>
              <w:top w:val="single" w:color="auto" w:sz="4" w:space="0"/>
              <w:left w:val="single" w:color="auto" w:sz="4" w:space="0"/>
              <w:bottom w:val="single" w:color="auto" w:sz="4" w:space="0"/>
              <w:right w:val="single" w:color="auto" w:sz="4" w:space="0"/>
            </w:tcBorders>
            <w:vAlign w:val="center"/>
          </w:tcPr>
          <w:p w14:paraId="26A53910">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图书馆第二报告厅</w:t>
            </w:r>
          </w:p>
        </w:tc>
        <w:tc>
          <w:tcPr>
            <w:tcW w:w="1253" w:type="pct"/>
            <w:tcBorders>
              <w:top w:val="single" w:color="auto" w:sz="4" w:space="0"/>
              <w:left w:val="single" w:color="auto" w:sz="4" w:space="0"/>
              <w:bottom w:val="single" w:color="auto" w:sz="4" w:space="0"/>
              <w:right w:val="single" w:color="auto" w:sz="4" w:space="0"/>
            </w:tcBorders>
            <w:vAlign w:val="center"/>
          </w:tcPr>
          <w:p w14:paraId="3C616C81">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6FC08797">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192人</w:t>
            </w:r>
          </w:p>
        </w:tc>
      </w:tr>
      <w:tr w14:paraId="162C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7B0C8D16">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608" w:type="pct"/>
            <w:tcBorders>
              <w:top w:val="single" w:color="auto" w:sz="4" w:space="0"/>
              <w:left w:val="single" w:color="auto" w:sz="4" w:space="0"/>
              <w:bottom w:val="single" w:color="auto" w:sz="4" w:space="0"/>
              <w:right w:val="single" w:color="auto" w:sz="4" w:space="0"/>
            </w:tcBorders>
            <w:vAlign w:val="center"/>
          </w:tcPr>
          <w:p w14:paraId="00D83045">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学3国际报告厅</w:t>
            </w:r>
          </w:p>
        </w:tc>
        <w:tc>
          <w:tcPr>
            <w:tcW w:w="1253" w:type="pct"/>
            <w:tcBorders>
              <w:top w:val="single" w:color="auto" w:sz="4" w:space="0"/>
              <w:left w:val="single" w:color="auto" w:sz="4" w:space="0"/>
              <w:bottom w:val="single" w:color="auto" w:sz="4" w:space="0"/>
              <w:right w:val="single" w:color="auto" w:sz="4" w:space="0"/>
            </w:tcBorders>
            <w:vAlign w:val="center"/>
          </w:tcPr>
          <w:p w14:paraId="4FD28BC3">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0AAB4ADD">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196人</w:t>
            </w:r>
          </w:p>
        </w:tc>
      </w:tr>
      <w:tr w14:paraId="27AB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251B8FFF">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608" w:type="pct"/>
            <w:tcBorders>
              <w:top w:val="single" w:color="auto" w:sz="4" w:space="0"/>
              <w:left w:val="single" w:color="auto" w:sz="4" w:space="0"/>
              <w:bottom w:val="single" w:color="auto" w:sz="4" w:space="0"/>
              <w:right w:val="single" w:color="auto" w:sz="4" w:space="0"/>
            </w:tcBorders>
            <w:vAlign w:val="center"/>
          </w:tcPr>
          <w:p w14:paraId="3916E724">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学9211报告厅</w:t>
            </w:r>
          </w:p>
        </w:tc>
        <w:tc>
          <w:tcPr>
            <w:tcW w:w="1253" w:type="pct"/>
            <w:tcBorders>
              <w:top w:val="single" w:color="auto" w:sz="4" w:space="0"/>
              <w:left w:val="single" w:color="auto" w:sz="4" w:space="0"/>
              <w:bottom w:val="single" w:color="auto" w:sz="4" w:space="0"/>
              <w:right w:val="single" w:color="auto" w:sz="4" w:space="0"/>
            </w:tcBorders>
            <w:vAlign w:val="center"/>
          </w:tcPr>
          <w:p w14:paraId="7EB81082">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4944F621">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156人</w:t>
            </w:r>
          </w:p>
        </w:tc>
      </w:tr>
      <w:tr w14:paraId="74C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35431E59">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608" w:type="pct"/>
            <w:tcBorders>
              <w:top w:val="single" w:color="auto" w:sz="4" w:space="0"/>
              <w:left w:val="single" w:color="auto" w:sz="4" w:space="0"/>
              <w:bottom w:val="single" w:color="auto" w:sz="4" w:space="0"/>
              <w:right w:val="single" w:color="auto" w:sz="4" w:space="0"/>
            </w:tcBorders>
            <w:vAlign w:val="center"/>
          </w:tcPr>
          <w:p w14:paraId="1F3E5F0A">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学11301报告厅</w:t>
            </w:r>
          </w:p>
        </w:tc>
        <w:tc>
          <w:tcPr>
            <w:tcW w:w="1253" w:type="pct"/>
            <w:tcBorders>
              <w:top w:val="single" w:color="auto" w:sz="4" w:space="0"/>
              <w:left w:val="single" w:color="auto" w:sz="4" w:space="0"/>
              <w:bottom w:val="single" w:color="auto" w:sz="4" w:space="0"/>
              <w:right w:val="single" w:color="auto" w:sz="4" w:space="0"/>
            </w:tcBorders>
            <w:vAlign w:val="center"/>
          </w:tcPr>
          <w:p w14:paraId="2D044DED">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5F1A581E">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156人</w:t>
            </w:r>
          </w:p>
        </w:tc>
      </w:tr>
      <w:tr w14:paraId="1861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28325864">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608" w:type="pct"/>
            <w:tcBorders>
              <w:top w:val="single" w:color="auto" w:sz="4" w:space="0"/>
              <w:left w:val="single" w:color="auto" w:sz="4" w:space="0"/>
              <w:bottom w:val="single" w:color="auto" w:sz="4" w:space="0"/>
              <w:right w:val="single" w:color="auto" w:sz="4" w:space="0"/>
            </w:tcBorders>
            <w:vAlign w:val="center"/>
          </w:tcPr>
          <w:p w14:paraId="71DB5132">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衣锦校区报告厅</w:t>
            </w:r>
          </w:p>
        </w:tc>
        <w:tc>
          <w:tcPr>
            <w:tcW w:w="1253" w:type="pct"/>
            <w:tcBorders>
              <w:top w:val="single" w:color="auto" w:sz="4" w:space="0"/>
              <w:left w:val="single" w:color="auto" w:sz="4" w:space="0"/>
              <w:bottom w:val="single" w:color="auto" w:sz="4" w:space="0"/>
              <w:right w:val="single" w:color="auto" w:sz="4" w:space="0"/>
            </w:tcBorders>
            <w:vAlign w:val="center"/>
          </w:tcPr>
          <w:p w14:paraId="42B840BB">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20BE2C85">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576人</w:t>
            </w:r>
          </w:p>
        </w:tc>
      </w:tr>
      <w:tr w14:paraId="4B03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2794628B">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608" w:type="pct"/>
            <w:tcBorders>
              <w:top w:val="single" w:color="auto" w:sz="4" w:space="0"/>
              <w:left w:val="single" w:color="auto" w:sz="4" w:space="0"/>
              <w:bottom w:val="single" w:color="auto" w:sz="4" w:space="0"/>
              <w:right w:val="single" w:color="auto" w:sz="4" w:space="0"/>
            </w:tcBorders>
            <w:vAlign w:val="center"/>
          </w:tcPr>
          <w:p w14:paraId="5BE8270E">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活动中心影剧院</w:t>
            </w:r>
          </w:p>
        </w:tc>
        <w:tc>
          <w:tcPr>
            <w:tcW w:w="1253" w:type="pct"/>
            <w:tcBorders>
              <w:top w:val="single" w:color="auto" w:sz="4" w:space="0"/>
              <w:left w:val="single" w:color="auto" w:sz="4" w:space="0"/>
              <w:bottom w:val="single" w:color="auto" w:sz="4" w:space="0"/>
              <w:right w:val="single" w:color="auto" w:sz="4" w:space="0"/>
            </w:tcBorders>
            <w:vAlign w:val="center"/>
          </w:tcPr>
          <w:p w14:paraId="0E14DDF9">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3D26907D">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1065人</w:t>
            </w:r>
          </w:p>
        </w:tc>
      </w:tr>
      <w:tr w14:paraId="0966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1C1BDB1B">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608" w:type="pct"/>
            <w:tcBorders>
              <w:top w:val="single" w:color="auto" w:sz="4" w:space="0"/>
              <w:left w:val="single" w:color="auto" w:sz="4" w:space="0"/>
              <w:bottom w:val="single" w:color="auto" w:sz="4" w:space="0"/>
              <w:right w:val="single" w:color="auto" w:sz="4" w:space="0"/>
            </w:tcBorders>
            <w:vAlign w:val="center"/>
          </w:tcPr>
          <w:p w14:paraId="09F1B886">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活动中心视听室202</w:t>
            </w:r>
          </w:p>
        </w:tc>
        <w:tc>
          <w:tcPr>
            <w:tcW w:w="1253" w:type="pct"/>
            <w:tcBorders>
              <w:top w:val="single" w:color="auto" w:sz="4" w:space="0"/>
              <w:left w:val="single" w:color="auto" w:sz="4" w:space="0"/>
              <w:bottom w:val="single" w:color="auto" w:sz="4" w:space="0"/>
              <w:right w:val="single" w:color="auto" w:sz="4" w:space="0"/>
            </w:tcBorders>
            <w:vAlign w:val="center"/>
          </w:tcPr>
          <w:p w14:paraId="42CEAB43">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vAlign w:val="center"/>
          </w:tcPr>
          <w:p w14:paraId="328B0406">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70-84人</w:t>
            </w:r>
          </w:p>
        </w:tc>
      </w:tr>
      <w:tr w14:paraId="102B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9E91E78">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608" w:type="pct"/>
            <w:tcBorders>
              <w:top w:val="single" w:color="auto" w:sz="4" w:space="0"/>
              <w:left w:val="single" w:color="auto" w:sz="4" w:space="0"/>
              <w:bottom w:val="single" w:color="auto" w:sz="4" w:space="0"/>
              <w:right w:val="single" w:color="auto" w:sz="4" w:space="0"/>
            </w:tcBorders>
            <w:shd w:val="clear" w:color="auto" w:fill="auto"/>
            <w:vAlign w:val="center"/>
          </w:tcPr>
          <w:p w14:paraId="3F920281">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lang w:bidi="ar"/>
              </w:rPr>
              <w:t>国重 101 会场</w:t>
            </w:r>
          </w:p>
        </w:tc>
        <w:tc>
          <w:tcPr>
            <w:tcW w:w="1253" w:type="pct"/>
            <w:tcBorders>
              <w:top w:val="single" w:color="auto" w:sz="4" w:space="0"/>
              <w:left w:val="single" w:color="auto" w:sz="4" w:space="0"/>
              <w:bottom w:val="single" w:color="auto" w:sz="4" w:space="0"/>
              <w:right w:val="single" w:color="auto" w:sz="4" w:space="0"/>
            </w:tcBorders>
            <w:shd w:val="clear" w:color="auto" w:fill="auto"/>
            <w:vAlign w:val="center"/>
          </w:tcPr>
          <w:p w14:paraId="1AAF9C04">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shd w:val="clear" w:color="auto" w:fill="auto"/>
            <w:vAlign w:val="center"/>
          </w:tcPr>
          <w:p w14:paraId="3651625F">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100-200人</w:t>
            </w:r>
          </w:p>
        </w:tc>
      </w:tr>
      <w:tr w14:paraId="0EED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5CE75C24">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608" w:type="pct"/>
            <w:tcBorders>
              <w:top w:val="single" w:color="auto" w:sz="4" w:space="0"/>
              <w:left w:val="single" w:color="auto" w:sz="4" w:space="0"/>
              <w:bottom w:val="single" w:color="auto" w:sz="4" w:space="0"/>
              <w:right w:val="single" w:color="auto" w:sz="4" w:space="0"/>
            </w:tcBorders>
            <w:shd w:val="clear" w:color="auto" w:fill="auto"/>
            <w:vAlign w:val="center"/>
          </w:tcPr>
          <w:p w14:paraId="7B489101">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新农科会场</w:t>
            </w:r>
          </w:p>
        </w:tc>
        <w:tc>
          <w:tcPr>
            <w:tcW w:w="1253" w:type="pct"/>
            <w:tcBorders>
              <w:top w:val="single" w:color="auto" w:sz="4" w:space="0"/>
              <w:left w:val="single" w:color="auto" w:sz="4" w:space="0"/>
              <w:bottom w:val="single" w:color="auto" w:sz="4" w:space="0"/>
              <w:right w:val="single" w:color="auto" w:sz="4" w:space="0"/>
            </w:tcBorders>
            <w:shd w:val="clear" w:color="auto" w:fill="auto"/>
            <w:vAlign w:val="center"/>
          </w:tcPr>
          <w:p w14:paraId="6AC36B08">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1634" w:type="pct"/>
            <w:tcBorders>
              <w:top w:val="single" w:color="auto" w:sz="4" w:space="0"/>
              <w:left w:val="single" w:color="auto" w:sz="4" w:space="0"/>
              <w:bottom w:val="single" w:color="auto" w:sz="4" w:space="0"/>
              <w:right w:val="single" w:color="auto" w:sz="4" w:space="0"/>
            </w:tcBorders>
            <w:shd w:val="clear" w:color="auto" w:fill="auto"/>
            <w:vAlign w:val="center"/>
          </w:tcPr>
          <w:p w14:paraId="04A10320">
            <w:pPr>
              <w:widowControl/>
              <w:spacing w:line="4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360人</w:t>
            </w:r>
          </w:p>
        </w:tc>
      </w:tr>
    </w:tbl>
    <w:p w14:paraId="23569E02">
      <w:pPr>
        <w:pStyle w:val="350"/>
        <w:spacing w:line="360" w:lineRule="auto"/>
        <w:ind w:firstLine="420" w:firstLineChars="200"/>
        <w:rPr>
          <w:rFonts w:asciiTheme="minorEastAsia" w:hAnsiTheme="minorEastAsia" w:cstheme="minorEastAsia"/>
          <w:color w:val="auto"/>
          <w:sz w:val="21"/>
          <w:szCs w:val="21"/>
        </w:rPr>
      </w:pPr>
    </w:p>
    <w:p w14:paraId="2B392944">
      <w:pPr>
        <w:pStyle w:val="351"/>
        <w:spacing w:line="360" w:lineRule="auto"/>
        <w:ind w:left="0" w:firstLine="420" w:firstLineChars="200"/>
        <w:outlineLvl w:val="0"/>
        <w:rPr>
          <w:rFonts w:asciiTheme="minorEastAsia" w:hAnsiTheme="minorEastAsia" w:cstheme="minorEastAsia"/>
          <w:szCs w:val="21"/>
        </w:rPr>
      </w:pPr>
      <w:r>
        <w:rPr>
          <w:rFonts w:hint="eastAsia" w:asciiTheme="minorEastAsia" w:hAnsiTheme="minorEastAsia" w:cstheme="minorEastAsia"/>
          <w:szCs w:val="21"/>
        </w:rPr>
        <w:t>四、服务考核</w:t>
      </w:r>
    </w:p>
    <w:p w14:paraId="4F70F496">
      <w:pPr>
        <w:spacing w:line="360" w:lineRule="auto"/>
        <w:ind w:firstLine="420" w:firstLineChars="200"/>
        <w:outlineLvl w:val="1"/>
      </w:pPr>
      <w:r>
        <w:rPr>
          <w:rFonts w:hint="eastAsia"/>
        </w:rPr>
        <w:t>（一）服务考核</w:t>
      </w:r>
    </w:p>
    <w:p w14:paraId="63820CA3">
      <w:pPr>
        <w:spacing w:line="360" w:lineRule="auto"/>
        <w:ind w:firstLine="420" w:firstLineChars="200"/>
      </w:pPr>
      <w:r>
        <w:rPr>
          <w:rFonts w:hint="eastAsia"/>
        </w:rPr>
        <w:t>物业服务考核及结果应用按《浙江农林大学物业服务考核办法》等相关规定执行。</w:t>
      </w:r>
    </w:p>
    <w:p w14:paraId="363FE75E">
      <w:pPr>
        <w:spacing w:line="360" w:lineRule="auto"/>
        <w:ind w:firstLine="420" w:firstLineChars="200"/>
        <w:outlineLvl w:val="1"/>
      </w:pPr>
      <w:r>
        <w:rPr>
          <w:rFonts w:hint="eastAsia"/>
        </w:rPr>
        <w:t>（二）考核办法</w:t>
      </w:r>
    </w:p>
    <w:p w14:paraId="2D875379">
      <w:pPr>
        <w:spacing w:line="360" w:lineRule="auto"/>
        <w:ind w:firstLine="562" w:firstLineChars="200"/>
        <w:jc w:val="center"/>
        <w:rPr>
          <w:b/>
          <w:bCs/>
          <w:sz w:val="28"/>
          <w:szCs w:val="28"/>
        </w:rPr>
      </w:pPr>
      <w:bookmarkStart w:id="89" w:name="_Toc531159196"/>
    </w:p>
    <w:p w14:paraId="57287EFB">
      <w:pPr>
        <w:spacing w:line="360" w:lineRule="auto"/>
        <w:ind w:firstLine="562" w:firstLineChars="200"/>
        <w:jc w:val="center"/>
        <w:rPr>
          <w:b/>
          <w:bCs/>
          <w:sz w:val="28"/>
          <w:szCs w:val="28"/>
        </w:rPr>
      </w:pPr>
      <w:r>
        <w:rPr>
          <w:rFonts w:hint="eastAsia"/>
          <w:b/>
          <w:bCs/>
          <w:sz w:val="28"/>
          <w:szCs w:val="28"/>
        </w:rPr>
        <w:t>浙江农林大学物业服务考核办法</w:t>
      </w:r>
      <w:bookmarkEnd w:id="89"/>
    </w:p>
    <w:p w14:paraId="5DA20C99">
      <w:pPr>
        <w:spacing w:line="360" w:lineRule="auto"/>
        <w:ind w:firstLine="420" w:firstLineChars="200"/>
      </w:pPr>
    </w:p>
    <w:p w14:paraId="7833C313">
      <w:pPr>
        <w:spacing w:line="360" w:lineRule="auto"/>
        <w:ind w:firstLine="420" w:firstLineChars="200"/>
      </w:pPr>
      <w:r>
        <w:rPr>
          <w:rFonts w:hint="eastAsia"/>
        </w:rPr>
        <w:t>根据需要，结合学校实际情况，制定本考核办法。</w:t>
      </w:r>
    </w:p>
    <w:p w14:paraId="082E98D2">
      <w:pPr>
        <w:spacing w:line="360" w:lineRule="auto"/>
        <w:ind w:firstLine="420" w:firstLineChars="200"/>
      </w:pPr>
      <w:r>
        <w:rPr>
          <w:rFonts w:hint="eastAsia"/>
        </w:rPr>
        <w:t>考核组织与实施</w:t>
      </w:r>
    </w:p>
    <w:p w14:paraId="3419B390">
      <w:pPr>
        <w:spacing w:line="360" w:lineRule="auto"/>
        <w:ind w:firstLine="420" w:firstLineChars="200"/>
      </w:pPr>
      <w:r>
        <w:rPr>
          <w:rFonts w:hint="eastAsia"/>
        </w:rPr>
        <w:t>后勤管理委员会办公室（以下简称“后勤管委办”）是物业服务的考核主管单位，负责考核工作的组织实施，依据本办法进行评价。</w:t>
      </w:r>
    </w:p>
    <w:p w14:paraId="58220B9C">
      <w:pPr>
        <w:spacing w:line="360" w:lineRule="auto"/>
        <w:ind w:firstLine="420" w:firstLineChars="200"/>
      </w:pPr>
      <w:r>
        <w:rPr>
          <w:rFonts w:hint="eastAsia"/>
        </w:rPr>
        <w:t>二、主要考核内容</w:t>
      </w:r>
    </w:p>
    <w:p w14:paraId="254E27EA">
      <w:pPr>
        <w:spacing w:line="360" w:lineRule="auto"/>
        <w:ind w:firstLine="420" w:firstLineChars="200"/>
      </w:pPr>
      <w:r>
        <w:rPr>
          <w:rFonts w:hint="eastAsia"/>
        </w:rPr>
        <w:t>遵循高等教育和市场经济的双重规律，以服务保障为根本，以提高效益为核心，改进管理措施，提升服务质效，为师生工作、生活提供特色化、个性化、多样化服务，为学校建设成为区域特色鲜明的高水平生态性研究型大学保驾护航。</w:t>
      </w:r>
    </w:p>
    <w:p w14:paraId="4EC0701E">
      <w:pPr>
        <w:spacing w:line="360" w:lineRule="auto"/>
        <w:ind w:firstLine="420" w:firstLineChars="200"/>
      </w:pPr>
      <w:r>
        <w:rPr>
          <w:rFonts w:hint="eastAsia"/>
        </w:rPr>
        <w:t>（一）服务履约</w:t>
      </w:r>
    </w:p>
    <w:p w14:paraId="12E408F4">
      <w:pPr>
        <w:spacing w:line="360" w:lineRule="auto"/>
        <w:ind w:firstLine="420" w:firstLineChars="200"/>
      </w:pPr>
      <w:r>
        <w:rPr>
          <w:rFonts w:hint="eastAsia"/>
        </w:rPr>
        <w:t>后勤管委办依据物业服务保障职责，年终按照《浙江农林大学物业服务履约考核办法》对服务履约情况进行考核。</w:t>
      </w:r>
    </w:p>
    <w:p w14:paraId="41E5DF04">
      <w:pPr>
        <w:spacing w:line="360" w:lineRule="auto"/>
        <w:ind w:firstLine="420" w:firstLineChars="200"/>
      </w:pPr>
      <w:r>
        <w:rPr>
          <w:rFonts w:hint="eastAsia"/>
        </w:rPr>
        <w:t>（二）服务满意度</w:t>
      </w:r>
    </w:p>
    <w:p w14:paraId="7C2BF08C">
      <w:pPr>
        <w:spacing w:line="360" w:lineRule="auto"/>
        <w:ind w:firstLine="420" w:firstLineChars="200"/>
      </w:pPr>
      <w:r>
        <w:rPr>
          <w:rFonts w:hint="eastAsia"/>
        </w:rPr>
        <w:t>强化服务理念，提升服务质效，以一流服务推动高质量发展，努力做到让学校满意、师生满意、员工满意。依据《浙江农林大学物业服务满意度调查实施办法》，由后勤管委办组织对教职工、学生等进行服务满意度调查，并结合师生投诉信息进行考核评价。</w:t>
      </w:r>
    </w:p>
    <w:p w14:paraId="1C69FC4D">
      <w:pPr>
        <w:spacing w:line="360" w:lineRule="auto"/>
        <w:ind w:firstLine="420" w:firstLineChars="200"/>
      </w:pPr>
      <w:r>
        <w:rPr>
          <w:rFonts w:hint="eastAsia"/>
        </w:rPr>
        <w:t>（三）安全生产</w:t>
      </w:r>
    </w:p>
    <w:p w14:paraId="243B11E1">
      <w:pPr>
        <w:spacing w:line="360" w:lineRule="auto"/>
        <w:ind w:firstLine="420" w:firstLineChars="200"/>
      </w:pPr>
      <w:r>
        <w:rPr>
          <w:rFonts w:hint="eastAsia"/>
        </w:rPr>
        <w:t>压实安全生产主体责任。始终把安全生产放在首位，建立健全安全生产责任制，加强检查考核，确保全年无经营生产安全事故及无影响学校稳定的事故发生。建立各类应急预案和应急管理办法，提高突发事件应急处置能力。</w:t>
      </w:r>
    </w:p>
    <w:p w14:paraId="50D4758D">
      <w:pPr>
        <w:spacing w:line="360" w:lineRule="auto"/>
        <w:ind w:firstLine="420" w:firstLineChars="200"/>
      </w:pPr>
      <w:r>
        <w:rPr>
          <w:rFonts w:hint="eastAsia"/>
        </w:rPr>
        <w:t>完善监督机制。加强日常检查督办，推进安全生产标准化、规范化、科学化建设，引入ISO22000、ISO9001等行业标准，提升管理标准化水平。</w:t>
      </w:r>
    </w:p>
    <w:p w14:paraId="7743A9E4">
      <w:pPr>
        <w:spacing w:line="360" w:lineRule="auto"/>
        <w:ind w:firstLine="420" w:firstLineChars="200"/>
      </w:pPr>
      <w:r>
        <w:rPr>
          <w:rFonts w:hint="eastAsia"/>
        </w:rPr>
        <w:t>发生负有主体责任的重大安全事故、重大经济问题和重大群体性事件等实行一票否决事项，当年考核等级直接认定为不合格。</w:t>
      </w:r>
    </w:p>
    <w:p w14:paraId="41C507CF">
      <w:pPr>
        <w:spacing w:line="360" w:lineRule="auto"/>
        <w:ind w:firstLine="420" w:firstLineChars="200"/>
      </w:pPr>
      <w:r>
        <w:rPr>
          <w:rFonts w:hint="eastAsia"/>
        </w:rPr>
        <w:t>三、考核结果运用</w:t>
      </w:r>
    </w:p>
    <w:p w14:paraId="27D9A56F">
      <w:pPr>
        <w:spacing w:line="360" w:lineRule="auto"/>
        <w:ind w:firstLine="420" w:firstLineChars="200"/>
      </w:pPr>
      <w:r>
        <w:rPr>
          <w:rFonts w:hint="eastAsia"/>
        </w:rPr>
        <w:t>年度考核结果未到85分，按未到分值扣减相应百分比服务费（例：当年考核分83.5分，即扣减全年物业服务费的1.5%）。</w:t>
      </w:r>
    </w:p>
    <w:p w14:paraId="5682C62A">
      <w:pPr>
        <w:spacing w:line="360" w:lineRule="auto"/>
        <w:ind w:firstLine="420" w:firstLineChars="200"/>
      </w:pPr>
    </w:p>
    <w:p w14:paraId="585A139E">
      <w:pPr>
        <w:spacing w:line="360" w:lineRule="auto"/>
        <w:ind w:firstLine="420" w:firstLineChars="200"/>
      </w:pPr>
      <w:r>
        <w:rPr>
          <w:rFonts w:hint="eastAsia"/>
        </w:rPr>
        <w:t>附件：</w:t>
      </w:r>
    </w:p>
    <w:p w14:paraId="0148D9F8">
      <w:pPr>
        <w:spacing w:line="360" w:lineRule="auto"/>
        <w:ind w:firstLine="420" w:firstLineChars="200"/>
      </w:pPr>
      <w:r>
        <w:rPr>
          <w:rFonts w:hint="eastAsia"/>
        </w:rPr>
        <w:t>1.浙江农林大学物业服务年度考核指标体系</w:t>
      </w:r>
    </w:p>
    <w:p w14:paraId="6EB53998">
      <w:pPr>
        <w:spacing w:line="360" w:lineRule="auto"/>
        <w:ind w:firstLine="420" w:firstLineChars="200"/>
      </w:pPr>
      <w:r>
        <w:rPr>
          <w:rFonts w:hint="eastAsia"/>
        </w:rPr>
        <w:t>2.浙江农林大学物业服务履约考核办法</w:t>
      </w:r>
    </w:p>
    <w:p w14:paraId="2CEEE072">
      <w:pPr>
        <w:spacing w:line="360" w:lineRule="auto"/>
        <w:ind w:firstLine="420" w:firstLineChars="200"/>
      </w:pPr>
      <w:r>
        <w:rPr>
          <w:rFonts w:hint="eastAsia"/>
        </w:rPr>
        <w:t>3.浙江农林大学物业服务满意度调查实施办法</w:t>
      </w:r>
    </w:p>
    <w:p w14:paraId="1BBADAD5">
      <w:pPr>
        <w:spacing w:line="360" w:lineRule="auto"/>
        <w:ind w:firstLine="420" w:firstLineChars="200"/>
      </w:pPr>
      <w:r>
        <w:rPr>
          <w:rFonts w:hint="eastAsia"/>
        </w:rPr>
        <w:t>4.浙江农林大学物业服务项目考核评分表</w:t>
      </w:r>
    </w:p>
    <w:p w14:paraId="0607ABE5">
      <w:pPr>
        <w:spacing w:line="360" w:lineRule="auto"/>
        <w:ind w:firstLine="420" w:firstLineChars="200"/>
      </w:pPr>
      <w:r>
        <w:rPr>
          <w:rFonts w:hint="eastAsia"/>
        </w:rPr>
        <w:t>5.浙江农林大学校园绿化养护管理标准与技术规程</w:t>
      </w:r>
    </w:p>
    <w:p w14:paraId="4C0E6AE6">
      <w:pPr>
        <w:spacing w:line="360" w:lineRule="auto"/>
        <w:ind w:firstLine="420" w:firstLineChars="200"/>
        <w:sectPr>
          <w:footerReference r:id="rId3" w:type="default"/>
          <w:pgSz w:w="11906" w:h="16838"/>
          <w:pgMar w:top="1558" w:right="1587" w:bottom="1246" w:left="1587" w:header="851" w:footer="851" w:gutter="0"/>
          <w:cols w:space="720" w:num="1"/>
        </w:sectPr>
      </w:pPr>
    </w:p>
    <w:p w14:paraId="6AC1A2A5">
      <w:pPr>
        <w:spacing w:line="360" w:lineRule="auto"/>
      </w:pPr>
      <w:r>
        <w:rPr>
          <w:rFonts w:hint="eastAsia"/>
        </w:rPr>
        <w:t>附件1</w:t>
      </w:r>
    </w:p>
    <w:p w14:paraId="0FE93931">
      <w:pPr>
        <w:spacing w:line="360" w:lineRule="auto"/>
        <w:ind w:firstLine="420" w:firstLineChars="200"/>
        <w:jc w:val="center"/>
      </w:pPr>
      <w:r>
        <w:rPr>
          <w:rFonts w:hint="eastAsia"/>
        </w:rPr>
        <w:t>浙江农林大学物业服务年度考核指标体系</w:t>
      </w:r>
    </w:p>
    <w:tbl>
      <w:tblPr>
        <w:tblStyle w:val="5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87"/>
        <w:gridCol w:w="1267"/>
        <w:gridCol w:w="4598"/>
      </w:tblGrid>
      <w:tr w14:paraId="57A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1391" w:type="dxa"/>
            <w:shd w:val="clear" w:color="auto" w:fill="auto"/>
            <w:vAlign w:val="center"/>
          </w:tcPr>
          <w:p w14:paraId="6D320249">
            <w:pPr>
              <w:spacing w:line="360" w:lineRule="auto"/>
              <w:jc w:val="center"/>
            </w:pPr>
            <w:r>
              <w:rPr>
                <w:rFonts w:hint="eastAsia"/>
              </w:rPr>
              <w:t>一级指标</w:t>
            </w:r>
          </w:p>
        </w:tc>
        <w:tc>
          <w:tcPr>
            <w:tcW w:w="1387" w:type="dxa"/>
            <w:shd w:val="clear" w:color="auto" w:fill="auto"/>
            <w:vAlign w:val="center"/>
          </w:tcPr>
          <w:p w14:paraId="4DBAD079">
            <w:pPr>
              <w:spacing w:line="360" w:lineRule="auto"/>
              <w:jc w:val="center"/>
            </w:pPr>
            <w:r>
              <w:rPr>
                <w:rFonts w:hint="eastAsia"/>
              </w:rPr>
              <w:t>二级指标</w:t>
            </w:r>
          </w:p>
        </w:tc>
        <w:tc>
          <w:tcPr>
            <w:tcW w:w="1267" w:type="dxa"/>
            <w:shd w:val="clear" w:color="auto" w:fill="auto"/>
            <w:vAlign w:val="center"/>
          </w:tcPr>
          <w:p w14:paraId="5F87D4F0">
            <w:pPr>
              <w:spacing w:line="360" w:lineRule="auto"/>
              <w:jc w:val="center"/>
            </w:pPr>
            <w:r>
              <w:rPr>
                <w:rFonts w:hint="eastAsia"/>
              </w:rPr>
              <w:t>满分值</w:t>
            </w:r>
          </w:p>
        </w:tc>
        <w:tc>
          <w:tcPr>
            <w:tcW w:w="4598" w:type="dxa"/>
            <w:shd w:val="clear" w:color="auto" w:fill="auto"/>
            <w:vAlign w:val="center"/>
          </w:tcPr>
          <w:p w14:paraId="735E7085">
            <w:pPr>
              <w:spacing w:line="360" w:lineRule="auto"/>
              <w:ind w:firstLine="420" w:firstLineChars="200"/>
              <w:jc w:val="center"/>
            </w:pPr>
            <w:r>
              <w:rPr>
                <w:rFonts w:hint="eastAsia"/>
              </w:rPr>
              <w:t>评价标准和计分办法</w:t>
            </w:r>
          </w:p>
        </w:tc>
      </w:tr>
      <w:tr w14:paraId="0CA2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391" w:type="dxa"/>
            <w:shd w:val="clear" w:color="auto" w:fill="auto"/>
            <w:vAlign w:val="center"/>
          </w:tcPr>
          <w:p w14:paraId="636B6FCC">
            <w:pPr>
              <w:spacing w:line="360" w:lineRule="auto"/>
            </w:pPr>
            <w:r>
              <w:rPr>
                <w:rFonts w:hint="eastAsia"/>
              </w:rPr>
              <w:t>服务履约</w:t>
            </w:r>
          </w:p>
          <w:p w14:paraId="5436BF93">
            <w:pPr>
              <w:spacing w:line="360" w:lineRule="auto"/>
            </w:pPr>
            <w:r>
              <w:rPr>
                <w:rFonts w:hint="eastAsia"/>
              </w:rPr>
              <w:t>（50分）</w:t>
            </w:r>
          </w:p>
        </w:tc>
        <w:tc>
          <w:tcPr>
            <w:tcW w:w="1387" w:type="dxa"/>
            <w:shd w:val="clear" w:color="auto" w:fill="auto"/>
            <w:vAlign w:val="center"/>
          </w:tcPr>
          <w:p w14:paraId="264A4A4E">
            <w:pPr>
              <w:spacing w:line="360" w:lineRule="auto"/>
              <w:ind w:firstLine="420" w:firstLineChars="200"/>
            </w:pPr>
          </w:p>
        </w:tc>
        <w:tc>
          <w:tcPr>
            <w:tcW w:w="1267" w:type="dxa"/>
            <w:shd w:val="clear" w:color="auto" w:fill="auto"/>
            <w:vAlign w:val="center"/>
          </w:tcPr>
          <w:p w14:paraId="742859EB">
            <w:pPr>
              <w:spacing w:line="360" w:lineRule="auto"/>
              <w:ind w:firstLine="420" w:firstLineChars="200"/>
            </w:pPr>
            <w:r>
              <w:rPr>
                <w:rFonts w:hint="eastAsia"/>
              </w:rPr>
              <w:t>50</w:t>
            </w:r>
          </w:p>
        </w:tc>
        <w:tc>
          <w:tcPr>
            <w:tcW w:w="4598" w:type="dxa"/>
            <w:shd w:val="clear" w:color="auto" w:fill="auto"/>
            <w:vAlign w:val="center"/>
          </w:tcPr>
          <w:p w14:paraId="2C5522C6">
            <w:pPr>
              <w:spacing w:line="360" w:lineRule="auto"/>
              <w:ind w:firstLine="420" w:firstLineChars="200"/>
            </w:pPr>
            <w:r>
              <w:rPr>
                <w:rFonts w:hint="eastAsia"/>
              </w:rPr>
              <w:t>根据《浙江农林大学物业服务履约考核办法》进行考核。</w:t>
            </w:r>
          </w:p>
        </w:tc>
      </w:tr>
      <w:tr w14:paraId="0C8E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391" w:type="dxa"/>
            <w:vMerge w:val="restart"/>
            <w:shd w:val="clear" w:color="auto" w:fill="auto"/>
            <w:vAlign w:val="center"/>
          </w:tcPr>
          <w:p w14:paraId="4806CD15">
            <w:pPr>
              <w:spacing w:line="360" w:lineRule="auto"/>
            </w:pPr>
            <w:r>
              <w:rPr>
                <w:rFonts w:hint="eastAsia"/>
              </w:rPr>
              <w:t>服务满意度</w:t>
            </w:r>
          </w:p>
          <w:p w14:paraId="47919797">
            <w:pPr>
              <w:spacing w:line="360" w:lineRule="auto"/>
            </w:pPr>
            <w:r>
              <w:rPr>
                <w:rFonts w:hint="eastAsia"/>
              </w:rPr>
              <w:t>（30分）</w:t>
            </w:r>
          </w:p>
        </w:tc>
        <w:tc>
          <w:tcPr>
            <w:tcW w:w="1387" w:type="dxa"/>
            <w:shd w:val="clear" w:color="auto" w:fill="auto"/>
            <w:vAlign w:val="center"/>
          </w:tcPr>
          <w:p w14:paraId="22F380B3">
            <w:pPr>
              <w:spacing w:line="360" w:lineRule="auto"/>
            </w:pPr>
            <w:r>
              <w:rPr>
                <w:rFonts w:hint="eastAsia"/>
              </w:rPr>
              <w:t>学生满意度（50%）</w:t>
            </w:r>
          </w:p>
        </w:tc>
        <w:tc>
          <w:tcPr>
            <w:tcW w:w="1267" w:type="dxa"/>
            <w:shd w:val="clear" w:color="auto" w:fill="auto"/>
            <w:vAlign w:val="center"/>
          </w:tcPr>
          <w:p w14:paraId="12F760DB">
            <w:pPr>
              <w:spacing w:line="360" w:lineRule="auto"/>
              <w:ind w:firstLine="420" w:firstLineChars="200"/>
            </w:pPr>
            <w:r>
              <w:rPr>
                <w:rFonts w:hint="eastAsia"/>
              </w:rPr>
              <w:t>15</w:t>
            </w:r>
          </w:p>
        </w:tc>
        <w:tc>
          <w:tcPr>
            <w:tcW w:w="4598" w:type="dxa"/>
            <w:vMerge w:val="restart"/>
            <w:shd w:val="clear" w:color="auto" w:fill="auto"/>
            <w:vAlign w:val="center"/>
          </w:tcPr>
          <w:p w14:paraId="4F98E6C0">
            <w:pPr>
              <w:spacing w:line="360" w:lineRule="auto"/>
              <w:ind w:firstLine="420" w:firstLineChars="200"/>
            </w:pPr>
            <w:r>
              <w:rPr>
                <w:rFonts w:hint="eastAsia"/>
              </w:rPr>
              <w:t>1.根据《浙江农林大学物业服务满意度调查实施办法》（附件2）实行。每类的综合满意度得分在85（含）以上的得满分；70（含）～85得该项分值的80%； 50～70（含）得该项分值的60%；50分以下的，不得分。</w:t>
            </w:r>
          </w:p>
          <w:p w14:paraId="71BE8D4C">
            <w:pPr>
              <w:spacing w:line="360" w:lineRule="auto"/>
              <w:ind w:firstLine="420" w:firstLineChars="200"/>
            </w:pPr>
            <w:r>
              <w:rPr>
                <w:rFonts w:hint="eastAsia"/>
              </w:rPr>
              <w:t>2.师生投诉率，经后勤管委办核准认定有效投诉10次扣除1分，最高扣除10分。</w:t>
            </w:r>
          </w:p>
        </w:tc>
      </w:tr>
      <w:tr w14:paraId="1130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1391" w:type="dxa"/>
            <w:vMerge w:val="continue"/>
            <w:shd w:val="clear" w:color="auto" w:fill="auto"/>
            <w:vAlign w:val="center"/>
          </w:tcPr>
          <w:p w14:paraId="25FC358B">
            <w:pPr>
              <w:spacing w:line="360" w:lineRule="auto"/>
              <w:ind w:firstLine="420" w:firstLineChars="200"/>
            </w:pPr>
          </w:p>
        </w:tc>
        <w:tc>
          <w:tcPr>
            <w:tcW w:w="1387" w:type="dxa"/>
            <w:shd w:val="clear" w:color="auto" w:fill="auto"/>
            <w:vAlign w:val="center"/>
          </w:tcPr>
          <w:p w14:paraId="6CC14ED8">
            <w:pPr>
              <w:spacing w:line="360" w:lineRule="auto"/>
            </w:pPr>
            <w:r>
              <w:rPr>
                <w:rFonts w:hint="eastAsia"/>
              </w:rPr>
              <w:t>教职工满意度（40%）</w:t>
            </w:r>
          </w:p>
          <w:p w14:paraId="1123F28D">
            <w:pPr>
              <w:spacing w:line="360" w:lineRule="auto"/>
              <w:ind w:firstLine="420" w:firstLineChars="200"/>
            </w:pPr>
          </w:p>
        </w:tc>
        <w:tc>
          <w:tcPr>
            <w:tcW w:w="1267" w:type="dxa"/>
            <w:shd w:val="clear" w:color="auto" w:fill="auto"/>
            <w:vAlign w:val="center"/>
          </w:tcPr>
          <w:p w14:paraId="5B2127B9">
            <w:pPr>
              <w:spacing w:line="360" w:lineRule="auto"/>
              <w:ind w:firstLine="420" w:firstLineChars="200"/>
            </w:pPr>
            <w:r>
              <w:rPr>
                <w:rFonts w:hint="eastAsia"/>
              </w:rPr>
              <w:t>15</w:t>
            </w:r>
          </w:p>
          <w:p w14:paraId="6E124F46">
            <w:pPr>
              <w:spacing w:line="360" w:lineRule="auto"/>
              <w:ind w:firstLine="420" w:firstLineChars="200"/>
            </w:pPr>
          </w:p>
        </w:tc>
        <w:tc>
          <w:tcPr>
            <w:tcW w:w="4598" w:type="dxa"/>
            <w:vMerge w:val="continue"/>
            <w:shd w:val="clear" w:color="auto" w:fill="auto"/>
            <w:vAlign w:val="center"/>
          </w:tcPr>
          <w:p w14:paraId="15B97A34">
            <w:pPr>
              <w:spacing w:line="360" w:lineRule="auto"/>
              <w:ind w:firstLine="420" w:firstLineChars="200"/>
            </w:pPr>
          </w:p>
        </w:tc>
      </w:tr>
      <w:tr w14:paraId="5D0C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91" w:type="dxa"/>
            <w:vAlign w:val="center"/>
          </w:tcPr>
          <w:p w14:paraId="662E7157">
            <w:pPr>
              <w:spacing w:line="360" w:lineRule="auto"/>
            </w:pPr>
            <w:r>
              <w:rPr>
                <w:rFonts w:hint="eastAsia"/>
              </w:rPr>
              <w:t>安全生产</w:t>
            </w:r>
          </w:p>
          <w:p w14:paraId="5AF8ABA7">
            <w:pPr>
              <w:spacing w:line="360" w:lineRule="auto"/>
            </w:pPr>
            <w:r>
              <w:rPr>
                <w:rFonts w:hint="eastAsia"/>
              </w:rPr>
              <w:t>（20分）</w:t>
            </w:r>
          </w:p>
        </w:tc>
        <w:tc>
          <w:tcPr>
            <w:tcW w:w="1387" w:type="dxa"/>
            <w:shd w:val="clear" w:color="auto" w:fill="auto"/>
            <w:vAlign w:val="center"/>
          </w:tcPr>
          <w:p w14:paraId="21B4773E">
            <w:pPr>
              <w:spacing w:line="360" w:lineRule="auto"/>
              <w:ind w:firstLine="420" w:firstLineChars="200"/>
            </w:pPr>
          </w:p>
        </w:tc>
        <w:tc>
          <w:tcPr>
            <w:tcW w:w="1267" w:type="dxa"/>
            <w:vAlign w:val="center"/>
          </w:tcPr>
          <w:p w14:paraId="6798516C">
            <w:pPr>
              <w:spacing w:line="360" w:lineRule="auto"/>
              <w:ind w:firstLine="420" w:firstLineChars="200"/>
            </w:pPr>
            <w:r>
              <w:rPr>
                <w:rFonts w:hint="eastAsia"/>
              </w:rPr>
              <w:t>20</w:t>
            </w:r>
          </w:p>
        </w:tc>
        <w:tc>
          <w:tcPr>
            <w:tcW w:w="4598" w:type="dxa"/>
            <w:vAlign w:val="center"/>
          </w:tcPr>
          <w:p w14:paraId="54DB9720">
            <w:pPr>
              <w:spacing w:line="360" w:lineRule="auto"/>
              <w:ind w:firstLine="420" w:firstLineChars="200"/>
            </w:pPr>
            <w:r>
              <w:rPr>
                <w:rFonts w:hint="eastAsia"/>
              </w:rPr>
              <w:t>1.建立健全和执行安全生产责任制和各项规章制度，有安全生产事故处置预案，有定期排查治理隐患和整改台账，全年无生产安全责任事故的得满分。</w:t>
            </w:r>
          </w:p>
          <w:p w14:paraId="7C81E5DA">
            <w:pPr>
              <w:spacing w:line="360" w:lineRule="auto"/>
              <w:ind w:firstLine="420" w:firstLineChars="200"/>
            </w:pPr>
            <w:r>
              <w:rPr>
                <w:rFonts w:hint="eastAsia"/>
              </w:rPr>
              <w:t>2.如发生被后勤管委办认定的生产安全责任事故，每1起扣5分。</w:t>
            </w:r>
          </w:p>
        </w:tc>
      </w:tr>
    </w:tbl>
    <w:p w14:paraId="5FD8F617">
      <w:pPr>
        <w:spacing w:line="360" w:lineRule="auto"/>
        <w:ind w:firstLine="420" w:firstLineChars="200"/>
        <w:sectPr>
          <w:pgSz w:w="11906" w:h="16838"/>
          <w:pgMar w:top="1440" w:right="1797" w:bottom="1440" w:left="1797" w:header="851" w:footer="992" w:gutter="0"/>
          <w:cols w:space="0" w:num="1"/>
          <w:docGrid w:type="lines" w:linePitch="319" w:charSpace="640"/>
        </w:sectPr>
      </w:pPr>
    </w:p>
    <w:p w14:paraId="7CE06F10">
      <w:pPr>
        <w:spacing w:line="360" w:lineRule="auto"/>
      </w:pPr>
      <w:r>
        <w:rPr>
          <w:rFonts w:hint="eastAsia"/>
        </w:rPr>
        <w:t>附件2</w:t>
      </w:r>
    </w:p>
    <w:p w14:paraId="657E687A">
      <w:pPr>
        <w:spacing w:line="360" w:lineRule="auto"/>
        <w:ind w:firstLine="562" w:firstLineChars="200"/>
        <w:jc w:val="center"/>
        <w:rPr>
          <w:b/>
          <w:bCs/>
          <w:sz w:val="28"/>
          <w:szCs w:val="28"/>
        </w:rPr>
      </w:pPr>
      <w:r>
        <w:rPr>
          <w:rFonts w:hint="eastAsia"/>
          <w:b/>
          <w:bCs/>
          <w:sz w:val="28"/>
          <w:szCs w:val="28"/>
        </w:rPr>
        <w:t>浙江农林大学物业服务履约考核办法</w:t>
      </w:r>
    </w:p>
    <w:p w14:paraId="402B773B">
      <w:pPr>
        <w:spacing w:line="360" w:lineRule="auto"/>
        <w:ind w:firstLine="420" w:firstLineChars="200"/>
      </w:pPr>
    </w:p>
    <w:p w14:paraId="0B8DA359">
      <w:pPr>
        <w:spacing w:line="360" w:lineRule="auto"/>
        <w:ind w:firstLine="420" w:firstLineChars="200"/>
      </w:pPr>
      <w:r>
        <w:rPr>
          <w:rFonts w:hint="eastAsia"/>
        </w:rPr>
        <w:t xml:space="preserve">为确保物业服务单位全面履行服务协议内容，提升服务质量和水平，更好地为全校师生做好服务保障工作，特制定本办法。 </w:t>
      </w:r>
    </w:p>
    <w:p w14:paraId="4360DBA0">
      <w:pPr>
        <w:spacing w:line="360" w:lineRule="auto"/>
        <w:ind w:firstLine="420" w:firstLineChars="200"/>
      </w:pPr>
      <w:r>
        <w:rPr>
          <w:rFonts w:hint="eastAsia"/>
        </w:rPr>
        <w:t>一、考核组织</w:t>
      </w:r>
    </w:p>
    <w:p w14:paraId="6F34D23A">
      <w:pPr>
        <w:spacing w:line="360" w:lineRule="auto"/>
        <w:ind w:firstLine="420" w:firstLineChars="200"/>
      </w:pPr>
      <w:r>
        <w:rPr>
          <w:rFonts w:hint="eastAsia"/>
        </w:rPr>
        <w:t>物业服务履约考核工作由后勤管委办组织实施。</w:t>
      </w:r>
    </w:p>
    <w:p w14:paraId="75F5AAEE">
      <w:pPr>
        <w:spacing w:line="360" w:lineRule="auto"/>
        <w:ind w:firstLine="420" w:firstLineChars="200"/>
      </w:pPr>
      <w:r>
        <w:rPr>
          <w:rFonts w:hint="eastAsia"/>
        </w:rPr>
        <w:t>二、考核内容</w:t>
      </w:r>
    </w:p>
    <w:p w14:paraId="1656FB71">
      <w:pPr>
        <w:spacing w:line="360" w:lineRule="auto"/>
        <w:ind w:firstLine="420" w:firstLineChars="200"/>
      </w:pPr>
      <w:r>
        <w:rPr>
          <w:rFonts w:hint="eastAsia"/>
        </w:rPr>
        <w:t>主要包括公寓服务、楼宇管理、环境清卫、水电管理、会务服务、日常维修、绿化养护等服务内容。</w:t>
      </w:r>
    </w:p>
    <w:p w14:paraId="2C6F8D29">
      <w:pPr>
        <w:spacing w:line="360" w:lineRule="auto"/>
        <w:ind w:firstLine="420" w:firstLineChars="200"/>
      </w:pPr>
      <w:r>
        <w:rPr>
          <w:rFonts w:hint="eastAsia"/>
        </w:rPr>
        <w:t>三、考核分值</w:t>
      </w:r>
    </w:p>
    <w:p w14:paraId="0973A33E">
      <w:pPr>
        <w:spacing w:line="360" w:lineRule="auto"/>
        <w:ind w:firstLine="420" w:firstLineChars="200"/>
      </w:pPr>
      <w:r>
        <w:rPr>
          <w:rFonts w:hint="eastAsia"/>
        </w:rPr>
        <w:t>考核分（100分）＝公寓服务考核分×20%＋楼宇、环境服务考核分×20%＋活动中心及会务服务考核分×20%＋维修服务考核分×20%＋绿化养护服务考核分×20%。</w:t>
      </w:r>
    </w:p>
    <w:p w14:paraId="780EC2B4">
      <w:pPr>
        <w:spacing w:line="360" w:lineRule="auto"/>
        <w:ind w:firstLine="420" w:firstLineChars="200"/>
      </w:pPr>
      <w:r>
        <w:rPr>
          <w:rFonts w:hint="eastAsia"/>
        </w:rPr>
        <w:t>四、考核依据</w:t>
      </w:r>
    </w:p>
    <w:p w14:paraId="355C83E3">
      <w:pPr>
        <w:spacing w:line="360" w:lineRule="auto"/>
        <w:ind w:firstLine="420" w:firstLineChars="200"/>
      </w:pPr>
      <w:r>
        <w:rPr>
          <w:rFonts w:hint="eastAsia"/>
        </w:rPr>
        <w:t>1.日常检查。包括平时巡查和专项检查，对于服务面较广的项目，可根据实际情况以随机抽查的形式进行。</w:t>
      </w:r>
    </w:p>
    <w:p w14:paraId="1A91D6BC">
      <w:pPr>
        <w:spacing w:line="360" w:lineRule="auto"/>
        <w:ind w:firstLine="420" w:firstLineChars="200"/>
      </w:pPr>
      <w:r>
        <w:rPr>
          <w:rFonts w:hint="eastAsia"/>
        </w:rPr>
        <w:t>2.师生投诉。包括师生在书记、校长信箱和微博，后勤管委办、网站的投诉及电话投诉、邮件投诉、信件投诉等，经调查核实后确认为有效投诉的。</w:t>
      </w:r>
    </w:p>
    <w:p w14:paraId="5B6D353D">
      <w:pPr>
        <w:spacing w:line="360" w:lineRule="auto"/>
        <w:ind w:firstLine="420" w:firstLineChars="200"/>
      </w:pPr>
      <w:r>
        <w:rPr>
          <w:rFonts w:hint="eastAsia"/>
        </w:rPr>
        <w:t>3.学生座谈会。由后勤管委办牵头组织，每学期举行一次。</w:t>
      </w:r>
    </w:p>
    <w:p w14:paraId="267F6E4F">
      <w:pPr>
        <w:spacing w:line="360" w:lineRule="auto"/>
        <w:ind w:firstLine="420" w:firstLineChars="200"/>
      </w:pPr>
      <w:r>
        <w:rPr>
          <w:rFonts w:hint="eastAsia"/>
        </w:rPr>
        <w:t>五、考核程序</w:t>
      </w:r>
    </w:p>
    <w:p w14:paraId="17E35C47">
      <w:pPr>
        <w:spacing w:line="360" w:lineRule="auto"/>
        <w:ind w:firstLine="420" w:firstLineChars="200"/>
      </w:pPr>
      <w:r>
        <w:rPr>
          <w:rFonts w:hint="eastAsia"/>
        </w:rPr>
        <w:t>物业服务单位对照《浙江农林大学物业服务项目考核评分表》，进行自评打分，并提供相关支撑材料。后勤管委办根据掌握的考核信息，组织相关职能部门和服务对象组成考评小组，对照各项考核指标，在自评的基础上进行评定，并给出考核分。</w:t>
      </w:r>
    </w:p>
    <w:p w14:paraId="3EB496A1">
      <w:pPr>
        <w:spacing w:line="360" w:lineRule="auto"/>
        <w:ind w:firstLine="420" w:firstLineChars="200"/>
      </w:pPr>
      <w:r>
        <w:rPr>
          <w:rFonts w:hint="eastAsia"/>
        </w:rPr>
        <w:t>六、考核结果及运用</w:t>
      </w:r>
    </w:p>
    <w:p w14:paraId="7D0954D8">
      <w:pPr>
        <w:spacing w:line="360" w:lineRule="auto"/>
        <w:ind w:firstLine="420" w:firstLineChars="200"/>
      </w:pPr>
      <w:r>
        <w:rPr>
          <w:rFonts w:hint="eastAsia"/>
        </w:rPr>
        <w:t>1.考核结果纳入学校对物业服务的整体考核。</w:t>
      </w:r>
    </w:p>
    <w:p w14:paraId="1F6C026A">
      <w:pPr>
        <w:spacing w:line="360" w:lineRule="auto"/>
        <w:ind w:firstLine="420" w:firstLineChars="200"/>
      </w:pPr>
      <w:r>
        <w:rPr>
          <w:rFonts w:hint="eastAsia"/>
        </w:rPr>
        <w:t>2.考核结果与年度物业服务费支付额度挂钩。</w:t>
      </w:r>
    </w:p>
    <w:p w14:paraId="5A003FF5">
      <w:pPr>
        <w:spacing w:line="360" w:lineRule="auto"/>
        <w:ind w:firstLine="420" w:firstLineChars="200"/>
      </w:pPr>
      <w:r>
        <w:rPr>
          <w:rFonts w:hint="eastAsia"/>
        </w:rPr>
        <w:br w:type="page"/>
      </w:r>
    </w:p>
    <w:p w14:paraId="7E85821E">
      <w:pPr>
        <w:spacing w:line="360" w:lineRule="auto"/>
      </w:pPr>
      <w:r>
        <w:rPr>
          <w:rFonts w:hint="eastAsia"/>
        </w:rPr>
        <w:t>附件3</w:t>
      </w:r>
    </w:p>
    <w:p w14:paraId="65877CE4">
      <w:pPr>
        <w:spacing w:line="360" w:lineRule="auto"/>
        <w:ind w:firstLine="562" w:firstLineChars="200"/>
        <w:jc w:val="center"/>
        <w:rPr>
          <w:b/>
          <w:bCs/>
          <w:sz w:val="28"/>
          <w:szCs w:val="28"/>
        </w:rPr>
      </w:pPr>
      <w:r>
        <w:rPr>
          <w:rFonts w:hint="eastAsia"/>
          <w:b/>
          <w:bCs/>
          <w:sz w:val="28"/>
          <w:szCs w:val="28"/>
        </w:rPr>
        <w:t>浙江农林大学物业服务满意度调查实施办法</w:t>
      </w:r>
    </w:p>
    <w:p w14:paraId="783E84C5">
      <w:pPr>
        <w:spacing w:line="360" w:lineRule="auto"/>
        <w:ind w:firstLine="420" w:firstLineChars="200"/>
      </w:pPr>
    </w:p>
    <w:p w14:paraId="21DC75BD">
      <w:pPr>
        <w:spacing w:line="360" w:lineRule="auto"/>
        <w:ind w:firstLine="420" w:firstLineChars="200"/>
      </w:pPr>
      <w:r>
        <w:rPr>
          <w:rFonts w:hint="eastAsia"/>
        </w:rPr>
        <w:t>为进一步加强对物业服务质量的监管力度，了解师生员工对物业服务的满意程度，依据物业服务职责和服务内容，组织开展服务满意度调查，特制定本办法。</w:t>
      </w:r>
    </w:p>
    <w:p w14:paraId="4F7B4D05">
      <w:pPr>
        <w:spacing w:line="360" w:lineRule="auto"/>
        <w:ind w:firstLine="420" w:firstLineChars="200"/>
      </w:pPr>
      <w:r>
        <w:rPr>
          <w:rFonts w:hint="eastAsia"/>
        </w:rPr>
        <w:t>一、调查时间</w:t>
      </w:r>
    </w:p>
    <w:p w14:paraId="416143F6">
      <w:pPr>
        <w:spacing w:line="360" w:lineRule="auto"/>
        <w:ind w:firstLine="420" w:firstLineChars="200"/>
      </w:pPr>
      <w:r>
        <w:rPr>
          <w:rFonts w:hint="eastAsia"/>
        </w:rPr>
        <w:t>每年12月初启动物业服务满意度调查工作，由后勤管委办负责实施。</w:t>
      </w:r>
    </w:p>
    <w:p w14:paraId="31A9DACC">
      <w:pPr>
        <w:spacing w:line="360" w:lineRule="auto"/>
        <w:ind w:firstLine="420" w:firstLineChars="200"/>
      </w:pPr>
      <w:r>
        <w:rPr>
          <w:rFonts w:hint="eastAsia"/>
        </w:rPr>
        <w:t>二、调查对象</w:t>
      </w:r>
    </w:p>
    <w:p w14:paraId="740A9919">
      <w:pPr>
        <w:spacing w:line="360" w:lineRule="auto"/>
        <w:ind w:firstLine="420" w:firstLineChars="200"/>
      </w:pPr>
      <w:r>
        <w:rPr>
          <w:rFonts w:hint="eastAsia"/>
        </w:rPr>
        <w:t>全校教职工、学生。</w:t>
      </w:r>
      <w:bookmarkStart w:id="90" w:name="_Hlk530348816"/>
      <w:r>
        <w:rPr>
          <w:rFonts w:hint="eastAsia"/>
        </w:rPr>
        <w:t>按每类不低于5%的人数进行采样，开展问卷调查。</w:t>
      </w:r>
      <w:bookmarkEnd w:id="90"/>
    </w:p>
    <w:p w14:paraId="5E762B2C">
      <w:pPr>
        <w:spacing w:line="360" w:lineRule="auto"/>
        <w:ind w:firstLine="420" w:firstLineChars="200"/>
      </w:pPr>
      <w:r>
        <w:rPr>
          <w:rFonts w:hint="eastAsia"/>
        </w:rPr>
        <w:t>三、调查内容</w:t>
      </w:r>
    </w:p>
    <w:p w14:paraId="7AD9EA13">
      <w:pPr>
        <w:spacing w:line="360" w:lineRule="auto"/>
        <w:ind w:firstLine="420" w:firstLineChars="200"/>
      </w:pPr>
      <w:r>
        <w:rPr>
          <w:rFonts w:hint="eastAsia"/>
        </w:rPr>
        <w:t>主要包括物业服务约定范围。</w:t>
      </w:r>
    </w:p>
    <w:p w14:paraId="1AE97072">
      <w:pPr>
        <w:spacing w:line="360" w:lineRule="auto"/>
        <w:ind w:firstLine="420" w:firstLineChars="200"/>
      </w:pPr>
      <w:r>
        <w:rPr>
          <w:rFonts w:hint="eastAsia"/>
        </w:rPr>
        <w:t>四、调查方式</w:t>
      </w:r>
    </w:p>
    <w:p w14:paraId="3E520D28">
      <w:pPr>
        <w:spacing w:line="360" w:lineRule="auto"/>
        <w:ind w:firstLine="420" w:firstLineChars="200"/>
      </w:pPr>
      <w:r>
        <w:rPr>
          <w:rFonts w:hint="eastAsia"/>
        </w:rPr>
        <w:t>采用随机抽查的方式，向调查对象发放调查问卷。调查问卷分教职工问卷、学生问卷。教职工问卷调查由后勤管委办组织开展，学生问卷调查由校学生会协助后勤管委办组织开展。</w:t>
      </w:r>
    </w:p>
    <w:p w14:paraId="7AC58558">
      <w:pPr>
        <w:spacing w:line="360" w:lineRule="auto"/>
        <w:ind w:firstLine="420" w:firstLineChars="200"/>
      </w:pPr>
      <w:r>
        <w:rPr>
          <w:rFonts w:hint="eastAsia"/>
        </w:rPr>
        <w:t>五、满意度计算方法</w:t>
      </w:r>
    </w:p>
    <w:p w14:paraId="2AAE1EE0">
      <w:pPr>
        <w:spacing w:line="360" w:lineRule="auto"/>
        <w:ind w:firstLine="420" w:firstLineChars="200"/>
      </w:pPr>
      <w:r>
        <w:rPr>
          <w:rFonts w:hint="eastAsia"/>
        </w:rPr>
        <w:t>1.赋分方式。采用四级制评价赋分：“满意”赋值为100分，“比较满意”赋值为85分，“基本满意”赋值为70分，“不满意”赋值为0分。</w:t>
      </w:r>
    </w:p>
    <w:p w14:paraId="324134FE">
      <w:pPr>
        <w:spacing w:line="360" w:lineRule="auto"/>
        <w:ind w:firstLine="420" w:firstLineChars="200"/>
      </w:pPr>
      <w:r>
        <w:rPr>
          <w:rFonts w:hint="eastAsia"/>
        </w:rPr>
        <w:t>2.计分办法。单项满意度=“满意”比例×100分+“比较满意”比例×85分+“基本满意”比例×70分+“不满意”比例×0分。综合满意度是各单项满意度的平均数。</w:t>
      </w:r>
    </w:p>
    <w:p w14:paraId="5C93E671">
      <w:pPr>
        <w:spacing w:line="360" w:lineRule="auto"/>
        <w:ind w:firstLine="420" w:firstLineChars="200"/>
      </w:pPr>
      <w:r>
        <w:rPr>
          <w:rFonts w:hint="eastAsia"/>
        </w:rPr>
        <w:t>3.调查权重。总体服务满意度=教职工满意度×50%+学生满意度×50%。</w:t>
      </w:r>
    </w:p>
    <w:p w14:paraId="3C51E70F">
      <w:pPr>
        <w:spacing w:line="360" w:lineRule="auto"/>
        <w:ind w:firstLine="420" w:firstLineChars="200"/>
      </w:pPr>
      <w:r>
        <w:rPr>
          <w:rFonts w:hint="eastAsia"/>
        </w:rPr>
        <w:t>六、满意度结果运用</w:t>
      </w:r>
    </w:p>
    <w:p w14:paraId="4480AB23">
      <w:pPr>
        <w:spacing w:line="360" w:lineRule="auto"/>
        <w:ind w:firstLine="420" w:firstLineChars="200"/>
      </w:pPr>
      <w:r>
        <w:rPr>
          <w:rFonts w:hint="eastAsia"/>
        </w:rPr>
        <w:t>1.满意度调查结果纳入学校对物业的整体考核评价，并作为对物业服务质量评价的一个重要依据。</w:t>
      </w:r>
    </w:p>
    <w:p w14:paraId="200CEF25">
      <w:pPr>
        <w:spacing w:line="360" w:lineRule="auto"/>
        <w:ind w:firstLine="420" w:firstLineChars="200"/>
      </w:pPr>
      <w:r>
        <w:rPr>
          <w:rFonts w:hint="eastAsia"/>
        </w:rPr>
        <w:t>2.满意度调查结果和调查过程中收集的意见和建议，及时反馈物业服务单位，用作提升服务水平的重要参考。</w:t>
      </w:r>
    </w:p>
    <w:p w14:paraId="4F2941B6">
      <w:pPr>
        <w:spacing w:line="360" w:lineRule="auto"/>
        <w:ind w:firstLine="420" w:firstLineChars="200"/>
      </w:pPr>
    </w:p>
    <w:p w14:paraId="13F6C773">
      <w:pPr>
        <w:spacing w:line="360" w:lineRule="auto"/>
        <w:ind w:firstLine="420" w:firstLineChars="200"/>
      </w:pPr>
    </w:p>
    <w:p w14:paraId="1ED5344F">
      <w:pPr>
        <w:spacing w:line="360" w:lineRule="auto"/>
        <w:ind w:firstLine="420" w:firstLineChars="200"/>
      </w:pPr>
    </w:p>
    <w:p w14:paraId="60815CAA">
      <w:pPr>
        <w:spacing w:line="360" w:lineRule="auto"/>
        <w:ind w:firstLine="420" w:firstLineChars="200"/>
      </w:pPr>
    </w:p>
    <w:p w14:paraId="09948E49">
      <w:pPr>
        <w:spacing w:line="360" w:lineRule="auto"/>
        <w:ind w:firstLine="420" w:firstLineChars="200"/>
      </w:pPr>
    </w:p>
    <w:p w14:paraId="2C26BACB">
      <w:pPr>
        <w:spacing w:line="360" w:lineRule="auto"/>
      </w:pPr>
    </w:p>
    <w:p w14:paraId="3942D55D">
      <w:pPr>
        <w:spacing w:line="360" w:lineRule="auto"/>
      </w:pPr>
    </w:p>
    <w:p w14:paraId="2D9AB408">
      <w:pPr>
        <w:spacing w:line="360" w:lineRule="auto"/>
      </w:pPr>
    </w:p>
    <w:p w14:paraId="038CF727">
      <w:pPr>
        <w:spacing w:line="360" w:lineRule="auto"/>
      </w:pPr>
    </w:p>
    <w:p w14:paraId="7D754A50">
      <w:pPr>
        <w:spacing w:line="360" w:lineRule="auto"/>
      </w:pPr>
    </w:p>
    <w:p w14:paraId="06E0E6EF">
      <w:pPr>
        <w:spacing w:line="360" w:lineRule="auto"/>
      </w:pPr>
      <w:r>
        <w:rPr>
          <w:rFonts w:hint="eastAsia"/>
        </w:rPr>
        <w:t>附件4</w:t>
      </w:r>
    </w:p>
    <w:p w14:paraId="617A4351">
      <w:pPr>
        <w:spacing w:line="360" w:lineRule="auto"/>
        <w:jc w:val="center"/>
        <w:rPr>
          <w:b/>
          <w:bCs/>
          <w:sz w:val="28"/>
          <w:szCs w:val="28"/>
        </w:rPr>
      </w:pPr>
      <w:r>
        <w:rPr>
          <w:rFonts w:hint="eastAsia"/>
          <w:b/>
          <w:bCs/>
          <w:sz w:val="28"/>
          <w:szCs w:val="28"/>
        </w:rPr>
        <w:t>浙江农林大学物业服务项目考核评分表</w:t>
      </w:r>
    </w:p>
    <w:p w14:paraId="20B9C208">
      <w:pPr>
        <w:spacing w:line="360" w:lineRule="auto"/>
        <w:ind w:firstLine="420" w:firstLineChars="200"/>
        <w:jc w:val="left"/>
        <w:rPr>
          <w:rFonts w:asciiTheme="minorEastAsia" w:hAnsiTheme="minorEastAsia" w:cstheme="minorEastAsia"/>
          <w:szCs w:val="21"/>
        </w:rPr>
      </w:pPr>
      <w:r>
        <w:rPr>
          <w:rFonts w:hint="eastAsia"/>
        </w:rPr>
        <w:t>1.公寓服务考核评分表</w:t>
      </w:r>
    </w:p>
    <w:tbl>
      <w:tblPr>
        <w:tblStyle w:val="53"/>
        <w:tblpPr w:leftFromText="180" w:rightFromText="180" w:vertAnchor="text" w:tblpXSpec="center" w:tblpY="1"/>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212"/>
        <w:gridCol w:w="850"/>
      </w:tblGrid>
      <w:tr w14:paraId="4B64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Align w:val="center"/>
          </w:tcPr>
          <w:p w14:paraId="02D2FAC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考核项目</w:t>
            </w:r>
          </w:p>
        </w:tc>
        <w:tc>
          <w:tcPr>
            <w:tcW w:w="6212" w:type="dxa"/>
            <w:vAlign w:val="center"/>
          </w:tcPr>
          <w:p w14:paraId="17E9D79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考核内容及评分标准</w:t>
            </w:r>
          </w:p>
        </w:tc>
        <w:tc>
          <w:tcPr>
            <w:tcW w:w="850" w:type="dxa"/>
            <w:vAlign w:val="center"/>
          </w:tcPr>
          <w:p w14:paraId="787B132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分值</w:t>
            </w:r>
          </w:p>
        </w:tc>
      </w:tr>
      <w:tr w14:paraId="4E09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3" w:type="dxa"/>
            <w:vMerge w:val="restart"/>
            <w:vAlign w:val="center"/>
          </w:tcPr>
          <w:p w14:paraId="7C754864">
            <w:pPr>
              <w:spacing w:line="360" w:lineRule="auto"/>
              <w:rPr>
                <w:rFonts w:asciiTheme="minorEastAsia" w:hAnsiTheme="minorEastAsia" w:cstheme="minorEastAsia"/>
                <w:szCs w:val="21"/>
              </w:rPr>
            </w:pPr>
            <w:r>
              <w:rPr>
                <w:rFonts w:hint="eastAsia" w:asciiTheme="minorEastAsia" w:hAnsiTheme="minorEastAsia" w:cstheme="minorEastAsia"/>
                <w:szCs w:val="21"/>
              </w:rPr>
              <w:t>内部管理</w:t>
            </w:r>
          </w:p>
          <w:p w14:paraId="463EFCD0">
            <w:pPr>
              <w:spacing w:line="360" w:lineRule="auto"/>
              <w:rPr>
                <w:rFonts w:asciiTheme="minorEastAsia" w:hAnsiTheme="minorEastAsia" w:cstheme="minorEastAsia"/>
                <w:szCs w:val="21"/>
              </w:rPr>
            </w:pPr>
            <w:r>
              <w:rPr>
                <w:rFonts w:hint="eastAsia" w:asciiTheme="minorEastAsia" w:hAnsiTheme="minorEastAsia" w:cstheme="minorEastAsia"/>
                <w:szCs w:val="21"/>
              </w:rPr>
              <w:t>（10分）</w:t>
            </w:r>
          </w:p>
        </w:tc>
        <w:tc>
          <w:tcPr>
            <w:tcW w:w="6212" w:type="dxa"/>
            <w:vAlign w:val="center"/>
          </w:tcPr>
          <w:p w14:paraId="42513F96">
            <w:pPr>
              <w:spacing w:line="360" w:lineRule="auto"/>
              <w:rPr>
                <w:rFonts w:asciiTheme="minorEastAsia" w:hAnsiTheme="minorEastAsia" w:cstheme="minorEastAsia"/>
                <w:szCs w:val="21"/>
              </w:rPr>
            </w:pPr>
            <w:r>
              <w:rPr>
                <w:rFonts w:hint="eastAsia" w:asciiTheme="minorEastAsia" w:hAnsiTheme="minorEastAsia" w:cstheme="minorEastAsia"/>
                <w:szCs w:val="21"/>
              </w:rPr>
              <w:t>1.制度建设：建立健全各项规章制度，主要制度上墙（2分）；有紧急预案（2分）。</w:t>
            </w:r>
          </w:p>
        </w:tc>
        <w:tc>
          <w:tcPr>
            <w:tcW w:w="850" w:type="dxa"/>
            <w:vAlign w:val="center"/>
          </w:tcPr>
          <w:p w14:paraId="648DBDD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6940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413" w:type="dxa"/>
            <w:vMerge w:val="continue"/>
            <w:vAlign w:val="center"/>
          </w:tcPr>
          <w:p w14:paraId="6ABFB55B">
            <w:pPr>
              <w:spacing w:line="360" w:lineRule="auto"/>
              <w:rPr>
                <w:rFonts w:asciiTheme="minorEastAsia" w:hAnsiTheme="minorEastAsia" w:cstheme="minorEastAsia"/>
                <w:szCs w:val="21"/>
              </w:rPr>
            </w:pPr>
          </w:p>
        </w:tc>
        <w:tc>
          <w:tcPr>
            <w:tcW w:w="6212" w:type="dxa"/>
            <w:vAlign w:val="center"/>
          </w:tcPr>
          <w:p w14:paraId="3C484F4A">
            <w:pPr>
              <w:spacing w:line="360" w:lineRule="auto"/>
              <w:rPr>
                <w:rFonts w:asciiTheme="minorEastAsia" w:hAnsiTheme="minorEastAsia" w:cstheme="minorEastAsia"/>
                <w:szCs w:val="21"/>
              </w:rPr>
            </w:pPr>
            <w:r>
              <w:rPr>
                <w:rFonts w:hint="eastAsia" w:asciiTheme="minorEastAsia" w:hAnsiTheme="minorEastAsia" w:cstheme="minorEastAsia"/>
                <w:szCs w:val="21"/>
              </w:rPr>
              <w:t>2.资产管理：完成内部资产管理，做好后勤帐内登记的各种公寓楼内资产管理，做到账物相符，无盘亏、无丢失（3分）；做好公寓内标志系统、水电系统、消防系统、安保系统等设施设备的日常管理（3分）。</w:t>
            </w:r>
          </w:p>
        </w:tc>
        <w:tc>
          <w:tcPr>
            <w:tcW w:w="850" w:type="dxa"/>
            <w:vAlign w:val="center"/>
          </w:tcPr>
          <w:p w14:paraId="225739E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r>
      <w:tr w14:paraId="200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413" w:type="dxa"/>
            <w:vMerge w:val="restart"/>
            <w:vAlign w:val="center"/>
          </w:tcPr>
          <w:p w14:paraId="38462AC9">
            <w:pPr>
              <w:spacing w:line="360" w:lineRule="auto"/>
              <w:rPr>
                <w:rFonts w:asciiTheme="minorEastAsia" w:hAnsiTheme="minorEastAsia" w:cstheme="minorEastAsia"/>
                <w:szCs w:val="21"/>
              </w:rPr>
            </w:pPr>
            <w:r>
              <w:rPr>
                <w:rFonts w:hint="eastAsia" w:asciiTheme="minorEastAsia" w:hAnsiTheme="minorEastAsia" w:cstheme="minorEastAsia"/>
                <w:szCs w:val="21"/>
              </w:rPr>
              <w:t>卫生保洁</w:t>
            </w:r>
          </w:p>
          <w:p w14:paraId="3FFD5533">
            <w:pPr>
              <w:spacing w:line="360" w:lineRule="auto"/>
              <w:rPr>
                <w:rFonts w:asciiTheme="minorEastAsia" w:hAnsiTheme="minorEastAsia" w:cstheme="minorEastAsia"/>
                <w:szCs w:val="21"/>
              </w:rPr>
            </w:pPr>
            <w:r>
              <w:rPr>
                <w:rFonts w:hint="eastAsia" w:asciiTheme="minorEastAsia" w:hAnsiTheme="minorEastAsia" w:cstheme="minorEastAsia"/>
                <w:szCs w:val="21"/>
              </w:rPr>
              <w:t>（20分）</w:t>
            </w:r>
          </w:p>
        </w:tc>
        <w:tc>
          <w:tcPr>
            <w:tcW w:w="6212" w:type="dxa"/>
            <w:vAlign w:val="center"/>
          </w:tcPr>
          <w:p w14:paraId="59DEB6E2">
            <w:pPr>
              <w:spacing w:line="360" w:lineRule="auto"/>
              <w:rPr>
                <w:rFonts w:asciiTheme="minorEastAsia" w:hAnsiTheme="minorEastAsia" w:cstheme="minorEastAsia"/>
                <w:szCs w:val="21"/>
              </w:rPr>
            </w:pPr>
            <w:r>
              <w:rPr>
                <w:rFonts w:hint="eastAsia" w:asciiTheme="minorEastAsia" w:hAnsiTheme="minorEastAsia" w:cstheme="minorEastAsia"/>
                <w:szCs w:val="21"/>
              </w:rPr>
              <w:t>1.做好责任范围内包括楼内外平、立面场地、建筑及楼内的设施设备的卫生保洁工作（3分）；做到楼道、楼梯、车库、地面、墙面、门窗和灭火器、消防栓、消防箱等公共部位及设施干净整洁（6分）。</w:t>
            </w:r>
          </w:p>
        </w:tc>
        <w:tc>
          <w:tcPr>
            <w:tcW w:w="850" w:type="dxa"/>
            <w:vAlign w:val="center"/>
          </w:tcPr>
          <w:p w14:paraId="1A3E9B2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r>
      <w:tr w14:paraId="315E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13" w:type="dxa"/>
            <w:vMerge w:val="continue"/>
            <w:vAlign w:val="center"/>
          </w:tcPr>
          <w:p w14:paraId="6B24444E">
            <w:pPr>
              <w:spacing w:line="360" w:lineRule="auto"/>
              <w:rPr>
                <w:rFonts w:asciiTheme="minorEastAsia" w:hAnsiTheme="minorEastAsia" w:cstheme="minorEastAsia"/>
                <w:szCs w:val="21"/>
              </w:rPr>
            </w:pPr>
          </w:p>
        </w:tc>
        <w:tc>
          <w:tcPr>
            <w:tcW w:w="6212" w:type="dxa"/>
            <w:vAlign w:val="center"/>
          </w:tcPr>
          <w:p w14:paraId="0468E7F7">
            <w:pPr>
              <w:spacing w:line="360" w:lineRule="auto"/>
              <w:rPr>
                <w:rFonts w:asciiTheme="minorEastAsia" w:hAnsiTheme="minorEastAsia" w:cstheme="minorEastAsia"/>
                <w:szCs w:val="21"/>
              </w:rPr>
            </w:pPr>
            <w:r>
              <w:rPr>
                <w:rFonts w:hint="eastAsia" w:asciiTheme="minorEastAsia" w:hAnsiTheme="minorEastAsia" w:cstheme="minorEastAsia"/>
                <w:szCs w:val="21"/>
              </w:rPr>
              <w:t>2.做好公寓楼内公共厕所内空气流通无异味（2分）；墙面和天花板无蜘蛛网（2分）。</w:t>
            </w:r>
          </w:p>
        </w:tc>
        <w:tc>
          <w:tcPr>
            <w:tcW w:w="850" w:type="dxa"/>
            <w:vAlign w:val="center"/>
          </w:tcPr>
          <w:p w14:paraId="5CDB7CD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5437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13" w:type="dxa"/>
            <w:vMerge w:val="continue"/>
            <w:vAlign w:val="center"/>
          </w:tcPr>
          <w:p w14:paraId="15508AE3">
            <w:pPr>
              <w:spacing w:line="360" w:lineRule="auto"/>
              <w:rPr>
                <w:rFonts w:asciiTheme="minorEastAsia" w:hAnsiTheme="minorEastAsia" w:cstheme="minorEastAsia"/>
                <w:szCs w:val="21"/>
              </w:rPr>
            </w:pPr>
          </w:p>
        </w:tc>
        <w:tc>
          <w:tcPr>
            <w:tcW w:w="6212" w:type="dxa"/>
            <w:vAlign w:val="center"/>
          </w:tcPr>
          <w:p w14:paraId="2E457BFC">
            <w:pPr>
              <w:spacing w:line="360" w:lineRule="auto"/>
              <w:rPr>
                <w:rFonts w:asciiTheme="minorEastAsia" w:hAnsiTheme="minorEastAsia" w:cstheme="minorEastAsia"/>
                <w:szCs w:val="21"/>
              </w:rPr>
            </w:pPr>
            <w:r>
              <w:rPr>
                <w:rFonts w:hint="eastAsia" w:asciiTheme="minorEastAsia" w:hAnsiTheme="minorEastAsia" w:cstheme="minorEastAsia"/>
                <w:szCs w:val="21"/>
              </w:rPr>
              <w:t>3.及时清理楼内垃圾堆放点的垃圾（2分）；垃圾桶外观干净无污垢油污（2分）；垃圾转运点干净卫生（1分）。</w:t>
            </w:r>
          </w:p>
        </w:tc>
        <w:tc>
          <w:tcPr>
            <w:tcW w:w="850" w:type="dxa"/>
            <w:vAlign w:val="center"/>
          </w:tcPr>
          <w:p w14:paraId="3D0AF4C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646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Merge w:val="continue"/>
            <w:tcBorders>
              <w:bottom w:val="single" w:color="auto" w:sz="4" w:space="0"/>
            </w:tcBorders>
            <w:vAlign w:val="center"/>
          </w:tcPr>
          <w:p w14:paraId="40BBF695">
            <w:pPr>
              <w:spacing w:line="360" w:lineRule="auto"/>
              <w:rPr>
                <w:rFonts w:asciiTheme="minorEastAsia" w:hAnsiTheme="minorEastAsia" w:cstheme="minorEastAsia"/>
                <w:szCs w:val="21"/>
              </w:rPr>
            </w:pPr>
          </w:p>
        </w:tc>
        <w:tc>
          <w:tcPr>
            <w:tcW w:w="6212" w:type="dxa"/>
            <w:vAlign w:val="center"/>
          </w:tcPr>
          <w:p w14:paraId="4222490D">
            <w:pPr>
              <w:spacing w:line="360" w:lineRule="auto"/>
              <w:rPr>
                <w:rFonts w:asciiTheme="minorEastAsia" w:hAnsiTheme="minorEastAsia" w:cstheme="minorEastAsia"/>
                <w:szCs w:val="21"/>
              </w:rPr>
            </w:pPr>
            <w:r>
              <w:rPr>
                <w:rFonts w:hint="eastAsia" w:asciiTheme="minorEastAsia" w:hAnsiTheme="minorEastAsia" w:cstheme="minorEastAsia"/>
                <w:szCs w:val="21"/>
              </w:rPr>
              <w:t>4.做好毕业生、搬迁学生及新生房源的清卫保洁工作。</w:t>
            </w:r>
          </w:p>
        </w:tc>
        <w:tc>
          <w:tcPr>
            <w:tcW w:w="850" w:type="dxa"/>
            <w:vAlign w:val="center"/>
          </w:tcPr>
          <w:p w14:paraId="69E7E1F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14:paraId="749A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1413" w:type="dxa"/>
            <w:vAlign w:val="center"/>
          </w:tcPr>
          <w:p w14:paraId="4DEEF1C2">
            <w:pPr>
              <w:spacing w:line="360" w:lineRule="auto"/>
              <w:rPr>
                <w:rFonts w:asciiTheme="minorEastAsia" w:hAnsiTheme="minorEastAsia" w:cstheme="minorEastAsia"/>
                <w:szCs w:val="21"/>
              </w:rPr>
            </w:pPr>
            <w:r>
              <w:rPr>
                <w:rFonts w:hint="eastAsia" w:asciiTheme="minorEastAsia" w:hAnsiTheme="minorEastAsia" w:cstheme="minorEastAsia"/>
                <w:szCs w:val="21"/>
              </w:rPr>
              <w:t>安全管理</w:t>
            </w:r>
          </w:p>
          <w:p w14:paraId="5E2C2C88">
            <w:pPr>
              <w:spacing w:line="360" w:lineRule="auto"/>
              <w:rPr>
                <w:rFonts w:asciiTheme="minorEastAsia" w:hAnsiTheme="minorEastAsia" w:cstheme="minorEastAsia"/>
                <w:szCs w:val="21"/>
              </w:rPr>
            </w:pPr>
            <w:r>
              <w:rPr>
                <w:rFonts w:hint="eastAsia" w:asciiTheme="minorEastAsia" w:hAnsiTheme="minorEastAsia" w:cstheme="minorEastAsia"/>
                <w:szCs w:val="21"/>
              </w:rPr>
              <w:t>（20分）</w:t>
            </w:r>
          </w:p>
        </w:tc>
        <w:tc>
          <w:tcPr>
            <w:tcW w:w="6212" w:type="dxa"/>
            <w:vAlign w:val="center"/>
          </w:tcPr>
          <w:p w14:paraId="3CE97421">
            <w:pPr>
              <w:spacing w:line="360" w:lineRule="auto"/>
              <w:rPr>
                <w:rFonts w:asciiTheme="minorEastAsia" w:hAnsiTheme="minorEastAsia" w:cstheme="minorEastAsia"/>
                <w:szCs w:val="21"/>
              </w:rPr>
            </w:pPr>
            <w:r>
              <w:rPr>
                <w:rFonts w:hint="eastAsia" w:asciiTheme="minorEastAsia" w:hAnsiTheme="minorEastAsia" w:cstheme="minorEastAsia"/>
                <w:szCs w:val="21"/>
              </w:rPr>
              <w:t>1.值班管理：准时开、关门（2分）；实行24小时值班，交接班有记录，外来人员有登记</w:t>
            </w:r>
          </w:p>
          <w:p w14:paraId="3465B269">
            <w:pPr>
              <w:spacing w:line="360" w:lineRule="auto"/>
              <w:rPr>
                <w:rFonts w:asciiTheme="minorEastAsia" w:hAnsiTheme="minorEastAsia" w:cstheme="minorEastAsia"/>
                <w:szCs w:val="21"/>
              </w:rPr>
            </w:pPr>
            <w:r>
              <w:rPr>
                <w:rFonts w:hint="eastAsia" w:asciiTheme="minorEastAsia" w:hAnsiTheme="minorEastAsia" w:cstheme="minorEastAsia"/>
                <w:szCs w:val="21"/>
              </w:rPr>
              <w:t>（3分）；做好违规学生登记并上报各学院，重大问题及时汇报（2分）；配合保卫处做好防火、防盗、防骗等安全工作（3分）。</w:t>
            </w:r>
          </w:p>
        </w:tc>
        <w:tc>
          <w:tcPr>
            <w:tcW w:w="850" w:type="dxa"/>
            <w:vAlign w:val="center"/>
          </w:tcPr>
          <w:p w14:paraId="1A513A1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105E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13" w:type="dxa"/>
            <w:vMerge w:val="restart"/>
            <w:vAlign w:val="center"/>
          </w:tcPr>
          <w:p w14:paraId="6C7B773E">
            <w:pPr>
              <w:spacing w:line="360" w:lineRule="auto"/>
              <w:rPr>
                <w:rFonts w:asciiTheme="minorEastAsia" w:hAnsiTheme="minorEastAsia" w:cstheme="minorEastAsia"/>
                <w:szCs w:val="21"/>
              </w:rPr>
            </w:pPr>
            <w:r>
              <w:rPr>
                <w:rFonts w:hint="eastAsia" w:asciiTheme="minorEastAsia" w:hAnsiTheme="minorEastAsia" w:cstheme="minorEastAsia"/>
                <w:szCs w:val="21"/>
              </w:rPr>
              <w:t>安全管理</w:t>
            </w:r>
          </w:p>
          <w:p w14:paraId="54692170">
            <w:pPr>
              <w:spacing w:line="360" w:lineRule="auto"/>
              <w:rPr>
                <w:rFonts w:asciiTheme="minorEastAsia" w:hAnsiTheme="minorEastAsia" w:cstheme="minorEastAsia"/>
                <w:szCs w:val="21"/>
              </w:rPr>
            </w:pPr>
            <w:r>
              <w:rPr>
                <w:rFonts w:hint="eastAsia" w:asciiTheme="minorEastAsia" w:hAnsiTheme="minorEastAsia" w:cstheme="minorEastAsia"/>
                <w:szCs w:val="21"/>
              </w:rPr>
              <w:t>（20分）</w:t>
            </w:r>
          </w:p>
        </w:tc>
        <w:tc>
          <w:tcPr>
            <w:tcW w:w="6212" w:type="dxa"/>
            <w:vAlign w:val="center"/>
          </w:tcPr>
          <w:p w14:paraId="4A754544">
            <w:pPr>
              <w:spacing w:line="360" w:lineRule="auto"/>
              <w:rPr>
                <w:rFonts w:asciiTheme="minorEastAsia" w:hAnsiTheme="minorEastAsia" w:cstheme="minorEastAsia"/>
                <w:szCs w:val="21"/>
              </w:rPr>
            </w:pPr>
            <w:r>
              <w:rPr>
                <w:rFonts w:hint="eastAsia" w:asciiTheme="minorEastAsia" w:hAnsiTheme="minorEastAsia" w:cstheme="minorEastAsia"/>
                <w:szCs w:val="21"/>
              </w:rPr>
              <w:t>2.消防设备日常管理：确保消防疏散通道畅通（2分）；定期检查灭火器、应急疏散标识、安全指示牌、安全指示灯消防设施器材是否完好，并及时上报学校相关部门（2分）。</w:t>
            </w:r>
          </w:p>
        </w:tc>
        <w:tc>
          <w:tcPr>
            <w:tcW w:w="850" w:type="dxa"/>
            <w:vAlign w:val="center"/>
          </w:tcPr>
          <w:p w14:paraId="5CF90D4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4856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413" w:type="dxa"/>
            <w:vMerge w:val="continue"/>
            <w:vAlign w:val="center"/>
          </w:tcPr>
          <w:p w14:paraId="445DBC58">
            <w:pPr>
              <w:spacing w:line="360" w:lineRule="auto"/>
              <w:rPr>
                <w:rFonts w:asciiTheme="minorEastAsia" w:hAnsiTheme="minorEastAsia" w:cstheme="minorEastAsia"/>
                <w:szCs w:val="21"/>
              </w:rPr>
            </w:pPr>
          </w:p>
        </w:tc>
        <w:tc>
          <w:tcPr>
            <w:tcW w:w="6212" w:type="dxa"/>
            <w:vAlign w:val="center"/>
          </w:tcPr>
          <w:p w14:paraId="645E41F0">
            <w:pPr>
              <w:spacing w:line="360" w:lineRule="auto"/>
              <w:rPr>
                <w:rFonts w:asciiTheme="minorEastAsia" w:hAnsiTheme="minorEastAsia" w:cstheme="minorEastAsia"/>
                <w:szCs w:val="21"/>
              </w:rPr>
            </w:pPr>
            <w:r>
              <w:rPr>
                <w:rFonts w:hint="eastAsia" w:asciiTheme="minorEastAsia" w:hAnsiTheme="minorEastAsia" w:cstheme="minorEastAsia"/>
                <w:szCs w:val="21"/>
              </w:rPr>
              <w:t>3.内部消防管理：制定突发事件应急预案（2分）；管理服务人员能熟练掌握消防器材的使用方法，熟悉有关报警报案的电话号码和报警程序（2分）；每周开展学生寝室安全检查，及时收缴各类违章电器并上报相关部门（2分）。</w:t>
            </w:r>
          </w:p>
        </w:tc>
        <w:tc>
          <w:tcPr>
            <w:tcW w:w="850" w:type="dxa"/>
            <w:vAlign w:val="center"/>
          </w:tcPr>
          <w:p w14:paraId="4A99EA4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r>
      <w:tr w14:paraId="356A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413" w:type="dxa"/>
            <w:vMerge w:val="restart"/>
            <w:vAlign w:val="center"/>
          </w:tcPr>
          <w:p w14:paraId="2C159C17">
            <w:pPr>
              <w:spacing w:line="360" w:lineRule="auto"/>
              <w:rPr>
                <w:rFonts w:asciiTheme="minorEastAsia" w:hAnsiTheme="minorEastAsia" w:cstheme="minorEastAsia"/>
                <w:szCs w:val="21"/>
              </w:rPr>
            </w:pPr>
            <w:r>
              <w:rPr>
                <w:rFonts w:hint="eastAsia" w:asciiTheme="minorEastAsia" w:hAnsiTheme="minorEastAsia" w:cstheme="minorEastAsia"/>
                <w:szCs w:val="21"/>
              </w:rPr>
              <w:t>公寓事务</w:t>
            </w:r>
          </w:p>
          <w:p w14:paraId="7009BCA9">
            <w:pPr>
              <w:spacing w:line="360" w:lineRule="auto"/>
              <w:rPr>
                <w:rFonts w:asciiTheme="minorEastAsia" w:hAnsiTheme="minorEastAsia" w:cstheme="minorEastAsia"/>
                <w:szCs w:val="21"/>
              </w:rPr>
            </w:pPr>
            <w:r>
              <w:rPr>
                <w:rFonts w:hint="eastAsia" w:asciiTheme="minorEastAsia" w:hAnsiTheme="minorEastAsia" w:cstheme="minorEastAsia"/>
                <w:szCs w:val="21"/>
              </w:rPr>
              <w:t>（30分）</w:t>
            </w:r>
          </w:p>
        </w:tc>
        <w:tc>
          <w:tcPr>
            <w:tcW w:w="6212" w:type="dxa"/>
            <w:vAlign w:val="center"/>
          </w:tcPr>
          <w:p w14:paraId="70D08F1B">
            <w:pPr>
              <w:spacing w:line="360" w:lineRule="auto"/>
              <w:rPr>
                <w:rFonts w:asciiTheme="minorEastAsia" w:hAnsiTheme="minorEastAsia" w:cstheme="minorEastAsia"/>
                <w:szCs w:val="21"/>
              </w:rPr>
            </w:pPr>
            <w:r>
              <w:rPr>
                <w:rFonts w:hint="eastAsia" w:asciiTheme="minorEastAsia" w:hAnsiTheme="minorEastAsia" w:cstheme="minorEastAsia"/>
                <w:szCs w:val="21"/>
              </w:rPr>
              <w:t>1.住宿资源管理：做好学生寝室住宿资源的日常统计和整理工作，毕业生离校、新生报到后的数据更新（5分）；完成住宿资源调配，根据要求做好学生寝室搬迁、新生住宿安排和日常寝室调整等工作（10分）。</w:t>
            </w:r>
          </w:p>
        </w:tc>
        <w:tc>
          <w:tcPr>
            <w:tcW w:w="850" w:type="dxa"/>
            <w:vAlign w:val="center"/>
          </w:tcPr>
          <w:p w14:paraId="5083CCA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r>
      <w:tr w14:paraId="5ADD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413" w:type="dxa"/>
            <w:vMerge w:val="continue"/>
            <w:vAlign w:val="center"/>
          </w:tcPr>
          <w:p w14:paraId="19CBB0EB">
            <w:pPr>
              <w:spacing w:line="360" w:lineRule="auto"/>
              <w:rPr>
                <w:rFonts w:asciiTheme="minorEastAsia" w:hAnsiTheme="minorEastAsia" w:cstheme="minorEastAsia"/>
                <w:szCs w:val="21"/>
              </w:rPr>
            </w:pPr>
          </w:p>
        </w:tc>
        <w:tc>
          <w:tcPr>
            <w:tcW w:w="6212" w:type="dxa"/>
            <w:vAlign w:val="center"/>
          </w:tcPr>
          <w:p w14:paraId="4082CFC6">
            <w:pPr>
              <w:spacing w:line="360" w:lineRule="auto"/>
              <w:rPr>
                <w:rFonts w:asciiTheme="minorEastAsia" w:hAnsiTheme="minorEastAsia" w:cstheme="minorEastAsia"/>
                <w:szCs w:val="21"/>
              </w:rPr>
            </w:pPr>
            <w:r>
              <w:rPr>
                <w:rFonts w:hint="eastAsia" w:asciiTheme="minorEastAsia" w:hAnsiTheme="minorEastAsia" w:cstheme="minorEastAsia"/>
                <w:szCs w:val="21"/>
              </w:rPr>
              <w:t>2.公寓协调管理：配合学校相关部门做好学生住宿管理，经常走访学生寝室，发现异常情况及时汇报学生所在学院（3分）；配合学校做好学生寝室搬迁、新生迎新、毕业生离校等的服务保障工作（5分）。</w:t>
            </w:r>
          </w:p>
        </w:tc>
        <w:tc>
          <w:tcPr>
            <w:tcW w:w="850" w:type="dxa"/>
            <w:vAlign w:val="center"/>
          </w:tcPr>
          <w:p w14:paraId="63AE3CB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14:paraId="50D2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13" w:type="dxa"/>
            <w:vMerge w:val="continue"/>
            <w:vAlign w:val="center"/>
          </w:tcPr>
          <w:p w14:paraId="2AEB30BD">
            <w:pPr>
              <w:spacing w:line="360" w:lineRule="auto"/>
              <w:rPr>
                <w:rFonts w:asciiTheme="minorEastAsia" w:hAnsiTheme="minorEastAsia" w:cstheme="minorEastAsia"/>
                <w:szCs w:val="21"/>
              </w:rPr>
            </w:pPr>
          </w:p>
        </w:tc>
        <w:tc>
          <w:tcPr>
            <w:tcW w:w="6212" w:type="dxa"/>
            <w:vAlign w:val="center"/>
          </w:tcPr>
          <w:p w14:paraId="13852FCE">
            <w:pPr>
              <w:spacing w:line="360" w:lineRule="auto"/>
              <w:rPr>
                <w:rFonts w:asciiTheme="minorEastAsia" w:hAnsiTheme="minorEastAsia" w:cstheme="minorEastAsia"/>
                <w:szCs w:val="21"/>
              </w:rPr>
            </w:pPr>
            <w:r>
              <w:rPr>
                <w:rFonts w:hint="eastAsia" w:asciiTheme="minorEastAsia" w:hAnsiTheme="minorEastAsia" w:cstheme="minorEastAsia"/>
                <w:szCs w:val="21"/>
              </w:rPr>
              <w:t>3.文化育人管理：配合做好文明寝室建设（4分）；开展文体活动丰富学生业余生活，营造温馨环境，发挥学生公寓文化育人作用（3分）。</w:t>
            </w:r>
          </w:p>
        </w:tc>
        <w:tc>
          <w:tcPr>
            <w:tcW w:w="850" w:type="dxa"/>
            <w:vAlign w:val="center"/>
          </w:tcPr>
          <w:p w14:paraId="6A15C17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r>
      <w:tr w14:paraId="445B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413" w:type="dxa"/>
            <w:vMerge w:val="restart"/>
            <w:vAlign w:val="center"/>
          </w:tcPr>
          <w:p w14:paraId="1A56FC78">
            <w:pPr>
              <w:spacing w:line="360" w:lineRule="auto"/>
              <w:rPr>
                <w:rFonts w:asciiTheme="minorEastAsia" w:hAnsiTheme="minorEastAsia" w:cstheme="minorEastAsia"/>
                <w:szCs w:val="21"/>
              </w:rPr>
            </w:pPr>
            <w:r>
              <w:rPr>
                <w:rFonts w:hint="eastAsia" w:asciiTheme="minorEastAsia" w:hAnsiTheme="minorEastAsia" w:cstheme="minorEastAsia"/>
                <w:szCs w:val="21"/>
              </w:rPr>
              <w:t>其他物业管理（15分）</w:t>
            </w:r>
          </w:p>
        </w:tc>
        <w:tc>
          <w:tcPr>
            <w:tcW w:w="6212" w:type="dxa"/>
            <w:vAlign w:val="center"/>
          </w:tcPr>
          <w:p w14:paraId="2D68DD7B">
            <w:pPr>
              <w:spacing w:line="360" w:lineRule="auto"/>
              <w:rPr>
                <w:rFonts w:asciiTheme="minorEastAsia" w:hAnsiTheme="minorEastAsia" w:cstheme="minorEastAsia"/>
                <w:szCs w:val="21"/>
              </w:rPr>
            </w:pPr>
            <w:r>
              <w:rPr>
                <w:rFonts w:hint="eastAsia" w:asciiTheme="minorEastAsia" w:hAnsiTheme="minorEastAsia" w:cstheme="minorEastAsia"/>
                <w:szCs w:val="21"/>
              </w:rPr>
              <w:t>1.资产代管和维修：定期检查代管资产，发现损坏，及时通报相关部门（5分）。</w:t>
            </w:r>
          </w:p>
        </w:tc>
        <w:tc>
          <w:tcPr>
            <w:tcW w:w="850" w:type="dxa"/>
            <w:vAlign w:val="center"/>
          </w:tcPr>
          <w:p w14:paraId="71F61AF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4AAB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413" w:type="dxa"/>
            <w:vMerge w:val="continue"/>
            <w:vAlign w:val="center"/>
          </w:tcPr>
          <w:p w14:paraId="23B40B2A">
            <w:pPr>
              <w:spacing w:line="360" w:lineRule="auto"/>
              <w:rPr>
                <w:rFonts w:asciiTheme="minorEastAsia" w:hAnsiTheme="minorEastAsia" w:cstheme="minorEastAsia"/>
                <w:szCs w:val="21"/>
              </w:rPr>
            </w:pPr>
          </w:p>
        </w:tc>
        <w:tc>
          <w:tcPr>
            <w:tcW w:w="6212" w:type="dxa"/>
            <w:vAlign w:val="center"/>
          </w:tcPr>
          <w:p w14:paraId="2D66C9B3">
            <w:pPr>
              <w:spacing w:line="360" w:lineRule="auto"/>
              <w:rPr>
                <w:rFonts w:asciiTheme="minorEastAsia" w:hAnsiTheme="minorEastAsia" w:cstheme="minorEastAsia"/>
                <w:szCs w:val="21"/>
              </w:rPr>
            </w:pPr>
            <w:r>
              <w:rPr>
                <w:rFonts w:hint="eastAsia" w:asciiTheme="minorEastAsia" w:hAnsiTheme="minorEastAsia" w:cstheme="minorEastAsia"/>
                <w:szCs w:val="21"/>
              </w:rPr>
              <w:t>2.水电管理：协助做好空气源热水供应等水电节能工作（3分）；做好水电问题的报修工作</w:t>
            </w:r>
          </w:p>
          <w:p w14:paraId="4554DDCE">
            <w:pPr>
              <w:spacing w:line="360" w:lineRule="auto"/>
              <w:rPr>
                <w:rFonts w:asciiTheme="minorEastAsia" w:hAnsiTheme="minorEastAsia" w:cstheme="minorEastAsia"/>
                <w:szCs w:val="21"/>
              </w:rPr>
            </w:pPr>
            <w:r>
              <w:rPr>
                <w:rFonts w:hint="eastAsia" w:asciiTheme="minorEastAsia" w:hAnsiTheme="minorEastAsia" w:cstheme="minorEastAsia"/>
                <w:szCs w:val="21"/>
              </w:rPr>
              <w:t>（4分）；做好学生超用水电费的统计收缴工作，收缴率确保99%以上（3分）。</w:t>
            </w:r>
          </w:p>
        </w:tc>
        <w:tc>
          <w:tcPr>
            <w:tcW w:w="850" w:type="dxa"/>
            <w:vAlign w:val="center"/>
          </w:tcPr>
          <w:p w14:paraId="008220C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65E8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413" w:type="dxa"/>
            <w:vAlign w:val="center"/>
          </w:tcPr>
          <w:p w14:paraId="4040BF31">
            <w:pPr>
              <w:spacing w:line="360" w:lineRule="auto"/>
              <w:rPr>
                <w:rFonts w:asciiTheme="minorEastAsia" w:hAnsiTheme="minorEastAsia" w:cstheme="minorEastAsia"/>
                <w:szCs w:val="21"/>
              </w:rPr>
            </w:pPr>
            <w:r>
              <w:rPr>
                <w:rFonts w:hint="eastAsia" w:asciiTheme="minorEastAsia" w:hAnsiTheme="minorEastAsia" w:cstheme="minorEastAsia"/>
                <w:szCs w:val="21"/>
              </w:rPr>
              <w:t>服务态度（5分）</w:t>
            </w:r>
          </w:p>
        </w:tc>
        <w:tc>
          <w:tcPr>
            <w:tcW w:w="6212" w:type="dxa"/>
            <w:vAlign w:val="center"/>
          </w:tcPr>
          <w:p w14:paraId="3BB4472C">
            <w:pPr>
              <w:spacing w:line="360" w:lineRule="auto"/>
              <w:rPr>
                <w:rFonts w:asciiTheme="minorEastAsia" w:hAnsiTheme="minorEastAsia" w:cstheme="minorEastAsia"/>
                <w:szCs w:val="21"/>
              </w:rPr>
            </w:pPr>
            <w:r>
              <w:rPr>
                <w:rFonts w:hint="eastAsia" w:asciiTheme="minorEastAsia" w:hAnsiTheme="minorEastAsia" w:cstheme="minorEastAsia"/>
                <w:szCs w:val="21"/>
              </w:rPr>
              <w:t>工作人员遵守学校各项规章制度，遵纪守法（1分）；个人仪表端正，举止大方（1分）；耐心解答学生疑问（2分）；做好新增服务设施的各项服务工作（1分）。</w:t>
            </w:r>
          </w:p>
        </w:tc>
        <w:tc>
          <w:tcPr>
            <w:tcW w:w="850" w:type="dxa"/>
            <w:vAlign w:val="center"/>
          </w:tcPr>
          <w:p w14:paraId="4F38562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5589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13" w:type="dxa"/>
            <w:vAlign w:val="center"/>
          </w:tcPr>
          <w:p w14:paraId="02B7A40B">
            <w:pPr>
              <w:spacing w:line="360" w:lineRule="auto"/>
              <w:rPr>
                <w:rFonts w:asciiTheme="minorEastAsia" w:hAnsiTheme="minorEastAsia" w:cstheme="minorEastAsia"/>
                <w:szCs w:val="21"/>
              </w:rPr>
            </w:pPr>
          </w:p>
        </w:tc>
        <w:tc>
          <w:tcPr>
            <w:tcW w:w="6212" w:type="dxa"/>
            <w:vAlign w:val="center"/>
          </w:tcPr>
          <w:p w14:paraId="67BDE70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总分</w:t>
            </w:r>
          </w:p>
        </w:tc>
        <w:tc>
          <w:tcPr>
            <w:tcW w:w="850" w:type="dxa"/>
            <w:vAlign w:val="center"/>
          </w:tcPr>
          <w:p w14:paraId="62D24BE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14:paraId="3E21F947">
      <w:pPr>
        <w:spacing w:line="360" w:lineRule="auto"/>
        <w:jc w:val="left"/>
        <w:rPr>
          <w:rFonts w:asciiTheme="minorEastAsia" w:hAnsiTheme="minorEastAsia" w:cstheme="minorEastAsia"/>
          <w:szCs w:val="21"/>
        </w:rPr>
      </w:pPr>
    </w:p>
    <w:p w14:paraId="17D7EC48">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2.楼宇、环境服务考核评分表</w:t>
      </w:r>
    </w:p>
    <w:tbl>
      <w:tblPr>
        <w:tblStyle w:val="53"/>
        <w:tblW w:w="0" w:type="auto"/>
        <w:tblInd w:w="0" w:type="dxa"/>
        <w:tblLayout w:type="fixed"/>
        <w:tblCellMar>
          <w:top w:w="0" w:type="dxa"/>
          <w:left w:w="108" w:type="dxa"/>
          <w:bottom w:w="0" w:type="dxa"/>
          <w:right w:w="108" w:type="dxa"/>
        </w:tblCellMar>
      </w:tblPr>
      <w:tblGrid>
        <w:gridCol w:w="1368"/>
        <w:gridCol w:w="6104"/>
        <w:gridCol w:w="1035"/>
      </w:tblGrid>
      <w:tr w14:paraId="1BAB6B68">
        <w:tblPrEx>
          <w:tblCellMar>
            <w:top w:w="0" w:type="dxa"/>
            <w:left w:w="108" w:type="dxa"/>
            <w:bottom w:w="0" w:type="dxa"/>
            <w:right w:w="108" w:type="dxa"/>
          </w:tblCellMar>
        </w:tblPrEx>
        <w:trPr>
          <w:trHeight w:val="656" w:hRule="atLeast"/>
        </w:trPr>
        <w:tc>
          <w:tcPr>
            <w:tcW w:w="1368" w:type="dxa"/>
            <w:tcBorders>
              <w:top w:val="single" w:color="auto" w:sz="4" w:space="0"/>
              <w:left w:val="single" w:color="auto" w:sz="4" w:space="0"/>
              <w:bottom w:val="single" w:color="auto" w:sz="4" w:space="0"/>
              <w:right w:val="single" w:color="auto" w:sz="4" w:space="0"/>
            </w:tcBorders>
            <w:vAlign w:val="center"/>
          </w:tcPr>
          <w:p w14:paraId="35C65F7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考核项目</w:t>
            </w:r>
          </w:p>
        </w:tc>
        <w:tc>
          <w:tcPr>
            <w:tcW w:w="6104" w:type="dxa"/>
            <w:tcBorders>
              <w:top w:val="single" w:color="auto" w:sz="4" w:space="0"/>
              <w:left w:val="nil"/>
              <w:bottom w:val="single" w:color="auto" w:sz="4" w:space="0"/>
              <w:right w:val="single" w:color="auto" w:sz="4" w:space="0"/>
            </w:tcBorders>
            <w:vAlign w:val="center"/>
          </w:tcPr>
          <w:p w14:paraId="1AEF725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考核内容及评分标准</w:t>
            </w:r>
          </w:p>
        </w:tc>
        <w:tc>
          <w:tcPr>
            <w:tcW w:w="1035" w:type="dxa"/>
            <w:tcBorders>
              <w:top w:val="single" w:color="auto" w:sz="4" w:space="0"/>
              <w:left w:val="nil"/>
              <w:bottom w:val="single" w:color="auto" w:sz="4" w:space="0"/>
              <w:right w:val="single" w:color="auto" w:sz="4" w:space="0"/>
            </w:tcBorders>
            <w:vAlign w:val="center"/>
          </w:tcPr>
          <w:p w14:paraId="0EC4571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分值</w:t>
            </w:r>
          </w:p>
        </w:tc>
      </w:tr>
      <w:tr w14:paraId="18900E94">
        <w:tblPrEx>
          <w:tblCellMar>
            <w:top w:w="0" w:type="dxa"/>
            <w:left w:w="108" w:type="dxa"/>
            <w:bottom w:w="0" w:type="dxa"/>
            <w:right w:w="108" w:type="dxa"/>
          </w:tblCellMar>
        </w:tblPrEx>
        <w:trPr>
          <w:trHeight w:val="706" w:hRule="atLeast"/>
        </w:trPr>
        <w:tc>
          <w:tcPr>
            <w:tcW w:w="1368" w:type="dxa"/>
            <w:vMerge w:val="restart"/>
            <w:tcBorders>
              <w:top w:val="single" w:color="auto" w:sz="4" w:space="0"/>
              <w:left w:val="single" w:color="auto" w:sz="4" w:space="0"/>
              <w:bottom w:val="single" w:color="auto" w:sz="6" w:space="0"/>
              <w:right w:val="single" w:color="auto" w:sz="6" w:space="0"/>
            </w:tcBorders>
            <w:vAlign w:val="center"/>
          </w:tcPr>
          <w:p w14:paraId="58432979">
            <w:pPr>
              <w:spacing w:line="360" w:lineRule="auto"/>
              <w:rPr>
                <w:rFonts w:asciiTheme="minorEastAsia" w:hAnsiTheme="minorEastAsia" w:cstheme="minorEastAsia"/>
                <w:szCs w:val="21"/>
              </w:rPr>
            </w:pPr>
            <w:r>
              <w:rPr>
                <w:rFonts w:hint="eastAsia" w:asciiTheme="minorEastAsia" w:hAnsiTheme="minorEastAsia" w:cstheme="minorEastAsia"/>
                <w:szCs w:val="21"/>
              </w:rPr>
              <w:t>内部管理</w:t>
            </w:r>
          </w:p>
          <w:p w14:paraId="3AEE4A52">
            <w:pPr>
              <w:spacing w:line="360" w:lineRule="auto"/>
              <w:rPr>
                <w:rFonts w:asciiTheme="minorEastAsia" w:hAnsiTheme="minorEastAsia" w:cstheme="minorEastAsia"/>
                <w:szCs w:val="21"/>
              </w:rPr>
            </w:pPr>
            <w:r>
              <w:rPr>
                <w:rFonts w:hint="eastAsia" w:asciiTheme="minorEastAsia" w:hAnsiTheme="minorEastAsia" w:cstheme="minorEastAsia"/>
                <w:szCs w:val="21"/>
              </w:rPr>
              <w:t>（25分）</w:t>
            </w:r>
          </w:p>
        </w:tc>
        <w:tc>
          <w:tcPr>
            <w:tcW w:w="6104" w:type="dxa"/>
            <w:tcBorders>
              <w:top w:val="single" w:color="auto" w:sz="4" w:space="0"/>
              <w:left w:val="single" w:color="auto" w:sz="6" w:space="0"/>
              <w:bottom w:val="single" w:color="auto" w:sz="6" w:space="0"/>
              <w:right w:val="single" w:color="auto" w:sz="6" w:space="0"/>
            </w:tcBorders>
            <w:vAlign w:val="center"/>
          </w:tcPr>
          <w:p w14:paraId="5801E6E6">
            <w:pPr>
              <w:spacing w:line="360" w:lineRule="auto"/>
              <w:rPr>
                <w:rFonts w:asciiTheme="minorEastAsia" w:hAnsiTheme="minorEastAsia" w:cstheme="minorEastAsia"/>
                <w:szCs w:val="21"/>
              </w:rPr>
            </w:pPr>
            <w:r>
              <w:rPr>
                <w:rFonts w:hint="eastAsia" w:asciiTheme="minorEastAsia" w:hAnsiTheme="minorEastAsia" w:cstheme="minorEastAsia"/>
                <w:szCs w:val="21"/>
              </w:rPr>
              <w:t>1.制度建设：建立健全各项规章制度，主要制度上墙。</w:t>
            </w:r>
          </w:p>
        </w:tc>
        <w:tc>
          <w:tcPr>
            <w:tcW w:w="1035" w:type="dxa"/>
            <w:tcBorders>
              <w:top w:val="single" w:color="auto" w:sz="4" w:space="0"/>
              <w:left w:val="single" w:color="auto" w:sz="6" w:space="0"/>
              <w:bottom w:val="single" w:color="auto" w:sz="6" w:space="0"/>
              <w:right w:val="single" w:color="auto" w:sz="4" w:space="0"/>
            </w:tcBorders>
            <w:vAlign w:val="center"/>
          </w:tcPr>
          <w:p w14:paraId="3D6606E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18E849B8">
        <w:tblPrEx>
          <w:tblCellMar>
            <w:top w:w="0" w:type="dxa"/>
            <w:left w:w="108" w:type="dxa"/>
            <w:bottom w:w="0" w:type="dxa"/>
            <w:right w:w="108" w:type="dxa"/>
          </w:tblCellMar>
        </w:tblPrEx>
        <w:trPr>
          <w:trHeight w:val="627" w:hRule="atLeast"/>
        </w:trPr>
        <w:tc>
          <w:tcPr>
            <w:tcW w:w="1368" w:type="dxa"/>
            <w:vMerge w:val="continue"/>
            <w:tcBorders>
              <w:top w:val="single" w:color="auto" w:sz="6" w:space="0"/>
              <w:left w:val="single" w:color="auto" w:sz="4" w:space="0"/>
              <w:bottom w:val="single" w:color="auto" w:sz="6" w:space="0"/>
              <w:right w:val="single" w:color="auto" w:sz="6" w:space="0"/>
            </w:tcBorders>
            <w:vAlign w:val="center"/>
          </w:tcPr>
          <w:p w14:paraId="0FE89427">
            <w:pPr>
              <w:spacing w:line="360" w:lineRule="auto"/>
              <w:rPr>
                <w:rFonts w:asciiTheme="minorEastAsia" w:hAnsiTheme="minorEastAsia" w:cstheme="minorEastAsia"/>
                <w:szCs w:val="21"/>
              </w:rPr>
            </w:pPr>
          </w:p>
        </w:tc>
        <w:tc>
          <w:tcPr>
            <w:tcW w:w="6104" w:type="dxa"/>
            <w:tcBorders>
              <w:top w:val="single" w:color="auto" w:sz="6" w:space="0"/>
              <w:left w:val="single" w:color="auto" w:sz="6" w:space="0"/>
              <w:bottom w:val="single" w:color="auto" w:sz="6" w:space="0"/>
              <w:right w:val="single" w:color="auto" w:sz="6" w:space="0"/>
            </w:tcBorders>
            <w:vAlign w:val="center"/>
          </w:tcPr>
          <w:p w14:paraId="6FCBFD34">
            <w:pPr>
              <w:spacing w:line="360" w:lineRule="auto"/>
              <w:rPr>
                <w:rFonts w:asciiTheme="minorEastAsia" w:hAnsiTheme="minorEastAsia" w:cstheme="minorEastAsia"/>
                <w:szCs w:val="21"/>
              </w:rPr>
            </w:pPr>
            <w:r>
              <w:rPr>
                <w:rFonts w:hint="eastAsia" w:asciiTheme="minorEastAsia" w:hAnsiTheme="minorEastAsia" w:cstheme="minorEastAsia"/>
                <w:szCs w:val="21"/>
              </w:rPr>
              <w:t>2.队伍建设：队伍结构合理，特种设备岗位工作人员持证上岗。</w:t>
            </w:r>
          </w:p>
        </w:tc>
        <w:tc>
          <w:tcPr>
            <w:tcW w:w="1035" w:type="dxa"/>
            <w:tcBorders>
              <w:top w:val="single" w:color="auto" w:sz="6" w:space="0"/>
              <w:left w:val="single" w:color="auto" w:sz="6" w:space="0"/>
              <w:bottom w:val="single" w:color="auto" w:sz="6" w:space="0"/>
              <w:right w:val="single" w:color="auto" w:sz="4" w:space="0"/>
            </w:tcBorders>
            <w:vAlign w:val="center"/>
          </w:tcPr>
          <w:p w14:paraId="13A8228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018EFFD7">
        <w:tblPrEx>
          <w:tblCellMar>
            <w:top w:w="0" w:type="dxa"/>
            <w:left w:w="108" w:type="dxa"/>
            <w:bottom w:w="0" w:type="dxa"/>
            <w:right w:w="108" w:type="dxa"/>
          </w:tblCellMar>
        </w:tblPrEx>
        <w:trPr>
          <w:trHeight w:val="304" w:hRule="atLeast"/>
        </w:trPr>
        <w:tc>
          <w:tcPr>
            <w:tcW w:w="1368" w:type="dxa"/>
            <w:vMerge w:val="continue"/>
            <w:tcBorders>
              <w:top w:val="single" w:color="auto" w:sz="6" w:space="0"/>
              <w:left w:val="single" w:color="auto" w:sz="4" w:space="0"/>
              <w:bottom w:val="single" w:color="auto" w:sz="6" w:space="0"/>
              <w:right w:val="single" w:color="auto" w:sz="6" w:space="0"/>
            </w:tcBorders>
            <w:vAlign w:val="center"/>
          </w:tcPr>
          <w:p w14:paraId="0C27EB3E">
            <w:pPr>
              <w:spacing w:line="360" w:lineRule="auto"/>
              <w:rPr>
                <w:rFonts w:asciiTheme="minorEastAsia" w:hAnsiTheme="minorEastAsia" w:cstheme="minorEastAsia"/>
                <w:szCs w:val="21"/>
              </w:rPr>
            </w:pPr>
          </w:p>
        </w:tc>
        <w:tc>
          <w:tcPr>
            <w:tcW w:w="6104" w:type="dxa"/>
            <w:tcBorders>
              <w:top w:val="single" w:color="auto" w:sz="6" w:space="0"/>
              <w:left w:val="single" w:color="auto" w:sz="6" w:space="0"/>
              <w:bottom w:val="single" w:color="auto" w:sz="6" w:space="0"/>
              <w:right w:val="single" w:color="auto" w:sz="6" w:space="0"/>
            </w:tcBorders>
            <w:vAlign w:val="center"/>
          </w:tcPr>
          <w:p w14:paraId="3C9F7A6F">
            <w:pPr>
              <w:spacing w:line="360" w:lineRule="auto"/>
              <w:rPr>
                <w:rFonts w:asciiTheme="minorEastAsia" w:hAnsiTheme="minorEastAsia" w:cstheme="minorEastAsia"/>
                <w:szCs w:val="21"/>
              </w:rPr>
            </w:pPr>
            <w:r>
              <w:rPr>
                <w:rFonts w:hint="eastAsia" w:asciiTheme="minorEastAsia" w:hAnsiTheme="minorEastAsia" w:cstheme="minorEastAsia"/>
                <w:szCs w:val="21"/>
              </w:rPr>
              <w:t>3.资产管理：做好后勤帐内登记的设备家具等资产管理，做到账物相符，无盘亏无丢失（3分）；完成代管资产的日常管理，定期检查大楼内公共设施、消防设施，确保正常使用（3分）；加强大楼内电梯、多媒体教学设备、配电房等设施设备的管理，确保正常、安全运行（4分）。</w:t>
            </w:r>
          </w:p>
        </w:tc>
        <w:tc>
          <w:tcPr>
            <w:tcW w:w="1035" w:type="dxa"/>
            <w:tcBorders>
              <w:top w:val="single" w:color="auto" w:sz="6" w:space="0"/>
              <w:left w:val="single" w:color="auto" w:sz="6" w:space="0"/>
              <w:bottom w:val="single" w:color="auto" w:sz="6" w:space="0"/>
              <w:right w:val="single" w:color="auto" w:sz="4" w:space="0"/>
            </w:tcBorders>
            <w:vAlign w:val="center"/>
          </w:tcPr>
          <w:p w14:paraId="432DD0C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1A981D16">
        <w:tblPrEx>
          <w:tblCellMar>
            <w:top w:w="0" w:type="dxa"/>
            <w:left w:w="108" w:type="dxa"/>
            <w:bottom w:w="0" w:type="dxa"/>
            <w:right w:w="108" w:type="dxa"/>
          </w:tblCellMar>
        </w:tblPrEx>
        <w:trPr>
          <w:trHeight w:val="923" w:hRule="atLeast"/>
        </w:trPr>
        <w:tc>
          <w:tcPr>
            <w:tcW w:w="1368" w:type="dxa"/>
            <w:vMerge w:val="continue"/>
            <w:tcBorders>
              <w:top w:val="single" w:color="auto" w:sz="6" w:space="0"/>
              <w:left w:val="single" w:color="auto" w:sz="4" w:space="0"/>
              <w:bottom w:val="single" w:color="auto" w:sz="6" w:space="0"/>
              <w:right w:val="single" w:color="auto" w:sz="6" w:space="0"/>
            </w:tcBorders>
            <w:vAlign w:val="center"/>
          </w:tcPr>
          <w:p w14:paraId="0A12FFE7">
            <w:pPr>
              <w:spacing w:line="360" w:lineRule="auto"/>
              <w:rPr>
                <w:rFonts w:asciiTheme="minorEastAsia" w:hAnsiTheme="minorEastAsia" w:cstheme="minorEastAsia"/>
                <w:szCs w:val="21"/>
              </w:rPr>
            </w:pPr>
          </w:p>
        </w:tc>
        <w:tc>
          <w:tcPr>
            <w:tcW w:w="6104" w:type="dxa"/>
            <w:tcBorders>
              <w:top w:val="single" w:color="auto" w:sz="6" w:space="0"/>
              <w:left w:val="single" w:color="auto" w:sz="6" w:space="0"/>
              <w:bottom w:val="single" w:color="auto" w:sz="6" w:space="0"/>
              <w:right w:val="single" w:color="auto" w:sz="6" w:space="0"/>
            </w:tcBorders>
            <w:vAlign w:val="center"/>
          </w:tcPr>
          <w:p w14:paraId="680B0D9C">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4.安全管理：制定大楼突发事件应急预案，发生突发事件及时处理并迅速上报（5分）。 </w:t>
            </w:r>
          </w:p>
        </w:tc>
        <w:tc>
          <w:tcPr>
            <w:tcW w:w="1035" w:type="dxa"/>
            <w:tcBorders>
              <w:top w:val="single" w:color="auto" w:sz="6" w:space="0"/>
              <w:left w:val="single" w:color="auto" w:sz="6" w:space="0"/>
              <w:bottom w:val="single" w:color="auto" w:sz="6" w:space="0"/>
              <w:right w:val="single" w:color="auto" w:sz="4" w:space="0"/>
            </w:tcBorders>
            <w:vAlign w:val="center"/>
          </w:tcPr>
          <w:p w14:paraId="6065FC8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01187B18">
        <w:tblPrEx>
          <w:tblCellMar>
            <w:top w:w="0" w:type="dxa"/>
            <w:left w:w="108" w:type="dxa"/>
            <w:bottom w:w="0" w:type="dxa"/>
            <w:right w:w="108" w:type="dxa"/>
          </w:tblCellMar>
        </w:tblPrEx>
        <w:trPr>
          <w:trHeight w:val="1232" w:hRule="atLeast"/>
        </w:trPr>
        <w:tc>
          <w:tcPr>
            <w:tcW w:w="1368" w:type="dxa"/>
            <w:vMerge w:val="restart"/>
            <w:tcBorders>
              <w:top w:val="single" w:color="auto" w:sz="6" w:space="0"/>
              <w:left w:val="single" w:color="auto" w:sz="4" w:space="0"/>
              <w:bottom w:val="single" w:color="auto" w:sz="6" w:space="0"/>
              <w:right w:val="single" w:color="auto" w:sz="6" w:space="0"/>
            </w:tcBorders>
            <w:vAlign w:val="center"/>
          </w:tcPr>
          <w:p w14:paraId="23F05A9B">
            <w:pPr>
              <w:spacing w:line="360" w:lineRule="auto"/>
              <w:rPr>
                <w:rFonts w:asciiTheme="minorEastAsia" w:hAnsiTheme="minorEastAsia" w:cstheme="minorEastAsia"/>
                <w:szCs w:val="21"/>
              </w:rPr>
            </w:pPr>
            <w:r>
              <w:rPr>
                <w:rFonts w:hint="eastAsia" w:asciiTheme="minorEastAsia" w:hAnsiTheme="minorEastAsia" w:cstheme="minorEastAsia"/>
                <w:szCs w:val="21"/>
              </w:rPr>
              <w:t>教室管理</w:t>
            </w:r>
          </w:p>
          <w:p w14:paraId="3182B4C9">
            <w:pPr>
              <w:spacing w:line="360" w:lineRule="auto"/>
              <w:rPr>
                <w:rFonts w:asciiTheme="minorEastAsia" w:hAnsiTheme="minorEastAsia" w:cstheme="minorEastAsia"/>
                <w:szCs w:val="21"/>
              </w:rPr>
            </w:pPr>
            <w:r>
              <w:rPr>
                <w:rFonts w:hint="eastAsia" w:asciiTheme="minorEastAsia" w:hAnsiTheme="minorEastAsia" w:cstheme="minorEastAsia"/>
                <w:szCs w:val="21"/>
              </w:rPr>
              <w:t>（20分）</w:t>
            </w:r>
          </w:p>
        </w:tc>
        <w:tc>
          <w:tcPr>
            <w:tcW w:w="6104" w:type="dxa"/>
            <w:tcBorders>
              <w:top w:val="single" w:color="auto" w:sz="6" w:space="0"/>
              <w:left w:val="single" w:color="auto" w:sz="6" w:space="0"/>
              <w:bottom w:val="single" w:color="auto" w:sz="6" w:space="0"/>
              <w:right w:val="single" w:color="auto" w:sz="6" w:space="0"/>
            </w:tcBorders>
            <w:vAlign w:val="center"/>
          </w:tcPr>
          <w:p w14:paraId="43EE686C">
            <w:pPr>
              <w:spacing w:line="360" w:lineRule="auto"/>
              <w:rPr>
                <w:rFonts w:asciiTheme="minorEastAsia" w:hAnsiTheme="minorEastAsia" w:cstheme="minorEastAsia"/>
                <w:szCs w:val="21"/>
              </w:rPr>
            </w:pPr>
            <w:r>
              <w:rPr>
                <w:rFonts w:hint="eastAsia" w:asciiTheme="minorEastAsia" w:hAnsiTheme="minorEastAsia" w:cstheme="minorEastAsia"/>
                <w:szCs w:val="21"/>
              </w:rPr>
              <w:t>1.教室管理服务：配合教务处，按时开关教室门窗、灯（2分）；根据教务处开具的临时调课单，办理教室临时借用和调配（1分）；为教师休息室供应开水（2分）；为教室提供板擦、粉笔等教学物品（2分）。</w:t>
            </w:r>
          </w:p>
        </w:tc>
        <w:tc>
          <w:tcPr>
            <w:tcW w:w="1035" w:type="dxa"/>
            <w:tcBorders>
              <w:top w:val="single" w:color="auto" w:sz="6" w:space="0"/>
              <w:left w:val="single" w:color="auto" w:sz="6" w:space="0"/>
              <w:bottom w:val="single" w:color="auto" w:sz="4" w:space="0"/>
              <w:right w:val="single" w:color="auto" w:sz="4" w:space="0"/>
            </w:tcBorders>
            <w:vAlign w:val="center"/>
          </w:tcPr>
          <w:p w14:paraId="0EA518C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r>
      <w:tr w14:paraId="3DB7B913">
        <w:tblPrEx>
          <w:tblCellMar>
            <w:top w:w="0" w:type="dxa"/>
            <w:left w:w="108" w:type="dxa"/>
            <w:bottom w:w="0" w:type="dxa"/>
            <w:right w:w="108" w:type="dxa"/>
          </w:tblCellMar>
        </w:tblPrEx>
        <w:trPr>
          <w:trHeight w:val="942" w:hRule="atLeast"/>
        </w:trPr>
        <w:tc>
          <w:tcPr>
            <w:tcW w:w="1368" w:type="dxa"/>
            <w:vMerge w:val="continue"/>
            <w:tcBorders>
              <w:top w:val="single" w:color="auto" w:sz="6" w:space="0"/>
              <w:left w:val="single" w:color="auto" w:sz="4" w:space="0"/>
              <w:bottom w:val="single" w:color="auto" w:sz="6" w:space="0"/>
              <w:right w:val="single" w:color="auto" w:sz="6" w:space="0"/>
            </w:tcBorders>
            <w:vAlign w:val="center"/>
          </w:tcPr>
          <w:p w14:paraId="3B3D39B4">
            <w:pPr>
              <w:spacing w:line="360" w:lineRule="auto"/>
              <w:rPr>
                <w:rFonts w:asciiTheme="minorEastAsia" w:hAnsiTheme="minorEastAsia" w:cstheme="minorEastAsia"/>
                <w:szCs w:val="21"/>
              </w:rPr>
            </w:pPr>
          </w:p>
        </w:tc>
        <w:tc>
          <w:tcPr>
            <w:tcW w:w="6104" w:type="dxa"/>
            <w:tcBorders>
              <w:top w:val="single" w:color="auto" w:sz="6" w:space="0"/>
              <w:left w:val="single" w:color="auto" w:sz="6" w:space="0"/>
              <w:bottom w:val="single" w:color="auto" w:sz="6" w:space="0"/>
              <w:right w:val="single" w:color="auto" w:sz="4" w:space="0"/>
            </w:tcBorders>
            <w:vAlign w:val="center"/>
          </w:tcPr>
          <w:p w14:paraId="55C086A4">
            <w:pPr>
              <w:spacing w:line="360" w:lineRule="auto"/>
              <w:rPr>
                <w:rFonts w:asciiTheme="minorEastAsia" w:hAnsiTheme="minorEastAsia" w:cstheme="minorEastAsia"/>
                <w:szCs w:val="21"/>
              </w:rPr>
            </w:pPr>
            <w:r>
              <w:rPr>
                <w:rFonts w:hint="eastAsia" w:asciiTheme="minorEastAsia" w:hAnsiTheme="minorEastAsia" w:cstheme="minorEastAsia"/>
                <w:szCs w:val="21"/>
              </w:rPr>
              <w:t>2.设施设备管理：及时做好教室内课桌椅、黑板、讲台等教学用具（2分），空调、电扇、灯光（3分）的检查、维修跟进和多媒体（3分）的检修维护。</w:t>
            </w:r>
          </w:p>
        </w:tc>
        <w:tc>
          <w:tcPr>
            <w:tcW w:w="1035" w:type="dxa"/>
            <w:tcBorders>
              <w:top w:val="single" w:color="auto" w:sz="4" w:space="0"/>
              <w:left w:val="single" w:color="auto" w:sz="4" w:space="0"/>
              <w:bottom w:val="single" w:color="auto" w:sz="4" w:space="0"/>
              <w:right w:val="single" w:color="auto" w:sz="4" w:space="0"/>
            </w:tcBorders>
            <w:vAlign w:val="center"/>
          </w:tcPr>
          <w:p w14:paraId="2C42F09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14:paraId="028A720B">
        <w:tblPrEx>
          <w:tblCellMar>
            <w:top w:w="0" w:type="dxa"/>
            <w:left w:w="108" w:type="dxa"/>
            <w:bottom w:w="0" w:type="dxa"/>
            <w:right w:w="108" w:type="dxa"/>
          </w:tblCellMar>
        </w:tblPrEx>
        <w:trPr>
          <w:trHeight w:val="696" w:hRule="atLeast"/>
        </w:trPr>
        <w:tc>
          <w:tcPr>
            <w:tcW w:w="1368" w:type="dxa"/>
            <w:vMerge w:val="continue"/>
            <w:tcBorders>
              <w:top w:val="single" w:color="auto" w:sz="6" w:space="0"/>
              <w:left w:val="single" w:color="auto" w:sz="4" w:space="0"/>
              <w:bottom w:val="single" w:color="auto" w:sz="4" w:space="0"/>
              <w:right w:val="single" w:color="auto" w:sz="6" w:space="0"/>
            </w:tcBorders>
            <w:vAlign w:val="center"/>
          </w:tcPr>
          <w:p w14:paraId="04161884">
            <w:pPr>
              <w:spacing w:line="360" w:lineRule="auto"/>
              <w:rPr>
                <w:rFonts w:asciiTheme="minorEastAsia" w:hAnsiTheme="minorEastAsia" w:cstheme="minorEastAsia"/>
                <w:szCs w:val="21"/>
              </w:rPr>
            </w:pPr>
          </w:p>
        </w:tc>
        <w:tc>
          <w:tcPr>
            <w:tcW w:w="6104" w:type="dxa"/>
            <w:tcBorders>
              <w:top w:val="single" w:color="auto" w:sz="6" w:space="0"/>
              <w:left w:val="single" w:color="auto" w:sz="6" w:space="0"/>
              <w:bottom w:val="single" w:color="auto" w:sz="4" w:space="0"/>
              <w:right w:val="single" w:color="auto" w:sz="4" w:space="0"/>
            </w:tcBorders>
            <w:vAlign w:val="center"/>
          </w:tcPr>
          <w:p w14:paraId="05A5A63E">
            <w:pPr>
              <w:spacing w:line="360" w:lineRule="auto"/>
              <w:rPr>
                <w:rFonts w:asciiTheme="minorEastAsia" w:hAnsiTheme="minorEastAsia" w:cstheme="minorEastAsia"/>
                <w:szCs w:val="21"/>
              </w:rPr>
            </w:pPr>
            <w:r>
              <w:rPr>
                <w:rFonts w:hint="eastAsia" w:asciiTheme="minorEastAsia" w:hAnsiTheme="minorEastAsia" w:cstheme="minorEastAsia"/>
                <w:szCs w:val="21"/>
              </w:rPr>
              <w:t>3.教室清卫服务：每日定时清扫教室，保持讲台、黑板底座干净。</w:t>
            </w:r>
          </w:p>
        </w:tc>
        <w:tc>
          <w:tcPr>
            <w:tcW w:w="1035" w:type="dxa"/>
            <w:tcBorders>
              <w:top w:val="single" w:color="auto" w:sz="4" w:space="0"/>
              <w:left w:val="single" w:color="auto" w:sz="4" w:space="0"/>
              <w:bottom w:val="single" w:color="auto" w:sz="4" w:space="0"/>
              <w:right w:val="single" w:color="auto" w:sz="4" w:space="0"/>
            </w:tcBorders>
            <w:vAlign w:val="center"/>
          </w:tcPr>
          <w:p w14:paraId="55DEFA6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5589EB41">
        <w:tblPrEx>
          <w:tblCellMar>
            <w:top w:w="0" w:type="dxa"/>
            <w:left w:w="108" w:type="dxa"/>
            <w:bottom w:w="0" w:type="dxa"/>
            <w:right w:w="108" w:type="dxa"/>
          </w:tblCellMar>
        </w:tblPrEx>
        <w:trPr>
          <w:trHeight w:val="2016" w:hRule="atLeast"/>
        </w:trPr>
        <w:tc>
          <w:tcPr>
            <w:tcW w:w="1368" w:type="dxa"/>
            <w:vMerge w:val="restart"/>
            <w:tcBorders>
              <w:top w:val="single" w:color="auto" w:sz="4" w:space="0"/>
              <w:left w:val="single" w:color="auto" w:sz="4" w:space="0"/>
              <w:right w:val="single" w:color="auto" w:sz="4" w:space="0"/>
            </w:tcBorders>
            <w:vAlign w:val="center"/>
          </w:tcPr>
          <w:p w14:paraId="3069D7D0">
            <w:pPr>
              <w:spacing w:line="360" w:lineRule="auto"/>
              <w:rPr>
                <w:rFonts w:asciiTheme="minorEastAsia" w:hAnsiTheme="minorEastAsia" w:cstheme="minorEastAsia"/>
                <w:szCs w:val="21"/>
              </w:rPr>
            </w:pPr>
            <w:r>
              <w:rPr>
                <w:rFonts w:hint="eastAsia" w:asciiTheme="minorEastAsia" w:hAnsiTheme="minorEastAsia" w:cstheme="minorEastAsia"/>
                <w:szCs w:val="21"/>
              </w:rPr>
              <w:t>大楼清卫（30分）</w:t>
            </w:r>
          </w:p>
        </w:tc>
        <w:tc>
          <w:tcPr>
            <w:tcW w:w="6104" w:type="dxa"/>
            <w:tcBorders>
              <w:top w:val="single" w:color="auto" w:sz="4" w:space="0"/>
              <w:left w:val="single" w:color="auto" w:sz="4" w:space="0"/>
              <w:bottom w:val="single" w:color="auto" w:sz="4" w:space="0"/>
              <w:right w:val="single" w:color="auto" w:sz="4" w:space="0"/>
            </w:tcBorders>
            <w:vAlign w:val="center"/>
          </w:tcPr>
          <w:p w14:paraId="3A41F174">
            <w:pPr>
              <w:spacing w:line="360" w:lineRule="auto"/>
              <w:rPr>
                <w:rFonts w:asciiTheme="minorEastAsia" w:hAnsiTheme="minorEastAsia" w:cstheme="minorEastAsia"/>
                <w:szCs w:val="21"/>
              </w:rPr>
            </w:pPr>
            <w:r>
              <w:rPr>
                <w:rFonts w:hint="eastAsia" w:asciiTheme="minorEastAsia" w:hAnsiTheme="minorEastAsia" w:cstheme="minorEastAsia"/>
                <w:szCs w:val="21"/>
              </w:rPr>
              <w:t>1.大楼内、外、平、立面卫生：做好建筑内部门窗、大厅、玻璃幕墙（4米以下部分）、玻璃窗户、门窗玻璃、走廊、楼梯、值班室、工具间、机房等公共区域卫生（10分）；保持卫生间干净整洁无异味、洗手台无积水、理容镜无水渍（3分）；重点大楼放置洗手液、擦手设备（擦手纸或烘干机），洗手台前放置防水垫（3分）；做好建筑外部清卫，定期清理能正常进出的公共露台、平台，防止杂物堵塞下水口（4分）。</w:t>
            </w:r>
          </w:p>
        </w:tc>
        <w:tc>
          <w:tcPr>
            <w:tcW w:w="1035" w:type="dxa"/>
            <w:tcBorders>
              <w:top w:val="single" w:color="auto" w:sz="4" w:space="0"/>
              <w:left w:val="single" w:color="auto" w:sz="4" w:space="0"/>
              <w:bottom w:val="single" w:color="auto" w:sz="4" w:space="0"/>
              <w:right w:val="single" w:color="auto" w:sz="4" w:space="0"/>
            </w:tcBorders>
            <w:vAlign w:val="center"/>
          </w:tcPr>
          <w:p w14:paraId="1E53FFA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20</w:t>
            </w:r>
          </w:p>
        </w:tc>
      </w:tr>
      <w:tr w14:paraId="18648556">
        <w:tblPrEx>
          <w:tblCellMar>
            <w:top w:w="0" w:type="dxa"/>
            <w:left w:w="108" w:type="dxa"/>
            <w:bottom w:w="0" w:type="dxa"/>
            <w:right w:w="108" w:type="dxa"/>
          </w:tblCellMar>
        </w:tblPrEx>
        <w:trPr>
          <w:trHeight w:val="923" w:hRule="atLeast"/>
        </w:trPr>
        <w:tc>
          <w:tcPr>
            <w:tcW w:w="1368" w:type="dxa"/>
            <w:vMerge w:val="continue"/>
            <w:tcBorders>
              <w:left w:val="single" w:color="auto" w:sz="4" w:space="0"/>
              <w:bottom w:val="single" w:color="auto" w:sz="4" w:space="0"/>
              <w:right w:val="single" w:color="auto" w:sz="4" w:space="0"/>
            </w:tcBorders>
            <w:vAlign w:val="center"/>
          </w:tcPr>
          <w:p w14:paraId="5B123285">
            <w:pPr>
              <w:spacing w:line="360" w:lineRule="auto"/>
              <w:rPr>
                <w:rFonts w:asciiTheme="minorEastAsia" w:hAnsiTheme="minorEastAsia" w:cstheme="minorEastAsia"/>
                <w:szCs w:val="21"/>
              </w:rPr>
            </w:pPr>
          </w:p>
        </w:tc>
        <w:tc>
          <w:tcPr>
            <w:tcW w:w="6104" w:type="dxa"/>
            <w:tcBorders>
              <w:top w:val="single" w:color="auto" w:sz="4" w:space="0"/>
              <w:left w:val="single" w:color="auto" w:sz="4" w:space="0"/>
              <w:bottom w:val="single" w:color="auto" w:sz="4" w:space="0"/>
              <w:right w:val="single" w:color="auto" w:sz="4" w:space="0"/>
            </w:tcBorders>
            <w:vAlign w:val="center"/>
          </w:tcPr>
          <w:p w14:paraId="23F3317A">
            <w:pPr>
              <w:spacing w:line="360" w:lineRule="auto"/>
              <w:rPr>
                <w:rFonts w:asciiTheme="minorEastAsia" w:hAnsiTheme="minorEastAsia" w:cstheme="minorEastAsia"/>
                <w:szCs w:val="21"/>
              </w:rPr>
            </w:pPr>
            <w:r>
              <w:rPr>
                <w:rFonts w:hint="eastAsia" w:asciiTheme="minorEastAsia" w:hAnsiTheme="minorEastAsia" w:cstheme="minorEastAsia"/>
                <w:szCs w:val="21"/>
              </w:rPr>
              <w:t>2.大楼内设施设备管理：负责公共区域内水电表箱、消防器材、应急灯箱、标识牌、指示牌等设施设备和布告栏等的外立面清卫卫生。</w:t>
            </w:r>
          </w:p>
        </w:tc>
        <w:tc>
          <w:tcPr>
            <w:tcW w:w="1035" w:type="dxa"/>
            <w:tcBorders>
              <w:top w:val="single" w:color="auto" w:sz="4" w:space="0"/>
              <w:left w:val="single" w:color="auto" w:sz="4" w:space="0"/>
              <w:bottom w:val="single" w:color="auto" w:sz="4" w:space="0"/>
              <w:right w:val="single" w:color="auto" w:sz="4" w:space="0"/>
            </w:tcBorders>
            <w:vAlign w:val="center"/>
          </w:tcPr>
          <w:p w14:paraId="5FA4D37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4A01A6A8">
        <w:tblPrEx>
          <w:tblCellMar>
            <w:top w:w="0" w:type="dxa"/>
            <w:left w:w="108" w:type="dxa"/>
            <w:bottom w:w="0" w:type="dxa"/>
            <w:right w:w="108" w:type="dxa"/>
          </w:tblCellMar>
        </w:tblPrEx>
        <w:trPr>
          <w:trHeight w:val="935" w:hRule="atLeast"/>
        </w:trPr>
        <w:tc>
          <w:tcPr>
            <w:tcW w:w="1368" w:type="dxa"/>
            <w:tcBorders>
              <w:top w:val="single" w:color="auto" w:sz="4" w:space="0"/>
              <w:left w:val="single" w:color="auto" w:sz="4" w:space="0"/>
              <w:bottom w:val="single" w:color="auto" w:sz="4" w:space="0"/>
              <w:right w:val="single" w:color="auto" w:sz="4" w:space="0"/>
            </w:tcBorders>
            <w:vAlign w:val="center"/>
          </w:tcPr>
          <w:p w14:paraId="1DEE50D8">
            <w:pPr>
              <w:spacing w:line="360" w:lineRule="auto"/>
              <w:rPr>
                <w:rFonts w:asciiTheme="minorEastAsia" w:hAnsiTheme="minorEastAsia" w:cstheme="minorEastAsia"/>
                <w:szCs w:val="21"/>
              </w:rPr>
            </w:pPr>
            <w:r>
              <w:rPr>
                <w:rFonts w:hint="eastAsia" w:asciiTheme="minorEastAsia" w:hAnsiTheme="minorEastAsia" w:cstheme="minorEastAsia"/>
                <w:szCs w:val="21"/>
              </w:rPr>
              <w:t>室外清卫</w:t>
            </w:r>
          </w:p>
          <w:p w14:paraId="2A13B252">
            <w:pPr>
              <w:spacing w:line="360" w:lineRule="auto"/>
              <w:rPr>
                <w:rFonts w:asciiTheme="minorEastAsia" w:hAnsiTheme="minorEastAsia" w:cstheme="minorEastAsia"/>
                <w:szCs w:val="21"/>
              </w:rPr>
            </w:pPr>
            <w:r>
              <w:rPr>
                <w:rFonts w:hint="eastAsia" w:asciiTheme="minorEastAsia" w:hAnsiTheme="minorEastAsia" w:cstheme="minorEastAsia"/>
                <w:szCs w:val="21"/>
              </w:rPr>
              <w:t>（15分）</w:t>
            </w:r>
          </w:p>
        </w:tc>
        <w:tc>
          <w:tcPr>
            <w:tcW w:w="6104" w:type="dxa"/>
            <w:tcBorders>
              <w:top w:val="single" w:color="auto" w:sz="4" w:space="0"/>
              <w:left w:val="nil"/>
              <w:bottom w:val="single" w:color="auto" w:sz="4" w:space="0"/>
              <w:right w:val="single" w:color="auto" w:sz="4" w:space="0"/>
            </w:tcBorders>
            <w:vAlign w:val="center"/>
          </w:tcPr>
          <w:p w14:paraId="3583F5CA">
            <w:pPr>
              <w:spacing w:line="360" w:lineRule="auto"/>
              <w:rPr>
                <w:rFonts w:asciiTheme="minorEastAsia" w:hAnsiTheme="minorEastAsia" w:cstheme="minorEastAsia"/>
                <w:szCs w:val="21"/>
              </w:rPr>
            </w:pPr>
            <w:r>
              <w:rPr>
                <w:rFonts w:hint="eastAsia" w:asciiTheme="minorEastAsia" w:hAnsiTheme="minorEastAsia" w:cstheme="minorEastAsia"/>
                <w:szCs w:val="21"/>
              </w:rPr>
              <w:t>保持室外路面、路基、水面、阴沟等室外环境干净整洁，无明显杂物（6分）；及时清除主要路面的积雪，道路畅通（3分）；及时做好排水管道、化粪池等的清理工作（3分）；保持绿地范围内的道路、水沟、水体等卫生。（3分）。</w:t>
            </w:r>
          </w:p>
        </w:tc>
        <w:tc>
          <w:tcPr>
            <w:tcW w:w="1035" w:type="dxa"/>
            <w:tcBorders>
              <w:top w:val="single" w:color="auto" w:sz="4" w:space="0"/>
              <w:left w:val="nil"/>
              <w:bottom w:val="single" w:color="auto" w:sz="4" w:space="0"/>
              <w:right w:val="single" w:color="auto" w:sz="4" w:space="0"/>
            </w:tcBorders>
            <w:vAlign w:val="center"/>
          </w:tcPr>
          <w:p w14:paraId="77C93FF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r>
      <w:tr w14:paraId="4AD63513">
        <w:tblPrEx>
          <w:tblCellMar>
            <w:top w:w="0" w:type="dxa"/>
            <w:left w:w="108" w:type="dxa"/>
            <w:bottom w:w="0" w:type="dxa"/>
            <w:right w:w="108" w:type="dxa"/>
          </w:tblCellMar>
        </w:tblPrEx>
        <w:trPr>
          <w:trHeight w:val="1046" w:hRule="atLeast"/>
        </w:trPr>
        <w:tc>
          <w:tcPr>
            <w:tcW w:w="1368" w:type="dxa"/>
            <w:tcBorders>
              <w:top w:val="single" w:color="auto" w:sz="4" w:space="0"/>
              <w:left w:val="single" w:color="auto" w:sz="4" w:space="0"/>
              <w:bottom w:val="single" w:color="auto" w:sz="4" w:space="0"/>
              <w:right w:val="single" w:color="auto" w:sz="4" w:space="0"/>
            </w:tcBorders>
            <w:vAlign w:val="center"/>
          </w:tcPr>
          <w:p w14:paraId="5E68410E">
            <w:pPr>
              <w:spacing w:line="360" w:lineRule="auto"/>
              <w:rPr>
                <w:rFonts w:asciiTheme="minorEastAsia" w:hAnsiTheme="minorEastAsia" w:cstheme="minorEastAsia"/>
                <w:szCs w:val="21"/>
              </w:rPr>
            </w:pPr>
            <w:r>
              <w:rPr>
                <w:rFonts w:hint="eastAsia" w:asciiTheme="minorEastAsia" w:hAnsiTheme="minorEastAsia" w:cstheme="minorEastAsia"/>
                <w:szCs w:val="21"/>
              </w:rPr>
              <w:t>垃圾清运</w:t>
            </w:r>
          </w:p>
          <w:p w14:paraId="6C39A567">
            <w:pPr>
              <w:spacing w:line="360" w:lineRule="auto"/>
              <w:rPr>
                <w:rFonts w:asciiTheme="minorEastAsia" w:hAnsiTheme="minorEastAsia" w:cstheme="minorEastAsia"/>
                <w:szCs w:val="21"/>
              </w:rPr>
            </w:pPr>
            <w:r>
              <w:rPr>
                <w:rFonts w:hint="eastAsia" w:asciiTheme="minorEastAsia" w:hAnsiTheme="minorEastAsia" w:cstheme="minorEastAsia"/>
                <w:szCs w:val="21"/>
              </w:rPr>
              <w:t>（10分）</w:t>
            </w:r>
          </w:p>
        </w:tc>
        <w:tc>
          <w:tcPr>
            <w:tcW w:w="6104" w:type="dxa"/>
            <w:tcBorders>
              <w:top w:val="single" w:color="auto" w:sz="4" w:space="0"/>
              <w:left w:val="nil"/>
              <w:bottom w:val="single" w:color="auto" w:sz="4" w:space="0"/>
              <w:right w:val="single" w:color="auto" w:sz="4" w:space="0"/>
            </w:tcBorders>
            <w:vAlign w:val="center"/>
          </w:tcPr>
          <w:p w14:paraId="07C9DC2C">
            <w:pPr>
              <w:spacing w:line="360" w:lineRule="auto"/>
              <w:rPr>
                <w:rFonts w:asciiTheme="minorEastAsia" w:hAnsiTheme="minorEastAsia" w:cstheme="minorEastAsia"/>
                <w:szCs w:val="21"/>
              </w:rPr>
            </w:pPr>
            <w:r>
              <w:rPr>
                <w:rFonts w:hint="eastAsia" w:asciiTheme="minorEastAsia" w:hAnsiTheme="minorEastAsia" w:cstheme="minorEastAsia"/>
                <w:szCs w:val="21"/>
              </w:rPr>
              <w:t>负责垃圾桶、垃圾箱的日常维护和管理（2分）；保持垃圾站、垃圾道、垃圾桶清洁（3分）；做到日常垃圾，日产日清及时清运（5分）。</w:t>
            </w:r>
          </w:p>
        </w:tc>
        <w:tc>
          <w:tcPr>
            <w:tcW w:w="1035" w:type="dxa"/>
            <w:tcBorders>
              <w:top w:val="single" w:color="auto" w:sz="4" w:space="0"/>
              <w:left w:val="nil"/>
              <w:bottom w:val="single" w:color="auto" w:sz="4" w:space="0"/>
              <w:right w:val="single" w:color="auto" w:sz="4" w:space="0"/>
            </w:tcBorders>
            <w:vAlign w:val="center"/>
          </w:tcPr>
          <w:p w14:paraId="51116C1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5B1CC641">
        <w:tblPrEx>
          <w:tblCellMar>
            <w:top w:w="0" w:type="dxa"/>
            <w:left w:w="108" w:type="dxa"/>
            <w:bottom w:w="0" w:type="dxa"/>
            <w:right w:w="108" w:type="dxa"/>
          </w:tblCellMar>
        </w:tblPrEx>
        <w:trPr>
          <w:trHeight w:val="655" w:hRule="atLeast"/>
        </w:trPr>
        <w:tc>
          <w:tcPr>
            <w:tcW w:w="1368" w:type="dxa"/>
            <w:tcBorders>
              <w:top w:val="single" w:color="auto" w:sz="4" w:space="0"/>
              <w:left w:val="single" w:color="auto" w:sz="4" w:space="0"/>
              <w:bottom w:val="single" w:color="auto" w:sz="4" w:space="0"/>
              <w:right w:val="single" w:color="auto" w:sz="4" w:space="0"/>
            </w:tcBorders>
            <w:vAlign w:val="center"/>
          </w:tcPr>
          <w:p w14:paraId="7252704B">
            <w:pPr>
              <w:spacing w:line="360" w:lineRule="auto"/>
              <w:rPr>
                <w:rFonts w:asciiTheme="minorEastAsia" w:hAnsiTheme="minorEastAsia" w:cstheme="minorEastAsia"/>
                <w:szCs w:val="21"/>
              </w:rPr>
            </w:pPr>
          </w:p>
        </w:tc>
        <w:tc>
          <w:tcPr>
            <w:tcW w:w="6104" w:type="dxa"/>
            <w:tcBorders>
              <w:top w:val="single" w:color="auto" w:sz="4" w:space="0"/>
              <w:left w:val="nil"/>
              <w:bottom w:val="single" w:color="auto" w:sz="4" w:space="0"/>
              <w:right w:val="single" w:color="auto" w:sz="4" w:space="0"/>
            </w:tcBorders>
            <w:vAlign w:val="center"/>
          </w:tcPr>
          <w:p w14:paraId="1B242AB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  分</w:t>
            </w:r>
          </w:p>
        </w:tc>
        <w:tc>
          <w:tcPr>
            <w:tcW w:w="1035" w:type="dxa"/>
            <w:tcBorders>
              <w:top w:val="single" w:color="auto" w:sz="4" w:space="0"/>
              <w:left w:val="nil"/>
              <w:bottom w:val="single" w:color="auto" w:sz="4" w:space="0"/>
              <w:right w:val="single" w:color="auto" w:sz="4" w:space="0"/>
            </w:tcBorders>
            <w:vAlign w:val="center"/>
          </w:tcPr>
          <w:p w14:paraId="6BCFE2E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14:paraId="009B8EFF">
      <w:pPr>
        <w:spacing w:line="360" w:lineRule="auto"/>
        <w:ind w:firstLine="420" w:firstLineChars="200"/>
        <w:jc w:val="left"/>
        <w:rPr>
          <w:rFonts w:asciiTheme="minorEastAsia" w:hAnsiTheme="minorEastAsia" w:cstheme="minorEastAsia"/>
          <w:szCs w:val="21"/>
        </w:rPr>
      </w:pPr>
    </w:p>
    <w:p w14:paraId="38C44003">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3.绿化养护服务考核评分表</w:t>
      </w:r>
    </w:p>
    <w:tbl>
      <w:tblPr>
        <w:tblStyle w:val="53"/>
        <w:tblpPr w:leftFromText="180" w:rightFromText="180" w:vertAnchor="text" w:tblpX="33" w:tblpY="1"/>
        <w:tblOverlap w:val="never"/>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6090"/>
        <w:gridCol w:w="1065"/>
      </w:tblGrid>
      <w:tr w14:paraId="6DD6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35" w:type="dxa"/>
            <w:vAlign w:val="center"/>
          </w:tcPr>
          <w:p w14:paraId="6F1D30D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考核项目</w:t>
            </w:r>
          </w:p>
        </w:tc>
        <w:tc>
          <w:tcPr>
            <w:tcW w:w="6090" w:type="dxa"/>
            <w:vAlign w:val="center"/>
          </w:tcPr>
          <w:p w14:paraId="620A85C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考核内容及评分标准</w:t>
            </w:r>
          </w:p>
        </w:tc>
        <w:tc>
          <w:tcPr>
            <w:tcW w:w="1065" w:type="dxa"/>
            <w:vAlign w:val="center"/>
          </w:tcPr>
          <w:p w14:paraId="1A28E8C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分值</w:t>
            </w:r>
          </w:p>
        </w:tc>
      </w:tr>
      <w:tr w14:paraId="6F0A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35" w:type="dxa"/>
            <w:vMerge w:val="restart"/>
            <w:vAlign w:val="center"/>
          </w:tcPr>
          <w:p w14:paraId="068C1C8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内部管理</w:t>
            </w:r>
          </w:p>
          <w:p w14:paraId="75295B9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（18分）</w:t>
            </w:r>
          </w:p>
        </w:tc>
        <w:tc>
          <w:tcPr>
            <w:tcW w:w="6090" w:type="dxa"/>
            <w:vAlign w:val="center"/>
          </w:tcPr>
          <w:p w14:paraId="0CDDA2EB">
            <w:pPr>
              <w:spacing w:line="360" w:lineRule="auto"/>
              <w:rPr>
                <w:rFonts w:asciiTheme="minorEastAsia" w:hAnsiTheme="minorEastAsia" w:cstheme="minorEastAsia"/>
                <w:szCs w:val="21"/>
              </w:rPr>
            </w:pPr>
            <w:r>
              <w:rPr>
                <w:rFonts w:hint="eastAsia" w:asciiTheme="minorEastAsia" w:hAnsiTheme="minorEastAsia" w:cstheme="minorEastAsia"/>
                <w:szCs w:val="21"/>
              </w:rPr>
              <w:t>1.制度建设：具有完整的绿化养护管理办法、养护标准、年度养护计划、资产管理制度、人事制度、财务制度、苗木采购制度、廉政制度和日常台帐记录等管理制度（4分）。</w:t>
            </w:r>
          </w:p>
        </w:tc>
        <w:tc>
          <w:tcPr>
            <w:tcW w:w="1065" w:type="dxa"/>
            <w:vAlign w:val="center"/>
          </w:tcPr>
          <w:p w14:paraId="5350981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6A66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35" w:type="dxa"/>
            <w:vMerge w:val="continue"/>
            <w:vAlign w:val="center"/>
          </w:tcPr>
          <w:p w14:paraId="503560F3">
            <w:pPr>
              <w:spacing w:line="360" w:lineRule="auto"/>
              <w:jc w:val="center"/>
              <w:rPr>
                <w:rFonts w:asciiTheme="minorEastAsia" w:hAnsiTheme="minorEastAsia" w:cstheme="minorEastAsia"/>
                <w:szCs w:val="21"/>
              </w:rPr>
            </w:pPr>
          </w:p>
        </w:tc>
        <w:tc>
          <w:tcPr>
            <w:tcW w:w="6090" w:type="dxa"/>
            <w:vAlign w:val="center"/>
          </w:tcPr>
          <w:p w14:paraId="4B93CB55">
            <w:pPr>
              <w:spacing w:line="360" w:lineRule="auto"/>
              <w:rPr>
                <w:rFonts w:asciiTheme="minorEastAsia" w:hAnsiTheme="minorEastAsia" w:cstheme="minorEastAsia"/>
                <w:szCs w:val="21"/>
              </w:rPr>
            </w:pPr>
            <w:r>
              <w:rPr>
                <w:rFonts w:hint="eastAsia" w:asciiTheme="minorEastAsia" w:hAnsiTheme="minorEastAsia" w:cstheme="minorEastAsia"/>
                <w:szCs w:val="21"/>
              </w:rPr>
              <w:t>2.队伍建设：养护队伍结构合理、数量合理，做养护人员持证上岗、统一着装、专业养护等规范管理，定期对养护人员开展绿化养护技能培训等（4分）。养护队伍人数不得少于25人。</w:t>
            </w:r>
          </w:p>
        </w:tc>
        <w:tc>
          <w:tcPr>
            <w:tcW w:w="1065" w:type="dxa"/>
            <w:vAlign w:val="center"/>
          </w:tcPr>
          <w:p w14:paraId="215AEE5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6AB7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335" w:type="dxa"/>
            <w:vMerge w:val="continue"/>
            <w:vAlign w:val="center"/>
          </w:tcPr>
          <w:p w14:paraId="79529A7B">
            <w:pPr>
              <w:spacing w:line="360" w:lineRule="auto"/>
              <w:jc w:val="center"/>
              <w:rPr>
                <w:rFonts w:asciiTheme="minorEastAsia" w:hAnsiTheme="minorEastAsia" w:cstheme="minorEastAsia"/>
                <w:szCs w:val="21"/>
              </w:rPr>
            </w:pPr>
          </w:p>
        </w:tc>
        <w:tc>
          <w:tcPr>
            <w:tcW w:w="6090" w:type="dxa"/>
            <w:vAlign w:val="center"/>
          </w:tcPr>
          <w:p w14:paraId="070DE69F">
            <w:pPr>
              <w:spacing w:line="360" w:lineRule="auto"/>
              <w:rPr>
                <w:rFonts w:asciiTheme="minorEastAsia" w:hAnsiTheme="minorEastAsia" w:cstheme="minorEastAsia"/>
                <w:szCs w:val="21"/>
              </w:rPr>
            </w:pPr>
            <w:r>
              <w:rPr>
                <w:rFonts w:hint="eastAsia" w:asciiTheme="minorEastAsia" w:hAnsiTheme="minorEastAsia" w:cstheme="minorEastAsia"/>
                <w:szCs w:val="21"/>
              </w:rPr>
              <w:t>3.资产管理：做好养护车辆、设备、工具等资产管理，做到账物相符，做好日常管理与使用的台帐记录，定期检查养护车辆、设备、工具等，确保正常使用（2分）。</w:t>
            </w:r>
          </w:p>
        </w:tc>
        <w:tc>
          <w:tcPr>
            <w:tcW w:w="1065" w:type="dxa"/>
            <w:vAlign w:val="center"/>
          </w:tcPr>
          <w:p w14:paraId="78EC353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14:paraId="63A9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35" w:type="dxa"/>
            <w:vMerge w:val="continue"/>
            <w:vAlign w:val="center"/>
          </w:tcPr>
          <w:p w14:paraId="0FF01E75">
            <w:pPr>
              <w:spacing w:line="360" w:lineRule="auto"/>
              <w:jc w:val="center"/>
              <w:rPr>
                <w:rFonts w:asciiTheme="minorEastAsia" w:hAnsiTheme="minorEastAsia" w:cstheme="minorEastAsia"/>
                <w:szCs w:val="21"/>
              </w:rPr>
            </w:pPr>
          </w:p>
        </w:tc>
        <w:tc>
          <w:tcPr>
            <w:tcW w:w="6090" w:type="dxa"/>
            <w:vAlign w:val="center"/>
          </w:tcPr>
          <w:p w14:paraId="27BE6B0D">
            <w:pPr>
              <w:spacing w:line="360" w:lineRule="auto"/>
              <w:rPr>
                <w:rFonts w:asciiTheme="minorEastAsia" w:hAnsiTheme="minorEastAsia" w:cstheme="minorEastAsia"/>
                <w:szCs w:val="21"/>
              </w:rPr>
            </w:pPr>
            <w:r>
              <w:rPr>
                <w:rFonts w:hint="eastAsia" w:asciiTheme="minorEastAsia" w:hAnsiTheme="minorEastAsia" w:cstheme="minorEastAsia"/>
                <w:szCs w:val="21"/>
              </w:rPr>
              <w:t>4.安全管理：制定绿化养护突发事件的应急预案，发生突发事件及时处理并迅速上报植物园管理办公室（2分）；做好绿化养护的自然灾害（如台风、雪灾、旱灾等）应急预案，发生自然灾害及时处理（3分）；做好校园植物防盗、私自采挖、私自采摘工作，做好校园植物资产管护（2分）；加强农药、化肥等安全管理（1分）。</w:t>
            </w:r>
          </w:p>
        </w:tc>
        <w:tc>
          <w:tcPr>
            <w:tcW w:w="1065" w:type="dxa"/>
            <w:vAlign w:val="center"/>
          </w:tcPr>
          <w:p w14:paraId="2860E57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14:paraId="0B5F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5" w:type="dxa"/>
            <w:vMerge w:val="restart"/>
            <w:vAlign w:val="center"/>
          </w:tcPr>
          <w:p w14:paraId="7409668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植物养护</w:t>
            </w:r>
          </w:p>
          <w:p w14:paraId="10DBDE7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（50分）</w:t>
            </w:r>
          </w:p>
        </w:tc>
        <w:tc>
          <w:tcPr>
            <w:tcW w:w="6090" w:type="dxa"/>
            <w:vAlign w:val="center"/>
          </w:tcPr>
          <w:p w14:paraId="35BB0907">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1.植物养护：根据设计意图和养护标准开展养护，体现植物造景，养护精细，植物生长茂盛，景观良好 ，并做养护日志和台帐（4分）。 </w:t>
            </w:r>
          </w:p>
        </w:tc>
        <w:tc>
          <w:tcPr>
            <w:tcW w:w="1065" w:type="dxa"/>
            <w:vAlign w:val="center"/>
          </w:tcPr>
          <w:p w14:paraId="1553128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r>
      <w:tr w14:paraId="7514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35" w:type="dxa"/>
            <w:vMerge w:val="continue"/>
            <w:vAlign w:val="center"/>
          </w:tcPr>
          <w:p w14:paraId="20A177D9">
            <w:pPr>
              <w:spacing w:line="360" w:lineRule="auto"/>
              <w:jc w:val="center"/>
              <w:rPr>
                <w:rFonts w:asciiTheme="minorEastAsia" w:hAnsiTheme="minorEastAsia" w:cstheme="minorEastAsia"/>
                <w:szCs w:val="21"/>
              </w:rPr>
            </w:pPr>
          </w:p>
        </w:tc>
        <w:tc>
          <w:tcPr>
            <w:tcW w:w="6090" w:type="dxa"/>
            <w:vAlign w:val="center"/>
          </w:tcPr>
          <w:p w14:paraId="5B11B07C">
            <w:pPr>
              <w:spacing w:line="360" w:lineRule="auto"/>
              <w:rPr>
                <w:rFonts w:asciiTheme="minorEastAsia" w:hAnsiTheme="minorEastAsia" w:cstheme="minorEastAsia"/>
                <w:szCs w:val="21"/>
              </w:rPr>
            </w:pPr>
            <w:r>
              <w:rPr>
                <w:rFonts w:hint="eastAsia" w:asciiTheme="minorEastAsia" w:hAnsiTheme="minorEastAsia" w:cstheme="minorEastAsia"/>
                <w:szCs w:val="21"/>
              </w:rPr>
              <w:t>2.植物修剪整形：乔灌木及时修剪，无倾斜倒伏，无徒长枝、病虫枝、枯枝、伤损枝；宿根植物及时翻种、断根、间删，行道树修剪要求枝下高整齐，修剪后的枯枝落叶及时清理（10分）。</w:t>
            </w:r>
          </w:p>
        </w:tc>
        <w:tc>
          <w:tcPr>
            <w:tcW w:w="1065" w:type="dxa"/>
            <w:vAlign w:val="center"/>
          </w:tcPr>
          <w:p w14:paraId="701CFF6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14:paraId="312B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35" w:type="dxa"/>
            <w:vMerge w:val="continue"/>
            <w:vAlign w:val="center"/>
          </w:tcPr>
          <w:p w14:paraId="4135E3C5">
            <w:pPr>
              <w:spacing w:line="360" w:lineRule="auto"/>
              <w:jc w:val="center"/>
              <w:rPr>
                <w:rFonts w:asciiTheme="minorEastAsia" w:hAnsiTheme="minorEastAsia" w:cstheme="minorEastAsia"/>
                <w:szCs w:val="21"/>
              </w:rPr>
            </w:pPr>
          </w:p>
        </w:tc>
        <w:tc>
          <w:tcPr>
            <w:tcW w:w="6090" w:type="dxa"/>
            <w:vAlign w:val="center"/>
          </w:tcPr>
          <w:p w14:paraId="74D2004C">
            <w:pPr>
              <w:spacing w:line="360" w:lineRule="auto"/>
              <w:rPr>
                <w:rFonts w:asciiTheme="minorEastAsia" w:hAnsiTheme="minorEastAsia" w:cstheme="minorEastAsia"/>
                <w:szCs w:val="21"/>
              </w:rPr>
            </w:pPr>
            <w:r>
              <w:rPr>
                <w:rFonts w:hint="eastAsia" w:asciiTheme="minorEastAsia" w:hAnsiTheme="minorEastAsia" w:cstheme="minorEastAsia"/>
                <w:szCs w:val="21"/>
              </w:rPr>
              <w:t>3.草坪与杂草管理：草坪生长茂盛，无空秃，草坪边缘线清晰（及时切边），草高不超过8厘米，常绿草草坪要求草种纯正，草高不超过6厘米（6分）；绿地内无杂草（4分）。重点区域草坪出现衰退需要及时更新。</w:t>
            </w:r>
          </w:p>
        </w:tc>
        <w:tc>
          <w:tcPr>
            <w:tcW w:w="1065" w:type="dxa"/>
            <w:vAlign w:val="center"/>
          </w:tcPr>
          <w:p w14:paraId="2932A15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14:paraId="4A9D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35" w:type="dxa"/>
            <w:vMerge w:val="continue"/>
            <w:vAlign w:val="center"/>
          </w:tcPr>
          <w:p w14:paraId="779F523C">
            <w:pPr>
              <w:spacing w:line="360" w:lineRule="auto"/>
              <w:jc w:val="center"/>
              <w:rPr>
                <w:rFonts w:asciiTheme="minorEastAsia" w:hAnsiTheme="minorEastAsia" w:cstheme="minorEastAsia"/>
                <w:szCs w:val="21"/>
              </w:rPr>
            </w:pPr>
          </w:p>
        </w:tc>
        <w:tc>
          <w:tcPr>
            <w:tcW w:w="6090" w:type="dxa"/>
            <w:vAlign w:val="center"/>
          </w:tcPr>
          <w:p w14:paraId="472763AB">
            <w:pPr>
              <w:spacing w:line="360" w:lineRule="auto"/>
              <w:rPr>
                <w:rFonts w:asciiTheme="minorEastAsia" w:hAnsiTheme="minorEastAsia" w:cstheme="minorEastAsia"/>
                <w:szCs w:val="21"/>
              </w:rPr>
            </w:pPr>
            <w:r>
              <w:rPr>
                <w:rFonts w:hint="eastAsia" w:asciiTheme="minorEastAsia" w:hAnsiTheme="minorEastAsia" w:cstheme="minorEastAsia"/>
                <w:szCs w:val="21"/>
              </w:rPr>
              <w:t>4.花坛、色块、绿篱和棚架、假山等垂直绿化管护合理，达到正常生长量。</w:t>
            </w:r>
          </w:p>
        </w:tc>
        <w:tc>
          <w:tcPr>
            <w:tcW w:w="1065" w:type="dxa"/>
            <w:vAlign w:val="center"/>
          </w:tcPr>
          <w:p w14:paraId="7170764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45BF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35" w:type="dxa"/>
            <w:vMerge w:val="continue"/>
            <w:vAlign w:val="center"/>
          </w:tcPr>
          <w:p w14:paraId="00176F47">
            <w:pPr>
              <w:spacing w:line="360" w:lineRule="auto"/>
              <w:jc w:val="center"/>
              <w:rPr>
                <w:rFonts w:asciiTheme="minorEastAsia" w:hAnsiTheme="minorEastAsia" w:cstheme="minorEastAsia"/>
                <w:szCs w:val="21"/>
              </w:rPr>
            </w:pPr>
          </w:p>
        </w:tc>
        <w:tc>
          <w:tcPr>
            <w:tcW w:w="6090" w:type="dxa"/>
            <w:vAlign w:val="center"/>
          </w:tcPr>
          <w:p w14:paraId="20589372">
            <w:pPr>
              <w:spacing w:line="360" w:lineRule="auto"/>
              <w:rPr>
                <w:rFonts w:asciiTheme="minorEastAsia" w:hAnsiTheme="minorEastAsia" w:cstheme="minorEastAsia"/>
                <w:szCs w:val="21"/>
              </w:rPr>
            </w:pPr>
            <w:r>
              <w:rPr>
                <w:rFonts w:hint="eastAsia" w:asciiTheme="minorEastAsia" w:hAnsiTheme="minorEastAsia" w:cstheme="minorEastAsia"/>
                <w:szCs w:val="21"/>
              </w:rPr>
              <w:t>5.植物保存与补植：植物保存率达到98%，无死树，无缺株，花灌木色块完整、整齐,无空洞、黄土裸露现象，出现以上问题及时补植。</w:t>
            </w:r>
          </w:p>
        </w:tc>
        <w:tc>
          <w:tcPr>
            <w:tcW w:w="1065" w:type="dxa"/>
            <w:vAlign w:val="center"/>
          </w:tcPr>
          <w:p w14:paraId="7F84A38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0748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35" w:type="dxa"/>
            <w:vMerge w:val="restart"/>
            <w:vAlign w:val="center"/>
          </w:tcPr>
          <w:p w14:paraId="3CD6A88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土肥标准</w:t>
            </w:r>
          </w:p>
          <w:p w14:paraId="1C979D5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（12分）</w:t>
            </w:r>
          </w:p>
        </w:tc>
        <w:tc>
          <w:tcPr>
            <w:tcW w:w="6090" w:type="dxa"/>
            <w:vAlign w:val="center"/>
          </w:tcPr>
          <w:p w14:paraId="7CEB8508">
            <w:pPr>
              <w:spacing w:line="360" w:lineRule="auto"/>
              <w:rPr>
                <w:rFonts w:asciiTheme="minorEastAsia" w:hAnsiTheme="minorEastAsia" w:cstheme="minorEastAsia"/>
                <w:szCs w:val="21"/>
              </w:rPr>
            </w:pPr>
            <w:r>
              <w:rPr>
                <w:rFonts w:hint="eastAsia" w:asciiTheme="minorEastAsia" w:hAnsiTheme="minorEastAsia" w:cstheme="minorEastAsia"/>
                <w:szCs w:val="21"/>
              </w:rPr>
              <w:t>1.松土：要求绿地土壤疏松，根据植物生长特性及时整理树穴，每年进行1-2次松土和培土。</w:t>
            </w:r>
          </w:p>
        </w:tc>
        <w:tc>
          <w:tcPr>
            <w:tcW w:w="1065" w:type="dxa"/>
            <w:vAlign w:val="center"/>
          </w:tcPr>
          <w:p w14:paraId="2C6DF53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14:paraId="156B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35" w:type="dxa"/>
            <w:vMerge w:val="continue"/>
            <w:vAlign w:val="center"/>
          </w:tcPr>
          <w:p w14:paraId="2FC2565A">
            <w:pPr>
              <w:spacing w:line="360" w:lineRule="auto"/>
              <w:jc w:val="center"/>
              <w:rPr>
                <w:rFonts w:asciiTheme="minorEastAsia" w:hAnsiTheme="minorEastAsia" w:cstheme="minorEastAsia"/>
                <w:szCs w:val="21"/>
              </w:rPr>
            </w:pPr>
          </w:p>
        </w:tc>
        <w:tc>
          <w:tcPr>
            <w:tcW w:w="6090" w:type="dxa"/>
            <w:vAlign w:val="center"/>
          </w:tcPr>
          <w:p w14:paraId="1FD76A87">
            <w:pPr>
              <w:spacing w:line="360" w:lineRule="auto"/>
              <w:rPr>
                <w:rFonts w:asciiTheme="minorEastAsia" w:hAnsiTheme="minorEastAsia" w:cstheme="minorEastAsia"/>
                <w:szCs w:val="21"/>
              </w:rPr>
            </w:pPr>
            <w:r>
              <w:rPr>
                <w:rFonts w:hint="eastAsia" w:asciiTheme="minorEastAsia" w:hAnsiTheme="minorEastAsia" w:cstheme="minorEastAsia"/>
                <w:szCs w:val="21"/>
              </w:rPr>
              <w:t>2.施肥：根据植物生长特性及时施肥，要求乔灌木应每年施肥1次，花坛、色块、绿篱等养护一年施肥2-3次。</w:t>
            </w:r>
          </w:p>
        </w:tc>
        <w:tc>
          <w:tcPr>
            <w:tcW w:w="1065" w:type="dxa"/>
            <w:vAlign w:val="center"/>
          </w:tcPr>
          <w:p w14:paraId="3428026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555B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35" w:type="dxa"/>
            <w:vMerge w:val="continue"/>
            <w:vAlign w:val="center"/>
          </w:tcPr>
          <w:p w14:paraId="5CD9AE49">
            <w:pPr>
              <w:spacing w:line="360" w:lineRule="auto"/>
              <w:jc w:val="center"/>
              <w:rPr>
                <w:rFonts w:asciiTheme="minorEastAsia" w:hAnsiTheme="minorEastAsia" w:cstheme="minorEastAsia"/>
                <w:szCs w:val="21"/>
              </w:rPr>
            </w:pPr>
          </w:p>
        </w:tc>
        <w:tc>
          <w:tcPr>
            <w:tcW w:w="6090" w:type="dxa"/>
            <w:vAlign w:val="center"/>
          </w:tcPr>
          <w:p w14:paraId="299818CD">
            <w:pPr>
              <w:spacing w:line="360" w:lineRule="auto"/>
              <w:rPr>
                <w:rFonts w:asciiTheme="minorEastAsia" w:hAnsiTheme="minorEastAsia" w:cstheme="minorEastAsia"/>
                <w:szCs w:val="21"/>
              </w:rPr>
            </w:pPr>
            <w:r>
              <w:rPr>
                <w:rFonts w:hint="eastAsia" w:asciiTheme="minorEastAsia" w:hAnsiTheme="minorEastAsia" w:cstheme="minorEastAsia"/>
                <w:szCs w:val="21"/>
              </w:rPr>
              <w:t>3.土壤改良：结合校园绿地土壤特性，有针对性开展土壤改良，修剪后的枯枝落叶及时清理并进行粉碎、堆沤、发酵等处理，并返回绿地进行土壤改良（3分）；通过种植豆科等绿肥植物进行土壤改良（1分）；通过挖沟排水、冬季翻土等改善土壤结构（1分）。</w:t>
            </w:r>
          </w:p>
        </w:tc>
        <w:tc>
          <w:tcPr>
            <w:tcW w:w="1065" w:type="dxa"/>
            <w:vAlign w:val="center"/>
          </w:tcPr>
          <w:p w14:paraId="59E9C35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27FF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5" w:type="dxa"/>
            <w:vMerge w:val="restart"/>
            <w:vAlign w:val="center"/>
          </w:tcPr>
          <w:p w14:paraId="3C71B72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病虫害</w:t>
            </w:r>
          </w:p>
          <w:p w14:paraId="2AF5401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防治</w:t>
            </w:r>
          </w:p>
          <w:p w14:paraId="5169E30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（15分）</w:t>
            </w:r>
          </w:p>
        </w:tc>
        <w:tc>
          <w:tcPr>
            <w:tcW w:w="6090" w:type="dxa"/>
            <w:vAlign w:val="center"/>
          </w:tcPr>
          <w:p w14:paraId="133CB7A8">
            <w:pPr>
              <w:spacing w:line="360" w:lineRule="auto"/>
              <w:rPr>
                <w:rFonts w:asciiTheme="minorEastAsia" w:hAnsiTheme="minorEastAsia" w:cstheme="minorEastAsia"/>
                <w:szCs w:val="21"/>
              </w:rPr>
            </w:pPr>
            <w:r>
              <w:rPr>
                <w:rFonts w:hint="eastAsia" w:asciiTheme="minorEastAsia" w:hAnsiTheme="minorEastAsia" w:cstheme="minorEastAsia"/>
                <w:szCs w:val="21"/>
              </w:rPr>
              <w:t>1.综合防治：提倡综合防治，以防为主；病虫害危害应控制在以不影响观赏效果的范围之内。</w:t>
            </w:r>
          </w:p>
        </w:tc>
        <w:tc>
          <w:tcPr>
            <w:tcW w:w="1065" w:type="dxa"/>
            <w:vAlign w:val="center"/>
          </w:tcPr>
          <w:p w14:paraId="66277D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r>
      <w:tr w14:paraId="6A95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35" w:type="dxa"/>
            <w:vMerge w:val="continue"/>
            <w:vAlign w:val="center"/>
          </w:tcPr>
          <w:p w14:paraId="61B9B757">
            <w:pPr>
              <w:spacing w:line="360" w:lineRule="auto"/>
              <w:jc w:val="center"/>
              <w:rPr>
                <w:rFonts w:asciiTheme="minorEastAsia" w:hAnsiTheme="minorEastAsia" w:cstheme="minorEastAsia"/>
                <w:szCs w:val="21"/>
              </w:rPr>
            </w:pPr>
          </w:p>
        </w:tc>
        <w:tc>
          <w:tcPr>
            <w:tcW w:w="6090" w:type="dxa"/>
            <w:vAlign w:val="center"/>
          </w:tcPr>
          <w:p w14:paraId="0F82A62E">
            <w:pPr>
              <w:spacing w:line="360" w:lineRule="auto"/>
              <w:rPr>
                <w:rFonts w:asciiTheme="minorEastAsia" w:hAnsiTheme="minorEastAsia" w:cstheme="minorEastAsia"/>
                <w:szCs w:val="21"/>
              </w:rPr>
            </w:pPr>
            <w:r>
              <w:rPr>
                <w:rFonts w:hint="eastAsia" w:asciiTheme="minorEastAsia" w:hAnsiTheme="minorEastAsia" w:cstheme="minorEastAsia"/>
                <w:szCs w:val="21"/>
              </w:rPr>
              <w:t>2.防治处理：日常加强病虫害预防，及时做好病虫害防治（6分）；冬季需要对乔灌木进行石硫合剂涂白处理（2分）；加强白蚁防治，发现白蚁，及时治理；提倡通过黑光灯等生态防治（2分）。</w:t>
            </w:r>
          </w:p>
        </w:tc>
        <w:tc>
          <w:tcPr>
            <w:tcW w:w="1065" w:type="dxa"/>
            <w:vAlign w:val="center"/>
          </w:tcPr>
          <w:p w14:paraId="6F32100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57BC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35" w:type="dxa"/>
            <w:vMerge w:val="continue"/>
            <w:vAlign w:val="center"/>
          </w:tcPr>
          <w:p w14:paraId="3DB2C07A">
            <w:pPr>
              <w:spacing w:line="360" w:lineRule="auto"/>
              <w:jc w:val="center"/>
              <w:rPr>
                <w:rFonts w:asciiTheme="minorEastAsia" w:hAnsiTheme="minorEastAsia" w:cstheme="minorEastAsia"/>
                <w:szCs w:val="21"/>
              </w:rPr>
            </w:pPr>
          </w:p>
        </w:tc>
        <w:tc>
          <w:tcPr>
            <w:tcW w:w="6090" w:type="dxa"/>
            <w:vAlign w:val="center"/>
          </w:tcPr>
          <w:p w14:paraId="23A1180E">
            <w:pPr>
              <w:spacing w:line="360" w:lineRule="auto"/>
              <w:rPr>
                <w:rFonts w:asciiTheme="minorEastAsia" w:hAnsiTheme="minorEastAsia" w:cstheme="minorEastAsia"/>
                <w:szCs w:val="21"/>
              </w:rPr>
            </w:pPr>
            <w:r>
              <w:rPr>
                <w:rFonts w:hint="eastAsia" w:asciiTheme="minorEastAsia" w:hAnsiTheme="minorEastAsia" w:cstheme="minorEastAsia"/>
                <w:szCs w:val="21"/>
              </w:rPr>
              <w:t>3.农药管理：植物病虫害防治严禁使用剧毒农药，采用高效低毒环保型农药，农药必须放入专柜，并由专人保管，实行登记制，喷施农药时应注意人员安全，残留农药集中无害化处理。（3分）。</w:t>
            </w:r>
          </w:p>
        </w:tc>
        <w:tc>
          <w:tcPr>
            <w:tcW w:w="1065" w:type="dxa"/>
            <w:vAlign w:val="center"/>
          </w:tcPr>
          <w:p w14:paraId="2CAD32B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14:paraId="4D54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335" w:type="dxa"/>
            <w:vAlign w:val="center"/>
          </w:tcPr>
          <w:p w14:paraId="2AAA3A7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卫生标准</w:t>
            </w:r>
          </w:p>
          <w:p w14:paraId="4A626DD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（5分）</w:t>
            </w:r>
          </w:p>
        </w:tc>
        <w:tc>
          <w:tcPr>
            <w:tcW w:w="6090" w:type="dxa"/>
            <w:vAlign w:val="center"/>
          </w:tcPr>
          <w:p w14:paraId="4FA96D9F">
            <w:pPr>
              <w:spacing w:line="360" w:lineRule="auto"/>
              <w:rPr>
                <w:rFonts w:asciiTheme="minorEastAsia" w:hAnsiTheme="minorEastAsia" w:cstheme="minorEastAsia"/>
                <w:szCs w:val="21"/>
              </w:rPr>
            </w:pPr>
            <w:r>
              <w:rPr>
                <w:rFonts w:hint="eastAsia" w:asciiTheme="minorEastAsia" w:hAnsiTheme="minorEastAsia" w:cstheme="minorEastAsia"/>
                <w:szCs w:val="21"/>
              </w:rPr>
              <w:t>绿地及附属设施整洁，无垃圾杂物，枯枝落叶、落花、落果及时清理，叶片无积尘；不使用有刺激性化肥和农药，及时清运垃圾（5分）。</w:t>
            </w:r>
          </w:p>
        </w:tc>
        <w:tc>
          <w:tcPr>
            <w:tcW w:w="1065" w:type="dxa"/>
            <w:vAlign w:val="center"/>
          </w:tcPr>
          <w:p w14:paraId="28A7F78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32F7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35" w:type="dxa"/>
            <w:vAlign w:val="center"/>
          </w:tcPr>
          <w:p w14:paraId="03B6A57A">
            <w:pPr>
              <w:spacing w:line="360" w:lineRule="auto"/>
              <w:jc w:val="center"/>
              <w:rPr>
                <w:rFonts w:asciiTheme="minorEastAsia" w:hAnsiTheme="minorEastAsia" w:cstheme="minorEastAsia"/>
                <w:szCs w:val="21"/>
              </w:rPr>
            </w:pPr>
          </w:p>
        </w:tc>
        <w:tc>
          <w:tcPr>
            <w:tcW w:w="6090" w:type="dxa"/>
            <w:vAlign w:val="center"/>
          </w:tcPr>
          <w:p w14:paraId="16FA26D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  分</w:t>
            </w:r>
          </w:p>
        </w:tc>
        <w:tc>
          <w:tcPr>
            <w:tcW w:w="1065" w:type="dxa"/>
            <w:vAlign w:val="center"/>
          </w:tcPr>
          <w:p w14:paraId="4C616CC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14:paraId="1DAF497D">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                                                                                 </w:t>
      </w:r>
    </w:p>
    <w:p w14:paraId="7C6309C0">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4.维修服务考核评分表</w:t>
      </w:r>
    </w:p>
    <w:tbl>
      <w:tblPr>
        <w:tblStyle w:val="53"/>
        <w:tblpPr w:leftFromText="180" w:rightFromText="180" w:vertAnchor="text" w:horzAnchor="margin" w:tblpY="112"/>
        <w:tblOverlap w:val="never"/>
        <w:tblW w:w="8395" w:type="dxa"/>
        <w:tblInd w:w="0" w:type="dxa"/>
        <w:tblLayout w:type="fixed"/>
        <w:tblCellMar>
          <w:top w:w="0" w:type="dxa"/>
          <w:left w:w="108" w:type="dxa"/>
          <w:bottom w:w="0" w:type="dxa"/>
          <w:right w:w="108" w:type="dxa"/>
        </w:tblCellMar>
      </w:tblPr>
      <w:tblGrid>
        <w:gridCol w:w="1260"/>
        <w:gridCol w:w="5620"/>
        <w:gridCol w:w="1515"/>
      </w:tblGrid>
      <w:tr w14:paraId="5405E3C7">
        <w:tblPrEx>
          <w:tblCellMar>
            <w:top w:w="0" w:type="dxa"/>
            <w:left w:w="108" w:type="dxa"/>
            <w:bottom w:w="0" w:type="dxa"/>
            <w:right w:w="108" w:type="dxa"/>
          </w:tblCellMar>
        </w:tblPrEx>
        <w:trPr>
          <w:trHeight w:val="608" w:hRule="atLeast"/>
        </w:trPr>
        <w:tc>
          <w:tcPr>
            <w:tcW w:w="1260" w:type="dxa"/>
            <w:tcBorders>
              <w:top w:val="single" w:color="auto" w:sz="4" w:space="0"/>
              <w:left w:val="single" w:color="auto" w:sz="4" w:space="0"/>
              <w:bottom w:val="single" w:color="auto" w:sz="4" w:space="0"/>
              <w:right w:val="single" w:color="auto" w:sz="4" w:space="0"/>
            </w:tcBorders>
            <w:vAlign w:val="center"/>
          </w:tcPr>
          <w:p w14:paraId="1D5B376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考核项目</w:t>
            </w:r>
          </w:p>
        </w:tc>
        <w:tc>
          <w:tcPr>
            <w:tcW w:w="5620" w:type="dxa"/>
            <w:tcBorders>
              <w:top w:val="single" w:color="auto" w:sz="4" w:space="0"/>
              <w:left w:val="nil"/>
              <w:bottom w:val="single" w:color="auto" w:sz="4" w:space="0"/>
              <w:right w:val="single" w:color="auto" w:sz="4" w:space="0"/>
            </w:tcBorders>
            <w:vAlign w:val="center"/>
          </w:tcPr>
          <w:p w14:paraId="1A16BB2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考核内容及评分标准</w:t>
            </w:r>
          </w:p>
        </w:tc>
        <w:tc>
          <w:tcPr>
            <w:tcW w:w="1515" w:type="dxa"/>
            <w:tcBorders>
              <w:top w:val="single" w:color="auto" w:sz="4" w:space="0"/>
              <w:left w:val="nil"/>
              <w:bottom w:val="single" w:color="auto" w:sz="4" w:space="0"/>
              <w:right w:val="single" w:color="auto" w:sz="4" w:space="0"/>
            </w:tcBorders>
            <w:vAlign w:val="center"/>
          </w:tcPr>
          <w:p w14:paraId="54D69380">
            <w:pPr>
              <w:spacing w:line="360" w:lineRule="auto"/>
              <w:rPr>
                <w:rFonts w:asciiTheme="minorEastAsia" w:hAnsiTheme="minorEastAsia" w:cstheme="minorEastAsia"/>
                <w:szCs w:val="21"/>
              </w:rPr>
            </w:pPr>
            <w:r>
              <w:rPr>
                <w:rFonts w:hint="eastAsia" w:asciiTheme="minorEastAsia" w:hAnsiTheme="minorEastAsia" w:cstheme="minorEastAsia"/>
                <w:szCs w:val="21"/>
              </w:rPr>
              <w:t>分值</w:t>
            </w:r>
          </w:p>
        </w:tc>
      </w:tr>
      <w:tr w14:paraId="39CEB3B0">
        <w:tblPrEx>
          <w:tblCellMar>
            <w:top w:w="0" w:type="dxa"/>
            <w:left w:w="108" w:type="dxa"/>
            <w:bottom w:w="0" w:type="dxa"/>
            <w:right w:w="108" w:type="dxa"/>
          </w:tblCellMar>
        </w:tblPrEx>
        <w:trPr>
          <w:trHeight w:val="1660" w:hRule="atLeast"/>
        </w:trPr>
        <w:tc>
          <w:tcPr>
            <w:tcW w:w="1260" w:type="dxa"/>
            <w:vMerge w:val="restart"/>
            <w:tcBorders>
              <w:top w:val="single" w:color="auto" w:sz="4" w:space="0"/>
              <w:left w:val="single" w:color="auto" w:sz="4" w:space="0"/>
              <w:right w:val="single" w:color="auto" w:sz="4" w:space="0"/>
            </w:tcBorders>
            <w:vAlign w:val="center"/>
          </w:tcPr>
          <w:p w14:paraId="098C8F6A">
            <w:pPr>
              <w:spacing w:line="360" w:lineRule="auto"/>
              <w:rPr>
                <w:rFonts w:asciiTheme="minorEastAsia" w:hAnsiTheme="minorEastAsia" w:cstheme="minorEastAsia"/>
                <w:szCs w:val="21"/>
              </w:rPr>
            </w:pPr>
            <w:r>
              <w:rPr>
                <w:rFonts w:hint="eastAsia" w:asciiTheme="minorEastAsia" w:hAnsiTheme="minorEastAsia" w:cstheme="minorEastAsia"/>
                <w:szCs w:val="21"/>
              </w:rPr>
              <w:t>水电管理</w:t>
            </w:r>
          </w:p>
          <w:p w14:paraId="7F116526">
            <w:pPr>
              <w:spacing w:line="360" w:lineRule="auto"/>
              <w:rPr>
                <w:rFonts w:asciiTheme="minorEastAsia" w:hAnsiTheme="minorEastAsia" w:cstheme="minorEastAsia"/>
                <w:szCs w:val="21"/>
              </w:rPr>
            </w:pPr>
            <w:r>
              <w:rPr>
                <w:rFonts w:hint="eastAsia" w:asciiTheme="minorEastAsia" w:hAnsiTheme="minorEastAsia" w:cstheme="minorEastAsia"/>
                <w:szCs w:val="21"/>
              </w:rPr>
              <w:t>（23分）</w:t>
            </w:r>
          </w:p>
        </w:tc>
        <w:tc>
          <w:tcPr>
            <w:tcW w:w="5620" w:type="dxa"/>
            <w:tcBorders>
              <w:top w:val="single" w:color="auto" w:sz="4" w:space="0"/>
              <w:left w:val="nil"/>
              <w:bottom w:val="single" w:color="auto" w:sz="4" w:space="0"/>
              <w:right w:val="single" w:color="auto" w:sz="4" w:space="0"/>
            </w:tcBorders>
            <w:vAlign w:val="center"/>
          </w:tcPr>
          <w:p w14:paraId="73670FC1">
            <w:pPr>
              <w:spacing w:line="360" w:lineRule="auto"/>
              <w:rPr>
                <w:rFonts w:asciiTheme="minorEastAsia" w:hAnsiTheme="minorEastAsia" w:cstheme="minorEastAsia"/>
                <w:szCs w:val="21"/>
              </w:rPr>
            </w:pPr>
            <w:r>
              <w:rPr>
                <w:rFonts w:hint="eastAsia" w:asciiTheme="minorEastAsia" w:hAnsiTheme="minorEastAsia" w:cstheme="minorEastAsia"/>
                <w:szCs w:val="21"/>
              </w:rPr>
              <w:t>水电供应管理：停水、停电信息要及时、准确公告（2分）；遇供水压力不足时，及时排查原因，采取有效措施，确保供水正常（2分）；定期做好校内水箱的清洗（2分）；按规定要求进行水质检测，确保全校饮水安全（2分）。</w:t>
            </w:r>
          </w:p>
        </w:tc>
        <w:tc>
          <w:tcPr>
            <w:tcW w:w="1515" w:type="dxa"/>
            <w:tcBorders>
              <w:top w:val="single" w:color="auto" w:sz="4" w:space="0"/>
              <w:left w:val="nil"/>
              <w:bottom w:val="single" w:color="auto" w:sz="4" w:space="0"/>
              <w:right w:val="single" w:color="auto" w:sz="4" w:space="0"/>
            </w:tcBorders>
            <w:vAlign w:val="center"/>
          </w:tcPr>
          <w:p w14:paraId="4DEE449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14:paraId="3741B964">
        <w:tblPrEx>
          <w:tblCellMar>
            <w:top w:w="0" w:type="dxa"/>
            <w:left w:w="108" w:type="dxa"/>
            <w:bottom w:w="0" w:type="dxa"/>
            <w:right w:w="108" w:type="dxa"/>
          </w:tblCellMar>
        </w:tblPrEx>
        <w:trPr>
          <w:trHeight w:val="1150" w:hRule="atLeast"/>
        </w:trPr>
        <w:tc>
          <w:tcPr>
            <w:tcW w:w="1260" w:type="dxa"/>
            <w:vMerge w:val="continue"/>
            <w:tcBorders>
              <w:left w:val="single" w:color="auto" w:sz="4" w:space="0"/>
              <w:right w:val="single" w:color="auto" w:sz="4" w:space="0"/>
            </w:tcBorders>
            <w:vAlign w:val="center"/>
          </w:tcPr>
          <w:p w14:paraId="5D816AA2">
            <w:pPr>
              <w:spacing w:line="360" w:lineRule="auto"/>
              <w:jc w:val="center"/>
              <w:rPr>
                <w:rFonts w:asciiTheme="minorEastAsia" w:hAnsiTheme="minorEastAsia" w:cstheme="minorEastAsia"/>
                <w:szCs w:val="21"/>
              </w:rPr>
            </w:pPr>
          </w:p>
        </w:tc>
        <w:tc>
          <w:tcPr>
            <w:tcW w:w="5620" w:type="dxa"/>
            <w:tcBorders>
              <w:top w:val="single" w:color="auto" w:sz="4" w:space="0"/>
              <w:left w:val="nil"/>
              <w:bottom w:val="single" w:color="auto" w:sz="4" w:space="0"/>
              <w:right w:val="single" w:color="auto" w:sz="4" w:space="0"/>
            </w:tcBorders>
            <w:vAlign w:val="center"/>
          </w:tcPr>
          <w:p w14:paraId="06B244F3">
            <w:pPr>
              <w:spacing w:line="360" w:lineRule="auto"/>
              <w:rPr>
                <w:rFonts w:asciiTheme="minorEastAsia" w:hAnsiTheme="minorEastAsia" w:cstheme="minorEastAsia"/>
                <w:szCs w:val="21"/>
              </w:rPr>
            </w:pPr>
            <w:r>
              <w:rPr>
                <w:rFonts w:hint="eastAsia" w:asciiTheme="minorEastAsia" w:hAnsiTheme="minorEastAsia" w:cstheme="minorEastAsia"/>
                <w:szCs w:val="21"/>
              </w:rPr>
              <w:t>水电设施管理：实行水电24小时值班制度，保障水电设施设备正常运转（2分）；坏损设备应及时上报学校有关部门（2分）。</w:t>
            </w:r>
          </w:p>
        </w:tc>
        <w:tc>
          <w:tcPr>
            <w:tcW w:w="1515" w:type="dxa"/>
            <w:tcBorders>
              <w:top w:val="single" w:color="auto" w:sz="4" w:space="0"/>
              <w:left w:val="nil"/>
              <w:bottom w:val="single" w:color="auto" w:sz="4" w:space="0"/>
              <w:right w:val="single" w:color="auto" w:sz="4" w:space="0"/>
            </w:tcBorders>
            <w:vAlign w:val="center"/>
          </w:tcPr>
          <w:p w14:paraId="5F26733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5F44FDF6">
        <w:tblPrEx>
          <w:tblCellMar>
            <w:top w:w="0" w:type="dxa"/>
            <w:left w:w="108" w:type="dxa"/>
            <w:bottom w:w="0" w:type="dxa"/>
            <w:right w:w="108" w:type="dxa"/>
          </w:tblCellMar>
        </w:tblPrEx>
        <w:trPr>
          <w:trHeight w:val="1560" w:hRule="atLeast"/>
        </w:trPr>
        <w:tc>
          <w:tcPr>
            <w:tcW w:w="1260" w:type="dxa"/>
            <w:vMerge w:val="continue"/>
            <w:tcBorders>
              <w:left w:val="single" w:color="auto" w:sz="4" w:space="0"/>
              <w:bottom w:val="single" w:color="auto" w:sz="4" w:space="0"/>
              <w:right w:val="single" w:color="auto" w:sz="4" w:space="0"/>
            </w:tcBorders>
            <w:vAlign w:val="center"/>
          </w:tcPr>
          <w:p w14:paraId="2ECAEDED">
            <w:pPr>
              <w:spacing w:line="360" w:lineRule="auto"/>
              <w:jc w:val="center"/>
              <w:rPr>
                <w:rFonts w:asciiTheme="minorEastAsia" w:hAnsiTheme="minorEastAsia" w:cstheme="minorEastAsia"/>
                <w:szCs w:val="21"/>
              </w:rPr>
            </w:pPr>
          </w:p>
        </w:tc>
        <w:tc>
          <w:tcPr>
            <w:tcW w:w="5620" w:type="dxa"/>
            <w:tcBorders>
              <w:top w:val="single" w:color="auto" w:sz="4" w:space="0"/>
              <w:left w:val="nil"/>
              <w:bottom w:val="single" w:color="auto" w:sz="4" w:space="0"/>
              <w:right w:val="single" w:color="auto" w:sz="4" w:space="0"/>
            </w:tcBorders>
            <w:vAlign w:val="center"/>
          </w:tcPr>
          <w:p w14:paraId="48EDADDD">
            <w:pPr>
              <w:spacing w:line="360" w:lineRule="auto"/>
              <w:rPr>
                <w:rFonts w:asciiTheme="minorEastAsia" w:hAnsiTheme="minorEastAsia" w:cstheme="minorEastAsia"/>
                <w:szCs w:val="21"/>
              </w:rPr>
            </w:pPr>
            <w:r>
              <w:rPr>
                <w:rFonts w:hint="eastAsia" w:asciiTheme="minorEastAsia" w:hAnsiTheme="minorEastAsia" w:cstheme="minorEastAsia"/>
                <w:szCs w:val="21"/>
              </w:rPr>
              <w:t>水电节能管理：协助做好水电节能设施管理和水电节能工作（3分）；每月（除寒暑假）做好水电计量抄表登记、保证数据准确完整（3分）；做好水电能耗统计分析、诊断，发现异常及时排查并上报相关部门（2分），做好水电智能管理平台数据监测及日常管理（3）。</w:t>
            </w:r>
          </w:p>
        </w:tc>
        <w:tc>
          <w:tcPr>
            <w:tcW w:w="1515" w:type="dxa"/>
            <w:tcBorders>
              <w:top w:val="single" w:color="auto" w:sz="4" w:space="0"/>
              <w:left w:val="nil"/>
              <w:bottom w:val="single" w:color="auto" w:sz="4" w:space="0"/>
              <w:right w:val="single" w:color="auto" w:sz="4" w:space="0"/>
            </w:tcBorders>
            <w:vAlign w:val="center"/>
          </w:tcPr>
          <w:p w14:paraId="154969A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r>
      <w:tr w14:paraId="6A521C84">
        <w:tblPrEx>
          <w:tblCellMar>
            <w:top w:w="0" w:type="dxa"/>
            <w:left w:w="108" w:type="dxa"/>
            <w:bottom w:w="0" w:type="dxa"/>
            <w:right w:w="108" w:type="dxa"/>
          </w:tblCellMar>
        </w:tblPrEx>
        <w:trPr>
          <w:trHeight w:val="1239" w:hRule="atLeast"/>
        </w:trPr>
        <w:tc>
          <w:tcPr>
            <w:tcW w:w="1260" w:type="dxa"/>
            <w:tcBorders>
              <w:top w:val="single" w:color="auto" w:sz="4" w:space="0"/>
              <w:left w:val="single" w:color="auto" w:sz="4" w:space="0"/>
              <w:right w:val="single" w:color="auto" w:sz="4" w:space="0"/>
            </w:tcBorders>
            <w:vAlign w:val="center"/>
          </w:tcPr>
          <w:p w14:paraId="36C5E491">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维修检查</w:t>
            </w:r>
          </w:p>
          <w:p w14:paraId="5F8C3DC5">
            <w:pPr>
              <w:spacing w:line="360" w:lineRule="auto"/>
              <w:rPr>
                <w:rFonts w:asciiTheme="minorEastAsia" w:hAnsiTheme="minorEastAsia" w:cstheme="minorEastAsia"/>
                <w:szCs w:val="21"/>
              </w:rPr>
            </w:pPr>
            <w:r>
              <w:rPr>
                <w:rFonts w:hint="eastAsia" w:asciiTheme="minorEastAsia" w:hAnsiTheme="minorEastAsia" w:cstheme="minorEastAsia"/>
                <w:szCs w:val="21"/>
              </w:rPr>
              <w:t>（25分）</w:t>
            </w:r>
          </w:p>
        </w:tc>
        <w:tc>
          <w:tcPr>
            <w:tcW w:w="5620" w:type="dxa"/>
            <w:tcBorders>
              <w:top w:val="single" w:color="auto" w:sz="4" w:space="0"/>
              <w:left w:val="nil"/>
              <w:bottom w:val="single" w:color="auto" w:sz="4" w:space="0"/>
              <w:right w:val="single" w:color="auto" w:sz="4" w:space="0"/>
            </w:tcBorders>
            <w:vAlign w:val="center"/>
          </w:tcPr>
          <w:p w14:paraId="521530C6">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对责任范围进行定期检查</w:t>
            </w:r>
            <w:r>
              <w:rPr>
                <w:rFonts w:hint="eastAsia" w:asciiTheme="minorEastAsia" w:hAnsiTheme="minorEastAsia" w:cstheme="minorEastAsia"/>
                <w:szCs w:val="21"/>
              </w:rPr>
              <w:t>，</w:t>
            </w:r>
            <w:r>
              <w:rPr>
                <w:rFonts w:hint="eastAsia" w:asciiTheme="minorEastAsia" w:hAnsiTheme="minorEastAsia" w:cstheme="minorEastAsia"/>
                <w:kern w:val="0"/>
                <w:szCs w:val="21"/>
              </w:rPr>
              <w:t>及时发现问题并按要求维修</w:t>
            </w:r>
            <w:r>
              <w:rPr>
                <w:rFonts w:hint="eastAsia" w:asciiTheme="minorEastAsia" w:hAnsiTheme="minorEastAsia" w:cstheme="minorEastAsia"/>
                <w:szCs w:val="21"/>
              </w:rPr>
              <w:t>。对照服务标准及要求，每发现一次扣3-5分</w:t>
            </w:r>
          </w:p>
        </w:tc>
        <w:tc>
          <w:tcPr>
            <w:tcW w:w="1515" w:type="dxa"/>
            <w:tcBorders>
              <w:top w:val="single" w:color="auto" w:sz="4" w:space="0"/>
              <w:left w:val="nil"/>
              <w:bottom w:val="single" w:color="auto" w:sz="4" w:space="0"/>
              <w:right w:val="single" w:color="auto" w:sz="4" w:space="0"/>
            </w:tcBorders>
            <w:vAlign w:val="center"/>
          </w:tcPr>
          <w:p w14:paraId="183DA01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25</w:t>
            </w:r>
          </w:p>
        </w:tc>
      </w:tr>
      <w:tr w14:paraId="5EEDED82">
        <w:tblPrEx>
          <w:tblCellMar>
            <w:top w:w="0" w:type="dxa"/>
            <w:left w:w="108" w:type="dxa"/>
            <w:bottom w:w="0" w:type="dxa"/>
            <w:right w:w="108" w:type="dxa"/>
          </w:tblCellMar>
        </w:tblPrEx>
        <w:trPr>
          <w:trHeight w:val="736" w:hRule="atLeast"/>
        </w:trPr>
        <w:tc>
          <w:tcPr>
            <w:tcW w:w="1260" w:type="dxa"/>
            <w:tcBorders>
              <w:top w:val="single" w:color="auto" w:sz="4" w:space="0"/>
              <w:left w:val="single" w:color="auto" w:sz="4" w:space="0"/>
              <w:bottom w:val="single" w:color="auto" w:sz="4" w:space="0"/>
              <w:right w:val="single" w:color="auto" w:sz="4" w:space="0"/>
            </w:tcBorders>
            <w:vAlign w:val="center"/>
          </w:tcPr>
          <w:p w14:paraId="415C88CC">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维修质量</w:t>
            </w:r>
          </w:p>
          <w:p w14:paraId="40D6FD2A">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（12分）</w:t>
            </w:r>
          </w:p>
        </w:tc>
        <w:tc>
          <w:tcPr>
            <w:tcW w:w="5620" w:type="dxa"/>
            <w:tcBorders>
              <w:top w:val="single" w:color="auto" w:sz="4" w:space="0"/>
              <w:left w:val="nil"/>
              <w:bottom w:val="single" w:color="auto" w:sz="4" w:space="0"/>
              <w:right w:val="single" w:color="auto" w:sz="4" w:space="0"/>
            </w:tcBorders>
            <w:vAlign w:val="center"/>
          </w:tcPr>
          <w:p w14:paraId="2CFD6A27">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维修材料合格、方法得当，保证质量</w:t>
            </w:r>
            <w:r>
              <w:rPr>
                <w:rFonts w:hint="eastAsia" w:asciiTheme="minorEastAsia" w:hAnsiTheme="minorEastAsia" w:cstheme="minorEastAsia"/>
                <w:szCs w:val="21"/>
              </w:rPr>
              <w:t>；</w:t>
            </w:r>
            <w:r>
              <w:rPr>
                <w:rFonts w:hint="eastAsia" w:asciiTheme="minorEastAsia" w:hAnsiTheme="minorEastAsia" w:cstheme="minorEastAsia"/>
                <w:kern w:val="0"/>
                <w:szCs w:val="21"/>
              </w:rPr>
              <w:t>维修后确保一定的保质期。</w:t>
            </w:r>
          </w:p>
        </w:tc>
        <w:tc>
          <w:tcPr>
            <w:tcW w:w="1515" w:type="dxa"/>
            <w:tcBorders>
              <w:top w:val="single" w:color="auto" w:sz="4" w:space="0"/>
              <w:left w:val="nil"/>
              <w:bottom w:val="single" w:color="auto" w:sz="4" w:space="0"/>
              <w:right w:val="single" w:color="auto" w:sz="4" w:space="0"/>
            </w:tcBorders>
            <w:vAlign w:val="center"/>
          </w:tcPr>
          <w:p w14:paraId="6EAC26B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r>
      <w:tr w14:paraId="3039E12F">
        <w:tblPrEx>
          <w:tblCellMar>
            <w:top w:w="0" w:type="dxa"/>
            <w:left w:w="108" w:type="dxa"/>
            <w:bottom w:w="0" w:type="dxa"/>
            <w:right w:w="108" w:type="dxa"/>
          </w:tblCellMar>
        </w:tblPrEx>
        <w:trPr>
          <w:trHeight w:val="335" w:hRule="atLeast"/>
        </w:trPr>
        <w:tc>
          <w:tcPr>
            <w:tcW w:w="1260" w:type="dxa"/>
            <w:tcBorders>
              <w:top w:val="single" w:color="auto" w:sz="4" w:space="0"/>
              <w:left w:val="single" w:color="auto" w:sz="4" w:space="0"/>
              <w:bottom w:val="single" w:color="auto" w:sz="4" w:space="0"/>
              <w:right w:val="single" w:color="auto" w:sz="4" w:space="0"/>
            </w:tcBorders>
            <w:vAlign w:val="center"/>
          </w:tcPr>
          <w:p w14:paraId="6966C27E">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维修效率</w:t>
            </w:r>
          </w:p>
          <w:p w14:paraId="770A50EF">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（10分）</w:t>
            </w:r>
          </w:p>
        </w:tc>
        <w:tc>
          <w:tcPr>
            <w:tcW w:w="5620" w:type="dxa"/>
            <w:tcBorders>
              <w:top w:val="single" w:color="auto" w:sz="4" w:space="0"/>
              <w:left w:val="nil"/>
              <w:bottom w:val="single" w:color="auto" w:sz="4" w:space="0"/>
              <w:right w:val="single" w:color="auto" w:sz="4" w:space="0"/>
            </w:tcBorders>
            <w:vAlign w:val="center"/>
          </w:tcPr>
          <w:p w14:paraId="2D62682C">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接到维修通知后立即维修</w:t>
            </w:r>
            <w:r>
              <w:rPr>
                <w:rFonts w:hint="eastAsia" w:asciiTheme="minorEastAsia" w:hAnsiTheme="minorEastAsia" w:cstheme="minorEastAsia"/>
                <w:szCs w:val="21"/>
              </w:rPr>
              <w:t>（5分）</w:t>
            </w:r>
            <w:r>
              <w:rPr>
                <w:rFonts w:hint="eastAsia" w:asciiTheme="minorEastAsia" w:hAnsiTheme="minorEastAsia" w:cstheme="minorEastAsia"/>
                <w:kern w:val="0"/>
                <w:szCs w:val="21"/>
              </w:rPr>
              <w:t>；原则在24小时内完成</w:t>
            </w:r>
            <w:r>
              <w:rPr>
                <w:rFonts w:hint="eastAsia" w:asciiTheme="minorEastAsia" w:hAnsiTheme="minorEastAsia" w:cstheme="minorEastAsia"/>
                <w:szCs w:val="21"/>
              </w:rPr>
              <w:t>，</w:t>
            </w:r>
            <w:r>
              <w:rPr>
                <w:rFonts w:hint="eastAsia" w:asciiTheme="minorEastAsia" w:hAnsiTheme="minorEastAsia" w:cstheme="minorEastAsia"/>
                <w:kern w:val="0"/>
                <w:szCs w:val="21"/>
              </w:rPr>
              <w:t>如遇特殊情况，须向报修部门解释</w:t>
            </w:r>
            <w:r>
              <w:rPr>
                <w:rFonts w:hint="eastAsia" w:asciiTheme="minorEastAsia" w:hAnsiTheme="minorEastAsia" w:cstheme="minorEastAsia"/>
                <w:szCs w:val="21"/>
              </w:rPr>
              <w:t>（5分）</w:t>
            </w:r>
            <w:r>
              <w:rPr>
                <w:rFonts w:hint="eastAsia" w:asciiTheme="minorEastAsia" w:hAnsiTheme="minorEastAsia" w:cstheme="minorEastAsia"/>
                <w:kern w:val="0"/>
                <w:szCs w:val="21"/>
              </w:rPr>
              <w:t>。</w:t>
            </w:r>
          </w:p>
        </w:tc>
        <w:tc>
          <w:tcPr>
            <w:tcW w:w="1515" w:type="dxa"/>
            <w:tcBorders>
              <w:top w:val="single" w:color="auto" w:sz="4" w:space="0"/>
              <w:left w:val="nil"/>
              <w:bottom w:val="single" w:color="auto" w:sz="4" w:space="0"/>
              <w:right w:val="single" w:color="auto" w:sz="4" w:space="0"/>
            </w:tcBorders>
            <w:vAlign w:val="center"/>
          </w:tcPr>
          <w:p w14:paraId="4DD8CBD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19704AD6">
        <w:tblPrEx>
          <w:tblCellMar>
            <w:top w:w="0" w:type="dxa"/>
            <w:left w:w="108" w:type="dxa"/>
            <w:bottom w:w="0" w:type="dxa"/>
            <w:right w:w="108" w:type="dxa"/>
          </w:tblCellMar>
        </w:tblPrEx>
        <w:trPr>
          <w:trHeight w:val="693" w:hRule="atLeast"/>
        </w:trPr>
        <w:tc>
          <w:tcPr>
            <w:tcW w:w="1260" w:type="dxa"/>
            <w:vMerge w:val="restart"/>
            <w:tcBorders>
              <w:top w:val="single" w:color="auto" w:sz="4" w:space="0"/>
              <w:left w:val="single" w:color="auto" w:sz="4" w:space="0"/>
              <w:right w:val="single" w:color="auto" w:sz="4" w:space="0"/>
            </w:tcBorders>
            <w:vAlign w:val="center"/>
          </w:tcPr>
          <w:p w14:paraId="2CB83A3B">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维修要求</w:t>
            </w:r>
          </w:p>
          <w:p w14:paraId="5F17E4E5">
            <w:pPr>
              <w:spacing w:line="360" w:lineRule="auto"/>
              <w:rPr>
                <w:rFonts w:asciiTheme="minorEastAsia" w:hAnsiTheme="minorEastAsia" w:cstheme="minorEastAsia"/>
                <w:szCs w:val="21"/>
              </w:rPr>
            </w:pPr>
            <w:r>
              <w:rPr>
                <w:rFonts w:hint="eastAsia" w:asciiTheme="minorEastAsia" w:hAnsiTheme="minorEastAsia" w:cstheme="minorEastAsia"/>
                <w:szCs w:val="21"/>
              </w:rPr>
              <w:t>（10分）</w:t>
            </w:r>
          </w:p>
        </w:tc>
        <w:tc>
          <w:tcPr>
            <w:tcW w:w="5620" w:type="dxa"/>
            <w:tcBorders>
              <w:top w:val="single" w:color="auto" w:sz="4" w:space="0"/>
              <w:left w:val="nil"/>
              <w:bottom w:val="single" w:color="auto" w:sz="4" w:space="0"/>
              <w:right w:val="single" w:color="auto" w:sz="4" w:space="0"/>
            </w:tcBorders>
            <w:vAlign w:val="center"/>
          </w:tcPr>
          <w:p w14:paraId="7FFDA99B">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1.文明施工，不得破坏周边设备、建筑，维修完工后应及时清理施工中产生的各种废弃物</w:t>
            </w:r>
            <w:r>
              <w:rPr>
                <w:rFonts w:hint="eastAsia" w:asciiTheme="minorEastAsia" w:hAnsiTheme="minorEastAsia" w:cstheme="minorEastAsia"/>
                <w:szCs w:val="21"/>
              </w:rPr>
              <w:t>。</w:t>
            </w:r>
          </w:p>
        </w:tc>
        <w:tc>
          <w:tcPr>
            <w:tcW w:w="1515" w:type="dxa"/>
            <w:tcBorders>
              <w:top w:val="single" w:color="auto" w:sz="4" w:space="0"/>
              <w:left w:val="nil"/>
              <w:bottom w:val="single" w:color="auto" w:sz="4" w:space="0"/>
              <w:right w:val="single" w:color="auto" w:sz="4" w:space="0"/>
            </w:tcBorders>
            <w:vAlign w:val="center"/>
          </w:tcPr>
          <w:p w14:paraId="501F710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14:paraId="3B51A18D">
        <w:tblPrEx>
          <w:tblCellMar>
            <w:top w:w="0" w:type="dxa"/>
            <w:left w:w="108" w:type="dxa"/>
            <w:bottom w:w="0" w:type="dxa"/>
            <w:right w:w="108" w:type="dxa"/>
          </w:tblCellMar>
        </w:tblPrEx>
        <w:trPr>
          <w:trHeight w:val="616" w:hRule="atLeast"/>
        </w:trPr>
        <w:tc>
          <w:tcPr>
            <w:tcW w:w="1260" w:type="dxa"/>
            <w:vMerge w:val="continue"/>
            <w:tcBorders>
              <w:left w:val="single" w:color="auto" w:sz="4" w:space="0"/>
              <w:right w:val="single" w:color="auto" w:sz="4" w:space="0"/>
            </w:tcBorders>
            <w:vAlign w:val="center"/>
          </w:tcPr>
          <w:p w14:paraId="3ED05DEB">
            <w:pPr>
              <w:spacing w:line="360" w:lineRule="auto"/>
              <w:rPr>
                <w:rFonts w:asciiTheme="minorEastAsia" w:hAnsiTheme="minorEastAsia" w:cstheme="minorEastAsia"/>
                <w:kern w:val="0"/>
                <w:szCs w:val="21"/>
              </w:rPr>
            </w:pPr>
          </w:p>
        </w:tc>
        <w:tc>
          <w:tcPr>
            <w:tcW w:w="5620" w:type="dxa"/>
            <w:tcBorders>
              <w:top w:val="single" w:color="auto" w:sz="4" w:space="0"/>
              <w:left w:val="nil"/>
              <w:bottom w:val="single" w:color="auto" w:sz="4" w:space="0"/>
              <w:right w:val="single" w:color="auto" w:sz="4" w:space="0"/>
            </w:tcBorders>
            <w:vAlign w:val="center"/>
          </w:tcPr>
          <w:p w14:paraId="2628276D">
            <w:pPr>
              <w:spacing w:line="360" w:lineRule="auto"/>
              <w:rPr>
                <w:rFonts w:asciiTheme="minorEastAsia" w:hAnsiTheme="minorEastAsia" w:cstheme="minorEastAsia"/>
                <w:kern w:val="0"/>
                <w:szCs w:val="21"/>
              </w:rPr>
            </w:pPr>
            <w:r>
              <w:rPr>
                <w:rFonts w:hint="eastAsia" w:asciiTheme="minorEastAsia" w:hAnsiTheme="minorEastAsia" w:cstheme="minorEastAsia"/>
                <w:szCs w:val="21"/>
              </w:rPr>
              <w:t>2</w:t>
            </w:r>
            <w:r>
              <w:rPr>
                <w:rFonts w:hint="eastAsia" w:asciiTheme="minorEastAsia" w:hAnsiTheme="minorEastAsia" w:cstheme="minorEastAsia"/>
                <w:kern w:val="0"/>
                <w:szCs w:val="21"/>
              </w:rPr>
              <w:t>.严禁将维修项目累计一次性修理。</w:t>
            </w:r>
          </w:p>
        </w:tc>
        <w:tc>
          <w:tcPr>
            <w:tcW w:w="1515" w:type="dxa"/>
            <w:tcBorders>
              <w:top w:val="single" w:color="auto" w:sz="4" w:space="0"/>
              <w:left w:val="nil"/>
              <w:bottom w:val="single" w:color="auto" w:sz="4" w:space="0"/>
              <w:right w:val="single" w:color="auto" w:sz="4" w:space="0"/>
            </w:tcBorders>
            <w:vAlign w:val="center"/>
          </w:tcPr>
          <w:p w14:paraId="49A2087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14:paraId="2EBDA32A">
        <w:tblPrEx>
          <w:tblCellMar>
            <w:top w:w="0" w:type="dxa"/>
            <w:left w:w="108" w:type="dxa"/>
            <w:bottom w:w="0" w:type="dxa"/>
            <w:right w:w="108" w:type="dxa"/>
          </w:tblCellMar>
        </w:tblPrEx>
        <w:trPr>
          <w:trHeight w:val="611" w:hRule="atLeast"/>
        </w:trPr>
        <w:tc>
          <w:tcPr>
            <w:tcW w:w="1260" w:type="dxa"/>
            <w:vMerge w:val="continue"/>
            <w:tcBorders>
              <w:left w:val="single" w:color="auto" w:sz="4" w:space="0"/>
              <w:right w:val="single" w:color="auto" w:sz="4" w:space="0"/>
            </w:tcBorders>
            <w:vAlign w:val="center"/>
          </w:tcPr>
          <w:p w14:paraId="6AA2CB3A">
            <w:pPr>
              <w:spacing w:line="360" w:lineRule="auto"/>
              <w:rPr>
                <w:rFonts w:asciiTheme="minorEastAsia" w:hAnsiTheme="minorEastAsia" w:cstheme="minorEastAsia"/>
                <w:kern w:val="0"/>
                <w:szCs w:val="21"/>
              </w:rPr>
            </w:pPr>
          </w:p>
        </w:tc>
        <w:tc>
          <w:tcPr>
            <w:tcW w:w="5620" w:type="dxa"/>
            <w:tcBorders>
              <w:top w:val="single" w:color="auto" w:sz="4" w:space="0"/>
              <w:left w:val="nil"/>
              <w:bottom w:val="single" w:color="auto" w:sz="4" w:space="0"/>
              <w:right w:val="single" w:color="auto" w:sz="4" w:space="0"/>
            </w:tcBorders>
            <w:vAlign w:val="center"/>
          </w:tcPr>
          <w:p w14:paraId="27B1351F">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3.涉及墙体拆封以及水、电线路改造项目，必须经学校审核同意后方能施工。</w:t>
            </w:r>
          </w:p>
        </w:tc>
        <w:tc>
          <w:tcPr>
            <w:tcW w:w="1515" w:type="dxa"/>
            <w:tcBorders>
              <w:top w:val="single" w:color="auto" w:sz="4" w:space="0"/>
              <w:left w:val="nil"/>
              <w:bottom w:val="single" w:color="auto" w:sz="4" w:space="0"/>
              <w:right w:val="single" w:color="auto" w:sz="4" w:space="0"/>
            </w:tcBorders>
            <w:vAlign w:val="center"/>
          </w:tcPr>
          <w:p w14:paraId="0F86613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0A3E7001">
        <w:tblPrEx>
          <w:tblCellMar>
            <w:top w:w="0" w:type="dxa"/>
            <w:left w:w="108" w:type="dxa"/>
            <w:bottom w:w="0" w:type="dxa"/>
            <w:right w:w="108" w:type="dxa"/>
          </w:tblCellMar>
        </w:tblPrEx>
        <w:trPr>
          <w:trHeight w:val="560" w:hRule="atLeast"/>
        </w:trPr>
        <w:tc>
          <w:tcPr>
            <w:tcW w:w="1260" w:type="dxa"/>
            <w:tcBorders>
              <w:top w:val="single" w:color="auto" w:sz="4" w:space="0"/>
              <w:left w:val="single" w:color="auto" w:sz="4" w:space="0"/>
              <w:right w:val="single" w:color="auto" w:sz="4" w:space="0"/>
            </w:tcBorders>
            <w:vAlign w:val="center"/>
          </w:tcPr>
          <w:p w14:paraId="77186D8C">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服务态度</w:t>
            </w:r>
          </w:p>
          <w:p w14:paraId="76BF1776">
            <w:pPr>
              <w:spacing w:line="360" w:lineRule="auto"/>
              <w:rPr>
                <w:rFonts w:asciiTheme="minorEastAsia" w:hAnsiTheme="minorEastAsia" w:cstheme="minorEastAsia"/>
                <w:szCs w:val="21"/>
              </w:rPr>
            </w:pPr>
            <w:r>
              <w:rPr>
                <w:rFonts w:hint="eastAsia" w:asciiTheme="minorEastAsia" w:hAnsiTheme="minorEastAsia" w:cstheme="minorEastAsia"/>
                <w:szCs w:val="21"/>
              </w:rPr>
              <w:t>（10分）</w:t>
            </w:r>
          </w:p>
        </w:tc>
        <w:tc>
          <w:tcPr>
            <w:tcW w:w="5620" w:type="dxa"/>
            <w:tcBorders>
              <w:top w:val="single" w:color="auto" w:sz="4" w:space="0"/>
              <w:left w:val="single" w:color="auto" w:sz="4" w:space="0"/>
              <w:bottom w:val="single" w:color="auto" w:sz="4" w:space="0"/>
              <w:right w:val="single" w:color="auto" w:sz="4" w:space="0"/>
            </w:tcBorders>
            <w:vAlign w:val="center"/>
          </w:tcPr>
          <w:p w14:paraId="28ECB023">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工作人员服务态度良好</w:t>
            </w:r>
            <w:r>
              <w:rPr>
                <w:rFonts w:hint="eastAsia" w:asciiTheme="minorEastAsia" w:hAnsiTheme="minorEastAsia" w:cstheme="minorEastAsia"/>
                <w:szCs w:val="21"/>
              </w:rPr>
              <w:t>（5分）</w:t>
            </w:r>
            <w:r>
              <w:rPr>
                <w:rFonts w:hint="eastAsia" w:asciiTheme="minorEastAsia" w:hAnsiTheme="minorEastAsia" w:cstheme="minorEastAsia"/>
                <w:kern w:val="0"/>
                <w:szCs w:val="21"/>
              </w:rPr>
              <w:t>；加强和服务对象的沟通，了解实际要求，并及时回访</w:t>
            </w:r>
            <w:r>
              <w:rPr>
                <w:rFonts w:hint="eastAsia" w:asciiTheme="minorEastAsia" w:hAnsiTheme="minorEastAsia" w:cstheme="minorEastAsia"/>
                <w:szCs w:val="21"/>
              </w:rPr>
              <w:t>（5分）</w:t>
            </w:r>
            <w:r>
              <w:rPr>
                <w:rFonts w:hint="eastAsia" w:asciiTheme="minorEastAsia" w:hAnsiTheme="minorEastAsia" w:cstheme="minorEastAsia"/>
                <w:kern w:val="0"/>
                <w:szCs w:val="21"/>
              </w:rPr>
              <w:t>。</w:t>
            </w:r>
          </w:p>
        </w:tc>
        <w:tc>
          <w:tcPr>
            <w:tcW w:w="1515" w:type="dxa"/>
            <w:tcBorders>
              <w:top w:val="single" w:color="auto" w:sz="4" w:space="0"/>
              <w:left w:val="single" w:color="auto" w:sz="4" w:space="0"/>
              <w:bottom w:val="single" w:color="auto" w:sz="4" w:space="0"/>
              <w:right w:val="single" w:color="auto" w:sz="4" w:space="0"/>
            </w:tcBorders>
            <w:vAlign w:val="center"/>
          </w:tcPr>
          <w:p w14:paraId="6103AC7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r>
      <w:tr w14:paraId="59DB86CD">
        <w:tblPrEx>
          <w:tblCellMar>
            <w:top w:w="0" w:type="dxa"/>
            <w:left w:w="108" w:type="dxa"/>
            <w:bottom w:w="0" w:type="dxa"/>
            <w:right w:w="108" w:type="dxa"/>
          </w:tblCellMar>
        </w:tblPrEx>
        <w:trPr>
          <w:trHeight w:val="813" w:hRule="atLeast"/>
        </w:trPr>
        <w:tc>
          <w:tcPr>
            <w:tcW w:w="1260" w:type="dxa"/>
            <w:vMerge w:val="restart"/>
            <w:tcBorders>
              <w:top w:val="single" w:color="auto" w:sz="4" w:space="0"/>
              <w:left w:val="single" w:color="auto" w:sz="4" w:space="0"/>
              <w:right w:val="single" w:color="auto" w:sz="4" w:space="0"/>
            </w:tcBorders>
            <w:vAlign w:val="center"/>
          </w:tcPr>
          <w:p w14:paraId="3D2F335F">
            <w:pPr>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安全管理</w:t>
            </w:r>
          </w:p>
          <w:p w14:paraId="2622CB1F">
            <w:pPr>
              <w:spacing w:line="360" w:lineRule="auto"/>
              <w:rPr>
                <w:rFonts w:asciiTheme="minorEastAsia" w:hAnsiTheme="minorEastAsia" w:cstheme="minorEastAsia"/>
                <w:szCs w:val="21"/>
              </w:rPr>
            </w:pPr>
            <w:r>
              <w:rPr>
                <w:rFonts w:hint="eastAsia" w:asciiTheme="minorEastAsia" w:hAnsiTheme="minorEastAsia" w:cstheme="minorEastAsia"/>
                <w:szCs w:val="21"/>
              </w:rPr>
              <w:t>（10分）</w:t>
            </w:r>
          </w:p>
        </w:tc>
        <w:tc>
          <w:tcPr>
            <w:tcW w:w="5620" w:type="dxa"/>
            <w:tcBorders>
              <w:top w:val="single" w:color="auto" w:sz="4" w:space="0"/>
              <w:left w:val="nil"/>
              <w:bottom w:val="single" w:color="auto" w:sz="4" w:space="0"/>
              <w:right w:val="single" w:color="auto" w:sz="4" w:space="0"/>
            </w:tcBorders>
            <w:vAlign w:val="center"/>
          </w:tcPr>
          <w:p w14:paraId="75E25A3D">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1.所有维修人员必须持证上岗</w:t>
            </w:r>
            <w:r>
              <w:rPr>
                <w:rFonts w:hint="eastAsia" w:asciiTheme="minorEastAsia" w:hAnsiTheme="minorEastAsia" w:cstheme="minorEastAsia"/>
                <w:szCs w:val="21"/>
              </w:rPr>
              <w:t>（2分）</w:t>
            </w:r>
            <w:r>
              <w:rPr>
                <w:rFonts w:hint="eastAsia" w:asciiTheme="minorEastAsia" w:hAnsiTheme="minorEastAsia" w:cstheme="minorEastAsia"/>
                <w:kern w:val="0"/>
                <w:szCs w:val="21"/>
              </w:rPr>
              <w:t>；特种工种需持有国家合法的特种上岗证</w:t>
            </w:r>
            <w:r>
              <w:rPr>
                <w:rFonts w:hint="eastAsia" w:asciiTheme="minorEastAsia" w:hAnsiTheme="minorEastAsia" w:cstheme="minorEastAsia"/>
                <w:szCs w:val="21"/>
              </w:rPr>
              <w:t>（2分）</w:t>
            </w:r>
            <w:r>
              <w:rPr>
                <w:rFonts w:hint="eastAsia" w:asciiTheme="minorEastAsia" w:hAnsiTheme="minorEastAsia" w:cstheme="minorEastAsia"/>
                <w:kern w:val="0"/>
                <w:szCs w:val="21"/>
              </w:rPr>
              <w:t>；定期组织生产安全知识培训，安全操作</w:t>
            </w:r>
            <w:r>
              <w:rPr>
                <w:rFonts w:hint="eastAsia" w:asciiTheme="minorEastAsia" w:hAnsiTheme="minorEastAsia" w:cstheme="minorEastAsia"/>
                <w:szCs w:val="21"/>
              </w:rPr>
              <w:t>（2分）</w:t>
            </w:r>
            <w:r>
              <w:rPr>
                <w:rFonts w:hint="eastAsia" w:asciiTheme="minorEastAsia" w:hAnsiTheme="minorEastAsia" w:cstheme="minorEastAsia"/>
                <w:kern w:val="0"/>
                <w:szCs w:val="21"/>
              </w:rPr>
              <w:t>。</w:t>
            </w:r>
          </w:p>
        </w:tc>
        <w:tc>
          <w:tcPr>
            <w:tcW w:w="1515" w:type="dxa"/>
            <w:tcBorders>
              <w:top w:val="single" w:color="auto" w:sz="4" w:space="0"/>
              <w:left w:val="nil"/>
              <w:bottom w:val="single" w:color="auto" w:sz="4" w:space="0"/>
              <w:right w:val="single" w:color="auto" w:sz="4" w:space="0"/>
            </w:tcBorders>
            <w:vAlign w:val="center"/>
          </w:tcPr>
          <w:p w14:paraId="7D3B5DE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r>
      <w:tr w14:paraId="425C0BED">
        <w:tblPrEx>
          <w:tblCellMar>
            <w:top w:w="0" w:type="dxa"/>
            <w:left w:w="108" w:type="dxa"/>
            <w:bottom w:w="0" w:type="dxa"/>
            <w:right w:w="108" w:type="dxa"/>
          </w:tblCellMar>
        </w:tblPrEx>
        <w:trPr>
          <w:trHeight w:val="611" w:hRule="atLeast"/>
        </w:trPr>
        <w:tc>
          <w:tcPr>
            <w:tcW w:w="1260" w:type="dxa"/>
            <w:vMerge w:val="continue"/>
            <w:tcBorders>
              <w:left w:val="single" w:color="auto" w:sz="4" w:space="0"/>
              <w:right w:val="single" w:color="auto" w:sz="4" w:space="0"/>
            </w:tcBorders>
            <w:vAlign w:val="center"/>
          </w:tcPr>
          <w:p w14:paraId="3E2EC3F6">
            <w:pPr>
              <w:spacing w:line="360" w:lineRule="auto"/>
              <w:rPr>
                <w:rFonts w:asciiTheme="minorEastAsia" w:hAnsiTheme="minorEastAsia" w:cstheme="minorEastAsia"/>
                <w:szCs w:val="21"/>
              </w:rPr>
            </w:pPr>
          </w:p>
        </w:tc>
        <w:tc>
          <w:tcPr>
            <w:tcW w:w="5620" w:type="dxa"/>
            <w:tcBorders>
              <w:top w:val="single" w:color="auto" w:sz="4" w:space="0"/>
              <w:left w:val="nil"/>
              <w:bottom w:val="single" w:color="auto" w:sz="4" w:space="0"/>
              <w:right w:val="single" w:color="auto" w:sz="4" w:space="0"/>
            </w:tcBorders>
            <w:vAlign w:val="center"/>
          </w:tcPr>
          <w:p w14:paraId="1EDF2001">
            <w:pPr>
              <w:spacing w:line="360" w:lineRule="auto"/>
              <w:rPr>
                <w:rFonts w:asciiTheme="minorEastAsia" w:hAnsiTheme="minorEastAsia" w:cstheme="minorEastAsia"/>
                <w:szCs w:val="21"/>
              </w:rPr>
            </w:pPr>
            <w:r>
              <w:rPr>
                <w:rFonts w:hint="eastAsia" w:asciiTheme="minorEastAsia" w:hAnsiTheme="minorEastAsia" w:cstheme="minorEastAsia"/>
                <w:kern w:val="0"/>
                <w:szCs w:val="21"/>
              </w:rPr>
              <w:t>2.维修时，要根据国家相关规定在广场、道路、实验室等人流较多区域设置警示标志。</w:t>
            </w:r>
          </w:p>
        </w:tc>
        <w:tc>
          <w:tcPr>
            <w:tcW w:w="1515" w:type="dxa"/>
            <w:tcBorders>
              <w:top w:val="single" w:color="auto" w:sz="4" w:space="0"/>
              <w:left w:val="nil"/>
              <w:bottom w:val="single" w:color="auto" w:sz="4" w:space="0"/>
              <w:right w:val="single" w:color="auto" w:sz="4" w:space="0"/>
            </w:tcBorders>
            <w:vAlign w:val="center"/>
          </w:tcPr>
          <w:p w14:paraId="4A105CE5">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737FB618">
        <w:tblPrEx>
          <w:tblCellMar>
            <w:top w:w="0" w:type="dxa"/>
            <w:left w:w="108" w:type="dxa"/>
            <w:bottom w:w="0" w:type="dxa"/>
            <w:right w:w="108" w:type="dxa"/>
          </w:tblCellMar>
        </w:tblPrEx>
        <w:trPr>
          <w:trHeight w:val="611" w:hRule="atLeast"/>
        </w:trPr>
        <w:tc>
          <w:tcPr>
            <w:tcW w:w="1260" w:type="dxa"/>
            <w:tcBorders>
              <w:left w:val="single" w:color="auto" w:sz="4" w:space="0"/>
              <w:bottom w:val="single" w:color="auto" w:sz="4" w:space="0"/>
              <w:right w:val="single" w:color="auto" w:sz="4" w:space="0"/>
            </w:tcBorders>
            <w:vAlign w:val="center"/>
          </w:tcPr>
          <w:p w14:paraId="1059A844">
            <w:pPr>
              <w:spacing w:line="360" w:lineRule="auto"/>
              <w:rPr>
                <w:rFonts w:asciiTheme="minorEastAsia" w:hAnsiTheme="minorEastAsia" w:cstheme="minorEastAsia"/>
                <w:szCs w:val="21"/>
              </w:rPr>
            </w:pPr>
          </w:p>
        </w:tc>
        <w:tc>
          <w:tcPr>
            <w:tcW w:w="5620" w:type="dxa"/>
            <w:tcBorders>
              <w:top w:val="single" w:color="auto" w:sz="4" w:space="0"/>
              <w:left w:val="nil"/>
              <w:bottom w:val="single" w:color="auto" w:sz="4" w:space="0"/>
              <w:right w:val="single" w:color="auto" w:sz="4" w:space="0"/>
            </w:tcBorders>
            <w:vAlign w:val="center"/>
          </w:tcPr>
          <w:p w14:paraId="0010CFE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总  分</w:t>
            </w:r>
          </w:p>
        </w:tc>
        <w:tc>
          <w:tcPr>
            <w:tcW w:w="1515" w:type="dxa"/>
            <w:tcBorders>
              <w:top w:val="single" w:color="auto" w:sz="4" w:space="0"/>
              <w:left w:val="nil"/>
              <w:bottom w:val="single" w:color="auto" w:sz="4" w:space="0"/>
              <w:right w:val="single" w:color="auto" w:sz="4" w:space="0"/>
            </w:tcBorders>
            <w:vAlign w:val="center"/>
          </w:tcPr>
          <w:p w14:paraId="2353F20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14:paraId="5D2ACDF9">
      <w:pPr>
        <w:pStyle w:val="350"/>
        <w:spacing w:line="360" w:lineRule="auto"/>
        <w:ind w:firstLine="420" w:firstLineChars="200"/>
        <w:rPr>
          <w:rFonts w:asciiTheme="minorEastAsia" w:hAnsiTheme="minorEastAsia" w:cstheme="minorEastAsia"/>
          <w:color w:val="auto"/>
          <w:sz w:val="21"/>
          <w:szCs w:val="21"/>
        </w:rPr>
      </w:pPr>
    </w:p>
    <w:p w14:paraId="67728147">
      <w:pPr>
        <w:pStyle w:val="350"/>
        <w:spacing w:line="360" w:lineRule="auto"/>
        <w:ind w:firstLine="420" w:firstLineChars="200"/>
        <w:rPr>
          <w:rFonts w:asciiTheme="minorEastAsia" w:hAnsiTheme="minorEastAsia" w:cstheme="minorEastAsia"/>
          <w:color w:val="auto"/>
          <w:sz w:val="21"/>
          <w:szCs w:val="21"/>
        </w:rPr>
      </w:pPr>
    </w:p>
    <w:p w14:paraId="318BCBD9">
      <w:pPr>
        <w:pStyle w:val="350"/>
        <w:spacing w:line="360" w:lineRule="auto"/>
        <w:ind w:firstLine="420" w:firstLineChars="200"/>
        <w:rPr>
          <w:rFonts w:hint="eastAsia" w:asciiTheme="minorEastAsia" w:hAnsiTheme="minorEastAsia" w:cstheme="minorEastAsia"/>
          <w:color w:val="auto"/>
          <w:sz w:val="21"/>
          <w:szCs w:val="21"/>
        </w:rPr>
      </w:pPr>
    </w:p>
    <w:p w14:paraId="00E01FA3">
      <w:pPr>
        <w:pStyle w:val="350"/>
        <w:spacing w:line="360" w:lineRule="auto"/>
        <w:ind w:firstLine="420" w:firstLineChars="200"/>
        <w:rPr>
          <w:rFonts w:hint="eastAsia" w:asciiTheme="minorEastAsia" w:hAnsiTheme="minorEastAsia" w:cstheme="minorEastAsia"/>
          <w:color w:val="auto"/>
          <w:sz w:val="21"/>
          <w:szCs w:val="21"/>
        </w:rPr>
      </w:pPr>
    </w:p>
    <w:p w14:paraId="5465A895">
      <w:pPr>
        <w:pStyle w:val="350"/>
        <w:spacing w:line="360" w:lineRule="auto"/>
        <w:ind w:firstLine="420" w:firstLineChars="200"/>
        <w:rPr>
          <w:rFonts w:hint="eastAsia" w:asciiTheme="minorEastAsia" w:hAnsiTheme="minorEastAsia" w:cstheme="minorEastAsia"/>
          <w:color w:val="auto"/>
          <w:sz w:val="21"/>
          <w:szCs w:val="21"/>
        </w:rPr>
      </w:pPr>
    </w:p>
    <w:p w14:paraId="6B2568DD">
      <w:pPr>
        <w:pStyle w:val="350"/>
        <w:spacing w:line="360" w:lineRule="auto"/>
        <w:ind w:firstLine="420" w:firstLineChars="200"/>
        <w:rPr>
          <w:rFonts w:hint="eastAsia" w:asciiTheme="minorEastAsia" w:hAnsiTheme="minorEastAsia" w:cstheme="minorEastAsia"/>
          <w:color w:val="auto"/>
          <w:sz w:val="21"/>
          <w:szCs w:val="21"/>
        </w:rPr>
      </w:pPr>
    </w:p>
    <w:p w14:paraId="538A5720">
      <w:pPr>
        <w:pStyle w:val="350"/>
        <w:spacing w:line="360" w:lineRule="auto"/>
        <w:ind w:firstLine="420" w:firstLineChars="200"/>
        <w:rPr>
          <w:rFonts w:hint="eastAsia" w:asciiTheme="minorEastAsia" w:hAnsiTheme="minorEastAsia" w:cstheme="minorEastAsia"/>
          <w:color w:val="auto"/>
          <w:sz w:val="21"/>
          <w:szCs w:val="21"/>
        </w:rPr>
      </w:pPr>
    </w:p>
    <w:p w14:paraId="4A9BC645">
      <w:pPr>
        <w:pStyle w:val="350"/>
        <w:spacing w:line="360" w:lineRule="auto"/>
        <w:ind w:firstLine="420" w:firstLineChars="200"/>
        <w:rPr>
          <w:rFonts w:hint="eastAsia" w:asciiTheme="minorEastAsia" w:hAnsiTheme="minorEastAsia" w:cstheme="minorEastAsia"/>
          <w:color w:val="auto"/>
          <w:sz w:val="21"/>
          <w:szCs w:val="21"/>
        </w:rPr>
      </w:pPr>
    </w:p>
    <w:p w14:paraId="38DE8CFC">
      <w:pPr>
        <w:pStyle w:val="350"/>
        <w:spacing w:line="360" w:lineRule="auto"/>
        <w:ind w:firstLine="420" w:firstLineChars="200"/>
        <w:rPr>
          <w:rFonts w:hint="eastAsia" w:asciiTheme="minorEastAsia" w:hAnsiTheme="minorEastAsia" w:cstheme="minorEastAsia"/>
          <w:color w:val="auto"/>
          <w:sz w:val="21"/>
          <w:szCs w:val="21"/>
        </w:rPr>
      </w:pPr>
    </w:p>
    <w:p w14:paraId="397B2474">
      <w:pPr>
        <w:pStyle w:val="350"/>
        <w:spacing w:line="360" w:lineRule="auto"/>
        <w:ind w:firstLine="420" w:firstLineChars="200"/>
        <w:rPr>
          <w:rFonts w:hint="eastAsia" w:asciiTheme="minorEastAsia" w:hAnsiTheme="minorEastAsia" w:cstheme="minorEastAsia"/>
          <w:color w:val="auto"/>
          <w:sz w:val="21"/>
          <w:szCs w:val="21"/>
        </w:rPr>
      </w:pPr>
    </w:p>
    <w:p w14:paraId="0C14C202">
      <w:pPr>
        <w:pStyle w:val="350"/>
        <w:spacing w:line="360" w:lineRule="auto"/>
        <w:ind w:firstLine="420" w:firstLineChars="200"/>
        <w:rPr>
          <w:rFonts w:hint="eastAsia" w:asciiTheme="minorEastAsia" w:hAnsiTheme="minorEastAsia" w:cstheme="minorEastAsia"/>
          <w:color w:val="auto"/>
          <w:sz w:val="21"/>
          <w:szCs w:val="21"/>
        </w:rPr>
      </w:pPr>
    </w:p>
    <w:p w14:paraId="75AAF142">
      <w:pPr>
        <w:pStyle w:val="350"/>
        <w:spacing w:line="360" w:lineRule="auto"/>
        <w:ind w:firstLine="420" w:firstLineChars="200"/>
        <w:rPr>
          <w:rFonts w:hint="eastAsia" w:asciiTheme="minorEastAsia" w:hAnsiTheme="minorEastAsia" w:cstheme="minorEastAsia"/>
          <w:color w:val="auto"/>
          <w:sz w:val="21"/>
          <w:szCs w:val="21"/>
        </w:rPr>
      </w:pPr>
    </w:p>
    <w:p w14:paraId="6B1AB9FE">
      <w:pPr>
        <w:pStyle w:val="350"/>
        <w:spacing w:line="360" w:lineRule="auto"/>
        <w:ind w:firstLine="420" w:firstLineChars="200"/>
        <w:rPr>
          <w:rFonts w:hint="eastAsia" w:asciiTheme="minorEastAsia" w:hAnsiTheme="minorEastAsia" w:cstheme="minorEastAsia"/>
          <w:color w:val="auto"/>
          <w:sz w:val="21"/>
          <w:szCs w:val="21"/>
        </w:rPr>
      </w:pPr>
    </w:p>
    <w:p w14:paraId="64F6036B">
      <w:pPr>
        <w:pStyle w:val="350"/>
        <w:spacing w:line="360" w:lineRule="auto"/>
        <w:ind w:firstLine="420" w:firstLineChars="200"/>
        <w:rPr>
          <w:rFonts w:hint="eastAsia" w:asciiTheme="minorEastAsia" w:hAnsiTheme="minorEastAsia" w:cstheme="minorEastAsia"/>
          <w:color w:val="auto"/>
          <w:sz w:val="21"/>
          <w:szCs w:val="21"/>
        </w:rPr>
      </w:pPr>
    </w:p>
    <w:p w14:paraId="47E5FB81">
      <w:pPr>
        <w:pStyle w:val="350"/>
        <w:spacing w:line="360" w:lineRule="auto"/>
        <w:ind w:firstLine="420" w:firstLineChars="200"/>
        <w:rPr>
          <w:rFonts w:hint="eastAsia" w:asciiTheme="minorEastAsia" w:hAnsiTheme="minorEastAsia" w:cstheme="minorEastAsia"/>
          <w:color w:val="auto"/>
          <w:sz w:val="21"/>
          <w:szCs w:val="21"/>
        </w:rPr>
      </w:pPr>
    </w:p>
    <w:p w14:paraId="7C4AF3FE">
      <w:pPr>
        <w:pStyle w:val="350"/>
        <w:spacing w:line="360" w:lineRule="auto"/>
        <w:ind w:firstLine="420" w:firstLineChars="200"/>
        <w:rPr>
          <w:rFonts w:hint="eastAsia" w:asciiTheme="minorEastAsia" w:hAnsiTheme="minorEastAsia" w:cstheme="minorEastAsia"/>
          <w:color w:val="auto"/>
          <w:sz w:val="21"/>
          <w:szCs w:val="21"/>
        </w:rPr>
      </w:pPr>
    </w:p>
    <w:p w14:paraId="6ECBF2E3">
      <w:pPr>
        <w:pStyle w:val="350"/>
        <w:spacing w:line="360" w:lineRule="auto"/>
        <w:ind w:firstLine="420" w:firstLineChars="200"/>
        <w:rPr>
          <w:rFonts w:hint="eastAsia" w:asciiTheme="minorEastAsia" w:hAnsiTheme="minorEastAsia" w:cstheme="minorEastAsia"/>
          <w:color w:val="auto"/>
          <w:sz w:val="21"/>
          <w:szCs w:val="21"/>
        </w:rPr>
      </w:pPr>
    </w:p>
    <w:p w14:paraId="48EF5FAB">
      <w:pPr>
        <w:pStyle w:val="350"/>
        <w:spacing w:line="360" w:lineRule="auto"/>
        <w:ind w:firstLine="420" w:firstLineChars="200"/>
        <w:rPr>
          <w:rFonts w:hint="eastAsia" w:asciiTheme="minorEastAsia" w:hAnsiTheme="minorEastAsia" w:cstheme="minorEastAsia"/>
          <w:color w:val="auto"/>
          <w:sz w:val="21"/>
          <w:szCs w:val="21"/>
        </w:rPr>
      </w:pPr>
    </w:p>
    <w:p w14:paraId="3A8F8A30">
      <w:pPr>
        <w:pStyle w:val="350"/>
        <w:spacing w:line="360" w:lineRule="auto"/>
        <w:ind w:firstLine="420" w:firstLineChars="200"/>
        <w:rPr>
          <w:rFonts w:hint="eastAsia" w:asciiTheme="minorEastAsia" w:hAnsiTheme="minorEastAsia" w:cstheme="minorEastAsia"/>
          <w:color w:val="auto"/>
          <w:sz w:val="21"/>
          <w:szCs w:val="21"/>
        </w:rPr>
      </w:pPr>
    </w:p>
    <w:p w14:paraId="3F6A3B00">
      <w:pPr>
        <w:pStyle w:val="350"/>
        <w:spacing w:line="360" w:lineRule="auto"/>
        <w:ind w:firstLine="420" w:firstLineChars="200"/>
        <w:rPr>
          <w:rFonts w:hint="eastAsia" w:asciiTheme="minorEastAsia" w:hAnsiTheme="minorEastAsia" w:cstheme="minorEastAsia"/>
          <w:color w:val="auto"/>
          <w:sz w:val="21"/>
          <w:szCs w:val="21"/>
        </w:rPr>
      </w:pPr>
    </w:p>
    <w:p w14:paraId="608B8F15">
      <w:pPr>
        <w:pStyle w:val="350"/>
        <w:spacing w:line="360" w:lineRule="auto"/>
        <w:ind w:firstLine="420" w:firstLineChars="200"/>
        <w:rPr>
          <w:rFonts w:hint="eastAsia" w:asciiTheme="minorEastAsia" w:hAnsiTheme="minorEastAsia" w:cstheme="minorEastAsia"/>
          <w:color w:val="auto"/>
          <w:sz w:val="21"/>
          <w:szCs w:val="21"/>
        </w:rPr>
      </w:pPr>
    </w:p>
    <w:p w14:paraId="0EB3F490">
      <w:pPr>
        <w:pStyle w:val="350"/>
        <w:spacing w:line="360" w:lineRule="auto"/>
        <w:ind w:firstLine="420" w:firstLineChars="200"/>
        <w:rPr>
          <w:rFonts w:hint="eastAsia" w:asciiTheme="minorEastAsia" w:hAnsiTheme="minorEastAsia" w:cstheme="minorEastAsia"/>
          <w:color w:val="auto"/>
          <w:sz w:val="21"/>
          <w:szCs w:val="21"/>
        </w:rPr>
      </w:pPr>
    </w:p>
    <w:p w14:paraId="49D35A24">
      <w:pPr>
        <w:pStyle w:val="350"/>
        <w:spacing w:line="360" w:lineRule="auto"/>
        <w:ind w:firstLine="420" w:firstLineChars="200"/>
        <w:rPr>
          <w:rFonts w:hint="eastAsia" w:asciiTheme="minorEastAsia" w:hAnsiTheme="minorEastAsia" w:cstheme="minorEastAsia"/>
          <w:color w:val="auto"/>
          <w:sz w:val="21"/>
          <w:szCs w:val="21"/>
        </w:rPr>
      </w:pPr>
      <w:r>
        <w:rPr>
          <w:rFonts w:hint="eastAsia" w:asciiTheme="minorEastAsia" w:hAnsiTheme="minorEastAsia" w:cstheme="minorEastAsia"/>
          <w:color w:val="auto"/>
          <w:sz w:val="21"/>
          <w:szCs w:val="21"/>
        </w:rPr>
        <w:t>5.活动中心及会务服务考核评分表</w:t>
      </w:r>
    </w:p>
    <w:tbl>
      <w:tblPr>
        <w:tblStyle w:val="53"/>
        <w:tblpPr w:leftFromText="180" w:rightFromText="180" w:vertAnchor="text" w:horzAnchor="page" w:tblpX="1466" w:tblpY="355"/>
        <w:tblOverlap w:val="never"/>
        <w:tblW w:w="0" w:type="auto"/>
        <w:tblInd w:w="0" w:type="dxa"/>
        <w:tblLayout w:type="fixed"/>
        <w:tblCellMar>
          <w:top w:w="0" w:type="dxa"/>
          <w:left w:w="108" w:type="dxa"/>
          <w:bottom w:w="0" w:type="dxa"/>
          <w:right w:w="108" w:type="dxa"/>
        </w:tblCellMar>
      </w:tblPr>
      <w:tblGrid>
        <w:gridCol w:w="1368"/>
        <w:gridCol w:w="6237"/>
        <w:gridCol w:w="885"/>
      </w:tblGrid>
      <w:tr w14:paraId="1FED6323">
        <w:tblPrEx>
          <w:tblCellMar>
            <w:top w:w="0" w:type="dxa"/>
            <w:left w:w="108" w:type="dxa"/>
            <w:bottom w:w="0" w:type="dxa"/>
            <w:right w:w="108" w:type="dxa"/>
          </w:tblCellMar>
        </w:tblPrEx>
        <w:trPr>
          <w:trHeight w:val="656" w:hRule="atLeast"/>
        </w:trPr>
        <w:tc>
          <w:tcPr>
            <w:tcW w:w="1368" w:type="dxa"/>
            <w:tcBorders>
              <w:top w:val="single" w:color="auto" w:sz="4" w:space="0"/>
              <w:left w:val="single" w:color="auto" w:sz="4" w:space="0"/>
              <w:bottom w:val="single" w:color="auto" w:sz="4" w:space="0"/>
              <w:right w:val="single" w:color="auto" w:sz="4" w:space="0"/>
            </w:tcBorders>
            <w:vAlign w:val="center"/>
          </w:tcPr>
          <w:p w14:paraId="4F4938A1">
            <w:pPr>
              <w:spacing w:line="360" w:lineRule="auto"/>
              <w:rPr>
                <w:rFonts w:asciiTheme="minorEastAsia" w:hAnsiTheme="minorEastAsia" w:cstheme="minorEastAsia"/>
                <w:b/>
                <w:szCs w:val="21"/>
              </w:rPr>
            </w:pPr>
            <w:r>
              <w:rPr>
                <w:rFonts w:hint="eastAsia" w:asciiTheme="minorEastAsia" w:hAnsiTheme="minorEastAsia" w:cstheme="minorEastAsia"/>
                <w:szCs w:val="21"/>
              </w:rPr>
              <w:br w:type="page"/>
            </w:r>
            <w:r>
              <w:rPr>
                <w:rFonts w:hint="eastAsia" w:asciiTheme="minorEastAsia" w:hAnsiTheme="minorEastAsia" w:cstheme="minorEastAsia"/>
                <w:b/>
                <w:szCs w:val="21"/>
              </w:rPr>
              <w:t>考核项目</w:t>
            </w:r>
          </w:p>
        </w:tc>
        <w:tc>
          <w:tcPr>
            <w:tcW w:w="6237" w:type="dxa"/>
            <w:tcBorders>
              <w:top w:val="single" w:color="auto" w:sz="4" w:space="0"/>
              <w:left w:val="nil"/>
              <w:bottom w:val="single" w:color="auto" w:sz="4" w:space="0"/>
              <w:right w:val="single" w:color="auto" w:sz="4" w:space="0"/>
            </w:tcBorders>
            <w:vAlign w:val="center"/>
          </w:tcPr>
          <w:p w14:paraId="41F9AA2D">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考核内容及评分标准</w:t>
            </w:r>
          </w:p>
        </w:tc>
        <w:tc>
          <w:tcPr>
            <w:tcW w:w="885" w:type="dxa"/>
            <w:tcBorders>
              <w:top w:val="single" w:color="auto" w:sz="4" w:space="0"/>
              <w:left w:val="nil"/>
              <w:bottom w:val="single" w:color="auto" w:sz="4" w:space="0"/>
              <w:right w:val="single" w:color="auto" w:sz="4" w:space="0"/>
            </w:tcBorders>
            <w:vAlign w:val="center"/>
          </w:tcPr>
          <w:p w14:paraId="0B8AAB8D">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分值</w:t>
            </w:r>
          </w:p>
        </w:tc>
      </w:tr>
      <w:tr w14:paraId="5418D062">
        <w:tblPrEx>
          <w:tblCellMar>
            <w:top w:w="0" w:type="dxa"/>
            <w:left w:w="108" w:type="dxa"/>
            <w:bottom w:w="0" w:type="dxa"/>
            <w:right w:w="108" w:type="dxa"/>
          </w:tblCellMar>
        </w:tblPrEx>
        <w:trPr>
          <w:trHeight w:val="717"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14:paraId="68D4BD11">
            <w:pPr>
              <w:spacing w:line="360" w:lineRule="auto"/>
              <w:rPr>
                <w:rFonts w:asciiTheme="minorEastAsia" w:hAnsiTheme="minorEastAsia" w:cstheme="minorEastAsia"/>
                <w:szCs w:val="21"/>
              </w:rPr>
            </w:pPr>
            <w:r>
              <w:rPr>
                <w:rFonts w:hint="eastAsia" w:asciiTheme="minorEastAsia" w:hAnsiTheme="minorEastAsia" w:cstheme="minorEastAsia"/>
                <w:szCs w:val="21"/>
              </w:rPr>
              <w:t>内部管理</w:t>
            </w:r>
          </w:p>
          <w:p w14:paraId="587E9A14">
            <w:pPr>
              <w:spacing w:line="360" w:lineRule="auto"/>
              <w:rPr>
                <w:rFonts w:asciiTheme="minorEastAsia" w:hAnsiTheme="minorEastAsia" w:cstheme="minorEastAsia"/>
                <w:szCs w:val="21"/>
              </w:rPr>
            </w:pPr>
            <w:r>
              <w:rPr>
                <w:rFonts w:hint="eastAsia" w:asciiTheme="minorEastAsia" w:hAnsiTheme="minorEastAsia" w:cstheme="minorEastAsia"/>
                <w:szCs w:val="21"/>
              </w:rPr>
              <w:t>（25分）</w:t>
            </w:r>
          </w:p>
        </w:tc>
        <w:tc>
          <w:tcPr>
            <w:tcW w:w="6237" w:type="dxa"/>
            <w:tcBorders>
              <w:top w:val="single" w:color="auto" w:sz="4" w:space="0"/>
              <w:left w:val="nil"/>
              <w:bottom w:val="single" w:color="auto" w:sz="4" w:space="0"/>
              <w:right w:val="single" w:color="auto" w:sz="4" w:space="0"/>
            </w:tcBorders>
            <w:vAlign w:val="center"/>
          </w:tcPr>
          <w:p w14:paraId="130192B1">
            <w:pPr>
              <w:spacing w:line="360" w:lineRule="auto"/>
              <w:rPr>
                <w:rFonts w:asciiTheme="minorEastAsia" w:hAnsiTheme="minorEastAsia" w:cstheme="minorEastAsia"/>
                <w:szCs w:val="21"/>
              </w:rPr>
            </w:pPr>
            <w:r>
              <w:rPr>
                <w:rFonts w:hint="eastAsia" w:asciiTheme="minorEastAsia" w:hAnsiTheme="minorEastAsia" w:cstheme="minorEastAsia"/>
                <w:szCs w:val="21"/>
              </w:rPr>
              <w:t>1.制度建设：建立健全各项规章制度（3分）；卫生许可证、营业执照和主要制度上墙（2分）。</w:t>
            </w:r>
          </w:p>
        </w:tc>
        <w:tc>
          <w:tcPr>
            <w:tcW w:w="885" w:type="dxa"/>
            <w:tcBorders>
              <w:top w:val="single" w:color="auto" w:sz="4" w:space="0"/>
              <w:left w:val="nil"/>
              <w:bottom w:val="single" w:color="auto" w:sz="4" w:space="0"/>
              <w:right w:val="single" w:color="auto" w:sz="4" w:space="0"/>
            </w:tcBorders>
            <w:vAlign w:val="center"/>
          </w:tcPr>
          <w:p w14:paraId="3A416C7C">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21F68DF7">
        <w:tblPrEx>
          <w:tblCellMar>
            <w:top w:w="0" w:type="dxa"/>
            <w:left w:w="108" w:type="dxa"/>
            <w:bottom w:w="0" w:type="dxa"/>
            <w:right w:w="108" w:type="dxa"/>
          </w:tblCellMar>
        </w:tblPrEx>
        <w:trPr>
          <w:trHeight w:val="627"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2BFF3055">
            <w:pPr>
              <w:spacing w:line="360" w:lineRule="auto"/>
              <w:rPr>
                <w:rFonts w:asciiTheme="minorEastAsia" w:hAnsiTheme="minorEastAsia" w:cstheme="minorEastAsia"/>
                <w:szCs w:val="21"/>
              </w:rPr>
            </w:pPr>
          </w:p>
        </w:tc>
        <w:tc>
          <w:tcPr>
            <w:tcW w:w="6237" w:type="dxa"/>
            <w:tcBorders>
              <w:top w:val="single" w:color="auto" w:sz="4" w:space="0"/>
              <w:left w:val="nil"/>
              <w:bottom w:val="single" w:color="auto" w:sz="4" w:space="0"/>
              <w:right w:val="single" w:color="auto" w:sz="4" w:space="0"/>
            </w:tcBorders>
            <w:vAlign w:val="center"/>
          </w:tcPr>
          <w:p w14:paraId="5EDE022A">
            <w:pPr>
              <w:spacing w:line="360" w:lineRule="auto"/>
              <w:rPr>
                <w:rFonts w:asciiTheme="minorEastAsia" w:hAnsiTheme="minorEastAsia" w:cstheme="minorEastAsia"/>
                <w:szCs w:val="21"/>
              </w:rPr>
            </w:pPr>
            <w:r>
              <w:rPr>
                <w:rFonts w:hint="eastAsia" w:asciiTheme="minorEastAsia" w:hAnsiTheme="minorEastAsia" w:cstheme="minorEastAsia"/>
                <w:szCs w:val="21"/>
              </w:rPr>
              <w:t>2.队伍建设：多媒体设备等岗位工作人员持证上岗（2分）；服务态度好（2分）。</w:t>
            </w:r>
          </w:p>
        </w:tc>
        <w:tc>
          <w:tcPr>
            <w:tcW w:w="885" w:type="dxa"/>
            <w:tcBorders>
              <w:top w:val="single" w:color="auto" w:sz="4" w:space="0"/>
              <w:left w:val="nil"/>
              <w:bottom w:val="single" w:color="auto" w:sz="4" w:space="0"/>
              <w:right w:val="single" w:color="auto" w:sz="4" w:space="0"/>
            </w:tcBorders>
            <w:vAlign w:val="center"/>
          </w:tcPr>
          <w:p w14:paraId="042FD0D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r>
      <w:tr w14:paraId="1D170B2E">
        <w:tblPrEx>
          <w:tblCellMar>
            <w:top w:w="0" w:type="dxa"/>
            <w:left w:w="108" w:type="dxa"/>
            <w:bottom w:w="0" w:type="dxa"/>
            <w:right w:w="108" w:type="dxa"/>
          </w:tblCellMar>
        </w:tblPrEx>
        <w:trPr>
          <w:trHeight w:val="30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53AEE465">
            <w:pPr>
              <w:spacing w:line="360" w:lineRule="auto"/>
              <w:rPr>
                <w:rFonts w:asciiTheme="minorEastAsia" w:hAnsiTheme="minorEastAsia" w:cstheme="minorEastAsia"/>
                <w:szCs w:val="21"/>
              </w:rPr>
            </w:pPr>
          </w:p>
        </w:tc>
        <w:tc>
          <w:tcPr>
            <w:tcW w:w="6237" w:type="dxa"/>
            <w:tcBorders>
              <w:top w:val="single" w:color="auto" w:sz="4" w:space="0"/>
              <w:left w:val="nil"/>
              <w:bottom w:val="single" w:color="auto" w:sz="4" w:space="0"/>
              <w:right w:val="single" w:color="auto" w:sz="4" w:space="0"/>
            </w:tcBorders>
            <w:vAlign w:val="center"/>
          </w:tcPr>
          <w:p w14:paraId="52D69C95">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3.资产管理：做好后勤账内登记的设备家具等资产管理，做到账物相符（3分）；完成代管资产的日常管理，做好大楼内标识、水电、消防、安保系统的日常管理（2分）；完成重点设备管理，做好大楼内电梯、会场设备、招待所运行设备的管理，确保正常、安全运行（3分）。  </w:t>
            </w:r>
          </w:p>
        </w:tc>
        <w:tc>
          <w:tcPr>
            <w:tcW w:w="885" w:type="dxa"/>
            <w:tcBorders>
              <w:top w:val="single" w:color="auto" w:sz="4" w:space="0"/>
              <w:left w:val="nil"/>
              <w:bottom w:val="single" w:color="auto" w:sz="4" w:space="0"/>
              <w:right w:val="single" w:color="auto" w:sz="4" w:space="0"/>
            </w:tcBorders>
            <w:vAlign w:val="center"/>
          </w:tcPr>
          <w:p w14:paraId="3001C90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14:paraId="6C547EBF">
        <w:tblPrEx>
          <w:tblCellMar>
            <w:top w:w="0" w:type="dxa"/>
            <w:left w:w="108" w:type="dxa"/>
            <w:bottom w:w="0" w:type="dxa"/>
            <w:right w:w="108" w:type="dxa"/>
          </w:tblCellMar>
        </w:tblPrEx>
        <w:trPr>
          <w:trHeight w:val="1281"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48599036">
            <w:pPr>
              <w:spacing w:line="360" w:lineRule="auto"/>
              <w:rPr>
                <w:rFonts w:asciiTheme="minorEastAsia" w:hAnsiTheme="minorEastAsia" w:cstheme="minorEastAsia"/>
                <w:szCs w:val="21"/>
              </w:rPr>
            </w:pPr>
          </w:p>
        </w:tc>
        <w:tc>
          <w:tcPr>
            <w:tcW w:w="6237" w:type="dxa"/>
            <w:tcBorders>
              <w:top w:val="single" w:color="auto" w:sz="4" w:space="0"/>
              <w:left w:val="nil"/>
              <w:bottom w:val="single" w:color="auto" w:sz="4" w:space="0"/>
              <w:right w:val="single" w:color="auto" w:sz="4" w:space="0"/>
            </w:tcBorders>
            <w:vAlign w:val="center"/>
          </w:tcPr>
          <w:p w14:paraId="1E822AF1">
            <w:pPr>
              <w:spacing w:line="360" w:lineRule="auto"/>
              <w:rPr>
                <w:rFonts w:asciiTheme="minorEastAsia" w:hAnsiTheme="minorEastAsia" w:cstheme="minorEastAsia"/>
                <w:szCs w:val="21"/>
              </w:rPr>
            </w:pPr>
            <w:r>
              <w:rPr>
                <w:rFonts w:hint="eastAsia" w:asciiTheme="minorEastAsia" w:hAnsiTheme="minorEastAsia" w:cstheme="minorEastAsia"/>
                <w:szCs w:val="21"/>
              </w:rPr>
              <w:t>4.安全管理：制定大楼、会场突发事件应急预案，发生突发事件及时响应并上报（2分）；加强工作人员培训，掌握紧急疏散知识，正确使用消防设备（2分）；紧急事故时要引导人群紧急疏散（2分）；做好管辖区域的防火、防盗等综合治理工作（2分）。</w:t>
            </w:r>
          </w:p>
        </w:tc>
        <w:tc>
          <w:tcPr>
            <w:tcW w:w="885" w:type="dxa"/>
            <w:tcBorders>
              <w:top w:val="single" w:color="auto" w:sz="4" w:space="0"/>
              <w:left w:val="nil"/>
              <w:bottom w:val="single" w:color="auto" w:sz="4" w:space="0"/>
              <w:right w:val="single" w:color="auto" w:sz="4" w:space="0"/>
            </w:tcBorders>
            <w:vAlign w:val="center"/>
          </w:tcPr>
          <w:p w14:paraId="3B62BC6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r>
      <w:tr w14:paraId="2E5D5324">
        <w:tblPrEx>
          <w:tblCellMar>
            <w:top w:w="0" w:type="dxa"/>
            <w:left w:w="108" w:type="dxa"/>
            <w:bottom w:w="0" w:type="dxa"/>
            <w:right w:w="108" w:type="dxa"/>
          </w:tblCellMar>
        </w:tblPrEx>
        <w:trPr>
          <w:trHeight w:val="604"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14:paraId="1EB4FBE4">
            <w:pPr>
              <w:spacing w:line="360" w:lineRule="auto"/>
              <w:rPr>
                <w:rFonts w:asciiTheme="minorEastAsia" w:hAnsiTheme="minorEastAsia" w:cstheme="minorEastAsia"/>
                <w:szCs w:val="21"/>
              </w:rPr>
            </w:pPr>
            <w:r>
              <w:rPr>
                <w:rFonts w:hint="eastAsia" w:asciiTheme="minorEastAsia" w:hAnsiTheme="minorEastAsia" w:cstheme="minorEastAsia"/>
                <w:szCs w:val="21"/>
              </w:rPr>
              <w:t>活动中心（15分）</w:t>
            </w:r>
          </w:p>
        </w:tc>
        <w:tc>
          <w:tcPr>
            <w:tcW w:w="6237" w:type="dxa"/>
            <w:tcBorders>
              <w:top w:val="single" w:color="auto" w:sz="4" w:space="0"/>
              <w:left w:val="nil"/>
              <w:bottom w:val="single" w:color="auto" w:sz="4" w:space="0"/>
              <w:right w:val="single" w:color="auto" w:sz="4" w:space="0"/>
            </w:tcBorders>
            <w:vAlign w:val="center"/>
          </w:tcPr>
          <w:p w14:paraId="4EEE0F15">
            <w:pPr>
              <w:spacing w:line="360" w:lineRule="auto"/>
              <w:rPr>
                <w:rFonts w:asciiTheme="minorEastAsia" w:hAnsiTheme="minorEastAsia" w:cstheme="minorEastAsia"/>
                <w:szCs w:val="21"/>
              </w:rPr>
            </w:pPr>
            <w:r>
              <w:rPr>
                <w:rFonts w:hint="eastAsia" w:asciiTheme="minorEastAsia" w:hAnsiTheme="minorEastAsia" w:cstheme="minorEastAsia"/>
                <w:szCs w:val="21"/>
              </w:rPr>
              <w:t>1.做好清卫工作，具体标准参照大楼清卫标准。</w:t>
            </w:r>
          </w:p>
        </w:tc>
        <w:tc>
          <w:tcPr>
            <w:tcW w:w="885" w:type="dxa"/>
            <w:tcBorders>
              <w:top w:val="single" w:color="auto" w:sz="4" w:space="0"/>
              <w:left w:val="nil"/>
              <w:bottom w:val="single" w:color="auto" w:sz="4" w:space="0"/>
              <w:right w:val="single" w:color="auto" w:sz="4" w:space="0"/>
            </w:tcBorders>
            <w:vAlign w:val="center"/>
          </w:tcPr>
          <w:p w14:paraId="154B252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r>
      <w:tr w14:paraId="3624352D">
        <w:tblPrEx>
          <w:tblCellMar>
            <w:top w:w="0" w:type="dxa"/>
            <w:left w:w="108" w:type="dxa"/>
            <w:bottom w:w="0" w:type="dxa"/>
            <w:right w:w="108" w:type="dxa"/>
          </w:tblCellMar>
        </w:tblPrEx>
        <w:trPr>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1A3E247E">
            <w:pPr>
              <w:spacing w:line="360" w:lineRule="auto"/>
              <w:rPr>
                <w:rFonts w:asciiTheme="minorEastAsia" w:hAnsiTheme="minorEastAsia" w:cstheme="minorEastAsia"/>
                <w:szCs w:val="21"/>
              </w:rPr>
            </w:pPr>
          </w:p>
        </w:tc>
        <w:tc>
          <w:tcPr>
            <w:tcW w:w="6237" w:type="dxa"/>
            <w:tcBorders>
              <w:top w:val="single" w:color="auto" w:sz="4" w:space="0"/>
              <w:left w:val="nil"/>
              <w:bottom w:val="single" w:color="auto" w:sz="4" w:space="0"/>
              <w:right w:val="single" w:color="auto" w:sz="4" w:space="0"/>
            </w:tcBorders>
            <w:vAlign w:val="center"/>
          </w:tcPr>
          <w:p w14:paraId="7D0239B2">
            <w:pPr>
              <w:spacing w:line="360" w:lineRule="auto"/>
              <w:rPr>
                <w:rFonts w:asciiTheme="minorEastAsia" w:hAnsiTheme="minorEastAsia" w:cstheme="minorEastAsia"/>
                <w:szCs w:val="21"/>
              </w:rPr>
            </w:pPr>
            <w:r>
              <w:rPr>
                <w:rFonts w:hint="eastAsia" w:asciiTheme="minorEastAsia" w:hAnsiTheme="minorEastAsia" w:cstheme="minorEastAsia"/>
                <w:szCs w:val="21"/>
              </w:rPr>
              <w:t>2.加强管理，实行24小时值班。</w:t>
            </w:r>
          </w:p>
        </w:tc>
        <w:tc>
          <w:tcPr>
            <w:tcW w:w="885" w:type="dxa"/>
            <w:tcBorders>
              <w:top w:val="single" w:color="auto" w:sz="4" w:space="0"/>
              <w:left w:val="nil"/>
              <w:bottom w:val="single" w:color="auto" w:sz="4" w:space="0"/>
              <w:right w:val="single" w:color="auto" w:sz="4" w:space="0"/>
            </w:tcBorders>
            <w:vAlign w:val="center"/>
          </w:tcPr>
          <w:p w14:paraId="6EFCE0B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r>
      <w:tr w14:paraId="7B83429F">
        <w:tblPrEx>
          <w:tblCellMar>
            <w:top w:w="0" w:type="dxa"/>
            <w:left w:w="108" w:type="dxa"/>
            <w:bottom w:w="0" w:type="dxa"/>
            <w:right w:w="108" w:type="dxa"/>
          </w:tblCellMar>
        </w:tblPrEx>
        <w:trPr>
          <w:trHeight w:val="986"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63CB4001">
            <w:pPr>
              <w:spacing w:line="360" w:lineRule="auto"/>
              <w:rPr>
                <w:rFonts w:asciiTheme="minorEastAsia" w:hAnsiTheme="minorEastAsia" w:cstheme="minorEastAsia"/>
                <w:szCs w:val="21"/>
              </w:rPr>
            </w:pPr>
          </w:p>
        </w:tc>
        <w:tc>
          <w:tcPr>
            <w:tcW w:w="6237" w:type="dxa"/>
            <w:tcBorders>
              <w:top w:val="single" w:color="auto" w:sz="4" w:space="0"/>
              <w:left w:val="nil"/>
              <w:bottom w:val="single" w:color="auto" w:sz="4" w:space="0"/>
              <w:right w:val="single" w:color="auto" w:sz="4" w:space="0"/>
            </w:tcBorders>
            <w:vAlign w:val="center"/>
          </w:tcPr>
          <w:p w14:paraId="0A3E4C72">
            <w:pPr>
              <w:spacing w:line="360" w:lineRule="auto"/>
              <w:rPr>
                <w:rFonts w:asciiTheme="minorEastAsia" w:hAnsiTheme="minorEastAsia" w:cstheme="minorEastAsia"/>
                <w:szCs w:val="21"/>
              </w:rPr>
            </w:pPr>
            <w:r>
              <w:rPr>
                <w:rFonts w:hint="eastAsia" w:asciiTheme="minorEastAsia" w:hAnsiTheme="minorEastAsia" w:cstheme="minorEastAsia"/>
                <w:szCs w:val="21"/>
              </w:rPr>
              <w:t>3.定期对各个区域进行安全巡查，并填写巡查记录（2分）；做好维修工作，确保设施设备完好。（3分）</w:t>
            </w:r>
          </w:p>
        </w:tc>
        <w:tc>
          <w:tcPr>
            <w:tcW w:w="885" w:type="dxa"/>
            <w:tcBorders>
              <w:top w:val="single" w:color="auto" w:sz="4" w:space="0"/>
              <w:left w:val="nil"/>
              <w:bottom w:val="single" w:color="auto" w:sz="4" w:space="0"/>
              <w:right w:val="single" w:color="auto" w:sz="4" w:space="0"/>
            </w:tcBorders>
            <w:vAlign w:val="center"/>
          </w:tcPr>
          <w:p w14:paraId="6B6E10C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r>
      <w:tr w14:paraId="10B6FE38">
        <w:tblPrEx>
          <w:tblCellMar>
            <w:top w:w="0" w:type="dxa"/>
            <w:left w:w="108" w:type="dxa"/>
            <w:bottom w:w="0" w:type="dxa"/>
            <w:right w:w="108" w:type="dxa"/>
          </w:tblCellMar>
        </w:tblPrEx>
        <w:trPr>
          <w:trHeight w:val="1395" w:hRule="atLeast"/>
        </w:trPr>
        <w:tc>
          <w:tcPr>
            <w:tcW w:w="1368" w:type="dxa"/>
            <w:vMerge w:val="restart"/>
            <w:tcBorders>
              <w:top w:val="single" w:color="auto" w:sz="4" w:space="0"/>
              <w:left w:val="single" w:color="auto" w:sz="4" w:space="0"/>
              <w:right w:val="single" w:color="auto" w:sz="4" w:space="0"/>
            </w:tcBorders>
            <w:vAlign w:val="center"/>
          </w:tcPr>
          <w:p w14:paraId="55EB64BA">
            <w:pPr>
              <w:spacing w:line="360" w:lineRule="auto"/>
              <w:rPr>
                <w:rFonts w:asciiTheme="minorEastAsia" w:hAnsiTheme="minorEastAsia" w:cstheme="minorEastAsia"/>
                <w:szCs w:val="21"/>
              </w:rPr>
            </w:pPr>
            <w:r>
              <w:rPr>
                <w:rFonts w:hint="eastAsia" w:asciiTheme="minorEastAsia" w:hAnsiTheme="minorEastAsia" w:cstheme="minorEastAsia"/>
                <w:szCs w:val="21"/>
              </w:rPr>
              <w:t>会务服务</w:t>
            </w:r>
          </w:p>
          <w:p w14:paraId="2D9A3756">
            <w:pPr>
              <w:spacing w:line="360" w:lineRule="auto"/>
              <w:rPr>
                <w:rFonts w:asciiTheme="minorEastAsia" w:hAnsiTheme="minorEastAsia" w:cstheme="minorEastAsia"/>
                <w:szCs w:val="21"/>
              </w:rPr>
            </w:pPr>
            <w:r>
              <w:rPr>
                <w:rFonts w:hint="eastAsia" w:asciiTheme="minorEastAsia" w:hAnsiTheme="minorEastAsia" w:cstheme="minorEastAsia"/>
                <w:szCs w:val="21"/>
              </w:rPr>
              <w:t>（30分）</w:t>
            </w:r>
          </w:p>
        </w:tc>
        <w:tc>
          <w:tcPr>
            <w:tcW w:w="6237" w:type="dxa"/>
            <w:tcBorders>
              <w:top w:val="single" w:color="auto" w:sz="4" w:space="0"/>
              <w:left w:val="single" w:color="auto" w:sz="4" w:space="0"/>
              <w:bottom w:val="single" w:color="auto" w:sz="4" w:space="0"/>
              <w:right w:val="single" w:color="auto" w:sz="4" w:space="0"/>
            </w:tcBorders>
            <w:vAlign w:val="center"/>
          </w:tcPr>
          <w:p w14:paraId="1383D1D3">
            <w:pPr>
              <w:spacing w:line="360" w:lineRule="auto"/>
              <w:rPr>
                <w:rFonts w:asciiTheme="minorEastAsia" w:hAnsiTheme="minorEastAsia" w:cstheme="minorEastAsia"/>
                <w:szCs w:val="21"/>
              </w:rPr>
            </w:pPr>
            <w:r>
              <w:rPr>
                <w:rFonts w:hint="eastAsia" w:asciiTheme="minorEastAsia" w:hAnsiTheme="minorEastAsia" w:cstheme="minorEastAsia"/>
                <w:szCs w:val="21"/>
              </w:rPr>
              <w:t>1.会场管理：严格执行学校会场管理办法，做好影剧院、视听室、展厅、图书馆大小报告厅、学3报告厅、衣锦报告厅等会场借用的咨询、联络、审批、管理、收费等工作（10分）；制定活动中心突发事件预案，发生突发情况及时处理并上报（5分）。</w:t>
            </w:r>
          </w:p>
        </w:tc>
        <w:tc>
          <w:tcPr>
            <w:tcW w:w="885" w:type="dxa"/>
            <w:tcBorders>
              <w:top w:val="single" w:color="auto" w:sz="4" w:space="0"/>
              <w:left w:val="single" w:color="auto" w:sz="4" w:space="0"/>
              <w:bottom w:val="single" w:color="auto" w:sz="4" w:space="0"/>
              <w:right w:val="single" w:color="auto" w:sz="4" w:space="0"/>
            </w:tcBorders>
            <w:vAlign w:val="center"/>
          </w:tcPr>
          <w:p w14:paraId="1928B16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r>
      <w:tr w14:paraId="30E06258">
        <w:tblPrEx>
          <w:tblCellMar>
            <w:top w:w="0" w:type="dxa"/>
            <w:left w:w="108" w:type="dxa"/>
            <w:bottom w:w="0" w:type="dxa"/>
            <w:right w:w="108" w:type="dxa"/>
          </w:tblCellMar>
        </w:tblPrEx>
        <w:trPr>
          <w:trHeight w:val="1540" w:hRule="atLeast"/>
        </w:trPr>
        <w:tc>
          <w:tcPr>
            <w:tcW w:w="1368" w:type="dxa"/>
            <w:vMerge w:val="continue"/>
            <w:tcBorders>
              <w:left w:val="single" w:color="auto" w:sz="4" w:space="0"/>
              <w:right w:val="single" w:color="auto" w:sz="4" w:space="0"/>
            </w:tcBorders>
            <w:vAlign w:val="center"/>
          </w:tcPr>
          <w:p w14:paraId="0360A80C">
            <w:pPr>
              <w:spacing w:line="360" w:lineRule="auto"/>
              <w:rPr>
                <w:rFonts w:asciiTheme="minorEastAsia" w:hAnsiTheme="minorEastAsia" w:cstheme="minorEastAsia"/>
                <w:szCs w:val="21"/>
              </w:rPr>
            </w:pPr>
          </w:p>
        </w:tc>
        <w:tc>
          <w:tcPr>
            <w:tcW w:w="6237" w:type="dxa"/>
            <w:tcBorders>
              <w:top w:val="single" w:color="auto" w:sz="4" w:space="0"/>
              <w:left w:val="single" w:color="auto" w:sz="4" w:space="0"/>
              <w:bottom w:val="single" w:color="auto" w:sz="4" w:space="0"/>
              <w:right w:val="single" w:color="auto" w:sz="4" w:space="0"/>
            </w:tcBorders>
            <w:vAlign w:val="center"/>
          </w:tcPr>
          <w:p w14:paraId="10E009DD">
            <w:pPr>
              <w:spacing w:line="360" w:lineRule="auto"/>
              <w:rPr>
                <w:rFonts w:asciiTheme="minorEastAsia" w:hAnsiTheme="minorEastAsia" w:cstheme="minorEastAsia"/>
                <w:szCs w:val="21"/>
              </w:rPr>
            </w:pPr>
            <w:r>
              <w:rPr>
                <w:rFonts w:hint="eastAsia" w:asciiTheme="minorEastAsia" w:hAnsiTheme="minorEastAsia" w:cstheme="minorEastAsia"/>
                <w:szCs w:val="21"/>
              </w:rPr>
              <w:t>2.会务服务：加强对会场技术人员、司茶服务人员的技能培训，提高会务服务质量（5分）；做好会务技术服务，各项设备严格按照操作规程进行操作（7分）；加强对会场设备的管理和保养，做好会场设施的安全检查，保障会务安全有序（3分）。</w:t>
            </w:r>
          </w:p>
        </w:tc>
        <w:tc>
          <w:tcPr>
            <w:tcW w:w="885" w:type="dxa"/>
            <w:tcBorders>
              <w:top w:val="single" w:color="auto" w:sz="4" w:space="0"/>
              <w:left w:val="single" w:color="auto" w:sz="4" w:space="0"/>
              <w:bottom w:val="single" w:color="auto" w:sz="4" w:space="0"/>
              <w:right w:val="single" w:color="auto" w:sz="4" w:space="0"/>
            </w:tcBorders>
            <w:vAlign w:val="center"/>
          </w:tcPr>
          <w:p w14:paraId="05D5ADC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r>
      <w:tr w14:paraId="697E671F">
        <w:tblPrEx>
          <w:tblCellMar>
            <w:top w:w="0" w:type="dxa"/>
            <w:left w:w="108" w:type="dxa"/>
            <w:bottom w:w="0" w:type="dxa"/>
            <w:right w:w="108" w:type="dxa"/>
          </w:tblCellMar>
        </w:tblPrEx>
        <w:trPr>
          <w:trHeight w:val="635" w:hRule="atLeast"/>
        </w:trPr>
        <w:tc>
          <w:tcPr>
            <w:tcW w:w="1368" w:type="dxa"/>
            <w:tcBorders>
              <w:left w:val="single" w:color="auto" w:sz="4" w:space="0"/>
              <w:bottom w:val="single" w:color="auto" w:sz="4" w:space="0"/>
              <w:right w:val="single" w:color="auto" w:sz="4" w:space="0"/>
            </w:tcBorders>
            <w:vAlign w:val="center"/>
          </w:tcPr>
          <w:p w14:paraId="3280B942">
            <w:pPr>
              <w:spacing w:line="360" w:lineRule="auto"/>
              <w:rPr>
                <w:rFonts w:asciiTheme="minorEastAsia" w:hAnsiTheme="minorEastAsia" w:cstheme="minorEastAsia"/>
                <w:szCs w:val="21"/>
              </w:rPr>
            </w:pPr>
          </w:p>
        </w:tc>
        <w:tc>
          <w:tcPr>
            <w:tcW w:w="6237" w:type="dxa"/>
            <w:tcBorders>
              <w:top w:val="single" w:color="auto" w:sz="4" w:space="0"/>
              <w:left w:val="single" w:color="auto" w:sz="4" w:space="0"/>
              <w:bottom w:val="single" w:color="auto" w:sz="4" w:space="0"/>
              <w:right w:val="single" w:color="auto" w:sz="4" w:space="0"/>
            </w:tcBorders>
            <w:vAlign w:val="center"/>
          </w:tcPr>
          <w:p w14:paraId="33AA8CCB">
            <w:pPr>
              <w:spacing w:line="360" w:lineRule="auto"/>
              <w:rPr>
                <w:rFonts w:asciiTheme="minorEastAsia" w:hAnsiTheme="minorEastAsia" w:cstheme="minorEastAsia"/>
                <w:szCs w:val="21"/>
              </w:rPr>
            </w:pPr>
            <w:r>
              <w:rPr>
                <w:rFonts w:hint="eastAsia" w:asciiTheme="minorEastAsia" w:hAnsiTheme="minorEastAsia" w:cstheme="minorEastAsia"/>
                <w:szCs w:val="21"/>
              </w:rPr>
              <w:t>总分</w:t>
            </w:r>
          </w:p>
        </w:tc>
        <w:tc>
          <w:tcPr>
            <w:tcW w:w="885" w:type="dxa"/>
            <w:tcBorders>
              <w:top w:val="single" w:color="auto" w:sz="4" w:space="0"/>
              <w:left w:val="single" w:color="auto" w:sz="4" w:space="0"/>
              <w:bottom w:val="single" w:color="auto" w:sz="4" w:space="0"/>
              <w:right w:val="single" w:color="auto" w:sz="4" w:space="0"/>
            </w:tcBorders>
            <w:vAlign w:val="center"/>
          </w:tcPr>
          <w:p w14:paraId="5A6B64B8">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70</w:t>
            </w:r>
          </w:p>
        </w:tc>
      </w:tr>
    </w:tbl>
    <w:p w14:paraId="6E9F6EA8">
      <w:pPr>
        <w:rPr>
          <w:rFonts w:asciiTheme="minorEastAsia" w:hAnsiTheme="minorEastAsia" w:cstheme="minorEastAsia"/>
          <w:szCs w:val="21"/>
        </w:rPr>
      </w:pPr>
      <w:r>
        <w:rPr>
          <w:rFonts w:asciiTheme="minorEastAsia" w:hAnsiTheme="minorEastAsia" w:cstheme="minorEastAsia"/>
          <w:szCs w:val="21"/>
        </w:rPr>
        <w:br w:type="page"/>
      </w:r>
    </w:p>
    <w:p w14:paraId="7CCCEB74"/>
    <w:p w14:paraId="6861934B">
      <w:pPr>
        <w:spacing w:line="360" w:lineRule="auto"/>
      </w:pPr>
      <w:r>
        <w:rPr>
          <w:rFonts w:hint="eastAsia"/>
        </w:rPr>
        <w:t xml:space="preserve"> </w:t>
      </w:r>
      <w:bookmarkEnd w:id="88"/>
      <w:r>
        <w:rPr>
          <w:rFonts w:hint="eastAsia"/>
        </w:rPr>
        <w:t>附件5</w:t>
      </w:r>
    </w:p>
    <w:p w14:paraId="2197BAFF">
      <w:pPr>
        <w:spacing w:line="360" w:lineRule="auto"/>
        <w:jc w:val="center"/>
        <w:rPr>
          <w:rFonts w:hint="eastAsia"/>
          <w:b/>
          <w:bCs/>
          <w:sz w:val="28"/>
          <w:szCs w:val="28"/>
        </w:rPr>
      </w:pPr>
      <w:bookmarkStart w:id="91" w:name="SectionMark4"/>
      <w:r>
        <w:rPr>
          <w:rFonts w:hint="eastAsia"/>
          <w:b/>
          <w:bCs/>
          <w:sz w:val="28"/>
          <w:szCs w:val="28"/>
        </w:rPr>
        <w:t>浙江农林大学校园绿化养护管理标准与技术规程(试行)</w:t>
      </w:r>
    </w:p>
    <w:p w14:paraId="4CB74198">
      <w:pPr>
        <w:pStyle w:val="645"/>
        <w:numPr>
          <w:ilvl w:val="0"/>
          <w:numId w:val="26"/>
        </w:numPr>
        <w:spacing w:before="120" w:after="120" w:line="360" w:lineRule="auto"/>
        <w:jc w:val="center"/>
        <w:rPr>
          <w:rFonts w:ascii="Times New Roman"/>
          <w:b/>
        </w:rPr>
      </w:pPr>
      <w:bookmarkStart w:id="92" w:name="_Toc46200857"/>
      <w:r>
        <w:rPr>
          <w:rFonts w:ascii="Times New Roman"/>
          <w:b/>
        </w:rPr>
        <w:t>范围</w:t>
      </w:r>
      <w:bookmarkEnd w:id="92"/>
    </w:p>
    <w:p w14:paraId="7F2091EE">
      <w:pPr>
        <w:pStyle w:val="367"/>
        <w:spacing w:line="360" w:lineRule="auto"/>
        <w:ind w:firstLine="420"/>
        <w:rPr>
          <w:rFonts w:ascii="Times New Roman"/>
        </w:rPr>
      </w:pPr>
      <w:r>
        <w:rPr>
          <w:rFonts w:ascii="Times New Roman"/>
          <w:color w:val="000000"/>
        </w:rPr>
        <w:t>本标准规定了校园绿化中的乔木、灌木、藤本、竹类、花卉、草坪、地被、古树名木等的养护管理规范以及检查验收标准，适用于浙江农林大学东湖校区、衣锦校区等绿地的养护管理工作</w:t>
      </w:r>
      <w:r>
        <w:rPr>
          <w:rFonts w:ascii="Times New Roman"/>
          <w:color w:val="000000"/>
          <w:sz w:val="24"/>
        </w:rPr>
        <w:t>。</w:t>
      </w:r>
    </w:p>
    <w:p w14:paraId="2022AF62">
      <w:pPr>
        <w:pStyle w:val="367"/>
        <w:spacing w:line="360" w:lineRule="auto"/>
        <w:ind w:firstLine="0" w:firstLineChars="0"/>
        <w:jc w:val="center"/>
        <w:rPr>
          <w:rFonts w:ascii="Times New Roman"/>
          <w:b/>
        </w:rPr>
      </w:pPr>
      <w:r>
        <w:rPr>
          <w:rFonts w:ascii="Times New Roman"/>
          <w:b/>
        </w:rPr>
        <w:t>2</w:t>
      </w:r>
      <w:bookmarkStart w:id="93" w:name="_Toc39373142"/>
      <w:bookmarkStart w:id="94" w:name="_Toc39373075"/>
      <w:bookmarkStart w:id="95" w:name="_Toc40085558"/>
      <w:bookmarkStart w:id="96" w:name="_Toc46200859"/>
      <w:r>
        <w:rPr>
          <w:rFonts w:ascii="Times New Roman"/>
          <w:b/>
        </w:rPr>
        <w:t xml:space="preserve">   有关术语和定义</w:t>
      </w:r>
      <w:bookmarkEnd w:id="93"/>
      <w:bookmarkEnd w:id="94"/>
      <w:bookmarkEnd w:id="95"/>
      <w:bookmarkEnd w:id="96"/>
      <w:r>
        <w:rPr>
          <w:rFonts w:ascii="Times New Roman"/>
          <w:b/>
        </w:rPr>
        <w:t>可参照</w:t>
      </w:r>
    </w:p>
    <w:p w14:paraId="42DDF879">
      <w:pPr>
        <w:spacing w:line="360" w:lineRule="auto"/>
        <w:rPr>
          <w:color w:val="000000"/>
          <w:kern w:val="0"/>
          <w:szCs w:val="20"/>
        </w:rPr>
      </w:pPr>
      <w:r>
        <w:rPr>
          <w:color w:val="000000"/>
          <w:kern w:val="0"/>
          <w:szCs w:val="20"/>
        </w:rPr>
        <w:t>（1）浙江省园林植物养护管理技术规程（试行）DB33/T1009.6—2001</w:t>
      </w:r>
    </w:p>
    <w:p w14:paraId="69C99C6E">
      <w:pPr>
        <w:pStyle w:val="367"/>
        <w:spacing w:line="360" w:lineRule="auto"/>
        <w:ind w:firstLine="0" w:firstLineChars="0"/>
        <w:rPr>
          <w:rFonts w:ascii="Times New Roman"/>
          <w:color w:val="000000"/>
        </w:rPr>
      </w:pPr>
      <w:r>
        <w:rPr>
          <w:rFonts w:ascii="Times New Roman"/>
          <w:color w:val="000000"/>
        </w:rPr>
        <w:t>（2）杭州市园文局 [2003]042号：杭州市城区绿地养护质量标准</w:t>
      </w:r>
    </w:p>
    <w:p w14:paraId="0E2A8AAC">
      <w:pPr>
        <w:pStyle w:val="367"/>
        <w:spacing w:line="360" w:lineRule="auto"/>
        <w:ind w:firstLine="0" w:firstLineChars="0"/>
        <w:rPr>
          <w:rFonts w:ascii="Times New Roman"/>
          <w:color w:val="000000"/>
        </w:rPr>
      </w:pPr>
      <w:r>
        <w:rPr>
          <w:rFonts w:ascii="Times New Roman"/>
          <w:color w:val="000000"/>
        </w:rPr>
        <w:t>（3）其它地市、大专院校校园绿地养护质量标准</w:t>
      </w:r>
    </w:p>
    <w:bookmarkEnd w:id="91"/>
    <w:p w14:paraId="0278CB5B">
      <w:pPr>
        <w:spacing w:line="360" w:lineRule="auto"/>
        <w:jc w:val="center"/>
        <w:rPr>
          <w:b/>
          <w:sz w:val="24"/>
        </w:rPr>
      </w:pPr>
      <w:bookmarkStart w:id="97" w:name="_Toc46200860"/>
      <w:r>
        <w:rPr>
          <w:b/>
        </w:rPr>
        <w:t>3    园林绿化养护管理质量标准</w:t>
      </w:r>
      <w:bookmarkEnd w:id="97"/>
    </w:p>
    <w:p w14:paraId="5F58EDCC">
      <w:pPr>
        <w:adjustRightInd w:val="0"/>
        <w:snapToGrid w:val="0"/>
        <w:spacing w:line="360" w:lineRule="auto"/>
        <w:jc w:val="center"/>
        <w:rPr>
          <w:rFonts w:eastAsia="黑体"/>
          <w:color w:val="000000"/>
        </w:rPr>
      </w:pPr>
      <w:r>
        <w:rPr>
          <w:rFonts w:eastAsia="黑体"/>
          <w:bCs/>
          <w:color w:val="000000"/>
        </w:rPr>
        <w:t xml:space="preserve">3.1 </w:t>
      </w:r>
      <w:r>
        <w:rPr>
          <w:rFonts w:eastAsia="黑体"/>
          <w:color w:val="000000"/>
        </w:rPr>
        <w:t xml:space="preserve"> </w:t>
      </w:r>
      <w:r>
        <w:rPr>
          <w:rFonts w:eastAsia="黑体"/>
        </w:rPr>
        <w:t>一级</w:t>
      </w:r>
      <w:r>
        <w:rPr>
          <w:rFonts w:eastAsia="黑体"/>
          <w:color w:val="000000"/>
        </w:rPr>
        <w:t>养护质量标准</w:t>
      </w:r>
    </w:p>
    <w:p w14:paraId="5C2712A7">
      <w:pPr>
        <w:spacing w:line="360" w:lineRule="auto"/>
        <w:rPr>
          <w:color w:val="000000"/>
        </w:rPr>
      </w:pPr>
      <w:r>
        <w:rPr>
          <w:bCs/>
          <w:color w:val="000000"/>
        </w:rPr>
        <w:t xml:space="preserve">3.1.1 </w:t>
      </w:r>
      <w:r>
        <w:rPr>
          <w:color w:val="000000"/>
        </w:rPr>
        <w:t xml:space="preserve"> 绿化养护技术措施完善，管理得当，植物配置科学合理，达到黄土不露天。</w:t>
      </w:r>
    </w:p>
    <w:p w14:paraId="26B4A0DF">
      <w:pPr>
        <w:spacing w:line="360" w:lineRule="auto"/>
        <w:rPr>
          <w:color w:val="000000"/>
        </w:rPr>
      </w:pPr>
      <w:r>
        <w:rPr>
          <w:bCs/>
          <w:color w:val="000000"/>
        </w:rPr>
        <w:t xml:space="preserve">3.1.2 </w:t>
      </w:r>
      <w:r>
        <w:rPr>
          <w:color w:val="000000"/>
        </w:rPr>
        <w:t xml:space="preserve"> 园林植物</w:t>
      </w:r>
    </w:p>
    <w:p w14:paraId="2580C336">
      <w:pPr>
        <w:spacing w:line="360" w:lineRule="auto"/>
        <w:rPr>
          <w:color w:val="000000"/>
        </w:rPr>
      </w:pPr>
      <w:r>
        <w:rPr>
          <w:bCs/>
          <w:color w:val="000000"/>
        </w:rPr>
        <w:t xml:space="preserve">3.1.2.1 </w:t>
      </w:r>
      <w:r>
        <w:rPr>
          <w:color w:val="000000"/>
        </w:rPr>
        <w:t xml:space="preserve"> 各种植物生长健壮，无明显病态。</w:t>
      </w:r>
    </w:p>
    <w:p w14:paraId="2189ACE3">
      <w:pPr>
        <w:spacing w:line="360" w:lineRule="auto"/>
        <w:rPr>
          <w:color w:val="000000"/>
        </w:rPr>
      </w:pPr>
      <w:r>
        <w:rPr>
          <w:bCs/>
          <w:color w:val="000000"/>
        </w:rPr>
        <w:t>3.1.2.2</w:t>
      </w:r>
      <w:r>
        <w:rPr>
          <w:color w:val="000000"/>
        </w:rPr>
        <w:t xml:space="preserve">  园林树木树冠完整美观，分枝点合适，枝条粗壮，无枯枝死杈；主侧枝分布匀称、数量适宜、修剪科学合理；内膛不乱，通风透光。花灌木开花及时，株形丰满，花后修剪及时合理。绿篱、色块等修剪及时，枝叶茂密，整齐一致，整型树木造型雅观。行道树无缺株，绿地内无死树。</w:t>
      </w:r>
    </w:p>
    <w:p w14:paraId="6D0C264B">
      <w:pPr>
        <w:spacing w:line="360" w:lineRule="auto"/>
        <w:rPr>
          <w:color w:val="000000"/>
        </w:rPr>
      </w:pPr>
      <w:r>
        <w:rPr>
          <w:bCs/>
          <w:color w:val="000000"/>
        </w:rPr>
        <w:t xml:space="preserve">3.1.2.3 </w:t>
      </w:r>
      <w:r>
        <w:rPr>
          <w:color w:val="000000"/>
        </w:rPr>
        <w:t xml:space="preserve"> 落叶树新梢生长健壮，叶片大小、颜色正常。在一般条件下，无黄叶、焦叶、卷叶，正常叶片保存率在9 5%以上。针叶树针叶宿存3年以上，结果枝条在10 %以下。 </w:t>
      </w:r>
    </w:p>
    <w:p w14:paraId="233A50C0">
      <w:pPr>
        <w:spacing w:line="360" w:lineRule="auto"/>
        <w:rPr>
          <w:color w:val="000000"/>
        </w:rPr>
      </w:pPr>
      <w:r>
        <w:rPr>
          <w:bCs/>
          <w:color w:val="000000"/>
        </w:rPr>
        <w:t xml:space="preserve">3.1.2.4 </w:t>
      </w:r>
      <w:r>
        <w:rPr>
          <w:color w:val="000000"/>
        </w:rPr>
        <w:t xml:space="preserve"> 花坛、花带轮廓清晰，整齐美观，色彩艳丽，无残缺，无残花败叶。</w:t>
      </w:r>
    </w:p>
    <w:p w14:paraId="65C343A5">
      <w:pPr>
        <w:spacing w:line="360" w:lineRule="auto"/>
      </w:pPr>
      <w:r>
        <w:rPr>
          <w:bCs/>
          <w:color w:val="000000"/>
        </w:rPr>
        <w:t xml:space="preserve">3.1.2.5 </w:t>
      </w:r>
      <w:r>
        <w:rPr>
          <w:color w:val="000000"/>
        </w:rPr>
        <w:t xml:space="preserve"> 草坪及地被植物整齐，覆盖率99 %以上</w:t>
      </w:r>
      <w:r>
        <w:t>，主要观赏用草坪内无杂草。草坪绿色期：冷季型草不得少于240天；暖季型草不得少于210天。</w:t>
      </w:r>
    </w:p>
    <w:p w14:paraId="22044200">
      <w:pPr>
        <w:spacing w:line="360" w:lineRule="auto"/>
      </w:pPr>
      <w:r>
        <w:rPr>
          <w:bCs/>
        </w:rPr>
        <w:t xml:space="preserve">3.1.2.6 </w:t>
      </w:r>
      <w:r>
        <w:t xml:space="preserve"> 病虫害控制及时，园林树木无蛀干害虫的活卵、活虫；在园林树木主干、主枝上平均每100 cm</w:t>
      </w:r>
      <w:r>
        <w:rPr>
          <w:vertAlign w:val="superscript"/>
        </w:rPr>
        <w:t>2</w:t>
      </w:r>
      <w:r>
        <w:t>介壳虫的活虫数不得超过1头，较细枝条上平均每30 cm不得超过2头，且平均被害株数不得超过1 ％。叶片上无虫粪、虫网。被虫咬的叶片每株不得超过2 %。</w:t>
      </w:r>
    </w:p>
    <w:p w14:paraId="40E4E7AD">
      <w:pPr>
        <w:adjustRightInd w:val="0"/>
        <w:snapToGrid w:val="0"/>
        <w:spacing w:line="360" w:lineRule="auto"/>
      </w:pPr>
      <w:r>
        <w:rPr>
          <w:bCs/>
        </w:rPr>
        <w:t xml:space="preserve">3.1.3 </w:t>
      </w:r>
      <w:r>
        <w:t xml:space="preserve"> 垂直绿化应根据不同植物的攀缘特点，及时</w:t>
      </w:r>
      <w:r>
        <w:rPr>
          <w:rFonts w:hint="eastAsia"/>
        </w:rPr>
        <w:t>与</w:t>
      </w:r>
      <w:r>
        <w:t>植物园管理办公室协商采取相应的牵引、设置网架等技术措施，视攀缘植物生长习性，覆盖率不得低于90 %。开花的攀缘植物应适时开花，且花繁色艳。</w:t>
      </w:r>
    </w:p>
    <w:p w14:paraId="5A0CE5F5">
      <w:pPr>
        <w:spacing w:line="360" w:lineRule="auto"/>
      </w:pPr>
      <w:r>
        <w:rPr>
          <w:bCs/>
        </w:rPr>
        <w:t xml:space="preserve">3.1.4 </w:t>
      </w:r>
      <w:r>
        <w:t xml:space="preserve"> 绿地整洁，无杂物、无白色污染（树挂），对绿化生产垃圾（如树枝、树叶、草屑等）、绿地内水面杂物，要害地点随产随清，其它地点日产日清，做到巡视保洁。</w:t>
      </w:r>
    </w:p>
    <w:p w14:paraId="494A065C">
      <w:pPr>
        <w:spacing w:line="360" w:lineRule="auto"/>
      </w:pPr>
      <w:r>
        <w:rPr>
          <w:bCs/>
        </w:rPr>
        <w:t xml:space="preserve">3.1.5 </w:t>
      </w:r>
      <w:r>
        <w:t xml:space="preserve"> 栏杆、园路、桌椅、路灯、井盖和牌示等园林设施维护完整、及时。</w:t>
      </w:r>
    </w:p>
    <w:p w14:paraId="5900EF4A">
      <w:pPr>
        <w:spacing w:line="360" w:lineRule="auto"/>
        <w:rPr>
          <w:color w:val="000000"/>
        </w:rPr>
      </w:pPr>
      <w:r>
        <w:rPr>
          <w:bCs/>
        </w:rPr>
        <w:t xml:space="preserve">3.1.6 </w:t>
      </w:r>
      <w:r>
        <w:t xml:space="preserve"> 绿地完整，无堆物、堆料、搭棚，树干上无钉拴刻画等现象。行道树下</w:t>
      </w:r>
      <w:r>
        <w:rPr>
          <w:color w:val="000000"/>
        </w:rPr>
        <w:t>无堆物、堆料、圈栏或搭棚设摊等影响树木生长和养护管理的现象。</w:t>
      </w:r>
    </w:p>
    <w:p w14:paraId="6154408F">
      <w:pPr>
        <w:spacing w:line="360" w:lineRule="auto"/>
        <w:jc w:val="center"/>
        <w:rPr>
          <w:rFonts w:eastAsia="黑体"/>
          <w:color w:val="000000"/>
        </w:rPr>
      </w:pPr>
      <w:r>
        <w:rPr>
          <w:rFonts w:eastAsia="黑体"/>
          <w:bCs/>
          <w:color w:val="000000"/>
        </w:rPr>
        <w:t xml:space="preserve">3.2 </w:t>
      </w:r>
      <w:r>
        <w:rPr>
          <w:rFonts w:eastAsia="黑体"/>
          <w:color w:val="000000"/>
        </w:rPr>
        <w:t xml:space="preserve"> 二级养护质量标准</w:t>
      </w:r>
    </w:p>
    <w:p w14:paraId="65703A91">
      <w:pPr>
        <w:spacing w:line="360" w:lineRule="auto"/>
        <w:jc w:val="left"/>
        <w:rPr>
          <w:bCs/>
        </w:rPr>
      </w:pPr>
      <w:r>
        <w:rPr>
          <w:rFonts w:eastAsia="黑体"/>
          <w:bCs/>
        </w:rPr>
        <w:t xml:space="preserve">3.2.1  </w:t>
      </w:r>
      <w:r>
        <w:rPr>
          <w:bCs/>
        </w:rPr>
        <w:t>绿化养护技术措施比较完善，管理基本得当，植物搭配合理，基本达到黄土不露天。</w:t>
      </w:r>
    </w:p>
    <w:p w14:paraId="7E53E6E5">
      <w:pPr>
        <w:spacing w:line="360" w:lineRule="auto"/>
        <w:rPr>
          <w:color w:val="000000"/>
        </w:rPr>
      </w:pPr>
      <w:r>
        <w:rPr>
          <w:rFonts w:eastAsia="黑体"/>
          <w:bCs/>
          <w:color w:val="000000"/>
        </w:rPr>
        <w:t>3.2.2</w:t>
      </w:r>
      <w:r>
        <w:rPr>
          <w:color w:val="000000"/>
        </w:rPr>
        <w:t xml:space="preserve">  园林植物</w:t>
      </w:r>
    </w:p>
    <w:p w14:paraId="7ECE9D80">
      <w:pPr>
        <w:spacing w:line="360" w:lineRule="auto"/>
        <w:rPr>
          <w:color w:val="000000"/>
        </w:rPr>
      </w:pPr>
      <w:r>
        <w:rPr>
          <w:rFonts w:eastAsia="黑体"/>
          <w:bCs/>
          <w:color w:val="000000"/>
        </w:rPr>
        <w:t>3.2.2.1</w:t>
      </w:r>
      <w:r>
        <w:rPr>
          <w:color w:val="000000"/>
        </w:rPr>
        <w:t xml:space="preserve">  生长正常，无显著病态。</w:t>
      </w:r>
    </w:p>
    <w:p w14:paraId="750A3DA1">
      <w:pPr>
        <w:spacing w:line="360" w:lineRule="auto"/>
        <w:rPr>
          <w:color w:val="000000"/>
        </w:rPr>
      </w:pPr>
      <w:r>
        <w:rPr>
          <w:rFonts w:eastAsia="黑体"/>
          <w:bCs/>
          <w:color w:val="000000"/>
        </w:rPr>
        <w:t xml:space="preserve">3.2.2.2 </w:t>
      </w:r>
      <w:r>
        <w:rPr>
          <w:color w:val="000000"/>
        </w:rPr>
        <w:t xml:space="preserve"> 园林树木树冠基本完整，主侧枝分布均称、数量适宜、修剪合理，内膛不乱，通风透光。花灌木开花及时、正常，花后修剪及时。绿篱、色块枝叶正常，整齐一致。行道树无缺株，绿地内无死树。</w:t>
      </w:r>
    </w:p>
    <w:p w14:paraId="616F7394">
      <w:pPr>
        <w:spacing w:line="360" w:lineRule="auto"/>
        <w:rPr>
          <w:color w:val="000000"/>
        </w:rPr>
      </w:pPr>
      <w:r>
        <w:rPr>
          <w:rFonts w:eastAsia="黑体"/>
          <w:bCs/>
          <w:color w:val="000000"/>
        </w:rPr>
        <w:t xml:space="preserve">3.2.2.3  </w:t>
      </w:r>
      <w:r>
        <w:rPr>
          <w:color w:val="000000"/>
        </w:rPr>
        <w:t>落叶树新梢生长正常，叶片大小、颜色正常，在一般条件下，黄叶、焦叶、卷叶和带虫尿、虫网的叶片不得超过5%，正常叶片保存率在90%以上。针叶树针叶宿存2年以上，结果枝条不超过20%。</w:t>
      </w:r>
    </w:p>
    <w:p w14:paraId="55BE60DF">
      <w:pPr>
        <w:spacing w:line="360" w:lineRule="auto"/>
        <w:rPr>
          <w:color w:val="000000"/>
        </w:rPr>
      </w:pPr>
      <w:r>
        <w:rPr>
          <w:rFonts w:eastAsia="黑体"/>
          <w:bCs/>
          <w:color w:val="000000"/>
        </w:rPr>
        <w:t xml:space="preserve">3.2.2.4 </w:t>
      </w:r>
      <w:r>
        <w:rPr>
          <w:color w:val="000000"/>
        </w:rPr>
        <w:t xml:space="preserve"> 花坛、花带轮廓清晰，整齐美观，适时开花，无残缺。</w:t>
      </w:r>
    </w:p>
    <w:p w14:paraId="67BC7F1F">
      <w:pPr>
        <w:spacing w:line="360" w:lineRule="auto"/>
        <w:rPr>
          <w:color w:val="000000"/>
        </w:rPr>
      </w:pPr>
      <w:r>
        <w:rPr>
          <w:rFonts w:eastAsia="黑体"/>
          <w:bCs/>
          <w:color w:val="000000"/>
        </w:rPr>
        <w:t>3.2.2.5</w:t>
      </w:r>
      <w:r>
        <w:rPr>
          <w:color w:val="000000"/>
        </w:rPr>
        <w:t xml:space="preserve">  草坪及地被植物整齐一致，覆盖率95 %以上，除缀花草坪外草坪内杂草率不得超过2 %。草坪绿色期：冷季型草不得少于270天，暖季型草不得少于180天。</w:t>
      </w:r>
    </w:p>
    <w:p w14:paraId="1EC30E9B">
      <w:pPr>
        <w:spacing w:line="360" w:lineRule="auto"/>
        <w:rPr>
          <w:color w:val="000000"/>
        </w:rPr>
      </w:pPr>
      <w:r>
        <w:rPr>
          <w:rFonts w:eastAsia="黑体"/>
          <w:bCs/>
          <w:color w:val="000000"/>
        </w:rPr>
        <w:t xml:space="preserve">3.2.2.6 </w:t>
      </w:r>
      <w:r>
        <w:rPr>
          <w:color w:val="000000"/>
        </w:rPr>
        <w:t xml:space="preserve"> 病虫害控制及时，园林树木有蛀干害虫危害的株数不得超过1 %；园林树木的主干、主枝上平均每100 cm</w:t>
      </w:r>
      <w:r>
        <w:rPr>
          <w:color w:val="000000"/>
          <w:vertAlign w:val="superscript"/>
        </w:rPr>
        <w:t>2</w:t>
      </w:r>
      <w:r>
        <w:rPr>
          <w:color w:val="000000"/>
        </w:rPr>
        <w:t>介壳虫的活虫数不得超过2头，较细枝条上平均每30 cm不得超过5头，且平均被害株数不得超过3％。叶上无虫粪，被虫咬的叶片每株不得超过5%。</w:t>
      </w:r>
    </w:p>
    <w:p w14:paraId="4DC215F9">
      <w:pPr>
        <w:adjustRightInd w:val="0"/>
        <w:snapToGrid w:val="0"/>
        <w:spacing w:line="360" w:lineRule="auto"/>
        <w:rPr>
          <w:color w:val="000000"/>
        </w:rPr>
      </w:pPr>
      <w:r>
        <w:rPr>
          <w:rFonts w:eastAsia="黑体"/>
          <w:bCs/>
          <w:color w:val="000000"/>
        </w:rPr>
        <w:t xml:space="preserve">3.2.3 </w:t>
      </w:r>
      <w:r>
        <w:rPr>
          <w:color w:val="000000"/>
        </w:rPr>
        <w:t xml:space="preserve"> 垂直绿化应根据不同植物的攀缘特点，采取相应的牵引、设置网架等技术措施，视攀缘植物生长习性，覆盖率不得低于80%，开花的攀缘植物能适时开花。</w:t>
      </w:r>
    </w:p>
    <w:p w14:paraId="26C4D494">
      <w:pPr>
        <w:spacing w:line="360" w:lineRule="auto"/>
        <w:rPr>
          <w:color w:val="000000"/>
        </w:rPr>
      </w:pPr>
      <w:r>
        <w:rPr>
          <w:rFonts w:eastAsia="黑体"/>
          <w:bCs/>
          <w:color w:val="000000"/>
        </w:rPr>
        <w:t>3.2.4</w:t>
      </w:r>
      <w:r>
        <w:rPr>
          <w:color w:val="000000"/>
        </w:rPr>
        <w:t xml:space="preserve">  绿地整洁，无杂物、无白色污染（树挂），绿化生产垃圾（如树枝、树叶、草屑等）、绿地内水面杂物应日产日清，做到保洁及时。</w:t>
      </w:r>
    </w:p>
    <w:p w14:paraId="57264B25">
      <w:pPr>
        <w:spacing w:line="360" w:lineRule="auto"/>
        <w:rPr>
          <w:color w:val="000000"/>
        </w:rPr>
      </w:pPr>
      <w:r>
        <w:rPr>
          <w:rFonts w:eastAsia="黑体"/>
          <w:bCs/>
          <w:color w:val="000000"/>
        </w:rPr>
        <w:t xml:space="preserve">3.2.5 </w:t>
      </w:r>
      <w:r>
        <w:rPr>
          <w:color w:val="000000"/>
        </w:rPr>
        <w:t xml:space="preserve"> 栏杆、园路、桌椅、路灯、井盖和牌示等园林设施基本做到维护完整、及时报告。</w:t>
      </w:r>
    </w:p>
    <w:p w14:paraId="74BE450E">
      <w:pPr>
        <w:spacing w:line="360" w:lineRule="auto"/>
        <w:rPr>
          <w:color w:val="000000"/>
        </w:rPr>
      </w:pPr>
      <w:r>
        <w:rPr>
          <w:rFonts w:eastAsia="黑体"/>
          <w:bCs/>
          <w:color w:val="000000"/>
        </w:rPr>
        <w:t>3.2.6</w:t>
      </w:r>
      <w:r>
        <w:rPr>
          <w:color w:val="000000"/>
        </w:rPr>
        <w:t xml:space="preserve">  绿地完整，无堆物、堆料、搭棚，树干上无钉拴刻画等现象。行道树下距树干2m范围内无堆物、堆料、搭棚设摊、圈栏等影响树木生长和养护管理的现象。</w:t>
      </w:r>
    </w:p>
    <w:p w14:paraId="28F63CFC">
      <w:pPr>
        <w:spacing w:line="360" w:lineRule="auto"/>
        <w:jc w:val="center"/>
        <w:rPr>
          <w:rFonts w:eastAsia="黑体"/>
          <w:color w:val="000000"/>
        </w:rPr>
      </w:pPr>
      <w:r>
        <w:rPr>
          <w:rFonts w:eastAsia="黑体"/>
          <w:bCs/>
          <w:color w:val="000000"/>
        </w:rPr>
        <w:t xml:space="preserve">3.3 </w:t>
      </w:r>
      <w:r>
        <w:rPr>
          <w:rFonts w:eastAsia="黑体"/>
          <w:color w:val="000000"/>
        </w:rPr>
        <w:t xml:space="preserve"> 三级、四级养护质量标准</w:t>
      </w:r>
    </w:p>
    <w:p w14:paraId="6DA88C7B">
      <w:pPr>
        <w:spacing w:line="360" w:lineRule="auto"/>
        <w:rPr>
          <w:color w:val="000000"/>
        </w:rPr>
      </w:pPr>
      <w:r>
        <w:rPr>
          <w:rFonts w:eastAsia="黑体"/>
          <w:bCs/>
          <w:color w:val="000000"/>
        </w:rPr>
        <w:t xml:space="preserve">3.3.1 </w:t>
      </w:r>
      <w:r>
        <w:rPr>
          <w:color w:val="000000"/>
        </w:rPr>
        <w:t xml:space="preserve"> 绿化养护技术措施基本完善，植物配置基本合理，裸露土地不明显。</w:t>
      </w:r>
    </w:p>
    <w:p w14:paraId="235722D8">
      <w:pPr>
        <w:spacing w:line="360" w:lineRule="auto"/>
        <w:rPr>
          <w:color w:val="000000"/>
        </w:rPr>
      </w:pPr>
      <w:r>
        <w:rPr>
          <w:rFonts w:eastAsia="黑体"/>
          <w:bCs/>
          <w:color w:val="000000"/>
        </w:rPr>
        <w:t>3.3.2</w:t>
      </w:r>
      <w:r>
        <w:rPr>
          <w:color w:val="000000"/>
        </w:rPr>
        <w:t xml:space="preserve">  园林植物</w:t>
      </w:r>
    </w:p>
    <w:p w14:paraId="793661B2">
      <w:pPr>
        <w:spacing w:line="360" w:lineRule="auto"/>
        <w:rPr>
          <w:color w:val="000000"/>
        </w:rPr>
      </w:pPr>
      <w:r>
        <w:rPr>
          <w:rFonts w:eastAsia="黑体"/>
          <w:bCs/>
          <w:color w:val="000000"/>
        </w:rPr>
        <w:t xml:space="preserve">3.3.2.1  </w:t>
      </w:r>
      <w:r>
        <w:rPr>
          <w:color w:val="000000"/>
        </w:rPr>
        <w:t>生长正常。</w:t>
      </w:r>
    </w:p>
    <w:p w14:paraId="55C57193">
      <w:pPr>
        <w:spacing w:line="360" w:lineRule="auto"/>
        <w:rPr>
          <w:color w:val="000000"/>
        </w:rPr>
      </w:pPr>
      <w:r>
        <w:rPr>
          <w:rFonts w:eastAsia="黑体"/>
          <w:bCs/>
          <w:color w:val="000000"/>
        </w:rPr>
        <w:t>3.3.2.2</w:t>
      </w:r>
      <w:r>
        <w:rPr>
          <w:color w:val="000000"/>
        </w:rPr>
        <w:t xml:space="preserve">  园林树木树冠基本正常，修剪及时，无明显枯枝死叉。分枝点合适，枝条粗壮，行道树缺株率不超过1%，绿地内无死树。</w:t>
      </w:r>
    </w:p>
    <w:p w14:paraId="208493C4">
      <w:pPr>
        <w:spacing w:line="360" w:lineRule="auto"/>
        <w:rPr>
          <w:color w:val="000000"/>
        </w:rPr>
      </w:pPr>
      <w:r>
        <w:rPr>
          <w:rFonts w:eastAsia="黑体"/>
          <w:bCs/>
          <w:color w:val="000000"/>
        </w:rPr>
        <w:t xml:space="preserve">3.3.2.3 </w:t>
      </w:r>
      <w:r>
        <w:rPr>
          <w:color w:val="000000"/>
        </w:rPr>
        <w:t xml:space="preserve"> 落叶树新梢生长基本正常，叶片大小、颜色正常，在正常条件下，有黄叶、焦叶、卷叶和带虫尿、虫网叶片的株数不得超过10%，正常叶片保存率在85%以上。针叶树针叶宿存1年以上，结果枝条不超过50 %。</w:t>
      </w:r>
    </w:p>
    <w:p w14:paraId="09DCD4FF">
      <w:pPr>
        <w:spacing w:line="360" w:lineRule="auto"/>
        <w:rPr>
          <w:color w:val="000000"/>
        </w:rPr>
      </w:pPr>
      <w:r>
        <w:rPr>
          <w:rFonts w:eastAsia="黑体"/>
          <w:bCs/>
          <w:color w:val="000000"/>
        </w:rPr>
        <w:t>3.3.2.4</w:t>
      </w:r>
      <w:r>
        <w:rPr>
          <w:color w:val="000000"/>
        </w:rPr>
        <w:t xml:space="preserve">  花坛、花带轮廓基本清晰、整齐美观，无残缺。</w:t>
      </w:r>
    </w:p>
    <w:p w14:paraId="70C36384">
      <w:pPr>
        <w:spacing w:line="360" w:lineRule="auto"/>
        <w:rPr>
          <w:color w:val="000000"/>
        </w:rPr>
      </w:pPr>
      <w:r>
        <w:rPr>
          <w:rFonts w:eastAsia="黑体"/>
          <w:bCs/>
          <w:color w:val="000000"/>
        </w:rPr>
        <w:t>3.3.2.5</w:t>
      </w:r>
      <w:r>
        <w:rPr>
          <w:color w:val="000000"/>
        </w:rPr>
        <w:t xml:space="preserve">  草坪及地被植物整齐一致，覆盖率90%以上，除缀花草坪外草坪内杂草率不得超过5%。草坪绿色期：冷季型草不得少于210天，暖季型草不得少于180天。</w:t>
      </w:r>
    </w:p>
    <w:p w14:paraId="6BE5D735">
      <w:pPr>
        <w:spacing w:line="360" w:lineRule="auto"/>
        <w:rPr>
          <w:color w:val="000000"/>
        </w:rPr>
      </w:pPr>
      <w:r>
        <w:rPr>
          <w:rFonts w:eastAsia="黑体"/>
          <w:bCs/>
          <w:color w:val="000000"/>
        </w:rPr>
        <w:t>3.3.2.6</w:t>
      </w:r>
      <w:r>
        <w:rPr>
          <w:color w:val="000000"/>
        </w:rPr>
        <w:t xml:space="preserve">  病虫害控制比较及时，园林树木有蛀干害虫危害的株数不得超过3%；在园林树木主干、主枝上平均每100cm</w:t>
      </w:r>
      <w:r>
        <w:rPr>
          <w:color w:val="000000"/>
          <w:vertAlign w:val="superscript"/>
        </w:rPr>
        <w:t>2</w:t>
      </w:r>
      <w:r>
        <w:rPr>
          <w:color w:val="000000"/>
        </w:rPr>
        <w:t>介壳虫的活虫数不得超过3头，较细枝条上平均每30cm不得超过8头，且平均被害株数不得超过5％。被虫咬的叶片每株不得超过8%。</w:t>
      </w:r>
    </w:p>
    <w:p w14:paraId="1F83B014">
      <w:pPr>
        <w:adjustRightInd w:val="0"/>
        <w:snapToGrid w:val="0"/>
        <w:spacing w:line="360" w:lineRule="auto"/>
        <w:rPr>
          <w:color w:val="000000"/>
        </w:rPr>
      </w:pPr>
      <w:r>
        <w:rPr>
          <w:rFonts w:eastAsia="黑体"/>
          <w:bCs/>
          <w:color w:val="000000"/>
        </w:rPr>
        <w:t xml:space="preserve">3.3.3 </w:t>
      </w:r>
      <w:r>
        <w:rPr>
          <w:color w:val="000000"/>
        </w:rPr>
        <w:t xml:space="preserve"> 垂直绿化能根据不同植物的攀缘特点，采取相应的技术措施，视攀缘植物生长习性，覆盖率不得低于70%。开花的攀缘植物能适时开花。</w:t>
      </w:r>
    </w:p>
    <w:p w14:paraId="62224AB8">
      <w:pPr>
        <w:spacing w:line="360" w:lineRule="auto"/>
        <w:rPr>
          <w:color w:val="000000"/>
        </w:rPr>
      </w:pPr>
      <w:r>
        <w:rPr>
          <w:rFonts w:eastAsia="黑体"/>
          <w:bCs/>
          <w:color w:val="000000"/>
        </w:rPr>
        <w:t>3.3.4</w:t>
      </w:r>
      <w:r>
        <w:rPr>
          <w:color w:val="000000"/>
        </w:rPr>
        <w:t xml:space="preserve">  绿地基本整洁，无明显杂物，无白色污染（树挂），绿化生产垃圾（如树枝、树叶、草屑等）、绿地内水面杂物能日产日清，能做到保洁及时。</w:t>
      </w:r>
    </w:p>
    <w:p w14:paraId="479AA794">
      <w:pPr>
        <w:spacing w:line="360" w:lineRule="auto"/>
        <w:rPr>
          <w:color w:val="000000"/>
        </w:rPr>
      </w:pPr>
      <w:r>
        <w:rPr>
          <w:rFonts w:eastAsia="黑体"/>
          <w:bCs/>
          <w:color w:val="000000"/>
        </w:rPr>
        <w:t>3.3.5</w:t>
      </w:r>
      <w:r>
        <w:rPr>
          <w:color w:val="000000"/>
        </w:rPr>
        <w:t xml:space="preserve">  栏杆、园路、桌椅、路灯、井盖和牌示等园林设施基本完整，能进行适当维护。</w:t>
      </w:r>
    </w:p>
    <w:p w14:paraId="10FCA693">
      <w:pPr>
        <w:spacing w:line="360" w:lineRule="auto"/>
        <w:rPr>
          <w:sz w:val="18"/>
        </w:rPr>
      </w:pPr>
      <w:r>
        <w:rPr>
          <w:rFonts w:eastAsia="黑体"/>
          <w:bCs/>
          <w:color w:val="000000"/>
        </w:rPr>
        <w:t xml:space="preserve">3.3.6 </w:t>
      </w:r>
      <w:r>
        <w:rPr>
          <w:color w:val="000000"/>
        </w:rPr>
        <w:t xml:space="preserve"> 绿地基本完整，无明显堆物、堆料、搭棚、树干上无钉拴刻画等现象。行道树下距树干2米范围内无明显的堆物、堆料、圈栏或搭棚设摊等影响树木生长和养护管理的现象。</w:t>
      </w:r>
    </w:p>
    <w:p w14:paraId="2176D59E">
      <w:pPr>
        <w:pStyle w:val="645"/>
        <w:numPr>
          <w:ilvl w:val="0"/>
          <w:numId w:val="0"/>
        </w:numPr>
        <w:spacing w:before="120" w:after="120" w:line="360" w:lineRule="auto"/>
        <w:ind w:left="360"/>
        <w:jc w:val="center"/>
        <w:rPr>
          <w:rFonts w:ascii="Times New Roman"/>
          <w:b/>
        </w:rPr>
      </w:pPr>
      <w:r>
        <w:rPr>
          <w:rFonts w:ascii="Times New Roman"/>
          <w:b/>
        </w:rPr>
        <w:t>4</w:t>
      </w:r>
      <w:r>
        <w:rPr>
          <w:rFonts w:hint="eastAsia" w:ascii="Times New Roman"/>
          <w:b/>
        </w:rPr>
        <w:t xml:space="preserve"> </w:t>
      </w:r>
      <w:r>
        <w:rPr>
          <w:rFonts w:ascii="Times New Roman"/>
          <w:b/>
        </w:rPr>
        <w:t>园林植物养护管理技术规程</w:t>
      </w:r>
    </w:p>
    <w:p w14:paraId="4DA40FF5">
      <w:pPr>
        <w:adjustRightInd w:val="0"/>
        <w:snapToGrid w:val="0"/>
        <w:spacing w:line="360" w:lineRule="auto"/>
        <w:jc w:val="center"/>
        <w:rPr>
          <w:rFonts w:eastAsia="黑体"/>
          <w:kern w:val="0"/>
          <w:szCs w:val="20"/>
        </w:rPr>
      </w:pPr>
      <w:r>
        <w:rPr>
          <w:rFonts w:eastAsia="黑体"/>
          <w:kern w:val="0"/>
          <w:szCs w:val="20"/>
        </w:rPr>
        <w:t xml:space="preserve">4.1 </w:t>
      </w:r>
      <w:r>
        <w:rPr>
          <w:rFonts w:eastAsia="黑体"/>
          <w:color w:val="000000"/>
        </w:rPr>
        <w:t xml:space="preserve"> 园林树木养护</w:t>
      </w:r>
    </w:p>
    <w:p w14:paraId="7F202A92">
      <w:pPr>
        <w:spacing w:line="360" w:lineRule="auto"/>
        <w:rPr>
          <w:bCs/>
          <w:szCs w:val="21"/>
        </w:rPr>
      </w:pPr>
      <w:r>
        <w:rPr>
          <w:rFonts w:eastAsia="黑体"/>
          <w:bCs/>
          <w:kern w:val="0"/>
          <w:szCs w:val="20"/>
        </w:rPr>
        <w:t>4.</w:t>
      </w:r>
      <w:r>
        <w:rPr>
          <w:rFonts w:eastAsia="黑体"/>
          <w:bCs/>
          <w:kern w:val="0"/>
          <w:szCs w:val="21"/>
        </w:rPr>
        <w:t xml:space="preserve">1.1 </w:t>
      </w:r>
      <w:r>
        <w:rPr>
          <w:bCs/>
          <w:szCs w:val="21"/>
        </w:rPr>
        <w:t xml:space="preserve"> 整形修剪</w:t>
      </w:r>
    </w:p>
    <w:p w14:paraId="795958B2">
      <w:pPr>
        <w:spacing w:line="360" w:lineRule="auto"/>
        <w:rPr>
          <w:szCs w:val="21"/>
        </w:rPr>
      </w:pPr>
      <w:r>
        <w:rPr>
          <w:rFonts w:eastAsia="黑体"/>
          <w:kern w:val="0"/>
          <w:szCs w:val="21"/>
        </w:rPr>
        <w:t>4.1.1.1</w:t>
      </w:r>
      <w:r>
        <w:rPr>
          <w:rFonts w:hint="eastAsia" w:eastAsia="黑体"/>
          <w:kern w:val="0"/>
          <w:szCs w:val="21"/>
        </w:rPr>
        <w:t xml:space="preserve">  </w:t>
      </w:r>
      <w:r>
        <w:rPr>
          <w:szCs w:val="21"/>
        </w:rPr>
        <w:t>树木应通过修剪稳定树形。均衡树势，调节树木通风透光和肥水分配，调整植物群落为主。因景观需要，可根据树木生长发育的特性，将树冠修剪、整理，使</w:t>
      </w:r>
      <w:r>
        <w:rPr>
          <w:rFonts w:hint="eastAsia"/>
          <w:szCs w:val="21"/>
        </w:rPr>
        <w:t>其</w:t>
      </w:r>
      <w:r>
        <w:rPr>
          <w:szCs w:val="21"/>
        </w:rPr>
        <w:t>形成和保持一定形状。</w:t>
      </w:r>
    </w:p>
    <w:p w14:paraId="300833DB">
      <w:pPr>
        <w:spacing w:line="360" w:lineRule="auto"/>
        <w:jc w:val="left"/>
        <w:rPr>
          <w:color w:val="FF0000"/>
          <w:szCs w:val="21"/>
        </w:rPr>
      </w:pPr>
      <w:r>
        <w:rPr>
          <w:rFonts w:eastAsia="黑体"/>
          <w:kern w:val="0"/>
          <w:szCs w:val="21"/>
        </w:rPr>
        <w:t xml:space="preserve">4.1.1.2 </w:t>
      </w:r>
      <w:r>
        <w:rPr>
          <w:szCs w:val="21"/>
        </w:rPr>
        <w:t xml:space="preserve"> 每年修剪树木前必须制定修剪技术方案，并对工人进行培训，认真贯彻后方可进行操作，做到因地制宜，因树修剪。</w:t>
      </w:r>
    </w:p>
    <w:p w14:paraId="3310A8B1">
      <w:pPr>
        <w:spacing w:line="360" w:lineRule="auto"/>
        <w:rPr>
          <w:color w:val="000000"/>
          <w:szCs w:val="21"/>
        </w:rPr>
      </w:pPr>
      <w:r>
        <w:rPr>
          <w:rFonts w:eastAsia="黑体"/>
          <w:kern w:val="0"/>
          <w:szCs w:val="21"/>
        </w:rPr>
        <w:t xml:space="preserve">4.1.1.3 </w:t>
      </w:r>
      <w:r>
        <w:rPr>
          <w:color w:val="000000"/>
          <w:szCs w:val="21"/>
        </w:rPr>
        <w:t xml:space="preserve"> 自然型树木的修剪应以树木自然分枝习性所形成的树冠形状为基础进行修剪。</w:t>
      </w:r>
    </w:p>
    <w:p w14:paraId="1E1CE004">
      <w:pPr>
        <w:spacing w:line="360" w:lineRule="auto"/>
        <w:rPr>
          <w:color w:val="000000"/>
          <w:szCs w:val="21"/>
        </w:rPr>
      </w:pPr>
      <w:r>
        <w:rPr>
          <w:rFonts w:eastAsia="黑体"/>
          <w:kern w:val="0"/>
          <w:szCs w:val="21"/>
        </w:rPr>
        <w:t>4.1.1.4</w:t>
      </w:r>
      <w:r>
        <w:rPr>
          <w:color w:val="000000"/>
          <w:szCs w:val="21"/>
        </w:rPr>
        <w:t xml:space="preserve">  造型树木的修剪应根据园林绿化对树木的特定要求，适当控制树木部分枝干，按照绿化美化要求把树木剪成各种理想形态。</w:t>
      </w:r>
    </w:p>
    <w:p w14:paraId="18246F00">
      <w:pPr>
        <w:spacing w:line="360" w:lineRule="auto"/>
        <w:rPr>
          <w:color w:val="000000"/>
          <w:szCs w:val="21"/>
        </w:rPr>
      </w:pPr>
      <w:r>
        <w:rPr>
          <w:rFonts w:eastAsia="黑体"/>
          <w:kern w:val="0"/>
          <w:szCs w:val="21"/>
        </w:rPr>
        <w:t>4.1.1.5</w:t>
      </w:r>
      <w:r>
        <w:rPr>
          <w:color w:val="000000"/>
          <w:szCs w:val="21"/>
        </w:rPr>
        <w:t xml:space="preserve">  园林树木修剪的时期</w:t>
      </w:r>
    </w:p>
    <w:p w14:paraId="523E8A73">
      <w:pPr>
        <w:spacing w:line="360" w:lineRule="auto"/>
        <w:rPr>
          <w:kern w:val="0"/>
          <w:szCs w:val="21"/>
        </w:rPr>
      </w:pPr>
      <w:r>
        <w:rPr>
          <w:rFonts w:eastAsia="黑体"/>
          <w:kern w:val="0"/>
          <w:szCs w:val="21"/>
        </w:rPr>
        <w:t xml:space="preserve">4.1.1.5.1  </w:t>
      </w:r>
      <w:r>
        <w:rPr>
          <w:kern w:val="0"/>
          <w:szCs w:val="21"/>
        </w:rPr>
        <w:t>园林树木可在休眠期和生长期进行修剪，但更新修剪必须在休眠期进行。</w:t>
      </w:r>
    </w:p>
    <w:p w14:paraId="11D5C146">
      <w:pPr>
        <w:spacing w:line="360" w:lineRule="auto"/>
        <w:rPr>
          <w:color w:val="000000"/>
          <w:szCs w:val="21"/>
        </w:rPr>
      </w:pPr>
      <w:r>
        <w:rPr>
          <w:rFonts w:eastAsia="黑体"/>
          <w:kern w:val="0"/>
          <w:szCs w:val="21"/>
        </w:rPr>
        <w:t xml:space="preserve">4.1.1.5.2 </w:t>
      </w:r>
      <w:r>
        <w:rPr>
          <w:color w:val="000000"/>
          <w:szCs w:val="21"/>
        </w:rPr>
        <w:t xml:space="preserve"> 有严重伤流和易流胶的树种应避开生长季和落叶后伤流严重期。</w:t>
      </w:r>
    </w:p>
    <w:p w14:paraId="0B8F166F">
      <w:pPr>
        <w:spacing w:line="360" w:lineRule="auto"/>
        <w:rPr>
          <w:color w:val="000000"/>
          <w:szCs w:val="21"/>
        </w:rPr>
      </w:pPr>
      <w:r>
        <w:rPr>
          <w:rFonts w:eastAsia="黑体"/>
          <w:kern w:val="0"/>
          <w:szCs w:val="21"/>
        </w:rPr>
        <w:t xml:space="preserve">4.1.1.5.3 </w:t>
      </w:r>
      <w:r>
        <w:rPr>
          <w:color w:val="000000"/>
          <w:szCs w:val="21"/>
        </w:rPr>
        <w:t xml:space="preserve"> 抗寒性差的、易抽条的树种宜于早春进行。</w:t>
      </w:r>
    </w:p>
    <w:p w14:paraId="3B826EFA">
      <w:pPr>
        <w:spacing w:line="360" w:lineRule="auto"/>
        <w:rPr>
          <w:color w:val="000000"/>
          <w:szCs w:val="21"/>
        </w:rPr>
      </w:pPr>
      <w:r>
        <w:rPr>
          <w:rFonts w:eastAsia="黑体"/>
          <w:kern w:val="0"/>
          <w:szCs w:val="21"/>
        </w:rPr>
        <w:t xml:space="preserve">4.1.1.5.4 </w:t>
      </w:r>
      <w:r>
        <w:rPr>
          <w:color w:val="000000"/>
          <w:szCs w:val="21"/>
        </w:rPr>
        <w:t xml:space="preserve"> 常绿树的修剪应避开生长旺盛期。</w:t>
      </w:r>
    </w:p>
    <w:p w14:paraId="3B1F7722">
      <w:pPr>
        <w:spacing w:line="360" w:lineRule="auto"/>
        <w:rPr>
          <w:color w:val="000000"/>
          <w:szCs w:val="21"/>
        </w:rPr>
      </w:pPr>
      <w:r>
        <w:rPr>
          <w:rFonts w:eastAsia="黑体"/>
          <w:kern w:val="0"/>
          <w:szCs w:val="21"/>
        </w:rPr>
        <w:t xml:space="preserve">4.1.1.5.5 </w:t>
      </w:r>
      <w:r>
        <w:rPr>
          <w:color w:val="000000"/>
          <w:szCs w:val="21"/>
        </w:rPr>
        <w:t xml:space="preserve"> 绿篱、色块等修剪必须平整，最大</w:t>
      </w:r>
      <w:r>
        <w:rPr>
          <w:rFonts w:hint="eastAsia"/>
          <w:szCs w:val="21"/>
        </w:rPr>
        <w:t>程度</w:t>
      </w:r>
      <w:r>
        <w:rPr>
          <w:color w:val="000000"/>
          <w:szCs w:val="21"/>
        </w:rPr>
        <w:t>表现景观效果，可在4月、11月等时间分别进行。</w:t>
      </w:r>
    </w:p>
    <w:p w14:paraId="5CDEDB2C">
      <w:pPr>
        <w:spacing w:line="360" w:lineRule="auto"/>
        <w:rPr>
          <w:color w:val="000000"/>
          <w:szCs w:val="21"/>
        </w:rPr>
      </w:pPr>
      <w:r>
        <w:rPr>
          <w:rFonts w:eastAsia="黑体"/>
          <w:kern w:val="0"/>
          <w:szCs w:val="21"/>
        </w:rPr>
        <w:t xml:space="preserve">4.1.1.6 </w:t>
      </w:r>
      <w:r>
        <w:rPr>
          <w:color w:val="000000"/>
          <w:szCs w:val="21"/>
        </w:rPr>
        <w:t xml:space="preserve"> 乔木修剪</w:t>
      </w:r>
    </w:p>
    <w:p w14:paraId="215DD3EE">
      <w:pPr>
        <w:spacing w:line="360" w:lineRule="auto"/>
        <w:rPr>
          <w:color w:val="000000"/>
          <w:szCs w:val="21"/>
        </w:rPr>
      </w:pPr>
      <w:r>
        <w:rPr>
          <w:rFonts w:eastAsia="黑体"/>
          <w:kern w:val="0"/>
          <w:szCs w:val="21"/>
        </w:rPr>
        <w:t xml:space="preserve">4.1.1.6.1 </w:t>
      </w:r>
      <w:r>
        <w:rPr>
          <w:color w:val="000000"/>
          <w:szCs w:val="21"/>
        </w:rPr>
        <w:t xml:space="preserve"> 凡主轴明显的树种，修剪时应注意保护中央领导枝，使其向上直立生长。原中央领导枝受损、折断，应利用顶端侧枝重新培养新的领导枝。</w:t>
      </w:r>
    </w:p>
    <w:p w14:paraId="1CA385D7">
      <w:pPr>
        <w:spacing w:line="360" w:lineRule="auto"/>
        <w:rPr>
          <w:color w:val="000000"/>
          <w:szCs w:val="21"/>
        </w:rPr>
      </w:pPr>
      <w:r>
        <w:rPr>
          <w:rFonts w:eastAsia="黑体"/>
          <w:kern w:val="0"/>
          <w:szCs w:val="21"/>
        </w:rPr>
        <w:t xml:space="preserve">4.1.1.6.2 </w:t>
      </w:r>
      <w:r>
        <w:rPr>
          <w:color w:val="000000"/>
          <w:szCs w:val="21"/>
        </w:rPr>
        <w:t xml:space="preserve"> 应逐年调整树干与树冠的合理比例。同一树龄和品种的林地，分枝点高度应基本一致。位于林地边缘的树木分枝点可稍低于林内树木。</w:t>
      </w:r>
    </w:p>
    <w:p w14:paraId="49CB4B6D">
      <w:pPr>
        <w:spacing w:line="360" w:lineRule="auto"/>
        <w:rPr>
          <w:color w:val="000000"/>
          <w:szCs w:val="21"/>
        </w:rPr>
      </w:pPr>
      <w:r>
        <w:rPr>
          <w:rFonts w:eastAsia="黑体"/>
          <w:kern w:val="0"/>
          <w:szCs w:val="21"/>
        </w:rPr>
        <w:t xml:space="preserve">4.1.1.6.3 </w:t>
      </w:r>
      <w:r>
        <w:rPr>
          <w:color w:val="000000"/>
          <w:szCs w:val="21"/>
        </w:rPr>
        <w:t xml:space="preserve"> 针叶树应剪除基部垂地枝条，随树木生长可根据需要逐步提高分枝点，并保护主尖直立向上生长。</w:t>
      </w:r>
    </w:p>
    <w:p w14:paraId="0E8993E8">
      <w:pPr>
        <w:spacing w:line="360" w:lineRule="auto"/>
        <w:rPr>
          <w:color w:val="000000"/>
          <w:szCs w:val="21"/>
        </w:rPr>
      </w:pPr>
      <w:r>
        <w:rPr>
          <w:rFonts w:eastAsia="黑体"/>
          <w:kern w:val="0"/>
          <w:szCs w:val="21"/>
        </w:rPr>
        <w:t>4.1.1.6.4</w:t>
      </w:r>
      <w:r>
        <w:rPr>
          <w:color w:val="000000"/>
          <w:szCs w:val="21"/>
        </w:rPr>
        <w:t xml:space="preserve">  银杏修剪只能疏枝，不准短截。对轮生枝可分阶段疏除。</w:t>
      </w:r>
    </w:p>
    <w:p w14:paraId="48CF822B">
      <w:pPr>
        <w:spacing w:line="360" w:lineRule="auto"/>
        <w:rPr>
          <w:color w:val="000000"/>
          <w:szCs w:val="21"/>
        </w:rPr>
      </w:pPr>
      <w:r>
        <w:rPr>
          <w:rFonts w:eastAsia="黑体"/>
          <w:kern w:val="0"/>
          <w:szCs w:val="21"/>
        </w:rPr>
        <w:t xml:space="preserve">4.1.1.6.5 </w:t>
      </w:r>
      <w:r>
        <w:rPr>
          <w:color w:val="000000"/>
          <w:szCs w:val="21"/>
        </w:rPr>
        <w:t xml:space="preserve"> 行道树中乔木的修剪，除应按以上要求操作外，还应注意以下规定：</w:t>
      </w:r>
    </w:p>
    <w:p w14:paraId="3954AC12">
      <w:pPr>
        <w:spacing w:line="360" w:lineRule="auto"/>
        <w:ind w:firstLine="420" w:firstLineChars="200"/>
        <w:rPr>
          <w:color w:val="000000"/>
          <w:szCs w:val="21"/>
        </w:rPr>
      </w:pPr>
      <w:r>
        <w:rPr>
          <w:color w:val="000000"/>
          <w:szCs w:val="21"/>
        </w:rPr>
        <w:t>a) 行道树的树型和分枝点高度应基本一致，分枝点高度最低标准为2.8m。部分地段可适当提高。</w:t>
      </w:r>
      <w:r>
        <w:rPr>
          <w:color w:val="000000"/>
          <w:szCs w:val="21"/>
        </w:rPr>
        <w:tab/>
      </w:r>
      <w:r>
        <w:rPr>
          <w:color w:val="000000"/>
          <w:szCs w:val="21"/>
        </w:rPr>
        <w:t>b) 树木与架空线有矛盾时，应修剪树枝，使其与架空线保持安全距离。</w:t>
      </w:r>
    </w:p>
    <w:p w14:paraId="34923233">
      <w:pPr>
        <w:spacing w:line="360" w:lineRule="auto"/>
        <w:ind w:firstLine="420" w:firstLineChars="200"/>
        <w:rPr>
          <w:color w:val="000000"/>
          <w:szCs w:val="21"/>
        </w:rPr>
      </w:pPr>
      <w:r>
        <w:rPr>
          <w:color w:val="000000"/>
          <w:szCs w:val="21"/>
        </w:rPr>
        <w:t>c) 高压线、路灯和变压设备附近的树枝应与其保留出足够的安全距离。</w:t>
      </w:r>
    </w:p>
    <w:p w14:paraId="4DAB70AA">
      <w:pPr>
        <w:spacing w:line="360" w:lineRule="auto"/>
        <w:rPr>
          <w:color w:val="000000"/>
          <w:szCs w:val="21"/>
        </w:rPr>
      </w:pPr>
      <w:r>
        <w:rPr>
          <w:rFonts w:eastAsia="黑体"/>
          <w:kern w:val="0"/>
          <w:szCs w:val="21"/>
        </w:rPr>
        <w:t>4.1.1.7</w:t>
      </w:r>
      <w:r>
        <w:rPr>
          <w:color w:val="000000"/>
          <w:szCs w:val="21"/>
        </w:rPr>
        <w:t xml:space="preserve">  灌木修剪</w:t>
      </w:r>
    </w:p>
    <w:p w14:paraId="6CE8E736">
      <w:pPr>
        <w:spacing w:line="360" w:lineRule="auto"/>
        <w:rPr>
          <w:color w:val="000000"/>
          <w:szCs w:val="21"/>
        </w:rPr>
      </w:pPr>
      <w:r>
        <w:rPr>
          <w:rFonts w:eastAsia="黑体"/>
          <w:kern w:val="0"/>
          <w:szCs w:val="21"/>
        </w:rPr>
        <w:t xml:space="preserve">4.1.1.7.1 </w:t>
      </w:r>
      <w:r>
        <w:rPr>
          <w:color w:val="000000"/>
          <w:szCs w:val="21"/>
        </w:rPr>
        <w:t xml:space="preserve"> 灌木造型修剪应使树型内高外低，形成自然丰满的圆头形或半圆形树型。</w:t>
      </w:r>
    </w:p>
    <w:p w14:paraId="141CC0B1">
      <w:pPr>
        <w:spacing w:line="360" w:lineRule="auto"/>
        <w:ind w:left="1260" w:hanging="1260" w:hangingChars="600"/>
        <w:rPr>
          <w:color w:val="000000"/>
          <w:szCs w:val="21"/>
        </w:rPr>
      </w:pPr>
      <w:r>
        <w:rPr>
          <w:rFonts w:eastAsia="黑体"/>
          <w:kern w:val="0"/>
          <w:szCs w:val="21"/>
        </w:rPr>
        <w:t xml:space="preserve">4.1.1.7.2 </w:t>
      </w:r>
      <w:r>
        <w:rPr>
          <w:color w:val="000000"/>
          <w:szCs w:val="21"/>
        </w:rPr>
        <w:t xml:space="preserve"> 灌木内膛小枝应适量疏剪，强壮枝应进行适当短截，下垂细弱枝及地表萌生地蘖应彻底疏除。</w:t>
      </w:r>
    </w:p>
    <w:p w14:paraId="5EC0D891">
      <w:pPr>
        <w:spacing w:line="360" w:lineRule="auto"/>
        <w:jc w:val="left"/>
        <w:rPr>
          <w:color w:val="000000"/>
          <w:szCs w:val="21"/>
        </w:rPr>
      </w:pPr>
      <w:r>
        <w:rPr>
          <w:rFonts w:eastAsia="黑体"/>
          <w:kern w:val="0"/>
          <w:szCs w:val="21"/>
        </w:rPr>
        <w:t xml:space="preserve">4.1.1.7.3 </w:t>
      </w:r>
      <w:r>
        <w:rPr>
          <w:color w:val="000000"/>
          <w:szCs w:val="21"/>
        </w:rPr>
        <w:t xml:space="preserve"> 栽种多年的丛生灌木应逐年更新衰老枝，疏剪内膛密生枝，培育新枝。栽植多年的有主干的灌木，每年应采取交替回缩主枝控制树冠的剪法，防止树势上强下弱。</w:t>
      </w:r>
    </w:p>
    <w:p w14:paraId="7AD1AFD8">
      <w:pPr>
        <w:spacing w:line="360" w:lineRule="auto"/>
        <w:rPr>
          <w:color w:val="000000"/>
          <w:szCs w:val="21"/>
        </w:rPr>
      </w:pPr>
      <w:r>
        <w:rPr>
          <w:rFonts w:eastAsia="黑体"/>
          <w:kern w:val="0"/>
          <w:szCs w:val="21"/>
        </w:rPr>
        <w:t>4.1.1.7.4</w:t>
      </w:r>
      <w:r>
        <w:rPr>
          <w:color w:val="000000"/>
          <w:szCs w:val="21"/>
        </w:rPr>
        <w:t xml:space="preserve">  生长于树冠外的徒长枝，应及时疏除或早短截，促生二次枝。</w:t>
      </w:r>
    </w:p>
    <w:p w14:paraId="3F4B7D96">
      <w:pPr>
        <w:spacing w:line="360" w:lineRule="auto"/>
        <w:rPr>
          <w:color w:val="000000"/>
          <w:szCs w:val="21"/>
        </w:rPr>
      </w:pPr>
      <w:r>
        <w:rPr>
          <w:rFonts w:eastAsia="黑体"/>
          <w:kern w:val="0"/>
          <w:szCs w:val="21"/>
        </w:rPr>
        <w:t>4.1.1.7.5</w:t>
      </w:r>
      <w:r>
        <w:rPr>
          <w:color w:val="000000"/>
          <w:szCs w:val="21"/>
        </w:rPr>
        <w:t xml:space="preserve">  花落后形成的残花、残果，若无观赏价值或其他需要的宜尽早剪除。</w:t>
      </w:r>
    </w:p>
    <w:p w14:paraId="737078D7">
      <w:pPr>
        <w:spacing w:line="360" w:lineRule="auto"/>
        <w:rPr>
          <w:kern w:val="0"/>
          <w:szCs w:val="21"/>
        </w:rPr>
      </w:pPr>
      <w:r>
        <w:rPr>
          <w:rFonts w:eastAsia="黑体"/>
          <w:kern w:val="0"/>
          <w:szCs w:val="21"/>
        </w:rPr>
        <w:t xml:space="preserve">4.1.1.7.6 </w:t>
      </w:r>
      <w:r>
        <w:rPr>
          <w:kern w:val="0"/>
          <w:szCs w:val="21"/>
        </w:rPr>
        <w:t xml:space="preserve"> 成片栽植的灌木丛，修剪时应形成中间高四周低或前面低后面高的丛形。</w:t>
      </w:r>
    </w:p>
    <w:p w14:paraId="48DD890F">
      <w:pPr>
        <w:spacing w:line="360" w:lineRule="auto"/>
        <w:rPr>
          <w:color w:val="000000"/>
          <w:szCs w:val="21"/>
        </w:rPr>
      </w:pPr>
      <w:r>
        <w:rPr>
          <w:rFonts w:eastAsia="黑体"/>
          <w:kern w:val="0"/>
          <w:szCs w:val="21"/>
        </w:rPr>
        <w:t>4.1.1.7.7</w:t>
      </w:r>
      <w:r>
        <w:rPr>
          <w:color w:val="000000"/>
          <w:szCs w:val="21"/>
        </w:rPr>
        <w:t xml:space="preserve">  多品种栽植的灌木丛，修剪时应突出主栽品种，并留出适当生长空间。</w:t>
      </w:r>
    </w:p>
    <w:p w14:paraId="0F2DCCE0">
      <w:pPr>
        <w:spacing w:line="360" w:lineRule="auto"/>
        <w:rPr>
          <w:color w:val="000000"/>
          <w:szCs w:val="21"/>
        </w:rPr>
      </w:pPr>
      <w:r>
        <w:rPr>
          <w:rFonts w:eastAsia="黑体"/>
          <w:kern w:val="0"/>
          <w:szCs w:val="21"/>
        </w:rPr>
        <w:t xml:space="preserve">4.1.1.7.8 </w:t>
      </w:r>
      <w:r>
        <w:rPr>
          <w:color w:val="000000"/>
          <w:szCs w:val="21"/>
        </w:rPr>
        <w:t xml:space="preserve"> 造型的灌木修剪应保持外型轮廓清楚，外缘枝叶紧密。</w:t>
      </w:r>
    </w:p>
    <w:p w14:paraId="5FC22E44">
      <w:pPr>
        <w:spacing w:line="360" w:lineRule="auto"/>
        <w:rPr>
          <w:color w:val="000000"/>
          <w:szCs w:val="21"/>
        </w:rPr>
      </w:pPr>
      <w:r>
        <w:rPr>
          <w:rFonts w:eastAsia="黑体"/>
          <w:kern w:val="0"/>
          <w:szCs w:val="21"/>
        </w:rPr>
        <w:t xml:space="preserve">4.1.1.7.9 </w:t>
      </w:r>
      <w:r>
        <w:rPr>
          <w:color w:val="000000"/>
          <w:szCs w:val="21"/>
        </w:rPr>
        <w:t xml:space="preserve"> 花灌木修剪应特别注意：</w:t>
      </w:r>
    </w:p>
    <w:p w14:paraId="663F7253">
      <w:pPr>
        <w:spacing w:line="360" w:lineRule="auto"/>
        <w:ind w:firstLine="420" w:firstLineChars="200"/>
        <w:rPr>
          <w:color w:val="000000"/>
          <w:szCs w:val="21"/>
        </w:rPr>
      </w:pPr>
      <w:r>
        <w:rPr>
          <w:color w:val="000000"/>
          <w:szCs w:val="21"/>
        </w:rPr>
        <w:t>a) 当年生枝条开花灌木，如：紫薇、木槿、月季、珍珠梅等，休眠期修剪时，为控制树木高度，对于生长健壮枝条应在保留3个~5个芽处短截，促发新枝。1年可数次开花灌木如月季、珍珠梅、紫薇等，花落后应及时剪去残花，促使再次开花。</w:t>
      </w:r>
    </w:p>
    <w:p w14:paraId="14238AB1">
      <w:pPr>
        <w:spacing w:line="360" w:lineRule="auto"/>
        <w:ind w:firstLine="420" w:firstLineChars="200"/>
        <w:rPr>
          <w:color w:val="000000"/>
          <w:szCs w:val="21"/>
        </w:rPr>
      </w:pPr>
      <w:r>
        <w:rPr>
          <w:color w:val="000000"/>
          <w:szCs w:val="21"/>
        </w:rPr>
        <w:t>b) 隔年生枝条开花的灌木，如：碧桃、榆叶梅、连翘、紫珠、丁香等，休眠期适当整形修剪，生长季花落后10天~15天将已开花枝条进行中或重短截，疏剪过密枝，以利来年促生健壮新枝，</w:t>
      </w:r>
    </w:p>
    <w:p w14:paraId="470C9A2B">
      <w:pPr>
        <w:tabs>
          <w:tab w:val="left" w:pos="2145"/>
        </w:tabs>
        <w:spacing w:line="360" w:lineRule="auto"/>
        <w:ind w:firstLine="420" w:firstLineChars="200"/>
        <w:rPr>
          <w:color w:val="000000"/>
          <w:szCs w:val="21"/>
        </w:rPr>
      </w:pPr>
      <w:r>
        <w:rPr>
          <w:color w:val="000000"/>
          <w:szCs w:val="21"/>
        </w:rPr>
        <w:t>c) 多年生枝条开花灌木，如：紫荆、贴梗海棠等，应注意培育和保护老枝，剪除干扰树型并影响通风透光的过密枝、弱枝、枯枝或病虫枝。</w:t>
      </w:r>
    </w:p>
    <w:p w14:paraId="168D07DA">
      <w:pPr>
        <w:spacing w:line="360" w:lineRule="auto"/>
        <w:rPr>
          <w:color w:val="000000"/>
          <w:szCs w:val="21"/>
        </w:rPr>
      </w:pPr>
      <w:r>
        <w:rPr>
          <w:rFonts w:eastAsia="黑体"/>
          <w:kern w:val="0"/>
          <w:szCs w:val="21"/>
        </w:rPr>
        <w:t xml:space="preserve">4.1.1.8 </w:t>
      </w:r>
      <w:r>
        <w:rPr>
          <w:color w:val="000000"/>
          <w:szCs w:val="21"/>
        </w:rPr>
        <w:t xml:space="preserve"> 绿篱及色带修剪</w:t>
      </w:r>
    </w:p>
    <w:p w14:paraId="09F08288">
      <w:pPr>
        <w:spacing w:line="360" w:lineRule="auto"/>
        <w:rPr>
          <w:color w:val="000000"/>
          <w:szCs w:val="21"/>
        </w:rPr>
      </w:pPr>
      <w:r>
        <w:rPr>
          <w:rFonts w:eastAsia="黑体"/>
          <w:kern w:val="0"/>
          <w:szCs w:val="21"/>
        </w:rPr>
        <w:t>4.1.1.8.1</w:t>
      </w:r>
      <w:r>
        <w:rPr>
          <w:color w:val="000000"/>
          <w:szCs w:val="21"/>
        </w:rPr>
        <w:t xml:space="preserve">  修剪应使绿篱及色带轮廓清楚，线条整齐，顶面平整，高度一致，侧面上下垂直或上窄下宽。每年整形修剪不少于2次。</w:t>
      </w:r>
    </w:p>
    <w:p w14:paraId="63E50B7A">
      <w:pPr>
        <w:spacing w:line="360" w:lineRule="auto"/>
        <w:rPr>
          <w:color w:val="000000"/>
          <w:szCs w:val="21"/>
        </w:rPr>
      </w:pPr>
      <w:r>
        <w:rPr>
          <w:rFonts w:eastAsia="黑体"/>
          <w:kern w:val="0"/>
          <w:szCs w:val="21"/>
        </w:rPr>
        <w:t xml:space="preserve">4.1.1.8.2 </w:t>
      </w:r>
      <w:r>
        <w:rPr>
          <w:color w:val="000000"/>
          <w:szCs w:val="21"/>
        </w:rPr>
        <w:t xml:space="preserve"> 绿篱及色带每次修剪高度较前一次修剪应提高1cm。</w:t>
      </w:r>
    </w:p>
    <w:p w14:paraId="0DE4AE16">
      <w:pPr>
        <w:spacing w:line="360" w:lineRule="auto"/>
        <w:rPr>
          <w:color w:val="000000"/>
          <w:szCs w:val="21"/>
        </w:rPr>
      </w:pPr>
      <w:r>
        <w:rPr>
          <w:rFonts w:eastAsia="黑体"/>
          <w:kern w:val="0"/>
          <w:szCs w:val="21"/>
        </w:rPr>
        <w:t xml:space="preserve">4.1.1.8.3 </w:t>
      </w:r>
      <w:r>
        <w:rPr>
          <w:color w:val="000000"/>
          <w:szCs w:val="21"/>
        </w:rPr>
        <w:t xml:space="preserve"> 修剪后残留绿篱面的枝叶应及时清除干净。</w:t>
      </w:r>
    </w:p>
    <w:p w14:paraId="472FF153">
      <w:pPr>
        <w:tabs>
          <w:tab w:val="left" w:pos="2145"/>
        </w:tabs>
        <w:spacing w:line="360" w:lineRule="auto"/>
        <w:rPr>
          <w:szCs w:val="21"/>
        </w:rPr>
      </w:pPr>
      <w:r>
        <w:rPr>
          <w:rFonts w:eastAsia="黑体"/>
          <w:kern w:val="0"/>
          <w:szCs w:val="21"/>
        </w:rPr>
        <w:t>4.1.1.9</w:t>
      </w:r>
      <w:r>
        <w:rPr>
          <w:szCs w:val="21"/>
        </w:rPr>
        <w:t xml:space="preserve">  藤本修剪</w:t>
      </w:r>
      <w:r>
        <w:rPr>
          <w:szCs w:val="21"/>
        </w:rPr>
        <w:tab/>
      </w:r>
    </w:p>
    <w:p w14:paraId="350AB89E">
      <w:pPr>
        <w:spacing w:line="360" w:lineRule="auto"/>
        <w:rPr>
          <w:color w:val="000000"/>
          <w:szCs w:val="21"/>
        </w:rPr>
      </w:pPr>
      <w:r>
        <w:rPr>
          <w:rFonts w:eastAsia="黑体"/>
          <w:kern w:val="0"/>
          <w:szCs w:val="21"/>
        </w:rPr>
        <w:t>4.1.1.9.1</w:t>
      </w:r>
      <w:r>
        <w:rPr>
          <w:color w:val="000000"/>
          <w:szCs w:val="21"/>
        </w:rPr>
        <w:t xml:space="preserve">  吸附类藤本，应在生长季剪去未能吸附墙体而下垂的枝条，未完全覆盖的植物应短截空隙周围枝条，以便发生副梢，填补空缺。</w:t>
      </w:r>
    </w:p>
    <w:p w14:paraId="58B87D8C">
      <w:pPr>
        <w:spacing w:line="360" w:lineRule="auto"/>
        <w:rPr>
          <w:color w:val="000000"/>
          <w:szCs w:val="21"/>
        </w:rPr>
      </w:pPr>
      <w:r>
        <w:rPr>
          <w:rFonts w:eastAsia="黑体"/>
          <w:kern w:val="0"/>
          <w:szCs w:val="21"/>
        </w:rPr>
        <w:t xml:space="preserve">4.1.1.9.2 </w:t>
      </w:r>
      <w:r>
        <w:rPr>
          <w:color w:val="000000"/>
          <w:szCs w:val="21"/>
        </w:rPr>
        <w:t xml:space="preserve"> 钩刺类藤本，可按灌木修剪方法疏枝；生长到一定程度，树势衰弱时，应进行回缩修剪，强壮树势。</w:t>
      </w:r>
    </w:p>
    <w:p w14:paraId="3844ACC5">
      <w:pPr>
        <w:spacing w:line="360" w:lineRule="auto"/>
        <w:rPr>
          <w:szCs w:val="21"/>
        </w:rPr>
      </w:pPr>
      <w:r>
        <w:rPr>
          <w:rFonts w:eastAsia="黑体"/>
          <w:kern w:val="0"/>
          <w:szCs w:val="21"/>
        </w:rPr>
        <w:t>4.1.1.9.3</w:t>
      </w:r>
      <w:r>
        <w:rPr>
          <w:szCs w:val="21"/>
        </w:rPr>
        <w:t xml:space="preserve">  生长于棚架的藤本，落叶后应疏剪过密枝条，清除枯死枝，使枝条均匀分布架面。</w:t>
      </w:r>
    </w:p>
    <w:p w14:paraId="639C3B42">
      <w:pPr>
        <w:spacing w:line="360" w:lineRule="auto"/>
        <w:rPr>
          <w:szCs w:val="21"/>
        </w:rPr>
      </w:pPr>
      <w:r>
        <w:rPr>
          <w:rFonts w:eastAsia="黑体"/>
          <w:kern w:val="0"/>
          <w:szCs w:val="21"/>
        </w:rPr>
        <w:t>4.1.1.9.4</w:t>
      </w:r>
      <w:r>
        <w:rPr>
          <w:szCs w:val="21"/>
        </w:rPr>
        <w:t xml:space="preserve">  成年和老年藤木应常疏枝，并适当进行回缩修剪。</w:t>
      </w:r>
    </w:p>
    <w:p w14:paraId="142CD01E">
      <w:pPr>
        <w:spacing w:line="360" w:lineRule="auto"/>
        <w:rPr>
          <w:szCs w:val="21"/>
        </w:rPr>
      </w:pPr>
      <w:r>
        <w:rPr>
          <w:rFonts w:eastAsia="黑体"/>
          <w:kern w:val="0"/>
          <w:szCs w:val="21"/>
        </w:rPr>
        <w:t xml:space="preserve">4.1.1.10 </w:t>
      </w:r>
      <w:r>
        <w:rPr>
          <w:szCs w:val="21"/>
        </w:rPr>
        <w:t xml:space="preserve"> 园林树木修剪时，落叶树一般不留橛，针叶树应留1cm~2cm长的橛。修剪的剪口必须平滑，不得劈裂，并注意留芽的方位。直径超过4cm以上的剪锯口，应用刀削平，涂抹防腐剂促进伤口愈合。锯除大树杈时应注意保护皮脊。</w:t>
      </w:r>
    </w:p>
    <w:p w14:paraId="144452B3">
      <w:pPr>
        <w:spacing w:line="360" w:lineRule="auto"/>
        <w:rPr>
          <w:rFonts w:eastAsia="黑体"/>
          <w:kern w:val="0"/>
          <w:szCs w:val="21"/>
        </w:rPr>
      </w:pPr>
      <w:r>
        <w:rPr>
          <w:szCs w:val="21"/>
        </w:rPr>
        <w:t>4.1.1.11 上树修剪应遵守安全操作规范，防止发生安全事故。</w:t>
      </w:r>
    </w:p>
    <w:p w14:paraId="7EEA9EE2">
      <w:pPr>
        <w:spacing w:line="360" w:lineRule="auto"/>
        <w:jc w:val="left"/>
        <w:rPr>
          <w:szCs w:val="21"/>
        </w:rPr>
      </w:pPr>
      <w:r>
        <w:rPr>
          <w:rFonts w:eastAsia="黑体"/>
          <w:kern w:val="0"/>
          <w:szCs w:val="21"/>
        </w:rPr>
        <w:t xml:space="preserve">4.1.2  </w:t>
      </w:r>
      <w:r>
        <w:rPr>
          <w:szCs w:val="21"/>
        </w:rPr>
        <w:t>灌水、排涝</w:t>
      </w:r>
    </w:p>
    <w:p w14:paraId="64237509">
      <w:pPr>
        <w:spacing w:line="360" w:lineRule="auto"/>
        <w:rPr>
          <w:szCs w:val="21"/>
        </w:rPr>
      </w:pPr>
      <w:r>
        <w:rPr>
          <w:rFonts w:eastAsia="黑体"/>
          <w:kern w:val="0"/>
          <w:szCs w:val="21"/>
        </w:rPr>
        <w:t xml:space="preserve">4.1.2.1 </w:t>
      </w:r>
      <w:r>
        <w:rPr>
          <w:rFonts w:hint="eastAsia" w:eastAsia="黑体"/>
          <w:kern w:val="0"/>
          <w:szCs w:val="21"/>
        </w:rPr>
        <w:t xml:space="preserve"> </w:t>
      </w:r>
      <w:r>
        <w:rPr>
          <w:szCs w:val="21"/>
        </w:rPr>
        <w:t>应根据本地气候特点、土壤保水、植物需水、根系喜气等情况，适时适量进行浇水， 促其正常生长。</w:t>
      </w:r>
    </w:p>
    <w:p w14:paraId="49E3ECB6">
      <w:pPr>
        <w:spacing w:line="360" w:lineRule="auto"/>
        <w:rPr>
          <w:szCs w:val="21"/>
        </w:rPr>
      </w:pPr>
      <w:r>
        <w:rPr>
          <w:rFonts w:hint="eastAsia" w:eastAsia="黑体"/>
          <w:szCs w:val="21"/>
        </w:rPr>
        <w:t>4</w:t>
      </w:r>
      <w:r>
        <w:rPr>
          <w:rFonts w:eastAsia="黑体"/>
          <w:kern w:val="0"/>
          <w:szCs w:val="21"/>
        </w:rPr>
        <w:t>.</w:t>
      </w:r>
      <w:r>
        <w:rPr>
          <w:szCs w:val="21"/>
        </w:rPr>
        <w:t>1</w:t>
      </w:r>
      <w:r>
        <w:rPr>
          <w:rFonts w:eastAsia="黑体"/>
          <w:kern w:val="0"/>
          <w:szCs w:val="21"/>
        </w:rPr>
        <w:t>.</w:t>
      </w:r>
      <w:r>
        <w:rPr>
          <w:rFonts w:hint="eastAsia"/>
          <w:szCs w:val="21"/>
        </w:rPr>
        <w:t xml:space="preserve">2.2  </w:t>
      </w:r>
      <w:r>
        <w:rPr>
          <w:szCs w:val="21"/>
        </w:rPr>
        <w:t>新植树木应在连续5年内充足灌溉，土质保水力差或根系生长缓慢树种，可适当延长灌水年限。</w:t>
      </w:r>
    </w:p>
    <w:p w14:paraId="0DBFE73D">
      <w:pPr>
        <w:spacing w:line="360" w:lineRule="auto"/>
        <w:rPr>
          <w:szCs w:val="21"/>
        </w:rPr>
      </w:pPr>
      <w:r>
        <w:rPr>
          <w:rFonts w:hint="eastAsia" w:eastAsia="黑体"/>
          <w:szCs w:val="21"/>
        </w:rPr>
        <w:t>4</w:t>
      </w:r>
      <w:r>
        <w:rPr>
          <w:rFonts w:eastAsia="黑体"/>
          <w:kern w:val="0"/>
          <w:szCs w:val="21"/>
        </w:rPr>
        <w:t>.</w:t>
      </w:r>
      <w:r>
        <w:rPr>
          <w:szCs w:val="21"/>
        </w:rPr>
        <w:t>1</w:t>
      </w:r>
      <w:r>
        <w:rPr>
          <w:rFonts w:eastAsia="黑体"/>
          <w:kern w:val="0"/>
          <w:szCs w:val="21"/>
        </w:rPr>
        <w:t>.</w:t>
      </w:r>
      <w:r>
        <w:rPr>
          <w:rFonts w:hint="eastAsia"/>
          <w:szCs w:val="21"/>
        </w:rPr>
        <w:t xml:space="preserve">2.3  </w:t>
      </w:r>
      <w:r>
        <w:rPr>
          <w:szCs w:val="21"/>
        </w:rPr>
        <w:t>绿地中已栽植成活的树木，在久旱或立地条件较差、土壤十分干燥时，应及时采取灌溉措施。</w:t>
      </w:r>
    </w:p>
    <w:p w14:paraId="1D749752">
      <w:pPr>
        <w:spacing w:line="360" w:lineRule="auto"/>
        <w:rPr>
          <w:szCs w:val="21"/>
        </w:rPr>
      </w:pPr>
      <w:r>
        <w:rPr>
          <w:rFonts w:hint="eastAsia" w:eastAsia="黑体"/>
          <w:szCs w:val="21"/>
        </w:rPr>
        <w:t>4</w:t>
      </w:r>
      <w:r>
        <w:rPr>
          <w:rFonts w:eastAsia="黑体"/>
          <w:kern w:val="0"/>
          <w:szCs w:val="21"/>
        </w:rPr>
        <w:t>.</w:t>
      </w:r>
      <w:r>
        <w:rPr>
          <w:szCs w:val="21"/>
        </w:rPr>
        <w:t>1</w:t>
      </w:r>
      <w:r>
        <w:rPr>
          <w:rFonts w:eastAsia="黑体"/>
          <w:kern w:val="0"/>
          <w:szCs w:val="21"/>
        </w:rPr>
        <w:t>.</w:t>
      </w:r>
      <w:r>
        <w:rPr>
          <w:rFonts w:hint="eastAsia"/>
          <w:szCs w:val="21"/>
        </w:rPr>
        <w:t>2.4</w:t>
      </w:r>
      <w:r>
        <w:rPr>
          <w:szCs w:val="21"/>
        </w:rPr>
        <w:t xml:space="preserve"> </w:t>
      </w:r>
      <w:r>
        <w:rPr>
          <w:rFonts w:hint="eastAsia"/>
          <w:szCs w:val="21"/>
        </w:rPr>
        <w:t xml:space="preserve"> </w:t>
      </w:r>
      <w:r>
        <w:rPr>
          <w:szCs w:val="21"/>
        </w:rPr>
        <w:t>在夏季空气干燥时，对一些叶质纤薄易受日灼的树种还应适当进行叶面及枝干喷雾，必要时搭棚蔽荫，午间喷水于荫棚上，增加空气湿度，减少植物体内水分的蒸腾。</w:t>
      </w:r>
    </w:p>
    <w:p w14:paraId="39F4ADCF">
      <w:pPr>
        <w:spacing w:line="360" w:lineRule="auto"/>
        <w:rPr>
          <w:szCs w:val="21"/>
        </w:rPr>
      </w:pPr>
      <w:r>
        <w:rPr>
          <w:rFonts w:hint="eastAsia" w:eastAsia="黑体"/>
          <w:szCs w:val="21"/>
        </w:rPr>
        <w:t>4</w:t>
      </w:r>
      <w:r>
        <w:rPr>
          <w:rFonts w:eastAsia="黑体"/>
          <w:kern w:val="0"/>
          <w:szCs w:val="21"/>
        </w:rPr>
        <w:t>.</w:t>
      </w:r>
      <w:r>
        <w:rPr>
          <w:szCs w:val="21"/>
        </w:rPr>
        <w:t>1</w:t>
      </w:r>
      <w:r>
        <w:rPr>
          <w:rFonts w:eastAsia="黑体"/>
          <w:kern w:val="0"/>
          <w:szCs w:val="21"/>
        </w:rPr>
        <w:t>.</w:t>
      </w:r>
      <w:r>
        <w:rPr>
          <w:rFonts w:hint="eastAsia"/>
          <w:szCs w:val="21"/>
        </w:rPr>
        <w:t xml:space="preserve">2.5  </w:t>
      </w:r>
      <w:r>
        <w:rPr>
          <w:szCs w:val="21"/>
        </w:rPr>
        <w:t>灌溉前应先松土。夏季灌溉宜早晚进行，冬季灌溉应中午进行。灌溉要一次浇透，尤其是春、夏两季。</w:t>
      </w:r>
    </w:p>
    <w:p w14:paraId="34E9737E">
      <w:pPr>
        <w:spacing w:line="360" w:lineRule="auto"/>
        <w:rPr>
          <w:szCs w:val="21"/>
        </w:rPr>
      </w:pPr>
      <w:r>
        <w:rPr>
          <w:rFonts w:hint="eastAsia" w:eastAsia="黑体"/>
          <w:szCs w:val="21"/>
        </w:rPr>
        <w:t>4</w:t>
      </w:r>
      <w:r>
        <w:rPr>
          <w:rFonts w:eastAsia="黑体"/>
          <w:kern w:val="0"/>
          <w:szCs w:val="21"/>
        </w:rPr>
        <w:t>.</w:t>
      </w:r>
      <w:r>
        <w:rPr>
          <w:szCs w:val="21"/>
        </w:rPr>
        <w:t>1</w:t>
      </w:r>
      <w:r>
        <w:rPr>
          <w:rFonts w:eastAsia="黑体"/>
          <w:kern w:val="0"/>
          <w:szCs w:val="21"/>
        </w:rPr>
        <w:t>.</w:t>
      </w:r>
      <w:r>
        <w:rPr>
          <w:rFonts w:hint="eastAsia"/>
          <w:szCs w:val="21"/>
        </w:rPr>
        <w:t xml:space="preserve">2.6  </w:t>
      </w:r>
      <w:r>
        <w:rPr>
          <w:szCs w:val="21"/>
        </w:rPr>
        <w:t>在雨季可采用开沟、埋管、打孔等排水措施及时对绿地和树池排涝，防止植物因涝</w:t>
      </w:r>
      <w:r>
        <w:rPr>
          <w:rFonts w:hint="eastAsia"/>
          <w:szCs w:val="21"/>
        </w:rPr>
        <w:t>致</w:t>
      </w:r>
      <w:r>
        <w:rPr>
          <w:szCs w:val="21"/>
        </w:rPr>
        <w:t>死。绿地和树池内积水不得超过24小时；</w:t>
      </w:r>
    </w:p>
    <w:p w14:paraId="18E847D9">
      <w:pPr>
        <w:spacing w:line="360" w:lineRule="auto"/>
        <w:rPr>
          <w:szCs w:val="21"/>
        </w:rPr>
      </w:pPr>
      <w:r>
        <w:rPr>
          <w:rFonts w:hint="eastAsia" w:eastAsia="黑体"/>
          <w:szCs w:val="21"/>
        </w:rPr>
        <w:t>4</w:t>
      </w:r>
      <w:r>
        <w:rPr>
          <w:rFonts w:eastAsia="黑体"/>
          <w:kern w:val="0"/>
          <w:szCs w:val="21"/>
        </w:rPr>
        <w:t>.</w:t>
      </w:r>
      <w:r>
        <w:rPr>
          <w:szCs w:val="21"/>
        </w:rPr>
        <w:t>1</w:t>
      </w:r>
      <w:r>
        <w:rPr>
          <w:rFonts w:eastAsia="黑体"/>
          <w:kern w:val="0"/>
          <w:szCs w:val="21"/>
        </w:rPr>
        <w:t>.</w:t>
      </w:r>
      <w:r>
        <w:rPr>
          <w:rFonts w:hint="eastAsia"/>
          <w:szCs w:val="21"/>
        </w:rPr>
        <w:t xml:space="preserve">2.7  </w:t>
      </w:r>
      <w:r>
        <w:rPr>
          <w:szCs w:val="21"/>
        </w:rPr>
        <w:t>建议多用湖水、雨水等天然水。灌溉时，要注意保护树木根部的土壤不被冲刷。</w:t>
      </w:r>
    </w:p>
    <w:p w14:paraId="389F12FD">
      <w:pPr>
        <w:spacing w:line="360" w:lineRule="auto"/>
        <w:jc w:val="left"/>
        <w:rPr>
          <w:szCs w:val="21"/>
        </w:rPr>
      </w:pPr>
      <w:r>
        <w:rPr>
          <w:rFonts w:eastAsia="黑体"/>
          <w:kern w:val="0"/>
          <w:szCs w:val="21"/>
        </w:rPr>
        <w:t xml:space="preserve">4.1.3  </w:t>
      </w:r>
      <w:r>
        <w:rPr>
          <w:szCs w:val="21"/>
        </w:rPr>
        <w:t>中耕除草</w:t>
      </w:r>
    </w:p>
    <w:p w14:paraId="19B125AF">
      <w:pPr>
        <w:spacing w:line="360" w:lineRule="auto"/>
        <w:rPr>
          <w:szCs w:val="21"/>
        </w:rPr>
      </w:pPr>
      <w:r>
        <w:rPr>
          <w:rFonts w:eastAsia="黑体"/>
          <w:kern w:val="0"/>
          <w:szCs w:val="21"/>
        </w:rPr>
        <w:t xml:space="preserve">4.1.3.1 </w:t>
      </w:r>
      <w:r>
        <w:rPr>
          <w:szCs w:val="21"/>
        </w:rPr>
        <w:t xml:space="preserve"> 在植物生长季节要不间断地进行中耕除草，应除小、除早、除了。除下杂草要集中处理，并及时清运。</w:t>
      </w:r>
    </w:p>
    <w:p w14:paraId="61517879">
      <w:pPr>
        <w:spacing w:line="360" w:lineRule="auto"/>
        <w:rPr>
          <w:szCs w:val="21"/>
        </w:rPr>
      </w:pPr>
      <w:r>
        <w:rPr>
          <w:rFonts w:eastAsia="黑体"/>
          <w:kern w:val="0"/>
          <w:szCs w:val="21"/>
        </w:rPr>
        <w:t xml:space="preserve">4.1.3.2 </w:t>
      </w:r>
      <w:r>
        <w:rPr>
          <w:szCs w:val="21"/>
        </w:rPr>
        <w:t xml:space="preserve"> 在具野趣游憩地段可采用机械割草，使其高矮一致。</w:t>
      </w:r>
    </w:p>
    <w:p w14:paraId="251180E6">
      <w:pPr>
        <w:spacing w:line="360" w:lineRule="auto"/>
        <w:rPr>
          <w:szCs w:val="21"/>
        </w:rPr>
      </w:pPr>
      <w:r>
        <w:rPr>
          <w:rFonts w:eastAsia="黑体"/>
          <w:kern w:val="0"/>
          <w:szCs w:val="21"/>
        </w:rPr>
        <w:t xml:space="preserve">4.1.3.3 </w:t>
      </w:r>
      <w:r>
        <w:rPr>
          <w:szCs w:val="21"/>
        </w:rPr>
        <w:t xml:space="preserve"> 在绿地内一般禁止使用化学除草剂，特别是专类园区，绝对不能使用除草剂。</w:t>
      </w:r>
    </w:p>
    <w:p w14:paraId="1F3456E0">
      <w:pPr>
        <w:spacing w:line="360" w:lineRule="auto"/>
        <w:jc w:val="left"/>
        <w:rPr>
          <w:szCs w:val="21"/>
        </w:rPr>
      </w:pPr>
      <w:r>
        <w:rPr>
          <w:rFonts w:eastAsia="黑体"/>
          <w:kern w:val="0"/>
          <w:szCs w:val="21"/>
        </w:rPr>
        <w:t xml:space="preserve">4.1.4 </w:t>
      </w:r>
      <w:r>
        <w:rPr>
          <w:rFonts w:hint="eastAsia" w:ascii="宋体" w:hAnsi="宋体" w:cs="宋体"/>
          <w:kern w:val="0"/>
          <w:szCs w:val="21"/>
        </w:rPr>
        <w:t xml:space="preserve"> 施肥及土壤改良</w:t>
      </w:r>
    </w:p>
    <w:p w14:paraId="0D1D2BBD">
      <w:pPr>
        <w:spacing w:line="360" w:lineRule="auto"/>
        <w:rPr>
          <w:szCs w:val="21"/>
        </w:rPr>
      </w:pPr>
      <w:r>
        <w:rPr>
          <w:rFonts w:eastAsia="黑体"/>
          <w:kern w:val="0"/>
          <w:szCs w:val="21"/>
        </w:rPr>
        <w:t xml:space="preserve">4.1.4.1 </w:t>
      </w:r>
      <w:r>
        <w:rPr>
          <w:szCs w:val="21"/>
        </w:rPr>
        <w:t xml:space="preserve"> 应根据园林树木生长需要和土壤肥力情况，合理施肥，平衡土壤中各种矿质营养元素，保持土壤肥力和合理结构。</w:t>
      </w:r>
    </w:p>
    <w:p w14:paraId="444A9357">
      <w:pPr>
        <w:spacing w:line="360" w:lineRule="auto"/>
        <w:rPr>
          <w:szCs w:val="21"/>
        </w:rPr>
      </w:pPr>
      <w:r>
        <w:rPr>
          <w:rFonts w:eastAsia="黑体"/>
          <w:kern w:val="0"/>
          <w:szCs w:val="21"/>
        </w:rPr>
        <w:t xml:space="preserve">4.1.4.2 </w:t>
      </w:r>
      <w:r>
        <w:rPr>
          <w:szCs w:val="21"/>
        </w:rPr>
        <w:t xml:space="preserve"> 在树木休眠期以有机肥为主，在与土壤拌匀后，采用穴施、环施和放射状沟施等方法。施肥后踏实，并平整场地。</w:t>
      </w:r>
    </w:p>
    <w:p w14:paraId="1CDFE5C6">
      <w:pPr>
        <w:spacing w:line="360" w:lineRule="auto"/>
        <w:rPr>
          <w:szCs w:val="21"/>
        </w:rPr>
      </w:pPr>
      <w:r>
        <w:rPr>
          <w:rFonts w:eastAsia="黑体"/>
          <w:kern w:val="0"/>
          <w:szCs w:val="21"/>
        </w:rPr>
        <w:t xml:space="preserve">4.1.4.3 </w:t>
      </w:r>
      <w:r>
        <w:rPr>
          <w:szCs w:val="21"/>
        </w:rPr>
        <w:t xml:space="preserve"> 在树木生长季节可根据需要，进行土壤追肥或叶面喷肥。</w:t>
      </w:r>
    </w:p>
    <w:p w14:paraId="6BA435AC">
      <w:pPr>
        <w:spacing w:line="360" w:lineRule="auto"/>
        <w:rPr>
          <w:szCs w:val="21"/>
        </w:rPr>
      </w:pPr>
      <w:r>
        <w:rPr>
          <w:rFonts w:eastAsia="黑体"/>
          <w:kern w:val="0"/>
          <w:szCs w:val="21"/>
        </w:rPr>
        <w:t xml:space="preserve">4.1.4.4 </w:t>
      </w:r>
      <w:r>
        <w:rPr>
          <w:szCs w:val="21"/>
        </w:rPr>
        <w:t xml:space="preserve"> 园林树木施肥量应根据树木大小、肥料种类及土壤肥力状况而定。施用时要用量准确，并充分粉碎，与土壤混合后要撒施均匀，随即浇水，严禁肥料裸露。</w:t>
      </w:r>
    </w:p>
    <w:p w14:paraId="5D0685A4">
      <w:pPr>
        <w:spacing w:line="360" w:lineRule="auto"/>
        <w:rPr>
          <w:szCs w:val="21"/>
        </w:rPr>
      </w:pPr>
      <w:r>
        <w:rPr>
          <w:rFonts w:eastAsia="黑体"/>
          <w:kern w:val="0"/>
          <w:szCs w:val="21"/>
        </w:rPr>
        <w:t xml:space="preserve">4.1.4.5 </w:t>
      </w:r>
      <w:r>
        <w:rPr>
          <w:szCs w:val="21"/>
        </w:rPr>
        <w:t xml:space="preserve"> 土肥标准：土壤疏松，无积水，根据植物生长特性及时施肥，充分利用有机肥，或施复合肥，       增强土壤肥力，改善土壤理化性状。</w:t>
      </w:r>
    </w:p>
    <w:p w14:paraId="60B8F6B8">
      <w:pPr>
        <w:spacing w:line="360" w:lineRule="auto"/>
        <w:jc w:val="left"/>
        <w:rPr>
          <w:b/>
          <w:szCs w:val="21"/>
        </w:rPr>
      </w:pPr>
      <w:r>
        <w:rPr>
          <w:bCs/>
          <w:szCs w:val="21"/>
        </w:rPr>
        <w:t>4.1.5  更新、调整和伐树</w:t>
      </w:r>
    </w:p>
    <w:p w14:paraId="5E877963">
      <w:pPr>
        <w:spacing w:line="360" w:lineRule="auto"/>
        <w:rPr>
          <w:szCs w:val="21"/>
        </w:rPr>
      </w:pPr>
      <w:r>
        <w:rPr>
          <w:rFonts w:eastAsia="黑体"/>
          <w:kern w:val="0"/>
          <w:szCs w:val="21"/>
        </w:rPr>
        <w:t xml:space="preserve">4.1.5.1 </w:t>
      </w:r>
      <w:r>
        <w:rPr>
          <w:szCs w:val="21"/>
        </w:rPr>
        <w:t xml:space="preserve"> 种植结构调整和伐树应经植物园管理办公室备案后方可进行。</w:t>
      </w:r>
    </w:p>
    <w:p w14:paraId="3F3D3697">
      <w:pPr>
        <w:spacing w:line="360" w:lineRule="auto"/>
        <w:rPr>
          <w:szCs w:val="21"/>
        </w:rPr>
      </w:pPr>
      <w:r>
        <w:rPr>
          <w:rFonts w:eastAsia="黑体"/>
          <w:kern w:val="0"/>
          <w:szCs w:val="21"/>
        </w:rPr>
        <w:t>4.1.5.2</w:t>
      </w:r>
      <w:r>
        <w:rPr>
          <w:szCs w:val="21"/>
        </w:rPr>
        <w:t xml:space="preserve">  具备以下条件上报批准后再移植或伐树：</w:t>
      </w:r>
    </w:p>
    <w:p w14:paraId="12A3AB7A">
      <w:pPr>
        <w:spacing w:line="360" w:lineRule="auto"/>
        <w:rPr>
          <w:szCs w:val="21"/>
        </w:rPr>
      </w:pPr>
      <w:r>
        <w:rPr>
          <w:rFonts w:eastAsia="黑体"/>
          <w:kern w:val="0"/>
          <w:szCs w:val="21"/>
        </w:rPr>
        <w:t>4.1.5.2.1</w:t>
      </w:r>
      <w:r>
        <w:rPr>
          <w:szCs w:val="21"/>
        </w:rPr>
        <w:t xml:space="preserve">  密植林的调整与间伐。</w:t>
      </w:r>
    </w:p>
    <w:p w14:paraId="2E5F61B3">
      <w:pPr>
        <w:spacing w:line="360" w:lineRule="auto"/>
        <w:rPr>
          <w:szCs w:val="21"/>
        </w:rPr>
      </w:pPr>
      <w:r>
        <w:rPr>
          <w:rFonts w:eastAsia="黑体"/>
          <w:kern w:val="0"/>
          <w:szCs w:val="21"/>
        </w:rPr>
        <w:t xml:space="preserve">4.1.5.2.2 </w:t>
      </w:r>
      <w:r>
        <w:rPr>
          <w:szCs w:val="21"/>
        </w:rPr>
        <w:t xml:space="preserve"> 更新树种。</w:t>
      </w:r>
    </w:p>
    <w:p w14:paraId="50DB6E89">
      <w:pPr>
        <w:spacing w:line="360" w:lineRule="auto"/>
        <w:rPr>
          <w:szCs w:val="21"/>
        </w:rPr>
      </w:pPr>
      <w:r>
        <w:rPr>
          <w:rFonts w:eastAsia="黑体"/>
          <w:kern w:val="0"/>
          <w:szCs w:val="21"/>
        </w:rPr>
        <w:t xml:space="preserve">4.1.5.2.3 </w:t>
      </w:r>
      <w:r>
        <w:rPr>
          <w:szCs w:val="21"/>
        </w:rPr>
        <w:t xml:space="preserve"> 枯朽、衰老、严重倾斜、对人和物体构成危险的。</w:t>
      </w:r>
    </w:p>
    <w:p w14:paraId="799FF39C">
      <w:pPr>
        <w:spacing w:line="360" w:lineRule="auto"/>
        <w:rPr>
          <w:szCs w:val="21"/>
        </w:rPr>
      </w:pPr>
      <w:r>
        <w:rPr>
          <w:rFonts w:eastAsia="黑体"/>
          <w:kern w:val="0"/>
          <w:szCs w:val="21"/>
        </w:rPr>
        <w:t xml:space="preserve">4.1.5.3 </w:t>
      </w:r>
      <w:r>
        <w:rPr>
          <w:szCs w:val="21"/>
        </w:rPr>
        <w:t xml:space="preserve"> 伐除树木时，应设安全员，划定安全范围并围拦，严格执行操作规程；伐除的树干、树枝等要随时清运；树桩高度应尽量降低，并必须在两日内刨除树桩，并及时采取补种或铺装措施，做到场光地净，确保绿化景观的完美和行人、车辆的安全。</w:t>
      </w:r>
    </w:p>
    <w:p w14:paraId="56F5980A">
      <w:pPr>
        <w:tabs>
          <w:tab w:val="left" w:pos="0"/>
        </w:tabs>
        <w:spacing w:line="360" w:lineRule="auto"/>
        <w:jc w:val="left"/>
        <w:rPr>
          <w:szCs w:val="21"/>
        </w:rPr>
      </w:pPr>
      <w:r>
        <w:rPr>
          <w:rFonts w:eastAsia="黑体"/>
          <w:kern w:val="0"/>
          <w:szCs w:val="21"/>
        </w:rPr>
        <w:t xml:space="preserve">4.1.6 </w:t>
      </w:r>
      <w:r>
        <w:rPr>
          <w:rFonts w:hint="eastAsia" w:ascii="宋体" w:hAnsi="宋体" w:cs="宋体"/>
          <w:kern w:val="0"/>
          <w:szCs w:val="21"/>
        </w:rPr>
        <w:t xml:space="preserve"> 病虫害防治</w:t>
      </w:r>
    </w:p>
    <w:p w14:paraId="20305984">
      <w:pPr>
        <w:tabs>
          <w:tab w:val="left" w:pos="0"/>
        </w:tabs>
        <w:spacing w:line="360" w:lineRule="auto"/>
        <w:rPr>
          <w:szCs w:val="21"/>
        </w:rPr>
      </w:pPr>
      <w:r>
        <w:rPr>
          <w:rFonts w:eastAsia="黑体"/>
          <w:kern w:val="0"/>
          <w:szCs w:val="21"/>
        </w:rPr>
        <w:t>4.1.6.1</w:t>
      </w:r>
      <w:r>
        <w:rPr>
          <w:szCs w:val="21"/>
        </w:rPr>
        <w:t xml:space="preserve">  防治园林植物病虫害应贯彻“预防为主，综合防治”的方针。</w:t>
      </w:r>
    </w:p>
    <w:p w14:paraId="54A32C26">
      <w:pPr>
        <w:adjustRightInd w:val="0"/>
        <w:snapToGrid w:val="0"/>
        <w:spacing w:line="360" w:lineRule="auto"/>
        <w:rPr>
          <w:szCs w:val="21"/>
        </w:rPr>
      </w:pPr>
      <w:r>
        <w:rPr>
          <w:rFonts w:eastAsia="黑体"/>
          <w:kern w:val="0"/>
          <w:szCs w:val="21"/>
        </w:rPr>
        <w:t xml:space="preserve">4.1.6.2 </w:t>
      </w:r>
      <w:r>
        <w:rPr>
          <w:szCs w:val="21"/>
        </w:rPr>
        <w:t xml:space="preserve"> 应科学、有针对性地进行养护管理，使植株生长健壮，以增强抗病虫害的能力。</w:t>
      </w:r>
    </w:p>
    <w:p w14:paraId="690BD91F">
      <w:pPr>
        <w:tabs>
          <w:tab w:val="left" w:pos="0"/>
        </w:tabs>
        <w:spacing w:line="360" w:lineRule="auto"/>
        <w:rPr>
          <w:szCs w:val="21"/>
        </w:rPr>
      </w:pPr>
      <w:r>
        <w:rPr>
          <w:rFonts w:eastAsia="黑体"/>
          <w:kern w:val="0"/>
          <w:szCs w:val="21"/>
        </w:rPr>
        <w:t xml:space="preserve">4.1.6.3 </w:t>
      </w:r>
      <w:r>
        <w:rPr>
          <w:szCs w:val="21"/>
        </w:rPr>
        <w:t xml:space="preserve"> 及时清理带病虫的落叶、杂草等，消灭病源、虫源，防止病虫扩散、蔓延。</w:t>
      </w:r>
    </w:p>
    <w:p w14:paraId="72B14975">
      <w:pPr>
        <w:tabs>
          <w:tab w:val="left" w:pos="0"/>
        </w:tabs>
        <w:spacing w:line="360" w:lineRule="auto"/>
        <w:rPr>
          <w:color w:val="000000"/>
          <w:szCs w:val="21"/>
        </w:rPr>
      </w:pPr>
      <w:r>
        <w:rPr>
          <w:rFonts w:eastAsia="黑体"/>
          <w:kern w:val="0"/>
          <w:szCs w:val="21"/>
        </w:rPr>
        <w:t>4.1.6.4</w:t>
      </w:r>
      <w:r>
        <w:rPr>
          <w:szCs w:val="21"/>
        </w:rPr>
        <w:t xml:space="preserve">  应加强病虫检查，发现主要病虫害应根据虫情预报及时采取防治措施。对于危险性病虫害，一</w:t>
      </w:r>
      <w:r>
        <w:rPr>
          <w:color w:val="000000"/>
          <w:szCs w:val="21"/>
        </w:rPr>
        <w:t>旦发现疫情应及时上报植物园管理办公室，并迅速采取扑灭措施。</w:t>
      </w:r>
    </w:p>
    <w:p w14:paraId="36E05B01">
      <w:pPr>
        <w:spacing w:line="360" w:lineRule="auto"/>
        <w:rPr>
          <w:color w:val="000000"/>
          <w:szCs w:val="21"/>
        </w:rPr>
      </w:pPr>
      <w:r>
        <w:rPr>
          <w:rFonts w:eastAsia="黑体"/>
          <w:kern w:val="0"/>
          <w:szCs w:val="21"/>
        </w:rPr>
        <w:t>4.1.6.5</w:t>
      </w:r>
      <w:r>
        <w:rPr>
          <w:color w:val="000000"/>
          <w:szCs w:val="21"/>
        </w:rPr>
        <w:t xml:space="preserve">  操作人员必须按照《农药操作规程》及《园林树木病虫害防治技术操作质量标准》进行作业。</w:t>
      </w:r>
    </w:p>
    <w:p w14:paraId="04F80673">
      <w:pPr>
        <w:tabs>
          <w:tab w:val="left" w:pos="0"/>
        </w:tabs>
        <w:spacing w:line="360" w:lineRule="auto"/>
        <w:jc w:val="left"/>
        <w:rPr>
          <w:rFonts w:eastAsia="黑体"/>
          <w:kern w:val="0"/>
          <w:szCs w:val="21"/>
        </w:rPr>
      </w:pPr>
      <w:r>
        <w:rPr>
          <w:rFonts w:eastAsia="黑体"/>
          <w:kern w:val="0"/>
          <w:szCs w:val="21"/>
        </w:rPr>
        <w:t xml:space="preserve">4.1.7 </w:t>
      </w:r>
      <w:r>
        <w:rPr>
          <w:rFonts w:hint="eastAsia" w:eastAsia="黑体"/>
          <w:kern w:val="0"/>
          <w:szCs w:val="21"/>
        </w:rPr>
        <w:t xml:space="preserve"> </w:t>
      </w:r>
      <w:r>
        <w:rPr>
          <w:rFonts w:hint="eastAsia" w:ascii="宋体" w:hAnsi="宋体" w:cs="宋体"/>
          <w:kern w:val="0"/>
          <w:szCs w:val="21"/>
        </w:rPr>
        <w:t>防护设施</w:t>
      </w:r>
    </w:p>
    <w:p w14:paraId="1CA3A0A2">
      <w:pPr>
        <w:spacing w:line="360" w:lineRule="auto"/>
        <w:rPr>
          <w:szCs w:val="21"/>
        </w:rPr>
      </w:pPr>
      <w:r>
        <w:rPr>
          <w:szCs w:val="21"/>
        </w:rPr>
        <w:t xml:space="preserve">4.1.7.1 </w:t>
      </w:r>
      <w:r>
        <w:rPr>
          <w:rFonts w:hint="eastAsia"/>
          <w:szCs w:val="21"/>
        </w:rPr>
        <w:t xml:space="preserve"> </w:t>
      </w:r>
      <w:r>
        <w:rPr>
          <w:szCs w:val="21"/>
        </w:rPr>
        <w:t>为防止人蓄或车辆践踏、碰撞树木，在不影响教学和景观的前提下，可在树木周围用各种栅栏、绿篱及其它方法维护。严禁用刺铁丝维护。</w:t>
      </w:r>
    </w:p>
    <w:p w14:paraId="6063E05D">
      <w:pPr>
        <w:spacing w:line="360" w:lineRule="auto"/>
        <w:rPr>
          <w:szCs w:val="21"/>
        </w:rPr>
      </w:pPr>
      <w:r>
        <w:rPr>
          <w:szCs w:val="21"/>
        </w:rPr>
        <w:t>4.1.7.2</w:t>
      </w:r>
      <w:r>
        <w:rPr>
          <w:rFonts w:hint="eastAsia"/>
          <w:szCs w:val="21"/>
        </w:rPr>
        <w:t xml:space="preserve"> </w:t>
      </w:r>
      <w:r>
        <w:rPr>
          <w:szCs w:val="21"/>
        </w:rPr>
        <w:t xml:space="preserve"> 高大乔木在台风等灾害性风暴来临前夕，应执行</w:t>
      </w:r>
      <w:r>
        <w:rPr>
          <w:rFonts w:hint="eastAsia" w:ascii="宋体" w:hAnsi="宋体" w:cs="宋体"/>
          <w:szCs w:val="21"/>
        </w:rPr>
        <w:t>“</w:t>
      </w:r>
      <w:r>
        <w:rPr>
          <w:szCs w:val="21"/>
        </w:rPr>
        <w:t>预防为主，综合防治</w:t>
      </w:r>
      <w:r>
        <w:rPr>
          <w:rFonts w:hint="eastAsia" w:ascii="宋体" w:hAnsi="宋体" w:cs="宋体"/>
          <w:szCs w:val="21"/>
        </w:rPr>
        <w:t>”</w:t>
      </w:r>
      <w:r>
        <w:rPr>
          <w:szCs w:val="21"/>
        </w:rPr>
        <w:t>原则，对一些根浅、迎风、树冠庞大、枝叶过密以及立地条件差的树木，可根据情况分别采取立柱、绑扎、疏枝、扶正等措施。预防台风的各项工作应在台风来临季节前做好。风暴后，应</w:t>
      </w:r>
      <w:r>
        <w:rPr>
          <w:rFonts w:hint="eastAsia"/>
          <w:szCs w:val="21"/>
        </w:rPr>
        <w:t>及时</w:t>
      </w:r>
      <w:r>
        <w:rPr>
          <w:szCs w:val="21"/>
        </w:rPr>
        <w:t>进行抢救，首先是风暴林地等处树木。对于就地抢救难以成活的树木，应将树冠强截后移送苗圃栽种养护。对无法成活的树木，按规定程序审批后处理。风暴过后应及时拆除有碍交通、观瞻的加固物。</w:t>
      </w:r>
    </w:p>
    <w:p w14:paraId="1975EAEB">
      <w:pPr>
        <w:spacing w:line="360" w:lineRule="auto"/>
        <w:rPr>
          <w:szCs w:val="21"/>
        </w:rPr>
      </w:pPr>
      <w:r>
        <w:rPr>
          <w:szCs w:val="21"/>
        </w:rPr>
        <w:t>4.1.7.3</w:t>
      </w:r>
      <w:r>
        <w:rPr>
          <w:rFonts w:hint="eastAsia"/>
          <w:szCs w:val="21"/>
        </w:rPr>
        <w:t xml:space="preserve"> </w:t>
      </w:r>
      <w:r>
        <w:rPr>
          <w:szCs w:val="21"/>
        </w:rPr>
        <w:t xml:space="preserve"> 凡易受冻害的树木，冬季应按不同树种分别采取根际培土及覆草、主干包扎、修剪等防寒措施。防寒工作应在12月上旬前完成。对包扎保护越冬的树木，按树木耐寒程度和天气情况，在春分后逐步拆除其包扎物并即清运，最迟应在4月上旬前拆除清运完毕。对新栽种需防寒保护的珍贵树木，必要时应在树的西北面</w:t>
      </w:r>
      <w:r>
        <w:rPr>
          <w:rFonts w:hint="eastAsia"/>
          <w:szCs w:val="21"/>
        </w:rPr>
        <w:t>搭</w:t>
      </w:r>
      <w:r>
        <w:rPr>
          <w:szCs w:val="21"/>
        </w:rPr>
        <w:t>防风棚。</w:t>
      </w:r>
    </w:p>
    <w:p w14:paraId="6DE8A448">
      <w:pPr>
        <w:spacing w:line="360" w:lineRule="auto"/>
        <w:rPr>
          <w:szCs w:val="21"/>
        </w:rPr>
      </w:pPr>
      <w:r>
        <w:rPr>
          <w:szCs w:val="21"/>
        </w:rPr>
        <w:t>4.1.7.4</w:t>
      </w:r>
      <w:r>
        <w:rPr>
          <w:rFonts w:hint="eastAsia"/>
          <w:szCs w:val="21"/>
        </w:rPr>
        <w:t xml:space="preserve">  </w:t>
      </w:r>
      <w:r>
        <w:rPr>
          <w:szCs w:val="21"/>
        </w:rPr>
        <w:t>为防止雪压损枝，大雪时，应及时清除枝叶积雪。有倒伏危险的树木应立柱支撑保护。清除积雪时不得损伤树冠。</w:t>
      </w:r>
    </w:p>
    <w:p w14:paraId="6D7E2180">
      <w:pPr>
        <w:spacing w:line="360" w:lineRule="auto"/>
        <w:rPr>
          <w:szCs w:val="21"/>
        </w:rPr>
      </w:pPr>
      <w:r>
        <w:rPr>
          <w:szCs w:val="21"/>
        </w:rPr>
        <w:t xml:space="preserve">4.1.7.5 </w:t>
      </w:r>
      <w:r>
        <w:rPr>
          <w:rFonts w:hint="eastAsia"/>
          <w:szCs w:val="21"/>
        </w:rPr>
        <w:t xml:space="preserve"> </w:t>
      </w:r>
      <w:r>
        <w:rPr>
          <w:szCs w:val="21"/>
        </w:rPr>
        <w:t>对树干的空洞应及时填补。</w:t>
      </w:r>
    </w:p>
    <w:p w14:paraId="459F5C58">
      <w:pPr>
        <w:adjustRightInd w:val="0"/>
        <w:snapToGrid w:val="0"/>
        <w:spacing w:line="360" w:lineRule="auto"/>
        <w:jc w:val="center"/>
        <w:rPr>
          <w:rFonts w:eastAsia="黑体"/>
          <w:kern w:val="0"/>
          <w:szCs w:val="21"/>
        </w:rPr>
      </w:pPr>
      <w:r>
        <w:rPr>
          <w:rFonts w:eastAsia="黑体"/>
          <w:kern w:val="0"/>
          <w:szCs w:val="21"/>
        </w:rPr>
        <w:t>4.2  草本花卉养护</w:t>
      </w:r>
    </w:p>
    <w:p w14:paraId="2E993F16">
      <w:pPr>
        <w:spacing w:line="360" w:lineRule="auto"/>
        <w:rPr>
          <w:rFonts w:eastAsia="黑体"/>
          <w:kern w:val="0"/>
          <w:szCs w:val="21"/>
        </w:rPr>
      </w:pPr>
      <w:r>
        <w:rPr>
          <w:szCs w:val="21"/>
        </w:rPr>
        <w:t>4.2.1</w:t>
      </w:r>
      <w:r>
        <w:rPr>
          <w:rFonts w:hint="eastAsia"/>
          <w:szCs w:val="21"/>
        </w:rPr>
        <w:t xml:space="preserve"> </w:t>
      </w:r>
      <w:r>
        <w:rPr>
          <w:szCs w:val="21"/>
        </w:rPr>
        <w:t xml:space="preserve"> 应根据不同花卉品种和花坛的不同要求，制定养护技术措施。花坛每年换花应不少于6次，全年观赏期应不少于330天。每次换花期坛面裸露时间不得超过4天。花坛内应无明显缺株倒伏的花苗，枯枝残花率小于10%。</w:t>
      </w:r>
    </w:p>
    <w:p w14:paraId="20AD7F53">
      <w:pPr>
        <w:adjustRightInd w:val="0"/>
        <w:snapToGrid w:val="0"/>
        <w:spacing w:line="360" w:lineRule="auto"/>
        <w:rPr>
          <w:color w:val="000000"/>
          <w:szCs w:val="21"/>
        </w:rPr>
      </w:pPr>
      <w:r>
        <w:rPr>
          <w:rFonts w:eastAsia="黑体"/>
          <w:kern w:val="0"/>
          <w:szCs w:val="21"/>
        </w:rPr>
        <w:t>4.2.2</w:t>
      </w:r>
      <w:r>
        <w:rPr>
          <w:color w:val="000000"/>
          <w:szCs w:val="21"/>
        </w:rPr>
        <w:t xml:space="preserve"> </w:t>
      </w:r>
      <w:r>
        <w:rPr>
          <w:rFonts w:hint="eastAsia"/>
          <w:color w:val="000000"/>
          <w:szCs w:val="21"/>
        </w:rPr>
        <w:t xml:space="preserve"> </w:t>
      </w:r>
      <w:r>
        <w:rPr>
          <w:color w:val="000000"/>
          <w:szCs w:val="21"/>
        </w:rPr>
        <w:t>应根据不同花卉植物的生态习性、生物学特性、应用要求和周围环境状况，进行养护管理，使其适时开花，花繁色艳。</w:t>
      </w:r>
    </w:p>
    <w:p w14:paraId="63D39D9E">
      <w:pPr>
        <w:spacing w:line="360" w:lineRule="auto"/>
        <w:rPr>
          <w:szCs w:val="21"/>
        </w:rPr>
      </w:pPr>
      <w:r>
        <w:rPr>
          <w:szCs w:val="21"/>
        </w:rPr>
        <w:t xml:space="preserve">4.2.3 </w:t>
      </w:r>
      <w:r>
        <w:rPr>
          <w:rFonts w:hint="eastAsia"/>
          <w:szCs w:val="21"/>
        </w:rPr>
        <w:t xml:space="preserve"> </w:t>
      </w:r>
      <w:r>
        <w:rPr>
          <w:szCs w:val="21"/>
        </w:rPr>
        <w:t>花坛、花境换花除了间种以外，在移栽前必须深耕细耙，要去除土层20cm内的石块、草屑、残茎和落叶等杂物，并施足基肥。</w:t>
      </w:r>
    </w:p>
    <w:p w14:paraId="7C4068C4">
      <w:pPr>
        <w:adjustRightInd w:val="0"/>
        <w:snapToGrid w:val="0"/>
        <w:spacing w:line="360" w:lineRule="auto"/>
        <w:rPr>
          <w:color w:val="000000"/>
          <w:szCs w:val="21"/>
        </w:rPr>
      </w:pPr>
      <w:r>
        <w:rPr>
          <w:rFonts w:eastAsia="黑体"/>
          <w:kern w:val="0"/>
          <w:szCs w:val="21"/>
        </w:rPr>
        <w:t xml:space="preserve">4.2.4 </w:t>
      </w:r>
      <w:r>
        <w:rPr>
          <w:color w:val="000000"/>
          <w:szCs w:val="21"/>
        </w:rPr>
        <w:t xml:space="preserve"> 花坛、花境和各种容器栽植花卉应及时灌水，宿根花卉应特别注意返青水和冻水的浇灌时期和灌水量，矮牵牛等忌水涝花卉应注意排涝，花池应在适当位置加设排水孔。</w:t>
      </w:r>
    </w:p>
    <w:p w14:paraId="6D4C2FF2">
      <w:pPr>
        <w:adjustRightInd w:val="0"/>
        <w:snapToGrid w:val="0"/>
        <w:spacing w:line="360" w:lineRule="auto"/>
        <w:rPr>
          <w:color w:val="000000"/>
          <w:szCs w:val="21"/>
        </w:rPr>
      </w:pPr>
      <w:r>
        <w:rPr>
          <w:rFonts w:eastAsia="黑体"/>
          <w:kern w:val="0"/>
          <w:szCs w:val="21"/>
        </w:rPr>
        <w:t xml:space="preserve">4.2.5  </w:t>
      </w:r>
      <w:r>
        <w:rPr>
          <w:color w:val="000000"/>
          <w:szCs w:val="21"/>
        </w:rPr>
        <w:t>及时中耕除草，作业时不能伤根及造成根系裸露，宿根花卉萌芽期应特别注意保护新生嫩芽，同时及时剪除多余萌蘖。</w:t>
      </w:r>
    </w:p>
    <w:p w14:paraId="7FA9A21D">
      <w:pPr>
        <w:adjustRightInd w:val="0"/>
        <w:snapToGrid w:val="0"/>
        <w:spacing w:line="360" w:lineRule="auto"/>
        <w:rPr>
          <w:color w:val="000000"/>
          <w:szCs w:val="21"/>
        </w:rPr>
      </w:pPr>
      <w:r>
        <w:rPr>
          <w:rFonts w:eastAsia="黑体"/>
          <w:kern w:val="0"/>
          <w:szCs w:val="21"/>
        </w:rPr>
        <w:t xml:space="preserve">4.2.6 </w:t>
      </w:r>
      <w:r>
        <w:rPr>
          <w:color w:val="000000"/>
          <w:szCs w:val="21"/>
        </w:rPr>
        <w:t xml:space="preserve"> 结合浇灌和中耕适量施肥，保持土壤肥力和合理结构。</w:t>
      </w:r>
    </w:p>
    <w:p w14:paraId="76622AFE">
      <w:pPr>
        <w:adjustRightInd w:val="0"/>
        <w:snapToGrid w:val="0"/>
        <w:spacing w:line="360" w:lineRule="auto"/>
        <w:rPr>
          <w:color w:val="000000"/>
          <w:szCs w:val="21"/>
        </w:rPr>
      </w:pPr>
      <w:r>
        <w:rPr>
          <w:rFonts w:eastAsia="黑体"/>
          <w:kern w:val="0"/>
          <w:szCs w:val="21"/>
        </w:rPr>
        <w:t xml:space="preserve">4.2.6  </w:t>
      </w:r>
      <w:r>
        <w:rPr>
          <w:color w:val="000000"/>
          <w:szCs w:val="21"/>
        </w:rPr>
        <w:t>宿根花卉萌芽前应剪除上年残留枯枝、枯叶，花谢后应及时去除残花、残枝和枯叶，并加强肥水管理；1年生草花花后失去观赏价值的应及时更换。</w:t>
      </w:r>
    </w:p>
    <w:p w14:paraId="2C8F0081">
      <w:pPr>
        <w:adjustRightInd w:val="0"/>
        <w:snapToGrid w:val="0"/>
        <w:spacing w:line="360" w:lineRule="auto"/>
        <w:rPr>
          <w:color w:val="000000"/>
          <w:szCs w:val="21"/>
        </w:rPr>
      </w:pPr>
      <w:r>
        <w:rPr>
          <w:rFonts w:eastAsia="黑体"/>
          <w:kern w:val="0"/>
          <w:szCs w:val="21"/>
        </w:rPr>
        <w:t xml:space="preserve">4.2.8 </w:t>
      </w:r>
      <w:r>
        <w:rPr>
          <w:color w:val="000000"/>
          <w:szCs w:val="21"/>
        </w:rPr>
        <w:t xml:space="preserve"> 及时清理死苗，并按原品种、原规格补种。</w:t>
      </w:r>
    </w:p>
    <w:p w14:paraId="09BF42E0">
      <w:pPr>
        <w:adjustRightInd w:val="0"/>
        <w:snapToGrid w:val="0"/>
        <w:spacing w:line="360" w:lineRule="auto"/>
        <w:rPr>
          <w:color w:val="000000"/>
          <w:szCs w:val="21"/>
        </w:rPr>
      </w:pPr>
      <w:r>
        <w:rPr>
          <w:rFonts w:eastAsia="黑体"/>
          <w:kern w:val="0"/>
          <w:szCs w:val="21"/>
        </w:rPr>
        <w:t xml:space="preserve">4.2.9  </w:t>
      </w:r>
      <w:r>
        <w:rPr>
          <w:color w:val="000000"/>
          <w:szCs w:val="21"/>
        </w:rPr>
        <w:t>做好病虫害的防治工作。及时清理株间的枯枝落叶，对病虫害早发现早治理。</w:t>
      </w:r>
    </w:p>
    <w:p w14:paraId="5459F0DB">
      <w:pPr>
        <w:spacing w:line="360" w:lineRule="auto"/>
        <w:rPr>
          <w:color w:val="000000"/>
          <w:szCs w:val="21"/>
        </w:rPr>
      </w:pPr>
      <w:r>
        <w:rPr>
          <w:rFonts w:eastAsia="黑体"/>
          <w:kern w:val="0"/>
          <w:szCs w:val="21"/>
        </w:rPr>
        <w:t xml:space="preserve">4.2.10  </w:t>
      </w:r>
      <w:r>
        <w:rPr>
          <w:color w:val="000000"/>
          <w:szCs w:val="21"/>
        </w:rPr>
        <w:t>病虫害防治技术操作必须按照《农药操作规程》并参照《园林树木病虫害防治技术操作质量标准》进行作业。</w:t>
      </w:r>
    </w:p>
    <w:p w14:paraId="171D51A7">
      <w:pPr>
        <w:adjustRightInd w:val="0"/>
        <w:snapToGrid w:val="0"/>
        <w:spacing w:line="360" w:lineRule="auto"/>
        <w:rPr>
          <w:kern w:val="0"/>
          <w:szCs w:val="21"/>
        </w:rPr>
      </w:pPr>
      <w:r>
        <w:rPr>
          <w:rFonts w:eastAsia="黑体"/>
          <w:kern w:val="0"/>
          <w:szCs w:val="21"/>
        </w:rPr>
        <w:t xml:space="preserve">4.2.11 </w:t>
      </w:r>
      <w:r>
        <w:rPr>
          <w:color w:val="000000"/>
          <w:szCs w:val="21"/>
        </w:rPr>
        <w:t xml:space="preserve"> 对不耐寒的宿根花卉应分别采取覆土等不同防寒措施，确保安全越冬</w:t>
      </w:r>
      <w:r>
        <w:rPr>
          <w:rFonts w:hint="eastAsia"/>
          <w:color w:val="000000"/>
          <w:szCs w:val="21"/>
        </w:rPr>
        <w:t>。</w:t>
      </w:r>
    </w:p>
    <w:p w14:paraId="041F6A7F">
      <w:pPr>
        <w:adjustRightInd w:val="0"/>
        <w:snapToGrid w:val="0"/>
        <w:spacing w:line="360" w:lineRule="auto"/>
        <w:jc w:val="center"/>
        <w:rPr>
          <w:rFonts w:eastAsia="黑体"/>
          <w:kern w:val="0"/>
          <w:szCs w:val="21"/>
        </w:rPr>
      </w:pPr>
      <w:r>
        <w:rPr>
          <w:rFonts w:eastAsia="黑体"/>
          <w:kern w:val="0"/>
          <w:szCs w:val="21"/>
        </w:rPr>
        <w:t>4.3  草坪养护</w:t>
      </w:r>
    </w:p>
    <w:p w14:paraId="7A867BB2">
      <w:pPr>
        <w:adjustRightInd w:val="0"/>
        <w:snapToGrid w:val="0"/>
        <w:spacing w:line="360" w:lineRule="auto"/>
        <w:rPr>
          <w:color w:val="000000"/>
          <w:szCs w:val="21"/>
        </w:rPr>
      </w:pPr>
      <w:r>
        <w:rPr>
          <w:rFonts w:eastAsia="黑体"/>
          <w:kern w:val="0"/>
          <w:szCs w:val="21"/>
        </w:rPr>
        <w:t xml:space="preserve">4.3.1 </w:t>
      </w:r>
      <w:r>
        <w:rPr>
          <w:color w:val="000000"/>
          <w:szCs w:val="21"/>
        </w:rPr>
        <w:t xml:space="preserve"> 草坪的养护管理，应在了解各草种生长习性的基础上，根据立地条件、草坪的功能进行。</w:t>
      </w:r>
    </w:p>
    <w:p w14:paraId="5B44152D">
      <w:pPr>
        <w:adjustRightInd w:val="0"/>
        <w:snapToGrid w:val="0"/>
        <w:spacing w:line="360" w:lineRule="auto"/>
        <w:rPr>
          <w:color w:val="000000"/>
          <w:szCs w:val="21"/>
        </w:rPr>
      </w:pPr>
      <w:r>
        <w:rPr>
          <w:rFonts w:eastAsia="黑体"/>
          <w:kern w:val="0"/>
          <w:szCs w:val="21"/>
        </w:rPr>
        <w:t xml:space="preserve">4.3.2 </w:t>
      </w:r>
      <w:r>
        <w:rPr>
          <w:color w:val="000000"/>
          <w:szCs w:val="21"/>
        </w:rPr>
        <w:t xml:space="preserve"> 修剪</w:t>
      </w:r>
    </w:p>
    <w:p w14:paraId="22E11937">
      <w:pPr>
        <w:adjustRightInd w:val="0"/>
        <w:snapToGrid w:val="0"/>
        <w:spacing w:line="360" w:lineRule="auto"/>
        <w:rPr>
          <w:color w:val="000000"/>
          <w:szCs w:val="21"/>
        </w:rPr>
      </w:pPr>
      <w:r>
        <w:rPr>
          <w:rFonts w:eastAsia="黑体"/>
          <w:kern w:val="0"/>
          <w:szCs w:val="21"/>
        </w:rPr>
        <w:t>4.3.2.1</w:t>
      </w:r>
      <w:r>
        <w:rPr>
          <w:color w:val="000000"/>
          <w:szCs w:val="21"/>
        </w:rPr>
        <w:t xml:space="preserve">  草坪的修剪应根据不同草种的习性和观赏效果，进行定期修剪，使草的高度一致，边缘整齐。</w:t>
      </w:r>
    </w:p>
    <w:p w14:paraId="0D5FEA99">
      <w:pPr>
        <w:adjustRightInd w:val="0"/>
        <w:snapToGrid w:val="0"/>
        <w:spacing w:line="360" w:lineRule="auto"/>
        <w:rPr>
          <w:color w:val="000000"/>
          <w:szCs w:val="21"/>
        </w:rPr>
      </w:pPr>
      <w:r>
        <w:rPr>
          <w:rFonts w:eastAsia="黑体"/>
          <w:kern w:val="0"/>
          <w:szCs w:val="21"/>
        </w:rPr>
        <w:t xml:space="preserve">4.3.2.2 </w:t>
      </w:r>
      <w:r>
        <w:rPr>
          <w:color w:val="000000"/>
          <w:szCs w:val="21"/>
        </w:rPr>
        <w:t xml:space="preserve"> 剪草的高度以草种、季节、环境等因素而定。一次修剪高度原则上不大于草高的1/3。常用草坪植物的剪留高度见表1</w:t>
      </w:r>
    </w:p>
    <w:p w14:paraId="61E4EC7C">
      <w:pPr>
        <w:adjustRightInd w:val="0"/>
        <w:snapToGrid w:val="0"/>
        <w:spacing w:before="120" w:beforeLines="50" w:line="360" w:lineRule="auto"/>
        <w:jc w:val="center"/>
        <w:rPr>
          <w:rFonts w:eastAsia="黑体"/>
          <w:b/>
          <w:bCs/>
          <w:color w:val="000000"/>
          <w:szCs w:val="21"/>
        </w:rPr>
      </w:pPr>
      <w:r>
        <w:rPr>
          <w:rFonts w:eastAsia="黑体"/>
          <w:b/>
          <w:bCs/>
          <w:color w:val="000000"/>
          <w:szCs w:val="21"/>
        </w:rPr>
        <w:t>表1  常用草坪植物的剪留高度</w:t>
      </w:r>
    </w:p>
    <w:tbl>
      <w:tblPr>
        <w:tblStyle w:val="5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89"/>
        <w:gridCol w:w="3166"/>
        <w:gridCol w:w="2805"/>
      </w:tblGrid>
      <w:tr w14:paraId="5D5A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2" w:hRule="atLeast"/>
          <w:jc w:val="center"/>
        </w:trPr>
        <w:tc>
          <w:tcPr>
            <w:tcW w:w="1705" w:type="pct"/>
            <w:vAlign w:val="center"/>
          </w:tcPr>
          <w:p w14:paraId="70FDACB4">
            <w:pPr>
              <w:adjustRightInd w:val="0"/>
              <w:snapToGrid w:val="0"/>
              <w:spacing w:line="360" w:lineRule="auto"/>
              <w:jc w:val="center"/>
              <w:rPr>
                <w:color w:val="000000"/>
                <w:szCs w:val="21"/>
              </w:rPr>
            </w:pPr>
            <w:r>
              <w:rPr>
                <w:color w:val="000000"/>
                <w:szCs w:val="21"/>
              </w:rPr>
              <w:t>草 种</w:t>
            </w:r>
          </w:p>
        </w:tc>
        <w:tc>
          <w:tcPr>
            <w:tcW w:w="1747" w:type="pct"/>
            <w:vAlign w:val="center"/>
          </w:tcPr>
          <w:p w14:paraId="68D1967C">
            <w:pPr>
              <w:adjustRightInd w:val="0"/>
              <w:snapToGrid w:val="0"/>
              <w:spacing w:line="360" w:lineRule="auto"/>
              <w:jc w:val="center"/>
              <w:rPr>
                <w:color w:val="000000"/>
                <w:szCs w:val="21"/>
              </w:rPr>
            </w:pPr>
            <w:r>
              <w:rPr>
                <w:color w:val="000000"/>
                <w:szCs w:val="21"/>
              </w:rPr>
              <w:t>全光照剪留高度/cm</w:t>
            </w:r>
          </w:p>
        </w:tc>
        <w:tc>
          <w:tcPr>
            <w:tcW w:w="1548" w:type="pct"/>
            <w:vAlign w:val="center"/>
          </w:tcPr>
          <w:p w14:paraId="36C6C2E1">
            <w:pPr>
              <w:adjustRightInd w:val="0"/>
              <w:snapToGrid w:val="0"/>
              <w:spacing w:line="360" w:lineRule="auto"/>
              <w:jc w:val="center"/>
              <w:rPr>
                <w:color w:val="000000"/>
                <w:szCs w:val="21"/>
              </w:rPr>
            </w:pPr>
            <w:r>
              <w:rPr>
                <w:color w:val="000000"/>
                <w:szCs w:val="21"/>
              </w:rPr>
              <w:t>树荫下剪留高度/cm</w:t>
            </w:r>
          </w:p>
        </w:tc>
      </w:tr>
      <w:tr w14:paraId="0005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1705" w:type="pct"/>
            <w:tcBorders>
              <w:top w:val="single" w:color="auto" w:sz="4" w:space="0"/>
              <w:bottom w:val="single" w:color="auto" w:sz="4" w:space="0"/>
            </w:tcBorders>
            <w:vAlign w:val="center"/>
          </w:tcPr>
          <w:p w14:paraId="765374F8">
            <w:pPr>
              <w:adjustRightInd w:val="0"/>
              <w:snapToGrid w:val="0"/>
              <w:spacing w:line="360" w:lineRule="auto"/>
              <w:jc w:val="center"/>
              <w:rPr>
                <w:color w:val="000000"/>
                <w:szCs w:val="21"/>
              </w:rPr>
            </w:pPr>
            <w:r>
              <w:rPr>
                <w:color w:val="000000"/>
                <w:szCs w:val="21"/>
              </w:rPr>
              <w:t>结缕草</w:t>
            </w:r>
          </w:p>
        </w:tc>
        <w:tc>
          <w:tcPr>
            <w:tcW w:w="1747" w:type="pct"/>
            <w:tcBorders>
              <w:top w:val="single" w:color="auto" w:sz="4" w:space="0"/>
              <w:bottom w:val="single" w:color="auto" w:sz="4" w:space="0"/>
            </w:tcBorders>
            <w:vAlign w:val="center"/>
          </w:tcPr>
          <w:p w14:paraId="7C124F3B">
            <w:pPr>
              <w:adjustRightInd w:val="0"/>
              <w:snapToGrid w:val="0"/>
              <w:spacing w:line="360" w:lineRule="auto"/>
              <w:jc w:val="center"/>
              <w:rPr>
                <w:color w:val="000000"/>
                <w:szCs w:val="21"/>
              </w:rPr>
            </w:pPr>
            <w:r>
              <w:rPr>
                <w:color w:val="000000"/>
                <w:szCs w:val="21"/>
              </w:rPr>
              <w:t>3～5</w:t>
            </w:r>
          </w:p>
        </w:tc>
        <w:tc>
          <w:tcPr>
            <w:tcW w:w="1548" w:type="pct"/>
            <w:tcBorders>
              <w:top w:val="single" w:color="auto" w:sz="4" w:space="0"/>
              <w:bottom w:val="single" w:color="auto" w:sz="4" w:space="0"/>
            </w:tcBorders>
            <w:vAlign w:val="center"/>
          </w:tcPr>
          <w:p w14:paraId="534EAA80">
            <w:pPr>
              <w:adjustRightInd w:val="0"/>
              <w:snapToGrid w:val="0"/>
              <w:spacing w:line="360" w:lineRule="auto"/>
              <w:jc w:val="center"/>
              <w:rPr>
                <w:color w:val="000000"/>
                <w:szCs w:val="21"/>
              </w:rPr>
            </w:pPr>
            <w:r>
              <w:rPr>
                <w:color w:val="000000"/>
                <w:szCs w:val="21"/>
              </w:rPr>
              <w:t>6～7</w:t>
            </w:r>
          </w:p>
        </w:tc>
      </w:tr>
      <w:tr w14:paraId="3F9B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705" w:type="pct"/>
            <w:tcBorders>
              <w:top w:val="single" w:color="auto" w:sz="4" w:space="0"/>
              <w:bottom w:val="single" w:color="auto" w:sz="4" w:space="0"/>
            </w:tcBorders>
            <w:vAlign w:val="center"/>
          </w:tcPr>
          <w:p w14:paraId="2A5C18D2">
            <w:pPr>
              <w:adjustRightInd w:val="0"/>
              <w:snapToGrid w:val="0"/>
              <w:spacing w:line="360" w:lineRule="auto"/>
              <w:jc w:val="center"/>
              <w:rPr>
                <w:color w:val="000000"/>
                <w:szCs w:val="21"/>
              </w:rPr>
            </w:pPr>
            <w:r>
              <w:rPr>
                <w:color w:val="000000"/>
                <w:szCs w:val="21"/>
              </w:rPr>
              <w:t>高羊茅</w:t>
            </w:r>
          </w:p>
        </w:tc>
        <w:tc>
          <w:tcPr>
            <w:tcW w:w="1747" w:type="pct"/>
            <w:tcBorders>
              <w:top w:val="single" w:color="auto" w:sz="4" w:space="0"/>
              <w:bottom w:val="single" w:color="auto" w:sz="4" w:space="0"/>
            </w:tcBorders>
            <w:vAlign w:val="center"/>
          </w:tcPr>
          <w:p w14:paraId="670626C1">
            <w:pPr>
              <w:adjustRightInd w:val="0"/>
              <w:snapToGrid w:val="0"/>
              <w:spacing w:line="360" w:lineRule="auto"/>
              <w:jc w:val="center"/>
              <w:rPr>
                <w:color w:val="000000"/>
                <w:szCs w:val="21"/>
              </w:rPr>
            </w:pPr>
            <w:r>
              <w:rPr>
                <w:color w:val="000000"/>
                <w:szCs w:val="21"/>
              </w:rPr>
              <w:t>5～7</w:t>
            </w:r>
          </w:p>
        </w:tc>
        <w:tc>
          <w:tcPr>
            <w:tcW w:w="1548" w:type="pct"/>
            <w:tcBorders>
              <w:top w:val="single" w:color="auto" w:sz="4" w:space="0"/>
              <w:bottom w:val="single" w:color="auto" w:sz="4" w:space="0"/>
            </w:tcBorders>
            <w:vAlign w:val="center"/>
          </w:tcPr>
          <w:p w14:paraId="049F6F22">
            <w:pPr>
              <w:adjustRightInd w:val="0"/>
              <w:snapToGrid w:val="0"/>
              <w:spacing w:line="360" w:lineRule="auto"/>
              <w:jc w:val="center"/>
              <w:rPr>
                <w:color w:val="000000"/>
                <w:szCs w:val="21"/>
              </w:rPr>
            </w:pPr>
            <w:r>
              <w:rPr>
                <w:color w:val="000000"/>
                <w:szCs w:val="21"/>
              </w:rPr>
              <w:t>8～10</w:t>
            </w:r>
          </w:p>
        </w:tc>
      </w:tr>
      <w:tr w14:paraId="5DC3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5" w:hRule="atLeast"/>
          <w:jc w:val="center"/>
        </w:trPr>
        <w:tc>
          <w:tcPr>
            <w:tcW w:w="1705" w:type="pct"/>
            <w:tcBorders>
              <w:top w:val="single" w:color="auto" w:sz="4" w:space="0"/>
              <w:bottom w:val="single" w:color="auto" w:sz="4" w:space="0"/>
            </w:tcBorders>
            <w:vAlign w:val="center"/>
          </w:tcPr>
          <w:p w14:paraId="0606C2D9">
            <w:pPr>
              <w:adjustRightInd w:val="0"/>
              <w:snapToGrid w:val="0"/>
              <w:spacing w:line="360" w:lineRule="auto"/>
              <w:jc w:val="center"/>
              <w:rPr>
                <w:color w:val="000000"/>
                <w:szCs w:val="21"/>
              </w:rPr>
            </w:pPr>
            <w:r>
              <w:rPr>
                <w:color w:val="000000"/>
                <w:szCs w:val="21"/>
              </w:rPr>
              <w:t>黑麦草</w:t>
            </w:r>
          </w:p>
        </w:tc>
        <w:tc>
          <w:tcPr>
            <w:tcW w:w="1747" w:type="pct"/>
            <w:tcBorders>
              <w:top w:val="single" w:color="auto" w:sz="4" w:space="0"/>
              <w:bottom w:val="single" w:color="auto" w:sz="4" w:space="0"/>
            </w:tcBorders>
            <w:vAlign w:val="center"/>
          </w:tcPr>
          <w:p w14:paraId="36DE20E9">
            <w:pPr>
              <w:adjustRightInd w:val="0"/>
              <w:snapToGrid w:val="0"/>
              <w:spacing w:line="360" w:lineRule="auto"/>
              <w:jc w:val="center"/>
              <w:rPr>
                <w:color w:val="000000"/>
                <w:szCs w:val="21"/>
              </w:rPr>
            </w:pPr>
            <w:r>
              <w:rPr>
                <w:color w:val="000000"/>
                <w:szCs w:val="21"/>
              </w:rPr>
              <w:t>4～6</w:t>
            </w:r>
          </w:p>
        </w:tc>
        <w:tc>
          <w:tcPr>
            <w:tcW w:w="1548" w:type="pct"/>
            <w:tcBorders>
              <w:top w:val="single" w:color="auto" w:sz="4" w:space="0"/>
              <w:bottom w:val="single" w:color="auto" w:sz="4" w:space="0"/>
            </w:tcBorders>
            <w:vAlign w:val="center"/>
          </w:tcPr>
          <w:p w14:paraId="2FC60BB1">
            <w:pPr>
              <w:adjustRightInd w:val="0"/>
              <w:snapToGrid w:val="0"/>
              <w:spacing w:line="360" w:lineRule="auto"/>
              <w:jc w:val="center"/>
              <w:rPr>
                <w:color w:val="000000"/>
                <w:szCs w:val="21"/>
              </w:rPr>
            </w:pPr>
            <w:r>
              <w:rPr>
                <w:color w:val="000000"/>
                <w:szCs w:val="21"/>
              </w:rPr>
              <w:t>8～10</w:t>
            </w:r>
          </w:p>
        </w:tc>
      </w:tr>
      <w:tr w14:paraId="556C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3" w:hRule="atLeast"/>
          <w:jc w:val="center"/>
        </w:trPr>
        <w:tc>
          <w:tcPr>
            <w:tcW w:w="1705" w:type="pct"/>
            <w:tcBorders>
              <w:top w:val="single" w:color="auto" w:sz="4" w:space="0"/>
              <w:bottom w:val="single" w:color="auto" w:sz="4" w:space="0"/>
            </w:tcBorders>
            <w:vAlign w:val="center"/>
          </w:tcPr>
          <w:p w14:paraId="50FEB56F">
            <w:pPr>
              <w:adjustRightInd w:val="0"/>
              <w:snapToGrid w:val="0"/>
              <w:spacing w:line="360" w:lineRule="auto"/>
              <w:jc w:val="center"/>
              <w:rPr>
                <w:color w:val="000000"/>
                <w:szCs w:val="21"/>
              </w:rPr>
            </w:pPr>
            <w:r>
              <w:rPr>
                <w:color w:val="000000"/>
                <w:szCs w:val="21"/>
              </w:rPr>
              <w:t>匍匐翦股颖</w:t>
            </w:r>
          </w:p>
        </w:tc>
        <w:tc>
          <w:tcPr>
            <w:tcW w:w="1747" w:type="pct"/>
            <w:tcBorders>
              <w:top w:val="single" w:color="auto" w:sz="4" w:space="0"/>
              <w:bottom w:val="single" w:color="auto" w:sz="4" w:space="0"/>
            </w:tcBorders>
            <w:vAlign w:val="center"/>
          </w:tcPr>
          <w:p w14:paraId="1CAD88CB">
            <w:pPr>
              <w:adjustRightInd w:val="0"/>
              <w:snapToGrid w:val="0"/>
              <w:spacing w:line="360" w:lineRule="auto"/>
              <w:jc w:val="center"/>
              <w:rPr>
                <w:color w:val="000000"/>
                <w:szCs w:val="21"/>
              </w:rPr>
            </w:pPr>
            <w:r>
              <w:rPr>
                <w:color w:val="000000"/>
                <w:szCs w:val="21"/>
              </w:rPr>
              <w:t>3～5</w:t>
            </w:r>
          </w:p>
        </w:tc>
        <w:tc>
          <w:tcPr>
            <w:tcW w:w="1548" w:type="pct"/>
            <w:tcBorders>
              <w:top w:val="single" w:color="auto" w:sz="4" w:space="0"/>
              <w:bottom w:val="single" w:color="auto" w:sz="4" w:space="0"/>
            </w:tcBorders>
            <w:vAlign w:val="center"/>
          </w:tcPr>
          <w:p w14:paraId="3D985BEF">
            <w:pPr>
              <w:adjustRightInd w:val="0"/>
              <w:snapToGrid w:val="0"/>
              <w:spacing w:line="360" w:lineRule="auto"/>
              <w:jc w:val="center"/>
              <w:rPr>
                <w:color w:val="000000"/>
                <w:szCs w:val="21"/>
              </w:rPr>
            </w:pPr>
            <w:r>
              <w:rPr>
                <w:color w:val="000000"/>
                <w:szCs w:val="21"/>
              </w:rPr>
              <w:t>7～9</w:t>
            </w:r>
          </w:p>
        </w:tc>
      </w:tr>
      <w:tr w14:paraId="72D3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8" w:hRule="atLeast"/>
          <w:jc w:val="center"/>
        </w:trPr>
        <w:tc>
          <w:tcPr>
            <w:tcW w:w="1705" w:type="pct"/>
            <w:tcBorders>
              <w:top w:val="single" w:color="auto" w:sz="4" w:space="0"/>
              <w:bottom w:val="single" w:color="auto" w:sz="4" w:space="0"/>
            </w:tcBorders>
            <w:vAlign w:val="center"/>
          </w:tcPr>
          <w:p w14:paraId="2F1DAF77">
            <w:pPr>
              <w:adjustRightInd w:val="0"/>
              <w:snapToGrid w:val="0"/>
              <w:spacing w:line="360" w:lineRule="auto"/>
              <w:jc w:val="center"/>
              <w:rPr>
                <w:color w:val="000000"/>
                <w:szCs w:val="21"/>
              </w:rPr>
            </w:pPr>
            <w:r>
              <w:rPr>
                <w:color w:val="000000"/>
                <w:szCs w:val="21"/>
              </w:rPr>
              <w:t>马尼拉</w:t>
            </w:r>
          </w:p>
        </w:tc>
        <w:tc>
          <w:tcPr>
            <w:tcW w:w="1747" w:type="pct"/>
            <w:tcBorders>
              <w:top w:val="single" w:color="auto" w:sz="4" w:space="0"/>
              <w:bottom w:val="single" w:color="auto" w:sz="4" w:space="0"/>
            </w:tcBorders>
            <w:vAlign w:val="center"/>
          </w:tcPr>
          <w:p w14:paraId="2D48AEBB">
            <w:pPr>
              <w:adjustRightInd w:val="0"/>
              <w:snapToGrid w:val="0"/>
              <w:spacing w:line="360" w:lineRule="auto"/>
              <w:jc w:val="center"/>
              <w:rPr>
                <w:color w:val="000000"/>
                <w:szCs w:val="21"/>
              </w:rPr>
            </w:pPr>
            <w:r>
              <w:rPr>
                <w:color w:val="000000"/>
                <w:szCs w:val="21"/>
              </w:rPr>
              <w:t>5～8</w:t>
            </w:r>
          </w:p>
        </w:tc>
        <w:tc>
          <w:tcPr>
            <w:tcW w:w="1548" w:type="pct"/>
            <w:tcBorders>
              <w:top w:val="single" w:color="auto" w:sz="4" w:space="0"/>
              <w:bottom w:val="single" w:color="auto" w:sz="4" w:space="0"/>
            </w:tcBorders>
            <w:vAlign w:val="center"/>
          </w:tcPr>
          <w:p w14:paraId="6F397155">
            <w:pPr>
              <w:adjustRightInd w:val="0"/>
              <w:snapToGrid w:val="0"/>
              <w:spacing w:line="360" w:lineRule="auto"/>
              <w:jc w:val="center"/>
              <w:rPr>
                <w:color w:val="000000"/>
                <w:szCs w:val="21"/>
              </w:rPr>
            </w:pPr>
            <w:r>
              <w:rPr>
                <w:color w:val="000000"/>
                <w:szCs w:val="21"/>
              </w:rPr>
              <w:t>8～10</w:t>
            </w:r>
          </w:p>
        </w:tc>
      </w:tr>
      <w:tr w14:paraId="388D0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2" w:hRule="atLeast"/>
          <w:jc w:val="center"/>
        </w:trPr>
        <w:tc>
          <w:tcPr>
            <w:tcW w:w="1705" w:type="pct"/>
            <w:tcBorders>
              <w:top w:val="single" w:color="auto" w:sz="4" w:space="0"/>
            </w:tcBorders>
            <w:vAlign w:val="center"/>
          </w:tcPr>
          <w:p w14:paraId="6314A826">
            <w:pPr>
              <w:adjustRightInd w:val="0"/>
              <w:snapToGrid w:val="0"/>
              <w:spacing w:line="360" w:lineRule="auto"/>
              <w:jc w:val="center"/>
              <w:rPr>
                <w:color w:val="000000"/>
                <w:szCs w:val="21"/>
              </w:rPr>
            </w:pPr>
            <w:r>
              <w:rPr>
                <w:color w:val="000000"/>
                <w:szCs w:val="21"/>
              </w:rPr>
              <w:t>狗芽根</w:t>
            </w:r>
          </w:p>
        </w:tc>
        <w:tc>
          <w:tcPr>
            <w:tcW w:w="1747" w:type="pct"/>
            <w:tcBorders>
              <w:top w:val="single" w:color="auto" w:sz="4" w:space="0"/>
            </w:tcBorders>
            <w:vAlign w:val="center"/>
          </w:tcPr>
          <w:p w14:paraId="0681A23D">
            <w:pPr>
              <w:adjustRightInd w:val="0"/>
              <w:snapToGrid w:val="0"/>
              <w:spacing w:line="360" w:lineRule="auto"/>
              <w:jc w:val="center"/>
              <w:rPr>
                <w:color w:val="000000"/>
                <w:szCs w:val="21"/>
              </w:rPr>
            </w:pPr>
            <w:r>
              <w:rPr>
                <w:color w:val="000000"/>
                <w:szCs w:val="21"/>
              </w:rPr>
              <w:t>5～8</w:t>
            </w:r>
          </w:p>
        </w:tc>
        <w:tc>
          <w:tcPr>
            <w:tcW w:w="1548" w:type="pct"/>
            <w:tcBorders>
              <w:top w:val="single" w:color="auto" w:sz="4" w:space="0"/>
            </w:tcBorders>
            <w:vAlign w:val="center"/>
          </w:tcPr>
          <w:p w14:paraId="0209C43E">
            <w:pPr>
              <w:adjustRightInd w:val="0"/>
              <w:snapToGrid w:val="0"/>
              <w:spacing w:line="360" w:lineRule="auto"/>
              <w:jc w:val="center"/>
              <w:rPr>
                <w:color w:val="000000"/>
                <w:szCs w:val="21"/>
              </w:rPr>
            </w:pPr>
            <w:r>
              <w:rPr>
                <w:color w:val="000000"/>
                <w:szCs w:val="21"/>
              </w:rPr>
              <w:t>8～10</w:t>
            </w:r>
          </w:p>
        </w:tc>
      </w:tr>
    </w:tbl>
    <w:p w14:paraId="4892EC49">
      <w:pPr>
        <w:adjustRightInd w:val="0"/>
        <w:snapToGrid w:val="0"/>
        <w:spacing w:before="120" w:beforeLines="50" w:line="360" w:lineRule="auto"/>
        <w:rPr>
          <w:color w:val="000000"/>
          <w:szCs w:val="21"/>
        </w:rPr>
      </w:pPr>
      <w:r>
        <w:rPr>
          <w:rFonts w:eastAsia="黑体"/>
          <w:kern w:val="0"/>
          <w:szCs w:val="21"/>
        </w:rPr>
        <w:t xml:space="preserve">4.3.2.3 </w:t>
      </w:r>
      <w:r>
        <w:rPr>
          <w:color w:val="000000"/>
          <w:szCs w:val="21"/>
        </w:rPr>
        <w:t xml:space="preserve"> 草坪植物的修剪次数依不同的草种、不同的管理水平和不同的环境条件来确定：</w:t>
      </w:r>
    </w:p>
    <w:p w14:paraId="3BC93E0F">
      <w:pPr>
        <w:adjustRightInd w:val="0"/>
        <w:snapToGrid w:val="0"/>
        <w:spacing w:line="360" w:lineRule="auto"/>
        <w:rPr>
          <w:color w:val="000000"/>
          <w:szCs w:val="21"/>
        </w:rPr>
      </w:pPr>
      <w:r>
        <w:rPr>
          <w:rFonts w:eastAsia="黑体"/>
          <w:kern w:val="0"/>
          <w:szCs w:val="21"/>
        </w:rPr>
        <w:t xml:space="preserve">4.3.3 </w:t>
      </w:r>
      <w:r>
        <w:rPr>
          <w:color w:val="000000"/>
          <w:szCs w:val="21"/>
        </w:rPr>
        <w:t xml:space="preserve"> 浇水</w:t>
      </w:r>
      <w:r>
        <w:rPr>
          <w:rFonts w:hint="eastAsia"/>
          <w:color w:val="000000"/>
          <w:szCs w:val="21"/>
        </w:rPr>
        <w:t xml:space="preserve">  </w:t>
      </w:r>
      <w:r>
        <w:rPr>
          <w:color w:val="000000"/>
          <w:szCs w:val="21"/>
        </w:rPr>
        <w:t>除土壤封冻期外，人工草坪应适时进行浇灌，每次要浇足浇透，浇水深度不低于20cm。雨季应注意排水，干热天气尤其是冷季型草应适当喷水降温保护草地。</w:t>
      </w:r>
    </w:p>
    <w:p w14:paraId="72F5C71F">
      <w:pPr>
        <w:adjustRightInd w:val="0"/>
        <w:snapToGrid w:val="0"/>
        <w:spacing w:line="360" w:lineRule="auto"/>
        <w:rPr>
          <w:color w:val="000000"/>
          <w:szCs w:val="21"/>
        </w:rPr>
      </w:pPr>
      <w:r>
        <w:rPr>
          <w:rFonts w:eastAsia="黑体"/>
          <w:kern w:val="0"/>
          <w:szCs w:val="21"/>
        </w:rPr>
        <w:t xml:space="preserve">4.3.4 </w:t>
      </w:r>
      <w:r>
        <w:rPr>
          <w:color w:val="000000"/>
          <w:szCs w:val="21"/>
        </w:rPr>
        <w:t xml:space="preserve"> 施肥</w:t>
      </w:r>
    </w:p>
    <w:p w14:paraId="6E04C96A">
      <w:pPr>
        <w:adjustRightInd w:val="0"/>
        <w:snapToGrid w:val="0"/>
        <w:spacing w:line="360" w:lineRule="auto"/>
        <w:rPr>
          <w:color w:val="000000"/>
          <w:szCs w:val="21"/>
        </w:rPr>
      </w:pPr>
      <w:r>
        <w:rPr>
          <w:rFonts w:eastAsia="黑体"/>
          <w:kern w:val="0"/>
          <w:szCs w:val="21"/>
        </w:rPr>
        <w:t xml:space="preserve">4.3.4.1 </w:t>
      </w:r>
      <w:r>
        <w:rPr>
          <w:color w:val="000000"/>
          <w:szCs w:val="21"/>
        </w:rPr>
        <w:t xml:space="preserve"> 草坪建植时应施基肥，之后每年应根据草坪草的生长状况进行适当追肥。</w:t>
      </w:r>
    </w:p>
    <w:p w14:paraId="0658C4A3">
      <w:pPr>
        <w:adjustRightInd w:val="0"/>
        <w:snapToGrid w:val="0"/>
        <w:spacing w:line="360" w:lineRule="auto"/>
        <w:rPr>
          <w:color w:val="000000"/>
          <w:szCs w:val="21"/>
        </w:rPr>
      </w:pPr>
      <w:r>
        <w:rPr>
          <w:rFonts w:eastAsia="黑体"/>
          <w:kern w:val="0"/>
          <w:szCs w:val="21"/>
        </w:rPr>
        <w:t xml:space="preserve">4.3.4.2  </w:t>
      </w:r>
      <w:r>
        <w:rPr>
          <w:color w:val="000000"/>
          <w:szCs w:val="21"/>
        </w:rPr>
        <w:t>施肥时期和施肥量：冷季型草坪返青前，可施腐熟粉碎的有机肥，施肥量50 g/m</w:t>
      </w:r>
      <w:r>
        <w:rPr>
          <w:color w:val="000000"/>
          <w:szCs w:val="21"/>
          <w:vertAlign w:val="superscript"/>
        </w:rPr>
        <w:t>2</w:t>
      </w:r>
      <w:r>
        <w:rPr>
          <w:color w:val="000000"/>
          <w:szCs w:val="21"/>
        </w:rPr>
        <w:t>~150g/m</w:t>
      </w:r>
      <w:r>
        <w:rPr>
          <w:color w:val="000000"/>
          <w:szCs w:val="21"/>
          <w:vertAlign w:val="superscript"/>
        </w:rPr>
        <w:t>2</w:t>
      </w:r>
      <w:r>
        <w:rPr>
          <w:color w:val="000000"/>
          <w:szCs w:val="21"/>
        </w:rPr>
        <w:t>，或施10 g/m</w:t>
      </w:r>
      <w:r>
        <w:rPr>
          <w:color w:val="000000"/>
          <w:szCs w:val="21"/>
          <w:vertAlign w:val="superscript"/>
        </w:rPr>
        <w:t>2</w:t>
      </w:r>
      <w:r>
        <w:rPr>
          <w:color w:val="000000"/>
          <w:szCs w:val="21"/>
        </w:rPr>
        <w:t>尿素或10 g/m</w:t>
      </w:r>
      <w:r>
        <w:rPr>
          <w:color w:val="000000"/>
          <w:szCs w:val="21"/>
          <w:vertAlign w:val="superscript"/>
        </w:rPr>
        <w:t>2</w:t>
      </w:r>
      <w:r>
        <w:rPr>
          <w:color w:val="000000"/>
          <w:szCs w:val="21"/>
        </w:rPr>
        <w:t>磷酸二铵等；生长期应视草情，适当增施磷、钾肥；晚秋，可施氮、磷、钾复合肥或纯氮肥2次~3次，每次约10g/m</w:t>
      </w:r>
      <w:r>
        <w:rPr>
          <w:color w:val="000000"/>
          <w:szCs w:val="21"/>
          <w:vertAlign w:val="superscript"/>
        </w:rPr>
        <w:t>2</w:t>
      </w:r>
      <w:r>
        <w:rPr>
          <w:color w:val="000000"/>
          <w:szCs w:val="21"/>
        </w:rPr>
        <w:t>~15g/m</w:t>
      </w:r>
      <w:r>
        <w:rPr>
          <w:color w:val="000000"/>
          <w:szCs w:val="21"/>
          <w:vertAlign w:val="superscript"/>
        </w:rPr>
        <w:t>2</w:t>
      </w:r>
      <w:r>
        <w:rPr>
          <w:color w:val="000000"/>
          <w:szCs w:val="21"/>
        </w:rPr>
        <w:t>。暖季型草，如马尼拉等可于4月和9月各施10 g/m</w:t>
      </w:r>
      <w:r>
        <w:rPr>
          <w:color w:val="000000"/>
          <w:szCs w:val="21"/>
          <w:vertAlign w:val="superscript"/>
        </w:rPr>
        <w:t>2</w:t>
      </w:r>
      <w:r>
        <w:rPr>
          <w:color w:val="000000"/>
          <w:szCs w:val="21"/>
        </w:rPr>
        <w:t>尿素。</w:t>
      </w:r>
    </w:p>
    <w:p w14:paraId="7502B98F">
      <w:pPr>
        <w:adjustRightInd w:val="0"/>
        <w:snapToGrid w:val="0"/>
        <w:spacing w:line="360" w:lineRule="auto"/>
        <w:rPr>
          <w:color w:val="000000"/>
          <w:szCs w:val="21"/>
        </w:rPr>
      </w:pPr>
      <w:r>
        <w:rPr>
          <w:rFonts w:eastAsia="黑体"/>
          <w:kern w:val="0"/>
          <w:szCs w:val="21"/>
        </w:rPr>
        <w:t xml:space="preserve">4.3.4.3 </w:t>
      </w:r>
      <w:r>
        <w:rPr>
          <w:color w:val="000000"/>
          <w:szCs w:val="21"/>
        </w:rPr>
        <w:t xml:space="preserve"> 草坪施肥必须均匀，撒施后及时灌水。</w:t>
      </w:r>
    </w:p>
    <w:p w14:paraId="2EA0D5DF">
      <w:pPr>
        <w:adjustRightInd w:val="0"/>
        <w:snapToGrid w:val="0"/>
        <w:spacing w:line="360" w:lineRule="auto"/>
        <w:rPr>
          <w:color w:val="000000"/>
          <w:szCs w:val="21"/>
        </w:rPr>
      </w:pPr>
      <w:r>
        <w:rPr>
          <w:rFonts w:eastAsia="黑体"/>
          <w:kern w:val="0"/>
          <w:szCs w:val="21"/>
        </w:rPr>
        <w:t xml:space="preserve">4.3.5 </w:t>
      </w:r>
      <w:r>
        <w:rPr>
          <w:color w:val="000000"/>
          <w:szCs w:val="21"/>
        </w:rPr>
        <w:t xml:space="preserve"> 除杂草、补植</w:t>
      </w:r>
    </w:p>
    <w:p w14:paraId="2B4D34B0">
      <w:pPr>
        <w:adjustRightInd w:val="0"/>
        <w:snapToGrid w:val="0"/>
        <w:spacing w:line="360" w:lineRule="auto"/>
        <w:rPr>
          <w:color w:val="000000"/>
          <w:szCs w:val="21"/>
        </w:rPr>
      </w:pPr>
      <w:r>
        <w:rPr>
          <w:rFonts w:eastAsia="黑体"/>
          <w:kern w:val="0"/>
          <w:szCs w:val="21"/>
        </w:rPr>
        <w:t xml:space="preserve">4.3.5.1 </w:t>
      </w:r>
      <w:r>
        <w:rPr>
          <w:color w:val="000000"/>
          <w:szCs w:val="21"/>
        </w:rPr>
        <w:t xml:space="preserve"> 人工建植的草坪要及时清除杂草，保持草坪纯度。</w:t>
      </w:r>
    </w:p>
    <w:p w14:paraId="0167CBDC">
      <w:pPr>
        <w:spacing w:line="360" w:lineRule="auto"/>
        <w:rPr>
          <w:color w:val="000000"/>
          <w:szCs w:val="21"/>
        </w:rPr>
      </w:pPr>
      <w:r>
        <w:rPr>
          <w:rFonts w:eastAsia="黑体"/>
          <w:kern w:val="0"/>
          <w:szCs w:val="21"/>
        </w:rPr>
        <w:t xml:space="preserve">4.3.5.2 </w:t>
      </w:r>
      <w:r>
        <w:rPr>
          <w:color w:val="000000"/>
          <w:szCs w:val="21"/>
        </w:rPr>
        <w:t xml:space="preserve"> 禁止使用化学除草剂。</w:t>
      </w:r>
    </w:p>
    <w:p w14:paraId="1C29FAFF">
      <w:pPr>
        <w:adjustRightInd w:val="0"/>
        <w:snapToGrid w:val="0"/>
        <w:spacing w:line="360" w:lineRule="auto"/>
        <w:rPr>
          <w:color w:val="000000"/>
          <w:szCs w:val="21"/>
        </w:rPr>
      </w:pPr>
      <w:r>
        <w:rPr>
          <w:rFonts w:eastAsia="黑体"/>
          <w:kern w:val="0"/>
          <w:szCs w:val="21"/>
        </w:rPr>
        <w:t xml:space="preserve">4.3.5.3 </w:t>
      </w:r>
      <w:r>
        <w:rPr>
          <w:color w:val="000000"/>
          <w:szCs w:val="21"/>
        </w:rPr>
        <w:t xml:space="preserve"> 对被破坏或其他原因引起死亡的草坪草应及时更换补植，使草坪保持完整，无裸露地面。</w:t>
      </w:r>
    </w:p>
    <w:p w14:paraId="0FE6BD7B">
      <w:pPr>
        <w:adjustRightInd w:val="0"/>
        <w:snapToGrid w:val="0"/>
        <w:spacing w:line="360" w:lineRule="auto"/>
        <w:rPr>
          <w:color w:val="000000"/>
          <w:szCs w:val="21"/>
        </w:rPr>
      </w:pPr>
      <w:r>
        <w:rPr>
          <w:rFonts w:eastAsia="黑体"/>
          <w:kern w:val="0"/>
          <w:szCs w:val="21"/>
        </w:rPr>
        <w:t xml:space="preserve">4.3.5.4 </w:t>
      </w:r>
      <w:r>
        <w:rPr>
          <w:color w:val="000000"/>
          <w:szCs w:val="21"/>
        </w:rPr>
        <w:t xml:space="preserve"> 补植时应补种与原草坪相同的草种；适当密植，并加强管理养护，尽快与周围草坪一致。</w:t>
      </w:r>
    </w:p>
    <w:p w14:paraId="3986D054">
      <w:pPr>
        <w:adjustRightInd w:val="0"/>
        <w:snapToGrid w:val="0"/>
        <w:spacing w:line="360" w:lineRule="auto"/>
        <w:rPr>
          <w:color w:val="000000"/>
          <w:szCs w:val="21"/>
        </w:rPr>
      </w:pPr>
      <w:r>
        <w:rPr>
          <w:rFonts w:eastAsia="黑体"/>
          <w:kern w:val="0"/>
          <w:szCs w:val="21"/>
        </w:rPr>
        <w:t>4.3.5.5</w:t>
      </w:r>
      <w:r>
        <w:rPr>
          <w:color w:val="000000"/>
          <w:szCs w:val="21"/>
        </w:rPr>
        <w:t xml:space="preserve">  种植三年生以上草坪应采取打孔透气、疏草等措施。</w:t>
      </w:r>
    </w:p>
    <w:p w14:paraId="06803333">
      <w:pPr>
        <w:adjustRightInd w:val="0"/>
        <w:snapToGrid w:val="0"/>
        <w:spacing w:line="360" w:lineRule="auto"/>
        <w:rPr>
          <w:color w:val="000000"/>
          <w:szCs w:val="21"/>
        </w:rPr>
      </w:pPr>
      <w:r>
        <w:rPr>
          <w:rFonts w:eastAsia="黑体"/>
          <w:kern w:val="0"/>
          <w:szCs w:val="21"/>
        </w:rPr>
        <w:t>4.3.6</w:t>
      </w:r>
      <w:r>
        <w:rPr>
          <w:rFonts w:hint="eastAsia" w:eastAsia="黑体"/>
          <w:kern w:val="0"/>
          <w:szCs w:val="21"/>
        </w:rPr>
        <w:t xml:space="preserve">  </w:t>
      </w:r>
      <w:r>
        <w:rPr>
          <w:color w:val="000000"/>
          <w:szCs w:val="21"/>
        </w:rPr>
        <w:t>病虫害防治</w:t>
      </w:r>
    </w:p>
    <w:p w14:paraId="5E2AFA50">
      <w:pPr>
        <w:adjustRightInd w:val="0"/>
        <w:snapToGrid w:val="0"/>
        <w:spacing w:line="360" w:lineRule="auto"/>
        <w:rPr>
          <w:color w:val="000000"/>
          <w:szCs w:val="21"/>
        </w:rPr>
      </w:pPr>
      <w:r>
        <w:rPr>
          <w:rFonts w:eastAsia="黑体"/>
          <w:kern w:val="0"/>
          <w:szCs w:val="21"/>
        </w:rPr>
        <w:t>4.3.6.1</w:t>
      </w:r>
      <w:r>
        <w:rPr>
          <w:color w:val="000000"/>
          <w:szCs w:val="21"/>
        </w:rPr>
        <w:t xml:space="preserve">  草坪的病虫害防治，应在加强养护管理的基础上，以防为主，综合防治。</w:t>
      </w:r>
    </w:p>
    <w:p w14:paraId="14D56F01">
      <w:pPr>
        <w:adjustRightInd w:val="0"/>
        <w:snapToGrid w:val="0"/>
        <w:spacing w:line="360" w:lineRule="auto"/>
        <w:rPr>
          <w:color w:val="000000"/>
          <w:szCs w:val="21"/>
        </w:rPr>
      </w:pPr>
      <w:r>
        <w:rPr>
          <w:rFonts w:eastAsia="黑体"/>
          <w:kern w:val="0"/>
          <w:szCs w:val="21"/>
        </w:rPr>
        <w:t xml:space="preserve">4.3.6.2 </w:t>
      </w:r>
      <w:r>
        <w:rPr>
          <w:color w:val="000000"/>
          <w:szCs w:val="21"/>
        </w:rPr>
        <w:t xml:space="preserve"> 草坪病害以冷季型草最为严重。化学防治应在5月初开始，此后根据病情适时喷药。 </w:t>
      </w:r>
    </w:p>
    <w:p w14:paraId="508047AF">
      <w:pPr>
        <w:spacing w:line="360" w:lineRule="auto"/>
        <w:rPr>
          <w:color w:val="000000"/>
          <w:szCs w:val="21"/>
        </w:rPr>
      </w:pPr>
      <w:r>
        <w:rPr>
          <w:rFonts w:eastAsia="黑体"/>
          <w:kern w:val="0"/>
          <w:szCs w:val="21"/>
        </w:rPr>
        <w:t>4.3.6.3</w:t>
      </w:r>
      <w:r>
        <w:rPr>
          <w:color w:val="000000"/>
          <w:szCs w:val="21"/>
        </w:rPr>
        <w:t xml:space="preserve">  草坪病虫害防治技术操作必须按照《农药操作规程》并参照《园林树木病虫害防治技术操作质量标准》进行作业。</w:t>
      </w:r>
    </w:p>
    <w:p w14:paraId="4C570856">
      <w:pPr>
        <w:spacing w:line="360" w:lineRule="auto"/>
        <w:jc w:val="center"/>
        <w:rPr>
          <w:b/>
          <w:szCs w:val="21"/>
        </w:rPr>
      </w:pPr>
      <w:r>
        <w:rPr>
          <w:rFonts w:eastAsia="黑体"/>
          <w:kern w:val="0"/>
          <w:szCs w:val="21"/>
        </w:rPr>
        <w:t>4.4</w:t>
      </w:r>
      <w:r>
        <w:rPr>
          <w:b/>
          <w:szCs w:val="21"/>
        </w:rPr>
        <w:t xml:space="preserve"> </w:t>
      </w:r>
      <w:r>
        <w:rPr>
          <w:rFonts w:hint="eastAsia"/>
          <w:b/>
          <w:szCs w:val="21"/>
        </w:rPr>
        <w:t xml:space="preserve"> </w:t>
      </w:r>
      <w:r>
        <w:rPr>
          <w:rFonts w:eastAsia="黑体"/>
          <w:kern w:val="0"/>
          <w:szCs w:val="21"/>
        </w:rPr>
        <w:t>地 被</w:t>
      </w:r>
    </w:p>
    <w:p w14:paraId="1E8EF284">
      <w:pPr>
        <w:spacing w:line="360" w:lineRule="auto"/>
        <w:rPr>
          <w:szCs w:val="21"/>
        </w:rPr>
      </w:pPr>
      <w:r>
        <w:rPr>
          <w:szCs w:val="21"/>
        </w:rPr>
        <w:t>4</w:t>
      </w:r>
      <w:r>
        <w:rPr>
          <w:rFonts w:eastAsia="黑体"/>
          <w:kern w:val="0"/>
          <w:szCs w:val="21"/>
        </w:rPr>
        <w:t>.</w:t>
      </w:r>
      <w:r>
        <w:rPr>
          <w:szCs w:val="21"/>
        </w:rPr>
        <w:t>4</w:t>
      </w:r>
      <w:r>
        <w:rPr>
          <w:rFonts w:eastAsia="黑体"/>
          <w:kern w:val="0"/>
          <w:szCs w:val="21"/>
        </w:rPr>
        <w:t>.</w:t>
      </w:r>
      <w:r>
        <w:rPr>
          <w:szCs w:val="21"/>
        </w:rPr>
        <w:t xml:space="preserve">1 </w:t>
      </w:r>
      <w:r>
        <w:rPr>
          <w:rFonts w:hint="eastAsia"/>
          <w:szCs w:val="21"/>
        </w:rPr>
        <w:t xml:space="preserve"> </w:t>
      </w:r>
      <w:r>
        <w:rPr>
          <w:szCs w:val="21"/>
        </w:rPr>
        <w:t>地被植物在未覆盖地面期间，每年应及时除去杂草、中耕若干次；清除废弃物、除草、中耕时，应防止损伤地被植物的根系。</w:t>
      </w:r>
    </w:p>
    <w:p w14:paraId="0280D9C8">
      <w:pPr>
        <w:spacing w:line="360" w:lineRule="auto"/>
        <w:rPr>
          <w:szCs w:val="21"/>
        </w:rPr>
      </w:pPr>
      <w:r>
        <w:rPr>
          <w:szCs w:val="21"/>
        </w:rPr>
        <w:t>4</w:t>
      </w:r>
      <w:r>
        <w:rPr>
          <w:rFonts w:eastAsia="黑体"/>
          <w:kern w:val="0"/>
          <w:szCs w:val="21"/>
        </w:rPr>
        <w:t>.</w:t>
      </w:r>
      <w:r>
        <w:rPr>
          <w:szCs w:val="21"/>
        </w:rPr>
        <w:t>4</w:t>
      </w:r>
      <w:r>
        <w:rPr>
          <w:rFonts w:eastAsia="黑体"/>
          <w:kern w:val="0"/>
          <w:szCs w:val="21"/>
        </w:rPr>
        <w:t>.</w:t>
      </w:r>
      <w:r>
        <w:rPr>
          <w:rFonts w:hint="eastAsia" w:eastAsia="黑体"/>
          <w:szCs w:val="21"/>
        </w:rPr>
        <w:t>2</w:t>
      </w:r>
      <w:r>
        <w:rPr>
          <w:szCs w:val="21"/>
        </w:rPr>
        <w:t xml:space="preserve"> </w:t>
      </w:r>
      <w:r>
        <w:rPr>
          <w:rFonts w:hint="eastAsia"/>
          <w:szCs w:val="21"/>
        </w:rPr>
        <w:t xml:space="preserve"> </w:t>
      </w:r>
      <w:r>
        <w:rPr>
          <w:szCs w:val="21"/>
        </w:rPr>
        <w:t>天气干旱、土壤干燥时，要适时、适量进行浇水。早春发芽前期采取薄肥勤施的方法进行普遍施肥。开花的地被植物应在花前和花后各施一次追肥，肥料以腐熟的有机肥为主，亦可施复合肥。</w:t>
      </w:r>
    </w:p>
    <w:p w14:paraId="62BF1E6D">
      <w:pPr>
        <w:spacing w:line="360" w:lineRule="auto"/>
        <w:rPr>
          <w:szCs w:val="21"/>
        </w:rPr>
      </w:pPr>
      <w:r>
        <w:rPr>
          <w:szCs w:val="21"/>
        </w:rPr>
        <w:t>4</w:t>
      </w:r>
      <w:r>
        <w:rPr>
          <w:rFonts w:eastAsia="黑体"/>
          <w:kern w:val="0"/>
          <w:szCs w:val="21"/>
        </w:rPr>
        <w:t>.</w:t>
      </w:r>
      <w:r>
        <w:rPr>
          <w:szCs w:val="21"/>
        </w:rPr>
        <w:t>4</w:t>
      </w:r>
      <w:r>
        <w:rPr>
          <w:rFonts w:eastAsia="黑体"/>
          <w:kern w:val="0"/>
          <w:szCs w:val="21"/>
        </w:rPr>
        <w:t>.</w:t>
      </w:r>
      <w:r>
        <w:rPr>
          <w:rFonts w:hint="eastAsia" w:eastAsia="黑体"/>
          <w:szCs w:val="21"/>
        </w:rPr>
        <w:t>3</w:t>
      </w:r>
      <w:r>
        <w:rPr>
          <w:szCs w:val="21"/>
        </w:rPr>
        <w:t xml:space="preserve"> </w:t>
      </w:r>
      <w:r>
        <w:rPr>
          <w:rFonts w:hint="eastAsia"/>
          <w:szCs w:val="21"/>
        </w:rPr>
        <w:t xml:space="preserve"> </w:t>
      </w:r>
      <w:r>
        <w:rPr>
          <w:szCs w:val="21"/>
        </w:rPr>
        <w:t>发现枯死植物应及时挖除并补植。影响景观的枯叶残花要随时整理清除。</w:t>
      </w:r>
    </w:p>
    <w:p w14:paraId="7D6918DE">
      <w:pPr>
        <w:spacing w:line="360" w:lineRule="auto"/>
        <w:rPr>
          <w:szCs w:val="21"/>
        </w:rPr>
      </w:pPr>
      <w:r>
        <w:rPr>
          <w:szCs w:val="21"/>
        </w:rPr>
        <w:t>4</w:t>
      </w:r>
      <w:r>
        <w:rPr>
          <w:rFonts w:eastAsia="黑体"/>
          <w:kern w:val="0"/>
          <w:szCs w:val="21"/>
        </w:rPr>
        <w:t>.</w:t>
      </w:r>
      <w:r>
        <w:rPr>
          <w:szCs w:val="21"/>
        </w:rPr>
        <w:t>4</w:t>
      </w:r>
      <w:r>
        <w:rPr>
          <w:rFonts w:eastAsia="黑体"/>
          <w:kern w:val="0"/>
          <w:szCs w:val="21"/>
        </w:rPr>
        <w:t>.</w:t>
      </w:r>
      <w:r>
        <w:rPr>
          <w:rFonts w:hint="eastAsia" w:eastAsia="黑体"/>
          <w:szCs w:val="21"/>
        </w:rPr>
        <w:t>4</w:t>
      </w:r>
      <w:r>
        <w:rPr>
          <w:szCs w:val="21"/>
        </w:rPr>
        <w:t xml:space="preserve"> </w:t>
      </w:r>
      <w:r>
        <w:rPr>
          <w:rFonts w:hint="eastAsia"/>
          <w:szCs w:val="21"/>
        </w:rPr>
        <w:t xml:space="preserve"> </w:t>
      </w:r>
      <w:r>
        <w:rPr>
          <w:szCs w:val="21"/>
        </w:rPr>
        <w:t>木本地被植物萌发能力强者，应根据生物学特性进行修剪。应使植株在生长期间，始终保持在高度不超过60cm的低矮状态。</w:t>
      </w:r>
    </w:p>
    <w:p w14:paraId="46D2C89E">
      <w:pPr>
        <w:spacing w:line="360" w:lineRule="auto"/>
        <w:rPr>
          <w:rFonts w:eastAsia="黑体"/>
          <w:kern w:val="0"/>
          <w:szCs w:val="21"/>
        </w:rPr>
      </w:pPr>
      <w:r>
        <w:rPr>
          <w:szCs w:val="21"/>
        </w:rPr>
        <w:t>4</w:t>
      </w:r>
      <w:r>
        <w:rPr>
          <w:rFonts w:eastAsia="黑体"/>
          <w:kern w:val="0"/>
          <w:szCs w:val="21"/>
        </w:rPr>
        <w:t>.</w:t>
      </w:r>
      <w:r>
        <w:rPr>
          <w:szCs w:val="21"/>
        </w:rPr>
        <w:t>4</w:t>
      </w:r>
      <w:r>
        <w:rPr>
          <w:rFonts w:eastAsia="黑体"/>
          <w:kern w:val="0"/>
          <w:szCs w:val="21"/>
        </w:rPr>
        <w:t>.</w:t>
      </w:r>
      <w:r>
        <w:rPr>
          <w:rFonts w:hint="eastAsia" w:eastAsia="黑体"/>
          <w:szCs w:val="21"/>
        </w:rPr>
        <w:t>5</w:t>
      </w:r>
      <w:r>
        <w:rPr>
          <w:szCs w:val="21"/>
        </w:rPr>
        <w:t xml:space="preserve"> </w:t>
      </w:r>
      <w:r>
        <w:rPr>
          <w:rFonts w:hint="eastAsia"/>
          <w:szCs w:val="21"/>
        </w:rPr>
        <w:t xml:space="preserve"> </w:t>
      </w:r>
      <w:r>
        <w:rPr>
          <w:szCs w:val="21"/>
        </w:rPr>
        <w:t>球根、宿根类地被植物，经3~4年生长后，根部拥挤以至影响其正常发育时，应按不同类群的生理习性进行分株，更新移植。</w:t>
      </w:r>
    </w:p>
    <w:p w14:paraId="08D2C2F5">
      <w:pPr>
        <w:spacing w:line="360" w:lineRule="auto"/>
        <w:jc w:val="center"/>
        <w:rPr>
          <w:rFonts w:eastAsia="黑体"/>
          <w:kern w:val="0"/>
          <w:szCs w:val="21"/>
        </w:rPr>
      </w:pPr>
      <w:r>
        <w:rPr>
          <w:rFonts w:eastAsia="黑体"/>
          <w:kern w:val="0"/>
          <w:szCs w:val="21"/>
        </w:rPr>
        <w:t>4.5  竹类养护</w:t>
      </w:r>
    </w:p>
    <w:p w14:paraId="4CF65515">
      <w:pPr>
        <w:spacing w:line="360" w:lineRule="auto"/>
        <w:rPr>
          <w:color w:val="000000"/>
          <w:szCs w:val="21"/>
        </w:rPr>
      </w:pPr>
      <w:r>
        <w:rPr>
          <w:rFonts w:eastAsia="黑体"/>
          <w:kern w:val="0"/>
          <w:szCs w:val="21"/>
        </w:rPr>
        <w:t xml:space="preserve">4.5.1 </w:t>
      </w:r>
      <w:r>
        <w:rPr>
          <w:color w:val="000000"/>
          <w:szCs w:val="21"/>
        </w:rPr>
        <w:t xml:space="preserve"> 本技术规程是以本校引种成功的雷竹、毛竹、孝顺竹、金镶玉竹、黄槽竹、箬竹等养护管理方法为主，其它品种可参照执行。 </w:t>
      </w:r>
    </w:p>
    <w:p w14:paraId="59C17780">
      <w:pPr>
        <w:spacing w:line="360" w:lineRule="auto"/>
        <w:rPr>
          <w:color w:val="000000"/>
          <w:szCs w:val="21"/>
        </w:rPr>
      </w:pPr>
      <w:r>
        <w:rPr>
          <w:rFonts w:eastAsia="黑体"/>
          <w:kern w:val="0"/>
          <w:szCs w:val="21"/>
        </w:rPr>
        <w:t xml:space="preserve">4.5.2 </w:t>
      </w:r>
      <w:r>
        <w:rPr>
          <w:color w:val="000000"/>
          <w:szCs w:val="21"/>
        </w:rPr>
        <w:t xml:space="preserve"> 间伐修剪</w:t>
      </w:r>
    </w:p>
    <w:p w14:paraId="68F0311E">
      <w:pPr>
        <w:spacing w:line="360" w:lineRule="auto"/>
        <w:rPr>
          <w:color w:val="000000"/>
          <w:szCs w:val="21"/>
        </w:rPr>
      </w:pPr>
      <w:r>
        <w:rPr>
          <w:rFonts w:eastAsia="黑体"/>
          <w:kern w:val="0"/>
          <w:szCs w:val="21"/>
        </w:rPr>
        <w:t xml:space="preserve">4.5.2.1 </w:t>
      </w:r>
      <w:r>
        <w:rPr>
          <w:color w:val="000000"/>
          <w:szCs w:val="21"/>
        </w:rPr>
        <w:t xml:space="preserve"> 竹林的间伐修剪应在晚秋或冬季进行，间伐以保留4、5年生以下立竹，去除6、7年以上，尤其是10年生以上老竹的原则进行。使竹林立竹年龄组成为1年~2年竹占40％左右，3年~4年竹占45％以上，5年竹占15％左右。</w:t>
      </w:r>
    </w:p>
    <w:p w14:paraId="3DA4EA48">
      <w:pPr>
        <w:spacing w:line="360" w:lineRule="auto"/>
        <w:rPr>
          <w:color w:val="000000"/>
          <w:szCs w:val="21"/>
        </w:rPr>
      </w:pPr>
      <w:r>
        <w:rPr>
          <w:rFonts w:eastAsia="黑体"/>
          <w:kern w:val="0"/>
          <w:szCs w:val="21"/>
        </w:rPr>
        <w:t xml:space="preserve">4.5.2.2 </w:t>
      </w:r>
      <w:r>
        <w:rPr>
          <w:color w:val="000000"/>
          <w:szCs w:val="21"/>
        </w:rPr>
        <w:t xml:space="preserve"> 应及时清除枯死竹干和枝条，砍除老竹、病竹和倒伏竹。</w:t>
      </w:r>
    </w:p>
    <w:p w14:paraId="714987D8">
      <w:pPr>
        <w:spacing w:line="360" w:lineRule="auto"/>
        <w:rPr>
          <w:color w:val="000000"/>
          <w:szCs w:val="21"/>
        </w:rPr>
      </w:pPr>
      <w:r>
        <w:rPr>
          <w:rFonts w:eastAsia="黑体"/>
          <w:kern w:val="0"/>
          <w:szCs w:val="21"/>
        </w:rPr>
        <w:t xml:space="preserve">4.5.2.3 </w:t>
      </w:r>
      <w:r>
        <w:rPr>
          <w:color w:val="000000"/>
          <w:szCs w:val="21"/>
        </w:rPr>
        <w:t xml:space="preserve"> 竹林过密应适当间伐或间移，使留竹分布均匀，并及时用土杂肥回填土坑。</w:t>
      </w:r>
    </w:p>
    <w:p w14:paraId="62B8D528">
      <w:pPr>
        <w:spacing w:line="360" w:lineRule="auto"/>
        <w:rPr>
          <w:color w:val="000000"/>
          <w:szCs w:val="21"/>
        </w:rPr>
      </w:pPr>
      <w:r>
        <w:rPr>
          <w:rFonts w:eastAsia="黑体"/>
          <w:kern w:val="0"/>
          <w:szCs w:val="21"/>
        </w:rPr>
        <w:t xml:space="preserve">4.5.3 </w:t>
      </w:r>
      <w:r>
        <w:rPr>
          <w:color w:val="000000"/>
          <w:szCs w:val="21"/>
        </w:rPr>
        <w:t xml:space="preserve"> 施肥</w:t>
      </w:r>
    </w:p>
    <w:p w14:paraId="43A71EB0">
      <w:pPr>
        <w:spacing w:line="360" w:lineRule="auto"/>
        <w:rPr>
          <w:color w:val="000000"/>
          <w:szCs w:val="21"/>
        </w:rPr>
      </w:pPr>
      <w:r>
        <w:rPr>
          <w:rFonts w:eastAsia="黑体"/>
          <w:kern w:val="0"/>
          <w:szCs w:val="21"/>
        </w:rPr>
        <w:t>4.5.3.1</w:t>
      </w:r>
      <w:r>
        <w:rPr>
          <w:color w:val="000000"/>
          <w:szCs w:val="21"/>
        </w:rPr>
        <w:t xml:space="preserve">  竹林应以施有机肥为主，并适量加入含铁的复合肥料，肥料中氮、磷、钾的比例以5:2:4为宜。最佳施肥时间为早春3月和9月~10月。</w:t>
      </w:r>
    </w:p>
    <w:p w14:paraId="2BFF6608">
      <w:pPr>
        <w:spacing w:line="360" w:lineRule="auto"/>
        <w:rPr>
          <w:color w:val="000000"/>
          <w:szCs w:val="21"/>
        </w:rPr>
      </w:pPr>
      <w:r>
        <w:rPr>
          <w:rFonts w:eastAsia="黑体"/>
          <w:kern w:val="0"/>
          <w:szCs w:val="21"/>
        </w:rPr>
        <w:t>4.5.3.2</w:t>
      </w:r>
      <w:r>
        <w:rPr>
          <w:color w:val="000000"/>
          <w:szCs w:val="21"/>
        </w:rPr>
        <w:t xml:space="preserve">  应在竹林计划延伸的位置，深翻土地，并压入青草或填有机质含量高的土杂肥。</w:t>
      </w:r>
    </w:p>
    <w:p w14:paraId="1E054612">
      <w:pPr>
        <w:spacing w:line="360" w:lineRule="auto"/>
        <w:rPr>
          <w:color w:val="000000"/>
          <w:szCs w:val="21"/>
        </w:rPr>
      </w:pPr>
      <w:r>
        <w:rPr>
          <w:rFonts w:eastAsia="黑体"/>
          <w:kern w:val="0"/>
          <w:szCs w:val="21"/>
        </w:rPr>
        <w:t xml:space="preserve">4.5.4 </w:t>
      </w:r>
      <w:r>
        <w:rPr>
          <w:color w:val="000000"/>
          <w:szCs w:val="21"/>
        </w:rPr>
        <w:t xml:space="preserve"> 浇水</w:t>
      </w:r>
    </w:p>
    <w:p w14:paraId="427DFA9E">
      <w:pPr>
        <w:spacing w:line="360" w:lineRule="auto"/>
        <w:rPr>
          <w:color w:val="000000"/>
          <w:szCs w:val="21"/>
        </w:rPr>
      </w:pPr>
      <w:r>
        <w:rPr>
          <w:rFonts w:eastAsia="黑体"/>
          <w:kern w:val="0"/>
          <w:szCs w:val="21"/>
        </w:rPr>
        <w:t>4.5.4.1</w:t>
      </w:r>
      <w:r>
        <w:rPr>
          <w:color w:val="000000"/>
          <w:szCs w:val="21"/>
        </w:rPr>
        <w:t xml:space="preserve">  应于每年春季出笋前（3月）浇足催笋水，5、6月浇足拔节水。雨季可视降雨情况浇水，秋季（11月、12月上旬）浇孕笋水，冬季过于干旱时可适当喷水。 </w:t>
      </w:r>
    </w:p>
    <w:p w14:paraId="22A918C8">
      <w:pPr>
        <w:spacing w:line="360" w:lineRule="auto"/>
        <w:rPr>
          <w:color w:val="000000"/>
          <w:szCs w:val="21"/>
        </w:rPr>
      </w:pPr>
      <w:r>
        <w:rPr>
          <w:rFonts w:eastAsia="黑体"/>
          <w:kern w:val="0"/>
          <w:szCs w:val="21"/>
        </w:rPr>
        <w:t>4.5.5</w:t>
      </w:r>
      <w:r>
        <w:rPr>
          <w:color w:val="000000"/>
          <w:szCs w:val="21"/>
        </w:rPr>
        <w:t xml:space="preserve">  管理</w:t>
      </w:r>
    </w:p>
    <w:p w14:paraId="0618AEAC">
      <w:pPr>
        <w:spacing w:line="360" w:lineRule="auto"/>
        <w:rPr>
          <w:color w:val="000000"/>
          <w:szCs w:val="21"/>
        </w:rPr>
      </w:pPr>
      <w:r>
        <w:rPr>
          <w:rFonts w:eastAsia="黑体"/>
          <w:kern w:val="0"/>
          <w:szCs w:val="21"/>
        </w:rPr>
        <w:t xml:space="preserve">4.5.5.1 </w:t>
      </w:r>
      <w:r>
        <w:rPr>
          <w:color w:val="000000"/>
          <w:szCs w:val="21"/>
        </w:rPr>
        <w:t xml:space="preserve"> 竹林每经过3年~5年，应深翻、断鞭，将4年生以上的老鞭及每年砍伐后的竹蔸挖出。</w:t>
      </w:r>
    </w:p>
    <w:p w14:paraId="3C413B9B">
      <w:pPr>
        <w:spacing w:line="360" w:lineRule="auto"/>
        <w:rPr>
          <w:color w:val="000000"/>
          <w:szCs w:val="21"/>
        </w:rPr>
      </w:pPr>
      <w:r>
        <w:rPr>
          <w:rFonts w:eastAsia="黑体"/>
          <w:kern w:val="0"/>
          <w:szCs w:val="21"/>
        </w:rPr>
        <w:t xml:space="preserve">4.5.5.2 </w:t>
      </w:r>
      <w:r>
        <w:rPr>
          <w:color w:val="000000"/>
          <w:szCs w:val="21"/>
        </w:rPr>
        <w:t xml:space="preserve"> 过密竹林应于11月适当钩梢，未钩梢的密竹林，应于降雪后及时抖掉竹梢积雪。</w:t>
      </w:r>
    </w:p>
    <w:p w14:paraId="69BD5EF4">
      <w:pPr>
        <w:spacing w:line="360" w:lineRule="auto"/>
        <w:rPr>
          <w:color w:val="000000"/>
          <w:szCs w:val="21"/>
        </w:rPr>
      </w:pPr>
      <w:r>
        <w:rPr>
          <w:rFonts w:eastAsia="黑体"/>
          <w:kern w:val="0"/>
          <w:szCs w:val="21"/>
        </w:rPr>
        <w:t xml:space="preserve">4.5.5.3 </w:t>
      </w:r>
      <w:r>
        <w:rPr>
          <w:color w:val="000000"/>
          <w:szCs w:val="21"/>
        </w:rPr>
        <w:t xml:space="preserve"> 竹林应于每年初冬适量培土。</w:t>
      </w:r>
    </w:p>
    <w:p w14:paraId="7710D730">
      <w:pPr>
        <w:spacing w:line="360" w:lineRule="auto"/>
        <w:rPr>
          <w:color w:val="000000"/>
          <w:szCs w:val="21"/>
        </w:rPr>
      </w:pPr>
      <w:r>
        <w:rPr>
          <w:rFonts w:eastAsia="黑体"/>
          <w:kern w:val="0"/>
          <w:szCs w:val="21"/>
        </w:rPr>
        <w:t xml:space="preserve">4.5.5.4 </w:t>
      </w:r>
      <w:r>
        <w:rPr>
          <w:color w:val="000000"/>
          <w:szCs w:val="21"/>
        </w:rPr>
        <w:t xml:space="preserve"> 下雪时应及时去除竹林上残雪。</w:t>
      </w:r>
    </w:p>
    <w:p w14:paraId="094A637F">
      <w:pPr>
        <w:spacing w:line="360" w:lineRule="auto"/>
        <w:rPr>
          <w:color w:val="000000"/>
          <w:szCs w:val="21"/>
        </w:rPr>
      </w:pPr>
      <w:r>
        <w:rPr>
          <w:rFonts w:eastAsia="黑体"/>
          <w:kern w:val="0"/>
          <w:szCs w:val="21"/>
        </w:rPr>
        <w:t xml:space="preserve">4.5.6  </w:t>
      </w:r>
      <w:r>
        <w:rPr>
          <w:color w:val="000000"/>
          <w:szCs w:val="21"/>
        </w:rPr>
        <w:t>病虫害防治</w:t>
      </w:r>
    </w:p>
    <w:p w14:paraId="32D99C47">
      <w:pPr>
        <w:spacing w:line="360" w:lineRule="auto"/>
        <w:rPr>
          <w:color w:val="000000"/>
          <w:szCs w:val="21"/>
        </w:rPr>
      </w:pPr>
      <w:r>
        <w:rPr>
          <w:rFonts w:eastAsia="黑体"/>
          <w:kern w:val="0"/>
          <w:szCs w:val="21"/>
        </w:rPr>
        <w:t xml:space="preserve">4.5.6.1 </w:t>
      </w:r>
      <w:r>
        <w:rPr>
          <w:color w:val="000000"/>
          <w:szCs w:val="21"/>
        </w:rPr>
        <w:t xml:space="preserve"> 病虫害防治以预防为主，综合防治。应以控制红蜘蛛、蚜虫等为主，经常检查，掌握虫情发展规律，及时防治。</w:t>
      </w:r>
    </w:p>
    <w:p w14:paraId="0BE83371">
      <w:pPr>
        <w:spacing w:line="360" w:lineRule="auto"/>
        <w:rPr>
          <w:color w:val="000000"/>
          <w:szCs w:val="21"/>
        </w:rPr>
      </w:pPr>
      <w:r>
        <w:rPr>
          <w:rFonts w:eastAsia="黑体"/>
          <w:kern w:val="0"/>
          <w:szCs w:val="21"/>
        </w:rPr>
        <w:t xml:space="preserve">4.5.6.2  </w:t>
      </w:r>
      <w:r>
        <w:rPr>
          <w:color w:val="000000"/>
          <w:szCs w:val="21"/>
        </w:rPr>
        <w:t>竹林应加强抚育管理，保留适当密度，使竹林通风透光、生长健壮。</w:t>
      </w:r>
    </w:p>
    <w:p w14:paraId="4E206FDD">
      <w:pPr>
        <w:spacing w:line="360" w:lineRule="auto"/>
        <w:rPr>
          <w:color w:val="000000"/>
          <w:szCs w:val="21"/>
        </w:rPr>
      </w:pPr>
      <w:r>
        <w:rPr>
          <w:rFonts w:eastAsia="黑体"/>
          <w:kern w:val="0"/>
          <w:szCs w:val="21"/>
        </w:rPr>
        <w:t xml:space="preserve">4.5.6.3 </w:t>
      </w:r>
      <w:r>
        <w:rPr>
          <w:color w:val="000000"/>
          <w:szCs w:val="21"/>
        </w:rPr>
        <w:t xml:space="preserve"> 应注意因干旱、水湿、冷冻、日灼、风害、缺肥等所致生理性病害的防治。</w:t>
      </w:r>
    </w:p>
    <w:p w14:paraId="0B76275D">
      <w:pPr>
        <w:spacing w:line="360" w:lineRule="auto"/>
        <w:rPr>
          <w:rFonts w:eastAsia="黑体"/>
          <w:kern w:val="0"/>
          <w:szCs w:val="21"/>
        </w:rPr>
      </w:pPr>
      <w:r>
        <w:rPr>
          <w:rFonts w:eastAsia="黑体"/>
          <w:kern w:val="0"/>
          <w:szCs w:val="21"/>
        </w:rPr>
        <w:t xml:space="preserve">4.5.6.4 </w:t>
      </w:r>
      <w:r>
        <w:rPr>
          <w:color w:val="000000"/>
          <w:szCs w:val="21"/>
        </w:rPr>
        <w:t xml:space="preserve"> 病虫害防治技术操作必须按照《农药操作规程》并参照《园林树木病虫害防治技术操作质量标准》进行作业。</w:t>
      </w:r>
    </w:p>
    <w:p w14:paraId="74C04F1C">
      <w:pPr>
        <w:spacing w:line="360" w:lineRule="auto"/>
        <w:jc w:val="center"/>
        <w:rPr>
          <w:szCs w:val="21"/>
        </w:rPr>
      </w:pPr>
      <w:r>
        <w:rPr>
          <w:szCs w:val="21"/>
        </w:rPr>
        <w:t>4.6</w:t>
      </w:r>
      <w:r>
        <w:rPr>
          <w:b/>
          <w:bCs/>
          <w:szCs w:val="21"/>
        </w:rPr>
        <w:t xml:space="preserve"> </w:t>
      </w:r>
      <w:r>
        <w:rPr>
          <w:rFonts w:hint="eastAsia"/>
          <w:b/>
          <w:bCs/>
          <w:szCs w:val="21"/>
        </w:rPr>
        <w:t xml:space="preserve"> </w:t>
      </w:r>
      <w:r>
        <w:rPr>
          <w:rFonts w:eastAsia="黑体"/>
          <w:kern w:val="0"/>
          <w:szCs w:val="21"/>
        </w:rPr>
        <w:t>水生植物养护</w:t>
      </w:r>
    </w:p>
    <w:p w14:paraId="6F2B0A10">
      <w:pPr>
        <w:spacing w:line="360" w:lineRule="auto"/>
        <w:rPr>
          <w:szCs w:val="21"/>
        </w:rPr>
      </w:pPr>
      <w:r>
        <w:rPr>
          <w:szCs w:val="21"/>
        </w:rPr>
        <w:t xml:space="preserve">4.6.1 </w:t>
      </w:r>
      <w:r>
        <w:rPr>
          <w:rFonts w:hint="eastAsia"/>
          <w:szCs w:val="21"/>
        </w:rPr>
        <w:t xml:space="preserve"> </w:t>
      </w:r>
      <w:r>
        <w:rPr>
          <w:szCs w:val="21"/>
        </w:rPr>
        <w:t>东湖、官塘内水生植物的生长范围应严格控制，防止影响水面倒影。超出范围的叶片，应在水面以下随时割除。</w:t>
      </w:r>
    </w:p>
    <w:p w14:paraId="11ADC460">
      <w:pPr>
        <w:spacing w:line="360" w:lineRule="auto"/>
        <w:rPr>
          <w:szCs w:val="21"/>
        </w:rPr>
      </w:pPr>
      <w:r>
        <w:rPr>
          <w:szCs w:val="21"/>
        </w:rPr>
        <w:t xml:space="preserve">4.6.2 </w:t>
      </w:r>
      <w:r>
        <w:rPr>
          <w:rFonts w:hint="eastAsia"/>
          <w:szCs w:val="21"/>
        </w:rPr>
        <w:t xml:space="preserve"> </w:t>
      </w:r>
      <w:r>
        <w:rPr>
          <w:szCs w:val="21"/>
        </w:rPr>
        <w:t>水生植物应做好病虫害防治工作。</w:t>
      </w:r>
    </w:p>
    <w:p w14:paraId="4A92867E">
      <w:pPr>
        <w:spacing w:line="360" w:lineRule="auto"/>
        <w:rPr>
          <w:szCs w:val="21"/>
        </w:rPr>
      </w:pPr>
      <w:r>
        <w:rPr>
          <w:szCs w:val="21"/>
        </w:rPr>
        <w:t xml:space="preserve">4.6.3 </w:t>
      </w:r>
      <w:r>
        <w:rPr>
          <w:rFonts w:hint="eastAsia"/>
          <w:szCs w:val="21"/>
        </w:rPr>
        <w:t xml:space="preserve"> </w:t>
      </w:r>
      <w:r>
        <w:rPr>
          <w:szCs w:val="21"/>
        </w:rPr>
        <w:t>水生植物在水面及水面以上的枯黄部分应及时清除。</w:t>
      </w:r>
    </w:p>
    <w:p w14:paraId="2B3AA7F1">
      <w:pPr>
        <w:spacing w:line="360" w:lineRule="auto"/>
        <w:rPr>
          <w:szCs w:val="21"/>
        </w:rPr>
      </w:pPr>
      <w:r>
        <w:rPr>
          <w:szCs w:val="21"/>
        </w:rPr>
        <w:t xml:space="preserve">4.6.4 </w:t>
      </w:r>
      <w:r>
        <w:rPr>
          <w:rFonts w:hint="eastAsia"/>
          <w:szCs w:val="21"/>
        </w:rPr>
        <w:t xml:space="preserve"> </w:t>
      </w:r>
      <w:r>
        <w:rPr>
          <w:szCs w:val="21"/>
        </w:rPr>
        <w:t>为保护水生植物不被鱼类破坏，可在水生植物栽植区域四周设置围网。</w:t>
      </w:r>
    </w:p>
    <w:p w14:paraId="2F5217F1">
      <w:pPr>
        <w:tabs>
          <w:tab w:val="left" w:pos="2895"/>
        </w:tabs>
        <w:spacing w:line="360" w:lineRule="auto"/>
        <w:jc w:val="center"/>
        <w:rPr>
          <w:szCs w:val="21"/>
        </w:rPr>
      </w:pPr>
      <w:r>
        <w:rPr>
          <w:szCs w:val="21"/>
        </w:rPr>
        <w:t>4.7 </w:t>
      </w:r>
      <w:r>
        <w:rPr>
          <w:b/>
          <w:bCs/>
          <w:szCs w:val="21"/>
        </w:rPr>
        <w:t xml:space="preserve">    </w:t>
      </w:r>
      <w:r>
        <w:rPr>
          <w:rFonts w:eastAsia="黑体"/>
          <w:kern w:val="0"/>
          <w:szCs w:val="21"/>
        </w:rPr>
        <w:t>古树名木养护</w:t>
      </w:r>
    </w:p>
    <w:p w14:paraId="6116E260">
      <w:pPr>
        <w:adjustRightInd w:val="0"/>
        <w:snapToGrid w:val="0"/>
        <w:spacing w:line="360" w:lineRule="auto"/>
        <w:rPr>
          <w:color w:val="000000"/>
          <w:szCs w:val="21"/>
        </w:rPr>
      </w:pPr>
      <w:r>
        <w:rPr>
          <w:rFonts w:eastAsia="黑体"/>
          <w:kern w:val="0"/>
          <w:szCs w:val="21"/>
        </w:rPr>
        <w:t xml:space="preserve">4.7.1 </w:t>
      </w:r>
      <w:r>
        <w:rPr>
          <w:rFonts w:hint="eastAsia" w:eastAsia="黑体"/>
          <w:kern w:val="0"/>
          <w:szCs w:val="21"/>
        </w:rPr>
        <w:t xml:space="preserve"> </w:t>
      </w:r>
      <w:r>
        <w:rPr>
          <w:color w:val="000000"/>
          <w:szCs w:val="21"/>
        </w:rPr>
        <w:t>古树是活文物，是不可再生的宝贵资源，是学校园林景观和校园文化的重要组成部分，是学校悠久历史的最好见证。针对古树生态环境的变化和古树生长的特点，应加大科学研究力度，实现科学管理和养护。</w:t>
      </w:r>
    </w:p>
    <w:p w14:paraId="11BF8D35">
      <w:pPr>
        <w:spacing w:line="360" w:lineRule="auto"/>
        <w:rPr>
          <w:szCs w:val="21"/>
        </w:rPr>
      </w:pPr>
      <w:r>
        <w:rPr>
          <w:rFonts w:eastAsia="黑体"/>
          <w:kern w:val="0"/>
          <w:szCs w:val="21"/>
        </w:rPr>
        <w:t>4.7.2</w:t>
      </w:r>
      <w:r>
        <w:rPr>
          <w:szCs w:val="21"/>
        </w:rPr>
        <w:t xml:space="preserve"> </w:t>
      </w:r>
      <w:r>
        <w:rPr>
          <w:rFonts w:hint="eastAsia"/>
          <w:szCs w:val="21"/>
        </w:rPr>
        <w:t xml:space="preserve"> </w:t>
      </w:r>
      <w:r>
        <w:rPr>
          <w:szCs w:val="21"/>
        </w:rPr>
        <w:t>古树名木应建立档案和标志，进行重点保护，严禁砍伐或擅自迁移。因特殊需要确需移植的，必须按规定报批。</w:t>
      </w:r>
    </w:p>
    <w:p w14:paraId="18DF472D">
      <w:pPr>
        <w:spacing w:line="360" w:lineRule="auto"/>
        <w:rPr>
          <w:szCs w:val="21"/>
        </w:rPr>
      </w:pPr>
      <w:r>
        <w:rPr>
          <w:rFonts w:eastAsia="黑体"/>
          <w:kern w:val="0"/>
          <w:szCs w:val="21"/>
        </w:rPr>
        <w:t>4.7.3</w:t>
      </w:r>
      <w:r>
        <w:rPr>
          <w:szCs w:val="21"/>
        </w:rPr>
        <w:t xml:space="preserve"> </w:t>
      </w:r>
      <w:r>
        <w:rPr>
          <w:rFonts w:hint="eastAsia"/>
          <w:szCs w:val="21"/>
        </w:rPr>
        <w:t xml:space="preserve"> </w:t>
      </w:r>
      <w:r>
        <w:rPr>
          <w:szCs w:val="21"/>
        </w:rPr>
        <w:t>对古树名木生长不利的立地条件必须及时整治改造。对腐烂的部位应及时剔除，并进行病虫害的防治。为保持其古老苍劲的形态，树干的空洞应及时填补，填补后的表面颜色、形状可与树皮外观相近。</w:t>
      </w:r>
    </w:p>
    <w:p w14:paraId="1AAB3931">
      <w:pPr>
        <w:spacing w:line="360" w:lineRule="auto"/>
        <w:rPr>
          <w:szCs w:val="21"/>
        </w:rPr>
      </w:pPr>
      <w:r>
        <w:rPr>
          <w:rFonts w:eastAsia="黑体"/>
          <w:kern w:val="0"/>
          <w:szCs w:val="21"/>
        </w:rPr>
        <w:t>4.7.4</w:t>
      </w:r>
      <w:r>
        <w:rPr>
          <w:szCs w:val="21"/>
        </w:rPr>
        <w:t xml:space="preserve"> </w:t>
      </w:r>
      <w:r>
        <w:rPr>
          <w:rFonts w:hint="eastAsia"/>
          <w:szCs w:val="21"/>
        </w:rPr>
        <w:t xml:space="preserve"> </w:t>
      </w:r>
      <w:r>
        <w:rPr>
          <w:szCs w:val="21"/>
        </w:rPr>
        <w:t>古树名木易受蛀干性害虫危害，应制订切实可行的措施，及时防治。</w:t>
      </w:r>
    </w:p>
    <w:p w14:paraId="1D408D63">
      <w:pPr>
        <w:spacing w:line="360" w:lineRule="auto"/>
        <w:rPr>
          <w:szCs w:val="21"/>
        </w:rPr>
      </w:pPr>
      <w:r>
        <w:rPr>
          <w:rFonts w:eastAsia="黑体"/>
          <w:kern w:val="0"/>
          <w:szCs w:val="21"/>
        </w:rPr>
        <w:t>4.7.5</w:t>
      </w:r>
      <w:r>
        <w:rPr>
          <w:szCs w:val="21"/>
        </w:rPr>
        <w:t xml:space="preserve"> </w:t>
      </w:r>
      <w:r>
        <w:rPr>
          <w:rFonts w:hint="eastAsia"/>
          <w:szCs w:val="21"/>
        </w:rPr>
        <w:t xml:space="preserve"> </w:t>
      </w:r>
      <w:r>
        <w:rPr>
          <w:szCs w:val="21"/>
        </w:rPr>
        <w:t>对生长日益衰弱的古树名木，应组织有关专家，制定复壮措施，并指定专人负责养护。</w:t>
      </w:r>
    </w:p>
    <w:p w14:paraId="1624B6DB">
      <w:pPr>
        <w:spacing w:line="360" w:lineRule="auto"/>
        <w:rPr>
          <w:szCs w:val="21"/>
        </w:rPr>
      </w:pPr>
      <w:r>
        <w:rPr>
          <w:rFonts w:eastAsia="黑体"/>
          <w:kern w:val="0"/>
          <w:szCs w:val="21"/>
        </w:rPr>
        <w:t>4.7.6</w:t>
      </w:r>
      <w:r>
        <w:rPr>
          <w:szCs w:val="21"/>
        </w:rPr>
        <w:t xml:space="preserve"> </w:t>
      </w:r>
      <w:r>
        <w:rPr>
          <w:rFonts w:hint="eastAsia"/>
          <w:szCs w:val="21"/>
        </w:rPr>
        <w:t xml:space="preserve"> </w:t>
      </w:r>
      <w:r>
        <w:rPr>
          <w:szCs w:val="21"/>
        </w:rPr>
        <w:t>已倾斜的古树名木应予以支撑，防止倒伏。所设支撑应注意美观，支撑点必须有垫衬物。</w:t>
      </w:r>
    </w:p>
    <w:p w14:paraId="3ED26D0A">
      <w:pPr>
        <w:spacing w:line="360" w:lineRule="auto"/>
        <w:rPr>
          <w:szCs w:val="21"/>
        </w:rPr>
      </w:pPr>
      <w:r>
        <w:rPr>
          <w:rFonts w:eastAsia="黑体"/>
          <w:kern w:val="0"/>
          <w:szCs w:val="21"/>
        </w:rPr>
        <w:t>4.7.7</w:t>
      </w:r>
      <w:r>
        <w:rPr>
          <w:szCs w:val="21"/>
        </w:rPr>
        <w:t xml:space="preserve"> </w:t>
      </w:r>
      <w:r>
        <w:rPr>
          <w:rFonts w:hint="eastAsia"/>
          <w:szCs w:val="21"/>
        </w:rPr>
        <w:t xml:space="preserve"> </w:t>
      </w:r>
      <w:r>
        <w:rPr>
          <w:szCs w:val="21"/>
        </w:rPr>
        <w:t>对易受雷击的古树名木，应设霹雷装置。对处于主干道及人量较集中区域的古树名木，应设围栏保护。</w:t>
      </w:r>
    </w:p>
    <w:p w14:paraId="127B69D7">
      <w:pPr>
        <w:spacing w:line="360" w:lineRule="auto"/>
        <w:rPr>
          <w:szCs w:val="21"/>
        </w:rPr>
      </w:pPr>
      <w:r>
        <w:rPr>
          <w:rFonts w:eastAsia="黑体"/>
          <w:kern w:val="0"/>
          <w:szCs w:val="21"/>
        </w:rPr>
        <w:t>4.7.8</w:t>
      </w:r>
      <w:r>
        <w:rPr>
          <w:rFonts w:hint="eastAsia" w:eastAsia="黑体"/>
          <w:kern w:val="0"/>
          <w:szCs w:val="21"/>
        </w:rPr>
        <w:t xml:space="preserve">  </w:t>
      </w:r>
      <w:r>
        <w:rPr>
          <w:szCs w:val="21"/>
        </w:rPr>
        <w:t>古树名木的保护范围为树冠垂直投影以外5m。在此范围内，不得新建、扩建、改建建（构）筑物，不得堆放土、石等杂物，不得挖坑取土，不得排放污水咽气、倾倒垃圾和动用明火。</w:t>
      </w:r>
    </w:p>
    <w:p w14:paraId="17CD0F95">
      <w:pPr>
        <w:spacing w:line="360" w:lineRule="auto"/>
        <w:rPr>
          <w:color w:val="000000"/>
          <w:szCs w:val="21"/>
        </w:rPr>
      </w:pPr>
      <w:r>
        <w:rPr>
          <w:rFonts w:eastAsia="黑体"/>
          <w:kern w:val="0"/>
          <w:szCs w:val="21"/>
        </w:rPr>
        <w:t>4.7.9</w:t>
      </w:r>
      <w:r>
        <w:rPr>
          <w:color w:val="000000"/>
          <w:szCs w:val="21"/>
        </w:rPr>
        <w:t xml:space="preserve"> </w:t>
      </w:r>
      <w:r>
        <w:rPr>
          <w:rFonts w:hint="eastAsia"/>
          <w:color w:val="000000"/>
          <w:szCs w:val="21"/>
        </w:rPr>
        <w:t xml:space="preserve"> </w:t>
      </w:r>
      <w:r>
        <w:rPr>
          <w:color w:val="000000"/>
          <w:szCs w:val="21"/>
        </w:rPr>
        <w:t>严禁在树体上钉钉子、绕铁丝、挂杂物或作为施工的支撑点。严禁攀折、刮蹭和刻划树皮等伤害古树的行为。</w:t>
      </w:r>
    </w:p>
    <w:p w14:paraId="71E7B12D">
      <w:pPr>
        <w:adjustRightInd w:val="0"/>
        <w:snapToGrid w:val="0"/>
        <w:spacing w:line="360" w:lineRule="auto"/>
        <w:rPr>
          <w:color w:val="000000"/>
          <w:szCs w:val="21"/>
        </w:rPr>
      </w:pPr>
      <w:r>
        <w:rPr>
          <w:rFonts w:eastAsia="黑体"/>
          <w:kern w:val="0"/>
          <w:szCs w:val="21"/>
        </w:rPr>
        <w:t xml:space="preserve">4.7.10 </w:t>
      </w:r>
      <w:r>
        <w:rPr>
          <w:rFonts w:hint="eastAsia" w:eastAsia="黑体"/>
          <w:kern w:val="0"/>
          <w:szCs w:val="21"/>
        </w:rPr>
        <w:t xml:space="preserve"> </w:t>
      </w:r>
      <w:r>
        <w:rPr>
          <w:color w:val="000000"/>
          <w:szCs w:val="21"/>
        </w:rPr>
        <w:t>有纪念意义和特殊观赏价值的古树，应保留其原貌，对枯枝采取防腐处理。需修剪的应制定修剪方案，按规定报批。</w:t>
      </w:r>
    </w:p>
    <w:p w14:paraId="3F6AB83E">
      <w:pPr>
        <w:adjustRightInd w:val="0"/>
        <w:snapToGrid w:val="0"/>
        <w:spacing w:line="360" w:lineRule="auto"/>
        <w:jc w:val="center"/>
        <w:rPr>
          <w:rFonts w:eastAsia="黑体"/>
          <w:kern w:val="0"/>
          <w:szCs w:val="21"/>
        </w:rPr>
      </w:pPr>
      <w:r>
        <w:rPr>
          <w:rFonts w:eastAsia="黑体"/>
          <w:kern w:val="0"/>
          <w:szCs w:val="21"/>
        </w:rPr>
        <w:t xml:space="preserve">4.8  </w:t>
      </w:r>
      <w:r>
        <w:rPr>
          <w:rFonts w:eastAsia="黑体"/>
          <w:b/>
          <w:bCs/>
          <w:kern w:val="0"/>
          <w:szCs w:val="21"/>
        </w:rPr>
        <w:t>园林绿地卫生管理要求</w:t>
      </w:r>
    </w:p>
    <w:p w14:paraId="4C22BC74">
      <w:pPr>
        <w:adjustRightInd w:val="0"/>
        <w:snapToGrid w:val="0"/>
        <w:spacing w:line="360" w:lineRule="auto"/>
        <w:rPr>
          <w:color w:val="000000"/>
          <w:szCs w:val="21"/>
        </w:rPr>
      </w:pPr>
      <w:r>
        <w:rPr>
          <w:color w:val="000000"/>
          <w:szCs w:val="21"/>
        </w:rPr>
        <w:t>4.8.1</w:t>
      </w:r>
      <w:r>
        <w:rPr>
          <w:rFonts w:hint="eastAsia"/>
          <w:color w:val="000000"/>
          <w:szCs w:val="21"/>
        </w:rPr>
        <w:t xml:space="preserve">  </w:t>
      </w:r>
      <w:r>
        <w:rPr>
          <w:bCs/>
          <w:color w:val="000000"/>
          <w:szCs w:val="21"/>
        </w:rPr>
        <w:t>卫生管理标准</w:t>
      </w:r>
      <w:r>
        <w:rPr>
          <w:color w:val="000000"/>
          <w:szCs w:val="21"/>
        </w:rPr>
        <w:t>： 保持绿地内整洁卫生，无垃圾杂物。无鼠洞和蚊蝇滋生地等，发现鼠洞要随时堵塞。 绿地内水体卫生整洁、无漂浮杂物。能及时清除“树挂”等白色污染物及绿地内水面的杂物，做到定期或隔天巡查、清理垃圾废物。</w:t>
      </w:r>
    </w:p>
    <w:p w14:paraId="4853DDBF">
      <w:pPr>
        <w:adjustRightInd w:val="0"/>
        <w:snapToGrid w:val="0"/>
        <w:spacing w:line="360" w:lineRule="auto"/>
        <w:rPr>
          <w:color w:val="000000"/>
          <w:szCs w:val="21"/>
        </w:rPr>
      </w:pPr>
      <w:r>
        <w:rPr>
          <w:color w:val="000000"/>
          <w:szCs w:val="21"/>
        </w:rPr>
        <w:t>4.8.2  清除垃圾杂物后应注意保洁，集中后的垃圾杂物和器具应摆放在指定的地方，严禁焚烧垃圾和枯枝落叶。</w:t>
      </w:r>
    </w:p>
    <w:p w14:paraId="2EE9F3A4">
      <w:pPr>
        <w:adjustRightInd w:val="0"/>
        <w:snapToGrid w:val="0"/>
        <w:spacing w:line="360" w:lineRule="auto"/>
        <w:rPr>
          <w:color w:val="000000"/>
          <w:szCs w:val="21"/>
        </w:rPr>
      </w:pPr>
      <w:r>
        <w:rPr>
          <w:rFonts w:eastAsia="黑体"/>
          <w:kern w:val="0"/>
          <w:szCs w:val="21"/>
        </w:rPr>
        <w:t>4.8.3</w:t>
      </w:r>
      <w:r>
        <w:rPr>
          <w:color w:val="000000"/>
          <w:szCs w:val="21"/>
        </w:rPr>
        <w:t xml:space="preserve">  应保护好绿地内的花草树木，保持绿地的完整。</w:t>
      </w:r>
    </w:p>
    <w:p w14:paraId="3D7C5E5E">
      <w:pPr>
        <w:adjustRightInd w:val="0"/>
        <w:snapToGrid w:val="0"/>
        <w:spacing w:line="360" w:lineRule="auto"/>
        <w:rPr>
          <w:color w:val="000000"/>
          <w:szCs w:val="21"/>
        </w:rPr>
      </w:pPr>
      <w:r>
        <w:rPr>
          <w:rFonts w:eastAsia="黑体"/>
          <w:kern w:val="0"/>
          <w:szCs w:val="21"/>
        </w:rPr>
        <w:t>4.8.4</w:t>
      </w:r>
      <w:r>
        <w:rPr>
          <w:color w:val="000000"/>
          <w:szCs w:val="21"/>
        </w:rPr>
        <w:t xml:space="preserve">  加强监管，严禁绿地内堆放杂物和停放与绿化作业无关的一切车辆；严禁在绿地植物上贴挂标语、晾晒衣物等。</w:t>
      </w:r>
    </w:p>
    <w:p w14:paraId="5A99CD2C">
      <w:pPr>
        <w:spacing w:line="360" w:lineRule="auto"/>
      </w:pPr>
      <w:r>
        <w:rPr>
          <w:rFonts w:eastAsia="黑体"/>
          <w:kern w:val="0"/>
          <w:szCs w:val="21"/>
        </w:rPr>
        <w:t xml:space="preserve">4.8.5 </w:t>
      </w:r>
      <w:r>
        <w:rPr>
          <w:color w:val="000000"/>
          <w:szCs w:val="21"/>
        </w:rPr>
        <w:t xml:space="preserve"> 应保证围栏、护网、绿化供水等设施的完整美观，</w:t>
      </w:r>
    </w:p>
    <w:p w14:paraId="4F306CD2">
      <w:pPr>
        <w:spacing w:line="360" w:lineRule="auto"/>
      </w:pPr>
    </w:p>
    <w:p w14:paraId="2859E38C">
      <w:pPr>
        <w:spacing w:line="360" w:lineRule="auto"/>
        <w:rPr>
          <w:rFonts w:hint="eastAsia" w:ascii="仿宋" w:hAnsi="仿宋" w:eastAsia="仿宋" w:cs="仿宋"/>
          <w:sz w:val="32"/>
          <w:szCs w:val="32"/>
          <w:lang w:val="en-US" w:eastAsia="zh-CN"/>
        </w:rPr>
      </w:pPr>
      <w:r>
        <w:rPr>
          <w:rFonts w:hint="eastAsia" w:ascii="仿宋" w:hAnsi="仿宋" w:eastAsia="仿宋"/>
          <w:b/>
          <w:bCs/>
          <w:sz w:val="28"/>
          <w:szCs w:val="28"/>
        </w:rPr>
        <w:t>商务要求表</w:t>
      </w:r>
    </w:p>
    <w:tbl>
      <w:tblPr>
        <w:tblStyle w:val="5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03"/>
        <w:gridCol w:w="6577"/>
      </w:tblGrid>
      <w:tr w14:paraId="74A5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78" w:type="dxa"/>
            <w:gridSpan w:val="2"/>
            <w:tcBorders>
              <w:top w:val="single" w:color="auto" w:sz="4" w:space="0"/>
              <w:left w:val="single" w:color="auto" w:sz="4" w:space="0"/>
              <w:bottom w:val="single" w:color="auto" w:sz="4" w:space="0"/>
              <w:right w:val="single" w:color="auto" w:sz="4" w:space="0"/>
            </w:tcBorders>
            <w:vAlign w:val="center"/>
          </w:tcPr>
          <w:p w14:paraId="4C73BDCF">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577" w:type="dxa"/>
            <w:tcBorders>
              <w:top w:val="single" w:color="auto" w:sz="4" w:space="0"/>
              <w:left w:val="single" w:color="auto" w:sz="4" w:space="0"/>
              <w:bottom w:val="single" w:color="auto" w:sz="4" w:space="0"/>
              <w:right w:val="single" w:color="auto" w:sz="4" w:space="0"/>
            </w:tcBorders>
            <w:vAlign w:val="center"/>
          </w:tcPr>
          <w:p w14:paraId="05065799">
            <w:pPr>
              <w:snapToGrid w:val="0"/>
              <w:spacing w:line="460" w:lineRule="exact"/>
              <w:rPr>
                <w:rFonts w:hint="eastAsia" w:ascii="仿宋" w:hAnsi="仿宋" w:eastAsia="仿宋" w:cs="宋体"/>
                <w:kern w:val="0"/>
                <w:sz w:val="28"/>
                <w:szCs w:val="28"/>
                <w:lang w:val="en-US" w:eastAsia="zh-CN"/>
              </w:rPr>
            </w:pPr>
            <w:r>
              <w:rPr>
                <w:rFonts w:hint="eastAsia" w:ascii="仿宋" w:hAnsi="仿宋" w:eastAsia="仿宋" w:cs="宋体"/>
                <w:b/>
                <w:bCs/>
                <w:kern w:val="0"/>
                <w:sz w:val="28"/>
                <w:szCs w:val="28"/>
                <w:lang w:val="en-US" w:eastAsia="zh-CN"/>
              </w:rPr>
              <w:t>服务期：</w:t>
            </w:r>
            <w:r>
              <w:rPr>
                <w:rFonts w:hint="eastAsia" w:ascii="仿宋" w:hAnsi="仿宋" w:eastAsia="仿宋" w:cs="宋体"/>
                <w:kern w:val="0"/>
                <w:sz w:val="28"/>
                <w:szCs w:val="28"/>
              </w:rPr>
              <w:t>本项目招标服务期限为一年</w:t>
            </w:r>
            <w:r>
              <w:rPr>
                <w:rFonts w:hint="eastAsia" w:ascii="仿宋" w:hAnsi="仿宋" w:eastAsia="仿宋" w:cs="宋体"/>
                <w:kern w:val="0"/>
                <w:sz w:val="28"/>
                <w:szCs w:val="28"/>
                <w:lang w:eastAsia="zh-CN"/>
              </w:rPr>
              <w:t>。</w:t>
            </w:r>
          </w:p>
          <w:p w14:paraId="295E51EE">
            <w:pPr>
              <w:rPr>
                <w:rFonts w:ascii="仿宋" w:hAnsi="仿宋" w:eastAsia="仿宋"/>
                <w:sz w:val="28"/>
                <w:szCs w:val="28"/>
              </w:rPr>
            </w:pPr>
            <w:r>
              <w:rPr>
                <w:rFonts w:hint="eastAsia" w:ascii="仿宋" w:hAnsi="仿宋" w:eastAsia="仿宋" w:cs="宋体"/>
                <w:b/>
                <w:bCs/>
                <w:kern w:val="0"/>
                <w:sz w:val="28"/>
                <w:szCs w:val="28"/>
                <w:lang w:val="en-US" w:eastAsia="zh-CN"/>
              </w:rPr>
              <w:t>地点：</w:t>
            </w:r>
            <w:r>
              <w:rPr>
                <w:rFonts w:hint="eastAsia" w:ascii="仿宋" w:hAnsi="仿宋" w:eastAsia="仿宋" w:cs="宋体"/>
                <w:kern w:val="0"/>
                <w:sz w:val="28"/>
                <w:szCs w:val="28"/>
                <w:lang w:val="en-US" w:eastAsia="zh-CN"/>
              </w:rPr>
              <w:t>浙江农林大学</w:t>
            </w:r>
          </w:p>
        </w:tc>
      </w:tr>
      <w:tr w14:paraId="7977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78" w:type="dxa"/>
            <w:gridSpan w:val="2"/>
            <w:tcBorders>
              <w:top w:val="single" w:color="auto" w:sz="4" w:space="0"/>
              <w:left w:val="single" w:color="auto" w:sz="4" w:space="0"/>
              <w:bottom w:val="single" w:color="auto" w:sz="4" w:space="0"/>
              <w:right w:val="single" w:color="auto" w:sz="4" w:space="0"/>
            </w:tcBorders>
            <w:vAlign w:val="center"/>
          </w:tcPr>
          <w:p w14:paraId="02E700F2">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577" w:type="dxa"/>
            <w:tcBorders>
              <w:top w:val="single" w:color="auto" w:sz="4" w:space="0"/>
              <w:left w:val="single" w:color="auto" w:sz="4" w:space="0"/>
              <w:bottom w:val="single" w:color="auto" w:sz="4" w:space="0"/>
              <w:right w:val="single" w:color="auto" w:sz="4" w:space="0"/>
            </w:tcBorders>
            <w:vAlign w:val="center"/>
          </w:tcPr>
          <w:p w14:paraId="7CD976AD">
            <w:pPr>
              <w:adjustRightInd w:val="0"/>
              <w:spacing w:line="360" w:lineRule="auto"/>
              <w:textAlignment w:val="baseline"/>
              <w:rPr>
                <w:rFonts w:ascii="仿宋" w:hAnsi="仿宋" w:eastAsia="仿宋" w:cs="仿宋"/>
                <w:b/>
                <w:sz w:val="24"/>
              </w:rPr>
            </w:pPr>
            <w:r>
              <w:rPr>
                <w:rFonts w:hint="eastAsia" w:ascii="仿宋" w:hAnsi="仿宋" w:eastAsia="仿宋" w:cs="仿宋"/>
                <w:b/>
                <w:sz w:val="24"/>
              </w:rPr>
              <w:t>付款方式：根据相关规定，请采购人按实际需求出发确定付款方式。</w:t>
            </w:r>
          </w:p>
          <w:p w14:paraId="61F16834">
            <w:pPr>
              <w:adjustRightInd/>
              <w:snapToGrid w:val="0"/>
              <w:spacing w:line="460" w:lineRule="exact"/>
              <w:textAlignment w:val="auto"/>
              <w:rPr>
                <w:rFonts w:hint="eastAsia" w:ascii="仿宋" w:hAnsi="仿宋" w:eastAsia="仿宋" w:cs="宋体"/>
                <w:b w:val="0"/>
                <w:kern w:val="0"/>
                <w:sz w:val="24"/>
                <w:szCs w:val="24"/>
                <w:lang w:val="en-US" w:eastAsia="zh-CN"/>
              </w:rPr>
            </w:pPr>
            <w:r>
              <w:rPr>
                <w:rFonts w:hint="eastAsia" w:ascii="仿宋" w:hAnsi="仿宋" w:eastAsia="仿宋" w:cs="宋体"/>
                <w:b w:val="0"/>
                <w:kern w:val="0"/>
                <w:sz w:val="24"/>
                <w:szCs w:val="24"/>
                <w:lang w:val="en-US" w:eastAsia="zh-CN"/>
              </w:rPr>
              <w:t>合同签署后七个工作日内，支付</w:t>
            </w:r>
            <w:r>
              <w:rPr>
                <w:rFonts w:hint="eastAsia" w:ascii="仿宋" w:hAnsi="仿宋" w:eastAsia="仿宋" w:cs="宋体"/>
                <w:b w:val="0"/>
                <w:kern w:val="0"/>
                <w:sz w:val="24"/>
                <w:szCs w:val="24"/>
              </w:rPr>
              <w:t>合同金额的</w:t>
            </w:r>
            <w:r>
              <w:rPr>
                <w:rFonts w:hint="eastAsia" w:ascii="仿宋" w:hAnsi="仿宋" w:eastAsia="仿宋" w:cs="宋体"/>
                <w:b w:val="0"/>
                <w:kern w:val="0"/>
                <w:sz w:val="24"/>
                <w:szCs w:val="24"/>
                <w:lang w:val="en-US" w:eastAsia="zh-CN"/>
              </w:rPr>
              <w:t>7</w:t>
            </w:r>
            <w:r>
              <w:rPr>
                <w:rFonts w:hint="eastAsia" w:ascii="仿宋" w:hAnsi="仿宋" w:eastAsia="仿宋" w:cs="宋体"/>
                <w:b w:val="0"/>
                <w:kern w:val="0"/>
                <w:sz w:val="24"/>
                <w:szCs w:val="24"/>
              </w:rPr>
              <w:t>0％</w:t>
            </w:r>
            <w:r>
              <w:rPr>
                <w:rFonts w:hint="eastAsia" w:ascii="仿宋" w:hAnsi="仿宋" w:eastAsia="仿宋" w:cs="宋体"/>
                <w:b w:val="0"/>
                <w:kern w:val="0"/>
                <w:sz w:val="24"/>
                <w:szCs w:val="24"/>
                <w:lang w:val="en-US" w:eastAsia="zh-CN"/>
              </w:rPr>
              <w:t>,2025年12月31日前支付</w:t>
            </w:r>
            <w:r>
              <w:rPr>
                <w:rFonts w:hint="eastAsia" w:ascii="仿宋" w:hAnsi="仿宋" w:eastAsia="仿宋" w:cs="宋体"/>
                <w:b w:val="0"/>
                <w:kern w:val="0"/>
                <w:sz w:val="24"/>
                <w:szCs w:val="24"/>
              </w:rPr>
              <w:t>合同金额</w:t>
            </w:r>
            <w:r>
              <w:rPr>
                <w:rFonts w:hint="eastAsia" w:ascii="仿宋" w:hAnsi="仿宋" w:eastAsia="仿宋" w:cs="宋体"/>
                <w:b w:val="0"/>
                <w:kern w:val="0"/>
                <w:sz w:val="24"/>
                <w:szCs w:val="24"/>
                <w:lang w:val="en-US" w:eastAsia="zh-CN"/>
              </w:rPr>
              <w:t>剩余的30%。</w:t>
            </w:r>
          </w:p>
          <w:p w14:paraId="681A9619">
            <w:pPr>
              <w:adjustRightInd w:val="0"/>
              <w:spacing w:line="360" w:lineRule="auto"/>
              <w:textAlignment w:val="baseline"/>
              <w:rPr>
                <w:rFonts w:hint="eastAsia" w:ascii="仿宋" w:hAnsi="仿宋" w:eastAsia="仿宋" w:cs="仿宋"/>
                <w:b/>
                <w:sz w:val="24"/>
                <w:szCs w:val="24"/>
                <w:shd w:val="pct10" w:color="auto" w:fill="FFFFFF"/>
              </w:rPr>
            </w:pPr>
            <w:r>
              <w:rPr>
                <w:rFonts w:hint="eastAsia" w:ascii="仿宋" w:hAnsi="仿宋" w:eastAsia="仿宋" w:cs="宋体"/>
                <w:b w:val="0"/>
                <w:kern w:val="0"/>
                <w:sz w:val="24"/>
                <w:szCs w:val="24"/>
                <w:lang w:val="en-US" w:eastAsia="zh-CN"/>
              </w:rPr>
              <w:t>履</w:t>
            </w:r>
            <w:r>
              <w:rPr>
                <w:rFonts w:hint="eastAsia" w:ascii="仿宋" w:hAnsi="仿宋" w:eastAsia="仿宋" w:cs="宋体"/>
                <w:b/>
                <w:bCs/>
                <w:kern w:val="0"/>
                <w:sz w:val="24"/>
                <w:szCs w:val="24"/>
                <w:lang w:val="en-US" w:eastAsia="zh-CN"/>
              </w:rPr>
              <w:t>约保证金：</w:t>
            </w:r>
            <w:r>
              <w:rPr>
                <w:rFonts w:hint="eastAsia" w:ascii="仿宋" w:hAnsi="仿宋" w:eastAsia="仿宋" w:cs="宋体"/>
                <w:b w:val="0"/>
                <w:kern w:val="0"/>
                <w:sz w:val="24"/>
                <w:szCs w:val="24"/>
                <w:lang w:val="en-US" w:eastAsia="zh-CN"/>
              </w:rPr>
              <w:t>按合同金额的1%作为履约保证金，考核合格后无息退还。</w:t>
            </w:r>
          </w:p>
          <w:p w14:paraId="61F8B31C">
            <w:pPr>
              <w:adjustRightInd w:val="0"/>
              <w:spacing w:line="360" w:lineRule="auto"/>
              <w:textAlignment w:val="baseline"/>
              <w:rPr>
                <w:rFonts w:ascii="仿宋" w:hAnsi="仿宋" w:eastAsia="仿宋" w:cs="仿宋"/>
                <w:b/>
                <w:sz w:val="24"/>
                <w:shd w:val="pct10" w:color="auto" w:fill="FFFFFF"/>
              </w:rPr>
            </w:pPr>
            <w:r>
              <w:rPr>
                <w:rFonts w:hint="eastAsia" w:ascii="仿宋" w:hAnsi="仿宋" w:eastAsia="仿宋" w:cs="仿宋"/>
                <w:b/>
                <w:sz w:val="24"/>
                <w:shd w:val="pct10" w:color="auto" w:fill="FFFFFF"/>
              </w:rPr>
              <w:t>（备注：1.对中小企业合同预付款比例原则上不低于合同金额的40％，不高于合同金额的70%；</w:t>
            </w:r>
          </w:p>
          <w:p w14:paraId="7591C27B">
            <w:pPr>
              <w:adjustRightInd w:val="0"/>
              <w:spacing w:line="360" w:lineRule="auto"/>
              <w:textAlignment w:val="baseline"/>
              <w:rPr>
                <w:rFonts w:ascii="仿宋" w:hAnsi="仿宋" w:eastAsia="仿宋" w:cs="仿宋"/>
                <w:b/>
                <w:sz w:val="24"/>
                <w:shd w:val="pct10" w:color="auto" w:fill="FFFFFF"/>
              </w:rPr>
            </w:pPr>
            <w:r>
              <w:rPr>
                <w:rFonts w:hint="eastAsia" w:ascii="仿宋" w:hAnsi="仿宋" w:eastAsia="仿宋" w:cs="仿宋"/>
                <w:b/>
                <w:sz w:val="24"/>
                <w:shd w:val="pct10" w:color="auto" w:fill="FFFFFF"/>
              </w:rPr>
              <w:t>2.项目分年安排预算的，每年预付款比例不低于项目年度计划支付资金额的40％，不高于年度计划支付资金额的70%；</w:t>
            </w:r>
          </w:p>
          <w:p w14:paraId="5CEA9F2F">
            <w:pPr>
              <w:adjustRightInd w:val="0"/>
              <w:spacing w:line="360" w:lineRule="auto"/>
              <w:textAlignment w:val="baseline"/>
              <w:rPr>
                <w:rFonts w:ascii="仿宋" w:hAnsi="仿宋" w:eastAsia="仿宋" w:cs="仿宋"/>
                <w:b/>
                <w:sz w:val="24"/>
                <w:shd w:val="pct10" w:color="auto" w:fill="FFFFFF"/>
              </w:rPr>
            </w:pPr>
            <w:r>
              <w:rPr>
                <w:rFonts w:hint="eastAsia" w:ascii="仿宋" w:hAnsi="仿宋" w:eastAsia="仿宋" w:cs="仿宋"/>
                <w:b/>
                <w:sz w:val="24"/>
                <w:shd w:val="pct10" w:color="auto" w:fill="FFFFFF"/>
              </w:rPr>
              <w:t>3.采购项目实施以人工投入为主的，可适当降低预付款比例，但不得低于20%。</w:t>
            </w:r>
          </w:p>
          <w:p w14:paraId="5CBEAFB8">
            <w:pPr>
              <w:rPr>
                <w:rFonts w:ascii="仿宋" w:hAnsi="仿宋" w:eastAsia="仿宋"/>
                <w:b/>
                <w:sz w:val="28"/>
                <w:szCs w:val="28"/>
              </w:rPr>
            </w:pPr>
            <w:r>
              <w:rPr>
                <w:rFonts w:hint="eastAsia" w:ascii="仿宋" w:hAnsi="仿宋" w:eastAsia="仿宋" w:cs="仿宋"/>
                <w:b/>
                <w:sz w:val="24"/>
                <w:shd w:val="pct10" w:color="auto" w:fill="FFFFFF"/>
              </w:rPr>
              <w:t>4.对供应商为大型企业的项目或者以人工投入为主且实行按月定期结算支付款项的项目，预付款可低于上述比例或者不约定预付款。）</w:t>
            </w:r>
          </w:p>
        </w:tc>
      </w:tr>
      <w:tr w14:paraId="2FC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78" w:type="dxa"/>
            <w:gridSpan w:val="2"/>
            <w:tcBorders>
              <w:top w:val="single" w:color="auto" w:sz="4" w:space="0"/>
              <w:left w:val="single" w:color="auto" w:sz="4" w:space="0"/>
              <w:bottom w:val="single" w:color="auto" w:sz="4" w:space="0"/>
              <w:right w:val="single" w:color="auto" w:sz="4" w:space="0"/>
            </w:tcBorders>
            <w:vAlign w:val="center"/>
          </w:tcPr>
          <w:p w14:paraId="32A25075">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577" w:type="dxa"/>
            <w:tcBorders>
              <w:top w:val="single" w:color="auto" w:sz="4" w:space="0"/>
              <w:left w:val="single" w:color="auto" w:sz="4" w:space="0"/>
              <w:bottom w:val="single" w:color="auto" w:sz="4" w:space="0"/>
              <w:right w:val="single" w:color="auto" w:sz="4" w:space="0"/>
            </w:tcBorders>
            <w:vAlign w:val="center"/>
          </w:tcPr>
          <w:p w14:paraId="48F795EB">
            <w:pPr>
              <w:rPr>
                <w:rFonts w:ascii="仿宋" w:hAnsi="仿宋" w:eastAsia="仿宋"/>
                <w:sz w:val="24"/>
                <w:szCs w:val="24"/>
              </w:rPr>
            </w:pPr>
            <w:r>
              <w:rPr>
                <w:rFonts w:hint="eastAsia" w:ascii="仿宋" w:hAnsi="仿宋" w:eastAsia="仿宋" w:cs="宋体"/>
                <w:kern w:val="0"/>
                <w:sz w:val="24"/>
                <w:szCs w:val="24"/>
              </w:rPr>
              <w:t>在履行本合同过程中,如发生任何争议或纠纷,双方应通过友好协商解决。 如果协商不成,将纠纷提交至所在地人民法院进行诉讼解决,并接受法院的裁决结果</w:t>
            </w:r>
            <w:r>
              <w:rPr>
                <w:rFonts w:hint="eastAsia" w:ascii="仿宋" w:hAnsi="仿宋" w:eastAsia="仿宋" w:cs="宋体"/>
                <w:kern w:val="0"/>
                <w:sz w:val="24"/>
                <w:szCs w:val="24"/>
                <w:lang w:eastAsia="zh-CN"/>
              </w:rPr>
              <w:t>。</w:t>
            </w:r>
          </w:p>
        </w:tc>
      </w:tr>
      <w:tr w14:paraId="2CEE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tcBorders>
              <w:top w:val="single" w:color="auto" w:sz="4" w:space="0"/>
              <w:left w:val="single" w:color="auto" w:sz="4" w:space="0"/>
              <w:bottom w:val="single" w:color="auto" w:sz="4" w:space="0"/>
              <w:right w:val="single" w:color="auto" w:sz="4" w:space="0"/>
            </w:tcBorders>
            <w:vAlign w:val="center"/>
          </w:tcPr>
          <w:p w14:paraId="47A39AC4">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5553BE81">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524CB4E2">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503" w:type="dxa"/>
            <w:tcBorders>
              <w:top w:val="single" w:color="auto" w:sz="4" w:space="0"/>
              <w:left w:val="single" w:color="auto" w:sz="4" w:space="0"/>
              <w:bottom w:val="single" w:color="auto" w:sz="4" w:space="0"/>
              <w:right w:val="single" w:color="auto" w:sz="4" w:space="0"/>
            </w:tcBorders>
            <w:vAlign w:val="center"/>
          </w:tcPr>
          <w:p w14:paraId="3301C0FA">
            <w:pPr>
              <w:snapToGrid w:val="0"/>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服务</w:t>
            </w:r>
          </w:p>
          <w:p w14:paraId="3275072A">
            <w:pPr>
              <w:snapToGrid w:val="0"/>
              <w:jc w:val="center"/>
              <w:rPr>
                <w:rFonts w:hint="default" w:ascii="仿宋" w:hAnsi="仿宋" w:eastAsia="仿宋" w:cs="仿宋_GB2312"/>
                <w:b/>
                <w:sz w:val="28"/>
                <w:szCs w:val="28"/>
                <w:lang w:val="en-US" w:eastAsia="zh-CN"/>
              </w:rPr>
            </w:pPr>
            <w:r>
              <w:rPr>
                <w:rFonts w:hint="eastAsia" w:ascii="仿宋" w:hAnsi="仿宋" w:eastAsia="仿宋" w:cs="仿宋_GB2312"/>
                <w:b/>
                <w:sz w:val="28"/>
                <w:szCs w:val="28"/>
                <w:lang w:val="en-US" w:eastAsia="zh-CN"/>
              </w:rPr>
              <w:t>承诺</w:t>
            </w:r>
          </w:p>
        </w:tc>
        <w:tc>
          <w:tcPr>
            <w:tcW w:w="6577" w:type="dxa"/>
            <w:tcBorders>
              <w:top w:val="single" w:color="auto" w:sz="4" w:space="0"/>
              <w:left w:val="single" w:color="auto" w:sz="4" w:space="0"/>
              <w:bottom w:val="single" w:color="auto" w:sz="4" w:space="0"/>
              <w:right w:val="single" w:color="auto" w:sz="4" w:space="0"/>
            </w:tcBorders>
            <w:vAlign w:val="center"/>
          </w:tcPr>
          <w:p w14:paraId="0CB10300">
            <w:pPr>
              <w:rPr>
                <w:rFonts w:ascii="仿宋" w:hAnsi="仿宋" w:eastAsia="仿宋" w:cs="仿宋_GB2312"/>
                <w:sz w:val="24"/>
                <w:szCs w:val="24"/>
              </w:rPr>
            </w:pPr>
            <w:r>
              <w:rPr>
                <w:rFonts w:hint="eastAsia" w:ascii="仿宋" w:hAnsi="仿宋" w:eastAsia="仿宋" w:cs="仿宋_GB2312"/>
                <w:sz w:val="24"/>
                <w:szCs w:val="24"/>
              </w:rPr>
              <w:t>磋商响应方围绕采购人要求，积极做好物业服务，提出增值服务，每一项得1分，最高得</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分，未提供不得分。</w:t>
            </w:r>
          </w:p>
        </w:tc>
      </w:tr>
      <w:tr w14:paraId="5816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75" w:type="dxa"/>
            <w:vMerge w:val="restart"/>
            <w:tcBorders>
              <w:top w:val="single" w:color="auto" w:sz="4" w:space="0"/>
              <w:left w:val="single" w:color="auto" w:sz="4" w:space="0"/>
              <w:right w:val="single" w:color="auto" w:sz="4" w:space="0"/>
            </w:tcBorders>
            <w:vAlign w:val="center"/>
          </w:tcPr>
          <w:p w14:paraId="2DE22275">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503" w:type="dxa"/>
            <w:tcBorders>
              <w:top w:val="single" w:color="auto" w:sz="4" w:space="0"/>
              <w:left w:val="single" w:color="auto" w:sz="4" w:space="0"/>
              <w:bottom w:val="single" w:color="auto" w:sz="4" w:space="0"/>
              <w:right w:val="single" w:color="auto" w:sz="4" w:space="0"/>
            </w:tcBorders>
            <w:vAlign w:val="center"/>
          </w:tcPr>
          <w:p w14:paraId="5D61C9B7">
            <w:pPr>
              <w:snapToGrid w:val="0"/>
              <w:jc w:val="center"/>
              <w:rPr>
                <w:rFonts w:ascii="仿宋" w:hAnsi="仿宋" w:eastAsia="仿宋" w:cs="仿宋_GB2312"/>
                <w:b/>
                <w:sz w:val="28"/>
                <w:szCs w:val="28"/>
              </w:rPr>
            </w:pPr>
            <w:r>
              <w:rPr>
                <w:rFonts w:hint="eastAsia" w:ascii="仿宋" w:hAnsi="仿宋" w:eastAsia="仿宋" w:cs="仿宋_GB2312"/>
                <w:b/>
                <w:sz w:val="28"/>
                <w:szCs w:val="28"/>
                <w:lang w:val="en-US" w:eastAsia="zh-CN"/>
              </w:rPr>
              <w:t>磋商响应方获得荣誉</w:t>
            </w:r>
          </w:p>
        </w:tc>
        <w:tc>
          <w:tcPr>
            <w:tcW w:w="6577" w:type="dxa"/>
            <w:tcBorders>
              <w:top w:val="single" w:color="auto" w:sz="4" w:space="0"/>
              <w:left w:val="single" w:color="auto" w:sz="4" w:space="0"/>
              <w:bottom w:val="single" w:color="auto" w:sz="4" w:space="0"/>
              <w:right w:val="single" w:color="auto" w:sz="4" w:space="0"/>
            </w:tcBorders>
            <w:vAlign w:val="center"/>
          </w:tcPr>
          <w:p w14:paraId="1272F84C">
            <w:pPr>
              <w:rPr>
                <w:rFonts w:ascii="仿宋" w:hAnsi="仿宋" w:eastAsia="仿宋" w:cs="仿宋_GB2312"/>
                <w:sz w:val="24"/>
                <w:szCs w:val="24"/>
              </w:rPr>
            </w:pPr>
            <w:r>
              <w:rPr>
                <w:rFonts w:hint="eastAsia" w:ascii="仿宋" w:hAnsi="仿宋" w:eastAsia="仿宋" w:cs="宋体"/>
                <w:kern w:val="0"/>
                <w:sz w:val="24"/>
                <w:szCs w:val="24"/>
              </w:rPr>
              <w:t>磋商响应方提供202</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年1月1日起至投标截止时间止取得</w:t>
            </w:r>
            <w:r>
              <w:rPr>
                <w:rFonts w:hint="eastAsia" w:ascii="仿宋" w:hAnsi="仿宋" w:eastAsia="仿宋" w:cs="宋体"/>
                <w:kern w:val="0"/>
                <w:sz w:val="24"/>
                <w:szCs w:val="24"/>
                <w:lang w:val="en-US" w:eastAsia="zh-CN"/>
              </w:rPr>
              <w:t>省级及以上行业</w:t>
            </w:r>
            <w:r>
              <w:rPr>
                <w:rFonts w:hint="eastAsia" w:ascii="仿宋" w:hAnsi="仿宋" w:eastAsia="仿宋" w:cs="宋体"/>
                <w:kern w:val="0"/>
                <w:sz w:val="24"/>
                <w:szCs w:val="24"/>
              </w:rPr>
              <w:t>部门颁发的相关的荣誉，每提供1个得1分，最高得</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分。</w:t>
            </w:r>
          </w:p>
        </w:tc>
      </w:tr>
      <w:tr w14:paraId="26B1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left w:val="single" w:color="auto" w:sz="4" w:space="0"/>
              <w:right w:val="single" w:color="auto" w:sz="4" w:space="0"/>
            </w:tcBorders>
            <w:vAlign w:val="center"/>
          </w:tcPr>
          <w:p w14:paraId="127EBD5B">
            <w:pPr>
              <w:widowControl/>
              <w:jc w:val="left"/>
              <w:rPr>
                <w:rFonts w:ascii="仿宋" w:hAnsi="仿宋" w:eastAsia="仿宋" w:cs="仿宋_GB2312"/>
                <w:b/>
                <w:sz w:val="28"/>
                <w:szCs w:val="28"/>
              </w:rPr>
            </w:pPr>
          </w:p>
        </w:tc>
        <w:tc>
          <w:tcPr>
            <w:tcW w:w="1503" w:type="dxa"/>
            <w:tcBorders>
              <w:top w:val="single" w:color="auto" w:sz="4" w:space="0"/>
              <w:left w:val="single" w:color="auto" w:sz="4" w:space="0"/>
              <w:bottom w:val="single" w:color="auto" w:sz="4" w:space="0"/>
              <w:right w:val="single" w:color="auto" w:sz="4" w:space="0"/>
            </w:tcBorders>
            <w:vAlign w:val="center"/>
          </w:tcPr>
          <w:p w14:paraId="29624E92">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577" w:type="dxa"/>
            <w:tcBorders>
              <w:top w:val="single" w:color="auto" w:sz="4" w:space="0"/>
              <w:left w:val="single" w:color="auto" w:sz="4" w:space="0"/>
              <w:bottom w:val="single" w:color="auto" w:sz="4" w:space="0"/>
              <w:right w:val="single" w:color="auto" w:sz="4" w:space="0"/>
            </w:tcBorders>
            <w:vAlign w:val="center"/>
          </w:tcPr>
          <w:p w14:paraId="5E2EDECC">
            <w:pPr>
              <w:snapToGrid w:val="0"/>
              <w:rPr>
                <w:rFonts w:ascii="仿宋" w:hAnsi="仿宋" w:eastAsia="仿宋" w:cs="仿宋_GB2312"/>
                <w:sz w:val="24"/>
                <w:szCs w:val="24"/>
              </w:rPr>
            </w:pPr>
            <w:r>
              <w:rPr>
                <w:rFonts w:hint="eastAsia" w:ascii="仿宋" w:hAnsi="仿宋" w:eastAsia="仿宋" w:cs="宋体"/>
                <w:kern w:val="0"/>
                <w:sz w:val="24"/>
                <w:szCs w:val="24"/>
                <w:lang w:val="en-US" w:eastAsia="zh-CN"/>
              </w:rPr>
              <w:t>磋商响应方提供2022年1月1日起至投标截止时间止承接同类项目的成功案例，每提供1个合同复印件或业主证明得1分，最高得2分。</w:t>
            </w:r>
          </w:p>
        </w:tc>
      </w:tr>
      <w:tr w14:paraId="186B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vMerge w:val="continue"/>
            <w:tcBorders>
              <w:left w:val="single" w:color="auto" w:sz="4" w:space="0"/>
              <w:bottom w:val="single" w:color="auto" w:sz="4" w:space="0"/>
              <w:right w:val="single" w:color="auto" w:sz="4" w:space="0"/>
            </w:tcBorders>
            <w:vAlign w:val="center"/>
          </w:tcPr>
          <w:p w14:paraId="554A6095">
            <w:pPr>
              <w:widowControl/>
              <w:jc w:val="left"/>
              <w:rPr>
                <w:rFonts w:ascii="仿宋" w:hAnsi="仿宋" w:eastAsia="仿宋" w:cs="仿宋_GB2312"/>
                <w:b/>
                <w:sz w:val="28"/>
                <w:szCs w:val="28"/>
              </w:rPr>
            </w:pPr>
          </w:p>
        </w:tc>
        <w:tc>
          <w:tcPr>
            <w:tcW w:w="1503" w:type="dxa"/>
            <w:tcBorders>
              <w:top w:val="single" w:color="auto" w:sz="4" w:space="0"/>
              <w:left w:val="single" w:color="auto" w:sz="4" w:space="0"/>
              <w:bottom w:val="single" w:color="auto" w:sz="4" w:space="0"/>
              <w:right w:val="single" w:color="auto" w:sz="4" w:space="0"/>
            </w:tcBorders>
            <w:vAlign w:val="center"/>
          </w:tcPr>
          <w:p w14:paraId="6979FD8D">
            <w:pPr>
              <w:snapToGrid w:val="0"/>
              <w:jc w:val="center"/>
              <w:rPr>
                <w:rFonts w:hint="eastAsia" w:ascii="仿宋" w:hAnsi="仿宋" w:eastAsia="仿宋" w:cs="仿宋_GB2312"/>
                <w:b/>
                <w:sz w:val="28"/>
                <w:szCs w:val="28"/>
              </w:rPr>
            </w:pPr>
            <w:r>
              <w:rPr>
                <w:rFonts w:hint="eastAsia" w:ascii="仿宋" w:hAnsi="仿宋" w:eastAsia="仿宋" w:cs="仿宋_GB2312"/>
                <w:b/>
                <w:sz w:val="28"/>
                <w:szCs w:val="28"/>
                <w:lang w:val="en-US" w:eastAsia="zh-CN"/>
              </w:rPr>
              <w:t>磋商响应方</w:t>
            </w:r>
            <w:r>
              <w:rPr>
                <w:rFonts w:hint="eastAsia" w:ascii="仿宋" w:hAnsi="仿宋" w:eastAsia="仿宋" w:cs="仿宋_GB2312"/>
                <w:b/>
                <w:sz w:val="28"/>
                <w:szCs w:val="28"/>
              </w:rPr>
              <w:t>技术力量情况</w:t>
            </w:r>
          </w:p>
        </w:tc>
        <w:tc>
          <w:tcPr>
            <w:tcW w:w="6577" w:type="dxa"/>
            <w:tcBorders>
              <w:top w:val="single" w:color="auto" w:sz="4" w:space="0"/>
              <w:left w:val="single" w:color="auto" w:sz="4" w:space="0"/>
              <w:bottom w:val="single" w:color="auto" w:sz="4" w:space="0"/>
              <w:right w:val="single" w:color="auto" w:sz="4" w:space="0"/>
            </w:tcBorders>
            <w:vAlign w:val="center"/>
          </w:tcPr>
          <w:p w14:paraId="1F06C69F">
            <w:pPr>
              <w:snapToGrid w:val="0"/>
              <w:rPr>
                <w:rFonts w:hint="eastAsia" w:ascii="仿宋" w:hAnsi="仿宋" w:eastAsia="仿宋" w:cs="宋体"/>
                <w:kern w:val="0"/>
                <w:sz w:val="24"/>
                <w:szCs w:val="24"/>
                <w:lang w:val="en-US" w:eastAsia="zh-CN"/>
              </w:rPr>
            </w:pPr>
            <w:r>
              <w:rPr>
                <w:rFonts w:hint="eastAsia" w:ascii="仿宋" w:hAnsi="仿宋" w:eastAsia="仿宋" w:cs="Times New Roman"/>
                <w:sz w:val="24"/>
                <w:szCs w:val="24"/>
                <w:vertAlign w:val="baseline"/>
                <w:lang w:val="en-US" w:eastAsia="zh-CN"/>
              </w:rPr>
              <w:t>磋商响应方具有有效的质量管理体系认证、环境管理体系认证、职业健康安全管理体系认证，每有1份得1分，最高得3分（提供认证证书复印件，不提供不得分）。</w:t>
            </w:r>
          </w:p>
        </w:tc>
      </w:tr>
    </w:tbl>
    <w:p w14:paraId="5C20B151"/>
    <w:p w14:paraId="1ED9CB7A">
      <w:pPr>
        <w:widowControl/>
        <w:jc w:val="left"/>
        <w:rPr>
          <w:rFonts w:ascii="宋体" w:hAnsi="宋体"/>
          <w:b/>
          <w:bCs/>
          <w:color w:val="000000"/>
          <w:sz w:val="36"/>
          <w:szCs w:val="36"/>
        </w:rPr>
      </w:pPr>
    </w:p>
    <w:p w14:paraId="36962C0D">
      <w:pPr>
        <w:pStyle w:val="3"/>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6"/>
      <w:bookmarkEnd w:id="87"/>
    </w:p>
    <w:p w14:paraId="67B394B3">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6B26B2FB">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5C602C1C">
      <w:pPr>
        <w:pStyle w:val="38"/>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560B34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281AEAB4">
      <w:pPr>
        <w:pStyle w:val="29"/>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03A41BA">
      <w:pPr>
        <w:pStyle w:val="29"/>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6329E5ED">
      <w:pPr>
        <w:pStyle w:val="29"/>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AD084D7">
      <w:pPr>
        <w:pStyle w:val="29"/>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C5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0566948">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08A2594">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6311303">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753323C">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735C334">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C0F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C94FE29">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5464D06">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5B225188">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B2ACB3">
            <w:pPr>
              <w:pStyle w:val="52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8119AF5">
            <w:pPr>
              <w:pStyle w:val="522"/>
              <w:spacing w:after="120" w:line="460" w:lineRule="exact"/>
              <w:ind w:left="570"/>
              <w:rPr>
                <w:rFonts w:ascii="仿宋" w:hAnsi="仿宋" w:eastAsia="仿宋"/>
                <w:color w:val="auto"/>
                <w:kern w:val="2"/>
                <w:sz w:val="30"/>
                <w:szCs w:val="30"/>
              </w:rPr>
            </w:pPr>
          </w:p>
        </w:tc>
      </w:tr>
      <w:tr w14:paraId="4A8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599995D">
            <w:pPr>
              <w:pStyle w:val="29"/>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1C0903BC">
            <w:pPr>
              <w:pStyle w:val="29"/>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40AD8451">
            <w:pPr>
              <w:pStyle w:val="522"/>
              <w:spacing w:after="120" w:line="460" w:lineRule="exact"/>
              <w:ind w:firstLine="639" w:firstLineChars="213"/>
              <w:rPr>
                <w:rFonts w:ascii="仿宋" w:hAnsi="仿宋" w:eastAsia="仿宋"/>
                <w:color w:val="auto"/>
                <w:kern w:val="2"/>
                <w:sz w:val="30"/>
                <w:szCs w:val="30"/>
              </w:rPr>
            </w:pPr>
          </w:p>
        </w:tc>
      </w:tr>
      <w:tr w14:paraId="4A45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DEE0B62">
            <w:pPr>
              <w:pStyle w:val="29"/>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651ADC40">
      <w:pPr>
        <w:pStyle w:val="29"/>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24A07520">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B4AA0C3">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58D4EC6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51D254ED">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25D44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2E52526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58417AE8">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D1AB726">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32D2FB69">
      <w:pPr>
        <w:pStyle w:val="29"/>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6FF53D6">
      <w:pPr>
        <w:pStyle w:val="29"/>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D11BF79">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188EF6B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049E45EA">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04F0CFB1">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7EDDB9F7">
      <w:pPr>
        <w:pStyle w:val="29"/>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2F76BA33">
      <w:pPr>
        <w:pStyle w:val="29"/>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308890E5">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30588352">
      <w:pPr>
        <w:pStyle w:val="29"/>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0F44BBD2">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w:t>
      </w:r>
      <w:r>
        <w:rPr>
          <w:rFonts w:hint="eastAsia" w:ascii="宋体" w:hAnsi="宋体" w:cs="宋体"/>
          <w:bCs/>
          <w:color w:val="FF0000"/>
          <w:kern w:val="0"/>
          <w:sz w:val="28"/>
          <w:szCs w:val="28"/>
          <w:lang w:eastAsia="zh-CN"/>
        </w:rPr>
        <w:t>（</w:t>
      </w:r>
      <w:r>
        <w:rPr>
          <w:rFonts w:hint="eastAsia" w:ascii="宋体" w:hAnsi="宋体" w:cs="宋体"/>
          <w:bCs/>
          <w:color w:val="FF0000"/>
          <w:kern w:val="0"/>
          <w:sz w:val="28"/>
          <w:szCs w:val="28"/>
          <w:lang w:val="en-US" w:eastAsia="zh-CN"/>
        </w:rPr>
        <w:t xml:space="preserve"> ）</w:t>
      </w:r>
      <w:r>
        <w:rPr>
          <w:rFonts w:hint="eastAsia" w:ascii="宋体" w:hAnsi="宋体" w:cs="宋体"/>
          <w:bCs/>
          <w:color w:val="FF0000"/>
          <w:kern w:val="0"/>
          <w:sz w:val="28"/>
          <w:szCs w:val="28"/>
        </w:rPr>
        <w:t>%，审计结算完成后并符合财政相关流程退回履约保证金，竣工验收合格后退回质量保证金。</w:t>
      </w:r>
    </w:p>
    <w:p w14:paraId="6A1A1986">
      <w:pPr>
        <w:pStyle w:val="29"/>
        <w:adjustRightInd w:val="0"/>
        <w:snapToGrid w:val="0"/>
        <w:spacing w:before="120" w:after="120" w:line="460" w:lineRule="exact"/>
        <w:ind w:firstLine="641" w:firstLineChars="213"/>
        <w:rPr>
          <w:rFonts w:hint="eastAsia" w:ascii="仿宋" w:hAnsi="仿宋" w:eastAsia="仿宋"/>
          <w:b/>
          <w:snapToGrid w:val="0"/>
          <w:sz w:val="30"/>
          <w:szCs w:val="30"/>
        </w:rPr>
      </w:pPr>
    </w:p>
    <w:p w14:paraId="16F88210">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50402E76">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7526F7E5">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1F21988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0C8C682E">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乙方在合同签订后，须在个日历日内在甲方指定地点完成装修施工。</w:t>
      </w:r>
    </w:p>
    <w:p w14:paraId="685552D9">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在工程完工交付使用时，乙方必须向甲方提供装修工程质量保证书等必须具备的相关资料。</w:t>
      </w:r>
    </w:p>
    <w:p w14:paraId="6AD6B20B">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28C1E79D">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9927DAC">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0AA667F1">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33C2E6A1">
      <w:pPr>
        <w:pStyle w:val="29"/>
        <w:adjustRightInd w:val="0"/>
        <w:snapToGrid w:val="0"/>
        <w:spacing w:before="120" w:after="120" w:line="460" w:lineRule="exact"/>
        <w:ind w:firstLine="639" w:firstLineChars="213"/>
        <w:rPr>
          <w:rFonts w:ascii="仿宋" w:hAnsi="仿宋" w:eastAsia="仿宋"/>
          <w:bCs/>
          <w:snapToGrid w:val="0"/>
          <w:sz w:val="30"/>
          <w:szCs w:val="30"/>
        </w:rPr>
      </w:pPr>
    </w:p>
    <w:p w14:paraId="03B64996">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73EEA28">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0609E791">
      <w:pPr>
        <w:pStyle w:val="29"/>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D34D57E">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5120C210">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6BAB51BE">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工程完毕验收合格之日起，乙方须提供按国家规定的保修标准执</w:t>
      </w:r>
    </w:p>
    <w:p w14:paraId="26B319D9">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232F886B">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14:paraId="49B1F4AA">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1900706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ED47F0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0C4996A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73A90A5F">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4123F226">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75B6D80C">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889B3A4">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6331DFD5">
      <w:pPr>
        <w:pStyle w:val="29"/>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7</w:t>
      </w:r>
      <w:r>
        <w:rPr>
          <w:rFonts w:hint="eastAsia" w:ascii="仿宋" w:hAnsi="仿宋" w:eastAsia="仿宋"/>
          <w:b/>
          <w:snapToGrid w:val="0"/>
          <w:sz w:val="30"/>
          <w:szCs w:val="30"/>
        </w:rPr>
        <w:t>日内将采购资金支付到乙方约定账户。</w:t>
      </w:r>
    </w:p>
    <w:p w14:paraId="1B032E69">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2F589B9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C34AA20">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59DF70C">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24CAF1BA">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498CF3D7">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0946C7A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16E74778">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7F1EC5A8">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66BB5EA">
      <w:pPr>
        <w:pStyle w:val="29"/>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75C0C176">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42CACE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4F80D8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274E9E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0947CF9A">
      <w:pPr>
        <w:pStyle w:val="29"/>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2EC8D3">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2FEC1641">
      <w:pPr>
        <w:pStyle w:val="29"/>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457E227">
      <w:pPr>
        <w:pStyle w:val="29"/>
        <w:adjustRightInd w:val="0"/>
        <w:snapToGrid w:val="0"/>
        <w:spacing w:before="120" w:after="120" w:line="460" w:lineRule="exact"/>
        <w:ind w:left="1" w:firstLine="639" w:firstLineChars="213"/>
        <w:rPr>
          <w:rFonts w:ascii="仿宋" w:hAnsi="仿宋" w:eastAsia="仿宋"/>
          <w:snapToGrid w:val="0"/>
          <w:sz w:val="30"/>
          <w:szCs w:val="30"/>
        </w:rPr>
      </w:pPr>
    </w:p>
    <w:p w14:paraId="61392C52">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2646395E">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98A41CD">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C47B9E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436D96F0">
      <w:pPr>
        <w:pStyle w:val="29"/>
        <w:adjustRightInd w:val="0"/>
        <w:snapToGrid w:val="0"/>
        <w:spacing w:before="120" w:after="120" w:line="460" w:lineRule="exact"/>
        <w:ind w:firstLine="639" w:firstLineChars="213"/>
        <w:rPr>
          <w:rFonts w:ascii="仿宋" w:hAnsi="仿宋" w:eastAsia="仿宋"/>
          <w:snapToGrid w:val="0"/>
          <w:sz w:val="30"/>
          <w:szCs w:val="30"/>
        </w:rPr>
      </w:pPr>
    </w:p>
    <w:p w14:paraId="618E564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1588F164">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DD1974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8E3738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7F2149A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D74210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7F29A7B">
      <w:pPr>
        <w:pStyle w:val="29"/>
        <w:adjustRightInd w:val="0"/>
        <w:snapToGrid w:val="0"/>
        <w:spacing w:before="120" w:after="120" w:line="460" w:lineRule="exact"/>
        <w:ind w:left="1" w:firstLine="639" w:firstLineChars="213"/>
        <w:rPr>
          <w:rFonts w:hAnsi="宋体"/>
          <w:snapToGrid w:val="0"/>
          <w:color w:val="000000"/>
          <w:sz w:val="30"/>
          <w:szCs w:val="30"/>
        </w:rPr>
      </w:pPr>
    </w:p>
    <w:p w14:paraId="5B9D0872">
      <w:pPr>
        <w:pStyle w:val="29"/>
        <w:adjustRightInd w:val="0"/>
        <w:snapToGrid w:val="0"/>
        <w:spacing w:before="120" w:after="120" w:line="460" w:lineRule="exact"/>
        <w:ind w:left="1" w:firstLine="639" w:firstLineChars="213"/>
        <w:rPr>
          <w:rFonts w:hAnsi="宋体"/>
          <w:snapToGrid w:val="0"/>
          <w:color w:val="000000"/>
          <w:sz w:val="30"/>
          <w:szCs w:val="30"/>
        </w:rPr>
      </w:pPr>
    </w:p>
    <w:p w14:paraId="51D1ED24">
      <w:pPr>
        <w:pStyle w:val="29"/>
        <w:adjustRightInd w:val="0"/>
        <w:snapToGrid w:val="0"/>
        <w:spacing w:before="120" w:after="120" w:line="460" w:lineRule="exact"/>
        <w:ind w:left="1" w:firstLine="639" w:firstLineChars="213"/>
        <w:rPr>
          <w:rFonts w:hAnsi="宋体"/>
          <w:snapToGrid w:val="0"/>
          <w:color w:val="000000"/>
          <w:sz w:val="30"/>
          <w:szCs w:val="30"/>
        </w:rPr>
      </w:pPr>
    </w:p>
    <w:p w14:paraId="1E30B574">
      <w:pPr>
        <w:pStyle w:val="29"/>
        <w:adjustRightInd w:val="0"/>
        <w:snapToGrid w:val="0"/>
        <w:spacing w:before="120" w:after="120" w:line="460" w:lineRule="exact"/>
        <w:ind w:left="1" w:firstLine="639" w:firstLineChars="213"/>
        <w:rPr>
          <w:rFonts w:hAnsi="宋体"/>
          <w:snapToGrid w:val="0"/>
          <w:color w:val="000000"/>
          <w:sz w:val="30"/>
          <w:szCs w:val="30"/>
        </w:rPr>
      </w:pPr>
    </w:p>
    <w:p w14:paraId="270C5B72">
      <w:pPr>
        <w:pStyle w:val="29"/>
        <w:adjustRightInd w:val="0"/>
        <w:snapToGrid w:val="0"/>
        <w:spacing w:before="120" w:after="120" w:line="460" w:lineRule="exact"/>
        <w:ind w:left="1" w:firstLine="639" w:firstLineChars="213"/>
        <w:rPr>
          <w:rFonts w:hAnsi="宋体"/>
          <w:snapToGrid w:val="0"/>
          <w:color w:val="000000"/>
          <w:sz w:val="30"/>
          <w:szCs w:val="30"/>
        </w:rPr>
      </w:pPr>
    </w:p>
    <w:p w14:paraId="1E3CF15E">
      <w:pPr>
        <w:pStyle w:val="29"/>
        <w:adjustRightInd w:val="0"/>
        <w:snapToGrid w:val="0"/>
        <w:spacing w:before="120" w:after="120" w:line="460" w:lineRule="exact"/>
        <w:ind w:left="1" w:firstLine="639" w:firstLineChars="213"/>
        <w:rPr>
          <w:rFonts w:hAnsi="宋体"/>
          <w:snapToGrid w:val="0"/>
          <w:color w:val="000000"/>
          <w:sz w:val="30"/>
          <w:szCs w:val="30"/>
        </w:rPr>
      </w:pPr>
    </w:p>
    <w:p w14:paraId="718D2D45">
      <w:pPr>
        <w:pStyle w:val="29"/>
        <w:adjustRightInd w:val="0"/>
        <w:snapToGrid w:val="0"/>
        <w:spacing w:before="120" w:after="120" w:line="460" w:lineRule="exact"/>
        <w:ind w:left="1" w:firstLine="639" w:firstLineChars="213"/>
        <w:rPr>
          <w:rFonts w:hAnsi="宋体"/>
          <w:snapToGrid w:val="0"/>
          <w:color w:val="000000"/>
          <w:sz w:val="30"/>
          <w:szCs w:val="30"/>
        </w:rPr>
      </w:pPr>
    </w:p>
    <w:p w14:paraId="1900F0BC">
      <w:pPr>
        <w:pStyle w:val="29"/>
        <w:adjustRightInd w:val="0"/>
        <w:snapToGrid w:val="0"/>
        <w:spacing w:before="120" w:after="120" w:line="460" w:lineRule="exact"/>
        <w:ind w:left="1" w:firstLine="639" w:firstLineChars="213"/>
        <w:rPr>
          <w:rFonts w:hAnsi="宋体"/>
          <w:snapToGrid w:val="0"/>
          <w:color w:val="000000"/>
          <w:sz w:val="30"/>
          <w:szCs w:val="30"/>
        </w:rPr>
      </w:pPr>
    </w:p>
    <w:p w14:paraId="1150730F">
      <w:pPr>
        <w:pStyle w:val="29"/>
        <w:adjustRightInd w:val="0"/>
        <w:snapToGrid w:val="0"/>
        <w:spacing w:before="120" w:after="120" w:line="460" w:lineRule="exact"/>
        <w:ind w:left="1" w:firstLine="639" w:firstLineChars="213"/>
        <w:rPr>
          <w:rFonts w:hAnsi="宋体"/>
          <w:snapToGrid w:val="0"/>
          <w:color w:val="000000"/>
          <w:sz w:val="30"/>
          <w:szCs w:val="30"/>
        </w:rPr>
      </w:pPr>
    </w:p>
    <w:p w14:paraId="2FC32E21">
      <w:pPr>
        <w:pStyle w:val="29"/>
        <w:adjustRightInd w:val="0"/>
        <w:snapToGrid w:val="0"/>
        <w:spacing w:before="120" w:after="120" w:line="460" w:lineRule="exact"/>
        <w:ind w:left="1" w:firstLine="639" w:firstLineChars="213"/>
        <w:rPr>
          <w:rFonts w:hAnsi="宋体"/>
          <w:snapToGrid w:val="0"/>
          <w:color w:val="000000"/>
          <w:sz w:val="30"/>
          <w:szCs w:val="30"/>
        </w:rPr>
      </w:pPr>
    </w:p>
    <w:p w14:paraId="59AC8E7E">
      <w:pPr>
        <w:pStyle w:val="29"/>
        <w:adjustRightInd w:val="0"/>
        <w:snapToGrid w:val="0"/>
        <w:spacing w:before="120" w:after="120" w:line="460" w:lineRule="exact"/>
        <w:ind w:left="1" w:firstLine="639" w:firstLineChars="213"/>
        <w:rPr>
          <w:rFonts w:hAnsi="宋体"/>
          <w:snapToGrid w:val="0"/>
          <w:color w:val="000000"/>
          <w:sz w:val="30"/>
          <w:szCs w:val="30"/>
        </w:rPr>
      </w:pPr>
    </w:p>
    <w:p w14:paraId="5A06B12F">
      <w:pPr>
        <w:pStyle w:val="29"/>
        <w:adjustRightInd w:val="0"/>
        <w:snapToGrid w:val="0"/>
        <w:spacing w:before="120" w:after="120" w:line="460" w:lineRule="exact"/>
        <w:ind w:left="1" w:firstLine="639" w:firstLineChars="213"/>
        <w:rPr>
          <w:rFonts w:hAnsi="宋体"/>
          <w:snapToGrid w:val="0"/>
          <w:color w:val="000000"/>
          <w:sz w:val="30"/>
          <w:szCs w:val="30"/>
        </w:rPr>
      </w:pPr>
    </w:p>
    <w:p w14:paraId="0A3755F7">
      <w:pPr>
        <w:pStyle w:val="29"/>
        <w:snapToGrid w:val="0"/>
        <w:spacing w:before="120" w:after="120" w:line="480" w:lineRule="auto"/>
        <w:jc w:val="both"/>
        <w:outlineLvl w:val="0"/>
        <w:rPr>
          <w:rFonts w:hint="eastAsia" w:hAnsi="宋体"/>
          <w:b/>
          <w:sz w:val="36"/>
          <w:szCs w:val="36"/>
        </w:rPr>
      </w:pPr>
      <w:bookmarkStart w:id="98" w:name="_Toc510137469"/>
    </w:p>
    <w:p w14:paraId="5C21746D">
      <w:pPr>
        <w:pStyle w:val="29"/>
        <w:snapToGrid w:val="0"/>
        <w:spacing w:before="120" w:after="120" w:line="480" w:lineRule="auto"/>
        <w:jc w:val="center"/>
        <w:outlineLvl w:val="0"/>
        <w:rPr>
          <w:rFonts w:hAnsi="宋体"/>
          <w:b/>
          <w:sz w:val="36"/>
          <w:szCs w:val="36"/>
        </w:rPr>
      </w:pPr>
      <w:r>
        <w:rPr>
          <w:rFonts w:hint="eastAsia" w:hAnsi="宋体"/>
          <w:b/>
          <w:sz w:val="36"/>
          <w:szCs w:val="36"/>
        </w:rPr>
        <w:t>第六章响应文件格式附件</w:t>
      </w:r>
      <w:bookmarkEnd w:id="98"/>
    </w:p>
    <w:p w14:paraId="5496E730">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7CA21BA">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3920385">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7AE403D">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B0596E5">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BA9A99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7FB06A2">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04D1F09">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88A909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EE9D6E0">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45065B1">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0D34C32">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AD1F65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9DBECB5">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4029A6B">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97449B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0E62110">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12D630C">
      <w:pPr>
        <w:snapToGrid w:val="0"/>
        <w:spacing w:before="120" w:beforeLines="50" w:after="50"/>
        <w:jc w:val="right"/>
        <w:rPr>
          <w:rFonts w:ascii="仿宋" w:hAnsi="仿宋" w:eastAsia="仿宋"/>
          <w:bCs/>
          <w:sz w:val="30"/>
          <w:szCs w:val="30"/>
        </w:rPr>
      </w:pPr>
    </w:p>
    <w:p w14:paraId="0CB02D67">
      <w:pPr>
        <w:ind w:right="-110"/>
        <w:jc w:val="center"/>
        <w:rPr>
          <w:rFonts w:hint="eastAsia" w:ascii="仿宋" w:hAnsi="仿宋" w:eastAsia="仿宋"/>
          <w:spacing w:val="40"/>
          <w:sz w:val="52"/>
          <w:szCs w:val="52"/>
          <w:lang w:eastAsia="zh-CN"/>
        </w:rPr>
      </w:pPr>
      <w:bookmarkStart w:id="99" w:name="PO_3000001756_PM002_2"/>
      <w:r>
        <w:rPr>
          <w:rFonts w:hint="eastAsia" w:ascii="仿宋" w:hAnsi="仿宋" w:eastAsia="仿宋"/>
          <w:b/>
          <w:spacing w:val="40"/>
          <w:sz w:val="52"/>
          <w:szCs w:val="52"/>
          <w:lang w:eastAsia="zh-CN"/>
        </w:rPr>
        <w:t>浙江农林大学物业服务项目</w:t>
      </w:r>
      <w:bookmarkEnd w:id="99"/>
    </w:p>
    <w:p w14:paraId="7269EF3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0" w:name="PO_15530_PM001_2"/>
      <w:r>
        <w:rPr>
          <w:rFonts w:hint="eastAsia" w:ascii="仿宋" w:hAnsi="仿宋" w:eastAsia="仿宋"/>
          <w:sz w:val="36"/>
          <w:szCs w:val="36"/>
          <w:lang w:eastAsia="zh-CN"/>
        </w:rPr>
        <w:t>ZZCG2025H-CS-112</w:t>
      </w:r>
      <w:bookmarkEnd w:id="100"/>
      <w:r>
        <w:rPr>
          <w:rFonts w:hint="eastAsia" w:ascii="仿宋" w:hAnsi="仿宋" w:eastAsia="仿宋"/>
          <w:sz w:val="36"/>
          <w:szCs w:val="36"/>
        </w:rPr>
        <w:t xml:space="preserve"> （标项）</w:t>
      </w:r>
    </w:p>
    <w:p w14:paraId="21AF033E">
      <w:pPr>
        <w:spacing w:after="100" w:afterAutospacing="1" w:line="800" w:lineRule="exact"/>
        <w:ind w:right="-108"/>
        <w:jc w:val="center"/>
        <w:rPr>
          <w:rFonts w:ascii="仿宋" w:hAnsi="仿宋" w:eastAsia="仿宋"/>
          <w:b/>
          <w:spacing w:val="40"/>
          <w:sz w:val="84"/>
          <w:szCs w:val="84"/>
        </w:rPr>
      </w:pPr>
    </w:p>
    <w:p w14:paraId="70AD20D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5EEA06D">
      <w:pPr>
        <w:spacing w:after="100" w:afterAutospacing="1" w:line="800" w:lineRule="exact"/>
        <w:ind w:right="-108"/>
        <w:jc w:val="center"/>
        <w:rPr>
          <w:rFonts w:ascii="仿宋" w:hAnsi="仿宋" w:eastAsia="仿宋"/>
          <w:b/>
          <w:spacing w:val="40"/>
          <w:sz w:val="84"/>
          <w:szCs w:val="84"/>
        </w:rPr>
      </w:pPr>
    </w:p>
    <w:p w14:paraId="45C3D29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5FA774CA">
      <w:pPr>
        <w:spacing w:after="100" w:afterAutospacing="1" w:line="800" w:lineRule="exact"/>
        <w:ind w:right="-108"/>
        <w:jc w:val="center"/>
        <w:rPr>
          <w:rFonts w:ascii="仿宋" w:hAnsi="仿宋" w:eastAsia="仿宋"/>
          <w:b/>
          <w:spacing w:val="40"/>
          <w:sz w:val="84"/>
          <w:szCs w:val="84"/>
        </w:rPr>
      </w:pPr>
    </w:p>
    <w:p w14:paraId="6B1E6B8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C19F477">
      <w:pPr>
        <w:spacing w:after="100" w:afterAutospacing="1" w:line="800" w:lineRule="exact"/>
        <w:ind w:right="-108"/>
        <w:jc w:val="center"/>
        <w:rPr>
          <w:rFonts w:ascii="仿宋" w:hAnsi="仿宋" w:eastAsia="仿宋"/>
          <w:b/>
          <w:spacing w:val="40"/>
          <w:sz w:val="84"/>
          <w:szCs w:val="84"/>
        </w:rPr>
      </w:pPr>
    </w:p>
    <w:p w14:paraId="4FE8DA0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1541B37">
      <w:pPr>
        <w:spacing w:line="500" w:lineRule="exact"/>
        <w:ind w:right="532"/>
        <w:rPr>
          <w:rFonts w:ascii="仿宋" w:hAnsi="仿宋" w:eastAsia="仿宋"/>
          <w:sz w:val="36"/>
          <w:szCs w:val="36"/>
        </w:rPr>
      </w:pPr>
    </w:p>
    <w:p w14:paraId="6CF2DA7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9D32889">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4E6ADD9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6E66BF75">
      <w:pPr>
        <w:spacing w:line="600" w:lineRule="exact"/>
        <w:ind w:right="532" w:firstLine="720" w:firstLineChars="200"/>
        <w:rPr>
          <w:rFonts w:ascii="仿宋" w:hAnsi="仿宋" w:eastAsia="仿宋"/>
          <w:sz w:val="36"/>
          <w:szCs w:val="36"/>
        </w:rPr>
      </w:pPr>
    </w:p>
    <w:p w14:paraId="1CD3986C">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200912A">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（1）磋商响应声明书 (格式见附件2)；</w:t>
      </w:r>
    </w:p>
    <w:p w14:paraId="6527ADA4">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的提供，格式见附件3</w:t>
      </w:r>
      <w:r>
        <w:rPr>
          <w:rFonts w:ascii="仿宋" w:hAnsi="仿宋" w:eastAsia="仿宋"/>
          <w:sz w:val="30"/>
          <w:szCs w:val="30"/>
        </w:rPr>
        <w:t>-2</w:t>
      </w:r>
      <w:r>
        <w:rPr>
          <w:rFonts w:hint="eastAsia" w:ascii="仿宋" w:hAnsi="仿宋" w:eastAsia="仿宋"/>
          <w:sz w:val="30"/>
          <w:szCs w:val="30"/>
        </w:rPr>
        <w:t>）或联合</w:t>
      </w:r>
      <w:r>
        <w:rPr>
          <w:rFonts w:hint="eastAsia" w:ascii="仿宋" w:hAnsi="仿宋" w:eastAsia="仿宋"/>
          <w:sz w:val="30"/>
          <w:szCs w:val="30"/>
          <w:lang w:val="en-US" w:eastAsia="zh-CN"/>
        </w:rPr>
        <w:t>响应</w:t>
      </w:r>
      <w:r>
        <w:rPr>
          <w:rFonts w:hint="eastAsia" w:ascii="仿宋" w:hAnsi="仿宋" w:eastAsia="仿宋"/>
          <w:sz w:val="30"/>
          <w:szCs w:val="30"/>
        </w:rPr>
        <w:t>授权委托书（以联合体形式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w:t>
      </w:r>
      <w:r>
        <w:rPr>
          <w:rFonts w:ascii="仿宋" w:hAnsi="仿宋" w:eastAsia="仿宋"/>
          <w:sz w:val="30"/>
          <w:szCs w:val="30"/>
        </w:rPr>
        <w:t>5</w:t>
      </w:r>
      <w:r>
        <w:rPr>
          <w:rFonts w:hint="eastAsia" w:ascii="仿宋" w:hAnsi="仿宋" w:eastAsia="仿宋"/>
          <w:sz w:val="30"/>
          <w:szCs w:val="30"/>
        </w:rPr>
        <w:t>）；</w:t>
      </w:r>
    </w:p>
    <w:p w14:paraId="511C842D">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A45EF9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（4）联合</w:t>
      </w:r>
      <w:r>
        <w:rPr>
          <w:rFonts w:hint="eastAsia" w:ascii="仿宋" w:hAnsi="仿宋" w:eastAsia="仿宋"/>
          <w:sz w:val="30"/>
          <w:szCs w:val="30"/>
          <w:lang w:val="en-US" w:eastAsia="zh-CN"/>
        </w:rPr>
        <w:t>响应</w:t>
      </w:r>
      <w:r>
        <w:rPr>
          <w:rFonts w:hint="eastAsia" w:ascii="仿宋" w:hAnsi="仿宋" w:eastAsia="仿宋"/>
          <w:sz w:val="30"/>
          <w:szCs w:val="30"/>
        </w:rPr>
        <w:t>协议书（以联合体形式</w:t>
      </w:r>
      <w:r>
        <w:rPr>
          <w:rFonts w:hint="eastAsia" w:ascii="仿宋" w:hAnsi="仿宋" w:eastAsia="仿宋"/>
          <w:sz w:val="30"/>
          <w:szCs w:val="30"/>
          <w:lang w:val="en-US" w:eastAsia="zh-CN"/>
        </w:rPr>
        <w:t>响应</w:t>
      </w:r>
      <w:r>
        <w:rPr>
          <w:rFonts w:hint="eastAsia" w:ascii="仿宋" w:hAnsi="仿宋" w:eastAsia="仿宋"/>
          <w:sz w:val="30"/>
          <w:szCs w:val="30"/>
        </w:rPr>
        <w:t>的须提供，格式见附件4）;</w:t>
      </w:r>
    </w:p>
    <w:p w14:paraId="3773712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r>
        <w:rPr>
          <w:rFonts w:hint="eastAsia" w:ascii="仿宋" w:hAnsi="仿宋" w:eastAsia="仿宋"/>
          <w:sz w:val="30"/>
          <w:szCs w:val="30"/>
          <w:lang w:val="en-US" w:eastAsia="zh-CN"/>
        </w:rPr>
        <w:t>；</w:t>
      </w:r>
    </w:p>
    <w:p w14:paraId="2AC9F292">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）中小企业声明函（若需要，格式见附件7）；</w:t>
      </w:r>
    </w:p>
    <w:p w14:paraId="58181606">
      <w:pPr>
        <w:snapToGrid w:val="0"/>
        <w:spacing w:before="50" w:after="120" w:afterLines="5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）残疾人福利企业声明函（若需要，格式见附件8）；</w:t>
      </w:r>
    </w:p>
    <w:p w14:paraId="24218EAB">
      <w:pPr>
        <w:snapToGrid w:val="0"/>
        <w:spacing w:before="50" w:after="120" w:afterLines="50" w:line="460" w:lineRule="exact"/>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lang w:val="en-US" w:eastAsia="zh-CN"/>
        </w:rPr>
        <w:t>（8）监狱企业证明文件（若需要）；</w:t>
      </w:r>
    </w:p>
    <w:p w14:paraId="2CE7415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9</w:t>
      </w:r>
      <w:r>
        <w:rPr>
          <w:rFonts w:hint="eastAsia" w:ascii="仿宋" w:hAnsi="仿宋" w:eastAsia="仿宋"/>
          <w:sz w:val="30"/>
          <w:szCs w:val="30"/>
        </w:rPr>
        <w:t>）提供采购公告中符合磋商响应方的特定条件要求的有效的其他资质复印件并加盖公司公章及需要说明的资料。</w:t>
      </w:r>
    </w:p>
    <w:p w14:paraId="1E3282C6">
      <w:pPr>
        <w:snapToGrid w:val="0"/>
        <w:spacing w:before="50" w:after="120" w:afterLines="50"/>
        <w:jc w:val="left"/>
        <w:rPr>
          <w:rFonts w:ascii="仿宋" w:hAnsi="仿宋" w:eastAsia="仿宋"/>
          <w:color w:val="FF0000"/>
          <w:sz w:val="30"/>
          <w:szCs w:val="30"/>
        </w:rPr>
      </w:pPr>
    </w:p>
    <w:p w14:paraId="12BF61EF">
      <w:pPr>
        <w:snapToGrid w:val="0"/>
        <w:spacing w:before="50" w:after="120" w:afterLines="50"/>
        <w:jc w:val="left"/>
        <w:rPr>
          <w:rFonts w:ascii="仿宋" w:hAnsi="仿宋" w:eastAsia="仿宋"/>
          <w:color w:val="FF0000"/>
          <w:sz w:val="30"/>
          <w:szCs w:val="30"/>
        </w:rPr>
      </w:pPr>
    </w:p>
    <w:p w14:paraId="78D33383">
      <w:pPr>
        <w:snapToGrid w:val="0"/>
        <w:spacing w:before="50" w:after="120" w:afterLines="50"/>
        <w:jc w:val="left"/>
        <w:rPr>
          <w:rFonts w:ascii="仿宋" w:hAnsi="仿宋" w:eastAsia="仿宋"/>
          <w:color w:val="FF0000"/>
          <w:sz w:val="30"/>
          <w:szCs w:val="30"/>
        </w:rPr>
      </w:pPr>
    </w:p>
    <w:p w14:paraId="5AD24276">
      <w:pPr>
        <w:snapToGrid w:val="0"/>
        <w:spacing w:before="50" w:after="120" w:afterLines="50"/>
        <w:jc w:val="left"/>
        <w:rPr>
          <w:rFonts w:ascii="仿宋" w:hAnsi="仿宋" w:eastAsia="仿宋"/>
          <w:color w:val="FF0000"/>
          <w:sz w:val="30"/>
          <w:szCs w:val="30"/>
        </w:rPr>
      </w:pPr>
    </w:p>
    <w:p w14:paraId="72AA81B2">
      <w:pPr>
        <w:snapToGrid w:val="0"/>
        <w:spacing w:before="50" w:after="120" w:afterLines="50"/>
        <w:jc w:val="left"/>
        <w:rPr>
          <w:rFonts w:ascii="仿宋" w:hAnsi="仿宋" w:eastAsia="仿宋"/>
          <w:color w:val="FF0000"/>
          <w:sz w:val="30"/>
          <w:szCs w:val="30"/>
        </w:rPr>
      </w:pPr>
    </w:p>
    <w:p w14:paraId="12C98B8C">
      <w:pPr>
        <w:snapToGrid w:val="0"/>
        <w:spacing w:before="50" w:after="120" w:afterLines="50"/>
        <w:jc w:val="left"/>
        <w:rPr>
          <w:rFonts w:ascii="宋体" w:hAnsi="宋体"/>
          <w:b/>
          <w:sz w:val="30"/>
          <w:szCs w:val="30"/>
        </w:rPr>
      </w:pPr>
    </w:p>
    <w:p w14:paraId="1D717310">
      <w:pPr>
        <w:snapToGrid w:val="0"/>
        <w:spacing w:line="460" w:lineRule="exact"/>
        <w:ind w:firstLine="446" w:firstLineChars="148"/>
        <w:jc w:val="left"/>
        <w:outlineLvl w:val="1"/>
        <w:rPr>
          <w:rFonts w:hint="eastAsia" w:ascii="仿宋" w:hAnsi="仿宋" w:eastAsia="仿宋"/>
          <w:b/>
          <w:bCs/>
          <w:sz w:val="30"/>
          <w:szCs w:val="30"/>
        </w:rPr>
      </w:pPr>
    </w:p>
    <w:p w14:paraId="5006BD27">
      <w:pPr>
        <w:snapToGrid w:val="0"/>
        <w:spacing w:line="460" w:lineRule="exact"/>
        <w:ind w:firstLine="446" w:firstLineChars="148"/>
        <w:jc w:val="left"/>
        <w:outlineLvl w:val="1"/>
        <w:rPr>
          <w:rFonts w:hint="eastAsia" w:ascii="仿宋" w:hAnsi="仿宋" w:eastAsia="仿宋"/>
          <w:b/>
          <w:bCs/>
          <w:sz w:val="30"/>
          <w:szCs w:val="30"/>
        </w:rPr>
      </w:pPr>
    </w:p>
    <w:p w14:paraId="430E0F5B">
      <w:pPr>
        <w:snapToGrid w:val="0"/>
        <w:spacing w:line="460" w:lineRule="exact"/>
        <w:ind w:firstLine="446" w:firstLineChars="148"/>
        <w:jc w:val="left"/>
        <w:outlineLvl w:val="1"/>
        <w:rPr>
          <w:rFonts w:hint="eastAsia" w:ascii="仿宋" w:hAnsi="仿宋" w:eastAsia="仿宋"/>
          <w:b/>
          <w:bCs/>
          <w:sz w:val="30"/>
          <w:szCs w:val="30"/>
        </w:rPr>
      </w:pPr>
    </w:p>
    <w:p w14:paraId="62C2809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响应方</w:t>
      </w:r>
      <w:r>
        <w:rPr>
          <w:rFonts w:hint="eastAsia" w:ascii="仿宋" w:hAnsi="仿宋" w:eastAsia="仿宋"/>
          <w:b/>
          <w:bCs/>
          <w:sz w:val="30"/>
          <w:szCs w:val="30"/>
        </w:rPr>
        <w:t>须知（</w:t>
      </w:r>
      <w:r>
        <w:rPr>
          <w:rFonts w:hint="eastAsia" w:ascii="仿宋" w:hAnsi="仿宋" w:eastAsia="仿宋"/>
          <w:b/>
          <w:bCs/>
          <w:sz w:val="30"/>
          <w:szCs w:val="30"/>
          <w:lang w:val="en-US" w:eastAsia="zh-CN"/>
        </w:rPr>
        <w:t>七</w:t>
      </w:r>
      <w:r>
        <w:rPr>
          <w:rFonts w:hint="eastAsia" w:ascii="仿宋" w:hAnsi="仿宋" w:eastAsia="仿宋"/>
          <w:b/>
          <w:bCs/>
          <w:sz w:val="30"/>
          <w:szCs w:val="30"/>
        </w:rPr>
        <w:t>）磋商响应无效的情形中“4</w:t>
      </w:r>
      <w:r>
        <w:rPr>
          <w:rFonts w:hint="eastAsia" w:ascii="仿宋" w:hAnsi="仿宋" w:eastAsia="仿宋"/>
          <w:b/>
          <w:bCs/>
          <w:sz w:val="30"/>
          <w:szCs w:val="30"/>
          <w:lang w:val="en-US" w:eastAsia="zh-CN"/>
        </w:rPr>
        <w:t>.</w:t>
      </w:r>
      <w:r>
        <w:rPr>
          <w:rFonts w:hint="eastAsia" w:ascii="仿宋" w:hAnsi="仿宋" w:eastAsia="仿宋"/>
          <w:b/>
          <w:bCs/>
          <w:sz w:val="30"/>
          <w:szCs w:val="30"/>
        </w:rPr>
        <w:t>磋商响应方未能提供合格的资格文件”包括但不限于下列情形：</w:t>
      </w:r>
    </w:p>
    <w:p w14:paraId="36BFBAF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BF9BD6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未提供声明书或声明书未盖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09C7D36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的，未分别提供联合体各方声明书</w:t>
      </w:r>
      <w:r>
        <w:rPr>
          <w:rFonts w:hint="eastAsia" w:ascii="仿宋" w:hAnsi="仿宋" w:eastAsia="仿宋"/>
          <w:bCs/>
          <w:sz w:val="30"/>
          <w:szCs w:val="30"/>
        </w:rPr>
        <w:t>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FF77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w:t>
      </w:r>
      <w:r>
        <w:rPr>
          <w:rFonts w:hint="eastAsia" w:ascii="仿宋" w:hAnsi="仿宋" w:eastAsia="仿宋"/>
          <w:b/>
          <w:sz w:val="30"/>
          <w:szCs w:val="30"/>
          <w:lang w:val="en-US" w:eastAsia="zh-CN"/>
        </w:rPr>
        <w:t>响应</w:t>
      </w:r>
      <w:r>
        <w:rPr>
          <w:rFonts w:hint="eastAsia" w:ascii="仿宋" w:hAnsi="仿宋" w:eastAsia="仿宋"/>
          <w:b/>
          <w:sz w:val="30"/>
          <w:szCs w:val="30"/>
        </w:rPr>
        <w:t>授权委托书：</w:t>
      </w:r>
    </w:p>
    <w:p w14:paraId="78EB62E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的，未提供法定代表人授权委托书或委托书</w:t>
      </w:r>
      <w:r>
        <w:rPr>
          <w:rFonts w:hint="eastAsia" w:ascii="仿宋" w:hAnsi="仿宋" w:eastAsia="仿宋"/>
          <w:bCs/>
          <w:sz w:val="30"/>
          <w:szCs w:val="30"/>
        </w:rPr>
        <w:t>无法定代表人签章或未盖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w:t>
      </w:r>
      <w:r>
        <w:rPr>
          <w:rFonts w:hint="eastAsia" w:ascii="仿宋" w:hAnsi="仿宋" w:eastAsia="仿宋"/>
          <w:bCs/>
          <w:sz w:val="30"/>
          <w:szCs w:val="30"/>
        </w:rPr>
        <w:t>未提供身份证或身份证不在有效期内或未签章；</w:t>
      </w:r>
    </w:p>
    <w:p w14:paraId="391E38E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w:t>
      </w:r>
      <w:r>
        <w:rPr>
          <w:rFonts w:hint="eastAsia" w:ascii="仿宋" w:hAnsi="仿宋" w:eastAsia="仿宋"/>
          <w:sz w:val="30"/>
          <w:szCs w:val="30"/>
          <w:lang w:val="en-US" w:eastAsia="zh-CN"/>
        </w:rPr>
        <w:t>响应</w:t>
      </w:r>
      <w:r>
        <w:rPr>
          <w:rFonts w:hint="eastAsia" w:ascii="仿宋" w:hAnsi="仿宋" w:eastAsia="仿宋"/>
          <w:sz w:val="30"/>
          <w:szCs w:val="30"/>
        </w:rPr>
        <w:t>授权委托书或委托书</w:t>
      </w:r>
      <w:r>
        <w:rPr>
          <w:rFonts w:hint="eastAsia" w:ascii="仿宋" w:hAnsi="仿宋" w:eastAsia="仿宋"/>
          <w:bCs/>
          <w:sz w:val="30"/>
          <w:szCs w:val="30"/>
        </w:rPr>
        <w:t>无联合体各方法定代表人签章或未盖联合体各方公章；</w:t>
      </w:r>
    </w:p>
    <w:p w14:paraId="31CF99A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651492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5862FE1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的，未提供联合体各方</w:t>
      </w:r>
      <w:r>
        <w:rPr>
          <w:rFonts w:hint="eastAsia" w:ascii="仿宋" w:hAnsi="仿宋" w:eastAsia="仿宋"/>
          <w:bCs/>
          <w:sz w:val="30"/>
          <w:szCs w:val="30"/>
        </w:rPr>
        <w:t>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A74B8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w:t>
      </w:r>
      <w:r>
        <w:rPr>
          <w:rFonts w:hint="eastAsia" w:ascii="仿宋" w:hAnsi="仿宋" w:eastAsia="仿宋"/>
          <w:bCs/>
          <w:sz w:val="30"/>
          <w:szCs w:val="30"/>
          <w:lang w:val="en-US" w:eastAsia="zh-CN"/>
        </w:rPr>
        <w:t>响应</w:t>
      </w:r>
      <w:r>
        <w:rPr>
          <w:rFonts w:hint="eastAsia" w:ascii="仿宋" w:hAnsi="仿宋" w:eastAsia="仿宋"/>
          <w:bCs/>
          <w:sz w:val="30"/>
          <w:szCs w:val="30"/>
        </w:rPr>
        <w:t>的，未提供事业单位法人证书或事业单位法人证书不在有效期内或未盖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公章；自然人</w:t>
      </w:r>
      <w:r>
        <w:rPr>
          <w:rFonts w:hint="eastAsia" w:ascii="仿宋" w:hAnsi="仿宋" w:eastAsia="仿宋"/>
          <w:bCs/>
          <w:sz w:val="30"/>
          <w:szCs w:val="30"/>
          <w:lang w:val="en-US" w:eastAsia="zh-CN"/>
        </w:rPr>
        <w:t>响应</w:t>
      </w:r>
      <w:r>
        <w:rPr>
          <w:rFonts w:hint="eastAsia" w:ascii="仿宋" w:hAnsi="仿宋" w:eastAsia="仿宋"/>
          <w:bCs/>
          <w:sz w:val="30"/>
          <w:szCs w:val="30"/>
        </w:rPr>
        <w:t>的，未提供身份证或身份证不在有效期内或未签章；</w:t>
      </w:r>
    </w:p>
    <w:p w14:paraId="6638264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w:t>
      </w:r>
      <w:r>
        <w:rPr>
          <w:rFonts w:hint="eastAsia" w:ascii="仿宋" w:hAnsi="仿宋" w:eastAsia="仿宋"/>
          <w:b/>
          <w:sz w:val="30"/>
          <w:szCs w:val="30"/>
          <w:lang w:eastAsia="zh-CN"/>
        </w:rPr>
        <w:t>响应</w:t>
      </w:r>
      <w:r>
        <w:rPr>
          <w:rFonts w:hint="eastAsia" w:ascii="仿宋" w:hAnsi="仿宋" w:eastAsia="仿宋"/>
          <w:b/>
          <w:sz w:val="30"/>
          <w:szCs w:val="30"/>
        </w:rPr>
        <w:t>协议书：</w:t>
      </w:r>
    </w:p>
    <w:p w14:paraId="456FFEA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bCs/>
          <w:sz w:val="30"/>
          <w:szCs w:val="30"/>
          <w:lang w:val="en-US" w:eastAsia="zh-CN"/>
        </w:rPr>
        <w:t>响应</w:t>
      </w:r>
      <w:r>
        <w:rPr>
          <w:rFonts w:hint="eastAsia" w:ascii="仿宋" w:hAnsi="仿宋" w:eastAsia="仿宋"/>
          <w:sz w:val="30"/>
          <w:szCs w:val="30"/>
        </w:rPr>
        <w:t>的，未提供联合</w:t>
      </w:r>
      <w:r>
        <w:rPr>
          <w:rFonts w:hint="eastAsia" w:ascii="仿宋" w:hAnsi="仿宋" w:eastAsia="仿宋"/>
          <w:bCs/>
          <w:sz w:val="30"/>
          <w:szCs w:val="30"/>
          <w:lang w:val="en-US" w:eastAsia="zh-CN"/>
        </w:rPr>
        <w:t>响应</w:t>
      </w:r>
      <w:r>
        <w:rPr>
          <w:rFonts w:hint="eastAsia" w:ascii="仿宋" w:hAnsi="仿宋" w:eastAsia="仿宋"/>
          <w:sz w:val="30"/>
          <w:szCs w:val="30"/>
        </w:rPr>
        <w:t>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3F0FF4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bCs w:val="0"/>
          <w:sz w:val="30"/>
          <w:szCs w:val="30"/>
          <w:lang w:val="en-US" w:eastAsia="zh-CN"/>
        </w:rPr>
        <w:t>响应方</w:t>
      </w:r>
      <w:r>
        <w:rPr>
          <w:rFonts w:hint="eastAsia" w:ascii="仿宋" w:hAnsi="仿宋" w:eastAsia="仿宋"/>
          <w:b/>
          <w:sz w:val="30"/>
          <w:szCs w:val="30"/>
        </w:rPr>
        <w:t>的特定条件证明材料：</w:t>
      </w:r>
    </w:p>
    <w:p w14:paraId="13400D9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的资格要求中有</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的特定条件的，未提供符合</w:t>
      </w:r>
      <w:r>
        <w:rPr>
          <w:rFonts w:hint="eastAsia" w:ascii="仿宋" w:hAnsi="仿宋" w:eastAsia="仿宋"/>
          <w:bCs/>
          <w:sz w:val="30"/>
          <w:szCs w:val="30"/>
          <w:lang w:val="en-US" w:eastAsia="zh-CN"/>
        </w:rPr>
        <w:t>响应方</w:t>
      </w:r>
      <w:r>
        <w:rPr>
          <w:rFonts w:hint="eastAsia" w:ascii="仿宋" w:hAnsi="仿宋" w:eastAsia="仿宋"/>
          <w:sz w:val="30"/>
          <w:szCs w:val="30"/>
        </w:rPr>
        <w:t>特定条件证明材料或证明材</w:t>
      </w:r>
      <w:r>
        <w:rPr>
          <w:rFonts w:hint="eastAsia" w:ascii="仿宋" w:hAnsi="仿宋" w:eastAsia="仿宋"/>
          <w:bCs/>
          <w:sz w:val="30"/>
          <w:szCs w:val="30"/>
        </w:rPr>
        <w:t>料不在有效期内或未盖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4D18020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77080D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7C204C4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w:t>
      </w:r>
      <w:r>
        <w:rPr>
          <w:rFonts w:hint="eastAsia" w:ascii="仿宋" w:hAnsi="仿宋" w:eastAsia="仿宋"/>
          <w:spacing w:val="6"/>
          <w:sz w:val="30"/>
          <w:szCs w:val="30"/>
          <w:lang w:eastAsia="zh-CN"/>
        </w:rPr>
        <w:t>响应</w:t>
      </w:r>
      <w:r>
        <w:rPr>
          <w:rFonts w:hint="eastAsia" w:ascii="仿宋" w:hAnsi="仿宋" w:eastAsia="仿宋"/>
          <w:spacing w:val="6"/>
          <w:sz w:val="30"/>
          <w:szCs w:val="30"/>
        </w:rPr>
        <w:t>的，</w:t>
      </w:r>
      <w:r>
        <w:rPr>
          <w:rFonts w:hint="eastAsia" w:ascii="仿宋" w:hAnsi="仿宋" w:eastAsia="仿宋"/>
          <w:bCs/>
          <w:sz w:val="30"/>
          <w:szCs w:val="30"/>
        </w:rPr>
        <w:t>未提供残疾人福利性单位声明函或未盖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公章；监狱企业</w:t>
      </w:r>
      <w:r>
        <w:rPr>
          <w:rFonts w:hint="eastAsia" w:ascii="仿宋" w:hAnsi="仿宋" w:eastAsia="仿宋"/>
          <w:bCs/>
          <w:sz w:val="30"/>
          <w:szCs w:val="30"/>
          <w:lang w:eastAsia="zh-CN"/>
        </w:rPr>
        <w:t>响应</w:t>
      </w:r>
      <w:r>
        <w:rPr>
          <w:rFonts w:hint="eastAsia" w:ascii="仿宋" w:hAnsi="仿宋" w:eastAsia="仿宋"/>
          <w:bCs/>
          <w:sz w:val="30"/>
          <w:szCs w:val="30"/>
        </w:rPr>
        <w:t>的，未提供由省级以上监狱管理局、戒毒管理局（含新疆生产建设兵团）出具的属于监狱企业的证明文件；</w:t>
      </w:r>
    </w:p>
    <w:p w14:paraId="3C7535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947D20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w:t>
      </w:r>
      <w:r>
        <w:rPr>
          <w:rFonts w:hint="eastAsia" w:ascii="仿宋" w:hAnsi="仿宋" w:eastAsia="仿宋"/>
          <w:bCs/>
          <w:sz w:val="30"/>
          <w:szCs w:val="30"/>
          <w:lang w:val="en-US" w:eastAsia="zh-CN"/>
        </w:rPr>
        <w:t>响应方</w:t>
      </w:r>
      <w:r>
        <w:rPr>
          <w:rFonts w:hint="eastAsia" w:ascii="仿宋" w:hAnsi="仿宋" w:eastAsia="仿宋"/>
          <w:bCs/>
          <w:sz w:val="30"/>
          <w:szCs w:val="30"/>
        </w:rPr>
        <w:t>与分包供应商公章或</w:t>
      </w:r>
      <w:r>
        <w:rPr>
          <w:rFonts w:hint="eastAsia" w:ascii="仿宋" w:hAnsi="仿宋" w:eastAsia="仿宋"/>
          <w:sz w:val="30"/>
          <w:szCs w:val="30"/>
        </w:rPr>
        <w:t>未列明分包供应商承担的工作、合同金额占比。</w:t>
      </w:r>
    </w:p>
    <w:p w14:paraId="7C8DE018">
      <w:pPr>
        <w:widowControl/>
        <w:jc w:val="left"/>
        <w:rPr>
          <w:rFonts w:ascii="仿宋" w:hAnsi="仿宋" w:eastAsia="仿宋"/>
          <w:sz w:val="30"/>
          <w:szCs w:val="30"/>
        </w:rPr>
      </w:pPr>
      <w:r>
        <w:rPr>
          <w:rFonts w:hint="eastAsia" w:ascii="仿宋" w:hAnsi="仿宋" w:eastAsia="仿宋"/>
          <w:sz w:val="30"/>
          <w:szCs w:val="30"/>
        </w:rPr>
        <w:br w:type="page"/>
      </w:r>
    </w:p>
    <w:p w14:paraId="1734863A">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30E87C6">
      <w:pPr>
        <w:snapToGrid w:val="0"/>
        <w:spacing w:before="50" w:after="50"/>
        <w:jc w:val="center"/>
        <w:rPr>
          <w:rFonts w:ascii="宋体"/>
          <w:b/>
          <w:sz w:val="36"/>
          <w:szCs w:val="36"/>
        </w:rPr>
      </w:pPr>
      <w:r>
        <w:rPr>
          <w:rFonts w:hint="eastAsia" w:ascii="宋体" w:hAnsi="宋体"/>
          <w:b/>
          <w:sz w:val="36"/>
          <w:szCs w:val="36"/>
        </w:rPr>
        <w:t>声明书</w:t>
      </w:r>
    </w:p>
    <w:p w14:paraId="036F7644">
      <w:pPr>
        <w:snapToGrid w:val="0"/>
        <w:spacing w:before="120" w:beforeLines="50" w:after="50" w:line="500" w:lineRule="exact"/>
        <w:jc w:val="center"/>
        <w:rPr>
          <w:rFonts w:ascii="仿宋" w:hAnsi="仿宋" w:eastAsia="仿宋"/>
          <w:b/>
          <w:sz w:val="36"/>
          <w:szCs w:val="36"/>
        </w:rPr>
      </w:pPr>
    </w:p>
    <w:p w14:paraId="7034000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C8ACEE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（磋商项目名称）（编号为</w:t>
      </w:r>
      <w:bookmarkStart w:id="101" w:name="PO_15530_PM001_3"/>
      <w:r>
        <w:rPr>
          <w:rFonts w:hint="eastAsia" w:ascii="仿宋" w:hAnsi="仿宋" w:eastAsia="仿宋"/>
          <w:sz w:val="30"/>
          <w:szCs w:val="30"/>
          <w:u w:val="single"/>
          <w:lang w:eastAsia="zh-CN"/>
        </w:rPr>
        <w:t>ZZCG2025H-CS-112</w:t>
      </w:r>
      <w:bookmarkEnd w:id="101"/>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2CE9A28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我方已详细审查全部磋商文件，同意竞争性磋商文件的各项要求。</w:t>
      </w:r>
    </w:p>
    <w:p w14:paraId="5D231FE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我方向贵方提交的所有磋商响应文件、资料都是正确和真实的。</w:t>
      </w:r>
    </w:p>
    <w:p w14:paraId="5F57659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若成交，我方将按磋商文件规定履行合同责任和义务。</w:t>
      </w:r>
    </w:p>
    <w:p w14:paraId="3B343D2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14:paraId="35C7409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sz w:val="30"/>
          <w:szCs w:val="30"/>
        </w:rPr>
        <w:t>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1353703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w:t>
      </w:r>
      <w:r>
        <w:rPr>
          <w:rFonts w:hint="eastAsia" w:ascii="仿宋" w:hAnsi="仿宋" w:eastAsia="仿宋"/>
          <w:b/>
          <w:sz w:val="30"/>
          <w:szCs w:val="30"/>
          <w:lang w:val="en-US" w:eastAsia="zh-CN"/>
        </w:rPr>
        <w:t>.</w:t>
      </w:r>
      <w:r>
        <w:rPr>
          <w:rFonts w:hint="eastAsia" w:ascii="仿宋" w:hAnsi="仿宋" w:eastAsia="仿宋"/>
          <w:b/>
          <w:sz w:val="30"/>
          <w:szCs w:val="30"/>
        </w:rPr>
        <w:t>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EA587DD">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w:t>
      </w:r>
      <w:r>
        <w:rPr>
          <w:rFonts w:hint="eastAsia" w:ascii="仿宋" w:hAnsi="仿宋" w:eastAsia="仿宋"/>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544B822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00FE6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C8205F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以上事项如有虚假或隐瞒，我方愿意承担一切后果，并不再寻求任何旨在减轻或免除法律责任的辩解。</w:t>
      </w:r>
    </w:p>
    <w:p w14:paraId="27742C62">
      <w:pPr>
        <w:snapToGrid w:val="0"/>
        <w:spacing w:before="120" w:beforeLines="50" w:after="50" w:line="460" w:lineRule="exact"/>
        <w:ind w:right="600" w:firstLine="0" w:firstLineChars="0"/>
        <w:rPr>
          <w:rFonts w:ascii="仿宋" w:hAnsi="仿宋" w:eastAsia="仿宋"/>
          <w:sz w:val="30"/>
          <w:szCs w:val="30"/>
          <w:u w:val="single"/>
        </w:rPr>
      </w:pPr>
      <w:r>
        <w:rPr>
          <w:rFonts w:hint="eastAsia" w:ascii="仿宋" w:hAnsi="仿宋" w:eastAsia="仿宋"/>
          <w:sz w:val="30"/>
          <w:szCs w:val="30"/>
        </w:rPr>
        <w:t xml:space="preserve"> </w:t>
      </w:r>
    </w:p>
    <w:p w14:paraId="1CF54239">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70F446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hint="eastAsia" w:ascii="仿宋" w:hAnsi="仿宋" w:eastAsia="仿宋"/>
          <w:sz w:val="30"/>
          <w:szCs w:val="30"/>
          <w:lang w:val="en-US" w:eastAsia="zh-CN"/>
        </w:rPr>
        <w:t>-1</w:t>
      </w:r>
      <w:r>
        <w:rPr>
          <w:rFonts w:hint="eastAsia" w:ascii="仿宋" w:hAnsi="仿宋" w:eastAsia="仿宋"/>
          <w:sz w:val="30"/>
          <w:szCs w:val="30"/>
        </w:rPr>
        <w:t>：</w:t>
      </w:r>
    </w:p>
    <w:p w14:paraId="76510A09">
      <w:pPr>
        <w:snapToGrid w:val="0"/>
        <w:spacing w:before="50" w:after="50"/>
        <w:jc w:val="center"/>
        <w:rPr>
          <w:rFonts w:ascii="宋体"/>
          <w:b/>
          <w:sz w:val="36"/>
          <w:szCs w:val="36"/>
        </w:rPr>
      </w:pPr>
      <w:r>
        <w:rPr>
          <w:rFonts w:hint="eastAsia" w:ascii="宋体" w:hAnsi="宋体"/>
          <w:b/>
          <w:sz w:val="36"/>
          <w:szCs w:val="36"/>
        </w:rPr>
        <w:t>法定代表人授权委托书</w:t>
      </w:r>
    </w:p>
    <w:p w14:paraId="182A0BE3">
      <w:pPr>
        <w:snapToGrid w:val="0"/>
        <w:spacing w:before="120" w:beforeLines="50" w:after="50"/>
        <w:jc w:val="center"/>
        <w:rPr>
          <w:rFonts w:ascii="仿宋" w:hAnsi="仿宋" w:eastAsia="仿宋"/>
          <w:b/>
          <w:sz w:val="30"/>
          <w:szCs w:val="30"/>
        </w:rPr>
      </w:pPr>
    </w:p>
    <w:p w14:paraId="5C05394D">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034502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6D711D14">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717FEF9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4059144">
      <w:pPr>
        <w:snapToGrid w:val="0"/>
        <w:spacing w:before="120" w:beforeLines="50" w:after="50" w:line="460" w:lineRule="exact"/>
        <w:ind w:firstLine="480"/>
        <w:rPr>
          <w:rFonts w:ascii="仿宋" w:hAnsi="仿宋" w:eastAsia="仿宋"/>
          <w:sz w:val="30"/>
          <w:szCs w:val="30"/>
        </w:rPr>
      </w:pPr>
    </w:p>
    <w:p w14:paraId="5B288257">
      <w:pPr>
        <w:snapToGrid w:val="0"/>
        <w:spacing w:before="120" w:beforeLines="50" w:after="50" w:line="460" w:lineRule="exact"/>
        <w:ind w:firstLine="480"/>
        <w:rPr>
          <w:rFonts w:ascii="仿宋" w:hAnsi="仿宋" w:eastAsia="仿宋"/>
          <w:sz w:val="30"/>
          <w:szCs w:val="30"/>
        </w:rPr>
      </w:pPr>
    </w:p>
    <w:p w14:paraId="46E1130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A0E0481">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89FBE2">
      <w:pPr>
        <w:snapToGrid w:val="0"/>
        <w:spacing w:before="120" w:beforeLines="50" w:after="50" w:line="460" w:lineRule="exact"/>
        <w:rPr>
          <w:rFonts w:hint="eastAsia" w:ascii="仿宋" w:hAnsi="仿宋" w:eastAsia="仿宋"/>
          <w:sz w:val="30"/>
          <w:szCs w:val="30"/>
        </w:rPr>
      </w:pPr>
    </w:p>
    <w:p w14:paraId="6F4C2CA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D24E9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8DB3535">
      <w:pPr>
        <w:snapToGrid w:val="0"/>
        <w:spacing w:before="120" w:beforeLines="50" w:after="50" w:line="460" w:lineRule="exact"/>
        <w:rPr>
          <w:rFonts w:ascii="仿宋" w:hAnsi="仿宋" w:eastAsia="仿宋"/>
          <w:sz w:val="30"/>
          <w:szCs w:val="30"/>
        </w:rPr>
      </w:pPr>
    </w:p>
    <w:p w14:paraId="3EE39F7A">
      <w:pPr>
        <w:snapToGrid w:val="0"/>
        <w:spacing w:before="120" w:beforeLines="50" w:after="50" w:line="460" w:lineRule="exact"/>
        <w:ind w:firstLine="6150" w:firstLineChars="2050"/>
        <w:rPr>
          <w:rFonts w:ascii="仿宋" w:hAnsi="仿宋" w:eastAsia="仿宋"/>
          <w:sz w:val="30"/>
          <w:szCs w:val="30"/>
        </w:rPr>
      </w:pPr>
    </w:p>
    <w:p w14:paraId="67CB044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A190E41">
      <w:pPr>
        <w:widowControl/>
        <w:jc w:val="left"/>
        <w:rPr>
          <w:rFonts w:hint="eastAsia" w:ascii="仿宋" w:hAnsi="仿宋" w:eastAsia="仿宋"/>
          <w:color w:val="000000"/>
          <w:sz w:val="30"/>
          <w:szCs w:val="30"/>
        </w:rPr>
      </w:pPr>
    </w:p>
    <w:p w14:paraId="0246DF15">
      <w:pPr>
        <w:widowControl/>
        <w:jc w:val="left"/>
        <w:rPr>
          <w:rFonts w:hint="eastAsia" w:ascii="仿宋" w:hAnsi="仿宋" w:eastAsia="仿宋"/>
          <w:color w:val="000000"/>
          <w:sz w:val="30"/>
          <w:szCs w:val="30"/>
        </w:rPr>
      </w:pPr>
    </w:p>
    <w:p w14:paraId="422E9C7B">
      <w:pPr>
        <w:widowControl/>
        <w:jc w:val="left"/>
        <w:rPr>
          <w:rFonts w:hint="eastAsia" w:ascii="仿宋" w:hAnsi="仿宋" w:eastAsia="仿宋"/>
          <w:color w:val="000000"/>
          <w:sz w:val="30"/>
          <w:szCs w:val="30"/>
        </w:rPr>
      </w:pPr>
    </w:p>
    <w:p w14:paraId="1113D273">
      <w:pPr>
        <w:widowControl/>
        <w:jc w:val="left"/>
        <w:rPr>
          <w:rFonts w:hint="eastAsia" w:ascii="仿宋" w:hAnsi="仿宋" w:eastAsia="仿宋"/>
          <w:color w:val="000000"/>
          <w:sz w:val="30"/>
          <w:szCs w:val="30"/>
        </w:rPr>
      </w:pPr>
    </w:p>
    <w:p w14:paraId="203EFF9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1B9391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E84A93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E9302B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7EE4670">
      <w:pPr>
        <w:snapToGrid w:val="0"/>
        <w:spacing w:before="156" w:beforeLines="50" w:after="50" w:line="460" w:lineRule="exact"/>
        <w:rPr>
          <w:rFonts w:ascii="仿宋" w:hAnsi="仿宋" w:eastAsia="仿宋"/>
          <w:sz w:val="30"/>
          <w:szCs w:val="30"/>
        </w:rPr>
      </w:pPr>
    </w:p>
    <w:p w14:paraId="1FCEDD4C">
      <w:pPr>
        <w:snapToGrid w:val="0"/>
        <w:spacing w:before="156" w:beforeLines="50" w:after="50" w:line="460" w:lineRule="exact"/>
        <w:rPr>
          <w:rFonts w:ascii="仿宋" w:hAnsi="仿宋" w:eastAsia="仿宋"/>
          <w:sz w:val="30"/>
          <w:szCs w:val="30"/>
        </w:rPr>
      </w:pPr>
    </w:p>
    <w:p w14:paraId="19E35F2B">
      <w:pPr>
        <w:snapToGrid w:val="0"/>
        <w:spacing w:before="156" w:beforeLines="50" w:after="50" w:line="460" w:lineRule="exact"/>
        <w:rPr>
          <w:rFonts w:ascii="仿宋" w:hAnsi="仿宋" w:eastAsia="仿宋"/>
          <w:sz w:val="30"/>
          <w:szCs w:val="30"/>
        </w:rPr>
      </w:pPr>
    </w:p>
    <w:p w14:paraId="710D25D6">
      <w:pPr>
        <w:snapToGrid w:val="0"/>
        <w:spacing w:before="156" w:beforeLines="50" w:after="50" w:line="460" w:lineRule="exact"/>
        <w:rPr>
          <w:rFonts w:ascii="仿宋" w:hAnsi="仿宋" w:eastAsia="仿宋"/>
          <w:sz w:val="30"/>
          <w:szCs w:val="30"/>
        </w:rPr>
      </w:pPr>
    </w:p>
    <w:p w14:paraId="5DB2B786">
      <w:pPr>
        <w:snapToGrid w:val="0"/>
        <w:spacing w:before="156" w:beforeLines="50" w:after="50" w:line="460" w:lineRule="exact"/>
        <w:rPr>
          <w:rFonts w:ascii="仿宋" w:hAnsi="仿宋" w:eastAsia="仿宋"/>
          <w:sz w:val="30"/>
          <w:szCs w:val="30"/>
        </w:rPr>
      </w:pPr>
    </w:p>
    <w:p w14:paraId="4011D3EF">
      <w:pPr>
        <w:snapToGrid w:val="0"/>
        <w:spacing w:before="156" w:beforeLines="50" w:after="50" w:line="460" w:lineRule="exact"/>
        <w:rPr>
          <w:rFonts w:ascii="仿宋" w:hAnsi="仿宋" w:eastAsia="仿宋"/>
          <w:sz w:val="30"/>
          <w:szCs w:val="30"/>
        </w:rPr>
      </w:pPr>
    </w:p>
    <w:p w14:paraId="7FF44DAF">
      <w:pPr>
        <w:snapToGrid w:val="0"/>
        <w:spacing w:before="156" w:beforeLines="50" w:after="50" w:line="460" w:lineRule="exact"/>
        <w:rPr>
          <w:rFonts w:ascii="仿宋" w:hAnsi="仿宋" w:eastAsia="仿宋"/>
          <w:sz w:val="30"/>
          <w:szCs w:val="30"/>
        </w:rPr>
      </w:pPr>
    </w:p>
    <w:p w14:paraId="7023984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4E5D478">
      <w:pPr>
        <w:widowControl/>
        <w:jc w:val="left"/>
        <w:rPr>
          <w:rFonts w:hAnsi="宋体" w:cs="宋体"/>
          <w:bCs/>
          <w:sz w:val="24"/>
        </w:rPr>
      </w:pPr>
    </w:p>
    <w:p w14:paraId="79919220">
      <w:pPr>
        <w:widowControl/>
        <w:jc w:val="left"/>
        <w:rPr>
          <w:rFonts w:hAnsi="宋体" w:cs="宋体"/>
          <w:bCs/>
          <w:sz w:val="24"/>
        </w:rPr>
      </w:pPr>
    </w:p>
    <w:p w14:paraId="1794EA40">
      <w:pPr>
        <w:widowControl/>
        <w:jc w:val="left"/>
        <w:rPr>
          <w:rFonts w:hAnsi="宋体" w:cs="宋体"/>
          <w:bCs/>
          <w:sz w:val="24"/>
        </w:rPr>
      </w:pPr>
    </w:p>
    <w:p w14:paraId="4CBAE4A1">
      <w:pPr>
        <w:snapToGrid w:val="0"/>
        <w:spacing w:before="156" w:beforeLines="50" w:after="50" w:line="460" w:lineRule="exact"/>
        <w:rPr>
          <w:rFonts w:ascii="仿宋" w:hAnsi="仿宋" w:eastAsia="仿宋"/>
          <w:sz w:val="30"/>
          <w:szCs w:val="30"/>
        </w:rPr>
      </w:pPr>
    </w:p>
    <w:p w14:paraId="564CD71C">
      <w:pPr>
        <w:snapToGrid w:val="0"/>
        <w:spacing w:before="156" w:beforeLines="50" w:after="50" w:line="460" w:lineRule="exact"/>
        <w:rPr>
          <w:rFonts w:ascii="仿宋" w:hAnsi="仿宋" w:eastAsia="仿宋"/>
          <w:sz w:val="30"/>
          <w:szCs w:val="30"/>
        </w:rPr>
      </w:pPr>
    </w:p>
    <w:p w14:paraId="19AB42F7">
      <w:pPr>
        <w:widowControl/>
        <w:jc w:val="left"/>
        <w:rPr>
          <w:rFonts w:hAnsi="宋体" w:cs="宋体"/>
          <w:bCs/>
          <w:sz w:val="24"/>
        </w:rPr>
      </w:pPr>
    </w:p>
    <w:p w14:paraId="1B1E5255">
      <w:pPr>
        <w:widowControl/>
        <w:jc w:val="left"/>
        <w:rPr>
          <w:rFonts w:hAnsi="宋体" w:cs="宋体"/>
          <w:bCs/>
          <w:sz w:val="24"/>
        </w:rPr>
      </w:pPr>
    </w:p>
    <w:p w14:paraId="01F4EC9C">
      <w:pPr>
        <w:widowControl/>
        <w:jc w:val="left"/>
        <w:rPr>
          <w:rFonts w:hAnsi="宋体" w:cs="宋体"/>
          <w:bCs/>
          <w:sz w:val="24"/>
        </w:rPr>
      </w:pPr>
    </w:p>
    <w:p w14:paraId="2A80FA81">
      <w:pPr>
        <w:widowControl/>
        <w:jc w:val="left"/>
        <w:rPr>
          <w:rFonts w:hAnsi="宋体" w:cs="宋体"/>
          <w:bCs/>
          <w:sz w:val="24"/>
        </w:rPr>
      </w:pPr>
    </w:p>
    <w:p w14:paraId="0E0CC22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0CF6A1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245270">
      <w:pPr>
        <w:widowControl/>
        <w:jc w:val="left"/>
        <w:rPr>
          <w:rFonts w:hAnsi="宋体" w:cs="宋体"/>
          <w:bCs/>
          <w:sz w:val="24"/>
        </w:rPr>
      </w:pPr>
    </w:p>
    <w:p w14:paraId="686D19C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bCs/>
          <w:sz w:val="30"/>
          <w:szCs w:val="30"/>
          <w:lang w:val="en-US" w:eastAsia="zh-CN"/>
        </w:rPr>
        <w:t>响应方</w:t>
      </w:r>
      <w:r>
        <w:rPr>
          <w:rFonts w:hint="eastAsia" w:ascii="仿宋" w:hAnsi="仿宋" w:eastAsia="仿宋"/>
          <w:sz w:val="30"/>
          <w:szCs w:val="30"/>
        </w:rPr>
        <w:t>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F88B64E">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04BC1102">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642C76F7">
      <w:pPr>
        <w:pStyle w:val="15"/>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w:t>
      </w:r>
      <w:r>
        <w:rPr>
          <w:rFonts w:hint="eastAsia" w:ascii="宋体" w:hAnsi="宋体"/>
          <w:b/>
          <w:color w:val="000000"/>
          <w:spacing w:val="40"/>
          <w:kern w:val="0"/>
          <w:sz w:val="36"/>
          <w:szCs w:val="36"/>
          <w:lang w:val="en-US" w:eastAsia="zh-CN"/>
        </w:rPr>
        <w:t>响应</w:t>
      </w:r>
      <w:r>
        <w:rPr>
          <w:rFonts w:hint="eastAsia" w:ascii="宋体" w:hAnsi="宋体"/>
          <w:b/>
          <w:color w:val="000000"/>
          <w:spacing w:val="40"/>
          <w:kern w:val="0"/>
          <w:sz w:val="36"/>
          <w:szCs w:val="36"/>
        </w:rPr>
        <w:t>协议书</w:t>
      </w:r>
    </w:p>
    <w:p w14:paraId="05FD4A31">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23E3B2F2">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4FC04E98">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97E5C5C">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r>
        <w:rPr>
          <w:rFonts w:hint="eastAsia" w:ascii="仿宋" w:hAnsi="仿宋" w:eastAsia="仿宋"/>
          <w:sz w:val="30"/>
          <w:szCs w:val="30"/>
          <w:u w:val="single"/>
        </w:rPr>
        <w:t xml:space="preserve"> </w:t>
      </w:r>
      <w:bookmarkStart w:id="102" w:name="PO_3000002632_PM001_1"/>
      <w:r>
        <w:rPr>
          <w:rFonts w:hint="eastAsia" w:ascii="仿宋" w:hAnsi="仿宋" w:eastAsia="仿宋"/>
          <w:b/>
          <w:sz w:val="30"/>
          <w:szCs w:val="30"/>
          <w:u w:val="single"/>
          <w:lang w:eastAsia="zh-CN"/>
        </w:rPr>
        <w:t>ZZCG2025H-CS-112</w:t>
      </w:r>
      <w:bookmarkEnd w:id="102"/>
      <w:r>
        <w:rPr>
          <w:rFonts w:hint="eastAsia" w:ascii="仿宋" w:hAnsi="仿宋" w:eastAsia="仿宋"/>
          <w:color w:val="000000"/>
          <w:sz w:val="30"/>
          <w:szCs w:val="30"/>
        </w:rPr>
        <w:t>的采购活动联合进行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之事宜，达成如下协议：</w:t>
      </w:r>
    </w:p>
    <w:p w14:paraId="76F13F2C">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为主办人进行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，并按照磋商文件的规定分别提交资格文件。</w:t>
      </w:r>
      <w:r>
        <w:rPr>
          <w:rFonts w:hint="eastAsia" w:ascii="仿宋" w:hAnsi="仿宋" w:eastAsia="仿宋"/>
          <w:sz w:val="30"/>
          <w:szCs w:val="30"/>
        </w:rPr>
        <w:t>（声明书、营业执照、</w:t>
      </w:r>
      <w:r>
        <w:rPr>
          <w:rFonts w:hint="eastAsia" w:ascii="仿宋" w:hAnsi="仿宋" w:eastAsia="仿宋"/>
          <w:bCs/>
          <w:sz w:val="30"/>
          <w:szCs w:val="30"/>
          <w:lang w:val="en-US" w:eastAsia="zh-CN"/>
        </w:rPr>
        <w:t>响应方</w:t>
      </w:r>
      <w:r>
        <w:rPr>
          <w:rFonts w:hint="eastAsia" w:ascii="仿宋" w:hAnsi="仿宋" w:eastAsia="仿宋"/>
          <w:sz w:val="30"/>
          <w:szCs w:val="30"/>
        </w:rPr>
        <w:t>特定条件）。</w:t>
      </w:r>
    </w:p>
    <w:p w14:paraId="7F143E79">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过程中，主办人的法定代表人或授权代理人根据磋商文件规定及磋商响应内容而对磋商方和采购人所作的任何合法承诺，包括书面澄清及响应等均对联合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各方产生约束力。如果成交并签订合同，则联合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各方将共同履行对磋商方和采购人所负有的全部义务并就采购合同约定的事项对采购人承担连带责任。</w:t>
      </w:r>
    </w:p>
    <w:p w14:paraId="021C2A88">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其余各方保证对主办人为响应本次竞争性磋商采购活动而提供的产品和服务提供全部质量保证及售后服务支持。</w:t>
      </w:r>
    </w:p>
    <w:p w14:paraId="2A0ECA59">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中，甲方承担的工作和义务为:</w:t>
      </w:r>
    </w:p>
    <w:p w14:paraId="20577A4C">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EBDEAD4">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BAABEE3">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A13FDBB">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0CB2A065">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的其他事宜：</w:t>
      </w:r>
    </w:p>
    <w:p w14:paraId="1E9B39EE">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各方不得以任何形式对上述实质内容进行修改或撤销。</w:t>
      </w:r>
    </w:p>
    <w:p w14:paraId="5CB59CAF">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542CBBFA">
        <w:tblPrEx>
          <w:tblCellMar>
            <w:top w:w="0" w:type="dxa"/>
            <w:left w:w="108" w:type="dxa"/>
            <w:bottom w:w="0" w:type="dxa"/>
            <w:right w:w="108" w:type="dxa"/>
          </w:tblCellMar>
        </w:tblPrEx>
        <w:trPr>
          <w:jc w:val="center"/>
        </w:trPr>
        <w:tc>
          <w:tcPr>
            <w:tcW w:w="4264" w:type="dxa"/>
          </w:tcPr>
          <w:p w14:paraId="7F0C98BD">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8F25950">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E4659E3">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76DFC5BE">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BA225F0">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AAA4E2D">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C606242">
      <w:pPr>
        <w:pStyle w:val="15"/>
        <w:overflowPunct w:val="0"/>
        <w:spacing w:line="460" w:lineRule="exact"/>
        <w:ind w:firstLine="0"/>
        <w:rPr>
          <w:rFonts w:hint="eastAsia" w:ascii="仿宋" w:hAnsi="仿宋" w:eastAsia="仿宋"/>
          <w:color w:val="000000"/>
          <w:sz w:val="30"/>
          <w:szCs w:val="30"/>
        </w:rPr>
      </w:pPr>
    </w:p>
    <w:p w14:paraId="5BB262BC">
      <w:pPr>
        <w:pStyle w:val="15"/>
        <w:overflowPunct w:val="0"/>
        <w:spacing w:line="460" w:lineRule="exact"/>
        <w:ind w:firstLine="0"/>
        <w:rPr>
          <w:rFonts w:hint="eastAsia" w:ascii="仿宋" w:hAnsi="仿宋" w:eastAsia="仿宋"/>
          <w:color w:val="000000"/>
          <w:sz w:val="30"/>
          <w:szCs w:val="30"/>
        </w:rPr>
      </w:pPr>
    </w:p>
    <w:p w14:paraId="34F073D1">
      <w:pPr>
        <w:pStyle w:val="15"/>
        <w:overflowPunct w:val="0"/>
        <w:spacing w:line="460" w:lineRule="exact"/>
        <w:ind w:firstLine="0"/>
        <w:rPr>
          <w:rFonts w:hint="eastAsia" w:ascii="仿宋" w:hAnsi="仿宋" w:eastAsia="仿宋"/>
          <w:color w:val="000000"/>
          <w:sz w:val="30"/>
          <w:szCs w:val="30"/>
        </w:rPr>
      </w:pPr>
    </w:p>
    <w:p w14:paraId="582EC67A">
      <w:pPr>
        <w:pStyle w:val="15"/>
        <w:overflowPunct w:val="0"/>
        <w:spacing w:line="460" w:lineRule="exact"/>
        <w:ind w:firstLine="0"/>
        <w:rPr>
          <w:rFonts w:hint="eastAsia" w:ascii="仿宋" w:hAnsi="仿宋" w:eastAsia="仿宋"/>
          <w:color w:val="000000"/>
          <w:sz w:val="30"/>
          <w:szCs w:val="30"/>
        </w:rPr>
      </w:pPr>
    </w:p>
    <w:p w14:paraId="5107E64B">
      <w:pPr>
        <w:pStyle w:val="15"/>
        <w:overflowPunct w:val="0"/>
        <w:spacing w:line="460" w:lineRule="exact"/>
        <w:ind w:firstLine="0"/>
        <w:rPr>
          <w:rFonts w:hint="eastAsia" w:ascii="仿宋" w:hAnsi="仿宋" w:eastAsia="仿宋"/>
          <w:color w:val="000000"/>
          <w:sz w:val="30"/>
          <w:szCs w:val="30"/>
        </w:rPr>
      </w:pPr>
    </w:p>
    <w:p w14:paraId="65D4A1B8">
      <w:pPr>
        <w:pStyle w:val="15"/>
        <w:overflowPunct w:val="0"/>
        <w:spacing w:line="460" w:lineRule="exact"/>
        <w:ind w:firstLine="0"/>
        <w:rPr>
          <w:rFonts w:hint="eastAsia" w:ascii="仿宋" w:hAnsi="仿宋" w:eastAsia="仿宋"/>
          <w:color w:val="000000"/>
          <w:sz w:val="30"/>
          <w:szCs w:val="30"/>
        </w:rPr>
      </w:pPr>
    </w:p>
    <w:p w14:paraId="48DD592C">
      <w:pPr>
        <w:pStyle w:val="15"/>
        <w:overflowPunct w:val="0"/>
        <w:spacing w:line="460" w:lineRule="exact"/>
        <w:ind w:firstLine="0"/>
        <w:rPr>
          <w:rFonts w:hint="eastAsia" w:ascii="仿宋" w:hAnsi="仿宋" w:eastAsia="仿宋"/>
          <w:color w:val="000000"/>
          <w:sz w:val="30"/>
          <w:szCs w:val="30"/>
        </w:rPr>
      </w:pPr>
    </w:p>
    <w:p w14:paraId="77B4335B">
      <w:pPr>
        <w:pStyle w:val="15"/>
        <w:overflowPunct w:val="0"/>
        <w:spacing w:line="460" w:lineRule="exact"/>
        <w:ind w:firstLine="0"/>
        <w:rPr>
          <w:rFonts w:hint="eastAsia" w:ascii="仿宋" w:hAnsi="仿宋" w:eastAsia="仿宋"/>
          <w:color w:val="000000"/>
          <w:sz w:val="30"/>
          <w:szCs w:val="30"/>
        </w:rPr>
      </w:pPr>
    </w:p>
    <w:p w14:paraId="5F1C841F">
      <w:pPr>
        <w:pStyle w:val="15"/>
        <w:overflowPunct w:val="0"/>
        <w:spacing w:line="460" w:lineRule="exact"/>
        <w:ind w:firstLine="0"/>
        <w:rPr>
          <w:rFonts w:hint="eastAsia" w:ascii="仿宋" w:hAnsi="仿宋" w:eastAsia="仿宋"/>
          <w:color w:val="000000"/>
          <w:sz w:val="30"/>
          <w:szCs w:val="30"/>
        </w:rPr>
      </w:pPr>
    </w:p>
    <w:p w14:paraId="41752200">
      <w:pPr>
        <w:pStyle w:val="15"/>
        <w:overflowPunct w:val="0"/>
        <w:spacing w:line="460" w:lineRule="exact"/>
        <w:ind w:firstLine="0"/>
        <w:rPr>
          <w:rFonts w:hint="eastAsia" w:ascii="仿宋" w:hAnsi="仿宋" w:eastAsia="仿宋"/>
          <w:color w:val="000000"/>
          <w:sz w:val="30"/>
          <w:szCs w:val="30"/>
        </w:rPr>
      </w:pPr>
    </w:p>
    <w:p w14:paraId="6583E985">
      <w:pPr>
        <w:pStyle w:val="15"/>
        <w:overflowPunct w:val="0"/>
        <w:spacing w:line="460" w:lineRule="exact"/>
        <w:ind w:firstLine="0"/>
        <w:rPr>
          <w:rFonts w:hint="eastAsia" w:ascii="仿宋" w:hAnsi="仿宋" w:eastAsia="仿宋"/>
          <w:color w:val="000000"/>
          <w:sz w:val="30"/>
          <w:szCs w:val="30"/>
        </w:rPr>
      </w:pPr>
    </w:p>
    <w:p w14:paraId="14EC4F44">
      <w:pPr>
        <w:pStyle w:val="15"/>
        <w:overflowPunct w:val="0"/>
        <w:spacing w:line="460" w:lineRule="exact"/>
        <w:ind w:firstLine="0"/>
        <w:rPr>
          <w:rFonts w:hint="eastAsia" w:ascii="仿宋" w:hAnsi="仿宋" w:eastAsia="仿宋"/>
          <w:color w:val="000000"/>
          <w:sz w:val="30"/>
          <w:szCs w:val="30"/>
        </w:rPr>
      </w:pPr>
    </w:p>
    <w:p w14:paraId="534ADB3A">
      <w:pPr>
        <w:pStyle w:val="15"/>
        <w:overflowPunct w:val="0"/>
        <w:spacing w:line="460" w:lineRule="exact"/>
        <w:ind w:firstLine="0"/>
        <w:rPr>
          <w:rFonts w:hint="eastAsia" w:ascii="仿宋" w:hAnsi="仿宋" w:eastAsia="仿宋"/>
          <w:color w:val="000000"/>
          <w:sz w:val="30"/>
          <w:szCs w:val="30"/>
        </w:rPr>
      </w:pPr>
    </w:p>
    <w:p w14:paraId="1FD44BF8">
      <w:pPr>
        <w:pStyle w:val="15"/>
        <w:overflowPunct w:val="0"/>
        <w:spacing w:line="460" w:lineRule="exact"/>
        <w:ind w:firstLine="0"/>
        <w:rPr>
          <w:rFonts w:hint="eastAsia" w:ascii="仿宋" w:hAnsi="仿宋" w:eastAsia="仿宋"/>
          <w:color w:val="000000"/>
          <w:sz w:val="30"/>
          <w:szCs w:val="30"/>
        </w:rPr>
      </w:pPr>
    </w:p>
    <w:p w14:paraId="4887AC2B">
      <w:pPr>
        <w:pStyle w:val="15"/>
        <w:overflowPunct w:val="0"/>
        <w:spacing w:line="460" w:lineRule="exact"/>
        <w:ind w:firstLine="0"/>
        <w:rPr>
          <w:rFonts w:hint="eastAsia" w:ascii="仿宋" w:hAnsi="仿宋" w:eastAsia="仿宋"/>
          <w:color w:val="000000"/>
          <w:sz w:val="30"/>
          <w:szCs w:val="30"/>
        </w:rPr>
      </w:pPr>
    </w:p>
    <w:p w14:paraId="42D84DD7">
      <w:pPr>
        <w:pStyle w:val="15"/>
        <w:overflowPunct w:val="0"/>
        <w:spacing w:line="460" w:lineRule="exact"/>
        <w:ind w:firstLine="0"/>
        <w:rPr>
          <w:rFonts w:hint="eastAsia" w:ascii="仿宋" w:hAnsi="仿宋" w:eastAsia="仿宋"/>
          <w:color w:val="000000"/>
          <w:sz w:val="30"/>
          <w:szCs w:val="30"/>
        </w:rPr>
      </w:pPr>
    </w:p>
    <w:p w14:paraId="356CE244">
      <w:pPr>
        <w:pStyle w:val="15"/>
        <w:overflowPunct w:val="0"/>
        <w:spacing w:line="460" w:lineRule="exact"/>
        <w:ind w:firstLine="0"/>
        <w:rPr>
          <w:rFonts w:hint="eastAsia" w:ascii="仿宋" w:hAnsi="仿宋" w:eastAsia="仿宋"/>
          <w:color w:val="000000"/>
          <w:sz w:val="30"/>
          <w:szCs w:val="30"/>
        </w:rPr>
      </w:pPr>
    </w:p>
    <w:p w14:paraId="7E9BD22D">
      <w:pPr>
        <w:pStyle w:val="15"/>
        <w:overflowPunct w:val="0"/>
        <w:spacing w:line="460" w:lineRule="exact"/>
        <w:ind w:firstLine="0"/>
        <w:rPr>
          <w:rFonts w:hint="eastAsia" w:ascii="仿宋" w:hAnsi="仿宋" w:eastAsia="仿宋"/>
          <w:color w:val="000000"/>
          <w:sz w:val="30"/>
          <w:szCs w:val="30"/>
        </w:rPr>
      </w:pPr>
    </w:p>
    <w:p w14:paraId="587E76B0">
      <w:pPr>
        <w:pStyle w:val="15"/>
        <w:overflowPunct w:val="0"/>
        <w:spacing w:line="460" w:lineRule="exact"/>
        <w:ind w:firstLine="0"/>
        <w:rPr>
          <w:rFonts w:hint="eastAsia" w:ascii="仿宋" w:hAnsi="仿宋" w:eastAsia="仿宋"/>
          <w:color w:val="000000"/>
          <w:sz w:val="30"/>
          <w:szCs w:val="30"/>
        </w:rPr>
      </w:pPr>
    </w:p>
    <w:p w14:paraId="6A4EAB9B">
      <w:pPr>
        <w:pStyle w:val="15"/>
        <w:overflowPunct w:val="0"/>
        <w:spacing w:line="460" w:lineRule="exact"/>
        <w:ind w:firstLine="0"/>
        <w:rPr>
          <w:rFonts w:hint="eastAsia" w:ascii="仿宋" w:hAnsi="仿宋" w:eastAsia="仿宋"/>
          <w:color w:val="000000"/>
          <w:sz w:val="30"/>
          <w:szCs w:val="30"/>
        </w:rPr>
      </w:pPr>
    </w:p>
    <w:p w14:paraId="2DE850DA">
      <w:pPr>
        <w:pStyle w:val="15"/>
        <w:overflowPunct w:val="0"/>
        <w:spacing w:line="460" w:lineRule="exact"/>
        <w:ind w:firstLine="0"/>
        <w:rPr>
          <w:rFonts w:hint="eastAsia" w:ascii="仿宋" w:hAnsi="仿宋" w:eastAsia="仿宋"/>
          <w:color w:val="000000"/>
          <w:sz w:val="30"/>
          <w:szCs w:val="30"/>
        </w:rPr>
      </w:pPr>
    </w:p>
    <w:p w14:paraId="2B489238">
      <w:pPr>
        <w:pStyle w:val="15"/>
        <w:overflowPunct w:val="0"/>
        <w:spacing w:line="460" w:lineRule="exact"/>
        <w:ind w:firstLine="0"/>
        <w:rPr>
          <w:rFonts w:hint="eastAsia" w:ascii="仿宋" w:hAnsi="仿宋" w:eastAsia="仿宋"/>
          <w:color w:val="000000"/>
          <w:sz w:val="30"/>
          <w:szCs w:val="30"/>
        </w:rPr>
      </w:pPr>
    </w:p>
    <w:p w14:paraId="10971336">
      <w:pPr>
        <w:pStyle w:val="15"/>
        <w:overflowPunct w:val="0"/>
        <w:spacing w:line="460" w:lineRule="exact"/>
        <w:ind w:firstLine="0"/>
        <w:rPr>
          <w:rFonts w:hint="eastAsia" w:ascii="仿宋" w:hAnsi="仿宋" w:eastAsia="仿宋"/>
          <w:color w:val="000000"/>
          <w:sz w:val="30"/>
          <w:szCs w:val="30"/>
        </w:rPr>
      </w:pPr>
    </w:p>
    <w:p w14:paraId="4FBEB9DB">
      <w:pPr>
        <w:pStyle w:val="15"/>
        <w:overflowPunct w:val="0"/>
        <w:spacing w:line="460" w:lineRule="exact"/>
        <w:ind w:firstLine="0"/>
        <w:rPr>
          <w:rFonts w:hint="eastAsia" w:ascii="仿宋" w:hAnsi="仿宋" w:eastAsia="仿宋"/>
          <w:color w:val="000000"/>
          <w:sz w:val="30"/>
          <w:szCs w:val="30"/>
        </w:rPr>
      </w:pPr>
    </w:p>
    <w:p w14:paraId="13ABA644">
      <w:pPr>
        <w:pStyle w:val="15"/>
        <w:overflowPunct w:val="0"/>
        <w:spacing w:line="460" w:lineRule="exact"/>
        <w:ind w:firstLine="0"/>
        <w:rPr>
          <w:rFonts w:hint="eastAsia" w:ascii="仿宋" w:hAnsi="仿宋" w:eastAsia="仿宋"/>
          <w:color w:val="000000"/>
          <w:sz w:val="30"/>
          <w:szCs w:val="30"/>
        </w:rPr>
      </w:pPr>
    </w:p>
    <w:p w14:paraId="4120743A">
      <w:pPr>
        <w:pStyle w:val="15"/>
        <w:overflowPunct w:val="0"/>
        <w:spacing w:line="460" w:lineRule="exact"/>
        <w:ind w:firstLine="0"/>
        <w:rPr>
          <w:rFonts w:hint="eastAsia" w:ascii="仿宋" w:hAnsi="仿宋" w:eastAsia="仿宋"/>
          <w:color w:val="000000"/>
          <w:sz w:val="30"/>
          <w:szCs w:val="30"/>
        </w:rPr>
      </w:pPr>
    </w:p>
    <w:p w14:paraId="1CF4EE48">
      <w:pPr>
        <w:pStyle w:val="15"/>
        <w:overflowPunct w:val="0"/>
        <w:spacing w:line="460" w:lineRule="exact"/>
        <w:ind w:firstLine="0"/>
        <w:rPr>
          <w:rFonts w:hint="eastAsia" w:ascii="仿宋" w:hAnsi="仿宋" w:eastAsia="仿宋"/>
          <w:color w:val="000000"/>
          <w:sz w:val="30"/>
          <w:szCs w:val="30"/>
        </w:rPr>
      </w:pPr>
    </w:p>
    <w:p w14:paraId="5BCBA0F2">
      <w:pPr>
        <w:pStyle w:val="15"/>
        <w:overflowPunct w:val="0"/>
        <w:spacing w:line="460" w:lineRule="exact"/>
        <w:ind w:firstLine="0"/>
        <w:rPr>
          <w:rFonts w:hint="eastAsia" w:ascii="仿宋" w:hAnsi="仿宋" w:eastAsia="仿宋"/>
          <w:color w:val="000000"/>
          <w:sz w:val="30"/>
          <w:szCs w:val="30"/>
        </w:rPr>
      </w:pPr>
    </w:p>
    <w:p w14:paraId="51497504">
      <w:pPr>
        <w:pStyle w:val="15"/>
        <w:overflowPunct w:val="0"/>
        <w:spacing w:line="460" w:lineRule="exact"/>
        <w:ind w:firstLine="0"/>
        <w:rPr>
          <w:rFonts w:hint="eastAsia" w:ascii="仿宋" w:hAnsi="仿宋" w:eastAsia="仿宋"/>
          <w:color w:val="000000"/>
          <w:sz w:val="30"/>
          <w:szCs w:val="30"/>
        </w:rPr>
      </w:pPr>
    </w:p>
    <w:p w14:paraId="26CE308A">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附件5：</w:t>
      </w:r>
    </w:p>
    <w:p w14:paraId="6E6B16E4">
      <w:pPr>
        <w:pStyle w:val="15"/>
        <w:overflowPunct w:val="0"/>
        <w:spacing w:line="460" w:lineRule="exact"/>
        <w:jc w:val="center"/>
        <w:rPr>
          <w:rFonts w:ascii="宋体"/>
          <w:b/>
          <w:color w:val="000000"/>
          <w:sz w:val="36"/>
          <w:szCs w:val="36"/>
        </w:rPr>
      </w:pPr>
      <w:r>
        <w:rPr>
          <w:rFonts w:hint="eastAsia" w:ascii="宋体" w:hAnsi="宋体"/>
          <w:b/>
          <w:color w:val="000000"/>
          <w:sz w:val="36"/>
          <w:szCs w:val="36"/>
        </w:rPr>
        <w:t>联合</w:t>
      </w:r>
      <w:r>
        <w:rPr>
          <w:rFonts w:hint="eastAsia" w:ascii="宋体" w:hAnsi="宋体"/>
          <w:b/>
          <w:color w:val="000000"/>
          <w:sz w:val="36"/>
          <w:szCs w:val="36"/>
          <w:lang w:val="en-US" w:eastAsia="zh-CN"/>
        </w:rPr>
        <w:t>响应</w:t>
      </w:r>
      <w:r>
        <w:rPr>
          <w:rFonts w:hint="eastAsia" w:ascii="宋体" w:hAnsi="宋体"/>
          <w:b/>
          <w:color w:val="000000"/>
          <w:sz w:val="36"/>
          <w:szCs w:val="36"/>
        </w:rPr>
        <w:t>授权委托书</w:t>
      </w:r>
    </w:p>
    <w:p w14:paraId="1A6B6A0A">
      <w:pPr>
        <w:pStyle w:val="15"/>
        <w:overflowPunct w:val="0"/>
        <w:spacing w:line="460" w:lineRule="exact"/>
        <w:rPr>
          <w:rFonts w:ascii="仿宋" w:hAnsi="仿宋" w:eastAsia="仿宋"/>
          <w:color w:val="000000"/>
          <w:sz w:val="30"/>
          <w:szCs w:val="30"/>
        </w:rPr>
      </w:pPr>
    </w:p>
    <w:p w14:paraId="34AF22BF">
      <w:pPr>
        <w:pStyle w:val="15"/>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w:t>
      </w:r>
      <w:r>
        <w:rPr>
          <w:rFonts w:hint="eastAsia" w:ascii="仿宋" w:hAnsi="仿宋" w:eastAsia="仿宋"/>
          <w:sz w:val="30"/>
          <w:szCs w:val="30"/>
          <w:lang w:val="en-US" w:eastAsia="zh-CN"/>
        </w:rPr>
        <w:t>响应</w:t>
      </w:r>
      <w:r>
        <w:rPr>
          <w:rFonts w:hint="eastAsia" w:ascii="仿宋" w:hAnsi="仿宋" w:eastAsia="仿宋"/>
          <w:sz w:val="30"/>
          <w:szCs w:val="30"/>
        </w:rPr>
        <w:t>协议书》的内容，现授权</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w:t>
      </w:r>
      <w:r>
        <w:rPr>
          <w:rFonts w:hint="eastAsia" w:ascii="仿宋" w:hAnsi="仿宋" w:eastAsia="仿宋"/>
          <w:sz w:val="30"/>
          <w:szCs w:val="30"/>
          <w:lang w:val="en-US" w:eastAsia="zh-CN"/>
        </w:rPr>
        <w:t>响应</w:t>
      </w:r>
      <w:r>
        <w:rPr>
          <w:rFonts w:hint="eastAsia" w:ascii="仿宋" w:hAnsi="仿宋" w:eastAsia="仿宋"/>
          <w:sz w:val="30"/>
          <w:szCs w:val="30"/>
        </w:rPr>
        <w:t>授权代表，授权代表在</w:t>
      </w:r>
      <w:r>
        <w:rPr>
          <w:rFonts w:hint="eastAsia" w:ascii="仿宋" w:hAnsi="仿宋" w:eastAsia="仿宋"/>
          <w:sz w:val="30"/>
          <w:szCs w:val="30"/>
          <w:lang w:val="en-US" w:eastAsia="zh-CN"/>
        </w:rPr>
        <w:t>响应</w:t>
      </w:r>
      <w:r>
        <w:rPr>
          <w:rFonts w:hint="eastAsia" w:ascii="仿宋" w:hAnsi="仿宋" w:eastAsia="仿宋"/>
          <w:sz w:val="30"/>
          <w:szCs w:val="30"/>
        </w:rPr>
        <w:t>、开</w:t>
      </w:r>
      <w:r>
        <w:rPr>
          <w:rFonts w:hint="eastAsia" w:ascii="仿宋" w:hAnsi="仿宋" w:eastAsia="仿宋"/>
          <w:sz w:val="30"/>
          <w:szCs w:val="30"/>
          <w:lang w:val="en-US" w:eastAsia="zh-CN"/>
        </w:rPr>
        <w:t>评审</w:t>
      </w:r>
      <w:r>
        <w:rPr>
          <w:rFonts w:hint="eastAsia" w:ascii="仿宋" w:hAnsi="仿宋" w:eastAsia="仿宋"/>
          <w:sz w:val="30"/>
          <w:szCs w:val="30"/>
        </w:rPr>
        <w:t>、签约过程中所签署的一切文件和处理与这有关的一切事务，联合</w:t>
      </w:r>
      <w:r>
        <w:rPr>
          <w:rFonts w:hint="eastAsia" w:ascii="仿宋" w:hAnsi="仿宋" w:eastAsia="仿宋"/>
          <w:sz w:val="30"/>
          <w:szCs w:val="30"/>
          <w:lang w:val="en-US" w:eastAsia="zh-CN"/>
        </w:rPr>
        <w:t>响应</w:t>
      </w:r>
      <w:r>
        <w:rPr>
          <w:rFonts w:hint="eastAsia" w:ascii="仿宋" w:hAnsi="仿宋" w:eastAsia="仿宋"/>
          <w:sz w:val="30"/>
          <w:szCs w:val="30"/>
        </w:rPr>
        <w:t>各方均予以认可并遵守。</w:t>
      </w:r>
    </w:p>
    <w:p w14:paraId="785BAE8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F26F14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42F49F1">
      <w:pPr>
        <w:pStyle w:val="15"/>
        <w:overflowPunct w:val="0"/>
        <w:spacing w:line="460" w:lineRule="exact"/>
        <w:rPr>
          <w:rFonts w:ascii="仿宋" w:hAnsi="仿宋" w:eastAsia="仿宋"/>
          <w:sz w:val="30"/>
          <w:szCs w:val="30"/>
        </w:rPr>
      </w:pPr>
    </w:p>
    <w:p w14:paraId="77E210B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0B43A4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4D979E2C">
      <w:pPr>
        <w:tabs>
          <w:tab w:val="left" w:pos="606"/>
        </w:tabs>
        <w:spacing w:line="460" w:lineRule="exact"/>
        <w:rPr>
          <w:rFonts w:ascii="仿宋" w:hAnsi="仿宋" w:eastAsia="仿宋"/>
          <w:color w:val="000000"/>
          <w:spacing w:val="20"/>
          <w:sz w:val="30"/>
          <w:szCs w:val="30"/>
        </w:rPr>
      </w:pPr>
    </w:p>
    <w:p w14:paraId="2FE237B9">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0E63655">
        <w:tblPrEx>
          <w:tblCellMar>
            <w:top w:w="0" w:type="dxa"/>
            <w:left w:w="108" w:type="dxa"/>
            <w:bottom w:w="0" w:type="dxa"/>
            <w:right w:w="108" w:type="dxa"/>
          </w:tblCellMar>
        </w:tblPrEx>
        <w:trPr>
          <w:jc w:val="center"/>
        </w:trPr>
        <w:tc>
          <w:tcPr>
            <w:tcW w:w="4264" w:type="dxa"/>
          </w:tcPr>
          <w:p w14:paraId="03D2BB16">
            <w:pPr>
              <w:pStyle w:val="15"/>
              <w:overflowPunct w:val="0"/>
              <w:spacing w:line="460" w:lineRule="exact"/>
              <w:ind w:firstLine="0"/>
              <w:rPr>
                <w:rFonts w:ascii="仿宋" w:hAnsi="仿宋" w:eastAsia="仿宋"/>
                <w:color w:val="000000"/>
                <w:sz w:val="30"/>
                <w:szCs w:val="30"/>
              </w:rPr>
            </w:pPr>
          </w:p>
          <w:p w14:paraId="2F00CDF0">
            <w:pPr>
              <w:pStyle w:val="15"/>
              <w:overflowPunct w:val="0"/>
              <w:spacing w:line="460" w:lineRule="exact"/>
              <w:ind w:firstLine="0"/>
              <w:rPr>
                <w:rFonts w:ascii="仿宋" w:hAnsi="仿宋" w:eastAsia="仿宋"/>
                <w:color w:val="000000"/>
                <w:sz w:val="30"/>
                <w:szCs w:val="30"/>
              </w:rPr>
            </w:pPr>
          </w:p>
          <w:p w14:paraId="51C2A9C9">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2D6F4E7">
            <w:pPr>
              <w:pStyle w:val="15"/>
              <w:overflowPunct w:val="0"/>
              <w:spacing w:line="460" w:lineRule="exact"/>
              <w:ind w:firstLine="0"/>
              <w:rPr>
                <w:rFonts w:ascii="仿宋" w:hAnsi="仿宋" w:eastAsia="仿宋"/>
                <w:color w:val="000000"/>
                <w:sz w:val="30"/>
                <w:szCs w:val="30"/>
              </w:rPr>
            </w:pPr>
          </w:p>
          <w:p w14:paraId="525857B9">
            <w:pPr>
              <w:pStyle w:val="15"/>
              <w:overflowPunct w:val="0"/>
              <w:spacing w:line="460" w:lineRule="exact"/>
              <w:ind w:firstLine="0"/>
              <w:rPr>
                <w:rFonts w:ascii="仿宋" w:hAnsi="仿宋" w:eastAsia="仿宋"/>
                <w:color w:val="000000"/>
                <w:sz w:val="30"/>
                <w:szCs w:val="30"/>
              </w:rPr>
            </w:pPr>
          </w:p>
          <w:p w14:paraId="1EDCE8D3">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8D1BFC5">
            <w:pPr>
              <w:pStyle w:val="15"/>
              <w:overflowPunct w:val="0"/>
              <w:spacing w:line="460" w:lineRule="exact"/>
              <w:ind w:firstLine="0"/>
              <w:rPr>
                <w:rFonts w:ascii="仿宋" w:hAnsi="仿宋" w:eastAsia="仿宋"/>
                <w:color w:val="000000"/>
                <w:sz w:val="30"/>
                <w:szCs w:val="30"/>
              </w:rPr>
            </w:pPr>
          </w:p>
          <w:p w14:paraId="0A1CCA8D">
            <w:pPr>
              <w:pStyle w:val="15"/>
              <w:overflowPunct w:val="0"/>
              <w:spacing w:line="460" w:lineRule="exact"/>
              <w:ind w:firstLine="0"/>
              <w:rPr>
                <w:rFonts w:ascii="仿宋" w:hAnsi="仿宋" w:eastAsia="仿宋"/>
                <w:color w:val="000000"/>
                <w:sz w:val="30"/>
                <w:szCs w:val="30"/>
              </w:rPr>
            </w:pPr>
          </w:p>
          <w:p w14:paraId="155DB2D3">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F35264E">
            <w:pPr>
              <w:pStyle w:val="15"/>
              <w:overflowPunct w:val="0"/>
              <w:spacing w:line="460" w:lineRule="exact"/>
              <w:ind w:firstLine="0"/>
              <w:rPr>
                <w:rFonts w:ascii="仿宋" w:hAnsi="仿宋" w:eastAsia="仿宋"/>
                <w:color w:val="000000"/>
                <w:sz w:val="30"/>
                <w:szCs w:val="30"/>
              </w:rPr>
            </w:pPr>
          </w:p>
          <w:p w14:paraId="0E27C512">
            <w:pPr>
              <w:pStyle w:val="15"/>
              <w:overflowPunct w:val="0"/>
              <w:spacing w:line="460" w:lineRule="exact"/>
              <w:ind w:firstLine="0"/>
              <w:rPr>
                <w:rFonts w:ascii="仿宋" w:hAnsi="仿宋" w:eastAsia="仿宋"/>
                <w:color w:val="000000"/>
                <w:sz w:val="30"/>
                <w:szCs w:val="30"/>
              </w:rPr>
            </w:pPr>
          </w:p>
          <w:p w14:paraId="31A4EA42">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38DFEF1A">
            <w:pPr>
              <w:pStyle w:val="15"/>
              <w:overflowPunct w:val="0"/>
              <w:spacing w:line="460" w:lineRule="exact"/>
              <w:ind w:firstLine="0"/>
              <w:rPr>
                <w:rFonts w:ascii="仿宋" w:hAnsi="仿宋" w:eastAsia="仿宋"/>
                <w:color w:val="000000"/>
                <w:sz w:val="30"/>
                <w:szCs w:val="30"/>
              </w:rPr>
            </w:pPr>
          </w:p>
          <w:p w14:paraId="7712964A">
            <w:pPr>
              <w:pStyle w:val="15"/>
              <w:overflowPunct w:val="0"/>
              <w:spacing w:line="460" w:lineRule="exact"/>
              <w:ind w:firstLine="0"/>
              <w:rPr>
                <w:rFonts w:ascii="仿宋" w:hAnsi="仿宋" w:eastAsia="仿宋"/>
                <w:color w:val="000000"/>
                <w:sz w:val="30"/>
                <w:szCs w:val="30"/>
              </w:rPr>
            </w:pPr>
          </w:p>
          <w:p w14:paraId="42A841D2">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5F48181">
            <w:pPr>
              <w:pStyle w:val="15"/>
              <w:overflowPunct w:val="0"/>
              <w:spacing w:line="460" w:lineRule="exact"/>
              <w:ind w:firstLine="0"/>
              <w:rPr>
                <w:rFonts w:ascii="仿宋" w:hAnsi="仿宋" w:eastAsia="仿宋"/>
                <w:color w:val="000000"/>
                <w:sz w:val="30"/>
                <w:szCs w:val="30"/>
              </w:rPr>
            </w:pPr>
          </w:p>
          <w:p w14:paraId="56F63611">
            <w:pPr>
              <w:pStyle w:val="15"/>
              <w:overflowPunct w:val="0"/>
              <w:spacing w:line="460" w:lineRule="exact"/>
              <w:ind w:firstLine="0"/>
              <w:rPr>
                <w:rFonts w:ascii="仿宋" w:hAnsi="仿宋" w:eastAsia="仿宋"/>
                <w:color w:val="000000"/>
                <w:sz w:val="30"/>
                <w:szCs w:val="30"/>
              </w:rPr>
            </w:pPr>
          </w:p>
          <w:p w14:paraId="2C04529A">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3067438F">
      <w:pPr>
        <w:pStyle w:val="534"/>
        <w:widowControl w:val="0"/>
        <w:snapToGrid w:val="0"/>
        <w:spacing w:line="500" w:lineRule="exact"/>
        <w:rPr>
          <w:rFonts w:ascii="仿宋" w:hAnsi="仿宋" w:eastAsia="仿宋"/>
          <w:color w:val="000000"/>
          <w:sz w:val="30"/>
          <w:szCs w:val="30"/>
        </w:rPr>
      </w:pPr>
    </w:p>
    <w:p w14:paraId="65E48A89">
      <w:pPr>
        <w:pStyle w:val="534"/>
        <w:widowControl w:val="0"/>
        <w:snapToGrid w:val="0"/>
        <w:spacing w:line="500" w:lineRule="exact"/>
        <w:rPr>
          <w:rFonts w:ascii="仿宋" w:hAnsi="仿宋" w:eastAsia="仿宋"/>
          <w:color w:val="000000"/>
          <w:sz w:val="30"/>
          <w:szCs w:val="30"/>
        </w:rPr>
      </w:pPr>
    </w:p>
    <w:p w14:paraId="6D979084">
      <w:pPr>
        <w:pStyle w:val="534"/>
        <w:widowControl w:val="0"/>
        <w:snapToGrid w:val="0"/>
        <w:spacing w:line="500" w:lineRule="exact"/>
        <w:rPr>
          <w:rFonts w:ascii="仿宋" w:hAnsi="仿宋" w:eastAsia="仿宋"/>
          <w:color w:val="000000"/>
          <w:sz w:val="24"/>
          <w:szCs w:val="24"/>
        </w:rPr>
      </w:pPr>
    </w:p>
    <w:p w14:paraId="53A75287">
      <w:pPr>
        <w:snapToGrid w:val="0"/>
        <w:spacing w:line="360" w:lineRule="auto"/>
        <w:rPr>
          <w:rFonts w:ascii="仿宋" w:hAnsi="仿宋" w:eastAsia="仿宋"/>
          <w:spacing w:val="20"/>
          <w:sz w:val="30"/>
          <w:szCs w:val="30"/>
        </w:rPr>
      </w:pPr>
    </w:p>
    <w:p w14:paraId="4AF2F8D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1B9EAA7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509BFD8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9029BE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C2477B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9E793F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E488D3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1BA177FA">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0168A1E">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30860A6">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F0E4A96">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E84E62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374FFFA0">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A5CC87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65361108">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28EFC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6B39DD51">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04E91A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E1E6CE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EF3D50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B05374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873DA29">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F7FFF8F">
      <w:pPr>
        <w:snapToGrid w:val="0"/>
        <w:spacing w:line="360" w:lineRule="auto"/>
        <w:rPr>
          <w:rFonts w:hint="eastAsia" w:ascii="仿宋" w:hAnsi="仿宋" w:eastAsia="仿宋"/>
          <w:color w:val="000000"/>
          <w:sz w:val="30"/>
          <w:szCs w:val="30"/>
        </w:rPr>
      </w:pPr>
    </w:p>
    <w:p w14:paraId="5D51FB7D">
      <w:pPr>
        <w:snapToGrid w:val="0"/>
        <w:spacing w:line="360" w:lineRule="auto"/>
        <w:rPr>
          <w:rFonts w:hint="eastAsia" w:ascii="仿宋" w:hAnsi="仿宋" w:eastAsia="仿宋"/>
          <w:color w:val="000000"/>
          <w:sz w:val="30"/>
          <w:szCs w:val="30"/>
        </w:rPr>
      </w:pPr>
    </w:p>
    <w:p w14:paraId="6C1B551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053565A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7FFE4FA">
      <w:pPr>
        <w:snapToGrid w:val="0"/>
        <w:spacing w:line="360" w:lineRule="auto"/>
        <w:rPr>
          <w:rFonts w:ascii="仿宋" w:hAnsi="仿宋" w:eastAsia="仿宋"/>
          <w:sz w:val="28"/>
          <w:szCs w:val="28"/>
        </w:rPr>
      </w:pPr>
    </w:p>
    <w:p w14:paraId="75A461D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5894D5D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043D52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B165FB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C5A8E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5DD50B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DF0F4B0">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4BCF7104">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0C84A515">
      <w:pPr>
        <w:pStyle w:val="29"/>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68DCE31">
      <w:pPr>
        <w:snapToGrid w:val="0"/>
        <w:spacing w:line="360" w:lineRule="auto"/>
        <w:jc w:val="right"/>
        <w:rPr>
          <w:rFonts w:ascii="仿宋" w:hAnsi="仿宋" w:eastAsia="仿宋"/>
          <w:sz w:val="28"/>
          <w:szCs w:val="28"/>
        </w:rPr>
      </w:pPr>
    </w:p>
    <w:p w14:paraId="5B96DAE2">
      <w:pPr>
        <w:snapToGrid w:val="0"/>
        <w:spacing w:line="360" w:lineRule="auto"/>
        <w:jc w:val="right"/>
        <w:rPr>
          <w:rFonts w:ascii="仿宋" w:hAnsi="仿宋" w:eastAsia="仿宋"/>
          <w:sz w:val="28"/>
          <w:szCs w:val="28"/>
        </w:rPr>
      </w:pPr>
    </w:p>
    <w:p w14:paraId="0F6CCF74">
      <w:pPr>
        <w:snapToGrid w:val="0"/>
        <w:spacing w:line="360" w:lineRule="auto"/>
        <w:jc w:val="right"/>
        <w:rPr>
          <w:rFonts w:ascii="仿宋" w:hAnsi="仿宋" w:eastAsia="仿宋"/>
          <w:sz w:val="28"/>
          <w:szCs w:val="28"/>
        </w:rPr>
      </w:pPr>
    </w:p>
    <w:p w14:paraId="26B697DA">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0B20806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F45AC9C">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27A03B8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80B6160">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AAE8D31">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F6D1DD3">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1052EF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2927E2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6100116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1089424B">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1366DBA2">
      <w:pPr>
        <w:pStyle w:val="2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399D8F5E">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289B6A87">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6A7C98EF">
      <w:pPr>
        <w:spacing w:line="588" w:lineRule="exact"/>
        <w:rPr>
          <w:rFonts w:ascii="仿宋_GB2312" w:eastAsia="Times New Roman"/>
          <w:b/>
          <w:spacing w:val="6"/>
          <w:sz w:val="30"/>
          <w:szCs w:val="30"/>
        </w:rPr>
      </w:pPr>
    </w:p>
    <w:p w14:paraId="4378988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8A782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B2323C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688A8A16">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21857036">
      <w:pPr>
        <w:snapToGrid w:val="0"/>
        <w:spacing w:before="240" w:after="50" w:line="400" w:lineRule="exact"/>
        <w:jc w:val="left"/>
        <w:rPr>
          <w:rFonts w:ascii="仿宋" w:hAnsi="仿宋" w:eastAsia="仿宋"/>
          <w:sz w:val="30"/>
          <w:szCs w:val="30"/>
        </w:rPr>
      </w:pPr>
    </w:p>
    <w:p w14:paraId="56829D50">
      <w:pPr>
        <w:snapToGrid w:val="0"/>
        <w:spacing w:before="50" w:after="50"/>
        <w:rPr>
          <w:rFonts w:ascii="仿宋" w:hAnsi="仿宋" w:eastAsia="仿宋"/>
          <w:spacing w:val="20"/>
          <w:sz w:val="30"/>
          <w:szCs w:val="30"/>
        </w:rPr>
      </w:pPr>
    </w:p>
    <w:p w14:paraId="7A32720E">
      <w:pPr>
        <w:widowControl/>
        <w:jc w:val="left"/>
        <w:rPr>
          <w:rFonts w:ascii="仿宋" w:hAnsi="仿宋" w:eastAsia="仿宋"/>
          <w:sz w:val="30"/>
          <w:szCs w:val="30"/>
          <w:u w:val="single"/>
        </w:rPr>
        <w:sectPr>
          <w:footerReference r:id="rId4" w:type="default"/>
          <w:pgSz w:w="11906" w:h="16838"/>
          <w:pgMar w:top="1558" w:right="1531" w:bottom="1246" w:left="1531" w:header="851" w:footer="851" w:gutter="0"/>
          <w:cols w:space="720" w:num="1"/>
        </w:sectPr>
      </w:pPr>
    </w:p>
    <w:p w14:paraId="38CE7BAE">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F642D54">
      <w:pPr>
        <w:spacing w:before="240" w:beforeLines="100" w:line="240" w:lineRule="atLeast"/>
        <w:jc w:val="center"/>
        <w:rPr>
          <w:rFonts w:hint="eastAsia" w:ascii="仿宋" w:hAnsi="仿宋" w:eastAsia="仿宋"/>
          <w:sz w:val="36"/>
          <w:szCs w:val="36"/>
          <w:lang w:eastAsia="zh-CN"/>
        </w:rPr>
      </w:pPr>
      <w:bookmarkStart w:id="103" w:name="PO_3000001756_PM002_1"/>
      <w:r>
        <w:rPr>
          <w:rFonts w:hint="eastAsia" w:ascii="仿宋" w:hAnsi="仿宋" w:eastAsia="仿宋"/>
          <w:b/>
          <w:spacing w:val="40"/>
          <w:sz w:val="52"/>
          <w:szCs w:val="52"/>
          <w:lang w:eastAsia="zh-CN"/>
        </w:rPr>
        <w:t>浙江农林大学物业服务项目</w:t>
      </w:r>
      <w:bookmarkEnd w:id="103"/>
    </w:p>
    <w:p w14:paraId="306BBDD1">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4" w:name="PO_15530_PM001_4"/>
      <w:r>
        <w:rPr>
          <w:rFonts w:hint="eastAsia" w:ascii="仿宋" w:hAnsi="仿宋" w:eastAsia="仿宋"/>
          <w:sz w:val="36"/>
          <w:szCs w:val="36"/>
          <w:lang w:eastAsia="zh-CN"/>
        </w:rPr>
        <w:t>ZZCG2025H-CS-112</w:t>
      </w:r>
      <w:bookmarkEnd w:id="104"/>
      <w:r>
        <w:rPr>
          <w:rFonts w:hint="eastAsia" w:ascii="仿宋" w:hAnsi="仿宋" w:eastAsia="仿宋"/>
          <w:sz w:val="36"/>
          <w:szCs w:val="36"/>
        </w:rPr>
        <w:t xml:space="preserve">  （标项）</w:t>
      </w:r>
    </w:p>
    <w:p w14:paraId="72F6FED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047ED36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17030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087D6CC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1F5B7B6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A2D45D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2199AE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D3CA12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425314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02DE8C86">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6139272">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021C838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E8EA85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7CCB3B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6F5FB4B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2A6695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4120E6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0E867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418D2E9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4B20BB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5EA5B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9EA99B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46A0DF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3E799CC8">
      <w:pPr>
        <w:snapToGrid w:val="0"/>
        <w:spacing w:line="460" w:lineRule="exact"/>
        <w:ind w:firstLine="588" w:firstLineChars="196"/>
        <w:jc w:val="left"/>
        <w:rPr>
          <w:rFonts w:ascii="仿宋" w:hAnsi="仿宋" w:eastAsia="仿宋"/>
          <w:sz w:val="30"/>
          <w:szCs w:val="30"/>
        </w:rPr>
      </w:pPr>
    </w:p>
    <w:p w14:paraId="37D97B13">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520C8C2F">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18D22509">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513DC51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414B7F34">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262C06D5">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76548C9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6415DD5D">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126D2905">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F7C1B7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2048B53E">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7C9E7F5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79424E6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663FAC3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4A59E2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6783C005">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0F41990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F42974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3FF221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5EA3B4F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1402228">
      <w:pPr>
        <w:snapToGrid w:val="0"/>
        <w:spacing w:line="460" w:lineRule="exact"/>
        <w:ind w:firstLine="588" w:firstLineChars="196"/>
        <w:jc w:val="left"/>
        <w:rPr>
          <w:rFonts w:ascii="仿宋" w:hAnsi="仿宋" w:eastAsia="仿宋"/>
          <w:sz w:val="30"/>
          <w:szCs w:val="30"/>
        </w:rPr>
      </w:pPr>
    </w:p>
    <w:p w14:paraId="01435617">
      <w:pPr>
        <w:snapToGrid w:val="0"/>
        <w:spacing w:line="460" w:lineRule="exact"/>
        <w:jc w:val="left"/>
        <w:rPr>
          <w:rFonts w:ascii="仿宋" w:hAnsi="仿宋" w:eastAsia="仿宋"/>
          <w:sz w:val="30"/>
          <w:szCs w:val="30"/>
        </w:rPr>
      </w:pPr>
    </w:p>
    <w:p w14:paraId="24E78493">
      <w:pPr>
        <w:snapToGrid w:val="0"/>
        <w:spacing w:before="50"/>
        <w:jc w:val="left"/>
        <w:rPr>
          <w:rFonts w:ascii="仿宋" w:hAnsi="仿宋" w:eastAsia="仿宋"/>
          <w:sz w:val="30"/>
          <w:szCs w:val="30"/>
        </w:rPr>
      </w:pPr>
      <w:r>
        <w:rPr>
          <w:rFonts w:hint="eastAsia" w:ascii="仿宋" w:hAnsi="仿宋" w:eastAsia="仿宋"/>
          <w:sz w:val="30"/>
          <w:szCs w:val="30"/>
        </w:rPr>
        <w:br w:type="page"/>
      </w:r>
    </w:p>
    <w:p w14:paraId="18E0FBCE">
      <w:pPr>
        <w:snapToGrid w:val="0"/>
        <w:spacing w:before="50"/>
        <w:jc w:val="left"/>
        <w:rPr>
          <w:rFonts w:ascii="仿宋" w:hAnsi="仿宋" w:eastAsia="仿宋"/>
          <w:sz w:val="30"/>
          <w:szCs w:val="30"/>
        </w:rPr>
      </w:pPr>
      <w:r>
        <w:rPr>
          <w:rFonts w:hint="eastAsia" w:ascii="仿宋" w:hAnsi="仿宋" w:eastAsia="仿宋"/>
          <w:sz w:val="30"/>
          <w:szCs w:val="30"/>
        </w:rPr>
        <w:t>附件10：</w:t>
      </w:r>
    </w:p>
    <w:p w14:paraId="353188D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520A0716">
      <w:pPr>
        <w:snapToGrid w:val="0"/>
        <w:spacing w:before="50"/>
        <w:jc w:val="center"/>
        <w:rPr>
          <w:rFonts w:ascii="仿宋" w:hAnsi="仿宋" w:eastAsia="仿宋"/>
          <w:b/>
          <w:sz w:val="32"/>
          <w:szCs w:val="32"/>
        </w:rPr>
      </w:pPr>
    </w:p>
    <w:p w14:paraId="113C8C1F">
      <w:pPr>
        <w:pStyle w:val="1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3CE0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3421EBB">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E1600D8">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78CCD15">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258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F25DD6">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88B26A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A260336">
            <w:pPr>
              <w:snapToGrid w:val="0"/>
              <w:spacing w:before="120" w:beforeLines="50"/>
              <w:rPr>
                <w:rFonts w:ascii="仿宋" w:hAnsi="仿宋" w:eastAsia="仿宋"/>
                <w:sz w:val="30"/>
                <w:szCs w:val="30"/>
              </w:rPr>
            </w:pPr>
          </w:p>
        </w:tc>
      </w:tr>
      <w:tr w14:paraId="06DE5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110378">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9F8C63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267D9D">
            <w:pPr>
              <w:snapToGrid w:val="0"/>
              <w:spacing w:before="120" w:beforeLines="50"/>
              <w:ind w:left="43"/>
              <w:rPr>
                <w:rFonts w:ascii="仿宋" w:hAnsi="仿宋" w:eastAsia="仿宋"/>
                <w:sz w:val="30"/>
                <w:szCs w:val="30"/>
              </w:rPr>
            </w:pPr>
          </w:p>
        </w:tc>
      </w:tr>
      <w:tr w14:paraId="4F5A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F2E0F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37343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0AB7FC">
            <w:pPr>
              <w:snapToGrid w:val="0"/>
              <w:spacing w:before="120" w:beforeLines="50"/>
              <w:ind w:left="43"/>
              <w:rPr>
                <w:rFonts w:ascii="仿宋" w:hAnsi="仿宋" w:eastAsia="仿宋"/>
                <w:sz w:val="30"/>
                <w:szCs w:val="30"/>
              </w:rPr>
            </w:pPr>
          </w:p>
        </w:tc>
      </w:tr>
      <w:tr w14:paraId="7B32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FD5B5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80D06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2916EB">
            <w:pPr>
              <w:snapToGrid w:val="0"/>
              <w:spacing w:before="120" w:beforeLines="50"/>
              <w:ind w:left="43"/>
              <w:rPr>
                <w:rFonts w:ascii="仿宋" w:hAnsi="仿宋" w:eastAsia="仿宋"/>
                <w:sz w:val="30"/>
                <w:szCs w:val="30"/>
              </w:rPr>
            </w:pPr>
          </w:p>
        </w:tc>
      </w:tr>
      <w:tr w14:paraId="59052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F5B05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7358DC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BD00C3">
            <w:pPr>
              <w:snapToGrid w:val="0"/>
              <w:spacing w:before="120" w:beforeLines="50"/>
              <w:rPr>
                <w:rFonts w:ascii="仿宋" w:hAnsi="仿宋" w:eastAsia="仿宋"/>
                <w:sz w:val="30"/>
                <w:szCs w:val="30"/>
              </w:rPr>
            </w:pPr>
          </w:p>
        </w:tc>
      </w:tr>
      <w:tr w14:paraId="1C104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13CFE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0F3907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AF7223">
            <w:pPr>
              <w:snapToGrid w:val="0"/>
              <w:spacing w:before="120" w:beforeLines="50"/>
              <w:rPr>
                <w:rFonts w:ascii="仿宋" w:hAnsi="仿宋" w:eastAsia="仿宋"/>
                <w:sz w:val="30"/>
                <w:szCs w:val="30"/>
              </w:rPr>
            </w:pPr>
          </w:p>
        </w:tc>
      </w:tr>
      <w:tr w14:paraId="2158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1644D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0185C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74EAAA">
            <w:pPr>
              <w:snapToGrid w:val="0"/>
              <w:spacing w:before="120" w:beforeLines="50"/>
              <w:rPr>
                <w:rFonts w:ascii="仿宋" w:hAnsi="仿宋" w:eastAsia="仿宋"/>
                <w:sz w:val="30"/>
                <w:szCs w:val="30"/>
              </w:rPr>
            </w:pPr>
          </w:p>
        </w:tc>
      </w:tr>
      <w:tr w14:paraId="03C77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873A4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BCB3B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25F92A">
            <w:pPr>
              <w:snapToGrid w:val="0"/>
              <w:spacing w:before="120" w:beforeLines="50"/>
              <w:rPr>
                <w:rFonts w:ascii="仿宋" w:hAnsi="仿宋" w:eastAsia="仿宋"/>
                <w:sz w:val="30"/>
                <w:szCs w:val="30"/>
              </w:rPr>
            </w:pPr>
          </w:p>
        </w:tc>
      </w:tr>
      <w:tr w14:paraId="4F08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FACF7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FA444B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548004">
            <w:pPr>
              <w:snapToGrid w:val="0"/>
              <w:spacing w:before="120" w:beforeLines="50"/>
              <w:rPr>
                <w:rFonts w:ascii="仿宋" w:hAnsi="仿宋" w:eastAsia="仿宋"/>
                <w:sz w:val="30"/>
                <w:szCs w:val="30"/>
              </w:rPr>
            </w:pPr>
          </w:p>
        </w:tc>
      </w:tr>
    </w:tbl>
    <w:p w14:paraId="2105D6C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F4CB2DE">
      <w:pPr>
        <w:snapToGrid w:val="0"/>
        <w:spacing w:before="50" w:after="120" w:afterLines="50"/>
        <w:jc w:val="left"/>
        <w:rPr>
          <w:rFonts w:ascii="仿宋" w:hAnsi="仿宋" w:eastAsia="仿宋"/>
          <w:sz w:val="30"/>
          <w:szCs w:val="30"/>
        </w:rPr>
      </w:pPr>
    </w:p>
    <w:p w14:paraId="741C2B3E">
      <w:pPr>
        <w:snapToGrid w:val="0"/>
        <w:spacing w:before="50" w:after="120" w:afterLines="50"/>
        <w:jc w:val="left"/>
        <w:rPr>
          <w:rFonts w:ascii="仿宋" w:hAnsi="仿宋" w:eastAsia="仿宋"/>
          <w:sz w:val="30"/>
          <w:szCs w:val="30"/>
        </w:rPr>
      </w:pPr>
    </w:p>
    <w:p w14:paraId="5C4064B4">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0DE4A2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34F3C079">
      <w:pPr>
        <w:snapToGrid w:val="0"/>
        <w:spacing w:before="50" w:after="120" w:afterLines="50"/>
        <w:rPr>
          <w:rFonts w:ascii="仿宋" w:hAnsi="仿宋" w:eastAsia="仿宋"/>
          <w:b/>
          <w:spacing w:val="40"/>
          <w:kern w:val="0"/>
          <w:sz w:val="36"/>
          <w:szCs w:val="36"/>
        </w:rPr>
      </w:pPr>
    </w:p>
    <w:p w14:paraId="1DD6B2B7">
      <w:pPr>
        <w:pStyle w:val="1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0E808644">
      <w:pPr>
        <w:pStyle w:val="16"/>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FF0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8F12A0">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0B72D24">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CEF591F">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F844B39">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1336335C">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44DA6D3">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7DCA84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03A92E8">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ABEAC8A">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0AE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18C40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E40771D">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6CA460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A15767C">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A7F3C49">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76862AD">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8FE1F6F">
            <w:pPr>
              <w:snapToGrid w:val="0"/>
              <w:spacing w:before="50" w:after="50"/>
              <w:jc w:val="center"/>
              <w:rPr>
                <w:rFonts w:ascii="仿宋" w:hAnsi="仿宋" w:eastAsia="仿宋"/>
                <w:sz w:val="30"/>
                <w:szCs w:val="30"/>
              </w:rPr>
            </w:pPr>
          </w:p>
        </w:tc>
      </w:tr>
      <w:tr w14:paraId="3AD8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91FFBA">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0A4087B">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2F2BC57">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EB1B9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F59EE1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350A1C5">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D5A856C">
            <w:pPr>
              <w:snapToGrid w:val="0"/>
              <w:spacing w:before="50" w:after="50"/>
              <w:jc w:val="center"/>
              <w:rPr>
                <w:rFonts w:ascii="仿宋" w:hAnsi="仿宋" w:eastAsia="仿宋"/>
                <w:sz w:val="30"/>
                <w:szCs w:val="30"/>
              </w:rPr>
            </w:pPr>
          </w:p>
        </w:tc>
      </w:tr>
    </w:tbl>
    <w:p w14:paraId="71B72421">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A97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A0BD9A4">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3F8FAB">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1124937">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F5BF8F2">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66999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4AEEB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DA54EF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64D82F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EE50F29">
            <w:pPr>
              <w:snapToGrid w:val="0"/>
              <w:spacing w:before="50" w:after="50"/>
              <w:jc w:val="center"/>
              <w:rPr>
                <w:rFonts w:ascii="仿宋" w:hAnsi="仿宋" w:eastAsia="仿宋"/>
                <w:sz w:val="30"/>
                <w:szCs w:val="30"/>
              </w:rPr>
            </w:pPr>
          </w:p>
        </w:tc>
      </w:tr>
      <w:tr w14:paraId="4150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0236B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726462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4A66BA1">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DEACE21">
            <w:pPr>
              <w:snapToGrid w:val="0"/>
              <w:spacing w:before="50" w:after="50"/>
              <w:jc w:val="center"/>
              <w:rPr>
                <w:rFonts w:ascii="仿宋" w:hAnsi="仿宋" w:eastAsia="仿宋"/>
                <w:sz w:val="30"/>
                <w:szCs w:val="30"/>
              </w:rPr>
            </w:pPr>
          </w:p>
        </w:tc>
      </w:tr>
    </w:tbl>
    <w:p w14:paraId="4B28AAB4">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54412DE9">
      <w:pPr>
        <w:snapToGrid w:val="0"/>
        <w:spacing w:before="120" w:beforeLines="50"/>
        <w:rPr>
          <w:rFonts w:ascii="仿宋" w:hAnsi="仿宋" w:eastAsia="仿宋"/>
          <w:sz w:val="30"/>
          <w:szCs w:val="30"/>
        </w:rPr>
      </w:pPr>
    </w:p>
    <w:p w14:paraId="6268FC5C">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27860F5">
      <w:pPr>
        <w:snapToGrid w:val="0"/>
        <w:spacing w:before="50" w:after="50"/>
        <w:rPr>
          <w:rFonts w:ascii="仿宋" w:hAnsi="仿宋" w:eastAsia="仿宋"/>
          <w:spacing w:val="20"/>
          <w:sz w:val="30"/>
          <w:szCs w:val="30"/>
        </w:rPr>
      </w:pPr>
    </w:p>
    <w:p w14:paraId="4E6EF696">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72CFD28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9992E14">
      <w:pPr>
        <w:snapToGrid w:val="0"/>
        <w:spacing w:before="50" w:after="120" w:afterLines="50"/>
        <w:rPr>
          <w:rFonts w:ascii="仿宋" w:hAnsi="仿宋" w:eastAsia="仿宋"/>
          <w:b/>
          <w:sz w:val="32"/>
          <w:szCs w:val="32"/>
        </w:rPr>
      </w:pPr>
    </w:p>
    <w:p w14:paraId="3FBF1146">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D647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ED1400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904FBD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2D1D8A17">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39542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8EB8CE">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BD0A184">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5F77E2C">
            <w:pPr>
              <w:pStyle w:val="29"/>
              <w:snapToGrid w:val="0"/>
              <w:spacing w:before="120" w:after="120" w:line="240" w:lineRule="auto"/>
              <w:outlineLvl w:val="0"/>
              <w:rPr>
                <w:rFonts w:ascii="仿宋" w:hAnsi="仿宋" w:eastAsia="仿宋"/>
                <w:sz w:val="30"/>
                <w:szCs w:val="30"/>
              </w:rPr>
            </w:pPr>
          </w:p>
        </w:tc>
      </w:tr>
      <w:tr w14:paraId="65E0B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86B25C">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DB77F48">
            <w:pPr>
              <w:pStyle w:val="29"/>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A3354A6">
            <w:pPr>
              <w:pStyle w:val="29"/>
              <w:snapToGrid w:val="0"/>
              <w:spacing w:before="120" w:after="120" w:line="240" w:lineRule="auto"/>
              <w:rPr>
                <w:rFonts w:ascii="仿宋" w:hAnsi="仿宋" w:eastAsia="仿宋"/>
                <w:sz w:val="30"/>
                <w:szCs w:val="30"/>
              </w:rPr>
            </w:pPr>
          </w:p>
        </w:tc>
      </w:tr>
      <w:tr w14:paraId="5A473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BC134D">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E03D658">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C59C14C">
            <w:pPr>
              <w:pStyle w:val="29"/>
              <w:snapToGrid w:val="0"/>
              <w:spacing w:before="120" w:after="120" w:line="240" w:lineRule="auto"/>
              <w:outlineLvl w:val="0"/>
              <w:rPr>
                <w:rFonts w:ascii="仿宋" w:hAnsi="仿宋" w:eastAsia="仿宋"/>
                <w:sz w:val="30"/>
                <w:szCs w:val="30"/>
              </w:rPr>
            </w:pPr>
          </w:p>
        </w:tc>
      </w:tr>
      <w:tr w14:paraId="6673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30A92CC">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04AA5F9">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3245BA4C">
            <w:pPr>
              <w:pStyle w:val="29"/>
              <w:snapToGrid w:val="0"/>
              <w:spacing w:before="120" w:after="120" w:line="240" w:lineRule="auto"/>
              <w:outlineLvl w:val="0"/>
              <w:rPr>
                <w:rFonts w:ascii="仿宋" w:hAnsi="仿宋" w:eastAsia="仿宋"/>
                <w:sz w:val="30"/>
                <w:szCs w:val="30"/>
              </w:rPr>
            </w:pPr>
          </w:p>
        </w:tc>
      </w:tr>
      <w:tr w14:paraId="5EE89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853994">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C00D21">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F76478">
            <w:pPr>
              <w:pStyle w:val="29"/>
              <w:snapToGrid w:val="0"/>
              <w:spacing w:before="120" w:after="120" w:line="240" w:lineRule="auto"/>
              <w:outlineLvl w:val="0"/>
              <w:rPr>
                <w:rFonts w:ascii="仿宋" w:hAnsi="仿宋" w:eastAsia="仿宋"/>
                <w:sz w:val="30"/>
                <w:szCs w:val="30"/>
              </w:rPr>
            </w:pPr>
          </w:p>
        </w:tc>
      </w:tr>
      <w:tr w14:paraId="0F46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38079A">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7BE9A5E">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3D4DE26">
            <w:pPr>
              <w:pStyle w:val="29"/>
              <w:snapToGrid w:val="0"/>
              <w:spacing w:before="120" w:after="120" w:line="240" w:lineRule="auto"/>
              <w:outlineLvl w:val="0"/>
              <w:rPr>
                <w:rFonts w:ascii="仿宋" w:hAnsi="仿宋" w:eastAsia="仿宋"/>
                <w:sz w:val="30"/>
                <w:szCs w:val="30"/>
              </w:rPr>
            </w:pPr>
          </w:p>
        </w:tc>
      </w:tr>
    </w:tbl>
    <w:p w14:paraId="69073674">
      <w:pPr>
        <w:pStyle w:val="21"/>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4140E1E3">
      <w:pPr>
        <w:snapToGrid w:val="0"/>
        <w:spacing w:before="50" w:after="50"/>
        <w:rPr>
          <w:rFonts w:ascii="仿宋" w:hAnsi="仿宋" w:eastAsia="仿宋"/>
          <w:spacing w:val="20"/>
          <w:sz w:val="30"/>
          <w:szCs w:val="30"/>
        </w:rPr>
      </w:pPr>
    </w:p>
    <w:p w14:paraId="0D941E5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0E7883D">
      <w:pPr>
        <w:snapToGrid w:val="0"/>
        <w:spacing w:before="50" w:after="120" w:afterLines="50"/>
        <w:jc w:val="left"/>
        <w:rPr>
          <w:rFonts w:ascii="仿宋" w:hAnsi="仿宋" w:eastAsia="仿宋"/>
          <w:sz w:val="30"/>
          <w:szCs w:val="30"/>
        </w:rPr>
      </w:pPr>
    </w:p>
    <w:p w14:paraId="548678F7">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11B24852">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5FF0E5D">
      <w:pPr>
        <w:snapToGrid w:val="0"/>
        <w:spacing w:before="120" w:beforeLines="50" w:after="50"/>
        <w:rPr>
          <w:rFonts w:ascii="仿宋" w:hAnsi="仿宋" w:eastAsia="仿宋"/>
          <w:b/>
          <w:sz w:val="30"/>
          <w:szCs w:val="30"/>
        </w:rPr>
      </w:pPr>
    </w:p>
    <w:p w14:paraId="43AA3B14">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30F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1C65FA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CAD22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AACD67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377C043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0CBEC8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0E34BE8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0728C9">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17B4B6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290A4E9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E3A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A312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DE4304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F43E3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504D1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3DCF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35AD4A">
            <w:pPr>
              <w:snapToGrid w:val="0"/>
              <w:spacing w:before="120" w:beforeLines="50" w:after="50" w:line="460" w:lineRule="exact"/>
              <w:rPr>
                <w:rFonts w:ascii="仿宋" w:hAnsi="仿宋" w:eastAsia="仿宋"/>
                <w:b/>
                <w:bCs/>
                <w:kern w:val="0"/>
                <w:sz w:val="30"/>
                <w:szCs w:val="30"/>
              </w:rPr>
            </w:pPr>
          </w:p>
        </w:tc>
      </w:tr>
      <w:tr w14:paraId="6BD71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C97CD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37131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94B40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143EA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F87E9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805269">
            <w:pPr>
              <w:snapToGrid w:val="0"/>
              <w:spacing w:before="120" w:beforeLines="50" w:after="50" w:line="460" w:lineRule="exact"/>
              <w:rPr>
                <w:rFonts w:ascii="仿宋" w:hAnsi="仿宋" w:eastAsia="仿宋"/>
                <w:b/>
                <w:bCs/>
                <w:kern w:val="0"/>
                <w:sz w:val="30"/>
                <w:szCs w:val="30"/>
              </w:rPr>
            </w:pPr>
          </w:p>
        </w:tc>
      </w:tr>
      <w:tr w14:paraId="2E05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DA75F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86679C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12F3978">
            <w:pPr>
              <w:pStyle w:val="32"/>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35A22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BB32F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2CA3D3">
            <w:pPr>
              <w:snapToGrid w:val="0"/>
              <w:spacing w:before="120" w:beforeLines="50" w:after="50" w:line="460" w:lineRule="exact"/>
              <w:rPr>
                <w:rFonts w:ascii="仿宋" w:hAnsi="仿宋" w:eastAsia="仿宋"/>
                <w:b/>
                <w:bCs/>
                <w:kern w:val="0"/>
                <w:sz w:val="30"/>
                <w:szCs w:val="30"/>
              </w:rPr>
            </w:pPr>
          </w:p>
        </w:tc>
      </w:tr>
      <w:tr w14:paraId="647DA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40317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4B2E7A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3C4DEC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BB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29D74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EEECA1">
            <w:pPr>
              <w:snapToGrid w:val="0"/>
              <w:spacing w:before="120" w:beforeLines="50" w:after="50" w:line="460" w:lineRule="exact"/>
              <w:rPr>
                <w:rFonts w:ascii="仿宋" w:hAnsi="仿宋" w:eastAsia="仿宋"/>
                <w:b/>
                <w:bCs/>
                <w:kern w:val="0"/>
                <w:sz w:val="30"/>
                <w:szCs w:val="30"/>
              </w:rPr>
            </w:pPr>
          </w:p>
        </w:tc>
      </w:tr>
      <w:tr w14:paraId="7DBA0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A9E8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E62EE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46591B">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700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6C041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BAFC96">
            <w:pPr>
              <w:snapToGrid w:val="0"/>
              <w:spacing w:before="120" w:beforeLines="50" w:after="50" w:line="460" w:lineRule="exact"/>
              <w:rPr>
                <w:rFonts w:ascii="仿宋" w:hAnsi="仿宋" w:eastAsia="仿宋"/>
                <w:b/>
                <w:bCs/>
                <w:kern w:val="0"/>
                <w:sz w:val="30"/>
                <w:szCs w:val="30"/>
              </w:rPr>
            </w:pPr>
          </w:p>
        </w:tc>
      </w:tr>
      <w:tr w14:paraId="6771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164BC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0A2FE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C60B4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DBD66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0D2FA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50B723">
            <w:pPr>
              <w:snapToGrid w:val="0"/>
              <w:spacing w:before="120" w:beforeLines="50" w:after="50" w:line="460" w:lineRule="exact"/>
              <w:rPr>
                <w:rFonts w:ascii="仿宋" w:hAnsi="仿宋" w:eastAsia="仿宋"/>
                <w:b/>
                <w:bCs/>
                <w:kern w:val="0"/>
                <w:sz w:val="30"/>
                <w:szCs w:val="30"/>
              </w:rPr>
            </w:pPr>
          </w:p>
        </w:tc>
      </w:tr>
      <w:tr w14:paraId="6C4A8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C166AE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B50AD8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EA6EA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854B9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7D83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A57BE2">
            <w:pPr>
              <w:snapToGrid w:val="0"/>
              <w:spacing w:before="120" w:beforeLines="50" w:after="50" w:line="460" w:lineRule="exact"/>
              <w:rPr>
                <w:rFonts w:ascii="仿宋" w:hAnsi="仿宋" w:eastAsia="仿宋"/>
                <w:b/>
                <w:bCs/>
                <w:kern w:val="0"/>
                <w:sz w:val="30"/>
                <w:szCs w:val="30"/>
              </w:rPr>
            </w:pPr>
          </w:p>
        </w:tc>
      </w:tr>
      <w:tr w14:paraId="7C566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D40CE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6B8715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EB730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83EF20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B48B7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83ADD5">
            <w:pPr>
              <w:snapToGrid w:val="0"/>
              <w:spacing w:before="120" w:beforeLines="50" w:after="50" w:line="460" w:lineRule="exact"/>
              <w:rPr>
                <w:rFonts w:ascii="仿宋" w:hAnsi="仿宋" w:eastAsia="仿宋"/>
                <w:b/>
                <w:bCs/>
                <w:kern w:val="0"/>
                <w:sz w:val="30"/>
                <w:szCs w:val="30"/>
              </w:rPr>
            </w:pPr>
          </w:p>
        </w:tc>
      </w:tr>
      <w:tr w14:paraId="14902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0F707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D6953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9B9DAC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0854F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A7562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F474DC">
            <w:pPr>
              <w:snapToGrid w:val="0"/>
              <w:spacing w:before="120" w:beforeLines="50" w:after="50" w:line="460" w:lineRule="exact"/>
              <w:rPr>
                <w:rFonts w:ascii="仿宋" w:hAnsi="仿宋" w:eastAsia="仿宋"/>
                <w:b/>
                <w:bCs/>
                <w:kern w:val="0"/>
                <w:sz w:val="30"/>
                <w:szCs w:val="30"/>
              </w:rPr>
            </w:pPr>
          </w:p>
        </w:tc>
      </w:tr>
    </w:tbl>
    <w:p w14:paraId="5547F44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3DB9FFC">
      <w:pPr>
        <w:snapToGrid w:val="0"/>
        <w:spacing w:before="50" w:after="120" w:afterLines="50" w:line="460" w:lineRule="exact"/>
        <w:jc w:val="left"/>
        <w:rPr>
          <w:rFonts w:ascii="仿宋" w:hAnsi="仿宋" w:eastAsia="仿宋"/>
          <w:sz w:val="30"/>
          <w:szCs w:val="30"/>
        </w:rPr>
      </w:pPr>
    </w:p>
    <w:p w14:paraId="5C1C9E3B">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2F371F78">
      <w:pPr>
        <w:snapToGrid w:val="0"/>
        <w:spacing w:before="50" w:after="120" w:afterLines="50" w:line="460" w:lineRule="exact"/>
        <w:jc w:val="left"/>
        <w:rPr>
          <w:rFonts w:ascii="仿宋" w:hAnsi="仿宋" w:eastAsia="仿宋"/>
          <w:sz w:val="30"/>
          <w:szCs w:val="30"/>
        </w:rPr>
      </w:pPr>
    </w:p>
    <w:p w14:paraId="077B471B">
      <w:pPr>
        <w:pStyle w:val="29"/>
        <w:snapToGrid w:val="0"/>
        <w:spacing w:before="120" w:after="120" w:line="460" w:lineRule="exact"/>
        <w:rPr>
          <w:rFonts w:ascii="仿宋" w:hAnsi="仿宋" w:eastAsia="仿宋"/>
          <w:sz w:val="30"/>
          <w:szCs w:val="30"/>
        </w:rPr>
      </w:pPr>
    </w:p>
    <w:p w14:paraId="5354FFDA">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4A5B59F5">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1A8ADA47">
      <w:pPr>
        <w:snapToGrid w:val="0"/>
        <w:spacing w:before="50"/>
        <w:jc w:val="center"/>
        <w:rPr>
          <w:rFonts w:ascii="仿宋" w:hAnsi="仿宋" w:eastAsia="仿宋"/>
          <w:b/>
          <w:sz w:val="32"/>
          <w:szCs w:val="32"/>
        </w:rPr>
      </w:pPr>
    </w:p>
    <w:p w14:paraId="7FECBDF5">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8D29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3F8817CE">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74EFD7">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F9C33B1">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7C727C5F">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3E446A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2AF9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355D039D">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9C3C11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F5993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229AA04">
            <w:pPr>
              <w:snapToGrid w:val="0"/>
              <w:spacing w:before="120" w:beforeLines="50"/>
              <w:rPr>
                <w:rFonts w:ascii="仿宋" w:hAnsi="仿宋" w:eastAsia="仿宋"/>
                <w:sz w:val="30"/>
                <w:szCs w:val="30"/>
              </w:rPr>
            </w:pPr>
          </w:p>
        </w:tc>
      </w:tr>
      <w:tr w14:paraId="711A3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154100C">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2FEE69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CF016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547FAF">
            <w:pPr>
              <w:snapToGrid w:val="0"/>
              <w:spacing w:before="120" w:beforeLines="50"/>
              <w:ind w:left="43"/>
              <w:rPr>
                <w:rFonts w:ascii="仿宋" w:hAnsi="仿宋" w:eastAsia="仿宋"/>
                <w:sz w:val="30"/>
                <w:szCs w:val="30"/>
              </w:rPr>
            </w:pPr>
          </w:p>
        </w:tc>
      </w:tr>
      <w:tr w14:paraId="133A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2BBCE34">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25D2D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5C2F4E">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E5DE8AB">
            <w:pPr>
              <w:snapToGrid w:val="0"/>
              <w:spacing w:before="120" w:beforeLines="50"/>
              <w:ind w:left="43"/>
              <w:rPr>
                <w:rFonts w:ascii="仿宋" w:hAnsi="仿宋" w:eastAsia="仿宋"/>
                <w:sz w:val="30"/>
                <w:szCs w:val="30"/>
              </w:rPr>
            </w:pPr>
          </w:p>
        </w:tc>
      </w:tr>
      <w:tr w14:paraId="7D7A3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387C5C3">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EA81DB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843E61">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D7C292">
            <w:pPr>
              <w:snapToGrid w:val="0"/>
              <w:spacing w:before="120" w:beforeLines="50"/>
              <w:ind w:left="43"/>
              <w:rPr>
                <w:rFonts w:ascii="仿宋" w:hAnsi="仿宋" w:eastAsia="仿宋"/>
                <w:sz w:val="30"/>
                <w:szCs w:val="30"/>
              </w:rPr>
            </w:pPr>
          </w:p>
        </w:tc>
      </w:tr>
      <w:tr w14:paraId="09A6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D9A3B9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C6BEBF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1111A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92B909C">
            <w:pPr>
              <w:snapToGrid w:val="0"/>
              <w:spacing w:before="120" w:beforeLines="50"/>
              <w:rPr>
                <w:rFonts w:ascii="仿宋" w:hAnsi="仿宋" w:eastAsia="仿宋"/>
                <w:sz w:val="30"/>
                <w:szCs w:val="30"/>
              </w:rPr>
            </w:pPr>
          </w:p>
        </w:tc>
      </w:tr>
      <w:tr w14:paraId="7DB14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1E83C96">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0CACDB3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B5F071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24021C6">
            <w:pPr>
              <w:snapToGrid w:val="0"/>
              <w:spacing w:before="120" w:beforeLines="50"/>
              <w:rPr>
                <w:rFonts w:ascii="仿宋" w:hAnsi="仿宋" w:eastAsia="仿宋"/>
                <w:sz w:val="30"/>
                <w:szCs w:val="30"/>
              </w:rPr>
            </w:pPr>
          </w:p>
        </w:tc>
      </w:tr>
      <w:tr w14:paraId="2A6F5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769452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5E6B01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03EED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7A69185">
            <w:pPr>
              <w:snapToGrid w:val="0"/>
              <w:spacing w:before="120" w:beforeLines="50"/>
              <w:rPr>
                <w:rFonts w:ascii="仿宋" w:hAnsi="仿宋" w:eastAsia="仿宋"/>
                <w:sz w:val="30"/>
                <w:szCs w:val="30"/>
              </w:rPr>
            </w:pPr>
          </w:p>
        </w:tc>
      </w:tr>
      <w:tr w14:paraId="1500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172BAD6">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40B0C7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D4F85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AD1C46">
            <w:pPr>
              <w:snapToGrid w:val="0"/>
              <w:spacing w:before="120" w:beforeLines="50"/>
              <w:rPr>
                <w:rFonts w:ascii="仿宋" w:hAnsi="仿宋" w:eastAsia="仿宋"/>
                <w:sz w:val="30"/>
                <w:szCs w:val="30"/>
              </w:rPr>
            </w:pPr>
          </w:p>
        </w:tc>
      </w:tr>
      <w:tr w14:paraId="4F52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9D7AC91">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75750CC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99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3C09C52">
            <w:pPr>
              <w:snapToGrid w:val="0"/>
              <w:spacing w:before="120" w:beforeLines="50"/>
              <w:rPr>
                <w:rFonts w:ascii="仿宋" w:hAnsi="仿宋" w:eastAsia="仿宋"/>
                <w:sz w:val="30"/>
                <w:szCs w:val="30"/>
              </w:rPr>
            </w:pPr>
          </w:p>
        </w:tc>
      </w:tr>
      <w:tr w14:paraId="7873A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83FE15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51F34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9308E3">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F3A43B7">
            <w:pPr>
              <w:snapToGrid w:val="0"/>
              <w:spacing w:before="120" w:beforeLines="50"/>
              <w:rPr>
                <w:rFonts w:ascii="仿宋" w:hAnsi="仿宋" w:eastAsia="仿宋"/>
                <w:b/>
                <w:bCs/>
                <w:sz w:val="30"/>
                <w:szCs w:val="30"/>
              </w:rPr>
            </w:pPr>
          </w:p>
        </w:tc>
      </w:tr>
    </w:tbl>
    <w:p w14:paraId="51DAAC89">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9488A1A">
      <w:pPr>
        <w:widowControl/>
        <w:jc w:val="left"/>
        <w:rPr>
          <w:rFonts w:ascii="仿宋" w:hAnsi="仿宋" w:eastAsia="仿宋"/>
          <w:sz w:val="30"/>
          <w:szCs w:val="30"/>
        </w:rPr>
        <w:sectPr>
          <w:pgSz w:w="11906" w:h="16838"/>
          <w:pgMar w:top="1474" w:right="1797" w:bottom="1247" w:left="1797" w:header="851" w:footer="851" w:gutter="0"/>
          <w:cols w:space="720" w:num="1"/>
        </w:sectPr>
      </w:pPr>
    </w:p>
    <w:p w14:paraId="0EB44D88">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08AE2EE6">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338E7030">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3BD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37F5D73">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3AD2B08">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F7DB613">
            <w:pPr>
              <w:snapToGrid w:val="0"/>
              <w:jc w:val="center"/>
              <w:rPr>
                <w:rFonts w:ascii="仿宋" w:hAnsi="仿宋" w:eastAsia="仿宋"/>
                <w:sz w:val="30"/>
                <w:szCs w:val="30"/>
              </w:rPr>
            </w:pPr>
            <w:r>
              <w:rPr>
                <w:rFonts w:hint="eastAsia" w:ascii="仿宋" w:hAnsi="仿宋" w:eastAsia="仿宋"/>
                <w:sz w:val="30"/>
                <w:szCs w:val="30"/>
              </w:rPr>
              <w:t>采购</w:t>
            </w:r>
          </w:p>
          <w:p w14:paraId="54BB692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F64DC1">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F6C7283">
            <w:pPr>
              <w:snapToGrid w:val="0"/>
              <w:jc w:val="center"/>
              <w:rPr>
                <w:rFonts w:ascii="仿宋" w:hAnsi="仿宋" w:eastAsia="仿宋"/>
                <w:sz w:val="30"/>
                <w:szCs w:val="30"/>
              </w:rPr>
            </w:pPr>
            <w:r>
              <w:rPr>
                <w:rFonts w:hint="eastAsia" w:ascii="仿宋" w:hAnsi="仿宋" w:eastAsia="仿宋"/>
                <w:sz w:val="30"/>
                <w:szCs w:val="30"/>
              </w:rPr>
              <w:t>合同</w:t>
            </w:r>
          </w:p>
          <w:p w14:paraId="51C2B892">
            <w:pPr>
              <w:snapToGrid w:val="0"/>
              <w:jc w:val="center"/>
              <w:rPr>
                <w:rFonts w:ascii="仿宋" w:hAnsi="仿宋" w:eastAsia="仿宋"/>
                <w:sz w:val="30"/>
                <w:szCs w:val="30"/>
              </w:rPr>
            </w:pPr>
            <w:r>
              <w:rPr>
                <w:rFonts w:hint="eastAsia" w:ascii="仿宋" w:hAnsi="仿宋" w:eastAsia="仿宋"/>
                <w:sz w:val="30"/>
                <w:szCs w:val="30"/>
              </w:rPr>
              <w:t>金额</w:t>
            </w:r>
          </w:p>
          <w:p w14:paraId="2765336E">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448884">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0E5FB9B">
            <w:pPr>
              <w:snapToGrid w:val="0"/>
              <w:jc w:val="center"/>
              <w:rPr>
                <w:rFonts w:ascii="仿宋" w:hAnsi="仿宋" w:eastAsia="仿宋"/>
                <w:sz w:val="30"/>
                <w:szCs w:val="30"/>
              </w:rPr>
            </w:pPr>
            <w:r>
              <w:rPr>
                <w:rFonts w:hint="eastAsia" w:ascii="仿宋" w:hAnsi="仿宋" w:eastAsia="仿宋"/>
                <w:sz w:val="30"/>
                <w:szCs w:val="30"/>
              </w:rPr>
              <w:t>采购单位联系人及</w:t>
            </w:r>
          </w:p>
          <w:p w14:paraId="255B5004">
            <w:pPr>
              <w:snapToGrid w:val="0"/>
              <w:jc w:val="center"/>
              <w:rPr>
                <w:rFonts w:ascii="仿宋" w:hAnsi="仿宋" w:eastAsia="仿宋"/>
                <w:sz w:val="30"/>
                <w:szCs w:val="30"/>
              </w:rPr>
            </w:pPr>
            <w:r>
              <w:rPr>
                <w:rFonts w:hint="eastAsia" w:ascii="仿宋" w:hAnsi="仿宋" w:eastAsia="仿宋"/>
                <w:sz w:val="30"/>
                <w:szCs w:val="30"/>
              </w:rPr>
              <w:t>联系电话</w:t>
            </w:r>
          </w:p>
        </w:tc>
      </w:tr>
      <w:tr w14:paraId="6CD5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2DDA6BF">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FA2DE1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07EB7E">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7D09BD">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6B0B105">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56EEC8">
            <w:pPr>
              <w:snapToGrid w:val="0"/>
              <w:jc w:val="center"/>
              <w:rPr>
                <w:rFonts w:ascii="仿宋" w:hAnsi="仿宋" w:eastAsia="仿宋"/>
                <w:sz w:val="30"/>
                <w:szCs w:val="30"/>
              </w:rPr>
            </w:pPr>
            <w:r>
              <w:rPr>
                <w:rFonts w:hint="eastAsia" w:ascii="仿宋" w:hAnsi="仿宋" w:eastAsia="仿宋"/>
                <w:sz w:val="30"/>
                <w:szCs w:val="30"/>
              </w:rPr>
              <w:t>合</w:t>
            </w:r>
          </w:p>
          <w:p w14:paraId="3599056F">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5A86819">
            <w:pPr>
              <w:snapToGrid w:val="0"/>
              <w:jc w:val="center"/>
              <w:rPr>
                <w:rFonts w:ascii="仿宋" w:hAnsi="仿宋" w:eastAsia="仿宋"/>
                <w:sz w:val="30"/>
                <w:szCs w:val="30"/>
              </w:rPr>
            </w:pPr>
            <w:r>
              <w:rPr>
                <w:rFonts w:hint="eastAsia" w:ascii="仿宋" w:hAnsi="仿宋" w:eastAsia="仿宋"/>
                <w:sz w:val="30"/>
                <w:szCs w:val="30"/>
              </w:rPr>
              <w:t>验收</w:t>
            </w:r>
          </w:p>
          <w:p w14:paraId="50A9D0F4">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052491F">
            <w:pPr>
              <w:widowControl/>
              <w:jc w:val="left"/>
              <w:rPr>
                <w:rFonts w:ascii="仿宋" w:hAnsi="仿宋" w:eastAsia="仿宋"/>
                <w:sz w:val="30"/>
                <w:szCs w:val="30"/>
              </w:rPr>
            </w:pPr>
          </w:p>
        </w:tc>
      </w:tr>
      <w:tr w14:paraId="157F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FECCC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80A9D4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82D23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689FA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330EA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280B7B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5B5D8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42E4346">
            <w:pPr>
              <w:snapToGrid w:val="0"/>
              <w:spacing w:before="50" w:after="120" w:afterLines="50" w:line="400" w:lineRule="exact"/>
              <w:jc w:val="left"/>
              <w:rPr>
                <w:rFonts w:ascii="仿宋" w:hAnsi="仿宋" w:eastAsia="仿宋"/>
                <w:b/>
                <w:bCs/>
                <w:kern w:val="0"/>
                <w:sz w:val="30"/>
                <w:szCs w:val="30"/>
              </w:rPr>
            </w:pPr>
          </w:p>
        </w:tc>
      </w:tr>
      <w:tr w14:paraId="34CA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A94290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8C0E8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67216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287F5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1C6CB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AAA56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96958E">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FF3FABC">
            <w:pPr>
              <w:snapToGrid w:val="0"/>
              <w:spacing w:before="50" w:after="120" w:afterLines="50" w:line="400" w:lineRule="exact"/>
              <w:jc w:val="left"/>
              <w:rPr>
                <w:rFonts w:ascii="仿宋" w:hAnsi="仿宋" w:eastAsia="仿宋"/>
                <w:b/>
                <w:bCs/>
                <w:kern w:val="0"/>
                <w:sz w:val="30"/>
                <w:szCs w:val="30"/>
              </w:rPr>
            </w:pPr>
          </w:p>
        </w:tc>
      </w:tr>
      <w:tr w14:paraId="5B3B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22FB8DA">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4DDB4A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FDE79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9308D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03113E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96B6C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8BFC92">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A068189">
            <w:pPr>
              <w:snapToGrid w:val="0"/>
              <w:spacing w:before="50" w:after="120" w:afterLines="50" w:line="400" w:lineRule="exact"/>
              <w:jc w:val="left"/>
              <w:rPr>
                <w:rFonts w:ascii="仿宋" w:hAnsi="仿宋" w:eastAsia="仿宋"/>
                <w:b/>
                <w:bCs/>
                <w:kern w:val="0"/>
                <w:sz w:val="30"/>
                <w:szCs w:val="30"/>
              </w:rPr>
            </w:pPr>
          </w:p>
        </w:tc>
      </w:tr>
      <w:tr w14:paraId="25EF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201589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DDD867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A2B02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AB8DE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46322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3FB3C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3D05D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DC7B37E">
            <w:pPr>
              <w:snapToGrid w:val="0"/>
              <w:spacing w:before="50" w:after="120" w:afterLines="50" w:line="400" w:lineRule="exact"/>
              <w:jc w:val="left"/>
              <w:rPr>
                <w:rFonts w:ascii="仿宋" w:hAnsi="仿宋" w:eastAsia="仿宋"/>
                <w:b/>
                <w:bCs/>
                <w:kern w:val="0"/>
                <w:sz w:val="30"/>
                <w:szCs w:val="30"/>
              </w:rPr>
            </w:pPr>
          </w:p>
        </w:tc>
      </w:tr>
      <w:tr w14:paraId="1F3B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5C3202C">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BFCC9EC">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3460E51">
      <w:pPr>
        <w:pStyle w:val="16"/>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84AF5BC">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19835DDC">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0A168EF3">
      <w:pPr>
        <w:ind w:right="-110"/>
        <w:rPr>
          <w:rFonts w:ascii="仿宋" w:hAnsi="仿宋" w:eastAsia="仿宋"/>
          <w:spacing w:val="40"/>
          <w:sz w:val="52"/>
          <w:szCs w:val="52"/>
        </w:rPr>
      </w:pPr>
    </w:p>
    <w:p w14:paraId="07F4CF29">
      <w:pPr>
        <w:ind w:right="-110"/>
        <w:jc w:val="center"/>
        <w:rPr>
          <w:rFonts w:hint="eastAsia" w:ascii="仿宋" w:hAnsi="仿宋" w:eastAsia="仿宋"/>
          <w:spacing w:val="40"/>
          <w:sz w:val="52"/>
          <w:szCs w:val="52"/>
          <w:lang w:eastAsia="zh-CN"/>
        </w:rPr>
      </w:pPr>
      <w:bookmarkStart w:id="105" w:name="PO_3000001756_PM002"/>
      <w:r>
        <w:rPr>
          <w:rFonts w:hint="eastAsia" w:ascii="仿宋" w:hAnsi="仿宋" w:eastAsia="仿宋"/>
          <w:b/>
          <w:spacing w:val="40"/>
          <w:sz w:val="52"/>
          <w:szCs w:val="52"/>
          <w:lang w:eastAsia="zh-CN"/>
        </w:rPr>
        <w:t>浙江农林大学物业服务项目</w:t>
      </w:r>
      <w:bookmarkEnd w:id="105"/>
    </w:p>
    <w:p w14:paraId="064D2AC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6" w:name="PO_3000001756_PM001"/>
      <w:r>
        <w:rPr>
          <w:rFonts w:hint="eastAsia" w:ascii="仿宋" w:hAnsi="仿宋" w:eastAsia="仿宋"/>
          <w:b/>
          <w:sz w:val="36"/>
          <w:szCs w:val="36"/>
          <w:lang w:eastAsia="zh-CN"/>
        </w:rPr>
        <w:t>ZZCG2025H-CS-112</w:t>
      </w:r>
      <w:bookmarkEnd w:id="106"/>
      <w:r>
        <w:rPr>
          <w:rFonts w:hint="eastAsia" w:ascii="仿宋" w:hAnsi="仿宋" w:eastAsia="仿宋"/>
          <w:sz w:val="36"/>
          <w:szCs w:val="36"/>
        </w:rPr>
        <w:t>（标项）</w:t>
      </w:r>
    </w:p>
    <w:p w14:paraId="4632C470">
      <w:pPr>
        <w:spacing w:after="100" w:afterAutospacing="1" w:line="800" w:lineRule="exact"/>
        <w:ind w:right="-108"/>
        <w:jc w:val="center"/>
        <w:rPr>
          <w:rFonts w:ascii="仿宋" w:hAnsi="仿宋" w:eastAsia="仿宋"/>
          <w:b/>
          <w:spacing w:val="40"/>
          <w:sz w:val="84"/>
          <w:szCs w:val="84"/>
        </w:rPr>
      </w:pPr>
    </w:p>
    <w:p w14:paraId="02FE888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1FA20C0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2DA3FD3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5FFAC4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50CA1A2">
      <w:pPr>
        <w:spacing w:line="500" w:lineRule="exact"/>
        <w:ind w:right="532"/>
        <w:jc w:val="center"/>
        <w:rPr>
          <w:rFonts w:ascii="仿宋" w:hAnsi="仿宋" w:eastAsia="仿宋"/>
          <w:sz w:val="36"/>
          <w:szCs w:val="36"/>
        </w:rPr>
      </w:pPr>
    </w:p>
    <w:p w14:paraId="691C84C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828237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55D799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1CF139B4">
      <w:pPr>
        <w:spacing w:line="600" w:lineRule="exact"/>
        <w:ind w:right="532"/>
        <w:rPr>
          <w:rFonts w:ascii="仿宋" w:hAnsi="仿宋" w:eastAsia="仿宋"/>
          <w:sz w:val="30"/>
          <w:szCs w:val="30"/>
        </w:rPr>
      </w:pPr>
    </w:p>
    <w:p w14:paraId="48FCCE4C">
      <w:pPr>
        <w:spacing w:line="600" w:lineRule="exact"/>
        <w:ind w:right="-108" w:firstLine="720" w:firstLineChars="200"/>
        <w:rPr>
          <w:rFonts w:ascii="仿宋" w:hAnsi="仿宋" w:eastAsia="仿宋"/>
          <w:sz w:val="36"/>
          <w:szCs w:val="36"/>
        </w:rPr>
      </w:pPr>
    </w:p>
    <w:p w14:paraId="726AB5DF">
      <w:pPr>
        <w:spacing w:line="600" w:lineRule="exact"/>
        <w:ind w:right="532" w:firstLine="600" w:firstLineChars="200"/>
        <w:rPr>
          <w:rFonts w:ascii="仿宋" w:hAnsi="仿宋" w:eastAsia="仿宋"/>
          <w:sz w:val="30"/>
          <w:szCs w:val="30"/>
        </w:rPr>
      </w:pPr>
    </w:p>
    <w:p w14:paraId="2659D027">
      <w:pPr>
        <w:tabs>
          <w:tab w:val="left" w:pos="6540"/>
        </w:tabs>
        <w:snapToGrid w:val="0"/>
        <w:spacing w:line="460" w:lineRule="exact"/>
        <w:ind w:firstLine="602" w:firstLineChars="200"/>
        <w:jc w:val="left"/>
        <w:rPr>
          <w:rFonts w:ascii="仿宋" w:hAnsi="仿宋" w:eastAsia="仿宋"/>
          <w:b/>
          <w:sz w:val="30"/>
          <w:szCs w:val="30"/>
        </w:rPr>
      </w:pPr>
    </w:p>
    <w:p w14:paraId="754EF90F">
      <w:pPr>
        <w:snapToGrid w:val="0"/>
        <w:spacing w:before="50" w:after="120" w:afterLines="50" w:line="460" w:lineRule="exact"/>
        <w:ind w:firstLine="600" w:firstLineChars="200"/>
        <w:jc w:val="left"/>
        <w:rPr>
          <w:rFonts w:ascii="仿宋" w:hAnsi="仿宋" w:eastAsia="仿宋"/>
          <w:sz w:val="30"/>
          <w:szCs w:val="30"/>
        </w:rPr>
      </w:pPr>
    </w:p>
    <w:p w14:paraId="7375762C">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09C4499E">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AFE8FB5">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5165119D">
      <w:pPr>
        <w:pStyle w:val="46"/>
        <w:widowControl w:val="0"/>
        <w:spacing w:after="120" w:line="460" w:lineRule="exact"/>
        <w:ind w:firstLine="600" w:firstLineChars="200"/>
        <w:jc w:val="both"/>
        <w:rPr>
          <w:rFonts w:ascii="仿宋" w:hAnsi="仿宋" w:eastAsia="仿宋"/>
          <w:sz w:val="30"/>
          <w:szCs w:val="30"/>
        </w:rPr>
      </w:pPr>
    </w:p>
    <w:p w14:paraId="6D532364">
      <w:pPr>
        <w:snapToGrid w:val="0"/>
        <w:spacing w:line="460" w:lineRule="exact"/>
        <w:ind w:firstLine="600" w:firstLineChars="200"/>
        <w:jc w:val="left"/>
        <w:rPr>
          <w:rFonts w:ascii="仿宋" w:hAnsi="仿宋" w:eastAsia="仿宋"/>
          <w:sz w:val="30"/>
          <w:szCs w:val="30"/>
        </w:rPr>
      </w:pPr>
    </w:p>
    <w:p w14:paraId="1F8235C6">
      <w:pPr>
        <w:snapToGrid w:val="0"/>
        <w:spacing w:before="50" w:after="50"/>
        <w:rPr>
          <w:rFonts w:ascii="仿宋" w:hAnsi="仿宋" w:eastAsia="仿宋"/>
          <w:spacing w:val="20"/>
          <w:sz w:val="30"/>
          <w:szCs w:val="30"/>
        </w:rPr>
      </w:pPr>
    </w:p>
    <w:p w14:paraId="284A2B4F">
      <w:pPr>
        <w:snapToGrid w:val="0"/>
        <w:spacing w:before="50" w:after="50"/>
        <w:rPr>
          <w:rFonts w:ascii="仿宋" w:hAnsi="仿宋" w:eastAsia="仿宋"/>
          <w:spacing w:val="20"/>
          <w:sz w:val="30"/>
          <w:szCs w:val="30"/>
        </w:rPr>
      </w:pPr>
    </w:p>
    <w:p w14:paraId="5AD94E56">
      <w:pPr>
        <w:snapToGrid w:val="0"/>
        <w:spacing w:before="50" w:after="50"/>
        <w:rPr>
          <w:rFonts w:ascii="仿宋" w:hAnsi="仿宋" w:eastAsia="仿宋"/>
          <w:spacing w:val="20"/>
          <w:sz w:val="30"/>
          <w:szCs w:val="30"/>
        </w:rPr>
      </w:pPr>
    </w:p>
    <w:p w14:paraId="5A7475B0">
      <w:pPr>
        <w:snapToGrid w:val="0"/>
        <w:spacing w:before="50" w:after="50"/>
        <w:rPr>
          <w:rFonts w:ascii="仿宋" w:hAnsi="仿宋" w:eastAsia="仿宋"/>
          <w:spacing w:val="20"/>
          <w:sz w:val="30"/>
          <w:szCs w:val="30"/>
        </w:rPr>
      </w:pPr>
    </w:p>
    <w:p w14:paraId="137A71A5">
      <w:pPr>
        <w:snapToGrid w:val="0"/>
        <w:spacing w:before="50" w:after="50"/>
        <w:rPr>
          <w:rFonts w:ascii="仿宋" w:hAnsi="仿宋" w:eastAsia="仿宋"/>
          <w:spacing w:val="20"/>
          <w:sz w:val="30"/>
          <w:szCs w:val="30"/>
        </w:rPr>
      </w:pPr>
    </w:p>
    <w:p w14:paraId="3CFF2E8B">
      <w:pPr>
        <w:snapToGrid w:val="0"/>
        <w:spacing w:before="50" w:after="50"/>
        <w:rPr>
          <w:rFonts w:ascii="仿宋" w:hAnsi="仿宋" w:eastAsia="仿宋"/>
          <w:spacing w:val="20"/>
          <w:sz w:val="30"/>
          <w:szCs w:val="30"/>
        </w:rPr>
      </w:pPr>
    </w:p>
    <w:p w14:paraId="20654F7A">
      <w:pPr>
        <w:snapToGrid w:val="0"/>
        <w:spacing w:before="50" w:after="50"/>
        <w:rPr>
          <w:rFonts w:ascii="仿宋" w:hAnsi="仿宋" w:eastAsia="仿宋"/>
          <w:spacing w:val="20"/>
          <w:sz w:val="30"/>
          <w:szCs w:val="30"/>
        </w:rPr>
      </w:pPr>
    </w:p>
    <w:p w14:paraId="3CBF1F80">
      <w:pPr>
        <w:snapToGrid w:val="0"/>
        <w:spacing w:before="50" w:after="50"/>
        <w:rPr>
          <w:rFonts w:ascii="仿宋" w:hAnsi="仿宋" w:eastAsia="仿宋"/>
          <w:spacing w:val="20"/>
          <w:sz w:val="30"/>
          <w:szCs w:val="30"/>
        </w:rPr>
      </w:pPr>
    </w:p>
    <w:p w14:paraId="1420FE68">
      <w:pPr>
        <w:snapToGrid w:val="0"/>
        <w:spacing w:before="50" w:after="50"/>
        <w:rPr>
          <w:rFonts w:ascii="仿宋" w:hAnsi="仿宋" w:eastAsia="仿宋"/>
          <w:spacing w:val="20"/>
          <w:sz w:val="30"/>
          <w:szCs w:val="30"/>
        </w:rPr>
      </w:pPr>
    </w:p>
    <w:p w14:paraId="0C22259C">
      <w:pPr>
        <w:snapToGrid w:val="0"/>
        <w:spacing w:before="50" w:after="50"/>
        <w:rPr>
          <w:rFonts w:ascii="仿宋" w:hAnsi="仿宋" w:eastAsia="仿宋"/>
          <w:spacing w:val="20"/>
          <w:sz w:val="30"/>
          <w:szCs w:val="30"/>
        </w:rPr>
      </w:pPr>
    </w:p>
    <w:p w14:paraId="50C9BD1C">
      <w:pPr>
        <w:snapToGrid w:val="0"/>
        <w:spacing w:before="50" w:after="50"/>
        <w:rPr>
          <w:rFonts w:ascii="仿宋" w:hAnsi="仿宋" w:eastAsia="仿宋"/>
          <w:spacing w:val="20"/>
          <w:sz w:val="30"/>
          <w:szCs w:val="30"/>
        </w:rPr>
      </w:pPr>
    </w:p>
    <w:p w14:paraId="50005BF9">
      <w:pPr>
        <w:snapToGrid w:val="0"/>
        <w:spacing w:before="50" w:after="50"/>
        <w:rPr>
          <w:rFonts w:ascii="仿宋" w:hAnsi="仿宋" w:eastAsia="仿宋"/>
          <w:spacing w:val="20"/>
          <w:sz w:val="30"/>
          <w:szCs w:val="30"/>
        </w:rPr>
      </w:pPr>
    </w:p>
    <w:p w14:paraId="3A33947F">
      <w:pPr>
        <w:snapToGrid w:val="0"/>
        <w:spacing w:before="50" w:after="50"/>
        <w:rPr>
          <w:rFonts w:ascii="仿宋" w:hAnsi="仿宋" w:eastAsia="仿宋"/>
          <w:spacing w:val="20"/>
          <w:sz w:val="30"/>
          <w:szCs w:val="30"/>
        </w:rPr>
      </w:pPr>
    </w:p>
    <w:p w14:paraId="14ECE836">
      <w:pPr>
        <w:snapToGrid w:val="0"/>
        <w:spacing w:before="50" w:after="50"/>
        <w:rPr>
          <w:rFonts w:ascii="仿宋" w:hAnsi="仿宋" w:eastAsia="仿宋"/>
          <w:spacing w:val="20"/>
          <w:sz w:val="30"/>
          <w:szCs w:val="30"/>
        </w:rPr>
      </w:pPr>
    </w:p>
    <w:p w14:paraId="316A2E4B">
      <w:pPr>
        <w:snapToGrid w:val="0"/>
        <w:spacing w:before="50" w:after="50"/>
        <w:rPr>
          <w:rFonts w:ascii="仿宋" w:hAnsi="仿宋" w:eastAsia="仿宋"/>
          <w:spacing w:val="20"/>
          <w:sz w:val="30"/>
          <w:szCs w:val="30"/>
        </w:rPr>
      </w:pPr>
    </w:p>
    <w:p w14:paraId="1E4FBA42">
      <w:pPr>
        <w:snapToGrid w:val="0"/>
        <w:spacing w:before="50" w:after="50"/>
        <w:rPr>
          <w:rFonts w:ascii="仿宋" w:hAnsi="仿宋" w:eastAsia="仿宋"/>
          <w:spacing w:val="20"/>
          <w:sz w:val="30"/>
          <w:szCs w:val="30"/>
        </w:rPr>
      </w:pPr>
    </w:p>
    <w:p w14:paraId="4B20C47D">
      <w:pPr>
        <w:snapToGrid w:val="0"/>
        <w:spacing w:before="50" w:after="50"/>
        <w:rPr>
          <w:rFonts w:ascii="仿宋" w:hAnsi="仿宋" w:eastAsia="仿宋"/>
          <w:spacing w:val="20"/>
          <w:sz w:val="30"/>
          <w:szCs w:val="30"/>
        </w:rPr>
      </w:pPr>
    </w:p>
    <w:p w14:paraId="23B6E99D">
      <w:pPr>
        <w:snapToGrid w:val="0"/>
        <w:spacing w:before="50" w:after="50"/>
        <w:rPr>
          <w:rFonts w:ascii="仿宋" w:hAnsi="仿宋" w:eastAsia="仿宋"/>
          <w:spacing w:val="20"/>
          <w:sz w:val="30"/>
          <w:szCs w:val="30"/>
        </w:rPr>
      </w:pPr>
    </w:p>
    <w:p w14:paraId="792ADD7A">
      <w:pPr>
        <w:snapToGrid w:val="0"/>
        <w:spacing w:before="50" w:after="50"/>
        <w:rPr>
          <w:rFonts w:ascii="仿宋" w:hAnsi="仿宋" w:eastAsia="仿宋"/>
          <w:spacing w:val="20"/>
          <w:sz w:val="30"/>
          <w:szCs w:val="30"/>
        </w:rPr>
      </w:pPr>
    </w:p>
    <w:p w14:paraId="7FF797DD">
      <w:pPr>
        <w:snapToGrid w:val="0"/>
        <w:spacing w:before="50" w:after="50"/>
        <w:rPr>
          <w:rFonts w:ascii="仿宋" w:hAnsi="仿宋" w:eastAsia="仿宋"/>
          <w:spacing w:val="20"/>
          <w:sz w:val="30"/>
          <w:szCs w:val="30"/>
        </w:rPr>
      </w:pPr>
    </w:p>
    <w:p w14:paraId="15F59B70">
      <w:pPr>
        <w:snapToGrid w:val="0"/>
        <w:spacing w:before="50" w:after="50"/>
        <w:rPr>
          <w:rFonts w:ascii="仿宋" w:hAnsi="仿宋" w:eastAsia="仿宋"/>
          <w:spacing w:val="20"/>
          <w:sz w:val="30"/>
          <w:szCs w:val="30"/>
        </w:rPr>
      </w:pPr>
    </w:p>
    <w:p w14:paraId="21497C53">
      <w:pPr>
        <w:snapToGrid w:val="0"/>
        <w:spacing w:before="50" w:after="50"/>
        <w:rPr>
          <w:rFonts w:ascii="仿宋" w:hAnsi="仿宋" w:eastAsia="仿宋"/>
          <w:spacing w:val="20"/>
          <w:sz w:val="30"/>
          <w:szCs w:val="30"/>
        </w:rPr>
      </w:pPr>
    </w:p>
    <w:p w14:paraId="518AB7EF">
      <w:pPr>
        <w:snapToGrid w:val="0"/>
        <w:spacing w:before="50" w:after="50"/>
        <w:rPr>
          <w:rFonts w:ascii="仿宋" w:hAnsi="仿宋" w:eastAsia="仿宋"/>
          <w:spacing w:val="20"/>
          <w:sz w:val="30"/>
          <w:szCs w:val="30"/>
        </w:rPr>
      </w:pPr>
    </w:p>
    <w:p w14:paraId="2BF15646">
      <w:pPr>
        <w:widowControl/>
        <w:jc w:val="left"/>
        <w:rPr>
          <w:rFonts w:ascii="仿宋" w:hAnsi="仿宋" w:eastAsia="仿宋"/>
          <w:sz w:val="30"/>
          <w:szCs w:val="30"/>
        </w:rPr>
      </w:pPr>
      <w:r>
        <w:rPr>
          <w:rFonts w:hint="eastAsia" w:ascii="仿宋" w:hAnsi="仿宋" w:eastAsia="仿宋"/>
          <w:sz w:val="30"/>
          <w:szCs w:val="30"/>
        </w:rPr>
        <w:br w:type="page"/>
      </w:r>
    </w:p>
    <w:p w14:paraId="76BD90CC">
      <w:pPr>
        <w:pStyle w:val="29"/>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07670A15">
      <w:pPr>
        <w:pStyle w:val="29"/>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238904ED">
      <w:pPr>
        <w:snapToGrid w:val="0"/>
        <w:rPr>
          <w:rFonts w:ascii="仿宋" w:hAnsi="仿宋" w:eastAsia="仿宋"/>
          <w:sz w:val="28"/>
          <w:szCs w:val="28"/>
        </w:rPr>
      </w:pPr>
    </w:p>
    <w:p w14:paraId="1E43C527">
      <w:pPr>
        <w:snapToGrid w:val="0"/>
        <w:rPr>
          <w:rFonts w:ascii="仿宋" w:hAnsi="仿宋" w:eastAsia="仿宋"/>
          <w:sz w:val="28"/>
          <w:szCs w:val="28"/>
        </w:rPr>
      </w:pPr>
      <w:r>
        <w:rPr>
          <w:rFonts w:hint="eastAsia" w:ascii="仿宋" w:hAnsi="仿宋" w:eastAsia="仿宋"/>
          <w:sz w:val="28"/>
          <w:szCs w:val="28"/>
        </w:rPr>
        <w:t>响应方全称（公章）：</w:t>
      </w:r>
    </w:p>
    <w:p w14:paraId="1F34D7A6">
      <w:pPr>
        <w:snapToGrid w:val="0"/>
        <w:rPr>
          <w:rFonts w:ascii="仿宋" w:hAnsi="仿宋" w:eastAsia="仿宋"/>
          <w:sz w:val="28"/>
          <w:szCs w:val="28"/>
        </w:rPr>
      </w:pPr>
    </w:p>
    <w:p w14:paraId="3465CBC0">
      <w:pPr>
        <w:snapToGrid w:val="0"/>
        <w:rPr>
          <w:rFonts w:ascii="仿宋" w:hAnsi="仿宋" w:eastAsia="仿宋"/>
          <w:b/>
          <w:sz w:val="28"/>
          <w:szCs w:val="28"/>
          <w:u w:val="single"/>
        </w:rPr>
      </w:pPr>
      <w:r>
        <w:rPr>
          <w:rFonts w:hint="eastAsia" w:ascii="仿宋" w:hAnsi="仿宋" w:eastAsia="仿宋"/>
          <w:sz w:val="28"/>
          <w:szCs w:val="28"/>
        </w:rPr>
        <w:t>项目编号及标项：</w:t>
      </w:r>
    </w:p>
    <w:p w14:paraId="2AC8CCA0">
      <w:pPr>
        <w:snapToGrid w:val="0"/>
        <w:rPr>
          <w:rFonts w:ascii="仿宋" w:hAnsi="仿宋" w:eastAsia="仿宋"/>
          <w:b/>
          <w:sz w:val="24"/>
          <w:szCs w:val="24"/>
          <w:u w:val="single"/>
        </w:rPr>
      </w:pPr>
    </w:p>
    <w:p w14:paraId="450501E4">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7937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4F34E982">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DA55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38F861D6">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139AC8F4">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17C43139">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64C946FF">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50902519">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54C03B53">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47C7790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2CEE9609">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B03C8F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1ADEA10B"/>
          <w:p w14:paraId="18B9127C"/>
          <w:p w14:paraId="4F4CC2DC"/>
          <w:p w14:paraId="1DD6892A">
            <w:pPr>
              <w:snapToGrid w:val="0"/>
              <w:spacing w:line="400" w:lineRule="exact"/>
              <w:jc w:val="center"/>
              <w:rPr>
                <w:rFonts w:ascii="仿宋" w:hAnsi="仿宋" w:eastAsia="仿宋"/>
                <w:b/>
                <w:sz w:val="13"/>
                <w:szCs w:val="13"/>
              </w:rPr>
            </w:pPr>
          </w:p>
        </w:tc>
      </w:tr>
      <w:tr w14:paraId="63668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1929E52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79C689EE">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73063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E9B6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43C991">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937837">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16759">
            <w:pPr>
              <w:snapToGrid w:val="0"/>
              <w:spacing w:line="400" w:lineRule="exact"/>
              <w:jc w:val="center"/>
              <w:rPr>
                <w:rFonts w:ascii="仿宋" w:hAnsi="仿宋" w:eastAsia="仿宋"/>
                <w:b/>
                <w:sz w:val="24"/>
                <w:szCs w:val="24"/>
              </w:rPr>
            </w:pPr>
          </w:p>
        </w:tc>
      </w:tr>
      <w:tr w14:paraId="566B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778C07CD">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70E2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2F51944">
            <w:pPr>
              <w:snapToGrid w:val="0"/>
              <w:rPr>
                <w:rFonts w:ascii="仿宋" w:hAnsi="仿宋" w:eastAsia="仿宋"/>
                <w:sz w:val="24"/>
                <w:szCs w:val="24"/>
              </w:rPr>
            </w:pPr>
            <w:r>
              <w:rPr>
                <w:rFonts w:hint="eastAsia" w:ascii="仿宋" w:hAnsi="仿宋" w:eastAsia="仿宋"/>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494C0A69">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6984AFA">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18D237F">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014CC387">
      <w:pPr>
        <w:snapToGrid w:val="0"/>
        <w:spacing w:line="360" w:lineRule="auto"/>
        <w:rPr>
          <w:rFonts w:ascii="仿宋" w:hAnsi="仿宋" w:eastAsia="仿宋"/>
          <w:sz w:val="30"/>
          <w:szCs w:val="30"/>
        </w:rPr>
      </w:pPr>
    </w:p>
    <w:p w14:paraId="3F8CC42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ED6DB96">
      <w:pPr>
        <w:pStyle w:val="29"/>
        <w:snapToGrid w:val="0"/>
        <w:spacing w:before="120" w:after="120" w:line="240" w:lineRule="auto"/>
        <w:ind w:firstLine="2168" w:firstLineChars="600"/>
        <w:rPr>
          <w:rFonts w:hint="eastAsia" w:hAnsi="宋体"/>
          <w:b/>
          <w:sz w:val="36"/>
          <w:szCs w:val="36"/>
        </w:rPr>
      </w:pPr>
    </w:p>
    <w:p w14:paraId="7A841FA6">
      <w:pPr>
        <w:pStyle w:val="29"/>
        <w:snapToGrid w:val="0"/>
        <w:spacing w:before="120" w:after="120" w:line="240" w:lineRule="auto"/>
        <w:ind w:firstLine="2168" w:firstLineChars="600"/>
        <w:rPr>
          <w:rFonts w:hint="eastAsia" w:hAnsi="宋体"/>
          <w:b/>
          <w:sz w:val="36"/>
          <w:szCs w:val="36"/>
        </w:rPr>
      </w:pPr>
    </w:p>
    <w:p w14:paraId="0A8382A6">
      <w:pPr>
        <w:pStyle w:val="29"/>
        <w:snapToGrid w:val="0"/>
        <w:spacing w:before="120" w:after="120" w:line="240" w:lineRule="auto"/>
        <w:ind w:firstLine="2168" w:firstLineChars="600"/>
        <w:rPr>
          <w:rFonts w:hint="eastAsia" w:hAnsi="宋体"/>
          <w:b/>
          <w:sz w:val="36"/>
          <w:szCs w:val="36"/>
        </w:rPr>
      </w:pPr>
    </w:p>
    <w:p w14:paraId="4C49F392">
      <w:pPr>
        <w:pStyle w:val="29"/>
        <w:snapToGrid w:val="0"/>
        <w:spacing w:before="120" w:after="120" w:line="240" w:lineRule="auto"/>
        <w:ind w:firstLine="2168" w:firstLineChars="600"/>
        <w:rPr>
          <w:rFonts w:hint="eastAsia" w:hAnsi="宋体"/>
          <w:b/>
          <w:sz w:val="36"/>
          <w:szCs w:val="36"/>
        </w:rPr>
      </w:pPr>
    </w:p>
    <w:p w14:paraId="2E902032">
      <w:pPr>
        <w:pStyle w:val="29"/>
        <w:snapToGrid w:val="0"/>
        <w:spacing w:before="120" w:after="120" w:line="240" w:lineRule="auto"/>
        <w:ind w:firstLine="2168" w:firstLineChars="600"/>
        <w:rPr>
          <w:rFonts w:hint="eastAsia" w:hAnsi="宋体"/>
          <w:b/>
          <w:sz w:val="36"/>
          <w:szCs w:val="36"/>
        </w:rPr>
      </w:pPr>
    </w:p>
    <w:p w14:paraId="6D248F65">
      <w:pPr>
        <w:pStyle w:val="29"/>
        <w:snapToGrid w:val="0"/>
        <w:spacing w:before="120" w:after="120" w:line="240" w:lineRule="auto"/>
        <w:ind w:firstLine="2168" w:firstLineChars="600"/>
        <w:rPr>
          <w:rFonts w:hint="eastAsia" w:hAnsi="宋体"/>
          <w:b/>
          <w:sz w:val="36"/>
          <w:szCs w:val="36"/>
        </w:rPr>
      </w:pPr>
    </w:p>
    <w:p w14:paraId="4F3F3561">
      <w:pPr>
        <w:pStyle w:val="29"/>
        <w:snapToGrid w:val="0"/>
        <w:spacing w:before="120" w:after="120" w:line="240" w:lineRule="auto"/>
        <w:ind w:firstLine="2168" w:firstLineChars="600"/>
        <w:rPr>
          <w:rFonts w:hint="eastAsia" w:hAnsi="宋体"/>
          <w:b/>
          <w:sz w:val="36"/>
          <w:szCs w:val="36"/>
        </w:rPr>
      </w:pPr>
    </w:p>
    <w:p w14:paraId="076DBE5A">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5C2A0B4">
      <w:pPr>
        <w:pStyle w:val="29"/>
        <w:snapToGrid w:val="0"/>
        <w:spacing w:before="120" w:after="120" w:line="240" w:lineRule="auto"/>
        <w:ind w:firstLine="1084" w:firstLineChars="300"/>
        <w:jc w:val="center"/>
        <w:rPr>
          <w:rFonts w:ascii="仿宋" w:hAnsi="仿宋" w:eastAsia="仿宋"/>
          <w:b/>
          <w:sz w:val="36"/>
          <w:szCs w:val="36"/>
        </w:rPr>
      </w:pPr>
    </w:p>
    <w:p w14:paraId="3663E5D9">
      <w:pPr>
        <w:snapToGrid w:val="0"/>
        <w:rPr>
          <w:rFonts w:ascii="仿宋" w:hAnsi="仿宋" w:eastAsia="仿宋"/>
          <w:sz w:val="28"/>
          <w:szCs w:val="28"/>
        </w:rPr>
      </w:pPr>
      <w:r>
        <w:rPr>
          <w:rFonts w:hint="eastAsia" w:ascii="仿宋" w:hAnsi="仿宋" w:eastAsia="仿宋"/>
          <w:sz w:val="28"/>
          <w:szCs w:val="28"/>
        </w:rPr>
        <w:t>响应方全称（公章）：</w:t>
      </w:r>
    </w:p>
    <w:p w14:paraId="4D7850AA">
      <w:pPr>
        <w:snapToGrid w:val="0"/>
        <w:rPr>
          <w:rFonts w:ascii="仿宋" w:hAnsi="仿宋" w:eastAsia="仿宋"/>
          <w:sz w:val="28"/>
          <w:szCs w:val="28"/>
        </w:rPr>
      </w:pPr>
    </w:p>
    <w:p w14:paraId="728BEE00">
      <w:pPr>
        <w:snapToGrid w:val="0"/>
        <w:rPr>
          <w:rFonts w:ascii="仿宋" w:hAnsi="仿宋" w:eastAsia="仿宋"/>
          <w:b/>
          <w:sz w:val="28"/>
          <w:szCs w:val="28"/>
          <w:u w:val="single"/>
        </w:rPr>
      </w:pPr>
      <w:r>
        <w:rPr>
          <w:rFonts w:hint="eastAsia" w:ascii="仿宋" w:hAnsi="仿宋" w:eastAsia="仿宋"/>
          <w:sz w:val="28"/>
          <w:szCs w:val="28"/>
        </w:rPr>
        <w:t>项目编号及标项：</w:t>
      </w:r>
    </w:p>
    <w:p w14:paraId="783E47EA">
      <w:pPr>
        <w:snapToGrid w:val="0"/>
        <w:rPr>
          <w:rFonts w:ascii="仿宋" w:hAnsi="仿宋" w:eastAsia="仿宋"/>
          <w:b/>
          <w:sz w:val="24"/>
          <w:szCs w:val="24"/>
          <w:u w:val="single"/>
        </w:rPr>
      </w:pPr>
    </w:p>
    <w:p w14:paraId="0CE4CEF7">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19482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685427D7">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495A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50E328F2">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2BE6C38A">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28EB196A">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1B791275">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48E4FB66">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0" w:type="auto"/>
            <w:tcBorders>
              <w:top w:val="single" w:color="auto" w:sz="4" w:space="0"/>
              <w:left w:val="single" w:color="auto" w:sz="4" w:space="0"/>
              <w:bottom w:val="nil"/>
              <w:right w:val="single" w:color="auto" w:sz="4" w:space="0"/>
            </w:tcBorders>
            <w:vAlign w:val="center"/>
          </w:tcPr>
          <w:p w14:paraId="1FF57F9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2361A212"/>
          <w:p w14:paraId="2644662B"/>
          <w:p w14:paraId="1145E180"/>
          <w:p w14:paraId="6221673E">
            <w:pPr>
              <w:snapToGrid w:val="0"/>
              <w:spacing w:line="400" w:lineRule="exact"/>
              <w:jc w:val="center"/>
              <w:rPr>
                <w:rFonts w:ascii="仿宋" w:hAnsi="仿宋" w:eastAsia="仿宋"/>
                <w:b/>
                <w:sz w:val="13"/>
                <w:szCs w:val="13"/>
              </w:rPr>
            </w:pPr>
          </w:p>
        </w:tc>
      </w:tr>
      <w:tr w14:paraId="58A1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0A422362">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53C42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9D25CD">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A251B6">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09961">
            <w:pPr>
              <w:snapToGrid w:val="0"/>
              <w:spacing w:line="400" w:lineRule="exact"/>
              <w:jc w:val="center"/>
              <w:rPr>
                <w:rFonts w:ascii="仿宋" w:hAnsi="仿宋" w:eastAsia="仿宋"/>
                <w:b/>
                <w:sz w:val="24"/>
                <w:szCs w:val="24"/>
              </w:rPr>
            </w:pPr>
          </w:p>
        </w:tc>
      </w:tr>
      <w:tr w14:paraId="0698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5A183A51">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417B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159F103">
            <w:pPr>
              <w:snapToGrid w:val="0"/>
              <w:rPr>
                <w:rFonts w:ascii="仿宋" w:hAnsi="仿宋" w:eastAsia="仿宋"/>
                <w:sz w:val="24"/>
                <w:szCs w:val="24"/>
              </w:rPr>
            </w:pPr>
            <w:r>
              <w:rPr>
                <w:rFonts w:hint="eastAsia" w:ascii="仿宋" w:hAnsi="仿宋" w:eastAsia="仿宋"/>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477C455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EEBD5D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A29D563">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76DFB119">
      <w:pPr>
        <w:snapToGrid w:val="0"/>
        <w:spacing w:line="400" w:lineRule="exact"/>
        <w:jc w:val="left"/>
        <w:rPr>
          <w:rFonts w:ascii="仿宋" w:hAnsi="仿宋" w:eastAsia="仿宋"/>
          <w:sz w:val="28"/>
          <w:szCs w:val="28"/>
        </w:rPr>
      </w:pPr>
    </w:p>
    <w:p w14:paraId="0D29025D">
      <w:pPr>
        <w:snapToGrid w:val="0"/>
        <w:spacing w:line="360" w:lineRule="auto"/>
        <w:rPr>
          <w:rFonts w:ascii="仿宋" w:hAnsi="仿宋" w:eastAsia="仿宋"/>
          <w:sz w:val="30"/>
          <w:szCs w:val="30"/>
        </w:rPr>
      </w:pPr>
      <w:r>
        <w:rPr>
          <w:rFonts w:hint="eastAsia" w:ascii="仿宋" w:hAnsi="仿宋" w:eastAsia="仿宋"/>
          <w:sz w:val="28"/>
          <w:szCs w:val="28"/>
        </w:rPr>
        <w:t>授权代表签名：                              日期：</w:t>
      </w:r>
      <w:r>
        <w:rPr>
          <w:rFonts w:hint="eastAsia" w:ascii="仿宋" w:hAnsi="仿宋" w:eastAsia="仿宋"/>
          <w:sz w:val="30"/>
          <w:szCs w:val="30"/>
        </w:rPr>
        <w:br w:type="page"/>
      </w:r>
    </w:p>
    <w:p w14:paraId="3924D091">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7A41CDFD">
      <w:pPr>
        <w:pStyle w:val="29"/>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0D38470">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3B7C7004">
      <w:pPr>
        <w:snapToGrid w:val="0"/>
        <w:rPr>
          <w:rFonts w:ascii="仿宋" w:hAnsi="仿宋" w:eastAsia="仿宋"/>
          <w:color w:val="000000" w:themeColor="text1"/>
          <w:sz w:val="28"/>
          <w:szCs w:val="28"/>
          <w14:textFill>
            <w14:solidFill>
              <w14:schemeClr w14:val="tx1"/>
            </w14:solidFill>
          </w14:textFill>
        </w:rPr>
      </w:pPr>
    </w:p>
    <w:p w14:paraId="0203C26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1E7DF304">
      <w:pPr>
        <w:snapToGrid w:val="0"/>
        <w:rPr>
          <w:rFonts w:ascii="仿宋" w:hAnsi="仿宋" w:eastAsia="仿宋"/>
          <w:b/>
          <w:color w:val="000000" w:themeColor="text1"/>
          <w:sz w:val="24"/>
          <w:szCs w:val="24"/>
          <w:u w:val="single"/>
          <w14:textFill>
            <w14:solidFill>
              <w14:schemeClr w14:val="tx1"/>
            </w14:solidFill>
          </w14:textFill>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02A4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641576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2240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453F7B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kern w:val="2"/>
                <w:sz w:val="24"/>
                <w:szCs w:val="24"/>
                <w14:textFill>
                  <w14:solidFill>
                    <w14:schemeClr w14:val="tx1"/>
                  </w14:solidFill>
                </w14:textFill>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629D572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0" w:type="auto"/>
            <w:tcBorders>
              <w:top w:val="single" w:color="auto" w:sz="4" w:space="0"/>
              <w:left w:val="single" w:color="auto" w:sz="4" w:space="0"/>
              <w:bottom w:val="nil"/>
              <w:right w:val="single" w:color="auto" w:sz="4" w:space="0"/>
            </w:tcBorders>
            <w:vAlign w:val="center"/>
          </w:tcPr>
          <w:p w14:paraId="707AF9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0" w:type="auto"/>
            <w:tcBorders>
              <w:top w:val="single" w:color="auto" w:sz="4" w:space="0"/>
              <w:left w:val="single" w:color="auto" w:sz="4" w:space="0"/>
              <w:bottom w:val="nil"/>
              <w:right w:val="single" w:color="auto" w:sz="4" w:space="0"/>
            </w:tcBorders>
            <w:vAlign w:val="center"/>
          </w:tcPr>
          <w:p w14:paraId="674ABCC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0" w:type="auto"/>
            <w:tcBorders>
              <w:top w:val="single" w:color="auto" w:sz="4" w:space="0"/>
              <w:left w:val="single" w:color="auto" w:sz="4" w:space="0"/>
              <w:bottom w:val="nil"/>
              <w:right w:val="single" w:color="auto" w:sz="4" w:space="0"/>
            </w:tcBorders>
            <w:vAlign w:val="center"/>
          </w:tcPr>
          <w:p w14:paraId="2D4505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0" w:type="auto"/>
            <w:tcBorders>
              <w:top w:val="single" w:color="auto" w:sz="4" w:space="0"/>
              <w:left w:val="single" w:color="auto" w:sz="4" w:space="0"/>
              <w:bottom w:val="nil"/>
              <w:right w:val="single" w:color="auto" w:sz="4" w:space="0"/>
            </w:tcBorders>
            <w:vAlign w:val="center"/>
          </w:tcPr>
          <w:p w14:paraId="40E30E0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p w14:paraId="61918749"/>
          <w:p w14:paraId="128FD3E9"/>
          <w:p w14:paraId="6DABC50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4CF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2287CD1B">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B3C3795">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1AD6D4A3">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CF4872E">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84E2017">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08C46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65E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3CE658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575375A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36ECB3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C62C9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01A055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6AD6D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C70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453A804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754C8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564E9E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59718984">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CAE00E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13C3DA5">
            <w:pPr>
              <w:snapToGrid w:val="0"/>
              <w:rPr>
                <w:rFonts w:hint="default" w:ascii="仿宋" w:hAnsi="仿宋" w:eastAsia="仿宋"/>
                <w:sz w:val="24"/>
                <w:szCs w:val="24"/>
                <w:lang w:val="en-US" w:eastAsia="zh-CN"/>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2258A649">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3428DB64">
      <w:pPr>
        <w:widowControl/>
        <w:snapToGrid w:val="0"/>
        <w:spacing w:line="400" w:lineRule="exact"/>
        <w:jc w:val="left"/>
        <w:rPr>
          <w:rFonts w:ascii="宋体" w:cs="Arial"/>
          <w:color w:val="000000" w:themeColor="text1"/>
          <w:kern w:val="0"/>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20A698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4EDDCEC">
      <w:pPr>
        <w:pStyle w:val="29"/>
        <w:snapToGrid w:val="0"/>
        <w:spacing w:before="120" w:after="120" w:line="240" w:lineRule="auto"/>
        <w:jc w:val="center"/>
        <w:rPr>
          <w:rFonts w:hAnsi="宋体"/>
          <w:b/>
          <w:sz w:val="36"/>
          <w:szCs w:val="36"/>
        </w:rPr>
      </w:pPr>
    </w:p>
    <w:p w14:paraId="774D647D">
      <w:pPr>
        <w:pStyle w:val="29"/>
        <w:snapToGrid w:val="0"/>
        <w:spacing w:before="120" w:after="120" w:line="240" w:lineRule="auto"/>
        <w:jc w:val="center"/>
        <w:rPr>
          <w:rFonts w:hAnsi="宋体"/>
          <w:b/>
          <w:sz w:val="36"/>
          <w:szCs w:val="36"/>
        </w:rPr>
      </w:pPr>
    </w:p>
    <w:p w14:paraId="097F7D4E">
      <w:pPr>
        <w:pStyle w:val="29"/>
        <w:snapToGrid w:val="0"/>
        <w:spacing w:before="120" w:after="120" w:line="240" w:lineRule="auto"/>
        <w:jc w:val="center"/>
        <w:rPr>
          <w:rFonts w:hAnsi="宋体"/>
          <w:b/>
          <w:sz w:val="36"/>
          <w:szCs w:val="36"/>
        </w:rPr>
      </w:pPr>
    </w:p>
    <w:p w14:paraId="56BE6355">
      <w:pPr>
        <w:pStyle w:val="29"/>
        <w:snapToGrid w:val="0"/>
        <w:spacing w:before="120" w:after="120" w:line="240" w:lineRule="auto"/>
        <w:jc w:val="center"/>
        <w:rPr>
          <w:rFonts w:hAnsi="宋体"/>
          <w:b/>
          <w:sz w:val="36"/>
          <w:szCs w:val="36"/>
        </w:rPr>
      </w:pPr>
    </w:p>
    <w:p w14:paraId="55865B09">
      <w:pPr>
        <w:pStyle w:val="29"/>
        <w:snapToGrid w:val="0"/>
        <w:spacing w:before="120" w:after="120" w:line="240" w:lineRule="auto"/>
        <w:jc w:val="center"/>
        <w:rPr>
          <w:rFonts w:hAnsi="宋体"/>
          <w:b/>
          <w:sz w:val="36"/>
          <w:szCs w:val="36"/>
        </w:rPr>
      </w:pPr>
    </w:p>
    <w:p w14:paraId="7F4CBC2A">
      <w:pPr>
        <w:pStyle w:val="29"/>
        <w:snapToGrid w:val="0"/>
        <w:spacing w:before="120" w:after="120" w:line="240" w:lineRule="auto"/>
        <w:jc w:val="center"/>
        <w:rPr>
          <w:rFonts w:hAnsi="宋体"/>
          <w:b/>
          <w:sz w:val="36"/>
          <w:szCs w:val="36"/>
        </w:rPr>
      </w:pPr>
    </w:p>
    <w:p w14:paraId="61B17D93"/>
    <w:p w14:paraId="3FD9B721"/>
    <w:p w14:paraId="0711D712"/>
    <w:p w14:paraId="4016C049"/>
    <w:p w14:paraId="6044B5E8">
      <w:bookmarkStart w:id="107" w:name="_GoBack"/>
      <w:bookmarkEnd w:id="107"/>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SimSun-853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21B7">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D5C7">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EDD5C7">
                    <w:pPr>
                      <w:pStyle w:val="3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06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6A95">
                          <w:pPr>
                            <w:pStyle w:val="36"/>
                            <w:rPr>
                              <w:sz w:val="22"/>
                              <w:szCs w:val="36"/>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65pt;width:9.05pt;mso-position-horizontal:center;mso-position-horizontal-relative:margin;mso-wrap-style:none;z-index:251659264;mso-width-relative:page;mso-height-relative:page;" filled="f" stroked="f" coordsize="21600,21600" o:gfxdata="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AYO30gAAAAMBAAAPAAAAAAAAAAEAIAAAACIAAABkcnMvZG93bnJldi54bWxQSwECFAAU&#10;AAAACACHTuJAUiLNoTACAABTBAAADgAAAAAAAAABACAAAAAhAQAAZHJzL2Uyb0RvYy54bWxQSwUG&#10;AAAAAAYABgBZAQAAwwUAAAAA&#10;">
              <v:fill on="f" focussize="0,0"/>
              <v:stroke on="f" weight="0.5pt"/>
              <v:imagedata o:title=""/>
              <o:lock v:ext="edit" aspectratio="f"/>
              <v:textbox inset="0mm,0mm,0mm,0mm" style="mso-fit-shape-to-text:t;">
                <w:txbxContent>
                  <w:p w14:paraId="219E6A95">
                    <w:pPr>
                      <w:pStyle w:val="36"/>
                      <w:rPr>
                        <w:sz w:val="22"/>
                        <w:szCs w:val="36"/>
                      </w:rPr>
                    </w:pPr>
                  </w:p>
                </w:txbxContent>
              </v:textbox>
            </v:shape>
          </w:pict>
        </mc:Fallback>
      </mc:AlternateContent>
    </w:r>
  </w:p>
  <w:p w14:paraId="6669329F">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8C11">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AAC9F">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A2AAC9F">
                    <w:pPr>
                      <w:pStyle w:val="3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06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5F626">
                          <w:pPr>
                            <w:pStyle w:val="36"/>
                            <w:rPr>
                              <w:sz w:val="22"/>
                              <w:szCs w:val="36"/>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65pt;width:9.05pt;mso-position-horizontal:center;mso-position-horizontal-relative:margin;mso-wrap-style:none;z-index:251659264;mso-width-relative:page;mso-height-relative:page;" filled="f" stroked="f" coordsize="21600,21600" o:gfxdata="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AYO30gAAAAMBAAAPAAAAAAAAAAEAIAAAACIAAABkcnMvZG93bnJldi54bWxQSwECFAAU&#10;AAAACACHTuJA2I1nAjACAABTBAAADgAAAAAAAAABACAAAAAhAQAAZHJzL2Uyb0RvYy54bWxQSwUG&#10;AAAAAAYABgBZAQAAwwUAAAAA&#10;">
              <v:fill on="f" focussize="0,0"/>
              <v:stroke on="f" weight="0.5pt"/>
              <v:imagedata o:title=""/>
              <o:lock v:ext="edit" aspectratio="f"/>
              <v:textbox inset="0mm,0mm,0mm,0mm" style="mso-fit-shape-to-text:t;">
                <w:txbxContent>
                  <w:p w14:paraId="5E65F626">
                    <w:pPr>
                      <w:pStyle w:val="36"/>
                      <w:rPr>
                        <w:sz w:val="22"/>
                        <w:szCs w:val="36"/>
                      </w:rPr>
                    </w:pPr>
                  </w:p>
                </w:txbxContent>
              </v:textbox>
            </v:shape>
          </w:pict>
        </mc:Fallback>
      </mc:AlternateContent>
    </w:r>
  </w:p>
  <w:p w14:paraId="6C407F0B">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8739">
    <w:pPr>
      <w:pStyle w:val="36"/>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452675BA">
    <w:pPr>
      <w:pStyle w:val="36"/>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6"/>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6"/>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A9382"/>
    <w:multiLevelType w:val="singleLevel"/>
    <w:tmpl w:val="E85A9382"/>
    <w:lvl w:ilvl="0" w:tentative="0">
      <w:start w:val="1"/>
      <w:numFmt w:val="decimal"/>
      <w:lvlText w:val="%1."/>
      <w:lvlJc w:val="left"/>
      <w:pPr>
        <w:tabs>
          <w:tab w:val="left" w:pos="312"/>
        </w:tabs>
      </w:pPr>
    </w:lvl>
  </w:abstractNum>
  <w:abstractNum w:abstractNumId="1">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4"/>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7"/>
      <w:lvlText w:val="%1."/>
      <w:lvlJc w:val="left"/>
      <w:pPr>
        <w:ind w:left="420" w:hanging="420"/>
      </w:pPr>
      <w:rPr>
        <w:rFonts w:hint="eastAsia"/>
      </w:rPr>
    </w:lvl>
    <w:lvl w:ilvl="1" w:tentative="0">
      <w:start w:val="1"/>
      <w:numFmt w:val="lowerLetter"/>
      <w:pStyle w:val="4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2F1F951"/>
    <w:multiLevelType w:val="singleLevel"/>
    <w:tmpl w:val="02F1F951"/>
    <w:lvl w:ilvl="0" w:tentative="0">
      <w:start w:val="1"/>
      <w:numFmt w:val="decimal"/>
      <w:lvlText w:val="%1."/>
      <w:lvlJc w:val="left"/>
      <w:pPr>
        <w:tabs>
          <w:tab w:val="left" w:pos="312"/>
        </w:tabs>
      </w:pPr>
    </w:lvl>
  </w:abstractNum>
  <w:abstractNum w:abstractNumId="5">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645"/>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E963F26"/>
    <w:multiLevelType w:val="multilevel"/>
    <w:tmpl w:val="0E963F26"/>
    <w:lvl w:ilvl="0" w:tentative="0">
      <w:start w:val="1"/>
      <w:numFmt w:val="decimal"/>
      <w:lvlText w:val="%1."/>
      <w:lvlJc w:val="left"/>
      <w:pPr>
        <w:ind w:left="360" w:hanging="36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1526068F"/>
    <w:multiLevelType w:val="multilevel"/>
    <w:tmpl w:val="1526068F"/>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18A777E8"/>
    <w:multiLevelType w:val="multilevel"/>
    <w:tmpl w:val="18A777E8"/>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510"/>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6"/>
      <w:isLgl/>
      <w:lvlText w:val="%1.%2"/>
      <w:lvlJc w:val="left"/>
      <w:pPr>
        <w:tabs>
          <w:tab w:val="left" w:pos="851"/>
        </w:tabs>
        <w:ind w:left="0" w:firstLine="0"/>
      </w:pPr>
    </w:lvl>
    <w:lvl w:ilvl="2" w:tentative="0">
      <w:start w:val="1"/>
      <w:numFmt w:val="decimal"/>
      <w:pStyle w:val="40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2">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E406B1"/>
    <w:multiLevelType w:val="multilevel"/>
    <w:tmpl w:val="36E406B1"/>
    <w:lvl w:ilvl="0" w:tentative="0">
      <w:start w:val="1"/>
      <w:numFmt w:val="bullet"/>
      <w:pStyle w:val="42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5">
    <w:nsid w:val="492B27CE"/>
    <w:multiLevelType w:val="multilevel"/>
    <w:tmpl w:val="492B27CE"/>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6">
    <w:nsid w:val="4AF31D51"/>
    <w:multiLevelType w:val="multilevel"/>
    <w:tmpl w:val="4AF31D51"/>
    <w:lvl w:ilvl="0" w:tentative="0">
      <w:start w:val="1"/>
      <w:numFmt w:val="bullet"/>
      <w:pStyle w:val="4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7">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9">
    <w:nsid w:val="54267737"/>
    <w:multiLevelType w:val="multilevel"/>
    <w:tmpl w:val="54267737"/>
    <w:lvl w:ilvl="0" w:tentative="0">
      <w:start w:val="1"/>
      <w:numFmt w:val="bullet"/>
      <w:pStyle w:val="51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57D42F0F"/>
    <w:multiLevelType w:val="multilevel"/>
    <w:tmpl w:val="57D42F0F"/>
    <w:lvl w:ilvl="0" w:tentative="0">
      <w:start w:val="1"/>
      <w:numFmt w:val="decimal"/>
      <w:suff w:val="nothing"/>
      <w:lvlText w:val="%1."/>
      <w:lvlJc w:val="left"/>
      <w:pPr>
        <w:ind w:left="0" w:firstLine="0"/>
      </w:pPr>
      <w:rPr>
        <w:rFonts w:hint="eastAsia" w:ascii="宋体" w:hAnsi="宋体" w:eastAsia="宋体"/>
      </w:rPr>
    </w:lvl>
    <w:lvl w:ilvl="1" w:tentative="0">
      <w:start w:val="1"/>
      <w:numFmt w:val="decimal"/>
      <w:suff w:val="nothing"/>
      <w:lvlText w:val="%2."/>
      <w:lvlJc w:val="left"/>
      <w:pPr>
        <w:ind w:left="1440" w:hanging="360"/>
      </w:pPr>
      <w:rPr>
        <w:rFonts w:hint="eastAsia" w:ascii="宋体" w:hAnsi="宋体" w:eastAsia="宋体"/>
      </w:rPr>
    </w:lvl>
    <w:lvl w:ilvl="2" w:tentative="0">
      <w:start w:val="1"/>
      <w:numFmt w:val="decimal"/>
      <w:lvlText w:val="%3."/>
      <w:lvlJc w:val="left"/>
      <w:pPr>
        <w:tabs>
          <w:tab w:val="left" w:pos="2160"/>
        </w:tabs>
        <w:ind w:left="2160" w:hanging="360"/>
      </w:pPr>
      <w:rPr>
        <w:rFonts w:hint="eastAsia" w:ascii="宋体" w:hAnsi="宋体" w:eastAsia="宋体"/>
      </w:rPr>
    </w:lvl>
    <w:lvl w:ilvl="3" w:tentative="0">
      <w:start w:val="1"/>
      <w:numFmt w:val="decimal"/>
      <w:lvlText w:val="%4."/>
      <w:lvlJc w:val="left"/>
      <w:pPr>
        <w:tabs>
          <w:tab w:val="left" w:pos="2880"/>
        </w:tabs>
        <w:ind w:left="2880" w:hanging="360"/>
      </w:pPr>
      <w:rPr>
        <w:rFonts w:hint="eastAsia" w:ascii="宋体" w:hAnsi="宋体" w:eastAsia="宋体"/>
      </w:rPr>
    </w:lvl>
    <w:lvl w:ilvl="4" w:tentative="0">
      <w:start w:val="1"/>
      <w:numFmt w:val="decimal"/>
      <w:lvlText w:val="%5."/>
      <w:lvlJc w:val="left"/>
      <w:pPr>
        <w:tabs>
          <w:tab w:val="left" w:pos="3600"/>
        </w:tabs>
        <w:ind w:left="3600" w:hanging="360"/>
      </w:pPr>
      <w:rPr>
        <w:rFonts w:hint="eastAsia" w:ascii="宋体" w:hAnsi="宋体" w:eastAsia="宋体"/>
      </w:rPr>
    </w:lvl>
    <w:lvl w:ilvl="5" w:tentative="0">
      <w:start w:val="1"/>
      <w:numFmt w:val="decimal"/>
      <w:lvlText w:val="%6."/>
      <w:lvlJc w:val="left"/>
      <w:pPr>
        <w:tabs>
          <w:tab w:val="left" w:pos="4320"/>
        </w:tabs>
        <w:ind w:left="4320" w:hanging="360"/>
      </w:pPr>
      <w:rPr>
        <w:rFonts w:hint="eastAsia" w:ascii="宋体" w:hAnsi="宋体" w:eastAsia="宋体"/>
      </w:rPr>
    </w:lvl>
    <w:lvl w:ilvl="6" w:tentative="0">
      <w:start w:val="1"/>
      <w:numFmt w:val="decimal"/>
      <w:lvlText w:val="%7."/>
      <w:lvlJc w:val="left"/>
      <w:pPr>
        <w:tabs>
          <w:tab w:val="left" w:pos="5040"/>
        </w:tabs>
        <w:ind w:left="5040" w:hanging="360"/>
      </w:pPr>
      <w:rPr>
        <w:rFonts w:hint="eastAsia" w:ascii="宋体" w:hAnsi="宋体" w:eastAsia="宋体"/>
      </w:rPr>
    </w:lvl>
    <w:lvl w:ilvl="7" w:tentative="0">
      <w:start w:val="1"/>
      <w:numFmt w:val="decimal"/>
      <w:lvlText w:val="%8."/>
      <w:lvlJc w:val="left"/>
      <w:pPr>
        <w:tabs>
          <w:tab w:val="left" w:pos="5760"/>
        </w:tabs>
        <w:ind w:left="5760" w:hanging="360"/>
      </w:pPr>
      <w:rPr>
        <w:rFonts w:hint="eastAsia" w:ascii="宋体" w:hAnsi="宋体" w:eastAsia="宋体"/>
      </w:rPr>
    </w:lvl>
    <w:lvl w:ilvl="8" w:tentative="0">
      <w:start w:val="1"/>
      <w:numFmt w:val="decimal"/>
      <w:lvlText w:val="%9."/>
      <w:lvlJc w:val="left"/>
      <w:pPr>
        <w:tabs>
          <w:tab w:val="left" w:pos="6480"/>
        </w:tabs>
        <w:ind w:left="6480" w:hanging="360"/>
      </w:pPr>
      <w:rPr>
        <w:rFonts w:hint="eastAsia" w:ascii="宋体" w:hAnsi="宋体" w:eastAsia="宋体"/>
      </w:rPr>
    </w:lvl>
  </w:abstractNum>
  <w:abstractNum w:abstractNumId="22">
    <w:nsid w:val="58E8074C"/>
    <w:multiLevelType w:val="multilevel"/>
    <w:tmpl w:val="58E8074C"/>
    <w:lvl w:ilvl="0" w:tentative="0">
      <w:start w:val="1"/>
      <w:numFmt w:val="decimal"/>
      <w:pStyle w:val="47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67403E98"/>
    <w:multiLevelType w:val="singleLevel"/>
    <w:tmpl w:val="67403E98"/>
    <w:lvl w:ilvl="0" w:tentative="0">
      <w:start w:val="1"/>
      <w:numFmt w:val="bullet"/>
      <w:pStyle w:val="498"/>
      <w:lvlText w:val=""/>
      <w:lvlJc w:val="left"/>
      <w:pPr>
        <w:tabs>
          <w:tab w:val="left" w:pos="360"/>
        </w:tabs>
        <w:ind w:left="360" w:hanging="360"/>
      </w:pPr>
      <w:rPr>
        <w:rFonts w:hint="default" w:ascii="Symbol" w:hAnsi="Symbol"/>
      </w:rPr>
    </w:lvl>
  </w:abstractNum>
  <w:abstractNum w:abstractNumId="24">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5">
    <w:nsid w:val="783D10B8"/>
    <w:multiLevelType w:val="multilevel"/>
    <w:tmpl w:val="783D10B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8"/>
  </w:num>
  <w:num w:numId="3">
    <w:abstractNumId w:val="18"/>
  </w:num>
  <w:num w:numId="4">
    <w:abstractNumId w:val="14"/>
  </w:num>
  <w:num w:numId="5">
    <w:abstractNumId w:val="12"/>
  </w:num>
  <w:num w:numId="6">
    <w:abstractNumId w:val="17"/>
  </w:num>
  <w:num w:numId="7">
    <w:abstractNumId w:val="20"/>
  </w:num>
  <w:num w:numId="8">
    <w:abstractNumId w:val="9"/>
  </w:num>
  <w:num w:numId="9">
    <w:abstractNumId w:val="10"/>
  </w:num>
  <w:num w:numId="10">
    <w:abstractNumId w:val="11"/>
  </w:num>
  <w:num w:numId="11">
    <w:abstractNumId w:val="13"/>
  </w:num>
  <w:num w:numId="12">
    <w:abstractNumId w:val="16"/>
  </w:num>
  <w:num w:numId="13">
    <w:abstractNumId w:val="2"/>
  </w:num>
  <w:num w:numId="14">
    <w:abstractNumId w:val="3"/>
  </w:num>
  <w:num w:numId="15">
    <w:abstractNumId w:val="22"/>
  </w:num>
  <w:num w:numId="16">
    <w:abstractNumId w:val="23"/>
  </w:num>
  <w:num w:numId="17">
    <w:abstractNumId w:val="19"/>
  </w:num>
  <w:num w:numId="18">
    <w:abstractNumId w:val="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BF43A11"/>
    <w:rsid w:val="0CEB6D41"/>
    <w:rsid w:val="0EC07BC1"/>
    <w:rsid w:val="13403EA3"/>
    <w:rsid w:val="156173A0"/>
    <w:rsid w:val="158562DB"/>
    <w:rsid w:val="179518BE"/>
    <w:rsid w:val="1A093ADD"/>
    <w:rsid w:val="1B905946"/>
    <w:rsid w:val="1D9F56A6"/>
    <w:rsid w:val="1DB06C45"/>
    <w:rsid w:val="208B7A87"/>
    <w:rsid w:val="20967902"/>
    <w:rsid w:val="23046B45"/>
    <w:rsid w:val="23112215"/>
    <w:rsid w:val="25367690"/>
    <w:rsid w:val="26023BEC"/>
    <w:rsid w:val="2970130A"/>
    <w:rsid w:val="2A2655B6"/>
    <w:rsid w:val="2A270C6A"/>
    <w:rsid w:val="2A5063FA"/>
    <w:rsid w:val="2A6116D7"/>
    <w:rsid w:val="2BF93B9C"/>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284C33"/>
    <w:rsid w:val="3F5C36FF"/>
    <w:rsid w:val="407441CC"/>
    <w:rsid w:val="44B71CCD"/>
    <w:rsid w:val="452B6409"/>
    <w:rsid w:val="45BB1F3C"/>
    <w:rsid w:val="466C669C"/>
    <w:rsid w:val="47F20AC4"/>
    <w:rsid w:val="496E0687"/>
    <w:rsid w:val="4B171F8D"/>
    <w:rsid w:val="4C2B7286"/>
    <w:rsid w:val="4E4C0585"/>
    <w:rsid w:val="4F6E3FA7"/>
    <w:rsid w:val="51591101"/>
    <w:rsid w:val="51E51FEA"/>
    <w:rsid w:val="526F66CB"/>
    <w:rsid w:val="52D856E3"/>
    <w:rsid w:val="52ED6F99"/>
    <w:rsid w:val="547D09A9"/>
    <w:rsid w:val="54FB4AFB"/>
    <w:rsid w:val="56B10E2B"/>
    <w:rsid w:val="56BE21DD"/>
    <w:rsid w:val="58BE7724"/>
    <w:rsid w:val="593F3127"/>
    <w:rsid w:val="5B5B3870"/>
    <w:rsid w:val="5BEE4711"/>
    <w:rsid w:val="5E361A1F"/>
    <w:rsid w:val="5EAB6551"/>
    <w:rsid w:val="5EEB0A6C"/>
    <w:rsid w:val="5F3439DC"/>
    <w:rsid w:val="61724770"/>
    <w:rsid w:val="61DE18A1"/>
    <w:rsid w:val="63CC7C6D"/>
    <w:rsid w:val="63D619DB"/>
    <w:rsid w:val="65942C36"/>
    <w:rsid w:val="67567A94"/>
    <w:rsid w:val="69023BD7"/>
    <w:rsid w:val="699D5590"/>
    <w:rsid w:val="69E47ED2"/>
    <w:rsid w:val="6AD92158"/>
    <w:rsid w:val="6D7C5FAF"/>
    <w:rsid w:val="6DC555AF"/>
    <w:rsid w:val="6E130FEB"/>
    <w:rsid w:val="6FF909E0"/>
    <w:rsid w:val="705A1860"/>
    <w:rsid w:val="71B46619"/>
    <w:rsid w:val="74245119"/>
    <w:rsid w:val="76303EF4"/>
    <w:rsid w:val="76EA61BA"/>
    <w:rsid w:val="76F913BE"/>
    <w:rsid w:val="7B5D15F3"/>
    <w:rsid w:val="7C3073CD"/>
    <w:rsid w:val="7E36681D"/>
    <w:rsid w:val="7E676924"/>
    <w:rsid w:val="7F1A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79"/>
    <w:qFormat/>
    <w:uiPriority w:val="9"/>
    <w:pPr>
      <w:autoSpaceDE w:val="0"/>
      <w:autoSpaceDN w:val="0"/>
      <w:adjustRightInd w:val="0"/>
      <w:spacing w:line="360" w:lineRule="auto"/>
      <w:jc w:val="center"/>
      <w:outlineLvl w:val="0"/>
    </w:pPr>
    <w:rPr>
      <w:rFonts w:eastAsia="隶书"/>
      <w:kern w:val="0"/>
      <w:sz w:val="36"/>
      <w:szCs w:val="36"/>
    </w:rPr>
  </w:style>
  <w:style w:type="paragraph" w:styleId="4">
    <w:name w:val="heading 2"/>
    <w:basedOn w:val="5"/>
    <w:next w:val="6"/>
    <w:link w:val="124"/>
    <w:qFormat/>
    <w:uiPriority w:val="9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257"/>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unhideWhenUsed/>
    <w:qFormat/>
    <w:uiPriority w:val="0"/>
    <w:tblPr>
      <w:tblCellMar>
        <w:top w:w="0" w:type="dxa"/>
        <w:left w:w="108" w:type="dxa"/>
        <w:bottom w:w="0" w:type="dxa"/>
        <w:right w:w="108" w:type="dxa"/>
      </w:tblCellMar>
    </w:tblPr>
  </w:style>
  <w:style w:type="paragraph" w:styleId="3">
    <w:name w:val="Title"/>
    <w:basedOn w:val="1"/>
    <w:link w:val="73"/>
    <w:qFormat/>
    <w:uiPriority w:val="10"/>
    <w:pPr>
      <w:spacing w:before="240" w:after="60"/>
      <w:jc w:val="center"/>
      <w:outlineLvl w:val="0"/>
    </w:pPr>
    <w:rPr>
      <w:rFonts w:ascii="Arial" w:hAnsi="Arial"/>
      <w:b/>
      <w:bCs/>
      <w:sz w:val="32"/>
      <w:szCs w:val="32"/>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1"/>
    <w:qFormat/>
    <w:uiPriority w:val="0"/>
    <w:pPr>
      <w:ind w:firstLine="420"/>
    </w:pPr>
    <w:rPr>
      <w:szCs w:val="20"/>
    </w:rPr>
  </w:style>
  <w:style w:type="paragraph" w:styleId="16">
    <w:name w:val="caption"/>
    <w:basedOn w:val="1"/>
    <w:next w:val="1"/>
    <w:link w:val="633"/>
    <w:semiHidden/>
    <w:unhideWhenUsed/>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qFormat/>
    <w:uiPriority w:val="0"/>
    <w:rPr>
      <w:rFonts w:ascii="宋体"/>
      <w:sz w:val="18"/>
      <w:szCs w:val="18"/>
    </w:rPr>
  </w:style>
  <w:style w:type="paragraph" w:styleId="19">
    <w:name w:val="annotation text"/>
    <w:basedOn w:val="1"/>
    <w:link w:val="67"/>
    <w:qFormat/>
    <w:uiPriority w:val="0"/>
    <w:pPr>
      <w:jc w:val="left"/>
    </w:pPr>
  </w:style>
  <w:style w:type="paragraph" w:styleId="20">
    <w:name w:val="Salutation"/>
    <w:basedOn w:val="1"/>
    <w:next w:val="1"/>
    <w:link w:val="252"/>
    <w:qFormat/>
    <w:uiPriority w:val="0"/>
    <w:rPr>
      <w:rFonts w:ascii="宋体"/>
      <w:b/>
      <w:sz w:val="28"/>
      <w:szCs w:val="20"/>
    </w:rPr>
  </w:style>
  <w:style w:type="paragraph" w:styleId="21">
    <w:name w:val="Body Text 3"/>
    <w:basedOn w:val="1"/>
    <w:link w:val="248"/>
    <w:qFormat/>
    <w:uiPriority w:val="0"/>
    <w:pPr>
      <w:snapToGrid w:val="0"/>
      <w:spacing w:before="50" w:after="50"/>
    </w:pPr>
    <w:rPr>
      <w:rFonts w:hAnsi="宋体" w:eastAsia="仿宋_GB2312"/>
      <w:b/>
      <w:bCs/>
      <w:sz w:val="24"/>
      <w:szCs w:val="20"/>
    </w:rPr>
  </w:style>
  <w:style w:type="paragraph" w:styleId="22">
    <w:name w:val="Body Text"/>
    <w:basedOn w:val="1"/>
    <w:link w:val="82"/>
    <w:qFormat/>
    <w:uiPriority w:val="0"/>
    <w:pPr>
      <w:spacing w:after="120"/>
    </w:pPr>
    <w:rPr>
      <w:sz w:val="28"/>
      <w:szCs w:val="24"/>
    </w:rPr>
  </w:style>
  <w:style w:type="paragraph" w:styleId="23">
    <w:name w:val="Body Text Indent"/>
    <w:basedOn w:val="1"/>
    <w:link w:val="188"/>
    <w:semiHidden/>
    <w:unhideWhenUsed/>
    <w:qFormat/>
    <w:uiPriority w:val="99"/>
    <w:pPr>
      <w:spacing w:line="200" w:lineRule="exact"/>
      <w:ind w:firstLine="301"/>
    </w:pPr>
    <w:rPr>
      <w:rFonts w:ascii="宋体" w:hAnsi="Courier New"/>
      <w:spacing w:val="-4"/>
      <w:sz w:val="18"/>
      <w:szCs w:val="20"/>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Plain Text"/>
    <w:basedOn w:val="1"/>
    <w:link w:val="270"/>
    <w:qFormat/>
    <w:uiPriority w:val="0"/>
    <w:pPr>
      <w:spacing w:beforeLines="50" w:afterLines="50" w:line="400" w:lineRule="exact"/>
    </w:pPr>
    <w:rPr>
      <w:rFonts w:ascii="宋体" w:hAnsi="Courier New"/>
      <w:sz w:val="24"/>
      <w:szCs w:val="24"/>
    </w:rPr>
  </w:style>
  <w:style w:type="paragraph" w:styleId="30">
    <w:name w:val="List Bullet 5"/>
    <w:basedOn w:val="1"/>
    <w:qFormat/>
    <w:uiPriority w:val="0"/>
    <w:pPr>
      <w:tabs>
        <w:tab w:val="left" w:pos="780"/>
      </w:tabs>
      <w:ind w:left="780" w:hanging="420"/>
    </w:pPr>
    <w:rPr>
      <w:szCs w:val="24"/>
    </w:rPr>
  </w:style>
  <w:style w:type="paragraph" w:styleId="31">
    <w:name w:val="toc 8"/>
    <w:basedOn w:val="1"/>
    <w:next w:val="1"/>
    <w:qFormat/>
    <w:uiPriority w:val="0"/>
    <w:pPr>
      <w:spacing w:afterLines="50"/>
      <w:ind w:left="1470"/>
      <w:jc w:val="left"/>
    </w:pPr>
    <w:rPr>
      <w:snapToGrid w:val="0"/>
      <w:kern w:val="0"/>
      <w:sz w:val="18"/>
      <w:szCs w:val="18"/>
    </w:rPr>
  </w:style>
  <w:style w:type="paragraph" w:styleId="32">
    <w:name w:val="Date"/>
    <w:basedOn w:val="1"/>
    <w:next w:val="1"/>
    <w:link w:val="207"/>
    <w:qFormat/>
    <w:uiPriority w:val="0"/>
    <w:pPr>
      <w:ind w:left="2500" w:leftChars="2500"/>
    </w:pPr>
    <w:rPr>
      <w:rFonts w:eastAsia="楷体_GB2312"/>
      <w:sz w:val="32"/>
      <w:szCs w:val="20"/>
    </w:rPr>
  </w:style>
  <w:style w:type="paragraph" w:styleId="33">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4">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5">
    <w:name w:val="Balloon Text"/>
    <w:basedOn w:val="1"/>
    <w:link w:val="110"/>
    <w:qFormat/>
    <w:uiPriority w:val="0"/>
    <w:rPr>
      <w:sz w:val="18"/>
      <w:szCs w:val="18"/>
    </w:rPr>
  </w:style>
  <w:style w:type="paragraph" w:styleId="36">
    <w:name w:val="footer"/>
    <w:basedOn w:val="1"/>
    <w:link w:val="123"/>
    <w:qFormat/>
    <w:uiPriority w:val="0"/>
    <w:pPr>
      <w:tabs>
        <w:tab w:val="center" w:pos="4153"/>
        <w:tab w:val="right" w:pos="8306"/>
      </w:tabs>
      <w:snapToGrid w:val="0"/>
      <w:jc w:val="left"/>
    </w:pPr>
    <w:rPr>
      <w:sz w:val="18"/>
      <w:szCs w:val="18"/>
    </w:rPr>
  </w:style>
  <w:style w:type="paragraph" w:styleId="37">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rPr>
      <w:szCs w:val="24"/>
    </w:rPr>
  </w:style>
  <w:style w:type="paragraph" w:styleId="39">
    <w:name w:val="toc 4"/>
    <w:basedOn w:val="1"/>
    <w:next w:val="1"/>
    <w:qFormat/>
    <w:uiPriority w:val="0"/>
    <w:pPr>
      <w:ind w:left="1260" w:leftChars="600"/>
    </w:pPr>
  </w:style>
  <w:style w:type="paragraph" w:styleId="40">
    <w:name w:val="Subtitle"/>
    <w:basedOn w:val="1"/>
    <w:link w:val="231"/>
    <w:qFormat/>
    <w:uiPriority w:val="0"/>
    <w:pPr>
      <w:spacing w:afterLines="50"/>
      <w:jc w:val="center"/>
    </w:pPr>
    <w:rPr>
      <w:rFonts w:eastAsia="Times New Roman"/>
      <w:sz w:val="18"/>
      <w:szCs w:val="18"/>
    </w:rPr>
  </w:style>
  <w:style w:type="paragraph" w:styleId="41">
    <w:name w:val="List"/>
    <w:basedOn w:val="1"/>
    <w:qFormat/>
    <w:uiPriority w:val="0"/>
    <w:pPr>
      <w:ind w:left="200" w:hanging="200" w:hangingChars="200"/>
    </w:pPr>
    <w:rPr>
      <w:sz w:val="28"/>
      <w:szCs w:val="24"/>
    </w:rPr>
  </w:style>
  <w:style w:type="paragraph" w:styleId="42">
    <w:name w:val="footnote text"/>
    <w:basedOn w:val="1"/>
    <w:link w:val="168"/>
    <w:qFormat/>
    <w:uiPriority w:val="0"/>
    <w:pPr>
      <w:snapToGrid w:val="0"/>
      <w:jc w:val="left"/>
    </w:pPr>
    <w:rPr>
      <w:sz w:val="18"/>
      <w:szCs w:val="18"/>
    </w:rPr>
  </w:style>
  <w:style w:type="paragraph" w:styleId="43">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4">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5">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6">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7">
    <w:name w:val="HTML Preformatted"/>
    <w:basedOn w:val="1"/>
    <w:link w:val="247"/>
    <w:qFormat/>
    <w:uiPriority w:val="0"/>
    <w:rPr>
      <w:rFonts w:ascii="Courier New" w:hAnsi="Courier New"/>
      <w:sz w:val="20"/>
      <w:szCs w:val="20"/>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rPr>
      <w:szCs w:val="20"/>
    </w:rPr>
  </w:style>
  <w:style w:type="paragraph" w:styleId="50">
    <w:name w:val="annotation subject"/>
    <w:basedOn w:val="19"/>
    <w:next w:val="19"/>
    <w:link w:val="565"/>
    <w:qFormat/>
    <w:uiPriority w:val="0"/>
    <w:rPr>
      <w:b/>
      <w:bCs/>
    </w:rPr>
  </w:style>
  <w:style w:type="paragraph" w:styleId="51">
    <w:name w:val="Body Text First Indent"/>
    <w:basedOn w:val="22"/>
    <w:link w:val="639"/>
    <w:qFormat/>
    <w:uiPriority w:val="0"/>
    <w:pPr>
      <w:ind w:firstLine="420" w:firstLineChars="100"/>
    </w:pPr>
    <w:rPr>
      <w:rFonts w:ascii="Calibri" w:hAnsi="Calibri"/>
      <w:sz w:val="21"/>
      <w:szCs w:val="22"/>
    </w:rPr>
  </w:style>
  <w:style w:type="paragraph" w:styleId="52">
    <w:name w:val="Body Text First Indent 2"/>
    <w:basedOn w:val="23"/>
    <w:link w:val="640"/>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3"/>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2"/>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5"/>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6"/>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3"/>
    <w:qFormat/>
    <w:uiPriority w:val="99"/>
    <w:rPr>
      <w:rFonts w:ascii="仿宋_GB2312" w:hAnsi="宋体" w:eastAsia="仿宋_GB2312"/>
      <w:color w:val="000000"/>
      <w:kern w:val="2"/>
      <w:sz w:val="24"/>
      <w:szCs w:val="24"/>
    </w:rPr>
  </w:style>
  <w:style w:type="character" w:customStyle="1" w:styleId="141">
    <w:name w:val="标题 7 字符"/>
    <w:link w:val="9"/>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4"/>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2"/>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3"/>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2"/>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7"/>
    <w:qFormat/>
    <w:uiPriority w:val="99"/>
    <w:rPr>
      <w:kern w:val="2"/>
      <w:sz w:val="18"/>
      <w:szCs w:val="18"/>
    </w:rPr>
  </w:style>
  <w:style w:type="character" w:customStyle="1" w:styleId="210">
    <w:name w:val="正文文本 2 字符"/>
    <w:link w:val="46"/>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3"/>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40"/>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7"/>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9"/>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9"/>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3"/>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next w:val="351"/>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TOC 71"/>
    <w:basedOn w:val="1"/>
    <w:next w:val="1"/>
    <w:qFormat/>
    <w:uiPriority w:val="0"/>
    <w:pPr>
      <w:widowControl/>
      <w:wordWrap w:val="0"/>
      <w:spacing w:before="100" w:beforeAutospacing="1" w:after="100" w:afterAutospacing="1"/>
      <w:ind w:left="2550"/>
    </w:pPr>
    <w:rPr>
      <w:rFonts w:ascii="Calibri" w:hAnsi="Calibri" w:eastAsiaTheme="minorEastAsia" w:cstheme="minorBidi"/>
      <w:kern w:val="0"/>
      <w:szCs w:val="24"/>
    </w:rPr>
  </w:style>
  <w:style w:type="paragraph" w:customStyle="1" w:styleId="352">
    <w:name w:val="样式 样式 样式 标题 3Chapter X.X.X. + 段后: 0.5 行 + 段后: 0.5 行 + 段后: 0.5 行"/>
    <w:basedOn w:val="292"/>
    <w:qFormat/>
    <w:uiPriority w:val="99"/>
    <w:pPr>
      <w:spacing w:afterLines="0"/>
    </w:pPr>
  </w:style>
  <w:style w:type="paragraph" w:customStyle="1" w:styleId="353">
    <w:name w:val="默认段落字体 Para Char Char Char Char Char Char Char Char Char1 Char Char Char Char"/>
    <w:basedOn w:val="1"/>
    <w:qFormat/>
    <w:uiPriority w:val="99"/>
    <w:rPr>
      <w:rFonts w:ascii="Tahoma" w:hAnsi="Tahoma"/>
      <w:sz w:val="24"/>
      <w:szCs w:val="20"/>
    </w:rPr>
  </w:style>
  <w:style w:type="paragraph" w:customStyle="1" w:styleId="354">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6">
    <w:name w:val="Char1 Char Char Char"/>
    <w:basedOn w:val="1"/>
    <w:qFormat/>
    <w:uiPriority w:val="99"/>
    <w:rPr>
      <w:rFonts w:ascii="Tahoma" w:hAnsi="Tahoma"/>
      <w:sz w:val="24"/>
      <w:szCs w:val="20"/>
    </w:rPr>
  </w:style>
  <w:style w:type="paragraph" w:customStyle="1" w:styleId="357">
    <w:name w:val="缺省文本"/>
    <w:basedOn w:val="1"/>
    <w:qFormat/>
    <w:uiPriority w:val="99"/>
    <w:pPr>
      <w:autoSpaceDE w:val="0"/>
      <w:autoSpaceDN w:val="0"/>
      <w:adjustRightInd w:val="0"/>
      <w:jc w:val="left"/>
    </w:pPr>
    <w:rPr>
      <w:kern w:val="0"/>
      <w:sz w:val="24"/>
      <w:szCs w:val="20"/>
    </w:rPr>
  </w:style>
  <w:style w:type="paragraph" w:customStyle="1" w:styleId="358">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9">
    <w:name w:val="正文文本 New New"/>
    <w:basedOn w:val="360"/>
    <w:qFormat/>
    <w:uiPriority w:val="99"/>
    <w:pPr>
      <w:spacing w:after="120"/>
    </w:pPr>
    <w:rPr>
      <w:sz w:val="28"/>
      <w:szCs w:val="24"/>
    </w:rPr>
  </w:style>
  <w:style w:type="paragraph" w:customStyle="1" w:styleId="36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2">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3">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4">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5">
    <w:name w:val="正文段"/>
    <w:basedOn w:val="1"/>
    <w:qFormat/>
    <w:uiPriority w:val="99"/>
    <w:pPr>
      <w:widowControl/>
      <w:snapToGrid w:val="0"/>
      <w:spacing w:afterLines="50"/>
      <w:ind w:firstLine="200" w:firstLineChars="200"/>
    </w:pPr>
    <w:rPr>
      <w:kern w:val="0"/>
      <w:sz w:val="24"/>
      <w:szCs w:val="20"/>
    </w:rPr>
  </w:style>
  <w:style w:type="paragraph" w:customStyle="1" w:styleId="366">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8">
    <w:name w:val="Char"/>
    <w:basedOn w:val="1"/>
    <w:qFormat/>
    <w:uiPriority w:val="99"/>
    <w:rPr>
      <w:rFonts w:ascii="仿宋_GB2312" w:eastAsia="仿宋_GB2312"/>
      <w:b/>
      <w:sz w:val="32"/>
      <w:szCs w:val="32"/>
    </w:rPr>
  </w:style>
  <w:style w:type="paragraph" w:customStyle="1" w:styleId="369">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0">
    <w:name w:val="小四正文"/>
    <w:basedOn w:val="1"/>
    <w:qFormat/>
    <w:uiPriority w:val="99"/>
    <w:pPr>
      <w:spacing w:line="360" w:lineRule="auto"/>
      <w:ind w:firstLine="200" w:firstLineChars="200"/>
    </w:pPr>
    <w:rPr>
      <w:rFonts w:eastAsia="仿宋_GB2312" w:cs="宋体"/>
      <w:sz w:val="24"/>
      <w:szCs w:val="24"/>
    </w:rPr>
  </w:style>
  <w:style w:type="paragraph" w:customStyle="1" w:styleId="371">
    <w:name w:val="Char Char1 Char"/>
    <w:basedOn w:val="1"/>
    <w:qFormat/>
    <w:uiPriority w:val="99"/>
    <w:rPr>
      <w:rFonts w:ascii="仿宋_GB2312" w:eastAsia="仿宋_GB2312"/>
      <w:b/>
      <w:sz w:val="32"/>
      <w:szCs w:val="32"/>
    </w:rPr>
  </w:style>
  <w:style w:type="paragraph" w:customStyle="1" w:styleId="372">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3">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6">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7">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8">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9">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0">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2">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3">
    <w:name w:val="S4-L15-C"/>
    <w:basedOn w:val="1"/>
    <w:qFormat/>
    <w:uiPriority w:val="99"/>
    <w:pPr>
      <w:spacing w:after="120" w:line="360" w:lineRule="auto"/>
      <w:jc w:val="center"/>
    </w:pPr>
    <w:rPr>
      <w:szCs w:val="21"/>
    </w:rPr>
  </w:style>
  <w:style w:type="paragraph" w:customStyle="1" w:styleId="384">
    <w:name w:val="正文1"/>
    <w:basedOn w:val="18"/>
    <w:next w:val="1"/>
    <w:qFormat/>
    <w:uiPriority w:val="99"/>
    <w:pPr>
      <w:shd w:val="clear" w:color="auto" w:fill="000080"/>
    </w:pPr>
    <w:rPr>
      <w:rFonts w:ascii="Tahoma" w:hAnsi="Tahoma" w:cs="Tahoma"/>
      <w:kern w:val="0"/>
      <w:szCs w:val="24"/>
    </w:rPr>
  </w:style>
  <w:style w:type="paragraph" w:customStyle="1" w:styleId="385">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7">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8">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9">
    <w:name w:val="段落文字"/>
    <w:basedOn w:val="51"/>
    <w:qFormat/>
    <w:uiPriority w:val="99"/>
    <w:pPr>
      <w:spacing w:after="60"/>
      <w:ind w:left="420" w:firstLine="200" w:firstLineChars="200"/>
    </w:pPr>
    <w:rPr>
      <w:rFonts w:ascii="Times New Roman" w:hAnsi="Times New Roman"/>
      <w:szCs w:val="24"/>
    </w:rPr>
  </w:style>
  <w:style w:type="paragraph" w:customStyle="1" w:styleId="390">
    <w:name w:val="S4-B-L15"/>
    <w:basedOn w:val="1"/>
    <w:qFormat/>
    <w:uiPriority w:val="99"/>
    <w:pPr>
      <w:spacing w:line="360" w:lineRule="auto"/>
    </w:pPr>
    <w:rPr>
      <w:b/>
      <w:bCs/>
      <w:sz w:val="24"/>
      <w:szCs w:val="24"/>
    </w:rPr>
  </w:style>
  <w:style w:type="paragraph" w:customStyle="1" w:styleId="391">
    <w:name w:val="批注主题1"/>
    <w:basedOn w:val="19"/>
    <w:next w:val="19"/>
    <w:qFormat/>
    <w:uiPriority w:val="99"/>
    <w:rPr>
      <w:b/>
      <w:bCs/>
      <w:kern w:val="0"/>
      <w:sz w:val="20"/>
      <w:szCs w:val="20"/>
    </w:rPr>
  </w:style>
  <w:style w:type="paragraph" w:customStyle="1" w:styleId="392">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3">
    <w:name w:val="样式 标题1"/>
    <w:basedOn w:val="394"/>
    <w:next w:val="395"/>
    <w:qFormat/>
    <w:uiPriority w:val="99"/>
    <w:pPr>
      <w:tabs>
        <w:tab w:val="left" w:pos="1140"/>
      </w:tabs>
      <w:ind w:left="1140" w:hanging="720"/>
    </w:pPr>
    <w:rPr>
      <w:bCs w:val="0"/>
      <w:sz w:val="32"/>
    </w:rPr>
  </w:style>
  <w:style w:type="paragraph" w:customStyle="1" w:styleId="394">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5">
    <w:name w:val="最新标题2"/>
    <w:basedOn w:val="396"/>
    <w:next w:val="397"/>
    <w:qFormat/>
    <w:uiPriority w:val="99"/>
  </w:style>
  <w:style w:type="paragraph" w:customStyle="1" w:styleId="396">
    <w:name w:val="样式 标题 2"/>
    <w:basedOn w:val="4"/>
    <w:next w:val="397"/>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7">
    <w:name w:val="最新标题3"/>
    <w:basedOn w:val="376"/>
    <w:next w:val="348"/>
    <w:qFormat/>
    <w:uiPriority w:val="99"/>
  </w:style>
  <w:style w:type="paragraph" w:customStyle="1" w:styleId="398">
    <w:name w:val="Char2"/>
    <w:basedOn w:val="1"/>
    <w:qFormat/>
    <w:uiPriority w:val="99"/>
    <w:rPr>
      <w:rFonts w:ascii="仿宋_GB2312" w:eastAsia="仿宋_GB2312"/>
      <w:b/>
      <w:sz w:val="32"/>
      <w:szCs w:val="20"/>
    </w:rPr>
  </w:style>
  <w:style w:type="paragraph" w:customStyle="1" w:styleId="3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0">
    <w:name w:val="正文 1.1.1"/>
    <w:basedOn w:val="1"/>
    <w:next w:val="1"/>
    <w:qFormat/>
    <w:uiPriority w:val="99"/>
    <w:pPr>
      <w:numPr>
        <w:ilvl w:val="2"/>
        <w:numId w:val="10"/>
      </w:numPr>
      <w:outlineLvl w:val="2"/>
    </w:pPr>
    <w:rPr>
      <w:rFonts w:hAnsi="宋体"/>
      <w:color w:val="FF0000"/>
    </w:rPr>
  </w:style>
  <w:style w:type="paragraph" w:customStyle="1" w:styleId="401">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4">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5">
    <w:name w:val="IBM 正文"/>
    <w:basedOn w:val="1"/>
    <w:qFormat/>
    <w:uiPriority w:val="99"/>
    <w:pPr>
      <w:spacing w:line="360" w:lineRule="atLeast"/>
    </w:pPr>
    <w:rPr>
      <w:sz w:val="24"/>
      <w:szCs w:val="20"/>
    </w:rPr>
  </w:style>
  <w:style w:type="paragraph" w:customStyle="1" w:styleId="406">
    <w:name w:val="正文 1.1"/>
    <w:basedOn w:val="1"/>
    <w:next w:val="400"/>
    <w:qFormat/>
    <w:uiPriority w:val="99"/>
    <w:pPr>
      <w:numPr>
        <w:ilvl w:val="1"/>
        <w:numId w:val="10"/>
      </w:numPr>
      <w:tabs>
        <w:tab w:val="clear" w:pos="851"/>
      </w:tabs>
      <w:ind w:left="980" w:hanging="980" w:hangingChars="350"/>
      <w:outlineLvl w:val="1"/>
    </w:pPr>
    <w:rPr>
      <w:rFonts w:ascii="仿宋" w:hAnsi="仿宋"/>
      <w:b/>
    </w:rPr>
  </w:style>
  <w:style w:type="paragraph" w:customStyle="1" w:styleId="40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8">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9">
    <w:name w:val="表格内容"/>
    <w:basedOn w:val="22"/>
    <w:qFormat/>
    <w:uiPriority w:val="99"/>
    <w:pPr>
      <w:suppressLineNumbers/>
      <w:suppressAutoHyphens/>
    </w:pPr>
    <w:rPr>
      <w:kern w:val="1"/>
      <w:sz w:val="21"/>
      <w:lang w:eastAsia="ar-SA"/>
    </w:rPr>
  </w:style>
  <w:style w:type="paragraph" w:customStyle="1" w:styleId="410">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2">
    <w:name w:val="Char11"/>
    <w:basedOn w:val="1"/>
    <w:qFormat/>
    <w:uiPriority w:val="99"/>
    <w:rPr>
      <w:rFonts w:ascii="仿宋_GB2312" w:eastAsia="仿宋_GB2312"/>
      <w:b/>
      <w:sz w:val="32"/>
      <w:szCs w:val="32"/>
    </w:rPr>
  </w:style>
  <w:style w:type="paragraph" w:customStyle="1" w:styleId="413">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4">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5">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7">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9">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0">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1">
    <w:name w:val="Char Char1 Char1"/>
    <w:basedOn w:val="1"/>
    <w:qFormat/>
    <w:uiPriority w:val="99"/>
    <w:rPr>
      <w:rFonts w:ascii="仿宋_GB2312" w:eastAsia="仿宋_GB2312"/>
      <w:b/>
      <w:sz w:val="32"/>
      <w:szCs w:val="32"/>
    </w:rPr>
  </w:style>
  <w:style w:type="paragraph" w:customStyle="1" w:styleId="422">
    <w:name w:val="红日标题"/>
    <w:basedOn w:val="3"/>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3">
    <w:name w:val="pa-17"/>
    <w:basedOn w:val="1"/>
    <w:qFormat/>
    <w:uiPriority w:val="99"/>
    <w:pPr>
      <w:widowControl/>
      <w:spacing w:before="150" w:after="150"/>
      <w:jc w:val="left"/>
    </w:pPr>
    <w:rPr>
      <w:rFonts w:ascii="宋体" w:hAnsi="宋体" w:cs="宋体"/>
      <w:kern w:val="0"/>
      <w:sz w:val="24"/>
      <w:szCs w:val="24"/>
    </w:rPr>
  </w:style>
  <w:style w:type="paragraph" w:customStyle="1" w:styleId="424">
    <w:name w:val="文本框内文字"/>
    <w:basedOn w:val="1"/>
    <w:qFormat/>
    <w:uiPriority w:val="99"/>
    <w:pPr>
      <w:spacing w:line="0" w:lineRule="atLeast"/>
    </w:pPr>
    <w:rPr>
      <w:rFonts w:eastAsia="仿宋_GB2312"/>
      <w:sz w:val="22"/>
      <w:szCs w:val="24"/>
    </w:rPr>
  </w:style>
  <w:style w:type="paragraph" w:customStyle="1" w:styleId="425">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6">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7">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8">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9">
    <w:name w:val="标准标题3"/>
    <w:basedOn w:val="5"/>
    <w:qFormat/>
    <w:uiPriority w:val="99"/>
    <w:pPr>
      <w:tabs>
        <w:tab w:val="left" w:pos="1050"/>
      </w:tabs>
      <w:spacing w:line="240" w:lineRule="auto"/>
      <w:ind w:left="-258" w:leftChars="-258"/>
    </w:pPr>
    <w:rPr>
      <w:rFonts w:eastAsia="仿宋_GB2312"/>
      <w:sz w:val="28"/>
    </w:rPr>
  </w:style>
  <w:style w:type="paragraph" w:customStyle="1" w:styleId="430">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1">
    <w:name w:val="默认段落字体 Para Char Char Char Char"/>
    <w:basedOn w:val="1"/>
    <w:qFormat/>
    <w:uiPriority w:val="99"/>
    <w:pPr>
      <w:adjustRightInd w:val="0"/>
      <w:spacing w:line="360" w:lineRule="auto"/>
    </w:pPr>
    <w:rPr>
      <w:kern w:val="0"/>
      <w:sz w:val="24"/>
      <w:szCs w:val="20"/>
    </w:rPr>
  </w:style>
  <w:style w:type="paragraph" w:customStyle="1" w:styleId="432">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3">
    <w:name w:val="List Paragraph1"/>
    <w:basedOn w:val="1"/>
    <w:qFormat/>
    <w:uiPriority w:val="99"/>
    <w:pPr>
      <w:ind w:firstLine="420" w:firstLineChars="200"/>
    </w:pPr>
    <w:rPr>
      <w:szCs w:val="24"/>
    </w:rPr>
  </w:style>
  <w:style w:type="paragraph" w:customStyle="1" w:styleId="434">
    <w:name w:val="Bullet1"/>
    <w:basedOn w:val="1"/>
    <w:qFormat/>
    <w:uiPriority w:val="99"/>
    <w:pPr>
      <w:spacing w:afterLines="50"/>
      <w:ind w:left="720" w:hanging="432"/>
      <w:jc w:val="left"/>
    </w:pPr>
    <w:rPr>
      <w:rFonts w:ascii="宋体"/>
      <w:snapToGrid w:val="0"/>
      <w:kern w:val="0"/>
      <w:szCs w:val="20"/>
    </w:rPr>
  </w:style>
  <w:style w:type="paragraph" w:customStyle="1" w:styleId="43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6">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7">
    <w:name w:val="正文首行缩进 211"/>
    <w:basedOn w:val="43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8">
    <w:name w:val="正文文本缩进11"/>
    <w:basedOn w:val="1"/>
    <w:qFormat/>
    <w:uiPriority w:val="99"/>
    <w:pPr>
      <w:spacing w:after="120"/>
      <w:ind w:left="420" w:leftChars="200"/>
    </w:pPr>
    <w:rPr>
      <w:rFonts w:cs="黑体"/>
    </w:rPr>
  </w:style>
  <w:style w:type="paragraph" w:customStyle="1" w:styleId="439">
    <w:name w:val="文档结构图11"/>
    <w:basedOn w:val="1"/>
    <w:qFormat/>
    <w:uiPriority w:val="99"/>
    <w:rPr>
      <w:rFonts w:ascii="宋体"/>
      <w:kern w:val="0"/>
      <w:sz w:val="18"/>
      <w:szCs w:val="18"/>
    </w:rPr>
  </w:style>
  <w:style w:type="paragraph" w:customStyle="1" w:styleId="440">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1">
    <w:name w:val="pa-7"/>
    <w:basedOn w:val="1"/>
    <w:qFormat/>
    <w:uiPriority w:val="99"/>
    <w:pPr>
      <w:widowControl/>
      <w:spacing w:before="150" w:after="150"/>
      <w:jc w:val="left"/>
    </w:pPr>
    <w:rPr>
      <w:rFonts w:ascii="宋体" w:hAnsi="宋体" w:cs="宋体"/>
      <w:kern w:val="0"/>
      <w:sz w:val="24"/>
      <w:szCs w:val="24"/>
    </w:rPr>
  </w:style>
  <w:style w:type="paragraph" w:customStyle="1" w:styleId="44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3">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4">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5">
    <w:name w:val="正文样式"/>
    <w:basedOn w:val="1"/>
    <w:qFormat/>
    <w:uiPriority w:val="99"/>
    <w:pPr>
      <w:spacing w:line="360" w:lineRule="auto"/>
      <w:ind w:firstLine="200" w:firstLineChars="200"/>
    </w:pPr>
    <w:rPr>
      <w:rFonts w:ascii="宋体"/>
      <w:sz w:val="24"/>
      <w:szCs w:val="24"/>
    </w:rPr>
  </w:style>
  <w:style w:type="paragraph" w:customStyle="1" w:styleId="446">
    <w:name w:val="列表（编号二级）（绿盟科技）"/>
    <w:basedOn w:val="447"/>
    <w:qFormat/>
    <w:uiPriority w:val="99"/>
    <w:pPr>
      <w:numPr>
        <w:ilvl w:val="1"/>
      </w:numPr>
      <w:spacing w:beforeLines="0"/>
      <w:ind w:left="1260"/>
    </w:pPr>
  </w:style>
  <w:style w:type="paragraph" w:customStyle="1" w:styleId="447">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8">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9">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0">
    <w:name w:val="样式　标题4"/>
    <w:basedOn w:val="305"/>
    <w:next w:val="1"/>
    <w:qFormat/>
    <w:uiPriority w:val="99"/>
    <w:pPr>
      <w:numPr>
        <w:numId w:val="0"/>
      </w:numPr>
      <w:ind w:left="425" w:hanging="425"/>
    </w:pPr>
  </w:style>
  <w:style w:type="paragraph" w:customStyle="1" w:styleId="45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2">
    <w:name w:val="样式 样式 正文文本缩进 + 仿宋_GB2312 小四 首行缩进:  0 厘米 行距: 1.5 倍行距 + (中文) 仿宋_GB..."/>
    <w:basedOn w:val="401"/>
    <w:qFormat/>
    <w:uiPriority w:val="99"/>
    <w:pPr>
      <w:ind w:firstLine="480" w:firstLineChars="200"/>
    </w:pPr>
  </w:style>
  <w:style w:type="paragraph" w:customStyle="1" w:styleId="453">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4">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7">
    <w:name w:val="贷方"/>
    <w:basedOn w:val="1"/>
    <w:qFormat/>
    <w:uiPriority w:val="99"/>
    <w:pPr>
      <w:ind w:left="1890" w:leftChars="900"/>
    </w:pPr>
    <w:rPr>
      <w:sz w:val="24"/>
      <w:szCs w:val="24"/>
    </w:rPr>
  </w:style>
  <w:style w:type="paragraph" w:customStyle="1" w:styleId="458">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9">
    <w:name w:val="表格中序号"/>
    <w:basedOn w:val="1"/>
    <w:qFormat/>
    <w:uiPriority w:val="99"/>
    <w:pPr>
      <w:spacing w:line="288" w:lineRule="auto"/>
      <w:jc w:val="center"/>
    </w:pPr>
    <w:rPr>
      <w:rFonts w:ascii="新宋体" w:eastAsia="新宋体"/>
      <w:sz w:val="24"/>
      <w:szCs w:val="24"/>
    </w:rPr>
  </w:style>
  <w:style w:type="paragraph" w:customStyle="1" w:styleId="460">
    <w:name w:val="linyang-正文"/>
    <w:basedOn w:val="1"/>
    <w:qFormat/>
    <w:uiPriority w:val="99"/>
    <w:pPr>
      <w:spacing w:before="120" w:after="120" w:line="400" w:lineRule="exact"/>
      <w:ind w:firstLine="200" w:firstLineChars="200"/>
    </w:pPr>
    <w:rPr>
      <w:sz w:val="24"/>
      <w:szCs w:val="24"/>
    </w:rPr>
  </w:style>
  <w:style w:type="paragraph" w:customStyle="1" w:styleId="461">
    <w:name w:val="_Style 13"/>
    <w:basedOn w:val="1"/>
    <w:qFormat/>
    <w:uiPriority w:val="99"/>
    <w:pPr>
      <w:tabs>
        <w:tab w:val="left" w:pos="360"/>
      </w:tabs>
      <w:ind w:firstLine="420" w:firstLineChars="150"/>
    </w:pPr>
    <w:rPr>
      <w:szCs w:val="20"/>
    </w:rPr>
  </w:style>
  <w:style w:type="paragraph" w:customStyle="1" w:styleId="4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3">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4">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5">
    <w:name w:val="Char1 Char Char Char1"/>
    <w:basedOn w:val="1"/>
    <w:qFormat/>
    <w:uiPriority w:val="99"/>
    <w:rPr>
      <w:rFonts w:ascii="Tahoma" w:hAnsi="Tahoma"/>
      <w:sz w:val="24"/>
      <w:szCs w:val="20"/>
    </w:rPr>
  </w:style>
  <w:style w:type="paragraph" w:customStyle="1" w:styleId="466">
    <w:name w:val="标题 3Chapter X.X.X. + 段后: 0.5 行 + 段后: 0.5 行 + 段后: 0.5 行1"/>
    <w:basedOn w:val="292"/>
    <w:qFormat/>
    <w:uiPriority w:val="99"/>
  </w:style>
  <w:style w:type="paragraph" w:customStyle="1" w:styleId="467">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6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9">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70">
    <w:name w:val="Normal0"/>
    <w:qFormat/>
    <w:uiPriority w:val="99"/>
    <w:rPr>
      <w:rFonts w:ascii="Times New Roman" w:hAnsi="Times New Roman" w:eastAsia="宋体" w:cs="Times New Roman"/>
      <w:lang w:val="en-US" w:eastAsia="en-US" w:bidi="ar-SA"/>
    </w:rPr>
  </w:style>
  <w:style w:type="paragraph" w:customStyle="1" w:styleId="471">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2">
    <w:name w:val="二级标题"/>
    <w:basedOn w:val="4"/>
    <w:qFormat/>
    <w:uiPriority w:val="99"/>
    <w:pPr>
      <w:tabs>
        <w:tab w:val="left" w:pos="1116"/>
      </w:tabs>
      <w:ind w:left="1116" w:hanging="576"/>
    </w:pPr>
    <w:rPr>
      <w:rFonts w:ascii="黑体" w:hAnsi="Cambria"/>
      <w:kern w:val="0"/>
    </w:rPr>
  </w:style>
  <w:style w:type="paragraph" w:customStyle="1" w:styleId="473">
    <w:name w:val="正文空4格  1）"/>
    <w:basedOn w:val="1"/>
    <w:qFormat/>
    <w:uiPriority w:val="99"/>
    <w:pPr>
      <w:ind w:firstLine="1120" w:firstLineChars="400"/>
    </w:pPr>
    <w:rPr>
      <w:rFonts w:cs="宋体"/>
      <w:szCs w:val="20"/>
    </w:rPr>
  </w:style>
  <w:style w:type="paragraph" w:customStyle="1" w:styleId="474">
    <w:name w:val="S4-L15"/>
    <w:basedOn w:val="1"/>
    <w:qFormat/>
    <w:uiPriority w:val="99"/>
    <w:pPr>
      <w:spacing w:after="120" w:line="360" w:lineRule="auto"/>
      <w:ind w:left="720" w:firstLine="392"/>
    </w:pPr>
    <w:rPr>
      <w:szCs w:val="21"/>
      <w:lang w:val="fr-FR"/>
    </w:rPr>
  </w:style>
  <w:style w:type="paragraph" w:customStyle="1" w:styleId="475">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6">
    <w:name w:val="正文-带编号1)"/>
    <w:basedOn w:val="1"/>
    <w:qFormat/>
    <w:uiPriority w:val="99"/>
    <w:pPr>
      <w:numPr>
        <w:ilvl w:val="0"/>
        <w:numId w:val="15"/>
      </w:numPr>
      <w:spacing w:line="400" w:lineRule="exact"/>
    </w:pPr>
    <w:rPr>
      <w:rFonts w:ascii="Arial" w:hAnsi="Arial"/>
      <w:szCs w:val="24"/>
    </w:rPr>
  </w:style>
  <w:style w:type="paragraph" w:customStyle="1" w:styleId="47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8">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0">
    <w:name w:val="图样式"/>
    <w:basedOn w:val="1"/>
    <w:qFormat/>
    <w:uiPriority w:val="99"/>
    <w:pPr>
      <w:keepNext/>
      <w:widowControl/>
      <w:spacing w:before="80" w:after="80"/>
      <w:jc w:val="center"/>
    </w:pPr>
    <w:rPr>
      <w:szCs w:val="20"/>
    </w:rPr>
  </w:style>
  <w:style w:type="paragraph" w:customStyle="1" w:styleId="481">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2">
    <w:name w:val="Char Char Char"/>
    <w:basedOn w:val="1"/>
    <w:qFormat/>
    <w:uiPriority w:val="99"/>
  </w:style>
  <w:style w:type="paragraph" w:customStyle="1" w:styleId="483">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4">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5">
    <w:name w:val="P3"/>
    <w:basedOn w:val="1"/>
    <w:qFormat/>
    <w:uiPriority w:val="99"/>
    <w:pPr>
      <w:widowControl/>
      <w:spacing w:before="240" w:line="240" w:lineRule="atLeast"/>
      <w:ind w:left="1152"/>
      <w:jc w:val="left"/>
    </w:pPr>
    <w:rPr>
      <w:b/>
      <w:kern w:val="0"/>
      <w:szCs w:val="21"/>
      <w:lang w:val="en-AU" w:eastAsia="en-US"/>
    </w:rPr>
  </w:style>
  <w:style w:type="paragraph" w:customStyle="1" w:styleId="48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7">
    <w:name w:val="此正文"/>
    <w:basedOn w:val="1"/>
    <w:qFormat/>
    <w:uiPriority w:val="99"/>
    <w:pPr>
      <w:spacing w:line="360" w:lineRule="auto"/>
      <w:ind w:firstLine="200" w:firstLineChars="200"/>
    </w:pPr>
    <w:rPr>
      <w:sz w:val="24"/>
      <w:szCs w:val="24"/>
    </w:rPr>
  </w:style>
  <w:style w:type="paragraph" w:customStyle="1" w:styleId="488">
    <w:name w:val="列出段落11"/>
    <w:basedOn w:val="1"/>
    <w:qFormat/>
    <w:uiPriority w:val="99"/>
    <w:pPr>
      <w:ind w:firstLine="420" w:firstLineChars="200"/>
    </w:pPr>
  </w:style>
  <w:style w:type="paragraph" w:customStyle="1" w:styleId="489">
    <w:name w:val="正文文本 New"/>
    <w:basedOn w:val="1"/>
    <w:qFormat/>
    <w:uiPriority w:val="99"/>
    <w:pPr>
      <w:spacing w:after="120"/>
    </w:pPr>
    <w:rPr>
      <w:sz w:val="28"/>
      <w:szCs w:val="24"/>
    </w:rPr>
  </w:style>
  <w:style w:type="paragraph" w:customStyle="1" w:styleId="490">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1">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2">
    <w:name w:val="[Normal]"/>
    <w:qFormat/>
    <w:uiPriority w:val="99"/>
    <w:rPr>
      <w:rFonts w:ascii="宋体" w:hAnsi="宋体" w:eastAsia="宋体" w:cs="Times New Roman"/>
      <w:sz w:val="24"/>
      <w:lang w:val="zh-CN" w:eastAsia="zh-CN" w:bidi="ar-SA"/>
    </w:rPr>
  </w:style>
  <w:style w:type="paragraph" w:customStyle="1" w:styleId="493">
    <w:name w:val="样式 标题 3Chapter X.X.X"/>
    <w:basedOn w:val="466"/>
    <w:qFormat/>
    <w:uiPriority w:val="99"/>
    <w:pPr>
      <w:spacing w:afterLines="0"/>
    </w:pPr>
  </w:style>
  <w:style w:type="paragraph" w:customStyle="1" w:styleId="494">
    <w:name w:val="15"/>
    <w:basedOn w:val="1"/>
    <w:qFormat/>
    <w:uiPriority w:val="99"/>
    <w:pPr>
      <w:widowControl/>
      <w:spacing w:line="312" w:lineRule="auto"/>
      <w:ind w:firstLine="202"/>
    </w:pPr>
    <w:rPr>
      <w:kern w:val="0"/>
      <w:sz w:val="24"/>
      <w:szCs w:val="24"/>
    </w:rPr>
  </w:style>
  <w:style w:type="paragraph" w:customStyle="1" w:styleId="495">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6">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7">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8">
    <w:name w:val="表格标题"/>
    <w:basedOn w:val="409"/>
    <w:qFormat/>
    <w:uiPriority w:val="99"/>
    <w:pPr>
      <w:numPr>
        <w:ilvl w:val="0"/>
        <w:numId w:val="16"/>
      </w:numPr>
      <w:tabs>
        <w:tab w:val="clear" w:pos="360"/>
      </w:tabs>
      <w:ind w:left="0" w:firstLine="0"/>
      <w:jc w:val="center"/>
    </w:pPr>
    <w:rPr>
      <w:b/>
      <w:bCs/>
      <w:i/>
      <w:iCs/>
    </w:rPr>
  </w:style>
  <w:style w:type="paragraph" w:customStyle="1" w:styleId="499">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0">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1">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2">
    <w:name w:val="Char2 Char Char Char"/>
    <w:basedOn w:val="1"/>
    <w:qFormat/>
    <w:uiPriority w:val="99"/>
    <w:rPr>
      <w:rFonts w:ascii="仿宋_GB2312" w:eastAsia="仿宋_GB2312"/>
      <w:b/>
      <w:sz w:val="32"/>
      <w:szCs w:val="32"/>
    </w:rPr>
  </w:style>
  <w:style w:type="paragraph" w:customStyle="1" w:styleId="503">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4">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5">
    <w:name w:val="样式 正文（首行缩进两字） + 首行缩进:  2 字符 段后: 0.5 行 行距: 1.5 倍行距"/>
    <w:basedOn w:val="15"/>
    <w:qFormat/>
    <w:uiPriority w:val="99"/>
    <w:pPr>
      <w:spacing w:line="360" w:lineRule="auto"/>
    </w:pPr>
    <w:rPr>
      <w:sz w:val="24"/>
      <w:szCs w:val="24"/>
    </w:rPr>
  </w:style>
  <w:style w:type="paragraph" w:customStyle="1" w:styleId="506">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7">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8">
    <w:name w:val="S4-L15-No"/>
    <w:basedOn w:val="474"/>
    <w:qFormat/>
    <w:uiPriority w:val="99"/>
    <w:pPr>
      <w:tabs>
        <w:tab w:val="left" w:pos="720"/>
      </w:tabs>
      <w:ind w:hanging="720"/>
    </w:pPr>
  </w:style>
  <w:style w:type="paragraph" w:customStyle="1" w:styleId="509">
    <w:name w:val="Char3 Char Char Char1"/>
    <w:basedOn w:val="1"/>
    <w:qFormat/>
    <w:uiPriority w:val="99"/>
    <w:pPr>
      <w:widowControl/>
      <w:spacing w:after="160" w:line="240" w:lineRule="exact"/>
      <w:jc w:val="left"/>
    </w:pPr>
    <w:rPr>
      <w:szCs w:val="20"/>
    </w:rPr>
  </w:style>
  <w:style w:type="paragraph" w:customStyle="1" w:styleId="510">
    <w:name w:val="样式 样式 标题 4 + 段后: 0.5 行1"/>
    <w:basedOn w:val="323"/>
    <w:next w:val="34"/>
    <w:qFormat/>
    <w:uiPriority w:val="99"/>
    <w:pPr>
      <w:numPr>
        <w:ilvl w:val="1"/>
        <w:numId w:val="2"/>
      </w:numPr>
      <w:ind w:left="0" w:firstLine="0"/>
    </w:pPr>
  </w:style>
  <w:style w:type="paragraph" w:customStyle="1" w:styleId="511">
    <w:name w:val="Paragraph3"/>
    <w:basedOn w:val="1"/>
    <w:qFormat/>
    <w:uiPriority w:val="99"/>
    <w:pPr>
      <w:spacing w:before="80" w:afterLines="50"/>
      <w:ind w:left="1530"/>
    </w:pPr>
    <w:rPr>
      <w:rFonts w:ascii="宋体"/>
      <w:snapToGrid w:val="0"/>
      <w:kern w:val="0"/>
      <w:szCs w:val="20"/>
    </w:rPr>
  </w:style>
  <w:style w:type="paragraph" w:customStyle="1" w:styleId="512">
    <w:name w:val="样式 标题 3(A-3)sect1.2.3h3H3level_3PIM 3Level 3 HeadHeading..."/>
    <w:basedOn w:val="5"/>
    <w:qFormat/>
    <w:uiPriority w:val="99"/>
    <w:rPr>
      <w:rFonts w:ascii="Arial" w:hAnsi="Arial"/>
      <w:sz w:val="30"/>
    </w:rPr>
  </w:style>
  <w:style w:type="paragraph" w:customStyle="1" w:styleId="513">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5">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6">
    <w:name w:val="P2"/>
    <w:basedOn w:val="1"/>
    <w:qFormat/>
    <w:uiPriority w:val="99"/>
    <w:pPr>
      <w:widowControl/>
      <w:spacing w:before="240" w:line="240" w:lineRule="atLeast"/>
      <w:ind w:left="578"/>
      <w:jc w:val="left"/>
    </w:pPr>
    <w:rPr>
      <w:b/>
      <w:kern w:val="0"/>
      <w:szCs w:val="21"/>
      <w:lang w:val="en-AU" w:eastAsia="en-US"/>
    </w:rPr>
  </w:style>
  <w:style w:type="paragraph" w:customStyle="1" w:styleId="517">
    <w:name w:val="标书_正文"/>
    <w:basedOn w:val="1"/>
    <w:qFormat/>
    <w:uiPriority w:val="99"/>
    <w:pPr>
      <w:spacing w:line="360" w:lineRule="auto"/>
    </w:pPr>
    <w:rPr>
      <w:rFonts w:ascii="宋体"/>
      <w:b/>
      <w:kern w:val="0"/>
      <w:sz w:val="32"/>
      <w:szCs w:val="32"/>
    </w:rPr>
  </w:style>
  <w:style w:type="paragraph" w:customStyle="1" w:styleId="518">
    <w:name w:val="样式 样式 正文文本缩进 + 仿宋_GB2312 小四 首行缩进:  0 厘米 行距: 1.5 倍行距 + (中文) 仿宋_GB... Char Char"/>
    <w:basedOn w:val="401"/>
    <w:qFormat/>
    <w:uiPriority w:val="99"/>
    <w:pPr>
      <w:ind w:firstLine="480" w:firstLineChars="200"/>
    </w:pPr>
  </w:style>
  <w:style w:type="paragraph" w:customStyle="1" w:styleId="519">
    <w:name w:val="正文空2格  1."/>
    <w:basedOn w:val="1"/>
    <w:qFormat/>
    <w:uiPriority w:val="99"/>
    <w:pPr>
      <w:ind w:firstLine="480" w:firstLineChars="200"/>
    </w:pPr>
    <w:rPr>
      <w:rFonts w:cs="宋体"/>
      <w:sz w:val="28"/>
      <w:szCs w:val="20"/>
    </w:rPr>
  </w:style>
  <w:style w:type="paragraph" w:customStyle="1" w:styleId="520">
    <w:name w:val="Table - Text"/>
    <w:basedOn w:val="1"/>
    <w:qFormat/>
    <w:uiPriority w:val="99"/>
    <w:pPr>
      <w:widowControl/>
      <w:spacing w:before="60" w:afterLines="50"/>
      <w:jc w:val="left"/>
    </w:pPr>
    <w:rPr>
      <w:kern w:val="0"/>
      <w:szCs w:val="20"/>
      <w:lang w:eastAsia="en-US"/>
    </w:rPr>
  </w:style>
  <w:style w:type="paragraph" w:customStyle="1" w:styleId="52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2">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3">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4">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5">
    <w:name w:val="样式 样式 标题 4 + 段后: 0.5 行 + 段后: 0.5 行"/>
    <w:basedOn w:val="323"/>
    <w:qFormat/>
    <w:uiPriority w:val="99"/>
    <w:pPr>
      <w:numPr>
        <w:numId w:val="0"/>
      </w:numPr>
      <w:tabs>
        <w:tab w:val="left" w:pos="864"/>
      </w:tabs>
      <w:ind w:left="864" w:hanging="864"/>
    </w:pPr>
  </w:style>
  <w:style w:type="paragraph" w:customStyle="1" w:styleId="526">
    <w:name w:val="4"/>
    <w:basedOn w:val="1"/>
    <w:qFormat/>
    <w:uiPriority w:val="99"/>
  </w:style>
  <w:style w:type="paragraph" w:customStyle="1" w:styleId="527">
    <w:name w:val="样式 四号 行距: 1.5 倍行距"/>
    <w:basedOn w:val="1"/>
    <w:qFormat/>
    <w:uiPriority w:val="99"/>
    <w:pPr>
      <w:spacing w:line="312" w:lineRule="auto"/>
      <w:ind w:firstLine="202" w:firstLineChars="202"/>
    </w:pPr>
    <w:rPr>
      <w:rFonts w:cs="宋体"/>
      <w:sz w:val="24"/>
      <w:szCs w:val="20"/>
    </w:rPr>
  </w:style>
  <w:style w:type="paragraph" w:customStyle="1" w:styleId="528">
    <w:name w:val="最新标题1"/>
    <w:basedOn w:val="393"/>
    <w:next w:val="395"/>
    <w:qFormat/>
    <w:uiPriority w:val="99"/>
    <w:rPr>
      <w:bCs/>
    </w:rPr>
  </w:style>
  <w:style w:type="paragraph" w:customStyle="1" w:styleId="529">
    <w:name w:val="Main Title"/>
    <w:basedOn w:val="1"/>
    <w:qFormat/>
    <w:uiPriority w:val="99"/>
    <w:pPr>
      <w:spacing w:before="480" w:afterLines="50"/>
      <w:jc w:val="center"/>
    </w:pPr>
    <w:rPr>
      <w:rFonts w:ascii="宋体"/>
      <w:b/>
      <w:snapToGrid w:val="0"/>
      <w:kern w:val="28"/>
      <w:sz w:val="32"/>
      <w:szCs w:val="20"/>
    </w:rPr>
  </w:style>
  <w:style w:type="paragraph" w:customStyle="1" w:styleId="530">
    <w:name w:val="_Style 118"/>
    <w:basedOn w:val="1"/>
    <w:qFormat/>
    <w:uiPriority w:val="99"/>
  </w:style>
  <w:style w:type="paragraph" w:customStyle="1" w:styleId="531">
    <w:name w:val="Tabletext"/>
    <w:basedOn w:val="1"/>
    <w:qFormat/>
    <w:uiPriority w:val="99"/>
    <w:pPr>
      <w:keepLines/>
      <w:spacing w:afterLines="50"/>
      <w:jc w:val="left"/>
    </w:pPr>
    <w:rPr>
      <w:rFonts w:ascii="宋体"/>
      <w:snapToGrid w:val="0"/>
      <w:kern w:val="0"/>
      <w:szCs w:val="20"/>
    </w:rPr>
  </w:style>
  <w:style w:type="table" w:customStyle="1" w:styleId="532">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3">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4">
    <w:name w:val="纯文本1"/>
    <w:basedOn w:val="533"/>
    <w:qFormat/>
    <w:uiPriority w:val="99"/>
    <w:pPr>
      <w:widowControl/>
      <w:jc w:val="left"/>
    </w:pPr>
    <w:rPr>
      <w:rFonts w:ascii="宋体" w:hAnsi="Courier New"/>
    </w:rPr>
  </w:style>
  <w:style w:type="character" w:customStyle="1" w:styleId="535">
    <w:name w:val="批注文字 字符1"/>
    <w:qFormat/>
    <w:uiPriority w:val="0"/>
    <w:rPr>
      <w:kern w:val="2"/>
      <w:sz w:val="21"/>
      <w:szCs w:val="22"/>
    </w:rPr>
  </w:style>
  <w:style w:type="character" w:customStyle="1" w:styleId="536">
    <w:name w:val="标题 字符1"/>
    <w:qFormat/>
    <w:uiPriority w:val="99"/>
    <w:rPr>
      <w:rFonts w:ascii="Arial" w:hAnsi="Arial" w:cs="Arial"/>
      <w:b/>
      <w:bCs/>
      <w:kern w:val="2"/>
      <w:sz w:val="32"/>
      <w:szCs w:val="32"/>
    </w:rPr>
  </w:style>
  <w:style w:type="character" w:customStyle="1" w:styleId="537">
    <w:name w:val="标题 8 字符1"/>
    <w:qFormat/>
    <w:uiPriority w:val="99"/>
    <w:rPr>
      <w:rFonts w:ascii="Cambria" w:hAnsi="Cambria" w:eastAsia="宋体"/>
      <w:kern w:val="2"/>
      <w:sz w:val="24"/>
      <w:szCs w:val="24"/>
      <w:lang w:val="en-US" w:eastAsia="zh-CN" w:bidi="ar-SA"/>
    </w:rPr>
  </w:style>
  <w:style w:type="character" w:customStyle="1" w:styleId="538">
    <w:name w:val="标题 1 字符1"/>
    <w:qFormat/>
    <w:uiPriority w:val="99"/>
    <w:rPr>
      <w:rFonts w:eastAsia="隶书"/>
      <w:b/>
      <w:bCs/>
      <w:sz w:val="36"/>
      <w:szCs w:val="36"/>
      <w:lang w:val="en-US" w:eastAsia="zh-CN" w:bidi="ar-SA"/>
    </w:rPr>
  </w:style>
  <w:style w:type="character" w:customStyle="1" w:styleId="539">
    <w:name w:val="正文文本 字符1"/>
    <w:qFormat/>
    <w:uiPriority w:val="99"/>
    <w:rPr>
      <w:rFonts w:eastAsia="宋体"/>
      <w:kern w:val="2"/>
      <w:sz w:val="28"/>
      <w:szCs w:val="24"/>
      <w:lang w:val="en-US" w:eastAsia="zh-CN" w:bidi="ar-SA"/>
    </w:rPr>
  </w:style>
  <w:style w:type="character" w:customStyle="1" w:styleId="540">
    <w:name w:val="标题 9 字符1"/>
    <w:qFormat/>
    <w:uiPriority w:val="99"/>
    <w:rPr>
      <w:rFonts w:ascii="Cambria" w:hAnsi="Cambria" w:eastAsia="宋体"/>
      <w:kern w:val="2"/>
      <w:sz w:val="21"/>
      <w:szCs w:val="21"/>
      <w:lang w:val="en-US" w:eastAsia="zh-CN" w:bidi="ar-SA"/>
    </w:rPr>
  </w:style>
  <w:style w:type="character" w:customStyle="1" w:styleId="541">
    <w:name w:val="批注框文本 字符1"/>
    <w:semiHidden/>
    <w:qFormat/>
    <w:uiPriority w:val="99"/>
    <w:rPr>
      <w:kern w:val="2"/>
      <w:sz w:val="18"/>
      <w:szCs w:val="18"/>
    </w:rPr>
  </w:style>
  <w:style w:type="character" w:customStyle="1" w:styleId="542">
    <w:name w:val="正文缩进 字符1"/>
    <w:qFormat/>
    <w:uiPriority w:val="99"/>
    <w:rPr>
      <w:rFonts w:eastAsia="宋体"/>
      <w:kern w:val="2"/>
      <w:sz w:val="21"/>
      <w:lang w:val="en-US" w:eastAsia="zh-CN" w:bidi="ar-SA"/>
    </w:rPr>
  </w:style>
  <w:style w:type="character" w:customStyle="1" w:styleId="543">
    <w:name w:val="页脚 字符1"/>
    <w:qFormat/>
    <w:uiPriority w:val="0"/>
    <w:rPr>
      <w:kern w:val="2"/>
      <w:sz w:val="18"/>
      <w:szCs w:val="18"/>
    </w:rPr>
  </w:style>
  <w:style w:type="character" w:customStyle="1" w:styleId="544">
    <w:name w:val="标题 2 字符1"/>
    <w:qFormat/>
    <w:uiPriority w:val="99"/>
    <w:rPr>
      <w:rFonts w:ascii="Arial" w:hAnsi="Arial" w:eastAsia="黑体"/>
      <w:b/>
      <w:bCs/>
      <w:kern w:val="2"/>
      <w:sz w:val="32"/>
      <w:szCs w:val="32"/>
      <w:lang w:val="en-US" w:eastAsia="zh-CN" w:bidi="ar-SA"/>
    </w:rPr>
  </w:style>
  <w:style w:type="character" w:customStyle="1" w:styleId="545">
    <w:name w:val="正文文本缩进 3 字符1"/>
    <w:qFormat/>
    <w:uiPriority w:val="99"/>
    <w:rPr>
      <w:rFonts w:ascii="仿宋_GB2312" w:hAnsi="宋体" w:eastAsia="仿宋_GB2312"/>
      <w:color w:val="000000"/>
      <w:kern w:val="2"/>
      <w:sz w:val="24"/>
      <w:szCs w:val="24"/>
    </w:rPr>
  </w:style>
  <w:style w:type="character" w:customStyle="1" w:styleId="546">
    <w:name w:val="标题 7 字符1"/>
    <w:qFormat/>
    <w:uiPriority w:val="99"/>
    <w:rPr>
      <w:rFonts w:eastAsia="宋体"/>
      <w:b/>
      <w:bCs/>
      <w:kern w:val="2"/>
      <w:sz w:val="24"/>
      <w:szCs w:val="24"/>
      <w:lang w:val="en-US" w:eastAsia="zh-CN" w:bidi="ar-SA"/>
    </w:rPr>
  </w:style>
  <w:style w:type="character" w:customStyle="1" w:styleId="547">
    <w:name w:val="标题 4 字符1"/>
    <w:qFormat/>
    <w:uiPriority w:val="99"/>
    <w:rPr>
      <w:rFonts w:ascii="Arial" w:hAnsi="Arial" w:eastAsia="黑体"/>
      <w:b/>
      <w:bCs/>
      <w:kern w:val="2"/>
      <w:sz w:val="28"/>
      <w:szCs w:val="28"/>
      <w:lang w:val="en-US" w:eastAsia="zh-CN" w:bidi="ar-SA"/>
    </w:rPr>
  </w:style>
  <w:style w:type="character" w:customStyle="1" w:styleId="548">
    <w:name w:val="尾注文本 字符1"/>
    <w:qFormat/>
    <w:uiPriority w:val="99"/>
    <w:rPr>
      <w:rFonts w:ascii="宋体" w:hAnsi="Times New Roman"/>
      <w:snapToGrid w:val="0"/>
      <w:sz w:val="21"/>
    </w:rPr>
  </w:style>
  <w:style w:type="character" w:customStyle="1" w:styleId="549">
    <w:name w:val="脚注文本 字符1"/>
    <w:qFormat/>
    <w:uiPriority w:val="99"/>
    <w:rPr>
      <w:kern w:val="2"/>
      <w:sz w:val="18"/>
      <w:szCs w:val="18"/>
    </w:rPr>
  </w:style>
  <w:style w:type="character" w:customStyle="1" w:styleId="550">
    <w:name w:val="正文文本缩进 字符1"/>
    <w:qFormat/>
    <w:uiPriority w:val="99"/>
    <w:rPr>
      <w:rFonts w:ascii="宋体" w:hAnsi="Courier New" w:eastAsia="宋体"/>
      <w:spacing w:val="-4"/>
      <w:kern w:val="2"/>
      <w:sz w:val="18"/>
      <w:lang w:val="en-US" w:eastAsia="zh-CN" w:bidi="ar-SA"/>
    </w:rPr>
  </w:style>
  <w:style w:type="character" w:customStyle="1" w:styleId="551">
    <w:name w:val="正文首行缩进 字符1"/>
    <w:qFormat/>
    <w:uiPriority w:val="99"/>
    <w:rPr>
      <w:rFonts w:ascii="Calibri" w:hAnsi="Calibri" w:eastAsia="宋体"/>
      <w:kern w:val="2"/>
      <w:sz w:val="21"/>
      <w:szCs w:val="22"/>
      <w:lang w:val="en-US" w:eastAsia="zh-CN" w:bidi="ar-SA"/>
    </w:rPr>
  </w:style>
  <w:style w:type="character" w:customStyle="1" w:styleId="552">
    <w:name w:val="文档结构图 字符1"/>
    <w:qFormat/>
    <w:uiPriority w:val="99"/>
    <w:rPr>
      <w:rFonts w:ascii="宋体"/>
      <w:kern w:val="2"/>
      <w:sz w:val="18"/>
      <w:szCs w:val="18"/>
    </w:rPr>
  </w:style>
  <w:style w:type="character" w:customStyle="1" w:styleId="553">
    <w:name w:val="日期 字符1"/>
    <w:qFormat/>
    <w:uiPriority w:val="99"/>
    <w:rPr>
      <w:rFonts w:eastAsia="楷体_GB2312"/>
      <w:kern w:val="2"/>
      <w:sz w:val="32"/>
      <w:lang w:val="en-US" w:eastAsia="zh-CN" w:bidi="ar-SA"/>
    </w:rPr>
  </w:style>
  <w:style w:type="character" w:customStyle="1" w:styleId="554">
    <w:name w:val="页眉 字符1"/>
    <w:qFormat/>
    <w:uiPriority w:val="99"/>
    <w:rPr>
      <w:kern w:val="2"/>
      <w:sz w:val="18"/>
      <w:szCs w:val="18"/>
    </w:rPr>
  </w:style>
  <w:style w:type="character" w:customStyle="1" w:styleId="555">
    <w:name w:val="正文文本 2 字符1"/>
    <w:qFormat/>
    <w:uiPriority w:val="99"/>
    <w:rPr>
      <w:rFonts w:ascii="宋体" w:hAnsi="宋体" w:eastAsia="宋体"/>
      <w:color w:val="000000"/>
      <w:kern w:val="2"/>
      <w:sz w:val="24"/>
      <w:szCs w:val="24"/>
      <w:lang w:val="en-US" w:eastAsia="zh-CN" w:bidi="ar-SA"/>
    </w:rPr>
  </w:style>
  <w:style w:type="character" w:customStyle="1" w:styleId="556">
    <w:name w:val="正文文本缩进 2 字符1"/>
    <w:qFormat/>
    <w:uiPriority w:val="99"/>
    <w:rPr>
      <w:rFonts w:ascii="仿宋_GB2312" w:hAnsi="宋体" w:cs="Arial"/>
      <w:b/>
      <w:bCs/>
      <w:color w:val="000000"/>
      <w:kern w:val="2"/>
      <w:sz w:val="24"/>
      <w:szCs w:val="24"/>
    </w:rPr>
  </w:style>
  <w:style w:type="character" w:customStyle="1" w:styleId="557">
    <w:name w:val="标题 5 字符1"/>
    <w:qFormat/>
    <w:uiPriority w:val="99"/>
    <w:rPr>
      <w:rFonts w:eastAsia="宋体"/>
      <w:b/>
      <w:bCs/>
      <w:kern w:val="2"/>
      <w:sz w:val="28"/>
      <w:szCs w:val="28"/>
      <w:lang w:bidi="ar-SA"/>
    </w:rPr>
  </w:style>
  <w:style w:type="character" w:customStyle="1" w:styleId="558">
    <w:name w:val="副标题 字符1"/>
    <w:qFormat/>
    <w:uiPriority w:val="99"/>
    <w:rPr>
      <w:rFonts w:ascii="Times New Roman" w:hAnsi="Times New Roman" w:eastAsia="Times New Roman"/>
      <w:kern w:val="2"/>
      <w:sz w:val="18"/>
      <w:szCs w:val="18"/>
      <w:lang w:val="en-US" w:eastAsia="zh-CN"/>
    </w:rPr>
  </w:style>
  <w:style w:type="character" w:customStyle="1" w:styleId="559">
    <w:name w:val="标题 6 字符1"/>
    <w:qFormat/>
    <w:uiPriority w:val="99"/>
    <w:rPr>
      <w:rFonts w:ascii="Arial" w:hAnsi="Arial" w:eastAsia="黑体"/>
      <w:b/>
      <w:bCs/>
      <w:kern w:val="2"/>
      <w:sz w:val="24"/>
      <w:szCs w:val="24"/>
      <w:lang w:val="en-US" w:eastAsia="zh-CN" w:bidi="ar-SA"/>
    </w:rPr>
  </w:style>
  <w:style w:type="character" w:customStyle="1" w:styleId="560">
    <w:name w:val="HTML 预设格式 字符1"/>
    <w:qFormat/>
    <w:uiPriority w:val="99"/>
    <w:rPr>
      <w:rFonts w:ascii="Courier New" w:hAnsi="Courier New" w:cs="Courier New"/>
      <w:kern w:val="2"/>
    </w:rPr>
  </w:style>
  <w:style w:type="character" w:customStyle="1" w:styleId="561">
    <w:name w:val="正文文本 3 字符1"/>
    <w:qFormat/>
    <w:uiPriority w:val="99"/>
    <w:rPr>
      <w:rFonts w:ascii="Times New Roman" w:hAnsi="宋体" w:eastAsia="仿宋_GB2312"/>
      <w:b/>
      <w:bCs/>
      <w:kern w:val="2"/>
      <w:sz w:val="24"/>
    </w:rPr>
  </w:style>
  <w:style w:type="character" w:customStyle="1" w:styleId="562">
    <w:name w:val="称呼 字符1"/>
    <w:qFormat/>
    <w:uiPriority w:val="99"/>
    <w:rPr>
      <w:rFonts w:ascii="宋体" w:hAnsi="Times New Roman"/>
      <w:b/>
      <w:kern w:val="2"/>
      <w:sz w:val="28"/>
    </w:rPr>
  </w:style>
  <w:style w:type="character" w:customStyle="1" w:styleId="563">
    <w:name w:val="标题 3 字符1"/>
    <w:qFormat/>
    <w:uiPriority w:val="99"/>
    <w:rPr>
      <w:rFonts w:ascii="Calibri" w:hAnsi="Calibri" w:eastAsia="宋体"/>
      <w:b/>
      <w:bCs/>
      <w:kern w:val="2"/>
      <w:sz w:val="32"/>
      <w:szCs w:val="32"/>
      <w:lang w:val="en-US" w:eastAsia="zh-CN" w:bidi="ar-SA"/>
    </w:rPr>
  </w:style>
  <w:style w:type="character" w:customStyle="1" w:styleId="564">
    <w:name w:val="纯文本 字符1"/>
    <w:qFormat/>
    <w:uiPriority w:val="99"/>
    <w:rPr>
      <w:rFonts w:ascii="宋体" w:hAnsi="Courier New"/>
      <w:kern w:val="2"/>
      <w:sz w:val="24"/>
      <w:szCs w:val="24"/>
    </w:rPr>
  </w:style>
  <w:style w:type="character" w:customStyle="1" w:styleId="565">
    <w:name w:val="批注主题 字符"/>
    <w:basedOn w:val="535"/>
    <w:link w:val="50"/>
    <w:semiHidden/>
    <w:qFormat/>
    <w:uiPriority w:val="99"/>
    <w:rPr>
      <w:b/>
      <w:bCs/>
      <w:kern w:val="2"/>
      <w:sz w:val="21"/>
      <w:szCs w:val="22"/>
    </w:rPr>
  </w:style>
  <w:style w:type="character" w:customStyle="1" w:styleId="566">
    <w:name w:val="正文首行缩进 2 字符"/>
    <w:basedOn w:val="550"/>
    <w:link w:val="52"/>
    <w:qFormat/>
    <w:uiPriority w:val="99"/>
    <w:rPr>
      <w:rFonts w:ascii="宋体" w:hAnsi="Courier New" w:eastAsia="宋体"/>
      <w:spacing w:val="-4"/>
      <w:kern w:val="2"/>
      <w:sz w:val="21"/>
      <w:lang w:val="en-US" w:eastAsia="zh-CN" w:bidi="ar-SA"/>
    </w:rPr>
  </w:style>
  <w:style w:type="paragraph" w:customStyle="1" w:styleId="567">
    <w:name w:val="批注主题11"/>
    <w:basedOn w:val="19"/>
    <w:next w:val="19"/>
    <w:qFormat/>
    <w:uiPriority w:val="99"/>
    <w:rPr>
      <w:b/>
      <w:bCs/>
      <w:kern w:val="0"/>
      <w:sz w:val="20"/>
      <w:szCs w:val="20"/>
    </w:rPr>
  </w:style>
  <w:style w:type="paragraph" w:customStyle="1" w:styleId="568">
    <w:name w:val="文档结构图2"/>
    <w:basedOn w:val="1"/>
    <w:qFormat/>
    <w:uiPriority w:val="99"/>
    <w:rPr>
      <w:rFonts w:ascii="宋体"/>
      <w:kern w:val="0"/>
      <w:sz w:val="18"/>
      <w:szCs w:val="18"/>
    </w:rPr>
  </w:style>
  <w:style w:type="paragraph" w:customStyle="1" w:styleId="569">
    <w:name w:val="无间隔3"/>
    <w:qFormat/>
    <w:uiPriority w:val="99"/>
    <w:rPr>
      <w:rFonts w:ascii="Times New Roman" w:hAnsi="Times New Roman" w:eastAsia="宋体" w:cs="Times New Roman"/>
      <w:sz w:val="22"/>
      <w:lang w:val="en-US" w:eastAsia="zh-CN" w:bidi="ar-SA"/>
    </w:rPr>
  </w:style>
  <w:style w:type="paragraph" w:customStyle="1" w:styleId="570">
    <w:name w:val="Char Char1 Char2"/>
    <w:basedOn w:val="1"/>
    <w:qFormat/>
    <w:uiPriority w:val="99"/>
    <w:rPr>
      <w:rFonts w:ascii="仿宋_GB2312" w:eastAsia="Times New Roman"/>
      <w:b/>
      <w:sz w:val="32"/>
      <w:szCs w:val="32"/>
    </w:rPr>
  </w:style>
  <w:style w:type="paragraph" w:customStyle="1" w:styleId="571">
    <w:name w:val="Char3"/>
    <w:basedOn w:val="1"/>
    <w:qFormat/>
    <w:uiPriority w:val="99"/>
    <w:rPr>
      <w:rFonts w:ascii="仿宋_GB2312" w:eastAsia="Times New Roman"/>
      <w:b/>
      <w:sz w:val="32"/>
      <w:szCs w:val="32"/>
    </w:rPr>
  </w:style>
  <w:style w:type="paragraph" w:customStyle="1" w:styleId="572">
    <w:name w:val="_Style 11811"/>
    <w:basedOn w:val="1"/>
    <w:qFormat/>
    <w:uiPriority w:val="99"/>
    <w:rPr>
      <w:rFonts w:ascii="Calibri" w:hAnsi="Calibri"/>
    </w:rPr>
  </w:style>
  <w:style w:type="paragraph" w:customStyle="1" w:styleId="573">
    <w:name w:val="Char Char1 Char Char Char Char Char Char1"/>
    <w:basedOn w:val="1"/>
    <w:qFormat/>
    <w:uiPriority w:val="99"/>
    <w:rPr>
      <w:sz w:val="36"/>
      <w:szCs w:val="24"/>
    </w:rPr>
  </w:style>
  <w:style w:type="paragraph" w:customStyle="1" w:styleId="574">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5">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6">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7">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8">
    <w:name w:val="正文首行缩进 22"/>
    <w:basedOn w:val="579"/>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9">
    <w:name w:val="正文文本缩进2"/>
    <w:basedOn w:val="1"/>
    <w:qFormat/>
    <w:uiPriority w:val="99"/>
    <w:pPr>
      <w:ind w:left="420" w:leftChars="200"/>
    </w:pPr>
    <w:rPr>
      <w:rFonts w:cs="黑体"/>
    </w:rPr>
  </w:style>
  <w:style w:type="paragraph" w:customStyle="1" w:styleId="580">
    <w:name w:val="_Style 546"/>
    <w:basedOn w:val="1"/>
    <w:link w:val="615"/>
    <w:qFormat/>
    <w:uiPriority w:val="99"/>
    <w:pPr>
      <w:ind w:firstLine="420" w:firstLineChars="200"/>
    </w:pPr>
  </w:style>
  <w:style w:type="paragraph" w:customStyle="1" w:styleId="581">
    <w:name w:val="_Style 547"/>
    <w:basedOn w:val="1"/>
    <w:next w:val="1"/>
    <w:link w:val="619"/>
    <w:qFormat/>
    <w:uiPriority w:val="99"/>
    <w:pPr>
      <w:widowControl/>
      <w:pBdr>
        <w:top w:val="single" w:color="auto" w:sz="6" w:space="1"/>
      </w:pBdr>
      <w:jc w:val="center"/>
    </w:pPr>
    <w:rPr>
      <w:rFonts w:ascii="Arial" w:hAnsi="Arial"/>
      <w:vanish/>
      <w:kern w:val="0"/>
      <w:sz w:val="16"/>
      <w:szCs w:val="16"/>
    </w:rPr>
  </w:style>
  <w:style w:type="paragraph" w:customStyle="1" w:styleId="582">
    <w:name w:val="Char1 Char Char Char2"/>
    <w:basedOn w:val="1"/>
    <w:qFormat/>
    <w:uiPriority w:val="99"/>
    <w:rPr>
      <w:rFonts w:ascii="Tahoma" w:hAnsi="Tahoma"/>
      <w:sz w:val="24"/>
      <w:szCs w:val="20"/>
    </w:rPr>
  </w:style>
  <w:style w:type="paragraph" w:customStyle="1" w:styleId="583">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4">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5">
    <w:name w:val="_Style 551"/>
    <w:basedOn w:val="1"/>
    <w:next w:val="1"/>
    <w:link w:val="624"/>
    <w:qFormat/>
    <w:uiPriority w:val="99"/>
    <w:pPr>
      <w:widowControl/>
      <w:pBdr>
        <w:bottom w:val="single" w:color="auto" w:sz="6" w:space="1"/>
      </w:pBdr>
      <w:jc w:val="center"/>
    </w:pPr>
    <w:rPr>
      <w:rFonts w:ascii="Arial" w:hAnsi="Arial"/>
      <w:vanish/>
      <w:kern w:val="0"/>
      <w:sz w:val="16"/>
      <w:szCs w:val="16"/>
    </w:rPr>
  </w:style>
  <w:style w:type="paragraph" w:customStyle="1" w:styleId="586">
    <w:name w:val="列出段落2"/>
    <w:basedOn w:val="1"/>
    <w:qFormat/>
    <w:uiPriority w:val="99"/>
    <w:pPr>
      <w:ind w:firstLine="420" w:firstLineChars="200"/>
    </w:pPr>
    <w:rPr>
      <w:szCs w:val="24"/>
    </w:rPr>
  </w:style>
  <w:style w:type="paragraph" w:customStyle="1" w:styleId="587">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8">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9">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0">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1">
    <w:name w:val="正文文字 Char1"/>
    <w:qFormat/>
    <w:uiPriority w:val="99"/>
    <w:rPr>
      <w:rFonts w:ascii="Arial" w:hAnsi="Arial" w:eastAsia="宋体"/>
      <w:kern w:val="2"/>
      <w:sz w:val="24"/>
      <w:lang w:val="en-US" w:eastAsia="zh-CN"/>
    </w:rPr>
  </w:style>
  <w:style w:type="character" w:customStyle="1" w:styleId="592">
    <w:name w:val="Char Char132"/>
    <w:qFormat/>
    <w:uiPriority w:val="99"/>
    <w:rPr>
      <w:rFonts w:ascii="Calibri" w:hAnsi="Calibri" w:eastAsia="宋体"/>
      <w:sz w:val="18"/>
    </w:rPr>
  </w:style>
  <w:style w:type="character" w:customStyle="1" w:styleId="593">
    <w:name w:val="H1 Char31"/>
    <w:qFormat/>
    <w:uiPriority w:val="99"/>
    <w:rPr>
      <w:rFonts w:ascii="Times New Roman" w:hAnsi="Times New Roman" w:eastAsia="隶书"/>
      <w:b/>
      <w:sz w:val="36"/>
      <w:lang w:val="en-US" w:eastAsia="zh-CN"/>
    </w:rPr>
  </w:style>
  <w:style w:type="character" w:customStyle="1" w:styleId="594">
    <w:name w:val="页脚 Char11"/>
    <w:qFormat/>
    <w:uiPriority w:val="99"/>
    <w:rPr>
      <w:rFonts w:ascii="Times New Roman" w:hAnsi="Times New Roman" w:eastAsia="宋体"/>
      <w:kern w:val="2"/>
      <w:sz w:val="18"/>
    </w:rPr>
  </w:style>
  <w:style w:type="character" w:customStyle="1" w:styleId="595">
    <w:name w:val="Char Char92"/>
    <w:qFormat/>
    <w:uiPriority w:val="99"/>
    <w:rPr>
      <w:rFonts w:ascii="Times New Roman" w:hAnsi="Times New Roman" w:eastAsia="宋体"/>
      <w:b/>
      <w:kern w:val="44"/>
      <w:sz w:val="44"/>
    </w:rPr>
  </w:style>
  <w:style w:type="character" w:customStyle="1" w:styleId="596">
    <w:name w:val="表正文 Char11"/>
    <w:qFormat/>
    <w:uiPriority w:val="99"/>
    <w:rPr>
      <w:rFonts w:ascii="Times New Roman" w:hAnsi="Times New Roman" w:eastAsia="宋体"/>
      <w:kern w:val="2"/>
      <w:sz w:val="24"/>
      <w:lang w:val="en-US" w:eastAsia="zh-CN"/>
    </w:rPr>
  </w:style>
  <w:style w:type="character" w:customStyle="1" w:styleId="597">
    <w:name w:val="H2 Char31"/>
    <w:qFormat/>
    <w:uiPriority w:val="99"/>
    <w:rPr>
      <w:rFonts w:ascii="Arial" w:hAnsi="Arial" w:eastAsia="黑体"/>
      <w:b/>
      <w:kern w:val="2"/>
      <w:sz w:val="32"/>
      <w:lang w:val="en-US" w:eastAsia="zh-CN"/>
    </w:rPr>
  </w:style>
  <w:style w:type="character" w:customStyle="1" w:styleId="598">
    <w:name w:val="h4 Char21"/>
    <w:qFormat/>
    <w:uiPriority w:val="99"/>
    <w:rPr>
      <w:rFonts w:ascii="Arial" w:hAnsi="Arial" w:eastAsia="黑体"/>
      <w:b/>
      <w:kern w:val="2"/>
      <w:sz w:val="28"/>
      <w:lang w:val="en-US" w:eastAsia="zh-CN"/>
    </w:rPr>
  </w:style>
  <w:style w:type="character" w:customStyle="1" w:styleId="599">
    <w:name w:val="h3 Char1"/>
    <w:qFormat/>
    <w:uiPriority w:val="99"/>
    <w:rPr>
      <w:rFonts w:ascii="Times New Roman" w:hAnsi="Times New Roman" w:eastAsia="宋体"/>
      <w:b/>
      <w:kern w:val="2"/>
      <w:sz w:val="32"/>
    </w:rPr>
  </w:style>
  <w:style w:type="character" w:customStyle="1" w:styleId="600">
    <w:name w:val="页眉 Char11"/>
    <w:qFormat/>
    <w:uiPriority w:val="99"/>
    <w:rPr>
      <w:rFonts w:ascii="Times New Roman" w:hAnsi="Times New Roman" w:eastAsia="宋体"/>
      <w:kern w:val="2"/>
      <w:sz w:val="18"/>
    </w:rPr>
  </w:style>
  <w:style w:type="character" w:customStyle="1" w:styleId="601">
    <w:name w:val="表正文 Char21"/>
    <w:qFormat/>
    <w:uiPriority w:val="99"/>
    <w:rPr>
      <w:rFonts w:ascii="Times New Roman" w:hAnsi="Times New Roman" w:eastAsia="宋体"/>
      <w:kern w:val="2"/>
      <w:sz w:val="21"/>
      <w:lang w:val="en-US" w:eastAsia="zh-CN"/>
    </w:rPr>
  </w:style>
  <w:style w:type="character" w:customStyle="1" w:styleId="602">
    <w:name w:val="Char Char82"/>
    <w:qFormat/>
    <w:uiPriority w:val="99"/>
    <w:rPr>
      <w:rFonts w:ascii="Arial" w:hAnsi="Arial" w:eastAsia="黑体"/>
      <w:b/>
      <w:kern w:val="2"/>
      <w:sz w:val="32"/>
      <w:lang w:val="en-US" w:eastAsia="zh-CN"/>
    </w:rPr>
  </w:style>
  <w:style w:type="character" w:customStyle="1" w:styleId="603">
    <w:name w:val="h Char1"/>
    <w:qFormat/>
    <w:uiPriority w:val="99"/>
    <w:rPr>
      <w:rFonts w:ascii="Calibri" w:hAnsi="Calibri" w:eastAsia="宋体"/>
      <w:sz w:val="18"/>
    </w:rPr>
  </w:style>
  <w:style w:type="character" w:customStyle="1" w:styleId="604">
    <w:name w:val="Char Char122"/>
    <w:qFormat/>
    <w:uiPriority w:val="99"/>
    <w:rPr>
      <w:rFonts w:ascii="宋体" w:hAnsi="Courier New" w:eastAsia="宋体"/>
      <w:spacing w:val="-4"/>
      <w:sz w:val="20"/>
    </w:rPr>
  </w:style>
  <w:style w:type="character" w:customStyle="1" w:styleId="605">
    <w:name w:val="Char Char42"/>
    <w:qFormat/>
    <w:uiPriority w:val="99"/>
    <w:rPr>
      <w:rFonts w:ascii="Calibri" w:hAnsi="Calibri" w:eastAsia="宋体"/>
      <w:sz w:val="18"/>
    </w:rPr>
  </w:style>
  <w:style w:type="character" w:customStyle="1" w:styleId="606">
    <w:name w:val="Char Char52"/>
    <w:qFormat/>
    <w:uiPriority w:val="99"/>
    <w:rPr>
      <w:rFonts w:ascii="Calibri" w:hAnsi="Calibri" w:eastAsia="宋体"/>
      <w:sz w:val="18"/>
    </w:rPr>
  </w:style>
  <w:style w:type="character" w:customStyle="1" w:styleId="607">
    <w:name w:val="标题 3 Char11"/>
    <w:qFormat/>
    <w:uiPriority w:val="99"/>
    <w:rPr>
      <w:rFonts w:ascii="Calibri" w:hAnsi="Calibri" w:eastAsia="宋体"/>
      <w:b/>
      <w:kern w:val="2"/>
      <w:sz w:val="32"/>
      <w:lang w:val="en-US" w:eastAsia="zh-CN"/>
    </w:rPr>
  </w:style>
  <w:style w:type="character" w:customStyle="1" w:styleId="608">
    <w:name w:val="标题 2 Char11"/>
    <w:qFormat/>
    <w:uiPriority w:val="99"/>
    <w:rPr>
      <w:rFonts w:ascii="Arial" w:hAnsi="Arial" w:eastAsia="黑体"/>
      <w:b/>
      <w:kern w:val="2"/>
      <w:sz w:val="32"/>
      <w:lang w:val="en-US" w:eastAsia="zh-CN"/>
    </w:rPr>
  </w:style>
  <w:style w:type="character" w:customStyle="1" w:styleId="609">
    <w:name w:val="Char Char142"/>
    <w:qFormat/>
    <w:uiPriority w:val="99"/>
    <w:rPr>
      <w:rFonts w:ascii="Calibri" w:hAnsi="Calibri" w:eastAsia="宋体"/>
      <w:b/>
      <w:sz w:val="28"/>
    </w:rPr>
  </w:style>
  <w:style w:type="character" w:customStyle="1" w:styleId="610">
    <w:name w:val="Char Char72"/>
    <w:qFormat/>
    <w:uiPriority w:val="99"/>
    <w:rPr>
      <w:rFonts w:ascii="Times New Roman" w:hAnsi="Times New Roman" w:eastAsia="宋体"/>
      <w:b/>
      <w:kern w:val="2"/>
      <w:sz w:val="32"/>
    </w:rPr>
  </w:style>
  <w:style w:type="character" w:customStyle="1" w:styleId="611">
    <w:name w:val="Normal Indent Char Char1"/>
    <w:qFormat/>
    <w:uiPriority w:val="99"/>
    <w:rPr>
      <w:rFonts w:ascii="Times New Roman" w:hAnsi="Times New Roman" w:eastAsia="宋体"/>
      <w:kern w:val="2"/>
      <w:sz w:val="24"/>
      <w:lang w:val="en-US" w:eastAsia="zh-CN"/>
    </w:rPr>
  </w:style>
  <w:style w:type="character" w:customStyle="1" w:styleId="612">
    <w:name w:val="普通文字 Char Char21"/>
    <w:qFormat/>
    <w:uiPriority w:val="99"/>
    <w:rPr>
      <w:rFonts w:ascii="宋体" w:hAnsi="Courier New" w:eastAsia="宋体"/>
      <w:sz w:val="21"/>
      <w:lang w:val="en-US" w:eastAsia="zh-CN"/>
    </w:rPr>
  </w:style>
  <w:style w:type="character" w:customStyle="1" w:styleId="613">
    <w:name w:val="标题 4 Char11"/>
    <w:qFormat/>
    <w:uiPriority w:val="99"/>
    <w:rPr>
      <w:rFonts w:ascii="Cambria" w:hAnsi="Cambria" w:eastAsia="宋体"/>
      <w:b/>
      <w:kern w:val="2"/>
      <w:sz w:val="28"/>
    </w:rPr>
  </w:style>
  <w:style w:type="character" w:customStyle="1" w:styleId="614">
    <w:name w:val="Char Char62"/>
    <w:qFormat/>
    <w:uiPriority w:val="99"/>
    <w:rPr>
      <w:rFonts w:ascii="Calibri" w:hAnsi="Calibri" w:eastAsia="宋体"/>
      <w:b/>
      <w:kern w:val="2"/>
      <w:sz w:val="28"/>
    </w:rPr>
  </w:style>
  <w:style w:type="character" w:customStyle="1" w:styleId="615">
    <w:name w:val="列出段落 Char"/>
    <w:link w:val="580"/>
    <w:qFormat/>
    <w:locked/>
    <w:uiPriority w:val="99"/>
    <w:rPr>
      <w:kern w:val="2"/>
      <w:sz w:val="21"/>
      <w:szCs w:val="22"/>
    </w:rPr>
  </w:style>
  <w:style w:type="character" w:customStyle="1" w:styleId="616">
    <w:name w:val="H1 Char21"/>
    <w:qFormat/>
    <w:uiPriority w:val="99"/>
    <w:rPr>
      <w:rFonts w:ascii="Times New Roman" w:hAnsi="Times New Roman" w:eastAsia="隶书"/>
      <w:b/>
      <w:sz w:val="36"/>
      <w:lang w:val="en-US" w:eastAsia="zh-CN"/>
    </w:rPr>
  </w:style>
  <w:style w:type="character" w:customStyle="1" w:styleId="617">
    <w:name w:val="Char Char22"/>
    <w:qFormat/>
    <w:uiPriority w:val="99"/>
    <w:rPr>
      <w:rFonts w:ascii="宋体" w:hAnsi="Courier New" w:eastAsia="宋体"/>
      <w:sz w:val="21"/>
      <w:lang w:val="en-US" w:eastAsia="zh-CN"/>
    </w:rPr>
  </w:style>
  <w:style w:type="character" w:customStyle="1" w:styleId="618">
    <w:name w:val="Char Char15"/>
    <w:qFormat/>
    <w:uiPriority w:val="99"/>
    <w:rPr>
      <w:rFonts w:ascii="Times New Roman" w:hAnsi="Times New Roman" w:eastAsia="宋体"/>
      <w:kern w:val="2"/>
      <w:sz w:val="18"/>
    </w:rPr>
  </w:style>
  <w:style w:type="character" w:customStyle="1" w:styleId="619">
    <w:name w:val="z-窗体底端 Char"/>
    <w:link w:val="581"/>
    <w:qFormat/>
    <w:locked/>
    <w:uiPriority w:val="99"/>
    <w:rPr>
      <w:rFonts w:ascii="Arial" w:hAnsi="Arial"/>
      <w:vanish/>
      <w:sz w:val="16"/>
      <w:szCs w:val="16"/>
    </w:rPr>
  </w:style>
  <w:style w:type="character" w:customStyle="1" w:styleId="620">
    <w:name w:val="标题 1 Char11"/>
    <w:qFormat/>
    <w:uiPriority w:val="99"/>
    <w:rPr>
      <w:rFonts w:ascii="Times New Roman" w:hAnsi="Times New Roman" w:eastAsia="宋体"/>
      <w:b/>
      <w:kern w:val="44"/>
      <w:sz w:val="44"/>
    </w:rPr>
  </w:style>
  <w:style w:type="character" w:customStyle="1" w:styleId="621">
    <w:name w:val="纯文本 Char1"/>
    <w:qFormat/>
    <w:uiPriority w:val="99"/>
    <w:rPr>
      <w:rFonts w:ascii="宋体" w:hAnsi="Courier New" w:eastAsia="宋体"/>
      <w:kern w:val="2"/>
      <w:sz w:val="24"/>
    </w:rPr>
  </w:style>
  <w:style w:type="character" w:customStyle="1" w:styleId="622">
    <w:name w:val="Char2 Char1"/>
    <w:qFormat/>
    <w:uiPriority w:val="99"/>
    <w:rPr>
      <w:rFonts w:ascii="Verdana" w:hAnsi="宋体" w:eastAsia="宋体"/>
      <w:sz w:val="28"/>
    </w:rPr>
  </w:style>
  <w:style w:type="character" w:customStyle="1" w:styleId="623">
    <w:name w:val="Char Char32"/>
    <w:qFormat/>
    <w:uiPriority w:val="99"/>
    <w:rPr>
      <w:rFonts w:ascii="Arial" w:hAnsi="Arial" w:eastAsia="黑体"/>
      <w:b/>
      <w:kern w:val="2"/>
      <w:sz w:val="32"/>
      <w:lang w:val="en-US" w:eastAsia="zh-CN"/>
    </w:rPr>
  </w:style>
  <w:style w:type="character" w:customStyle="1" w:styleId="624">
    <w:name w:val="z-窗体顶端 Char"/>
    <w:link w:val="585"/>
    <w:qFormat/>
    <w:locked/>
    <w:uiPriority w:val="99"/>
    <w:rPr>
      <w:rFonts w:ascii="Arial" w:hAnsi="Arial"/>
      <w:vanish/>
      <w:sz w:val="16"/>
      <w:szCs w:val="16"/>
    </w:rPr>
  </w:style>
  <w:style w:type="character" w:customStyle="1" w:styleId="625">
    <w:name w:val="普通文字 Char Char11"/>
    <w:qFormat/>
    <w:uiPriority w:val="99"/>
    <w:rPr>
      <w:rFonts w:ascii="宋体" w:hAnsi="Courier New" w:eastAsia="宋体"/>
      <w:sz w:val="20"/>
    </w:rPr>
  </w:style>
  <w:style w:type="character" w:customStyle="1" w:styleId="626">
    <w:name w:val="Footer-Even Char11"/>
    <w:qFormat/>
    <w:uiPriority w:val="99"/>
    <w:rPr>
      <w:rFonts w:ascii="Times New Roman" w:hAnsi="Times New Roman" w:eastAsia="宋体"/>
      <w:kern w:val="2"/>
      <w:sz w:val="18"/>
    </w:rPr>
  </w:style>
  <w:style w:type="character" w:customStyle="1" w:styleId="627">
    <w:name w:val="font21"/>
    <w:basedOn w:val="55"/>
    <w:qFormat/>
    <w:uiPriority w:val="99"/>
    <w:rPr>
      <w:rFonts w:ascii="宋体" w:hAnsi="宋体" w:eastAsia="宋体" w:cs="宋体"/>
      <w:color w:val="000000"/>
      <w:sz w:val="21"/>
      <w:szCs w:val="21"/>
      <w:u w:val="none"/>
    </w:rPr>
  </w:style>
  <w:style w:type="character" w:customStyle="1" w:styleId="628">
    <w:name w:val="font11"/>
    <w:basedOn w:val="55"/>
    <w:qFormat/>
    <w:uiPriority w:val="99"/>
    <w:rPr>
      <w:rFonts w:ascii="Calibri" w:hAnsi="Calibri" w:cs="Calibri"/>
      <w:color w:val="000000"/>
      <w:sz w:val="21"/>
      <w:szCs w:val="21"/>
      <w:u w:val="none"/>
    </w:rPr>
  </w:style>
  <w:style w:type="paragraph" w:customStyle="1" w:styleId="629">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0">
    <w:name w:val="List Paragraph"/>
    <w:basedOn w:val="1"/>
    <w:qFormat/>
    <w:uiPriority w:val="99"/>
    <w:pPr>
      <w:ind w:firstLine="420" w:firstLineChars="200"/>
    </w:pPr>
    <w:rPr>
      <w:rFonts w:ascii="Calibri" w:hAnsi="Calibri"/>
      <w:sz w:val="28"/>
    </w:rPr>
  </w:style>
  <w:style w:type="paragraph" w:customStyle="1" w:styleId="631">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2">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3">
    <w:name w:val="题注 字符"/>
    <w:link w:val="16"/>
    <w:qFormat/>
    <w:locked/>
    <w:uiPriority w:val="0"/>
    <w:rPr>
      <w:rFonts w:ascii="Arial" w:hAnsi="Arial" w:eastAsia="黑体" w:cs="Arial"/>
      <w:kern w:val="2"/>
    </w:rPr>
  </w:style>
  <w:style w:type="character" w:customStyle="1" w:styleId="634">
    <w:name w:val="bulletintext"/>
    <w:basedOn w:val="55"/>
    <w:qFormat/>
    <w:uiPriority w:val="99"/>
    <w:rPr>
      <w:rFonts w:cs="Times New Roman"/>
    </w:rPr>
  </w:style>
  <w:style w:type="paragraph" w:customStyle="1" w:styleId="635">
    <w:name w:val="样式3"/>
    <w:basedOn w:val="1"/>
    <w:qFormat/>
    <w:uiPriority w:val="99"/>
    <w:pPr>
      <w:tabs>
        <w:tab w:val="left" w:pos="360"/>
      </w:tabs>
      <w:spacing w:line="360" w:lineRule="auto"/>
    </w:pPr>
    <w:rPr>
      <w:rFonts w:ascii="宋体"/>
      <w:sz w:val="24"/>
    </w:rPr>
  </w:style>
  <w:style w:type="character" w:customStyle="1" w:styleId="636">
    <w:name w:val="bookmark-item"/>
    <w:basedOn w:val="55"/>
    <w:qFormat/>
    <w:uiPriority w:val="0"/>
  </w:style>
  <w:style w:type="paragraph" w:customStyle="1" w:styleId="6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8">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9">
    <w:name w:val="正文文本首行缩进 字符"/>
    <w:link w:val="51"/>
    <w:qFormat/>
    <w:uiPriority w:val="99"/>
    <w:rPr>
      <w:rFonts w:ascii="Calibri" w:hAnsi="Calibri" w:eastAsia="宋体" w:cs="Times New Roman"/>
      <w:kern w:val="2"/>
      <w:sz w:val="21"/>
      <w:szCs w:val="22"/>
      <w:lang w:val="en-US" w:eastAsia="zh-CN" w:bidi="ar-SA"/>
    </w:rPr>
  </w:style>
  <w:style w:type="character" w:customStyle="1" w:styleId="640">
    <w:name w:val="正文文本首行缩进 2 字符"/>
    <w:basedOn w:val="550"/>
    <w:link w:val="52"/>
    <w:qFormat/>
    <w:uiPriority w:val="99"/>
    <w:rPr>
      <w:rFonts w:ascii="宋体" w:hAnsi="Courier New" w:eastAsia="宋体" w:cs="Times New Roman"/>
      <w:spacing w:val="-4"/>
      <w:kern w:val="2"/>
      <w:sz w:val="21"/>
      <w:lang w:val="en-US" w:eastAsia="zh-CN" w:bidi="ar-SA"/>
    </w:rPr>
  </w:style>
  <w:style w:type="paragraph" w:customStyle="1" w:styleId="641">
    <w:name w:val="TOC 标题1"/>
    <w:basedOn w:val="2"/>
    <w:next w:val="1"/>
    <w:semiHidden/>
    <w:unhideWhenUsed/>
    <w:qFormat/>
    <w:uiPriority w:val="39"/>
    <w:pPr>
      <w:keepNext/>
      <w:keepLines/>
      <w:widowControl/>
      <w:autoSpaceDE/>
      <w:autoSpaceDN/>
      <w:adjustRightInd/>
      <w:spacing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642">
    <w:name w:val="列表段落1"/>
    <w:basedOn w:val="1"/>
    <w:qFormat/>
    <w:uiPriority w:val="0"/>
    <w:pPr>
      <w:ind w:firstLine="420" w:firstLineChars="200"/>
    </w:pPr>
    <w:rPr>
      <w:rFonts w:asciiTheme="minorHAnsi" w:hAnsiTheme="minorHAnsi" w:eastAsiaTheme="minorEastAsia" w:cstheme="minorBidi"/>
      <w:sz w:val="24"/>
      <w:szCs w:val="24"/>
    </w:rPr>
  </w:style>
  <w:style w:type="paragraph" w:customStyle="1" w:styleId="643">
    <w:name w:val="目次、标准名称标题"/>
    <w:basedOn w:val="644"/>
    <w:next w:val="367"/>
    <w:qFormat/>
    <w:uiPriority w:val="0"/>
    <w:pPr>
      <w:spacing w:line="460" w:lineRule="exact"/>
    </w:pPr>
  </w:style>
  <w:style w:type="paragraph" w:customStyle="1" w:styleId="64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5">
    <w:name w:val="章标题"/>
    <w:next w:val="367"/>
    <w:qFormat/>
    <w:uiPriority w:val="0"/>
    <w:pPr>
      <w:numPr>
        <w:ilvl w:val="1"/>
        <w:numId w:val="18"/>
      </w:numPr>
      <w:spacing w:beforeLines="50" w:afterLines="50"/>
      <w:jc w:val="both"/>
      <w:outlineLvl w:val="1"/>
    </w:pPr>
    <w:rPr>
      <w:rFonts w:ascii="黑体" w:hAnsi="Times New Roman" w:eastAsia="黑体" w:cs="Times New Roman"/>
      <w:sz w:val="21"/>
      <w:lang w:val="en-US" w:eastAsia="zh-CN" w:bidi="ar-SA"/>
    </w:rPr>
  </w:style>
  <w:style w:type="table" w:customStyle="1" w:styleId="646">
    <w:name w:val="网格型2"/>
    <w:basedOn w:val="5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132</Pages>
  <Words>20117</Words>
  <Characters>21339</Characters>
  <Lines>429</Lines>
  <Paragraphs>935</Paragraphs>
  <TotalTime>0</TotalTime>
  <ScaleCrop>false</ScaleCrop>
  <LinksUpToDate>false</LinksUpToDate>
  <CharactersWithSpaces>22024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2025-07-17T01:02:42Z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097D72EF37AF4B86AF85FF20F6D178D8</vt:lpwstr>
  </property>
  <property fmtid="{D5CDD505-2E9C-101B-9397-08002B2CF9AE}" pid="4" name="KSOTemplateDocerSaveRecord">
    <vt:lpwstr>eyJoZGlkIjoiYzgyOGZjMWMzOWYxZTYxYTAwMWY1N2QwMjFkNjUyNGUiLCJ1c2VySWQiOiI2MTE2MDM3OTEifQ==</vt:lpwstr>
  </property>
</Properties>
</file>