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360" w:lineRule="auto"/>
        <w:jc w:val="center"/>
        <w:rPr>
          <w:rFonts w:hint="eastAsia" w:ascii="宋体" w:hAnsi="宋体" w:eastAsia="宋体"/>
          <w:color w:val="000000" w:themeColor="text1"/>
          <w:sz w:val="36"/>
          <w:szCs w:val="36"/>
          <w:lang w:eastAsia="zh-CN"/>
          <w14:textFill>
            <w14:solidFill>
              <w14:schemeClr w14:val="tx1"/>
            </w14:solidFill>
          </w14:textFill>
        </w:rPr>
      </w:pPr>
      <w:r>
        <w:rPr>
          <w:rFonts w:hint="eastAsia" w:ascii="宋体" w:hAnsi="宋体"/>
          <w:color w:val="000000" w:themeColor="text1"/>
          <w:sz w:val="36"/>
          <w:szCs w:val="36"/>
          <w14:textFill>
            <w14:solidFill>
              <w14:schemeClr w14:val="tx1"/>
            </w14:solidFill>
          </w14:textFill>
        </w:rPr>
        <w:t xml:space="preserve">  </w:t>
      </w:r>
      <w:bookmarkStart w:id="0" w:name="PO_15528_PM002_1"/>
      <w:r>
        <w:rPr>
          <w:rFonts w:hint="eastAsia" w:ascii="宋体" w:hAnsi="宋体"/>
          <w:color w:val="000000" w:themeColor="text1"/>
          <w:sz w:val="36"/>
          <w:szCs w:val="36"/>
          <w:lang w:eastAsia="zh-CN"/>
          <w14:textFill>
            <w14:solidFill>
              <w14:schemeClr w14:val="tx1"/>
            </w14:solidFill>
          </w14:textFill>
        </w:rPr>
        <w:t>省体育彩票管理中心物业服务采购项目</w:t>
      </w:r>
      <w:bookmarkEnd w:id="0"/>
    </w:p>
    <w:p>
      <w:pPr>
        <w:spacing w:before="312" w:beforeLines="100" w:line="360" w:lineRule="auto"/>
        <w:jc w:val="center"/>
        <w:rPr>
          <w:rFonts w:hint="eastAsia" w:ascii="宋体" w:hAnsi="宋体" w:eastAsia="宋体"/>
          <w:b/>
          <w:color w:val="000000" w:themeColor="text1"/>
          <w:spacing w:val="40"/>
          <w:sz w:val="84"/>
          <w:szCs w:val="84"/>
          <w:lang w:eastAsia="zh-CN"/>
          <w14:textFill>
            <w14:solidFill>
              <w14:schemeClr w14:val="tx1"/>
            </w14:solidFill>
          </w14:textFill>
        </w:rPr>
      </w:pPr>
      <w:r>
        <w:rPr>
          <w:rFonts w:hint="eastAsia" w:ascii="宋体" w:hAnsi="宋体"/>
          <w:color w:val="000000" w:themeColor="text1"/>
          <w:sz w:val="36"/>
          <w:szCs w:val="36"/>
          <w14:textFill>
            <w14:solidFill>
              <w14:schemeClr w14:val="tx1"/>
            </w14:solidFill>
          </w14:textFill>
        </w:rPr>
        <w:t>项目编号：</w:t>
      </w:r>
      <w:bookmarkStart w:id="1" w:name="PO_15528_PM001"/>
      <w:r>
        <w:rPr>
          <w:rFonts w:hint="eastAsia" w:ascii="宋体" w:hAnsi="宋体"/>
          <w:color w:val="000000" w:themeColor="text1"/>
          <w:sz w:val="36"/>
          <w:szCs w:val="36"/>
          <w:lang w:eastAsia="zh-CN"/>
          <w14:textFill>
            <w14:solidFill>
              <w14:schemeClr w14:val="tx1"/>
            </w14:solidFill>
          </w14:textFill>
        </w:rPr>
        <w:t>ZZCG2023P-GK-157</w:t>
      </w:r>
      <w:bookmarkEnd w:id="1"/>
    </w:p>
    <w:p>
      <w:pPr>
        <w:spacing w:before="312" w:beforeLines="100" w:after="100" w:afterAutospacing="1" w:line="800" w:lineRule="exact"/>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公</w:t>
      </w:r>
    </w:p>
    <w:p>
      <w:pPr>
        <w:spacing w:after="100" w:afterAutospacing="1" w:line="800" w:lineRule="exact"/>
        <w:ind w:right="-108"/>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开</w:t>
      </w:r>
    </w:p>
    <w:p>
      <w:pPr>
        <w:spacing w:after="100" w:afterAutospacing="1" w:line="800" w:lineRule="exact"/>
        <w:ind w:right="-108"/>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 xml:space="preserve">招 </w:t>
      </w:r>
    </w:p>
    <w:p>
      <w:pPr>
        <w:spacing w:after="100" w:afterAutospacing="1" w:line="800" w:lineRule="exact"/>
        <w:ind w:right="-108"/>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标</w:t>
      </w:r>
    </w:p>
    <w:p>
      <w:pPr>
        <w:spacing w:after="100" w:afterAutospacing="1" w:line="800" w:lineRule="exact"/>
        <w:ind w:right="-108"/>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文</w:t>
      </w:r>
    </w:p>
    <w:p>
      <w:pPr>
        <w:spacing w:after="100" w:afterAutospacing="1" w:line="800" w:lineRule="exact"/>
        <w:ind w:right="-108"/>
        <w:jc w:val="center"/>
        <w:rPr>
          <w:rFonts w:ascii="宋体" w:hAnsi="宋体"/>
          <w:b/>
          <w:color w:val="000000" w:themeColor="text1"/>
          <w:spacing w:val="40"/>
          <w:sz w:val="84"/>
          <w:szCs w:val="84"/>
          <w14:textFill>
            <w14:solidFill>
              <w14:schemeClr w14:val="tx1"/>
            </w14:solidFill>
          </w14:textFill>
        </w:rPr>
      </w:pPr>
      <w:r>
        <w:rPr>
          <w:rFonts w:hint="eastAsia" w:ascii="宋体" w:hAnsi="宋体"/>
          <w:b/>
          <w:color w:val="000000" w:themeColor="text1"/>
          <w:spacing w:val="40"/>
          <w:sz w:val="84"/>
          <w:szCs w:val="84"/>
          <w14:textFill>
            <w14:solidFill>
              <w14:schemeClr w14:val="tx1"/>
            </w14:solidFill>
          </w14:textFill>
        </w:rPr>
        <w:t>件</w:t>
      </w:r>
    </w:p>
    <w:p>
      <w:pPr>
        <w:ind w:right="-110"/>
        <w:rPr>
          <w:rFonts w:ascii="宋体" w:hAnsi="宋体"/>
          <w:color w:val="000000" w:themeColor="text1"/>
          <w:sz w:val="32"/>
          <w:szCs w:val="32"/>
          <w14:textFill>
            <w14:solidFill>
              <w14:schemeClr w14:val="tx1"/>
            </w14:solidFill>
          </w14:textFill>
        </w:rPr>
      </w:pPr>
    </w:p>
    <w:p>
      <w:pPr>
        <w:ind w:right="-110"/>
        <w:rPr>
          <w:rFonts w:ascii="宋体" w:hAnsi="宋体"/>
          <w:color w:val="000000" w:themeColor="text1"/>
          <w:sz w:val="32"/>
          <w:szCs w:val="32"/>
          <w14:textFill>
            <w14:solidFill>
              <w14:schemeClr w14:val="tx1"/>
            </w14:solidFill>
          </w14:textFill>
        </w:rPr>
      </w:pPr>
      <w:bookmarkStart w:id="49" w:name="_GoBack"/>
      <w:bookmarkEnd w:id="49"/>
    </w:p>
    <w:p>
      <w:pPr>
        <w:spacing w:line="500" w:lineRule="exact"/>
        <w:ind w:right="532" w:firstLine="540" w:firstLineChars="150"/>
        <w:jc w:val="center"/>
        <w:rPr>
          <w:rFonts w:ascii="宋体" w:hAnsi="宋体"/>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浙 江 省 政 府 采 购 中 心</w:t>
      </w:r>
    </w:p>
    <w:p>
      <w:pPr>
        <w:spacing w:line="500" w:lineRule="exact"/>
        <w:ind w:right="532"/>
        <w:jc w:val="center"/>
        <w:rPr>
          <w:rFonts w:ascii="宋体" w:hAnsi="宋体"/>
          <w:color w:val="000000" w:themeColor="text1"/>
          <w:sz w:val="36"/>
          <w:szCs w:val="36"/>
          <w14:textFill>
            <w14:solidFill>
              <w14:schemeClr w14:val="tx1"/>
            </w14:solidFill>
          </w14:textFill>
        </w:rPr>
      </w:pPr>
    </w:p>
    <w:p>
      <w:pPr>
        <w:wordWrap w:val="0"/>
        <w:spacing w:line="500" w:lineRule="exact"/>
        <w:ind w:right="-108" w:firstLine="540" w:firstLineChars="150"/>
        <w:jc w:val="center"/>
        <w:rPr>
          <w:rFonts w:hAnsi="宋体"/>
          <w:b/>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地    址：杭州市西湖区宝石一路3号</w:t>
      </w:r>
    </w:p>
    <w:p>
      <w:pPr>
        <w:spacing w:line="500" w:lineRule="exact"/>
        <w:ind w:right="-108" w:firstLine="3072" w:firstLineChars="850"/>
        <w:rPr>
          <w:rFonts w:hAnsi="宋体"/>
          <w:b/>
          <w:color w:val="000000" w:themeColor="text1"/>
          <w:sz w:val="36"/>
          <w:szCs w:val="36"/>
          <w14:textFill>
            <w14:solidFill>
              <w14:schemeClr w14:val="tx1"/>
            </w14:solidFill>
          </w14:textFill>
        </w:rPr>
      </w:pPr>
    </w:p>
    <w:p>
      <w:pPr>
        <w:spacing w:line="500" w:lineRule="exact"/>
        <w:ind w:right="-108" w:firstLine="3072" w:firstLineChars="850"/>
        <w:rPr>
          <w:rFonts w:hAnsi="宋体"/>
          <w:b/>
          <w:color w:val="000000" w:themeColor="text1"/>
          <w:sz w:val="36"/>
          <w:szCs w:val="36"/>
          <w14:textFill>
            <w14:solidFill>
              <w14:schemeClr w14:val="tx1"/>
            </w14:solidFill>
          </w14:textFill>
        </w:rPr>
      </w:pPr>
    </w:p>
    <w:p>
      <w:pPr>
        <w:spacing w:line="500" w:lineRule="exact"/>
        <w:ind w:right="-108" w:firstLine="3072" w:firstLineChars="850"/>
        <w:rPr>
          <w:rFonts w:hAnsi="宋体"/>
          <w:b/>
          <w:color w:val="000000" w:themeColor="text1"/>
          <w:sz w:val="36"/>
          <w:szCs w:val="36"/>
          <w14:textFill>
            <w14:solidFill>
              <w14:schemeClr w14:val="tx1"/>
            </w14:solidFill>
          </w14:textFill>
        </w:rPr>
      </w:pPr>
    </w:p>
    <w:p>
      <w:pPr>
        <w:spacing w:line="500" w:lineRule="exact"/>
        <w:ind w:right="-108" w:firstLine="3072" w:firstLineChars="850"/>
        <w:rPr>
          <w:rFonts w:hAnsi="宋体"/>
          <w:b/>
          <w:color w:val="000000" w:themeColor="text1"/>
          <w:sz w:val="36"/>
          <w:szCs w:val="36"/>
          <w14:textFill>
            <w14:solidFill>
              <w14:schemeClr w14:val="tx1"/>
            </w14:solidFill>
          </w14:textFill>
        </w:rPr>
      </w:pPr>
    </w:p>
    <w:p>
      <w:pPr>
        <w:spacing w:line="500" w:lineRule="exact"/>
        <w:ind w:right="-108" w:firstLine="3072" w:firstLineChars="850"/>
        <w:rPr>
          <w:rFonts w:hAnsi="宋体"/>
          <w:b/>
          <w:color w:val="000000" w:themeColor="text1"/>
          <w:sz w:val="36"/>
          <w:szCs w:val="36"/>
          <w14:textFill>
            <w14:solidFill>
              <w14:schemeClr w14:val="tx1"/>
            </w14:solidFill>
          </w14:textFill>
        </w:rPr>
      </w:pPr>
    </w:p>
    <w:p>
      <w:pPr>
        <w:spacing w:line="500" w:lineRule="exact"/>
        <w:ind w:right="-108" w:firstLine="3072" w:firstLineChars="850"/>
        <w:rPr>
          <w:rFonts w:hAnsi="宋体"/>
          <w:b/>
          <w:color w:val="000000" w:themeColor="text1"/>
          <w:sz w:val="36"/>
          <w:szCs w:val="36"/>
          <w14:textFill>
            <w14:solidFill>
              <w14:schemeClr w14:val="tx1"/>
            </w14:solidFill>
          </w14:textFill>
        </w:rPr>
      </w:pPr>
    </w:p>
    <w:p>
      <w:pPr>
        <w:spacing w:line="500" w:lineRule="exact"/>
        <w:ind w:right="-108" w:firstLine="3072" w:firstLineChars="850"/>
        <w:rPr>
          <w:rFonts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t>目</w:t>
      </w:r>
      <w:r>
        <w:rPr>
          <w:rFonts w:hAnsi="宋体"/>
          <w:b/>
          <w:color w:val="000000" w:themeColor="text1"/>
          <w:sz w:val="36"/>
          <w:szCs w:val="36"/>
          <w14:textFill>
            <w14:solidFill>
              <w14:schemeClr w14:val="tx1"/>
            </w14:solidFill>
          </w14:textFill>
        </w:rPr>
        <w:t xml:space="preserve">     </w:t>
      </w:r>
      <w:r>
        <w:rPr>
          <w:rFonts w:hint="eastAsia" w:hAnsi="宋体"/>
          <w:b/>
          <w:color w:val="000000" w:themeColor="text1"/>
          <w:sz w:val="36"/>
          <w:szCs w:val="36"/>
          <w14:textFill>
            <w14:solidFill>
              <w14:schemeClr w14:val="tx1"/>
            </w14:solidFill>
          </w14:textFill>
        </w:rPr>
        <w:t>录</w:t>
      </w:r>
    </w:p>
    <w:p>
      <w:pPr>
        <w:pStyle w:val="31"/>
        <w:spacing w:before="156" w:after="156" w:line="360" w:lineRule="auto"/>
        <w:jc w:val="center"/>
        <w:rPr>
          <w:rFonts w:hAnsi="宋体" w:eastAsia="仿宋_GB2312"/>
          <w:color w:val="000000" w:themeColor="text1"/>
          <w:sz w:val="32"/>
          <w:szCs w:val="32"/>
          <w14:textFill>
            <w14:solidFill>
              <w14:schemeClr w14:val="tx1"/>
            </w14:solidFill>
          </w14:textFill>
        </w:rPr>
      </w:pPr>
    </w:p>
    <w:p>
      <w:pPr>
        <w:pStyle w:val="40"/>
        <w:tabs>
          <w:tab w:val="right" w:leader="dot" w:pos="8312"/>
        </w:tabs>
      </w:pPr>
      <w:r>
        <w:rPr>
          <w:rFonts w:hint="eastAsia" w:ascii="宋体" w:hAnsi="宋体" w:eastAsia="仿宋_GB2312"/>
          <w:color w:val="000000" w:themeColor="text1"/>
          <w:sz w:val="30"/>
          <w:szCs w:val="30"/>
          <w14:textFill>
            <w14:solidFill>
              <w14:schemeClr w14:val="tx1"/>
            </w14:solidFill>
          </w14:textFill>
        </w:rPr>
        <w:fldChar w:fldCharType="begin"/>
      </w:r>
      <w:r>
        <w:rPr>
          <w:rFonts w:hint="eastAsia" w:ascii="宋体" w:hAnsi="宋体" w:eastAsia="仿宋_GB2312"/>
          <w:color w:val="000000" w:themeColor="text1"/>
          <w:sz w:val="30"/>
          <w:szCs w:val="30"/>
          <w14:textFill>
            <w14:solidFill>
              <w14:schemeClr w14:val="tx1"/>
            </w14:solidFill>
          </w14:textFill>
        </w:rPr>
        <w:instrText xml:space="preserve"> TOC \o "1-1" \h \z \u </w:instrText>
      </w:r>
      <w:r>
        <w:rPr>
          <w:rFonts w:hint="eastAsia" w:ascii="宋体" w:hAnsi="宋体" w:eastAsia="仿宋_GB2312"/>
          <w:color w:val="000000" w:themeColor="text1"/>
          <w:sz w:val="30"/>
          <w:szCs w:val="30"/>
          <w14:textFill>
            <w14:solidFill>
              <w14:schemeClr w14:val="tx1"/>
            </w14:solidFill>
          </w14:textFill>
        </w:rPr>
        <w:fldChar w:fldCharType="separate"/>
      </w:r>
      <w:r>
        <w:fldChar w:fldCharType="begin"/>
      </w:r>
      <w:r>
        <w:instrText xml:space="preserve"> HYPERLINK \l "_Toc2371" </w:instrText>
      </w:r>
      <w:r>
        <w:fldChar w:fldCharType="separate"/>
      </w:r>
      <w:r>
        <w:rPr>
          <w:rFonts w:hint="eastAsia" w:hAnsi="宋体"/>
          <w:szCs w:val="36"/>
        </w:rPr>
        <w:t>第一章公开招标采购公告</w:t>
      </w:r>
      <w:r>
        <w:tab/>
      </w:r>
      <w:r>
        <w:fldChar w:fldCharType="begin"/>
      </w:r>
      <w:r>
        <w:instrText xml:space="preserve"> PAGEREF _Toc2371 \h </w:instrText>
      </w:r>
      <w:r>
        <w:fldChar w:fldCharType="separate"/>
      </w:r>
      <w:r>
        <w:t>3</w:t>
      </w:r>
      <w:r>
        <w:fldChar w:fldCharType="end"/>
      </w:r>
      <w:r>
        <w:fldChar w:fldCharType="end"/>
      </w:r>
    </w:p>
    <w:p>
      <w:pPr>
        <w:pStyle w:val="40"/>
        <w:tabs>
          <w:tab w:val="right" w:leader="dot" w:pos="8312"/>
        </w:tabs>
      </w:pPr>
      <w:r>
        <w:fldChar w:fldCharType="begin"/>
      </w:r>
      <w:r>
        <w:instrText xml:space="preserve"> HYPERLINK \l "_Toc29498" </w:instrText>
      </w:r>
      <w:r>
        <w:fldChar w:fldCharType="separate"/>
      </w:r>
      <w:r>
        <w:rPr>
          <w:rFonts w:hint="eastAsia" w:ascii="仿宋" w:hAnsi="仿宋"/>
          <w:szCs w:val="36"/>
        </w:rPr>
        <w:t>第二章投标人须知</w:t>
      </w:r>
      <w:r>
        <w:tab/>
      </w:r>
      <w:r>
        <w:fldChar w:fldCharType="begin"/>
      </w:r>
      <w:r>
        <w:instrText xml:space="preserve"> PAGEREF _Toc29498 \h </w:instrText>
      </w:r>
      <w:r>
        <w:fldChar w:fldCharType="separate"/>
      </w:r>
      <w:r>
        <w:t>7</w:t>
      </w:r>
      <w:r>
        <w:fldChar w:fldCharType="end"/>
      </w:r>
      <w:r>
        <w:fldChar w:fldCharType="end"/>
      </w:r>
    </w:p>
    <w:p>
      <w:pPr>
        <w:pStyle w:val="40"/>
        <w:tabs>
          <w:tab w:val="right" w:leader="dot" w:pos="8312"/>
        </w:tabs>
      </w:pPr>
      <w:r>
        <w:fldChar w:fldCharType="begin"/>
      </w:r>
      <w:r>
        <w:instrText xml:space="preserve"> HYPERLINK \l "_Toc2834" </w:instrText>
      </w:r>
      <w:r>
        <w:fldChar w:fldCharType="separate"/>
      </w:r>
      <w:r>
        <w:rPr>
          <w:rFonts w:hint="eastAsia" w:hAnsi="宋体"/>
          <w:szCs w:val="36"/>
        </w:rPr>
        <w:t>第三章评标办法及评分标准</w:t>
      </w:r>
      <w:r>
        <w:tab/>
      </w:r>
      <w:r>
        <w:fldChar w:fldCharType="begin"/>
      </w:r>
      <w:r>
        <w:instrText xml:space="preserve"> PAGEREF _Toc2834 \h </w:instrText>
      </w:r>
      <w:r>
        <w:fldChar w:fldCharType="separate"/>
      </w:r>
      <w:r>
        <w:t>27</w:t>
      </w:r>
      <w:r>
        <w:fldChar w:fldCharType="end"/>
      </w:r>
      <w:r>
        <w:fldChar w:fldCharType="end"/>
      </w:r>
    </w:p>
    <w:p>
      <w:pPr>
        <w:pStyle w:val="40"/>
        <w:tabs>
          <w:tab w:val="right" w:leader="dot" w:pos="8312"/>
        </w:tabs>
        <w:rPr>
          <w:rFonts w:hint="eastAsia" w:eastAsia="仿宋"/>
          <w:lang w:val="en-US" w:eastAsia="zh-CN"/>
        </w:rPr>
      </w:pPr>
      <w:r>
        <w:fldChar w:fldCharType="begin"/>
      </w:r>
      <w:r>
        <w:instrText xml:space="preserve"> HYPERLINK \l "_Toc24960" </w:instrText>
      </w:r>
      <w:r>
        <w:fldChar w:fldCharType="separate"/>
      </w:r>
      <w:r>
        <w:rPr>
          <w:rFonts w:hint="eastAsia" w:hAnsi="宋体"/>
          <w:szCs w:val="36"/>
        </w:rPr>
        <w:t>第四章招标需求</w:t>
      </w:r>
      <w:r>
        <w:tab/>
      </w:r>
      <w:r>
        <w:rPr>
          <w:rFonts w:hint="eastAsia"/>
          <w:lang w:val="en-US" w:eastAsia="zh-CN"/>
        </w:rPr>
        <w:t>3</w:t>
      </w:r>
      <w:r>
        <w:fldChar w:fldCharType="end"/>
      </w:r>
      <w:r>
        <w:rPr>
          <w:rFonts w:hint="eastAsia"/>
          <w:lang w:val="en-US" w:eastAsia="zh-CN"/>
        </w:rPr>
        <w:t>1</w:t>
      </w:r>
    </w:p>
    <w:p>
      <w:pPr>
        <w:pStyle w:val="40"/>
        <w:tabs>
          <w:tab w:val="right" w:leader="dot" w:pos="8312"/>
        </w:tabs>
        <w:rPr>
          <w:rFonts w:hint="eastAsia" w:eastAsia="仿宋"/>
          <w:lang w:val="en-US" w:eastAsia="zh-CN"/>
        </w:rPr>
      </w:pPr>
      <w:r>
        <w:fldChar w:fldCharType="begin"/>
      </w:r>
      <w:r>
        <w:instrText xml:space="preserve"> HYPERLINK \l "_Toc26308" </w:instrText>
      </w:r>
      <w:r>
        <w:fldChar w:fldCharType="separate"/>
      </w:r>
      <w:r>
        <w:rPr>
          <w:rFonts w:hint="eastAsia" w:hAnsi="宋体"/>
          <w:szCs w:val="36"/>
        </w:rPr>
        <w:t>第五章浙江省政府采购合同主要条款指引</w:t>
      </w:r>
      <w:r>
        <w:tab/>
      </w:r>
      <w:r>
        <w:rPr>
          <w:rFonts w:hint="eastAsia"/>
          <w:lang w:val="en-US" w:eastAsia="zh-CN"/>
        </w:rPr>
        <w:t>4</w:t>
      </w:r>
      <w:r>
        <w:fldChar w:fldCharType="end"/>
      </w:r>
      <w:r>
        <w:rPr>
          <w:rFonts w:hint="eastAsia"/>
          <w:lang w:val="en-US" w:eastAsia="zh-CN"/>
        </w:rPr>
        <w:t>2</w:t>
      </w:r>
    </w:p>
    <w:p>
      <w:pPr>
        <w:pStyle w:val="40"/>
        <w:tabs>
          <w:tab w:val="right" w:leader="dot" w:pos="8312"/>
        </w:tabs>
        <w:rPr>
          <w:rFonts w:hint="eastAsia" w:eastAsia="仿宋"/>
          <w:lang w:val="en-US" w:eastAsia="zh-CN"/>
        </w:rPr>
      </w:pPr>
      <w:r>
        <w:fldChar w:fldCharType="begin"/>
      </w:r>
      <w:r>
        <w:instrText xml:space="preserve"> HYPERLINK \l "_Toc22013" </w:instrText>
      </w:r>
      <w:r>
        <w:fldChar w:fldCharType="separate"/>
      </w:r>
      <w:r>
        <w:rPr>
          <w:rFonts w:hint="eastAsia" w:hAnsi="宋体"/>
          <w:szCs w:val="36"/>
        </w:rPr>
        <w:t>第六章投标文件格式附件</w:t>
      </w:r>
      <w:r>
        <w:tab/>
      </w:r>
      <w:r>
        <w:rPr>
          <w:rFonts w:hint="eastAsia"/>
          <w:lang w:val="en-US" w:eastAsia="zh-CN"/>
        </w:rPr>
        <w:t>4</w:t>
      </w:r>
      <w:r>
        <w:fldChar w:fldCharType="end"/>
      </w:r>
      <w:r>
        <w:rPr>
          <w:rFonts w:hint="eastAsia"/>
          <w:lang w:val="en-US" w:eastAsia="zh-CN"/>
        </w:rPr>
        <w:t>7</w:t>
      </w:r>
    </w:p>
    <w:p>
      <w:pPr>
        <w:spacing w:before="156" w:beforeLines="50" w:line="480" w:lineRule="exact"/>
        <w:ind w:left="165"/>
        <w:rPr>
          <w:rFonts w:ascii="宋体" w:hAnsi="宋体" w:eastAsia="仿宋_GB2312"/>
          <w:color w:val="000000" w:themeColor="text1"/>
          <w:sz w:val="30"/>
          <w:szCs w:val="30"/>
          <w14:textFill>
            <w14:solidFill>
              <w14:schemeClr w14:val="tx1"/>
            </w14:solidFill>
          </w14:textFill>
        </w:rPr>
      </w:pPr>
      <w:r>
        <w:rPr>
          <w:rFonts w:hint="eastAsia" w:ascii="宋体" w:hAnsi="宋体" w:eastAsia="仿宋_GB2312"/>
          <w:color w:val="000000" w:themeColor="text1"/>
          <w:szCs w:val="30"/>
          <w14:textFill>
            <w14:solidFill>
              <w14:schemeClr w14:val="tx1"/>
            </w14:solidFill>
          </w14:textFill>
        </w:rPr>
        <w:fldChar w:fldCharType="end"/>
      </w:r>
    </w:p>
    <w:p>
      <w:pPr>
        <w:pStyle w:val="31"/>
        <w:spacing w:before="156" w:after="156" w:line="360" w:lineRule="auto"/>
        <w:ind w:firstLine="640"/>
        <w:jc w:val="center"/>
        <w:outlineLvl w:val="0"/>
        <w:rPr>
          <w:rFonts w:hAnsi="宋体"/>
          <w:b/>
          <w:color w:val="000000" w:themeColor="text1"/>
          <w:sz w:val="36"/>
          <w:szCs w:val="36"/>
          <w14:textFill>
            <w14:solidFill>
              <w14:schemeClr w14:val="tx1"/>
            </w14:solidFill>
          </w14:textFill>
        </w:rPr>
      </w:pPr>
      <w:r>
        <w:rPr>
          <w:rFonts w:hint="eastAsia" w:hAnsi="宋体" w:eastAsia="仿宋_GB2312"/>
          <w:color w:val="000000" w:themeColor="text1"/>
          <w:kern w:val="0"/>
          <w:sz w:val="32"/>
          <w:szCs w:val="32"/>
          <w14:textFill>
            <w14:solidFill>
              <w14:schemeClr w14:val="tx1"/>
            </w14:solidFill>
          </w14:textFill>
        </w:rPr>
        <w:br w:type="page"/>
      </w:r>
      <w:bookmarkStart w:id="2" w:name="_Toc2371"/>
      <w:r>
        <w:rPr>
          <w:rFonts w:hint="eastAsia" w:hAnsi="宋体"/>
          <w:b/>
          <w:color w:val="000000" w:themeColor="text1"/>
          <w:sz w:val="36"/>
          <w:szCs w:val="36"/>
          <w14:textFill>
            <w14:solidFill>
              <w14:schemeClr w14:val="tx1"/>
            </w14:solidFill>
          </w14:textFill>
        </w:rPr>
        <w:t>第一章公开招标采购公告</w:t>
      </w:r>
      <w:bookmarkEnd w:id="2"/>
    </w:p>
    <w:p>
      <w:pPr>
        <w:pStyle w:val="397"/>
        <w:widowControl w:val="0"/>
        <w:spacing w:after="156" w:line="460" w:lineRule="exact"/>
        <w:ind w:firstLine="56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000000" w:themeColor="text1"/>
          <w:sz w:val="30"/>
          <w:szCs w:val="30"/>
          <w14:textFill>
            <w14:solidFill>
              <w14:schemeClr w14:val="tx1"/>
            </w14:solidFill>
          </w14:textFill>
        </w:rPr>
        <w:t>：</w:t>
      </w:r>
    </w:p>
    <w:p>
      <w:pPr>
        <w:snapToGrid w:val="0"/>
        <w:spacing w:line="460" w:lineRule="exact"/>
        <w:ind w:firstLine="600" w:firstLineChars="200"/>
        <w:rPr>
          <w:rFonts w:hint="eastAsia" w:ascii="仿宋" w:hAnsi="仿宋" w:eastAsia="仿宋" w:cs="Arial"/>
          <w:color w:val="000000" w:themeColor="text1"/>
          <w:sz w:val="30"/>
          <w:szCs w:val="30"/>
          <w:lang w:eastAsia="zh-CN"/>
          <w14:textFill>
            <w14:solidFill>
              <w14:schemeClr w14:val="tx1"/>
            </w14:solidFill>
          </w14:textFill>
        </w:rPr>
      </w:pPr>
      <w:r>
        <w:rPr>
          <w:rFonts w:hint="eastAsia" w:ascii="仿宋" w:hAnsi="仿宋" w:eastAsia="仿宋" w:cs="Arial"/>
          <w:color w:val="000000" w:themeColor="text1"/>
          <w:sz w:val="30"/>
          <w:szCs w:val="30"/>
          <w14:textFill>
            <w14:solidFill>
              <w14:schemeClr w14:val="tx1"/>
            </w14:solidFill>
          </w14:textFill>
        </w:rPr>
        <w:t>一、</w:t>
      </w:r>
      <w:r>
        <w:rPr>
          <w:rFonts w:hint="eastAsia" w:ascii="仿宋" w:hAnsi="仿宋" w:eastAsia="仿宋" w:cs="Arial"/>
          <w:b/>
          <w:bCs/>
          <w:color w:val="000000" w:themeColor="text1"/>
          <w:sz w:val="30"/>
          <w:szCs w:val="30"/>
          <w14:textFill>
            <w14:solidFill>
              <w14:schemeClr w14:val="tx1"/>
            </w14:solidFill>
          </w14:textFill>
        </w:rPr>
        <w:t>项目编号：</w:t>
      </w:r>
      <w:bookmarkStart w:id="3" w:name="PO_15528_PM001_1"/>
      <w:r>
        <w:rPr>
          <w:rFonts w:hint="eastAsia" w:ascii="仿宋" w:hAnsi="仿宋" w:eastAsia="仿宋" w:cs="Arial"/>
          <w:b/>
          <w:bCs/>
          <w:color w:val="000000" w:themeColor="text1"/>
          <w:sz w:val="30"/>
          <w:szCs w:val="30"/>
          <w:lang w:eastAsia="zh-CN"/>
          <w14:textFill>
            <w14:solidFill>
              <w14:schemeClr w14:val="tx1"/>
            </w14:solidFill>
          </w14:textFill>
        </w:rPr>
        <w:t>ZZCG2023P-GK-157</w:t>
      </w:r>
      <w:bookmarkEnd w:id="3"/>
    </w:p>
    <w:p>
      <w:pPr>
        <w:snapToGrid w:val="0"/>
        <w:spacing w:after="156" w:afterLines="50" w:line="46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color w:val="000000" w:themeColor="text1"/>
          <w:sz w:val="30"/>
          <w:szCs w:val="30"/>
          <w14:textFill>
            <w14:solidFill>
              <w14:schemeClr w14:val="tx1"/>
            </w14:solidFill>
          </w14:textFill>
        </w:rPr>
        <w:t>二、</w:t>
      </w:r>
      <w:r>
        <w:rPr>
          <w:rFonts w:hint="eastAsia" w:ascii="仿宋" w:hAnsi="仿宋" w:eastAsia="仿宋" w:cs="Arial"/>
          <w:b/>
          <w:color w:val="000000" w:themeColor="text1"/>
          <w:sz w:val="28"/>
          <w:szCs w:val="28"/>
          <w14:textFill>
            <w14:solidFill>
              <w14:schemeClr w14:val="tx1"/>
            </w14:solidFill>
          </w14:textFill>
        </w:rPr>
        <w:t>公告期限：5个工作日</w:t>
      </w:r>
    </w:p>
    <w:p>
      <w:pPr>
        <w:snapToGrid w:val="0"/>
        <w:spacing w:after="156" w:afterLines="50" w:line="460" w:lineRule="exact"/>
        <w:ind w:firstLine="602" w:firstLineChars="200"/>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30"/>
          <w:szCs w:val="30"/>
          <w14:textFill>
            <w14:solidFill>
              <w14:schemeClr w14:val="tx1"/>
            </w14:solidFill>
          </w14:textFill>
        </w:rPr>
        <w:t>三、</w:t>
      </w:r>
      <w:r>
        <w:rPr>
          <w:rFonts w:hint="eastAsia" w:ascii="仿宋" w:hAnsi="仿宋" w:eastAsia="仿宋" w:cs="Arial"/>
          <w:b/>
          <w:color w:val="000000" w:themeColor="text1"/>
          <w:sz w:val="28"/>
          <w:szCs w:val="28"/>
          <w14:textFill>
            <w14:solidFill>
              <w14:schemeClr w14:val="tx1"/>
            </w14:solidFill>
          </w14:textFill>
        </w:rPr>
        <w:t>采购项目内容、数量及预算</w:t>
      </w:r>
      <w:bookmarkStart w:id="4" w:name="PO_15528_PM004"/>
      <w:r>
        <w:rPr>
          <w:rFonts w:hint="eastAsia" w:ascii="仿宋" w:hAnsi="仿宋" w:eastAsia="仿宋" w:cs="Arial"/>
          <w:b/>
          <w:color w:val="000000" w:themeColor="text1"/>
          <w:sz w:val="28"/>
          <w:szCs w:val="28"/>
          <w:lang w:eastAsia="zh-CN"/>
          <w14:textFill>
            <w14:solidFill>
              <w14:schemeClr w14:val="tx1"/>
            </w14:solidFill>
          </w14:textFill>
        </w:rPr>
        <w:t xml:space="preserve"> </w:t>
      </w:r>
    </w:p>
    <w:tbl>
      <w:tblPr>
        <w:tblStyle w:val="60"/>
        <w:tblW w:w="516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2793"/>
        <w:gridCol w:w="511"/>
        <w:gridCol w:w="585"/>
        <w:gridCol w:w="1407"/>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 w:type="pct"/>
          </w:tcPr>
          <w:p>
            <w:pPr>
              <w:snapToGrid w:val="0"/>
              <w:spacing w:after="156" w:afterLines="50" w:line="460" w:lineRule="exact"/>
              <w:jc w:val="center"/>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标项序号</w:t>
            </w:r>
          </w:p>
        </w:tc>
        <w:tc>
          <w:tcPr>
            <w:tcW w:w="1586" w:type="pct"/>
          </w:tcPr>
          <w:p>
            <w:pPr>
              <w:snapToGrid w:val="0"/>
              <w:spacing w:after="156" w:afterLines="50" w:line="460" w:lineRule="exact"/>
              <w:jc w:val="center"/>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标项名称</w:t>
            </w:r>
          </w:p>
        </w:tc>
        <w:tc>
          <w:tcPr>
            <w:tcW w:w="290" w:type="pct"/>
          </w:tcPr>
          <w:p>
            <w:pPr>
              <w:snapToGrid w:val="0"/>
              <w:spacing w:after="156" w:afterLines="50" w:line="460" w:lineRule="exact"/>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数量</w:t>
            </w:r>
          </w:p>
        </w:tc>
        <w:tc>
          <w:tcPr>
            <w:tcW w:w="332" w:type="pct"/>
          </w:tcPr>
          <w:p>
            <w:pPr>
              <w:snapToGrid w:val="0"/>
              <w:spacing w:after="156" w:afterLines="50" w:line="460" w:lineRule="exact"/>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单位</w:t>
            </w:r>
          </w:p>
        </w:tc>
        <w:tc>
          <w:tcPr>
            <w:tcW w:w="799" w:type="pct"/>
          </w:tcPr>
          <w:p>
            <w:pPr>
              <w:snapToGrid w:val="0"/>
              <w:spacing w:after="156" w:afterLines="50" w:line="460" w:lineRule="exact"/>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预算金额(万元)</w:t>
            </w:r>
          </w:p>
        </w:tc>
        <w:tc>
          <w:tcPr>
            <w:tcW w:w="1509" w:type="pct"/>
          </w:tcPr>
          <w:p>
            <w:pPr>
              <w:snapToGrid w:val="0"/>
              <w:spacing w:after="156" w:afterLines="50" w:line="460" w:lineRule="exact"/>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简要规格描述或标项基本概况介绍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 w:type="pct"/>
          </w:tcPr>
          <w:p>
            <w:pPr>
              <w:snapToGrid w:val="0"/>
              <w:spacing w:after="156" w:afterLines="50" w:line="460" w:lineRule="exact"/>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1</w:t>
            </w:r>
          </w:p>
        </w:tc>
        <w:tc>
          <w:tcPr>
            <w:tcW w:w="1586" w:type="pct"/>
          </w:tcPr>
          <w:p>
            <w:pPr>
              <w:snapToGrid w:val="0"/>
              <w:spacing w:after="156" w:afterLines="50" w:line="460" w:lineRule="exact"/>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省体育彩票管理中心物业服务采购项目</w:t>
            </w:r>
          </w:p>
        </w:tc>
        <w:tc>
          <w:tcPr>
            <w:tcW w:w="290" w:type="pct"/>
          </w:tcPr>
          <w:p>
            <w:pPr>
              <w:snapToGrid w:val="0"/>
              <w:spacing w:after="156" w:afterLines="50" w:line="460" w:lineRule="exact"/>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2</w:t>
            </w:r>
          </w:p>
        </w:tc>
        <w:tc>
          <w:tcPr>
            <w:tcW w:w="332" w:type="pct"/>
          </w:tcPr>
          <w:p>
            <w:pPr>
              <w:snapToGrid w:val="0"/>
              <w:spacing w:after="156" w:afterLines="50" w:line="460" w:lineRule="exact"/>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年</w:t>
            </w:r>
          </w:p>
        </w:tc>
        <w:tc>
          <w:tcPr>
            <w:tcW w:w="799" w:type="pct"/>
          </w:tcPr>
          <w:p>
            <w:pPr>
              <w:snapToGrid w:val="0"/>
              <w:spacing w:after="156" w:afterLines="50" w:line="460" w:lineRule="exact"/>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275.27</w:t>
            </w:r>
          </w:p>
        </w:tc>
        <w:tc>
          <w:tcPr>
            <w:tcW w:w="1509" w:type="pct"/>
          </w:tcPr>
          <w:p>
            <w:pPr>
              <w:snapToGrid w:val="0"/>
              <w:spacing w:after="156" w:afterLines="50" w:line="460" w:lineRule="exact"/>
              <w:rPr>
                <w:rFonts w:hint="eastAsia" w:ascii="仿宋" w:hAnsi="仿宋" w:eastAsia="仿宋" w:cs="Arial"/>
                <w:b/>
                <w:color w:val="000000" w:themeColor="text1"/>
                <w:sz w:val="28"/>
                <w:szCs w:val="28"/>
                <w:vertAlign w:val="baseline"/>
                <w:lang w:eastAsia="zh-CN"/>
                <w14:textFill>
                  <w14:solidFill>
                    <w14:schemeClr w14:val="tx1"/>
                  </w14:solidFill>
                </w14:textFill>
              </w:rPr>
            </w:pPr>
            <w:r>
              <w:rPr>
                <w:rFonts w:hint="eastAsia" w:ascii="仿宋" w:hAnsi="仿宋" w:eastAsia="仿宋" w:cs="Arial"/>
                <w:b/>
                <w:color w:val="000000" w:themeColor="text1"/>
                <w:sz w:val="28"/>
                <w:szCs w:val="28"/>
                <w:vertAlign w:val="baseline"/>
                <w:lang w:eastAsia="zh-CN"/>
                <w14:textFill>
                  <w14:solidFill>
                    <w14:schemeClr w14:val="tx1"/>
                  </w14:solidFill>
                </w14:textFill>
              </w:rPr>
              <w:t>详见招标文件</w:t>
            </w:r>
          </w:p>
        </w:tc>
      </w:tr>
    </w:tbl>
    <w:p>
      <w:pPr>
        <w:snapToGrid w:val="0"/>
        <w:spacing w:after="156" w:afterLines="50" w:line="460" w:lineRule="exact"/>
        <w:ind w:firstLine="562" w:firstLineChars="200"/>
        <w:rPr>
          <w:rFonts w:hint="eastAsia" w:ascii="仿宋" w:hAnsi="仿宋" w:eastAsia="仿宋" w:cs="Arial"/>
          <w:b/>
          <w:color w:val="000000" w:themeColor="text1"/>
          <w:sz w:val="28"/>
          <w:szCs w:val="28"/>
          <w:lang w:eastAsia="zh-CN"/>
          <w14:textFill>
            <w14:solidFill>
              <w14:schemeClr w14:val="tx1"/>
            </w14:solidFill>
          </w14:textFill>
        </w:rPr>
      </w:pPr>
      <w:r>
        <w:rPr>
          <w:rFonts w:hint="eastAsia" w:ascii="仿宋" w:hAnsi="仿宋" w:eastAsia="仿宋" w:cs="Arial"/>
          <w:b/>
          <w:color w:val="000000" w:themeColor="text1"/>
          <w:sz w:val="28"/>
          <w:szCs w:val="28"/>
          <w:lang w:eastAsia="zh-CN"/>
          <w14:textFill>
            <w14:solidFill>
              <w14:schemeClr w14:val="tx1"/>
            </w14:solidFill>
          </w14:textFill>
        </w:rPr>
        <w:t xml:space="preserve"> </w:t>
      </w:r>
      <w:bookmarkEnd w:id="4"/>
    </w:p>
    <w:p>
      <w:pPr>
        <w:snapToGrid w:val="0"/>
        <w:spacing w:line="46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四、合格投标人的资格要求</w:t>
      </w:r>
    </w:p>
    <w:p>
      <w:pPr>
        <w:snapToGrid w:val="0"/>
        <w:spacing w:line="460" w:lineRule="exact"/>
        <w:ind w:firstLine="560" w:firstLineChars="200"/>
        <w:rPr>
          <w:rFonts w:ascii="仿宋" w:hAnsi="仿宋" w:eastAsia="仿宋" w:cs="Arial"/>
          <w:bCs/>
          <w:color w:val="000000" w:themeColor="text1"/>
          <w:sz w:val="28"/>
          <w:szCs w:val="28"/>
          <w14:textFill>
            <w14:solidFill>
              <w14:schemeClr w14:val="tx1"/>
            </w14:solidFill>
          </w14:textFill>
        </w:rPr>
      </w:pPr>
      <w:r>
        <w:rPr>
          <w:rFonts w:hint="eastAsia" w:ascii="仿宋" w:hAnsi="仿宋" w:eastAsia="仿宋" w:cs="Arial"/>
          <w:bCs/>
          <w:color w:val="000000" w:themeColor="text1"/>
          <w:sz w:val="28"/>
          <w:szCs w:val="28"/>
          <w14:textFill>
            <w14:solidFill>
              <w14:schemeClr w14:val="tx1"/>
            </w14:solidFill>
          </w14:textFill>
        </w:rPr>
        <w:t>符合《中华人民共和国政府采购法》第二十二条规定,且未被</w:t>
      </w:r>
      <w:r>
        <w:rPr>
          <w:rFonts w:hint="eastAsia" w:ascii="仿宋" w:hAnsi="仿宋" w:eastAsia="仿宋"/>
          <w:color w:val="000000" w:themeColor="text1"/>
          <w:sz w:val="28"/>
          <w:szCs w:val="28"/>
          <w14:textFill>
            <w14:solidFill>
              <w14:schemeClr w14:val="tx1"/>
            </w14:solidFill>
          </w14:textFill>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hint="eastAsia" w:ascii="仿宋" w:hAnsi="仿宋" w:eastAsia="仿宋" w:cs="Arial"/>
          <w:b/>
          <w:bCs/>
          <w:color w:val="000000" w:themeColor="text1"/>
          <w:sz w:val="30"/>
          <w:szCs w:val="30"/>
          <w:lang w:eastAsia="zh-CN"/>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投标人的特定条件：</w:t>
      </w:r>
      <w:r>
        <w:rPr>
          <w:rFonts w:hint="eastAsia" w:ascii="仿宋" w:hAnsi="仿宋" w:eastAsia="仿宋" w:cs="Arial"/>
          <w:b/>
          <w:bCs/>
          <w:color w:val="000000" w:themeColor="text1"/>
          <w:sz w:val="30"/>
          <w:szCs w:val="30"/>
          <w:lang w:val="en-US" w:eastAsia="zh-CN"/>
          <w14:textFill>
            <w14:solidFill>
              <w14:schemeClr w14:val="tx1"/>
            </w14:solidFill>
          </w14:textFill>
        </w:rPr>
        <w:t>无</w:t>
      </w:r>
    </w:p>
    <w:p>
      <w:pPr>
        <w:snapToGrid w:val="0"/>
        <w:spacing w:line="500" w:lineRule="exact"/>
        <w:ind w:firstLine="602" w:firstLineChars="200"/>
        <w:rPr>
          <w:rFonts w:hint="eastAsia" w:ascii="仿宋" w:hAnsi="仿宋" w:eastAsia="仿宋"/>
          <w:color w:val="000000" w:themeColor="text1"/>
          <w:sz w:val="28"/>
          <w:szCs w:val="28"/>
          <w:lang w:eastAsia="zh-CN"/>
          <w14:textFill>
            <w14:solidFill>
              <w14:schemeClr w14:val="tx1"/>
            </w14:solidFill>
          </w14:textFill>
        </w:rPr>
      </w:pPr>
      <w:bookmarkStart w:id="5" w:name="PO_15528_PM007"/>
      <w:r>
        <w:rPr>
          <w:rFonts w:hint="eastAsia" w:ascii="仿宋" w:hAnsi="仿宋" w:eastAsia="仿宋" w:cs="Arial"/>
          <w:b/>
          <w:bCs/>
          <w:color w:val="000000" w:themeColor="text1"/>
          <w:sz w:val="30"/>
          <w:szCs w:val="30"/>
          <w:lang w:eastAsia="zh-CN"/>
          <w14:textFill>
            <w14:solidFill>
              <w14:schemeClr w14:val="tx1"/>
            </w14:solidFill>
          </w14:textFill>
        </w:rPr>
        <w:t>标项1:允许联合体投标</w:t>
      </w:r>
      <w:bookmarkEnd w:id="5"/>
    </w:p>
    <w:p>
      <w:pPr>
        <w:snapToGrid w:val="0"/>
        <w:spacing w:line="500" w:lineRule="exact"/>
        <w:ind w:firstLine="562" w:firstLineChars="200"/>
        <w:rPr>
          <w:rFonts w:ascii="宋体" w:hAnsi="宋体" w:cs="Arial"/>
          <w:b/>
          <w:bCs/>
          <w:color w:val="000000" w:themeColor="text1"/>
          <w:sz w:val="28"/>
          <w:szCs w:val="28"/>
          <w14:textFill>
            <w14:solidFill>
              <w14:schemeClr w14:val="tx1"/>
            </w14:solidFill>
          </w14:textFill>
        </w:rPr>
      </w:pPr>
      <w:r>
        <w:rPr>
          <w:rFonts w:hint="eastAsia" w:ascii="宋体" w:hAnsi="宋体" w:cs="仿宋"/>
          <w:b/>
          <w:bCs/>
          <w:color w:val="000000" w:themeColor="text1"/>
          <w:kern w:val="0"/>
          <w:sz w:val="28"/>
          <w:szCs w:val="28"/>
          <w:lang w:val="zh-CN"/>
          <w14:textFill>
            <w14:solidFill>
              <w14:schemeClr w14:val="tx1"/>
            </w14:solidFill>
          </w14:textFill>
        </w:rPr>
        <w:t>五、获取采购文件</w:t>
      </w:r>
    </w:p>
    <w:p>
      <w:pPr>
        <w:snapToGrid w:val="0"/>
        <w:spacing w:line="500" w:lineRule="exact"/>
        <w:ind w:firstLine="560" w:firstLineChars="200"/>
        <w:rPr>
          <w:rFonts w:ascii="宋体" w:hAnsi="宋体"/>
          <w:color w:val="000000" w:themeColor="text1"/>
          <w:kern w:val="0"/>
          <w:sz w:val="28"/>
          <w:szCs w:val="28"/>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1.获取时间：</w:t>
      </w:r>
      <w:r>
        <w:rPr>
          <w:rFonts w:hint="eastAsia" w:ascii="仿宋" w:hAnsi="仿宋" w:eastAsia="仿宋"/>
          <w:color w:val="000000" w:themeColor="text1"/>
          <w:kern w:val="0"/>
          <w:sz w:val="30"/>
          <w:szCs w:val="30"/>
          <w14:textFill>
            <w14:solidFill>
              <w14:schemeClr w14:val="tx1"/>
            </w14:solidFill>
          </w14:textFill>
        </w:rPr>
        <w:t xml:space="preserve">[项目采购-报名开始日期] 至 </w:t>
      </w:r>
      <w:bookmarkStart w:id="6" w:name="PO_15528_PM009"/>
      <w:r>
        <w:rPr>
          <w:rFonts w:hint="eastAsia" w:ascii="仿宋" w:hAnsi="仿宋" w:eastAsia="仿宋"/>
          <w:color w:val="000000" w:themeColor="text1"/>
          <w:kern w:val="0"/>
          <w:sz w:val="30"/>
          <w:szCs w:val="30"/>
          <w:lang w:eastAsia="zh-CN"/>
          <w14:textFill>
            <w14:solidFill>
              <w14:schemeClr w14:val="tx1"/>
            </w14:solidFill>
          </w14:textFill>
        </w:rPr>
        <w:t>2024-01-16 09:00:00</w:t>
      </w:r>
      <w:bookmarkEnd w:id="6"/>
      <w:r>
        <w:rPr>
          <w:rFonts w:hint="eastAsia" w:ascii="宋体" w:hAnsi="宋体"/>
          <w:color w:val="000000" w:themeColor="text1"/>
          <w:kern w:val="0"/>
          <w:sz w:val="28"/>
          <w:szCs w:val="28"/>
          <w14:textFill>
            <w14:solidFill>
              <w14:schemeClr w14:val="tx1"/>
            </w14:solidFill>
          </w14:textFill>
        </w:rPr>
        <w:t>。</w:t>
      </w:r>
    </w:p>
    <w:p>
      <w:pPr>
        <w:autoSpaceDE w:val="0"/>
        <w:autoSpaceDN w:val="0"/>
        <w:adjustRightInd w:val="0"/>
        <w:snapToGrid w:val="0"/>
        <w:spacing w:line="500" w:lineRule="exact"/>
        <w:ind w:firstLine="600"/>
        <w:rPr>
          <w:rFonts w:ascii="宋体" w:hAnsi="宋体" w:cs="仿宋"/>
          <w:color w:val="000000" w:themeColor="text1"/>
          <w:kern w:val="0"/>
          <w:sz w:val="28"/>
          <w:szCs w:val="28"/>
          <w:lang w:val="zh-CN"/>
          <w14:textFill>
            <w14:solidFill>
              <w14:schemeClr w14:val="tx1"/>
            </w14:solidFill>
          </w14:textFill>
        </w:rPr>
      </w:pPr>
      <w:r>
        <w:rPr>
          <w:rFonts w:hint="eastAsia" w:ascii="宋体" w:hAnsi="宋体" w:cs="仿宋"/>
          <w:color w:val="000000" w:themeColor="text1"/>
          <w:kern w:val="0"/>
          <w:sz w:val="28"/>
          <w:szCs w:val="28"/>
          <w:lang w:val="zh-CN"/>
          <w14:textFill>
            <w14:solidFill>
              <w14:schemeClr w14:val="tx1"/>
            </w14:solidFill>
          </w14:textFill>
        </w:rPr>
        <w:t>2.获取方式：本项目招标文件实行网上获取。供应商登录浙江政府采购网（</w:t>
      </w:r>
      <w:r>
        <w:fldChar w:fldCharType="begin"/>
      </w:r>
      <w:r>
        <w:instrText xml:space="preserve"> HYPERLINK "http://zfcg.czt.zj.gov.cn/" </w:instrText>
      </w:r>
      <w:r>
        <w:fldChar w:fldCharType="separate"/>
      </w:r>
      <w:r>
        <w:rPr>
          <w:rStyle w:val="69"/>
          <w:color w:val="000000" w:themeColor="text1"/>
          <w:sz w:val="28"/>
          <w:szCs w:val="28"/>
          <w14:textFill>
            <w14:solidFill>
              <w14:schemeClr w14:val="tx1"/>
            </w14:solidFill>
          </w14:textFill>
        </w:rPr>
        <w:t>http://zfcg.czt.zj.gov.cn/</w:t>
      </w:r>
      <w:r>
        <w:rPr>
          <w:rStyle w:val="69"/>
          <w:color w:val="000000" w:themeColor="text1"/>
          <w:sz w:val="28"/>
          <w:szCs w:val="28"/>
          <w14:textFill>
            <w14:solidFill>
              <w14:schemeClr w14:val="tx1"/>
            </w14:solidFill>
          </w14:textFill>
        </w:rPr>
        <w:fldChar w:fldCharType="end"/>
      </w:r>
      <w:r>
        <w:rPr>
          <w:rFonts w:hint="eastAsia" w:ascii="宋体" w:hAnsi="宋体" w:cs="仿宋"/>
          <w:color w:val="000000" w:themeColor="text1"/>
          <w:kern w:val="0"/>
          <w:sz w:val="28"/>
          <w:szCs w:val="28"/>
          <w:lang w:val="zh-CN"/>
          <w14:textFill>
            <w14:solidFill>
              <w14:schemeClr w14:val="tx1"/>
            </w14:solidFill>
          </w14:textFill>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color w:val="000000" w:themeColor="text1"/>
          <w:kern w:val="0"/>
          <w:sz w:val="28"/>
          <w:szCs w:val="28"/>
          <w:lang w:val="zh-CN"/>
          <w14:textFill>
            <w14:solidFill>
              <w14:schemeClr w14:val="tx1"/>
            </w14:solidFill>
          </w14:textFill>
        </w:rPr>
      </w:pPr>
      <w:r>
        <w:rPr>
          <w:rFonts w:hint="eastAsia" w:ascii="宋体" w:hAnsi="宋体" w:cs="仿宋"/>
          <w:color w:val="000000" w:themeColor="text1"/>
          <w:kern w:val="0"/>
          <w:sz w:val="28"/>
          <w:szCs w:val="28"/>
          <w:lang w:val="zh-CN"/>
          <w14:textFill>
            <w14:solidFill>
              <w14:schemeClr w14:val="tx1"/>
            </w14:solidFill>
          </w14:textFill>
        </w:rPr>
        <w:t>3.招标文件免费获取。</w:t>
      </w:r>
    </w:p>
    <w:p>
      <w:pPr>
        <w:snapToGrid w:val="0"/>
        <w:spacing w:line="500" w:lineRule="exact"/>
        <w:ind w:firstLine="562" w:firstLineChars="200"/>
        <w:rPr>
          <w:rFonts w:ascii="宋体" w:hAnsi="宋体"/>
          <w:b/>
          <w:color w:val="000000" w:themeColor="text1"/>
          <w:kern w:val="0"/>
          <w:sz w:val="28"/>
          <w:szCs w:val="28"/>
          <w14:textFill>
            <w14:solidFill>
              <w14:schemeClr w14:val="tx1"/>
            </w14:solidFill>
          </w14:textFill>
        </w:rPr>
      </w:pPr>
      <w:r>
        <w:rPr>
          <w:rFonts w:hint="eastAsia" w:ascii="宋体" w:hAnsi="宋体" w:cs="Arial"/>
          <w:b/>
          <w:bCs/>
          <w:color w:val="000000" w:themeColor="text1"/>
          <w:sz w:val="28"/>
          <w:szCs w:val="28"/>
          <w14:textFill>
            <w14:solidFill>
              <w14:schemeClr w14:val="tx1"/>
            </w14:solidFill>
          </w14:textFill>
        </w:rPr>
        <w:t>六、投标截止时间、地点和形式</w:t>
      </w:r>
    </w:p>
    <w:p>
      <w:pPr>
        <w:pStyle w:val="31"/>
        <w:adjustRightInd w:val="0"/>
        <w:snapToGrid w:val="0"/>
        <w:spacing w:before="156" w:after="156" w:line="500" w:lineRule="exact"/>
        <w:ind w:firstLine="565" w:firstLineChars="201"/>
        <w:rPr>
          <w:rFonts w:hAnsi="宋体"/>
          <w:color w:val="000000" w:themeColor="text1"/>
          <w:kern w:val="0"/>
          <w:sz w:val="28"/>
          <w:szCs w:val="28"/>
          <w14:textFill>
            <w14:solidFill>
              <w14:schemeClr w14:val="tx1"/>
            </w14:solidFill>
          </w14:textFill>
        </w:rPr>
      </w:pPr>
      <w:r>
        <w:rPr>
          <w:rFonts w:hint="eastAsia" w:hAnsi="宋体"/>
          <w:b/>
          <w:color w:val="000000" w:themeColor="text1"/>
          <w:kern w:val="0"/>
          <w:sz w:val="28"/>
          <w:szCs w:val="28"/>
          <w14:textFill>
            <w14:solidFill>
              <w14:schemeClr w14:val="tx1"/>
            </w14:solidFill>
          </w14:textFill>
        </w:rPr>
        <w:t>投标截止时间：</w:t>
      </w:r>
      <w:bookmarkStart w:id="7" w:name="PO_15528_PM015"/>
      <w:r>
        <w:rPr>
          <w:rFonts w:hint="eastAsia" w:ascii="仿宋" w:hAnsi="仿宋" w:eastAsia="仿宋" w:cs="Arial"/>
          <w:color w:val="000000" w:themeColor="text1"/>
          <w:sz w:val="30"/>
          <w:szCs w:val="30"/>
          <w:lang w:eastAsia="zh-CN"/>
          <w14:textFill>
            <w14:solidFill>
              <w14:schemeClr w14:val="tx1"/>
            </w14:solidFill>
          </w14:textFill>
        </w:rPr>
        <w:t>2024-01-16 09:00:00</w:t>
      </w:r>
      <w:bookmarkEnd w:id="7"/>
      <w:r>
        <w:rPr>
          <w:rFonts w:hint="eastAsia" w:hAnsi="宋体"/>
          <w:b/>
          <w:color w:val="000000" w:themeColor="text1"/>
          <w:kern w:val="0"/>
          <w:sz w:val="28"/>
          <w:szCs w:val="28"/>
          <w14:textFill>
            <w14:solidFill>
              <w14:schemeClr w14:val="tx1"/>
            </w14:solidFill>
          </w14:textFill>
        </w:rPr>
        <w:t>。</w:t>
      </w:r>
    </w:p>
    <w:p>
      <w:pPr>
        <w:pStyle w:val="31"/>
        <w:adjustRightInd w:val="0"/>
        <w:snapToGrid w:val="0"/>
        <w:spacing w:before="156" w:after="156" w:line="500" w:lineRule="exact"/>
        <w:ind w:firstLine="562" w:firstLineChars="201"/>
        <w:rPr>
          <w:rFonts w:hAnsi="宋体"/>
          <w:color w:val="000000" w:themeColor="text1"/>
          <w:kern w:val="0"/>
          <w:sz w:val="28"/>
          <w:szCs w:val="28"/>
          <w14:textFill>
            <w14:solidFill>
              <w14:schemeClr w14:val="tx1"/>
            </w14:solidFill>
          </w14:textFill>
        </w:rPr>
      </w:pPr>
      <w:r>
        <w:rPr>
          <w:rFonts w:hint="eastAsia" w:hAnsi="宋体"/>
          <w:color w:val="000000" w:themeColor="text1"/>
          <w:kern w:val="0"/>
          <w:sz w:val="28"/>
          <w:szCs w:val="28"/>
          <w14:textFill>
            <w14:solidFill>
              <w14:schemeClr w14:val="tx1"/>
            </w14:solidFill>
          </w14:textFill>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31"/>
        <w:adjustRightInd w:val="0"/>
        <w:snapToGrid w:val="0"/>
        <w:spacing w:before="156" w:after="156" w:line="500" w:lineRule="exact"/>
        <w:ind w:firstLine="562" w:firstLineChars="201"/>
        <w:rPr>
          <w:rFonts w:hAnsi="宋体"/>
          <w:color w:val="000000" w:themeColor="text1"/>
          <w:kern w:val="0"/>
          <w:sz w:val="28"/>
          <w:szCs w:val="28"/>
          <w14:textFill>
            <w14:solidFill>
              <w14:schemeClr w14:val="tx1"/>
            </w14:solidFill>
          </w14:textFill>
        </w:rPr>
      </w:pPr>
      <w:r>
        <w:rPr>
          <w:rFonts w:hint="eastAsia" w:hAnsi="宋体"/>
          <w:color w:val="000000" w:themeColor="text1"/>
          <w:kern w:val="0"/>
          <w:sz w:val="28"/>
          <w:szCs w:val="28"/>
          <w14:textFill>
            <w14:solidFill>
              <w14:schemeClr w14:val="tx1"/>
            </w14:solidFill>
          </w14:textFill>
        </w:rPr>
        <w:t>如认为需要，投标人可以选择递交备份投标文件，采用数据电文形式，以U盘或DVD光盘形式存储，并在投标截止时间前，通过邮寄方式，送达指定地点，逾期送达或未密封将被拒收。</w:t>
      </w:r>
    </w:p>
    <w:p>
      <w:pPr>
        <w:pStyle w:val="31"/>
        <w:adjustRightInd w:val="0"/>
        <w:snapToGrid w:val="0"/>
        <w:spacing w:before="156" w:after="156" w:line="500" w:lineRule="exact"/>
        <w:ind w:firstLine="562" w:firstLineChars="201"/>
        <w:rPr>
          <w:rFonts w:hAnsi="宋体" w:cstheme="minorBidi"/>
          <w:color w:val="000000" w:themeColor="text1"/>
          <w:kern w:val="0"/>
          <w:sz w:val="28"/>
          <w:szCs w:val="28"/>
          <w14:textFill>
            <w14:solidFill>
              <w14:schemeClr w14:val="tx1"/>
            </w14:solidFill>
          </w14:textFill>
        </w:rPr>
      </w:pPr>
      <w:r>
        <w:rPr>
          <w:rFonts w:hint="eastAsia" w:hAnsi="宋体" w:cstheme="minorBidi"/>
          <w:color w:val="000000" w:themeColor="text1"/>
          <w:kern w:val="0"/>
          <w:sz w:val="28"/>
          <w:szCs w:val="28"/>
          <w14:textFill>
            <w14:solidFill>
              <w14:schemeClr w14:val="tx1"/>
            </w14:solidFill>
          </w14:textFill>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pStyle w:val="31"/>
        <w:adjustRightInd w:val="0"/>
        <w:snapToGrid w:val="0"/>
        <w:spacing w:before="156" w:after="156" w:line="500" w:lineRule="exact"/>
        <w:ind w:firstLine="565" w:firstLineChars="201"/>
        <w:rPr>
          <w:rFonts w:hAnsi="宋体"/>
          <w:b/>
          <w:color w:val="000000" w:themeColor="text1"/>
          <w:kern w:val="0"/>
          <w:sz w:val="28"/>
          <w:szCs w:val="28"/>
          <w14:textFill>
            <w14:solidFill>
              <w14:schemeClr w14:val="tx1"/>
            </w14:solidFill>
          </w14:textFill>
        </w:rPr>
      </w:pPr>
      <w:r>
        <w:rPr>
          <w:rFonts w:hint="eastAsia" w:hAnsi="宋体"/>
          <w:b/>
          <w:color w:val="000000" w:themeColor="text1"/>
          <w:kern w:val="0"/>
          <w:sz w:val="28"/>
          <w:szCs w:val="28"/>
          <w14:textFill>
            <w14:solidFill>
              <w14:schemeClr w14:val="tx1"/>
            </w14:solidFill>
          </w14:textFill>
        </w:rPr>
        <w:t>本项目拒绝接受纸质投标文件。</w:t>
      </w:r>
    </w:p>
    <w:p>
      <w:pPr>
        <w:snapToGrid w:val="0"/>
        <w:spacing w:line="500" w:lineRule="exact"/>
        <w:ind w:firstLine="562" w:firstLineChars="200"/>
        <w:rPr>
          <w:rFonts w:ascii="宋体" w:hAnsi="宋体" w:cs="Arial"/>
          <w:b/>
          <w:bCs/>
          <w:color w:val="000000" w:themeColor="text1"/>
          <w:sz w:val="28"/>
          <w:szCs w:val="28"/>
          <w14:textFill>
            <w14:solidFill>
              <w14:schemeClr w14:val="tx1"/>
            </w14:solidFill>
          </w14:textFill>
        </w:rPr>
      </w:pPr>
      <w:r>
        <w:rPr>
          <w:rFonts w:hint="eastAsia" w:ascii="宋体" w:hAnsi="宋体" w:cs="Arial"/>
          <w:b/>
          <w:bCs/>
          <w:color w:val="000000" w:themeColor="text1"/>
          <w:sz w:val="28"/>
          <w:szCs w:val="28"/>
          <w14:textFill>
            <w14:solidFill>
              <w14:schemeClr w14:val="tx1"/>
            </w14:solidFill>
          </w14:textFill>
        </w:rPr>
        <w:t>七、开标时间及地点：</w:t>
      </w:r>
    </w:p>
    <w:p>
      <w:pPr>
        <w:snapToGrid w:val="0"/>
        <w:spacing w:line="500" w:lineRule="exact"/>
        <w:ind w:firstLine="562" w:firstLineChars="200"/>
        <w:rPr>
          <w:rFonts w:ascii="宋体" w:hAnsi="宋体" w:cs="Arial"/>
          <w:b/>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本次招标将于</w:t>
      </w:r>
      <w:bookmarkStart w:id="8" w:name="PO_15528_PM015_1"/>
      <w:r>
        <w:rPr>
          <w:rFonts w:hint="eastAsia" w:ascii="宋体" w:hAnsi="宋体" w:cs="Arial"/>
          <w:b/>
          <w:color w:val="000000" w:themeColor="text1"/>
          <w:sz w:val="28"/>
          <w:szCs w:val="28"/>
          <w:lang w:eastAsia="zh-CN"/>
          <w14:textFill>
            <w14:solidFill>
              <w14:schemeClr w14:val="tx1"/>
            </w14:solidFill>
          </w14:textFill>
        </w:rPr>
        <w:t>2024-01-16 09:00:00</w:t>
      </w:r>
      <w:bookmarkEnd w:id="8"/>
      <w:r>
        <w:rPr>
          <w:rFonts w:hint="eastAsia" w:ascii="宋体" w:hAnsi="宋体" w:cs="Arial"/>
          <w:b/>
          <w:color w:val="000000" w:themeColor="text1"/>
          <w:sz w:val="28"/>
          <w:szCs w:val="28"/>
          <w14:textFill>
            <w14:solidFill>
              <w14:schemeClr w14:val="tx1"/>
            </w14:solidFill>
          </w14:textFill>
        </w:rPr>
        <w:t>时整在</w:t>
      </w:r>
      <w:bookmarkStart w:id="9" w:name="PO_15528_PM016_1"/>
      <w:r>
        <w:rPr>
          <w:rFonts w:hint="eastAsia" w:ascii="宋体" w:hAnsi="宋体" w:cs="Arial"/>
          <w:b/>
          <w:color w:val="000000" w:themeColor="text1"/>
          <w:sz w:val="28"/>
          <w:szCs w:val="28"/>
          <w:lang w:eastAsia="zh-CN"/>
          <w14:textFill>
            <w14:solidFill>
              <w14:schemeClr w14:val="tx1"/>
            </w14:solidFill>
          </w14:textFill>
        </w:rPr>
        <w:t>西湖区宝石一路3号202开标室</w:t>
      </w:r>
      <w:bookmarkEnd w:id="9"/>
      <w:r>
        <w:rPr>
          <w:rFonts w:hint="eastAsia" w:ascii="宋体" w:hAnsi="宋体" w:cs="Arial"/>
          <w:b/>
          <w:color w:val="000000" w:themeColor="text1"/>
          <w:sz w:val="28"/>
          <w:szCs w:val="28"/>
          <w14:textFill>
            <w14:solidFill>
              <w14:schemeClr w14:val="tx1"/>
            </w14:solidFill>
          </w14:textFill>
        </w:rPr>
        <w:t>开标</w:t>
      </w:r>
      <w:r>
        <w:rPr>
          <w:rFonts w:hint="eastAsia" w:ascii="宋体" w:hAnsi="宋体" w:cs="Arial"/>
          <w:b/>
          <w:color w:val="000000" w:themeColor="text1"/>
          <w:sz w:val="28"/>
          <w:szCs w:val="28"/>
          <w:lang w:eastAsia="zh-CN"/>
          <w14:textFill>
            <w14:solidFill>
              <w14:schemeClr w14:val="tx1"/>
            </w14:solidFill>
          </w14:textFill>
        </w:rPr>
        <w:t>，</w:t>
      </w:r>
      <w:r>
        <w:rPr>
          <w:rFonts w:hint="eastAsia" w:ascii="宋体" w:hAnsi="宋体" w:cs="Arial"/>
          <w:b/>
          <w:color w:val="000000" w:themeColor="text1"/>
          <w:sz w:val="28"/>
          <w:szCs w:val="28"/>
          <w:lang w:val="en-US" w:eastAsia="zh-CN"/>
          <w14:textFill>
            <w14:solidFill>
              <w14:schemeClr w14:val="tx1"/>
            </w14:solidFill>
          </w14:textFill>
        </w:rPr>
        <w:t>302评标室评标</w:t>
      </w:r>
      <w:r>
        <w:rPr>
          <w:rFonts w:hint="eastAsia" w:ascii="宋体" w:hAnsi="宋体" w:cs="Arial"/>
          <w:b/>
          <w:color w:val="000000" w:themeColor="text1"/>
          <w:sz w:val="28"/>
          <w:szCs w:val="28"/>
          <w14:textFill>
            <w14:solidFill>
              <w14:schemeClr w14:val="tx1"/>
            </w14:solidFill>
          </w14:textFill>
        </w:rPr>
        <w:t>。</w:t>
      </w:r>
    </w:p>
    <w:p>
      <w:pPr>
        <w:snapToGrid w:val="0"/>
        <w:spacing w:line="500" w:lineRule="exact"/>
        <w:ind w:firstLine="562" w:firstLineChars="200"/>
        <w:rPr>
          <w:rFonts w:ascii="宋体" w:hAnsi="宋体" w:cs="Arial"/>
          <w:b/>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本项目实行“不见面开评标”，投标人无须派人员到现场出席开标会议。</w:t>
      </w:r>
    </w:p>
    <w:tbl>
      <w:tblPr>
        <w:tblStyle w:val="99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开评标现场咨询电话</w:t>
            </w:r>
          </w:p>
        </w:tc>
        <w:tc>
          <w:tcPr>
            <w:tcW w:w="3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201开标室：</w:t>
            </w:r>
          </w:p>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0571-88907792</w:t>
            </w:r>
          </w:p>
        </w:tc>
        <w:tc>
          <w:tcPr>
            <w:tcW w:w="3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202开标室：</w:t>
            </w:r>
          </w:p>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0571-8890779</w:t>
            </w:r>
            <w:r>
              <w:rPr>
                <w:rFonts w:ascii="宋体" w:hAnsi="宋体" w:cs="宋体"/>
                <w:color w:val="000000" w:themeColor="text1"/>
                <w:kern w:val="0"/>
                <w:sz w:val="28"/>
                <w:szCs w:val="2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p>
        </w:tc>
        <w:tc>
          <w:tcPr>
            <w:tcW w:w="3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203开标室：</w:t>
            </w:r>
          </w:p>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w:t>
            </w:r>
            <w:r>
              <w:rPr>
                <w:rFonts w:ascii="宋体" w:hAnsi="宋体" w:cs="宋体"/>
                <w:color w:val="000000" w:themeColor="text1"/>
                <w:kern w:val="0"/>
                <w:sz w:val="28"/>
                <w:szCs w:val="28"/>
                <w14:textFill>
                  <w14:solidFill>
                    <w14:schemeClr w14:val="tx1"/>
                  </w14:solidFill>
                </w14:textFill>
              </w:rPr>
              <w:t>1816</w:t>
            </w:r>
          </w:p>
        </w:tc>
        <w:tc>
          <w:tcPr>
            <w:tcW w:w="3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301会议室：</w:t>
            </w:r>
          </w:p>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p>
        </w:tc>
        <w:tc>
          <w:tcPr>
            <w:tcW w:w="3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302会议室：</w:t>
            </w:r>
          </w:p>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0571-88907720</w:t>
            </w:r>
          </w:p>
        </w:tc>
        <w:tc>
          <w:tcPr>
            <w:tcW w:w="3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303会议室：</w:t>
            </w:r>
          </w:p>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p>
        </w:tc>
        <w:tc>
          <w:tcPr>
            <w:tcW w:w="3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306会议室：</w:t>
            </w:r>
          </w:p>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0571-88907751</w:t>
            </w:r>
          </w:p>
        </w:tc>
        <w:tc>
          <w:tcPr>
            <w:tcW w:w="3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kern w:val="0"/>
                <w:sz w:val="28"/>
                <w:szCs w:val="28"/>
                <w14:textFill>
                  <w14:solidFill>
                    <w14:schemeClr w14:val="tx1"/>
                  </w14:solidFill>
                </w14:textFill>
              </w:rPr>
            </w:pPr>
          </w:p>
        </w:tc>
      </w:tr>
    </w:tbl>
    <w:p>
      <w:pPr>
        <w:snapToGrid w:val="0"/>
        <w:spacing w:line="500" w:lineRule="exact"/>
        <w:ind w:firstLine="562" w:firstLineChars="200"/>
        <w:rPr>
          <w:rFonts w:ascii="宋体" w:hAnsi="宋体" w:cs="Arial"/>
          <w:b/>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八、电子交易平台的网络地址和登录方法</w:t>
      </w:r>
    </w:p>
    <w:p>
      <w:pPr>
        <w:snapToGrid w:val="0"/>
        <w:spacing w:line="500" w:lineRule="exact"/>
        <w:ind w:firstLine="562" w:firstLineChars="200"/>
        <w:rPr>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（一）网络地址：</w:t>
      </w:r>
      <w:r>
        <w:rPr>
          <w:rFonts w:hint="eastAsia" w:ascii="宋体" w:hAnsi="宋体" w:cs="仿宋"/>
          <w:color w:val="000000" w:themeColor="text1"/>
          <w:sz w:val="28"/>
          <w:szCs w:val="28"/>
          <w14:textFill>
            <w14:solidFill>
              <w14:schemeClr w14:val="tx1"/>
            </w14:solidFill>
          </w14:textFill>
        </w:rPr>
        <w:t xml:space="preserve">浙江政府采购网 </w:t>
      </w:r>
      <w:r>
        <w:fldChar w:fldCharType="begin"/>
      </w:r>
      <w:r>
        <w:instrText xml:space="preserve"> HYPERLINK "http://zfcg.czt.zj.gov.cn/" </w:instrText>
      </w:r>
      <w:r>
        <w:fldChar w:fldCharType="separate"/>
      </w:r>
      <w:r>
        <w:rPr>
          <w:rStyle w:val="69"/>
          <w:color w:val="000000" w:themeColor="text1"/>
          <w:sz w:val="28"/>
          <w:szCs w:val="28"/>
          <w14:textFill>
            <w14:solidFill>
              <w14:schemeClr w14:val="tx1"/>
            </w14:solidFill>
          </w14:textFill>
        </w:rPr>
        <w:t>http://zfcg.czt.zj.gov.cn/</w:t>
      </w:r>
      <w:r>
        <w:rPr>
          <w:rStyle w:val="69"/>
          <w:color w:val="000000" w:themeColor="text1"/>
          <w:sz w:val="28"/>
          <w:szCs w:val="28"/>
          <w14:textFill>
            <w14:solidFill>
              <w14:schemeClr w14:val="tx1"/>
            </w14:solidFill>
          </w14:textFill>
        </w:rPr>
        <w:fldChar w:fldCharType="end"/>
      </w:r>
    </w:p>
    <w:p>
      <w:pPr>
        <w:snapToGrid w:val="0"/>
        <w:spacing w:line="500" w:lineRule="exact"/>
        <w:ind w:firstLine="562" w:firstLineChars="200"/>
        <w:rPr>
          <w:rFonts w:ascii="宋体" w:hAnsi="宋体" w:cs="Arial"/>
          <w:b/>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（二）登录方法：</w:t>
      </w:r>
      <w:r>
        <w:rPr>
          <w:rFonts w:hint="eastAsia" w:ascii="宋体" w:hAnsi="宋体" w:cs="Arial"/>
          <w:color w:val="000000" w:themeColor="text1"/>
          <w:sz w:val="28"/>
          <w:szCs w:val="28"/>
          <w14:textFill>
            <w14:solidFill>
              <w14:schemeClr w14:val="tx1"/>
            </w14:solidFill>
          </w14:textFill>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color w:val="000000" w:themeColor="text1"/>
          <w:sz w:val="28"/>
          <w:szCs w:val="28"/>
          <w14:textFill>
            <w14:solidFill>
              <w14:schemeClr w14:val="tx1"/>
            </w14:solidFill>
          </w14:textFill>
        </w:rPr>
      </w:pPr>
      <w:r>
        <w:rPr>
          <w:rFonts w:hint="eastAsia" w:ascii="宋体" w:hAnsi="宋体" w:cs="Arial"/>
          <w:b/>
          <w:bCs/>
          <w:color w:val="000000" w:themeColor="text1"/>
          <w:sz w:val="28"/>
          <w:szCs w:val="28"/>
          <w14:textFill>
            <w14:solidFill>
              <w14:schemeClr w14:val="tx1"/>
            </w14:solidFill>
          </w14:textFill>
        </w:rPr>
        <w:t>九、其他：</w:t>
      </w:r>
    </w:p>
    <w:p>
      <w:pPr>
        <w:snapToGrid w:val="0"/>
        <w:spacing w:line="440" w:lineRule="exact"/>
        <w:ind w:firstLine="562" w:firstLineChars="200"/>
        <w:rPr>
          <w:rFonts w:ascii="宋体" w:hAnsi="宋体" w:cs="Arial"/>
          <w:b/>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（一）本项目采用“电子交易/不见面开评标”，供应商可进入电子卖场服务中心采云学院</w:t>
      </w:r>
    </w:p>
    <w:p>
      <w:pPr>
        <w:snapToGrid w:val="0"/>
        <w:spacing w:line="440" w:lineRule="exact"/>
        <w:ind w:firstLine="562" w:firstLineChars="200"/>
        <w:rPr>
          <w:rFonts w:ascii="仿宋" w:hAnsi="仿宋" w:eastAsia="仿宋"/>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（https://edu.zcygov.cn/live?utm=a0018.2ef5001f.0.0.1939d340e5db11ea867fb57c149ddb61）自行提前学习</w:t>
      </w:r>
      <w:r>
        <w:rPr>
          <w:rFonts w:hint="eastAsia" w:ascii="宋体" w:hAnsi="宋体" w:cs="Arial"/>
          <w:color w:val="000000" w:themeColor="text1"/>
          <w:sz w:val="28"/>
          <w:szCs w:val="28"/>
          <w14:textFill>
            <w14:solidFill>
              <w14:schemeClr w14:val="tx1"/>
            </w14:solidFill>
          </w14:textFill>
        </w:rPr>
        <w:t>。</w:t>
      </w:r>
    </w:p>
    <w:p>
      <w:pPr>
        <w:snapToGrid w:val="0"/>
        <w:spacing w:line="44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十、业务咨询</w:t>
      </w:r>
    </w:p>
    <w:tbl>
      <w:tblPr>
        <w:tblStyle w:val="59"/>
        <w:tblpPr w:leftFromText="180" w:rightFromText="180" w:vertAnchor="text" w:horzAnchor="page" w:tblpX="1337" w:tblpY="223"/>
        <w:tblOverlap w:val="never"/>
        <w:tblW w:w="10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314"/>
        <w:gridCol w:w="2089"/>
        <w:gridCol w:w="2066"/>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机 构</w:t>
            </w:r>
          </w:p>
        </w:tc>
        <w:tc>
          <w:tcPr>
            <w:tcW w:w="8114"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地 址</w:t>
            </w:r>
          </w:p>
        </w:tc>
        <w:tc>
          <w:tcPr>
            <w:tcW w:w="8114"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网 站</w:t>
            </w:r>
          </w:p>
        </w:tc>
        <w:tc>
          <w:tcPr>
            <w:tcW w:w="8114"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浙江政府采购网</w:t>
            </w:r>
            <w:r>
              <w:rPr>
                <w:rFonts w:hint="eastAsia" w:ascii="仿宋_GB2312" w:hAnsi="Segoe UI" w:eastAsia="仿宋_GB2312" w:cs="Segoe UI"/>
                <w:color w:val="000000" w:themeColor="text1"/>
                <w:sz w:val="29"/>
                <w:szCs w:val="29"/>
                <w14:textFill>
                  <w14:solidFill>
                    <w14:schemeClr w14:val="tx1"/>
                  </w14:solidFill>
                </w14:textFill>
              </w:rPr>
              <w:t>ht</w:t>
            </w:r>
            <w:r>
              <w:rPr>
                <w:rFonts w:hint="eastAsia" w:ascii="仿宋" w:hAnsi="仿宋" w:eastAsia="仿宋" w:cs="仿宋"/>
                <w:color w:val="000000" w:themeColor="text1"/>
                <w:sz w:val="28"/>
                <w:szCs w:val="28"/>
                <w14:textFill>
                  <w14:solidFill>
                    <w14:schemeClr w14:val="tx1"/>
                  </w14:solidFill>
                </w14:textFill>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咨询事项</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联系人</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联系方式</w:t>
            </w:r>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传真</w:t>
            </w:r>
          </w:p>
        </w:tc>
        <w:tc>
          <w:tcPr>
            <w:tcW w:w="264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项目联系人</w:t>
            </w:r>
          </w:p>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（A岗）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color w:val="000000" w:themeColor="text1"/>
                <w:sz w:val="28"/>
                <w:szCs w:val="28"/>
                <w:lang w:eastAsia="zh-CN"/>
                <w14:textFill>
                  <w14:solidFill>
                    <w14:schemeClr w14:val="tx1"/>
                  </w14:solidFill>
                </w14:textFill>
              </w:rPr>
            </w:pPr>
            <w:bookmarkStart w:id="10" w:name="PO_15528_PM032"/>
            <w:r>
              <w:rPr>
                <w:rFonts w:hint="eastAsia" w:ascii="仿宋" w:hAnsi="仿宋" w:eastAsia="仿宋" w:cs="仿宋"/>
                <w:color w:val="000000" w:themeColor="text1"/>
                <w:sz w:val="28"/>
                <w:szCs w:val="28"/>
                <w:lang w:eastAsia="zh-CN"/>
                <w14:textFill>
                  <w14:solidFill>
                    <w14:schemeClr w14:val="tx1"/>
                  </w14:solidFill>
                </w14:textFill>
              </w:rPr>
              <w:t>孙松丽</w:t>
            </w:r>
            <w:bookmarkEnd w:id="10"/>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color w:val="000000" w:themeColor="text1"/>
                <w:sz w:val="28"/>
                <w:szCs w:val="28"/>
                <w:lang w:eastAsia="zh-CN"/>
                <w14:textFill>
                  <w14:solidFill>
                    <w14:schemeClr w14:val="tx1"/>
                  </w14:solidFill>
                </w14:textFill>
              </w:rPr>
            </w:pPr>
            <w:bookmarkStart w:id="11" w:name="PO_15528_PM033"/>
            <w:r>
              <w:rPr>
                <w:rFonts w:hint="eastAsia" w:ascii="仿宋" w:hAnsi="仿宋" w:eastAsia="仿宋" w:cs="仿宋"/>
                <w:color w:val="000000" w:themeColor="text1"/>
                <w:sz w:val="28"/>
                <w:szCs w:val="28"/>
                <w:lang w:eastAsia="zh-CN"/>
                <w14:textFill>
                  <w14:solidFill>
                    <w14:schemeClr w14:val="tx1"/>
                  </w14:solidFill>
                </w14:textFill>
              </w:rPr>
              <w:t>0571-88906928</w:t>
            </w:r>
            <w:bookmarkEnd w:id="11"/>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color w:val="000000" w:themeColor="text1"/>
                <w:sz w:val="28"/>
                <w:szCs w:val="28"/>
                <w:lang w:eastAsia="zh-CN"/>
                <w14:textFill>
                  <w14:solidFill>
                    <w14:schemeClr w14:val="tx1"/>
                  </w14:solidFill>
                </w14:textFill>
              </w:rPr>
            </w:pPr>
            <w:bookmarkStart w:id="12" w:name="PO_15528_PM034"/>
            <w:r>
              <w:rPr>
                <w:rFonts w:hint="eastAsia" w:ascii="仿宋" w:hAnsi="仿宋" w:eastAsia="仿宋" w:cs="仿宋"/>
                <w:color w:val="000000" w:themeColor="text1"/>
                <w:sz w:val="28"/>
                <w:szCs w:val="28"/>
                <w:lang w:eastAsia="zh-CN"/>
                <w14:textFill>
                  <w14:solidFill>
                    <w14:schemeClr w14:val="tx1"/>
                  </w14:solidFill>
                </w14:textFill>
              </w:rPr>
              <w:t xml:space="preserve"> </w:t>
            </w:r>
            <w:bookmarkEnd w:id="12"/>
          </w:p>
        </w:tc>
        <w:tc>
          <w:tcPr>
            <w:tcW w:w="2645" w:type="dxa"/>
            <w:vMerge w:val="restart"/>
            <w:tcBorders>
              <w:top w:val="single" w:color="auto" w:sz="4" w:space="0"/>
              <w:left w:val="single" w:color="auto" w:sz="4" w:space="0"/>
              <w:bottom w:val="single" w:color="auto" w:sz="4" w:space="0"/>
              <w:right w:val="single" w:color="auto" w:sz="4" w:space="0"/>
            </w:tcBorders>
          </w:tcPr>
          <w:p>
            <w:pPr>
              <w:spacing w:line="480" w:lineRule="exact"/>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四楼</w:t>
            </w:r>
            <w:bookmarkStart w:id="13" w:name="PO_409_PM001385"/>
            <w:r>
              <w:rPr>
                <w:rFonts w:hint="eastAsia" w:ascii="仿宋" w:hAnsi="仿宋" w:eastAsia="仿宋" w:cs="仿宋"/>
                <w:color w:val="000000" w:themeColor="text1"/>
                <w:sz w:val="28"/>
                <w:szCs w:val="28"/>
                <w:lang w:eastAsia="zh-CN"/>
                <w14:textFill>
                  <w14:solidFill>
                    <w14:schemeClr w14:val="tx1"/>
                  </w14:solidFill>
                </w14:textFill>
              </w:rPr>
              <w:t xml:space="preserve"> </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项目协办人</w:t>
            </w:r>
          </w:p>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（B岗）</w:t>
            </w:r>
          </w:p>
        </w:tc>
        <w:tc>
          <w:tcPr>
            <w:tcW w:w="13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leftChars="0" w:right="0" w:rightChars="0"/>
              <w:jc w:val="center"/>
              <w:rPr>
                <w:rFonts w:hint="default"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商红娟</w:t>
            </w:r>
          </w:p>
        </w:tc>
        <w:tc>
          <w:tcPr>
            <w:tcW w:w="20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leftChars="0" w:right="0" w:rightChars="0"/>
              <w:jc w:val="center"/>
              <w:rPr>
                <w:rFonts w:hint="default"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0571-88907706</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p>
        </w:tc>
        <w:tc>
          <w:tcPr>
            <w:tcW w:w="26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leftChars="0" w:right="0" w:rightChars="0"/>
              <w:jc w:val="center"/>
              <w:rPr>
                <w:rFonts w:hint="default"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leftChars="0" w:right="0" w:rightChars="0"/>
              <w:jc w:val="center"/>
              <w:rPr>
                <w:rFonts w:hint="default"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0571-88907717</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p>
        </w:tc>
        <w:tc>
          <w:tcPr>
            <w:tcW w:w="26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邵女士</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0571-8890</w:t>
            </w:r>
            <w:r>
              <w:rPr>
                <w:rFonts w:ascii="仿宋" w:hAnsi="仿宋" w:eastAsia="仿宋" w:cs="仿宋"/>
                <w:color w:val="000000" w:themeColor="text1"/>
                <w:sz w:val="28"/>
                <w:szCs w:val="28"/>
                <w14:textFill>
                  <w14:solidFill>
                    <w14:schemeClr w14:val="tx1"/>
                  </w14:solidFill>
                </w14:textFill>
              </w:rPr>
              <w:t>7750</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客  服</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95763</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p>
        </w:tc>
        <w:tc>
          <w:tcPr>
            <w:tcW w:w="264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注册、账号、系统操作等</w:t>
            </w:r>
          </w:p>
        </w:tc>
      </w:tr>
    </w:tbl>
    <w:p>
      <w:pPr>
        <w:snapToGrid w:val="0"/>
        <w:spacing w:line="440" w:lineRule="exact"/>
        <w:ind w:firstLine="602" w:firstLineChars="200"/>
        <w:rPr>
          <w:rFonts w:hint="eastAsia" w:ascii="仿宋" w:hAnsi="仿宋" w:eastAsia="仿宋" w:cs="Arial"/>
          <w:b/>
          <w:bCs/>
          <w:color w:val="000000" w:themeColor="text1"/>
          <w:sz w:val="30"/>
          <w:szCs w:val="30"/>
          <w14:textFill>
            <w14:solidFill>
              <w14:schemeClr w14:val="tx1"/>
            </w14:solidFill>
          </w14:textFill>
        </w:rPr>
      </w:pPr>
    </w:p>
    <w:p>
      <w:pPr>
        <w:snapToGrid w:val="0"/>
        <w:spacing w:line="44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十一、采购需求咨询</w:t>
      </w:r>
    </w:p>
    <w:tbl>
      <w:tblPr>
        <w:tblStyle w:val="6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bookmarkStart w:id="14" w:name="PO_TDCUS_ITEM_PRC_TABLE_1_1_2"/>
            <w:r>
              <w:rPr>
                <w:rFonts w:hint="eastAsia" w:ascii="仿宋_GB2312" w:hAnsi="仿宋" w:eastAsia="仿宋_GB2312"/>
                <w:color w:val="000000" w:themeColor="text1"/>
                <w:sz w:val="30"/>
                <w:szCs w:val="30"/>
                <w:vertAlign w:val="baseline"/>
                <w:lang w:eastAsia="zh-CN"/>
                <w14:textFill>
                  <w14:solidFill>
                    <w14:schemeClr w14:val="tx1"/>
                  </w14:solidFill>
                </w14:textFill>
              </w:rPr>
              <w:t>采购单位</w:t>
            </w:r>
          </w:p>
        </w:tc>
        <w:tc>
          <w:tcPr>
            <w:tcW w:w="2500" w:type="pct"/>
          </w:tcPr>
          <w:p>
            <w:pPr>
              <w:snapToGrid w:val="0"/>
              <w:spacing w:line="440" w:lineRule="exact"/>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浙江省体育彩票管理中心（本级）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地址</w:t>
            </w:r>
          </w:p>
        </w:tc>
        <w:tc>
          <w:tcPr>
            <w:tcW w:w="2500" w:type="pct"/>
          </w:tcPr>
          <w:p>
            <w:pPr>
              <w:snapToGrid w:val="0"/>
              <w:spacing w:line="440" w:lineRule="exact"/>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浙江省杭州市上城区复兴路397号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咨询事项</w:t>
            </w:r>
          </w:p>
        </w:tc>
        <w:tc>
          <w:tcPr>
            <w:tcW w:w="2500" w:type="pct"/>
          </w:tcPr>
          <w:p>
            <w:pPr>
              <w:snapToGrid w:val="0"/>
              <w:spacing w:line="440" w:lineRule="exact"/>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联系人</w:t>
            </w:r>
          </w:p>
        </w:tc>
        <w:tc>
          <w:tcPr>
            <w:tcW w:w="2500" w:type="pct"/>
          </w:tcPr>
          <w:p>
            <w:pPr>
              <w:snapToGrid w:val="0"/>
              <w:spacing w:line="440" w:lineRule="exact"/>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闵霞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联系方式</w:t>
            </w:r>
          </w:p>
        </w:tc>
        <w:tc>
          <w:tcPr>
            <w:tcW w:w="2500" w:type="pct"/>
          </w:tcPr>
          <w:p>
            <w:pPr>
              <w:snapToGrid w:val="0"/>
              <w:spacing w:line="440" w:lineRule="exact"/>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0571-85063159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传真</w:t>
            </w:r>
          </w:p>
        </w:tc>
        <w:tc>
          <w:tcPr>
            <w:tcW w:w="2500" w:type="pct"/>
          </w:tcPr>
          <w:p>
            <w:pPr>
              <w:snapToGrid w:val="0"/>
              <w:spacing w:line="440" w:lineRule="exact"/>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r>
              <w:rPr>
                <w:rFonts w:hint="eastAsia" w:ascii="仿宋_GB2312" w:hAnsi="仿宋" w:eastAsia="仿宋_GB2312"/>
                <w:color w:val="000000" w:themeColor="text1"/>
                <w:sz w:val="30"/>
                <w:szCs w:val="30"/>
                <w:vertAlign w:val="baseline"/>
                <w:lang w:eastAsia="zh-CN"/>
                <w14:textFill>
                  <w14:solidFill>
                    <w14:schemeClr w14:val="tx1"/>
                  </w14:solidFill>
                </w14:textFill>
              </w:rPr>
              <w:t>备注</w:t>
            </w:r>
          </w:p>
        </w:tc>
        <w:tc>
          <w:tcPr>
            <w:tcW w:w="2500" w:type="pct"/>
          </w:tcPr>
          <w:p>
            <w:pPr>
              <w:snapToGrid w:val="0"/>
              <w:spacing w:line="440" w:lineRule="exact"/>
              <w:jc w:val="center"/>
              <w:rPr>
                <w:rFonts w:hint="eastAsia" w:ascii="仿宋_GB2312" w:hAnsi="仿宋" w:eastAsia="仿宋_GB2312"/>
                <w:color w:val="000000" w:themeColor="text1"/>
                <w:sz w:val="30"/>
                <w:szCs w:val="30"/>
                <w:vertAlign w:val="baseline"/>
                <w:lang w:eastAsia="zh-CN"/>
                <w14:textFill>
                  <w14:solidFill>
                    <w14:schemeClr w14:val="tx1"/>
                  </w14:solidFill>
                </w14:textFill>
              </w:rPr>
            </w:pPr>
          </w:p>
        </w:tc>
      </w:tr>
    </w:tbl>
    <w:p>
      <w:pPr>
        <w:snapToGrid w:val="0"/>
        <w:spacing w:line="440" w:lineRule="exact"/>
        <w:ind w:firstLine="600" w:firstLineChars="200"/>
        <w:jc w:val="center"/>
        <w:rPr>
          <w:rFonts w:hint="eastAsia" w:ascii="仿宋_GB2312" w:hAnsi="仿宋" w:eastAsia="仿宋_GB2312"/>
          <w:color w:val="000000" w:themeColor="text1"/>
          <w:sz w:val="30"/>
          <w:szCs w:val="30"/>
          <w:lang w:eastAsia="zh-CN"/>
          <w14:textFill>
            <w14:solidFill>
              <w14:schemeClr w14:val="tx1"/>
            </w14:solidFill>
          </w14:textFill>
        </w:rPr>
      </w:pPr>
      <w:r>
        <w:rPr>
          <w:rFonts w:hint="eastAsia" w:ascii="仿宋_GB2312" w:hAnsi="仿宋" w:eastAsia="仿宋_GB2312"/>
          <w:color w:val="000000" w:themeColor="text1"/>
          <w:sz w:val="30"/>
          <w:szCs w:val="30"/>
          <w:lang w:eastAsia="zh-CN"/>
          <w14:textFill>
            <w14:solidFill>
              <w14:schemeClr w14:val="tx1"/>
            </w14:solidFill>
          </w14:textFill>
        </w:rPr>
        <w:t xml:space="preserve"> </w:t>
      </w:r>
      <w:bookmarkEnd w:id="14"/>
    </w:p>
    <w:p>
      <w:pPr>
        <w:snapToGrid w:val="0"/>
        <w:spacing w:line="440" w:lineRule="exact"/>
        <w:ind w:firstLine="602" w:firstLineChars="200"/>
        <w:jc w:val="left"/>
        <w:rPr>
          <w:rFonts w:ascii="仿宋" w:hAnsi="仿宋" w:eastAsia="仿宋" w:cs="Arial"/>
          <w:b/>
          <w:bCs/>
          <w:color w:val="000000" w:themeColor="text1"/>
          <w:sz w:val="30"/>
          <w:szCs w:val="30"/>
          <w14:textFill>
            <w14:solidFill>
              <w14:schemeClr w14:val="tx1"/>
            </w14:solidFill>
          </w14:textFill>
        </w:rPr>
      </w:pPr>
    </w:p>
    <w:p>
      <w:pPr>
        <w:snapToGrid w:val="0"/>
        <w:spacing w:line="440" w:lineRule="exact"/>
        <w:ind w:firstLine="602" w:firstLineChars="200"/>
        <w:rPr>
          <w:rFonts w:ascii="仿宋" w:hAnsi="仿宋" w:eastAsia="仿宋" w:cs="Arial"/>
          <w:b/>
          <w:bCs/>
          <w:color w:val="000000" w:themeColor="text1"/>
          <w:sz w:val="30"/>
          <w:szCs w:val="30"/>
          <w14:textFill>
            <w14:solidFill>
              <w14:schemeClr w14:val="tx1"/>
            </w14:solidFill>
          </w14:textFill>
        </w:rPr>
      </w:pPr>
      <w:bookmarkStart w:id="15" w:name="PO_TDCUS_ITEM_PRC_TABLE_1_1"/>
      <w:bookmarkEnd w:id="15"/>
      <w:r>
        <w:rPr>
          <w:rFonts w:ascii="仿宋" w:hAnsi="仿宋" w:eastAsia="仿宋" w:cs="Arial"/>
          <w:b/>
          <w:bCs/>
          <w:color w:val="000000" w:themeColor="text1"/>
          <w:sz w:val="30"/>
          <w:szCs w:val="30"/>
          <w14:textFill>
            <w14:solidFill>
              <w14:schemeClr w14:val="tx1"/>
            </w14:solidFill>
          </w14:textFill>
        </w:rPr>
        <w:tab/>
      </w:r>
      <w:r>
        <w:rPr>
          <w:rFonts w:hint="eastAsia" w:ascii="仿宋" w:hAnsi="仿宋" w:eastAsia="仿宋" w:cs="Arial"/>
          <w:b/>
          <w:bCs/>
          <w:color w:val="000000" w:themeColor="text1"/>
          <w:sz w:val="30"/>
          <w:szCs w:val="30"/>
          <w14:textFill>
            <w14:solidFill>
              <w14:schemeClr w14:val="tx1"/>
            </w14:solidFill>
          </w14:textFill>
        </w:rPr>
        <w:t>十二、同级政府采购监督管理部门</w:t>
      </w:r>
    </w:p>
    <w:p>
      <w:pPr>
        <w:snapToGrid w:val="0"/>
        <w:spacing w:line="360" w:lineRule="auto"/>
        <w:ind w:firstLine="560" w:firstLineChars="200"/>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名    称：浙江省财政厅政府采购监管处、浙江省政府采购行政裁决服务中心（杭州）</w:t>
      </w:r>
    </w:p>
    <w:p>
      <w:pPr>
        <w:snapToGrid w:val="0"/>
        <w:spacing w:line="360" w:lineRule="auto"/>
        <w:ind w:firstLine="560" w:firstLineChars="200"/>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地   址：</w:t>
      </w:r>
      <w:r>
        <w:rPr>
          <w:rFonts w:hint="eastAsia" w:ascii="宋体" w:hAnsi="宋体" w:cs="仿宋"/>
          <w:color w:val="000000" w:themeColor="text1"/>
          <w:sz w:val="28"/>
          <w:szCs w:val="28"/>
          <w:lang w:val="en-US" w:eastAsia="zh-CN"/>
          <w14:textFill>
            <w14:solidFill>
              <w14:schemeClr w14:val="tx1"/>
            </w14:solidFill>
          </w14:textFill>
        </w:rPr>
        <w:t>浙江省</w:t>
      </w:r>
      <w:r>
        <w:rPr>
          <w:rFonts w:hint="eastAsia" w:ascii="宋体" w:hAnsi="宋体" w:cs="仿宋"/>
          <w:color w:val="000000" w:themeColor="text1"/>
          <w:sz w:val="28"/>
          <w:szCs w:val="28"/>
          <w14:textFill>
            <w14:solidFill>
              <w14:schemeClr w14:val="tx1"/>
            </w14:solidFill>
          </w14:textFill>
        </w:rPr>
        <w:t>杭州市上城区四季青街道新业路市民之家G03办公室</w:t>
      </w:r>
    </w:p>
    <w:p>
      <w:pPr>
        <w:snapToGrid w:val="0"/>
        <w:spacing w:line="360" w:lineRule="auto"/>
        <w:ind w:firstLine="560" w:firstLineChars="200"/>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传   真：/</w:t>
      </w:r>
    </w:p>
    <w:p>
      <w:pPr>
        <w:snapToGrid w:val="0"/>
        <w:spacing w:line="360" w:lineRule="auto"/>
        <w:ind w:firstLine="560" w:firstLineChars="200"/>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联系人 ：朱女士、王女士</w:t>
      </w:r>
    </w:p>
    <w:p>
      <w:pPr>
        <w:snapToGrid w:val="0"/>
        <w:spacing w:line="360" w:lineRule="auto"/>
        <w:ind w:firstLine="560" w:firstLineChars="200"/>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监督投诉电话：0571-85252453</w:t>
      </w:r>
    </w:p>
    <w:p>
      <w:pPr>
        <w:snapToGrid w:val="0"/>
        <w:spacing w:line="440" w:lineRule="exact"/>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预算金额未达100万元的采购项目，由采购人处理采购争议。</w:t>
      </w:r>
    </w:p>
    <w:p>
      <w:pPr>
        <w:pStyle w:val="31"/>
        <w:tabs>
          <w:tab w:val="left" w:pos="220"/>
        </w:tabs>
        <w:spacing w:before="156" w:after="156" w:line="360" w:lineRule="auto"/>
        <w:outlineLvl w:val="0"/>
        <w:rPr>
          <w:rFonts w:hAnsi="宋体" w:cs="仿宋"/>
          <w:color w:val="000000" w:themeColor="text1"/>
          <w:sz w:val="28"/>
          <w:szCs w:val="28"/>
          <w14:textFill>
            <w14:solidFill>
              <w14:schemeClr w14:val="tx1"/>
            </w14:solidFill>
          </w14:textFill>
        </w:rPr>
      </w:pPr>
    </w:p>
    <w:p>
      <w:pPr>
        <w:pStyle w:val="31"/>
        <w:spacing w:before="156" w:after="156" w:line="360" w:lineRule="auto"/>
        <w:jc w:val="center"/>
        <w:outlineLvl w:val="0"/>
        <w:rPr>
          <w:rFonts w:hAnsi="宋体"/>
          <w:b/>
          <w:color w:val="000000" w:themeColor="text1"/>
          <w:sz w:val="36"/>
          <w:szCs w:val="36"/>
          <w14:textFill>
            <w14:solidFill>
              <w14:schemeClr w14:val="tx1"/>
            </w14:solidFill>
          </w14:textFill>
        </w:rPr>
      </w:pPr>
      <w:r>
        <w:rPr>
          <w:rFonts w:hint="eastAsia"/>
          <w:color w:val="000000" w:themeColor="text1"/>
          <w14:textFill>
            <w14:solidFill>
              <w14:schemeClr w14:val="tx1"/>
            </w14:solidFill>
          </w14:textFill>
        </w:rPr>
        <w:br w:type="page"/>
      </w:r>
      <w:bookmarkStart w:id="16" w:name="_Toc496796636"/>
      <w:bookmarkStart w:id="17" w:name="_Toc29498"/>
      <w:r>
        <w:rPr>
          <w:rFonts w:hint="eastAsia" w:ascii="仿宋" w:hAnsi="仿宋" w:eastAsia="仿宋"/>
          <w:b/>
          <w:color w:val="000000" w:themeColor="text1"/>
          <w:sz w:val="36"/>
          <w:szCs w:val="36"/>
          <w14:textFill>
            <w14:solidFill>
              <w14:schemeClr w14:val="tx1"/>
            </w14:solidFill>
          </w14:textFill>
        </w:rPr>
        <w:t>第二章</w:t>
      </w:r>
      <w:bookmarkStart w:id="18" w:name="投标人须知"/>
      <w:r>
        <w:rPr>
          <w:rFonts w:hint="eastAsia" w:ascii="仿宋" w:hAnsi="仿宋" w:eastAsia="仿宋"/>
          <w:b/>
          <w:color w:val="000000" w:themeColor="text1"/>
          <w:sz w:val="36"/>
          <w:szCs w:val="36"/>
          <w14:textFill>
            <w14:solidFill>
              <w14:schemeClr w14:val="tx1"/>
            </w14:solidFill>
          </w14:textFill>
        </w:rPr>
        <w:t>投标人须知</w:t>
      </w:r>
      <w:bookmarkEnd w:id="16"/>
      <w:bookmarkEnd w:id="17"/>
      <w:bookmarkEnd w:id="18"/>
    </w:p>
    <w:p>
      <w:pPr>
        <w:snapToGri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前附表</w:t>
      </w:r>
    </w:p>
    <w:tbl>
      <w:tblPr>
        <w:tblStyle w:val="59"/>
        <w:tblW w:w="94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8"/>
        <w:gridCol w:w="73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内  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项目名称及数量</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信用记录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中小企业预留份额情况</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根据《政府采购促进中小企业发展管理办法》财库〔2020〕46号文件的规定，本项目</w:t>
            </w:r>
            <w:r>
              <w:rPr>
                <w:rFonts w:hint="eastAsia" w:ascii="仿宋" w:hAnsi="仿宋" w:eastAsia="仿宋"/>
                <w:b/>
                <w:color w:val="000000" w:themeColor="text1"/>
                <w:sz w:val="24"/>
                <w:szCs w:val="24"/>
                <w:u w:val="single"/>
                <w14:textFill>
                  <w14:solidFill>
                    <w14:schemeClr w14:val="tx1"/>
                  </w14:solidFill>
                </w14:textFill>
              </w:rPr>
              <w:t>否</w:t>
            </w:r>
            <w:r>
              <w:rPr>
                <w:rFonts w:hint="eastAsia" w:ascii="仿宋" w:hAnsi="仿宋" w:eastAsia="仿宋"/>
                <w:b/>
                <w:color w:val="000000" w:themeColor="text1"/>
                <w:sz w:val="24"/>
                <w:szCs w:val="24"/>
                <w14:textFill>
                  <w14:solidFill>
                    <w14:schemeClr w14:val="tx1"/>
                  </w14:solidFill>
                </w14:textFill>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8"/>
                <w:szCs w:val="28"/>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中小企业优惠措施</w:t>
            </w:r>
          </w:p>
        </w:tc>
        <w:tc>
          <w:tcPr>
            <w:tcW w:w="7371" w:type="dxa"/>
            <w:tcBorders>
              <w:top w:val="single" w:color="auto" w:sz="4" w:space="0"/>
              <w:left w:val="single" w:color="auto" w:sz="4" w:space="0"/>
              <w:bottom w:val="single" w:color="auto" w:sz="4" w:space="0"/>
              <w:right w:val="single" w:color="auto" w:sz="4" w:space="0"/>
            </w:tcBorders>
            <w:vAlign w:val="center"/>
          </w:tcPr>
          <w:p>
            <w:pPr>
              <w:pStyle w:val="182"/>
              <w:numPr>
                <w:ilvl w:val="0"/>
                <w:numId w:val="30"/>
              </w:numPr>
              <w:snapToGrid w:val="0"/>
              <w:spacing w:line="460" w:lineRule="exact"/>
              <w:ind w:firstLineChars="0"/>
              <w:rPr>
                <w:rFonts w:ascii="仿宋" w:hAnsi="仿宋" w:eastAsia="仿宋"/>
                <w:b/>
                <w:color w:val="000000" w:themeColor="text1"/>
                <w:sz w:val="24"/>
                <w:szCs w:val="24"/>
                <w:u w:val="single"/>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项目属性（服务类）</w:t>
            </w:r>
          </w:p>
          <w:p>
            <w:pPr>
              <w:pStyle w:val="182"/>
              <w:numPr>
                <w:ilvl w:val="0"/>
                <w:numId w:val="30"/>
              </w:numPr>
              <w:snapToGrid w:val="0"/>
              <w:spacing w:line="460" w:lineRule="exact"/>
              <w:ind w:firstLineChars="0"/>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中小企业划分标准所属行业（具体根据《中小企业划型标准规定》执行）</w:t>
            </w:r>
          </w:p>
          <w:p>
            <w:pPr>
              <w:snapToGrid w:val="0"/>
              <w:spacing w:line="460" w:lineRule="exact"/>
              <w:ind w:left="600"/>
              <w:rPr>
                <w:rFonts w:hint="eastAsia"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采购标的：</w:t>
            </w:r>
            <w:r>
              <w:rPr>
                <w:rFonts w:hint="eastAsia" w:ascii="仿宋" w:hAnsi="仿宋" w:eastAsia="仿宋"/>
                <w:b/>
                <w:color w:val="000000" w:themeColor="text1"/>
                <w:sz w:val="24"/>
                <w:szCs w:val="24"/>
                <w:lang w:eastAsia="zh-CN"/>
                <w14:textFill>
                  <w14:solidFill>
                    <w14:schemeClr w14:val="tx1"/>
                  </w14:solidFill>
                </w14:textFill>
              </w:rPr>
              <w:t>省体育彩票管理中心物业服务采购项目</w:t>
            </w:r>
            <w:r>
              <w:rPr>
                <w:rFonts w:hint="eastAsia" w:ascii="仿宋" w:hAnsi="仿宋" w:eastAsia="仿宋"/>
                <w:b/>
                <w:color w:val="000000" w:themeColor="text1"/>
                <w:sz w:val="24"/>
                <w:szCs w:val="24"/>
                <w14:textFill>
                  <w14:solidFill>
                    <w14:schemeClr w14:val="tx1"/>
                  </w14:solidFill>
                </w14:textFill>
              </w:rPr>
              <w:t>，</w:t>
            </w:r>
          </w:p>
          <w:p>
            <w:pPr>
              <w:snapToGrid w:val="0"/>
              <w:spacing w:line="460" w:lineRule="exact"/>
              <w:ind w:left="600"/>
              <w:rPr>
                <w:rFonts w:hint="eastAsia" w:ascii="仿宋" w:hAnsi="仿宋" w:eastAsia="仿宋"/>
                <w:b/>
                <w:color w:val="000000" w:themeColor="text1"/>
                <w:sz w:val="24"/>
                <w:szCs w:val="24"/>
                <w:lang w:val="en-US" w:eastAsia="zh-CN"/>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所属行业：</w:t>
            </w:r>
            <w:r>
              <w:rPr>
                <w:rFonts w:hint="eastAsia" w:ascii="仿宋" w:hAnsi="仿宋" w:eastAsia="仿宋"/>
                <w:b/>
                <w:color w:val="000000" w:themeColor="text1"/>
                <w:sz w:val="24"/>
                <w:szCs w:val="24"/>
                <w:lang w:val="en-US" w:eastAsia="zh-CN"/>
                <w14:textFill>
                  <w14:solidFill>
                    <w14:schemeClr w14:val="tx1"/>
                  </w14:solidFill>
                </w14:textFill>
              </w:rPr>
              <w:t>物业管理</w:t>
            </w:r>
          </w:p>
          <w:p>
            <w:pPr>
              <w:snapToGrid w:val="0"/>
              <w:spacing w:line="460" w:lineRule="exact"/>
              <w:ind w:firstLine="602" w:firstLineChars="250"/>
              <w:rPr>
                <w:rFonts w:ascii="仿宋" w:hAnsi="仿宋" w:eastAsia="仿宋"/>
                <w:b/>
                <w:strike/>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3.根据财库〔2020〕46号的相关规定，在评审时对符合本办法规定的小微企业报价给予</w:t>
            </w:r>
            <w:r>
              <w:rPr>
                <w:rFonts w:hint="eastAsia" w:ascii="仿宋" w:hAnsi="仿宋" w:eastAsia="仿宋"/>
                <w:b/>
                <w:color w:val="000000" w:themeColor="text1"/>
                <w:sz w:val="24"/>
                <w:szCs w:val="24"/>
                <w:u w:val="single"/>
                <w14:textFill>
                  <w14:solidFill>
                    <w14:schemeClr w14:val="tx1"/>
                  </w14:solidFill>
                </w14:textFill>
              </w:rPr>
              <w:t xml:space="preserve"> </w:t>
            </w:r>
            <w:r>
              <w:rPr>
                <w:rFonts w:hint="eastAsia" w:ascii="仿宋" w:hAnsi="仿宋" w:eastAsia="仿宋"/>
                <w:b/>
                <w:color w:val="000000" w:themeColor="text1"/>
                <w:sz w:val="24"/>
                <w:szCs w:val="24"/>
                <w:u w:val="single"/>
                <w:lang w:val="en-US" w:eastAsia="zh-CN"/>
                <w14:textFill>
                  <w14:solidFill>
                    <w14:schemeClr w14:val="tx1"/>
                  </w14:solidFill>
                </w14:textFill>
              </w:rPr>
              <w:t>10%</w:t>
            </w:r>
            <w:r>
              <w:rPr>
                <w:rFonts w:hint="eastAsia" w:ascii="仿宋" w:hAnsi="仿宋" w:eastAsia="仿宋"/>
                <w:b/>
                <w:color w:val="000000" w:themeColor="text1"/>
                <w:sz w:val="24"/>
                <w:szCs w:val="24"/>
                <w:u w:val="single"/>
                <w14:textFill>
                  <w14:solidFill>
                    <w14:schemeClr w14:val="tx1"/>
                  </w14:solidFill>
                </w14:textFill>
              </w:rPr>
              <w:t xml:space="preserve"> </w:t>
            </w:r>
            <w:r>
              <w:rPr>
                <w:rFonts w:hint="eastAsia" w:ascii="仿宋" w:hAnsi="仿宋" w:eastAsia="仿宋"/>
                <w:b/>
                <w:color w:val="000000" w:themeColor="text1"/>
                <w:sz w:val="24"/>
                <w:szCs w:val="24"/>
                <w14:textFill>
                  <w14:solidFill>
                    <w14:schemeClr w14:val="tx1"/>
                  </w14:solidFill>
                </w14:textFill>
              </w:rPr>
              <w:t>（10%-20%）（工程项目为</w:t>
            </w:r>
            <w:r>
              <w:rPr>
                <w:rFonts w:hint="eastAsia" w:ascii="仿宋" w:hAnsi="仿宋" w:eastAsia="仿宋"/>
                <w:b/>
                <w:color w:val="000000" w:themeColor="text1"/>
                <w:sz w:val="24"/>
                <w:szCs w:val="24"/>
                <w:u w:val="single"/>
                <w14:textFill>
                  <w14:solidFill>
                    <w14:schemeClr w14:val="tx1"/>
                  </w14:solidFill>
                </w14:textFill>
              </w:rPr>
              <w:t>（5%）</w:t>
            </w:r>
            <w:r>
              <w:rPr>
                <w:rFonts w:hint="eastAsia" w:ascii="仿宋" w:hAnsi="仿宋" w:eastAsia="仿宋"/>
                <w:b/>
                <w:color w:val="000000" w:themeColor="text1"/>
                <w:sz w:val="24"/>
                <w:szCs w:val="24"/>
                <w14:textFill>
                  <w14:solidFill>
                    <w14:schemeClr w14:val="tx1"/>
                  </w14:solidFill>
                </w14:textFill>
              </w:rPr>
              <w:t>）的扣除，取扣除后的价格作为最终投标报价（此最终投标报价仅作为价格分计算）。中小企业参加政府采购活动，应当出具本办法规定的《中小企业声明函》，否则不得享受相关中小企业扶持政策。</w:t>
            </w:r>
          </w:p>
          <w:p>
            <w:pPr>
              <w:snapToGrid w:val="0"/>
              <w:spacing w:line="460" w:lineRule="exact"/>
              <w:ind w:firstLine="602" w:firstLineChars="250"/>
              <w:rPr>
                <w:rFonts w:ascii="仿宋" w:hAnsi="仿宋" w:eastAsia="仿宋"/>
                <w:b/>
                <w:strike/>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b/>
                <w:color w:val="000000" w:themeColor="text1"/>
                <w:sz w:val="24"/>
                <w:szCs w:val="24"/>
                <w:u w:val="single"/>
                <w14:textFill>
                  <w14:solidFill>
                    <w14:schemeClr w14:val="tx1"/>
                  </w14:solidFill>
                </w14:textFill>
              </w:rPr>
              <w:t xml:space="preserve"> </w:t>
            </w:r>
            <w:r>
              <w:rPr>
                <w:rFonts w:hint="eastAsia" w:ascii="仿宋" w:hAnsi="仿宋" w:eastAsia="仿宋"/>
                <w:b/>
                <w:color w:val="000000" w:themeColor="text1"/>
                <w:sz w:val="24"/>
                <w:szCs w:val="24"/>
                <w:u w:val="single"/>
                <w:lang w:val="en-US" w:eastAsia="zh-CN"/>
                <w14:textFill>
                  <w14:solidFill>
                    <w14:schemeClr w14:val="tx1"/>
                  </w14:solidFill>
                </w14:textFill>
              </w:rPr>
              <w:t>4%</w:t>
            </w:r>
            <w:r>
              <w:rPr>
                <w:rFonts w:hint="eastAsia" w:ascii="仿宋" w:hAnsi="仿宋" w:eastAsia="仿宋"/>
                <w:b/>
                <w:color w:val="000000" w:themeColor="text1"/>
                <w:sz w:val="24"/>
                <w:szCs w:val="24"/>
                <w:u w:val="single"/>
                <w14:textFill>
                  <w14:solidFill>
                    <w14:schemeClr w14:val="tx1"/>
                  </w14:solidFill>
                </w14:textFill>
              </w:rPr>
              <w:t xml:space="preserve"> </w:t>
            </w:r>
            <w:r>
              <w:rPr>
                <w:rFonts w:hint="eastAsia" w:ascii="仿宋" w:hAnsi="仿宋" w:eastAsia="仿宋"/>
                <w:b/>
                <w:color w:val="000000" w:themeColor="text1"/>
                <w:sz w:val="24"/>
                <w:szCs w:val="24"/>
                <w14:textFill>
                  <w14:solidFill>
                    <w14:schemeClr w14:val="tx1"/>
                  </w14:solidFill>
                </w14:textFill>
              </w:rPr>
              <w:t>(4%-6%)（工程项目为</w:t>
            </w:r>
            <w:r>
              <w:rPr>
                <w:rFonts w:hint="eastAsia" w:ascii="仿宋" w:hAnsi="仿宋" w:eastAsia="仿宋"/>
                <w:b/>
                <w:color w:val="000000" w:themeColor="text1"/>
                <w:sz w:val="24"/>
                <w:szCs w:val="24"/>
                <w:u w:val="single"/>
                <w14:textFill>
                  <w14:solidFill>
                    <w14:schemeClr w14:val="tx1"/>
                  </w14:solidFill>
                </w14:textFill>
              </w:rPr>
              <w:t>（2%）</w:t>
            </w:r>
            <w:r>
              <w:rPr>
                <w:rFonts w:hint="eastAsia" w:ascii="仿宋" w:hAnsi="仿宋" w:eastAsia="仿宋"/>
                <w:b/>
                <w:color w:val="000000" w:themeColor="text1"/>
                <w:sz w:val="24"/>
                <w:szCs w:val="24"/>
                <w14:textFill>
                  <w14:solidFill>
                    <w14:schemeClr w14:val="tx1"/>
                  </w14:solidFill>
                </w14:textFill>
              </w:rPr>
              <w:t>）的扣除，用扣除后的价格参加评审。</w:t>
            </w:r>
          </w:p>
          <w:p>
            <w:pPr>
              <w:snapToGrid w:val="0"/>
              <w:spacing w:line="460" w:lineRule="exact"/>
              <w:ind w:firstLine="602" w:firstLineChars="250"/>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组成联合体或者接受分包 的小微企业与联合体内其他企业、分包企业之间存在直接控 股、管理关系的，不享受价格扣除优惠政策。</w:t>
            </w:r>
          </w:p>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政府采购节能环保产品</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color w:val="000000" w:themeColor="text1"/>
                <w:sz w:val="24"/>
                <w:szCs w:val="24"/>
                <w14:textFill>
                  <w14:solidFill>
                    <w14:schemeClr w14:val="tx1"/>
                  </w14:solidFill>
                </w14:textFill>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6</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促进绿色发展有关政策</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人参与政府采购活动中，涉及商品包装和快递包装的，其包装要参考财政部办公厅、生态环境部办公厅、国家邮政局办公室印发的《商品包装政府采购需求标准（试行）》、《快递包装政府采购需求标准（试行）》（财办库〔</w:t>
            </w:r>
            <w:r>
              <w:rPr>
                <w:rFonts w:ascii="仿宋" w:hAnsi="仿宋" w:eastAsia="仿宋"/>
                <w:color w:val="000000" w:themeColor="text1"/>
                <w:sz w:val="24"/>
                <w:szCs w:val="24"/>
                <w14:textFill>
                  <w14:solidFill>
                    <w14:schemeClr w14:val="tx1"/>
                  </w14:solidFill>
                </w14:textFill>
              </w:rPr>
              <w:t>2020〕123号文件）。提倡供应商优先采购绿色包装产品、绿色物流配送服务以及循环利用产品。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7</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首台套政策</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首台套产品被纳入《首台套产品推广应用指导目录》之日起3年内，视同已具备相应销售业绩，参加政府采购活动时业绩分值为满分。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质疑</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具体格式及内容要求详见总则（五）质疑</w:t>
            </w:r>
            <w:r>
              <w:rPr>
                <w:rFonts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9</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是否允许采购进口产品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bookmarkStart w:id="19" w:name="PO_15528_PM042"/>
            <w:r>
              <w:rPr>
                <w:rFonts w:hint="eastAsia" w:ascii="仿宋" w:hAnsi="仿宋" w:eastAsia="仿宋"/>
                <w:color w:val="000000" w:themeColor="text1"/>
                <w:sz w:val="24"/>
                <w:szCs w:val="24"/>
                <w:lang w:eastAsia="zh-CN"/>
                <w14:textFill>
                  <w14:solidFill>
                    <w14:schemeClr w14:val="tx1"/>
                  </w14:solidFill>
                </w14:textFill>
              </w:rPr>
              <w:t>不允许进口产品</w:t>
            </w:r>
            <w:bookmarkEnd w:id="19"/>
            <w:r>
              <w:rPr>
                <w:rFonts w:hint="eastAsia"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是否允许转包与分包</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转包：否</w:t>
            </w:r>
          </w:p>
          <w:p>
            <w:pPr>
              <w:snapToGrid w:val="0"/>
              <w:spacing w:line="460" w:lineRule="exact"/>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分包：</w:t>
            </w:r>
            <w:bookmarkStart w:id="20" w:name="PO_15528_PM044"/>
            <w:r>
              <w:rPr>
                <w:rFonts w:hint="eastAsia" w:ascii="仿宋_GB2312" w:hAnsi="仿宋" w:eastAsia="仿宋_GB2312"/>
                <w:bCs/>
                <w:color w:val="000000" w:themeColor="text1"/>
                <w:sz w:val="24"/>
                <w:lang w:eastAsia="zh-CN"/>
                <w14:textFill>
                  <w14:solidFill>
                    <w14:schemeClr w14:val="tx1"/>
                  </w14:solidFill>
                </w14:textFill>
              </w:rPr>
              <w:t>允许分包</w:t>
            </w:r>
            <w:bookmarkEnd w:id="20"/>
            <w:r>
              <w:rPr>
                <w:rFonts w:hint="eastAsia" w:ascii="仿宋_GB2312" w:hAnsi="仿宋" w:eastAsia="仿宋_GB2312"/>
                <w:bCs/>
                <w:color w:val="000000" w:themeColor="text1"/>
                <w:sz w:val="24"/>
                <w14:textFill>
                  <w14:solidFill>
                    <w14:schemeClr w14:val="tx1"/>
                  </w14:solidFill>
                </w14:textFill>
              </w:rPr>
              <w:t>；非主体、非关键性工作允许分包。</w:t>
            </w:r>
          </w:p>
          <w:p>
            <w:pPr>
              <w:spacing w:line="500" w:lineRule="exact"/>
              <w:jc w:val="left"/>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当分包份额占到合同总金额100%时，视为转包。此情况根据《中华人民共和国政府采购法实施条例》（国务院令第658号）文件第七十二条规定，将依照政府采购法第七十七条第一款的规定追究相应法律责任。</w:t>
            </w:r>
          </w:p>
          <w:p>
            <w:pPr>
              <w:spacing w:line="500" w:lineRule="exact"/>
              <w:jc w:val="left"/>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依据政府采购促进中小企业发展管理办法规定享受扶持政策获得政府采购合同的，小微企业不得将合同分包给大中型企业，中型企业不得将合同分包给大型企业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11</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联合体投标</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hAnsi="仿宋" w:eastAsia="仿宋_GB2312"/>
                <w:bCs/>
                <w:color w:val="000000" w:themeColor="text1"/>
                <w:sz w:val="24"/>
                <w14:textFill>
                  <w14:solidFill>
                    <w14:schemeClr w14:val="tx1"/>
                  </w14:solidFill>
                </w14:textFill>
              </w:rPr>
            </w:pPr>
            <w:bookmarkStart w:id="21" w:name="PO_15528_PM007_1"/>
            <w:r>
              <w:rPr>
                <w:rFonts w:hint="eastAsia" w:ascii="仿宋_GB2312" w:hAnsi="仿宋" w:eastAsia="仿宋_GB2312"/>
                <w:bCs/>
                <w:color w:val="000000" w:themeColor="text1"/>
                <w:sz w:val="24"/>
                <w:lang w:eastAsia="zh-CN"/>
                <w14:textFill>
                  <w14:solidFill>
                    <w14:schemeClr w14:val="tx1"/>
                  </w14:solidFill>
                </w14:textFill>
              </w:rPr>
              <w:t>标项1:允许联合体投标</w:t>
            </w:r>
            <w:bookmarkEnd w:id="21"/>
            <w:r>
              <w:rPr>
                <w:rFonts w:hint="eastAsia" w:ascii="仿宋_GB2312" w:hAnsi="仿宋" w:eastAsia="仿宋_GB2312"/>
                <w:bCs/>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2</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是否现场踏勘</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bookmarkStart w:id="22" w:name="PO_15528_PM040"/>
            <w:r>
              <w:rPr>
                <w:rFonts w:hint="eastAsia" w:ascii="仿宋" w:hAnsi="仿宋" w:eastAsia="仿宋"/>
                <w:color w:val="000000" w:themeColor="text1"/>
                <w:sz w:val="24"/>
                <w:szCs w:val="24"/>
                <w:lang w:eastAsia="zh-CN"/>
                <w14:textFill>
                  <w14:solidFill>
                    <w14:schemeClr w14:val="tx1"/>
                  </w14:solidFill>
                </w14:textFill>
              </w:rPr>
              <w:t>不组织现场踏勘</w:t>
            </w:r>
            <w:bookmarkEnd w:id="22"/>
            <w:r>
              <w:rPr>
                <w:rFonts w:hint="eastAsia"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是否提供演示</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bookmarkStart w:id="23" w:name="PO_1000000445_PM041"/>
            <w:r>
              <w:rPr>
                <w:rFonts w:hint="eastAsia" w:ascii="仿宋" w:hAnsi="仿宋" w:eastAsia="仿宋"/>
                <w:color w:val="000000" w:themeColor="text1"/>
                <w:sz w:val="24"/>
                <w:szCs w:val="24"/>
                <w:lang w:eastAsia="zh-CN"/>
                <w14:textFill>
                  <w14:solidFill>
                    <w14:schemeClr w14:val="tx1"/>
                  </w14:solidFill>
                </w14:textFill>
              </w:rPr>
              <w:t>不进行演示</w:t>
            </w:r>
            <w:bookmarkEnd w:id="23"/>
            <w:r>
              <w:rPr>
                <w:rFonts w:hint="eastAsia"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是否提供样品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bookmarkStart w:id="24" w:name="PO_1000000445_PM043"/>
            <w:r>
              <w:rPr>
                <w:rFonts w:hint="eastAsia" w:ascii="仿宋" w:hAnsi="仿宋" w:eastAsia="仿宋"/>
                <w:color w:val="000000" w:themeColor="text1"/>
                <w:sz w:val="24"/>
                <w:szCs w:val="24"/>
                <w:lang w:eastAsia="zh-CN"/>
                <w14:textFill>
                  <w14:solidFill>
                    <w14:schemeClr w14:val="tx1"/>
                  </w14:solidFill>
                </w14:textFill>
              </w:rPr>
              <w:t>不要求提供样品</w:t>
            </w:r>
            <w:bookmarkEnd w:id="24"/>
            <w:r>
              <w:rPr>
                <w:rFonts w:hint="eastAsia"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投标文件组成</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投标文件均由资格文件、技术商务文件、报价文件组成。</w:t>
            </w:r>
          </w:p>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6</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电子交易平台登录方法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第一步：供应商登记</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投标人应在投标前登记成为浙江政府采购网的正式供应商（注册网址：</w:t>
            </w:r>
            <w:r>
              <w:fldChar w:fldCharType="begin"/>
            </w:r>
            <w:r>
              <w:instrText xml:space="preserve"> HYPERLINK "https://middle.zcygov.cn/v-settle-front/registry" </w:instrText>
            </w:r>
            <w:r>
              <w:fldChar w:fldCharType="separate"/>
            </w:r>
            <w:r>
              <w:rPr>
                <w:rStyle w:val="69"/>
                <w:rFonts w:hint="eastAsia" w:ascii="仿宋" w:hAnsi="仿宋" w:eastAsia="仿宋"/>
                <w:b/>
                <w:color w:val="000000" w:themeColor="text1"/>
                <w:sz w:val="24"/>
                <w:szCs w:val="24"/>
                <w14:textFill>
                  <w14:solidFill>
                    <w14:schemeClr w14:val="tx1"/>
                  </w14:solidFill>
                </w14:textFill>
              </w:rPr>
              <w:t>https://middle.zcygov.cn/v-settle-front/registry</w:t>
            </w:r>
            <w:r>
              <w:rPr>
                <w:rStyle w:val="69"/>
                <w:rFonts w:hint="eastAsia" w:ascii="仿宋" w:hAnsi="仿宋" w:eastAsia="仿宋"/>
                <w:b/>
                <w:color w:val="000000" w:themeColor="text1"/>
                <w:sz w:val="24"/>
                <w:szCs w:val="24"/>
                <w14:textFill>
                  <w14:solidFill>
                    <w14:schemeClr w14:val="tx1"/>
                  </w14:solidFill>
                </w14:textFill>
              </w:rPr>
              <w:fldChar w:fldCharType="end"/>
            </w:r>
            <w:r>
              <w:rPr>
                <w:rFonts w:hint="eastAsia" w:ascii="仿宋" w:hAnsi="仿宋" w:eastAsia="仿宋"/>
                <w:b/>
                <w:color w:val="000000" w:themeColor="text1"/>
                <w:sz w:val="24"/>
                <w:szCs w:val="24"/>
                <w14:textFill>
                  <w14:solidFill>
                    <w14:schemeClr w14:val="tx1"/>
                  </w14:solidFill>
                </w14:textFill>
              </w:rPr>
              <w:t>）；</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第二步：申请CA</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投标人应在投标前完成CA数字证书办理（办理流程详见http://zfcg.czt.zj.gov.cn/bidClientTemplate/2019-05-27/12945.html）。完成CA数字证书办理预计一周左右，建议各投标人抓紧时间办理；</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第三步：下载客户端</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投标人通过政采云电子交易客户端制作投标文件，请自行前往浙江政府采购网下载并安装（下载网址：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b/>
                <w:color w:val="000000" w:themeColor="text1"/>
                <w:sz w:val="24"/>
                <w:szCs w:val="24"/>
                <w14:textFill>
                  <w14:solidFill>
                    <w14:schemeClr w14:val="tx1"/>
                  </w14:solidFill>
                </w14:textFill>
              </w:rPr>
              <w:t>http://zfcg.czt.zj.gov.cn/bidClientTemplate/2019-09-24/12975.html</w:t>
            </w:r>
            <w:r>
              <w:rPr>
                <w:rStyle w:val="69"/>
                <w:rFonts w:hint="eastAsia" w:ascii="仿宋" w:hAnsi="仿宋" w:eastAsia="仿宋"/>
                <w:b/>
                <w:color w:val="000000" w:themeColor="text1"/>
                <w:sz w:val="24"/>
                <w:szCs w:val="24"/>
                <w14:textFill>
                  <w14:solidFill>
                    <w14:schemeClr w14:val="tx1"/>
                  </w14:solidFill>
                </w14:textFill>
              </w:rPr>
              <w:fldChar w:fldCharType="end"/>
            </w:r>
            <w:r>
              <w:rPr>
                <w:rFonts w:hint="eastAsia" w:ascii="仿宋" w:hAnsi="仿宋" w:eastAsia="仿宋"/>
                <w:b/>
                <w:color w:val="000000" w:themeColor="text1"/>
                <w:sz w:val="24"/>
                <w:szCs w:val="24"/>
                <w14:textFill>
                  <w14:solidFill>
                    <w14:schemeClr w14:val="tx1"/>
                  </w14:solidFill>
                </w14:textFill>
              </w:rPr>
              <w:t>）；</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第四步：具体流程</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详见浙江省“电子交易/不见面开评标”学习专题（网址</w:t>
            </w:r>
            <w:r>
              <w:fldChar w:fldCharType="begin"/>
            </w:r>
            <w:r>
              <w:instrText xml:space="preserve"> HYPERLINK "https://edu.zcygov.cn/luban/e-biding" </w:instrText>
            </w:r>
            <w:r>
              <w:fldChar w:fldCharType="separate"/>
            </w:r>
            <w:r>
              <w:rPr>
                <w:rStyle w:val="69"/>
                <w:rFonts w:hint="eastAsia" w:ascii="仿宋" w:hAnsi="仿宋" w:eastAsia="仿宋"/>
                <w:b/>
                <w:color w:val="000000" w:themeColor="text1"/>
                <w:sz w:val="24"/>
                <w:szCs w:val="24"/>
                <w14:textFill>
                  <w14:solidFill>
                    <w14:schemeClr w14:val="tx1"/>
                  </w14:solidFill>
                </w14:textFill>
              </w:rPr>
              <w:t>https://edu.zcygov.cn/luban/e-biding</w:t>
            </w:r>
            <w:r>
              <w:rPr>
                <w:rStyle w:val="69"/>
                <w:rFonts w:hint="eastAsia" w:ascii="仿宋" w:hAnsi="仿宋" w:eastAsia="仿宋"/>
                <w:b/>
                <w:color w:val="000000" w:themeColor="text1"/>
                <w:sz w:val="24"/>
                <w:szCs w:val="24"/>
                <w14:textFill>
                  <w14:solidFill>
                    <w14:schemeClr w14:val="tx1"/>
                  </w14:solidFill>
                </w14:textFill>
              </w:rPr>
              <w:fldChar w:fldCharType="end"/>
            </w:r>
            <w:r>
              <w:rPr>
                <w:rFonts w:hint="eastAsia" w:ascii="仿宋" w:hAnsi="仿宋" w:eastAsia="仿宋"/>
                <w:b/>
                <w:color w:val="000000" w:themeColor="text1"/>
                <w:sz w:val="24"/>
                <w:szCs w:val="24"/>
                <w14:textFill>
                  <w14:solidFill>
                    <w14:schemeClr w14:val="tx1"/>
                  </w14:solidFill>
                </w14:textFill>
              </w:rPr>
              <w:t>）</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提醒：</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1</w:t>
            </w:r>
            <w:r>
              <w:rPr>
                <w:rFonts w:ascii="仿宋" w:hAnsi="仿宋" w:eastAsia="仿宋"/>
                <w:b/>
                <w:color w:val="000000" w:themeColor="text1"/>
                <w:sz w:val="24"/>
                <w:szCs w:val="24"/>
                <w14:textFill>
                  <w14:solidFill>
                    <w14:schemeClr w14:val="tx1"/>
                  </w14:solidFill>
                </w14:textFill>
              </w:rPr>
              <w:t>.</w:t>
            </w:r>
            <w:r>
              <w:rPr>
                <w:rFonts w:hint="eastAsia" w:ascii="仿宋" w:hAnsi="仿宋" w:eastAsia="仿宋"/>
                <w:b/>
                <w:color w:val="000000" w:themeColor="text1"/>
                <w:sz w:val="24"/>
                <w:szCs w:val="24"/>
                <w14:textFill>
                  <w14:solidFill>
                    <w14:schemeClr w14:val="tx1"/>
                  </w14:solidFill>
                </w14:textFill>
              </w:rPr>
              <w:t>请各投标人合理安排时间，尽快完成第一、二、三步骤，避免影响投标。</w:t>
            </w:r>
          </w:p>
          <w:p>
            <w:pPr>
              <w:spacing w:line="400" w:lineRule="exact"/>
              <w:jc w:val="left"/>
              <w:rPr>
                <w:rFonts w:ascii="仿宋" w:hAnsi="仿宋" w:eastAsia="仿宋"/>
                <w:color w:val="000000" w:themeColor="text1"/>
                <w:sz w:val="24"/>
                <w:szCs w:val="24"/>
                <w14:textFill>
                  <w14:solidFill>
                    <w14:schemeClr w14:val="tx1"/>
                  </w14:solidFill>
                </w14:textFill>
              </w:rPr>
            </w:pPr>
            <w:r>
              <w:rPr>
                <w:rFonts w:ascii="仿宋" w:hAnsi="仿宋" w:eastAsia="仿宋"/>
                <w:b/>
                <w:color w:val="000000" w:themeColor="text1"/>
                <w:sz w:val="24"/>
                <w:szCs w:val="24"/>
                <w14:textFill>
                  <w14:solidFill>
                    <w14:schemeClr w14:val="tx1"/>
                  </w14:solidFill>
                </w14:textFill>
              </w:rPr>
              <w:t>2.</w:t>
            </w:r>
            <w:r>
              <w:rPr>
                <w:rFonts w:hint="eastAsia" w:ascii="仿宋" w:hAnsi="仿宋" w:eastAsia="仿宋"/>
                <w:b/>
                <w:color w:val="000000" w:themeColor="text1"/>
                <w:sz w:val="24"/>
                <w:szCs w:val="24"/>
                <w14:textFill>
                  <w14:solidFill>
                    <w14:schemeClr w14:val="tx1"/>
                  </w14:solidFill>
                </w14:textFill>
              </w:rPr>
              <w:t>为避免页面存在兼容性等问题，投标人须使用谷歌Chrome浏览器或360浏览器极速模式，涉及视频会议等功能的，还应安装摄像头和麦克风。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7</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投标文件的递交与接收</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投标文件的接收以本项目公告要求的时间、地点和“第二章”的“投标文件的编制”等要求为准。</w:t>
            </w:r>
          </w:p>
          <w:p>
            <w:pPr>
              <w:spacing w:line="5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投标人递交备份投标文件，出现下列情况之一的，将被拒收：</w:t>
            </w:r>
          </w:p>
          <w:p>
            <w:pPr>
              <w:spacing w:line="5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1、未按规定密封或标记的；</w:t>
            </w:r>
          </w:p>
          <w:p>
            <w:pPr>
              <w:spacing w:line="5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2、由于包装不妥，在送交途中严重破损或失散的；</w:t>
            </w:r>
          </w:p>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8</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投标撤销（撤回）</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1</w:t>
            </w:r>
            <w:r>
              <w:rPr>
                <w:rFonts w:ascii="仿宋_GB2312" w:hAnsi="仿宋" w:eastAsia="仿宋_GB2312"/>
                <w:bCs/>
                <w:color w:val="000000" w:themeColor="text1"/>
                <w:sz w:val="24"/>
                <w14:textFill>
                  <w14:solidFill>
                    <w14:schemeClr w14:val="tx1"/>
                  </w14:solidFill>
                </w14:textFill>
              </w:rPr>
              <w:t>.</w:t>
            </w:r>
            <w:r>
              <w:rPr>
                <w:rFonts w:hint="eastAsia" w:ascii="仿宋_GB2312" w:hAnsi="仿宋" w:eastAsia="仿宋_GB2312"/>
                <w:bCs/>
                <w:color w:val="000000" w:themeColor="text1"/>
                <w:sz w:val="24"/>
                <w14:textFill>
                  <w14:solidFill>
                    <w14:schemeClr w14:val="tx1"/>
                  </w14:solidFill>
                </w14:textFill>
              </w:rPr>
              <w:t>在投标截止时间起至投标有效期届满，供应商投标文件不可撤销。</w:t>
            </w:r>
          </w:p>
          <w:p>
            <w:pPr>
              <w:autoSpaceDE w:val="0"/>
              <w:autoSpaceDN w:val="0"/>
              <w:snapToGrid w:val="0"/>
              <w:jc w:val="left"/>
              <w:textAlignment w:val="bottom"/>
              <w:rPr>
                <w:rFonts w:ascii="仿宋" w:hAnsi="仿宋" w:eastAsia="仿宋"/>
                <w:b/>
                <w:color w:val="000000" w:themeColor="text1"/>
                <w:sz w:val="24"/>
                <w:szCs w:val="24"/>
                <w14:textFill>
                  <w14:solidFill>
                    <w14:schemeClr w14:val="tx1"/>
                  </w14:solidFill>
                </w14:textFill>
              </w:rPr>
            </w:pPr>
            <w:r>
              <w:rPr>
                <w:rFonts w:ascii="仿宋_GB2312" w:hAnsi="仿宋" w:eastAsia="仿宋_GB2312"/>
                <w:bCs/>
                <w:color w:val="000000" w:themeColor="text1"/>
                <w:sz w:val="24"/>
                <w14:textFill>
                  <w14:solidFill>
                    <w14:schemeClr w14:val="tx1"/>
                  </w14:solidFill>
                </w14:textFill>
              </w:rPr>
              <w:t>2.</w:t>
            </w:r>
            <w:r>
              <w:rPr>
                <w:rFonts w:hint="eastAsia" w:ascii="仿宋_GB2312" w:hAnsi="仿宋" w:eastAsia="仿宋_GB2312"/>
                <w:bCs/>
                <w:color w:val="000000" w:themeColor="text1"/>
                <w:sz w:val="24"/>
                <w14:textFill>
                  <w14:solidFill>
                    <w14:schemeClr w14:val="tx1"/>
                  </w14:solidFill>
                </w14:textFill>
              </w:rPr>
              <w:t>供应商撤销（撤回）投标不得损害国家利益、社会公共利益、采购人利益、代理机构利益、其他供应商利益，否则，供应商撤销（撤回）投标无效。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9</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中标结果公告</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中标供应商确定之日起2个工作日内，将在</w:t>
            </w:r>
            <w:r>
              <w:rPr>
                <w:rFonts w:hint="eastAsia" w:ascii="仿宋" w:hAnsi="仿宋" w:eastAsia="仿宋" w:cs="Arial"/>
                <w:color w:val="000000" w:themeColor="text1"/>
                <w:sz w:val="24"/>
                <w:szCs w:val="24"/>
                <w14:textFill>
                  <w14:solidFill>
                    <w14:schemeClr w14:val="tx1"/>
                  </w14:solidFill>
                </w14:textFill>
              </w:rPr>
              <w:t>浙江省政府采购网(</w:t>
            </w:r>
            <w:r>
              <w:fldChar w:fldCharType="begin"/>
            </w:r>
            <w:r>
              <w:instrText xml:space="preserve"> HYPERLINK "http://www.zjzfcg.gov.cn/new" </w:instrText>
            </w:r>
            <w:r>
              <w:fldChar w:fldCharType="separate"/>
            </w:r>
            <w:r>
              <w:rPr>
                <w:rStyle w:val="69"/>
                <w:rFonts w:hint="eastAsia" w:ascii="仿宋" w:hAnsi="仿宋" w:eastAsia="仿宋"/>
                <w:color w:val="000000" w:themeColor="text1"/>
                <w:sz w:val="24"/>
                <w:szCs w:val="24"/>
                <w14:textFill>
                  <w14:solidFill>
                    <w14:schemeClr w14:val="tx1"/>
                  </w14:solidFill>
                </w14:textFill>
              </w:rPr>
              <w:t>http://www.zjzfcg.gov.cn</w:t>
            </w:r>
            <w:r>
              <w:rPr>
                <w:rStyle w:val="69"/>
                <w:rFonts w:hint="eastAsia" w:ascii="仿宋" w:hAnsi="仿宋" w:eastAsia="仿宋"/>
                <w:color w:val="000000" w:themeColor="text1"/>
                <w:sz w:val="24"/>
                <w:szCs w:val="24"/>
                <w14:textFill>
                  <w14:solidFill>
                    <w14:schemeClr w14:val="tx1"/>
                  </w14:solidFill>
                </w14:textFill>
              </w:rPr>
              <w:fldChar w:fldCharType="end"/>
            </w:r>
            <w:r>
              <w:rPr>
                <w:rFonts w:hint="eastAsia" w:ascii="仿宋" w:hAnsi="仿宋" w:eastAsia="仿宋" w:cs="Arial"/>
                <w:color w:val="000000" w:themeColor="text1"/>
                <w:sz w:val="24"/>
                <w:szCs w:val="24"/>
                <w14:textFill>
                  <w14:solidFill>
                    <w14:schemeClr w14:val="tx1"/>
                  </w14:solidFill>
                </w14:textFill>
              </w:rPr>
              <w:t>)发布</w:t>
            </w:r>
            <w:r>
              <w:rPr>
                <w:rFonts w:hint="eastAsia" w:ascii="仿宋" w:hAnsi="仿宋" w:eastAsia="仿宋"/>
                <w:color w:val="000000" w:themeColor="text1"/>
                <w:sz w:val="24"/>
                <w:szCs w:val="24"/>
                <w14:textFill>
                  <w14:solidFill>
                    <w14:schemeClr w14:val="tx1"/>
                  </w14:solidFill>
                </w14:textFill>
              </w:rPr>
              <w:t>中标公告</w:t>
            </w:r>
            <w:r>
              <w:rPr>
                <w:rFonts w:hint="eastAsia" w:ascii="仿宋" w:hAnsi="仿宋" w:eastAsia="仿宋"/>
                <w:b/>
                <w:color w:val="000000" w:themeColor="text1"/>
                <w:sz w:val="24"/>
                <w:szCs w:val="24"/>
                <w14:textFill>
                  <w14:solidFill>
                    <w14:schemeClr w14:val="tx1"/>
                  </w14:solidFill>
                </w14:textFill>
              </w:rPr>
              <w:t>（中标人为中小企业的，其声明函将随中标结果同时公告）</w:t>
            </w:r>
            <w:r>
              <w:rPr>
                <w:rFonts w:hint="eastAsia" w:ascii="仿宋" w:hAnsi="仿宋" w:eastAsia="仿宋"/>
                <w:color w:val="000000" w:themeColor="text1"/>
                <w:sz w:val="24"/>
                <w:szCs w:val="24"/>
                <w14:textFill>
                  <w14:solidFill>
                    <w14:schemeClr w14:val="tx1"/>
                  </w14:solidFill>
                </w14:textFill>
              </w:rPr>
              <w:t>，公告期限为1个工作日</w:t>
            </w:r>
            <w:r>
              <w:rPr>
                <w:rFonts w:hint="eastAsia" w:ascii="仿宋" w:hAnsi="仿宋" w:eastAsia="仿宋" w:cs="Arial"/>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中标供应商放弃中标赔偿责任</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中标供应商放弃中标资格导致重新采购的，应当承担支付专家评审费等费用在内的赔偿责任（不可抗力除外）。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21</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履约保证金</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22</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付款方式</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国库集中支付（采购人自行支付）详见各标项的商务要求表。</w:t>
            </w:r>
          </w:p>
          <w:p>
            <w:pPr>
              <w:autoSpaceDE w:val="0"/>
              <w:autoSpaceDN w:val="0"/>
              <w:snapToGrid w:val="0"/>
              <w:jc w:val="left"/>
              <w:textAlignment w:val="bottom"/>
              <w:rPr>
                <w:rFonts w:ascii="仿宋" w:hAnsi="仿宋" w:eastAsia="仿宋"/>
                <w:color w:val="000000" w:themeColor="text1"/>
                <w:sz w:val="28"/>
                <w:szCs w:val="28"/>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_GB2312" w:hAnsi="仿宋" w:eastAsia="仿宋_GB2312"/>
                <w:bCs/>
                <w:color w:val="000000" w:themeColor="text1"/>
                <w:sz w:val="24"/>
                <w14:textFill>
                  <w14:solidFill>
                    <w14:schemeClr w14:val="tx1"/>
                  </w14:solidFill>
                </w14:textFill>
              </w:rPr>
              <w:t>《浙江省财政厅关于进一步加大政府采购支持中小企业力度助力扎实稳住经济的通知》</w:t>
            </w:r>
            <w:r>
              <w:rPr>
                <w:rFonts w:hint="eastAsia" w:ascii="仿宋_GB2312" w:hAnsi="仿宋" w:eastAsia="仿宋_GB2312"/>
                <w:bCs/>
                <w:color w:val="000000" w:themeColor="text1"/>
                <w:sz w:val="24"/>
                <w14:textFill>
                  <w14:solidFill>
                    <w14:schemeClr w14:val="tx1"/>
                  </w14:solidFill>
                </w14:textFill>
              </w:rPr>
              <w:t>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投标文件有效期</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themeColor="text1"/>
                <w:sz w:val="28"/>
                <w:szCs w:val="28"/>
                <w14:textFill>
                  <w14:solidFill>
                    <w14:schemeClr w14:val="tx1"/>
                  </w14:solidFill>
                </w14:textFill>
              </w:rPr>
            </w:pPr>
            <w:r>
              <w:rPr>
                <w:rFonts w:hint="eastAsia" w:ascii="仿宋" w:hAnsi="仿宋" w:eastAsia="仿宋" w:cs="Arial"/>
                <w:color w:val="000000" w:themeColor="text1"/>
                <w:sz w:val="24"/>
                <w:szCs w:val="24"/>
                <w14:textFill>
                  <w14:solidFill>
                    <w14:schemeClr w14:val="tx1"/>
                  </w14:solidFill>
                </w14:textFill>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合同签订时间</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招标方代理费用</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解释权</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本招标文件的解释权属于浙江省政府采购中心。</w:t>
            </w:r>
          </w:p>
        </w:tc>
      </w:tr>
    </w:tbl>
    <w:p>
      <w:pPr>
        <w:pStyle w:val="31"/>
        <w:snapToGrid w:val="0"/>
        <w:spacing w:before="312" w:beforeLines="100" w:after="312" w:afterLines="100" w:line="360" w:lineRule="auto"/>
        <w:jc w:val="center"/>
        <w:rPr>
          <w:rFonts w:ascii="仿宋" w:hAnsi="仿宋" w:eastAsia="仿宋"/>
          <w:b/>
          <w:bCs/>
          <w:color w:val="000000" w:themeColor="text1"/>
          <w:sz w:val="28"/>
          <w:szCs w:val="28"/>
          <w14:textFill>
            <w14:solidFill>
              <w14:schemeClr w14:val="tx1"/>
            </w14:solidFill>
          </w14:textFill>
        </w:rPr>
      </w:pPr>
      <w:r>
        <w:rPr>
          <w:rFonts w:hint="eastAsia" w:ascii="仿宋" w:hAnsi="仿宋" w:eastAsia="仿宋_GB2312"/>
          <w:color w:val="000000" w:themeColor="text1"/>
          <w:kern w:val="0"/>
          <w:sz w:val="30"/>
          <w:szCs w:val="30"/>
          <w14:textFill>
            <w14:solidFill>
              <w14:schemeClr w14:val="tx1"/>
            </w14:solidFill>
          </w14:textFill>
        </w:rPr>
        <w:br w:type="page"/>
      </w:r>
      <w:r>
        <w:rPr>
          <w:rFonts w:hint="eastAsia" w:ascii="仿宋" w:hAnsi="仿宋" w:eastAsia="仿宋"/>
          <w:b/>
          <w:bCs/>
          <w:color w:val="000000" w:themeColor="text1"/>
          <w:sz w:val="28"/>
          <w:szCs w:val="28"/>
          <w14:textFill>
            <w14:solidFill>
              <w14:schemeClr w14:val="tx1"/>
            </w14:solidFill>
          </w14:textFill>
        </w:rPr>
        <w:t>一、总  则</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（一）适用范围</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仅适用于本次招标文件中采购项目的招标、投标、评标、定标、验收、合同履约、付款等行为（法律、法规另有规定的，从其规定）。</w:t>
      </w:r>
    </w:p>
    <w:p>
      <w:pPr>
        <w:snapToGrid w:val="0"/>
        <w:spacing w:before="156" w:beforeLines="50" w:line="460" w:lineRule="exact"/>
        <w:ind w:firstLine="411" w:firstLineChars="147"/>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 xml:space="preserve">（二）定义 </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1.招标方：指组织本项目采购的浙江省政府采购中心。</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2.投标人：指响应招标、参加投标竞争的法人、其他组织或者自然人。</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3.采购人：指委托招标方采购本次货物、服务项目的国家机关、事业单位和团体组织。</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5.服务：指招标文件规定投标人须承担的劳务以及其他类似的义务。</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6.项目：指投标人按招标文件规定向采购人提供的需求总称。</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7.电子交易平台:指政府采购项目电子交易平台，即政采云平台。</w:t>
      </w:r>
    </w:p>
    <w:p>
      <w:pPr>
        <w:spacing w:line="360" w:lineRule="auto"/>
        <w:ind w:firstLine="562" w:firstLineChars="200"/>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8.中小企业：是指在中华人民共和国境内依法设立，依据国务院批准的中小企业划分标准确定的中型企业、小型企业和微型企业，但与大企业的负责人为同一人，或者与大企业存在直接控股、管理关系的除外。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28"/>
          <w:szCs w:val="28"/>
          <w14:textFill>
            <w14:solidFill>
              <w14:schemeClr w14:val="tx1"/>
            </w14:solidFill>
          </w14:textFill>
        </w:rPr>
        <w:t>符合中小企业划分标准的个体工商户，在政府采购活动中视同中小企业。</w:t>
      </w:r>
    </w:p>
    <w:p>
      <w:pPr>
        <w:snapToGrid w:val="0"/>
        <w:spacing w:before="156" w:beforeLines="50" w:line="460" w:lineRule="exact"/>
        <w:ind w:firstLine="548" w:firstLineChars="196"/>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（三）投标人及委托有关说明</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1.如授权代表不是法定代表人，须有法定代表人出具的授权委托书</w:t>
      </w:r>
      <w:r>
        <w:rPr>
          <w:rFonts w:hint="eastAsia" w:ascii="仿宋" w:hAnsi="仿宋" w:eastAsia="仿宋"/>
          <w:b/>
          <w:bCs/>
          <w:color w:val="000000" w:themeColor="text1"/>
          <w:sz w:val="28"/>
          <w:szCs w:val="28"/>
          <w14:textFill>
            <w14:solidFill>
              <w14:schemeClr w14:val="tx1"/>
            </w14:solidFill>
          </w14:textFill>
        </w:rPr>
        <w:t>（格式见附件）。</w:t>
      </w:r>
      <w:r>
        <w:rPr>
          <w:rFonts w:hint="eastAsia" w:ascii="仿宋" w:hAnsi="仿宋" w:eastAsia="仿宋"/>
          <w:bCs/>
          <w:color w:val="000000" w:themeColor="text1"/>
          <w:sz w:val="28"/>
          <w:szCs w:val="28"/>
          <w14:textFill>
            <w14:solidFill>
              <w14:schemeClr w14:val="tx1"/>
            </w14:solidFill>
          </w14:textFill>
        </w:rPr>
        <w:t>投标人委派不在本单位缴纳社保的人员作为授权代表的，应当在投标文件中，说明具体原因、授权代表缴纳社保的单位，并附列该授权代表缴纳社保清单。</w:t>
      </w:r>
    </w:p>
    <w:p>
      <w:pPr>
        <w:pStyle w:val="31"/>
        <w:snapToGrid w:val="0"/>
        <w:spacing w:beforeLines="0" w:after="156" w:line="460" w:lineRule="exact"/>
        <w:ind w:left="2" w:leftChars="1"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3.单位负责人为同一人或者存在直接控股、管理关系的不同供应商，不得参加同一合同项下的政府采购活动。</w:t>
      </w:r>
    </w:p>
    <w:p>
      <w:pPr>
        <w:pStyle w:val="31"/>
        <w:snapToGrid w:val="0"/>
        <w:spacing w:beforeLines="0" w:after="156" w:line="460" w:lineRule="exact"/>
        <w:ind w:left="2" w:leftChars="1"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4.投标人应仔细阅读招标文件的所有内容，按照招标文件的要求提交投标文件，并对所提供的全部资料的真实性承担法律责任。</w:t>
      </w:r>
    </w:p>
    <w:p>
      <w:pPr>
        <w:snapToGrid w:val="0"/>
        <w:spacing w:before="156" w:beforeLines="50" w:line="460" w:lineRule="exact"/>
        <w:ind w:firstLine="548" w:firstLineChars="196"/>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（四）投标费用</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（五）质疑</w:t>
      </w:r>
    </w:p>
    <w:p>
      <w:pPr>
        <w:snapToGrid w:val="0"/>
        <w:spacing w:line="460" w:lineRule="exact"/>
        <w:ind w:firstLine="700" w:firstLineChars="25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1.投标人认为采购文件使自己的权益受到损害的，可以自获取采购文件之日或者采购公告期限届满之日（公告期限届满后获取采购文件的，以公告期限届满之日为准）起7个工作日内，对采购文件需求</w:t>
      </w:r>
      <w:r>
        <w:rPr>
          <w:rFonts w:hint="eastAsia" w:ascii="仿宋" w:hAnsi="仿宋" w:eastAsia="仿宋"/>
          <w:bCs/>
          <w:color w:val="000000" w:themeColor="text1"/>
          <w:sz w:val="28"/>
          <w:szCs w:val="28"/>
          <w:lang w:val="en-US" w:eastAsia="zh-CN"/>
          <w14:textFill>
            <w14:solidFill>
              <w14:schemeClr w14:val="tx1"/>
            </w14:solidFill>
          </w14:textFill>
        </w:rPr>
        <w:t>及评分细则</w:t>
      </w:r>
      <w:r>
        <w:rPr>
          <w:rFonts w:hint="eastAsia" w:ascii="仿宋" w:hAnsi="仿宋" w:eastAsia="仿宋"/>
          <w:bCs/>
          <w:color w:val="000000" w:themeColor="text1"/>
          <w:sz w:val="28"/>
          <w:szCs w:val="28"/>
          <w14:textFill>
            <w14:solidFill>
              <w14:schemeClr w14:val="tx1"/>
            </w14:solidFill>
          </w14:textFill>
        </w:rPr>
        <w:t>的以书面形式向采购人提出质疑，对其他内容的以书面形式向采购人和招标方提出质疑。</w:t>
      </w:r>
    </w:p>
    <w:p>
      <w:pPr>
        <w:snapToGrid w:val="0"/>
        <w:spacing w:line="460" w:lineRule="exact"/>
        <w:ind w:firstLine="700" w:firstLineChars="25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w:t>
      </w:r>
      <w:r>
        <w:rPr>
          <w:rFonts w:ascii="仿宋" w:hAnsi="仿宋" w:eastAsia="仿宋"/>
          <w:bCs/>
          <w:color w:val="000000" w:themeColor="text1"/>
          <w:sz w:val="28"/>
          <w:szCs w:val="28"/>
          <w14:textFill>
            <w14:solidFill>
              <w14:schemeClr w14:val="tx1"/>
            </w14:solidFill>
          </w14:textFill>
        </w:rPr>
        <w:t>.</w:t>
      </w:r>
      <w:r>
        <w:rPr>
          <w:rFonts w:hint="eastAsia" w:ascii="仿宋" w:hAnsi="仿宋" w:eastAsia="仿宋"/>
          <w:bCs/>
          <w:color w:val="000000" w:themeColor="text1"/>
          <w:sz w:val="28"/>
          <w:szCs w:val="28"/>
          <w14:textFill>
            <w14:solidFill>
              <w14:schemeClr w14:val="tx1"/>
            </w14:solidFill>
          </w14:textFill>
        </w:rPr>
        <w:t>投标人认为招标过程或中标结果使自己的合法权益受到损害的，可以在中标结果公告期限届满之日起七个工作日内，对“资格审查”等由采购人负责的环节的以书面形式向采购人提出质疑，对其他内容的以书面形式向采购人和招标方提出质疑。</w:t>
      </w:r>
    </w:p>
    <w:p>
      <w:pPr>
        <w:pStyle w:val="31"/>
        <w:snapToGrid w:val="0"/>
        <w:spacing w:beforeLines="0" w:after="156" w:line="460" w:lineRule="exact"/>
        <w:ind w:left="2" w:leftChars="1" w:firstLine="560" w:firstLineChars="200"/>
        <w:rPr>
          <w:rFonts w:ascii="仿宋" w:hAnsi="仿宋" w:eastAsia="仿宋"/>
          <w:bCs/>
          <w:color w:val="000000" w:themeColor="text1"/>
          <w:sz w:val="28"/>
          <w:szCs w:val="28"/>
          <w14:textFill>
            <w14:solidFill>
              <w14:schemeClr w14:val="tx1"/>
            </w14:solidFill>
          </w14:textFill>
        </w:rPr>
      </w:pPr>
      <w:r>
        <w:rPr>
          <w:rFonts w:ascii="仿宋" w:hAnsi="仿宋" w:eastAsia="仿宋"/>
          <w:bCs/>
          <w:color w:val="000000" w:themeColor="text1"/>
          <w:sz w:val="28"/>
          <w:szCs w:val="28"/>
          <w14:textFill>
            <w14:solidFill>
              <w14:schemeClr w14:val="tx1"/>
            </w14:solidFill>
          </w14:textFill>
        </w:rPr>
        <w:t>3</w:t>
      </w:r>
      <w:r>
        <w:rPr>
          <w:rFonts w:hint="eastAsia" w:ascii="仿宋" w:hAnsi="仿宋" w:eastAsia="仿宋"/>
          <w:bCs/>
          <w:color w:val="000000" w:themeColor="text1"/>
          <w:sz w:val="28"/>
          <w:szCs w:val="28"/>
          <w14:textFill>
            <w14:solidFill>
              <w14:schemeClr w14:val="tx1"/>
            </w14:solidFill>
          </w14:textFill>
        </w:rPr>
        <w:t>.质疑应当以书面形式提出，格式见《政府采购质疑和投诉办法》（财政部令第94号）附件范本，下载网址：浙江政府采购网(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Style w:val="69"/>
          <w:rFonts w:hint="eastAsia" w:ascii="仿宋" w:hAnsi="仿宋" w:eastAsia="仿宋"/>
          <w:bCs/>
          <w:color w:val="000000" w:themeColor="text1"/>
          <w:sz w:val="28"/>
          <w:szCs w:val="28"/>
          <w14:textFill>
            <w14:solidFill>
              <w14:schemeClr w14:val="tx1"/>
            </w14:solidFill>
          </w14:textFill>
        </w:rPr>
        <w:t>http://zfcg.czt.zj.gov.cn/</w:t>
      </w:r>
      <w:r>
        <w:rPr>
          <w:rStyle w:val="69"/>
          <w:rFonts w:hint="eastAsia" w:ascii="仿宋" w:hAnsi="仿宋" w:eastAsia="仿宋"/>
          <w:bCs/>
          <w:color w:val="000000" w:themeColor="text1"/>
          <w:sz w:val="28"/>
          <w:szCs w:val="28"/>
          <w14:textFill>
            <w14:solidFill>
              <w14:schemeClr w14:val="tx1"/>
            </w14:solidFill>
          </w14:textFill>
        </w:rPr>
        <w:fldChar w:fldCharType="end"/>
      </w:r>
      <w:r>
        <w:rPr>
          <w:rFonts w:hint="eastAsia" w:ascii="仿宋" w:hAnsi="仿宋" w:eastAsia="仿宋"/>
          <w:bCs/>
          <w:color w:val="000000" w:themeColor="text1"/>
          <w:sz w:val="28"/>
          <w:szCs w:val="28"/>
          <w14:textFill>
            <w14:solidFill>
              <w14:schemeClr w14:val="tx1"/>
            </w14:solidFill>
          </w14:textFill>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质疑函应当包括下列内容：</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a.供应商的姓名或者名称、地址、邮编、联系人及联系电话；</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b.质疑项目的名称、编号；</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c.具体、明确的质疑事项和与质疑事项相关的请求；</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d.事实依据；</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e.必要的法律依据；</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f.提出质疑的日期。</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ascii="仿宋" w:hAnsi="仿宋" w:eastAsia="仿宋"/>
          <w:bCs/>
          <w:color w:val="000000" w:themeColor="text1"/>
          <w:sz w:val="28"/>
          <w:szCs w:val="28"/>
          <w14:textFill>
            <w14:solidFill>
              <w14:schemeClr w14:val="tx1"/>
            </w14:solidFill>
          </w14:textFill>
        </w:rPr>
        <w:t>4.</w:t>
      </w:r>
      <w:r>
        <w:rPr>
          <w:rFonts w:hint="eastAsia" w:ascii="仿宋" w:hAnsi="仿宋" w:eastAsia="仿宋"/>
          <w:bCs/>
          <w:color w:val="000000" w:themeColor="text1"/>
          <w:sz w:val="28"/>
          <w:szCs w:val="28"/>
          <w14:textFill>
            <w14:solidFill>
              <w14:schemeClr w14:val="tx1"/>
            </w14:solidFill>
          </w14:textFill>
        </w:rPr>
        <w:t xml:space="preserve">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 xml:space="preserve">（六）招标文件的澄清与修改 </w:t>
      </w:r>
    </w:p>
    <w:p>
      <w:pPr>
        <w:pStyle w:val="31"/>
        <w:snapToGrid w:val="0"/>
        <w:spacing w:before="156" w:after="156" w:line="460" w:lineRule="exact"/>
        <w:ind w:firstLine="560"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color w:val="000000" w:themeColor="text1"/>
          <w:sz w:val="28"/>
          <w:szCs w:val="28"/>
          <w14:textFill>
            <w14:solidFill>
              <w14:schemeClr w14:val="tx1"/>
            </w14:solidFill>
          </w14:textFill>
        </w:rPr>
        <w:t>逾期提出招标方将不予受理。</w:t>
      </w:r>
    </w:p>
    <w:p>
      <w:pPr>
        <w:pStyle w:val="31"/>
        <w:snapToGrid w:val="0"/>
        <w:spacing w:before="156" w:after="156"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2.招标方主动进行的澄清、修改：招标方无论出于何种原因，均可主动对招标文件中的相关事项，用补充文件等方式进行澄清和修改。</w:t>
      </w:r>
    </w:p>
    <w:p>
      <w:pPr>
        <w:pStyle w:val="31"/>
        <w:snapToGrid w:val="0"/>
        <w:spacing w:before="156" w:after="156"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3.招标文件澄清、答复、修改、补充的内容为招标文件的组成部分。当招标文件与招标文件的答复、澄清、修改、补充通知就同一内容的表述不一致时，以最后发出的书面文件为准。</w:t>
      </w:r>
    </w:p>
    <w:p>
      <w:pPr>
        <w:pStyle w:val="31"/>
        <w:snapToGrid w:val="0"/>
        <w:spacing w:before="312" w:beforeLines="100" w:after="312" w:afterLines="100" w:line="360" w:lineRule="auto"/>
        <w:jc w:val="center"/>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二、投标文件的编制</w:t>
      </w:r>
    </w:p>
    <w:p>
      <w:pPr>
        <w:snapToGrid w:val="0"/>
        <w:spacing w:line="460" w:lineRule="exact"/>
        <w:ind w:firstLine="548" w:firstLineChars="196"/>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（一）投标文件编制工具</w:t>
      </w:r>
    </w:p>
    <w:p>
      <w:pPr>
        <w:pStyle w:val="31"/>
        <w:adjustRightInd w:val="0"/>
        <w:snapToGrid w:val="0"/>
        <w:spacing w:before="156" w:after="156" w:line="500" w:lineRule="exact"/>
        <w:ind w:firstLine="565" w:firstLineChars="201"/>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投标文件编制工具为政采云电子交易客户端，下载网址：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b/>
          <w:bCs/>
          <w:color w:val="000000" w:themeColor="text1"/>
          <w:sz w:val="28"/>
          <w:szCs w:val="28"/>
          <w14:textFill>
            <w14:solidFill>
              <w14:schemeClr w14:val="tx1"/>
            </w14:solidFill>
          </w14:textFill>
        </w:rPr>
        <w:t>http://zfcg.czt.zj.gov.cn/bidClientTemplate/2019-09-24/12975.html</w:t>
      </w:r>
      <w:r>
        <w:rPr>
          <w:rStyle w:val="69"/>
          <w:rFonts w:hint="eastAsia" w:ascii="仿宋" w:hAnsi="仿宋" w:eastAsia="仿宋"/>
          <w:b/>
          <w:bCs/>
          <w:color w:val="000000" w:themeColor="text1"/>
          <w:sz w:val="28"/>
          <w:szCs w:val="28"/>
          <w14:textFill>
            <w14:solidFill>
              <w14:schemeClr w14:val="tx1"/>
            </w14:solidFill>
          </w14:textFill>
        </w:rPr>
        <w:fldChar w:fldCharType="end"/>
      </w:r>
      <w:r>
        <w:rPr>
          <w:rFonts w:hint="eastAsia" w:ascii="仿宋" w:hAnsi="仿宋" w:eastAsia="仿宋"/>
          <w:b/>
          <w:bCs/>
          <w:color w:val="000000" w:themeColor="text1"/>
          <w:sz w:val="28"/>
          <w:szCs w:val="28"/>
          <w14:textFill>
            <w14:solidFill>
              <w14:schemeClr w14:val="tx1"/>
            </w14:solidFill>
          </w14:textFill>
        </w:rPr>
        <w:t>，请自行下载并安装。</w:t>
      </w:r>
    </w:p>
    <w:p>
      <w:pPr>
        <w:snapToGrid w:val="0"/>
        <w:spacing w:line="460" w:lineRule="exact"/>
        <w:ind w:firstLine="548" w:firstLineChars="196"/>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（二）投标文件的组成</w:t>
      </w:r>
    </w:p>
    <w:p>
      <w:pPr>
        <w:adjustRightInd w:val="0"/>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电子投标文件每个标项由资格文件、技术商务文件、投标报价文件三部份组成，具体详见“第六章  投标文件格式附件”。备份投标文件的组成和内容等同电子投标文件。</w:t>
      </w:r>
    </w:p>
    <w:p>
      <w:pPr>
        <w:pStyle w:val="50"/>
        <w:widowControl w:val="0"/>
        <w:spacing w:after="156" w:line="460" w:lineRule="exact"/>
        <w:ind w:firstLine="562" w:firstLineChars="200"/>
        <w:jc w:val="both"/>
        <w:rPr>
          <w:rFonts w:ascii="仿宋" w:hAnsi="仿宋" w:eastAsia="仿宋"/>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（三）投标文件的效力</w:t>
      </w:r>
    </w:p>
    <w:p>
      <w:pPr>
        <w:adjustRightInd w:val="0"/>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（四）投标文件的语言及计量</w:t>
      </w:r>
    </w:p>
    <w:p>
      <w:pPr>
        <w:snapToGrid w:val="0"/>
        <w:spacing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2.投标计量单位，招标文件已有明确规定的，使用招标文件规定的计量单位；招标文件没有规定的，应采用中华人民共和国法定计量单位（货币单位：人民币元），否则将作无效标处理。</w:t>
      </w:r>
    </w:p>
    <w:p>
      <w:pPr>
        <w:pStyle w:val="16"/>
        <w:tabs>
          <w:tab w:val="clear" w:pos="454"/>
        </w:tabs>
        <w:snapToGrid w:val="0"/>
        <w:spacing w:before="156" w:beforeLines="50" w:after="156" w:line="460" w:lineRule="exact"/>
        <w:ind w:left="0"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（五）投标文件的有效期</w:t>
      </w:r>
    </w:p>
    <w:p>
      <w:pPr>
        <w:pStyle w:val="16"/>
        <w:tabs>
          <w:tab w:val="clear" w:pos="454"/>
        </w:tabs>
        <w:snapToGrid w:val="0"/>
        <w:spacing w:before="156" w:beforeLines="50" w:after="156" w:line="460" w:lineRule="exact"/>
        <w:ind w:left="0"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1.自投标截止日起90天内投标文件应保持有效。有效期不足的投标文件将作无效标处理。</w:t>
      </w:r>
    </w:p>
    <w:p>
      <w:pPr>
        <w:pStyle w:val="16"/>
        <w:tabs>
          <w:tab w:val="clear" w:pos="454"/>
        </w:tabs>
        <w:snapToGrid w:val="0"/>
        <w:spacing w:before="156" w:beforeLines="50" w:after="156" w:line="460" w:lineRule="exact"/>
        <w:ind w:left="0"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2.中标供应商的投标文件自开标之日起至合同履行完毕止均应保持有效。</w:t>
      </w:r>
    </w:p>
    <w:p>
      <w:pPr>
        <w:snapToGrid w:val="0"/>
        <w:spacing w:before="156" w:beforeLines="50" w:line="460" w:lineRule="exact"/>
        <w:ind w:firstLine="420" w:firstLineChars="15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（六）投标文件的签署和包装</w:t>
      </w:r>
    </w:p>
    <w:p>
      <w:pPr>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 xml:space="preserve">1.电子投标文件部分： </w:t>
      </w:r>
    </w:p>
    <w:p>
      <w:pPr>
        <w:snapToGrid w:val="0"/>
        <w:spacing w:line="460" w:lineRule="exact"/>
        <w:ind w:firstLine="562" w:firstLineChars="200"/>
        <w:jc w:val="lef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2.投标人选择递交备份投标文件的，备份投标文件另须满足以下条件：</w:t>
      </w:r>
    </w:p>
    <w:p>
      <w:pPr>
        <w:pStyle w:val="31"/>
        <w:adjustRightInd w:val="0"/>
        <w:snapToGrid w:val="0"/>
        <w:spacing w:before="156" w:after="156" w:line="50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 xml:space="preserve">（1）储存形式：U盘、DVD </w:t>
      </w:r>
    </w:p>
    <w:p>
      <w:pPr>
        <w:pStyle w:val="31"/>
        <w:adjustRightInd w:val="0"/>
        <w:snapToGrid w:val="0"/>
        <w:spacing w:before="156" w:after="156" w:line="500" w:lineRule="exact"/>
        <w:ind w:firstLine="557" w:firstLineChars="198"/>
        <w:rPr>
          <w:rFonts w:ascii="仿宋" w:hAnsi="仿宋" w:eastAsia="仿宋"/>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56" w:beforeLines="50" w:line="460" w:lineRule="exact"/>
        <w:ind w:firstLine="548" w:firstLineChars="196"/>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（七）投标报价</w:t>
      </w:r>
    </w:p>
    <w:p>
      <w:pPr>
        <w:tabs>
          <w:tab w:val="left" w:pos="525"/>
        </w:tabs>
        <w:snapToGrid w:val="0"/>
        <w:spacing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投标文件只允许有一个报价，投标报价应按招标文件中相关附表格式填报，该投标报价应与明细报价汇总相等，且不允许出现报价优惠等字样。投标总价不为零，报价明细表中部分产品、服务单价为零的，视作已包含在总价中。</w:t>
      </w:r>
    </w:p>
    <w:p>
      <w:pPr>
        <w:pStyle w:val="31"/>
        <w:snapToGrid w:val="0"/>
        <w:spacing w:before="156" w:after="156"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投标报价应包含项目所需全部产品、服务，不得缺漏，是履行合同的最终价格（含货款、标准附件、备品备件、专用工具、包装、运输、装卸、保险、税金、货到就位以及安装、调试、培训、保修等一切税金和费用）。</w:t>
      </w:r>
    </w:p>
    <w:p>
      <w:pPr>
        <w:pStyle w:val="31"/>
        <w:snapToGrid w:val="0"/>
        <w:spacing w:before="156" w:after="156"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3.投标报价金额到元为止，如投标报价总价出现角、分，将被抹除。</w:t>
      </w:r>
    </w:p>
    <w:p>
      <w:pPr>
        <w:pStyle w:val="31"/>
        <w:snapToGrid w:val="0"/>
        <w:spacing w:before="156" w:after="156"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4.资格文件、技术商务文件中不得出现投标报价信息，否则按无效标处理。</w:t>
      </w:r>
    </w:p>
    <w:p>
      <w:pPr>
        <w:pStyle w:val="31"/>
        <w:snapToGrid w:val="0"/>
        <w:spacing w:before="156" w:after="156" w:line="460" w:lineRule="exact"/>
        <w:ind w:firstLine="560"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投标人不得进行影响产品质量或者诚信履约的恶意报价。投标人在项目评审前准备好报价核算、报价明细、报价说明等材料，以备评审专家核查。供应商报价低于项目预算50%的，应当在报价文件中详细阐述不影响产品质量或者诚信履约的具体原因。</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（八）串通投标认定</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有下列情形之一的，视为投标人串通投标，其投标无效：</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1.不同投标人的投标文件由同一单位或者个人编制或同一I</w:t>
      </w:r>
      <w:r>
        <w:rPr>
          <w:rFonts w:ascii="仿宋" w:hAnsi="仿宋" w:eastAsia="仿宋"/>
          <w:bCs/>
          <w:color w:val="000000" w:themeColor="text1"/>
          <w:sz w:val="28"/>
          <w:szCs w:val="28"/>
          <w14:textFill>
            <w14:solidFill>
              <w14:schemeClr w14:val="tx1"/>
            </w14:solidFill>
          </w14:textFill>
        </w:rPr>
        <w:t>P</w:t>
      </w:r>
      <w:r>
        <w:rPr>
          <w:rFonts w:hint="eastAsia" w:ascii="仿宋" w:hAnsi="仿宋" w:eastAsia="仿宋"/>
          <w:bCs/>
          <w:color w:val="000000" w:themeColor="text1"/>
          <w:sz w:val="28"/>
          <w:szCs w:val="28"/>
          <w14:textFill>
            <w14:solidFill>
              <w14:schemeClr w14:val="tx1"/>
            </w14:solidFill>
          </w14:textFill>
        </w:rPr>
        <w:t>地址上传；</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2.不同投标人委托同一单位或者个人办理投标事宜；</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3.不同投标人的投标文件载明的项目管理成员或者联系人员为同一人；</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4.不同投标人的投标文件异常一致或者投标报价呈规律性差异；</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5.不同投标人的投标文件相互混装；</w:t>
      </w:r>
    </w:p>
    <w:p>
      <w:pPr>
        <w:snapToGrid w:val="0"/>
        <w:spacing w:line="460" w:lineRule="exact"/>
        <w:ind w:firstLine="414" w:firstLineChars="148"/>
        <w:jc w:val="left"/>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（九）投标无效的情形</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在评审时，如发现下列情形之一的，投标文件将被视为无效：</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1.投标人未能提供合格的资格文件、投标有效期不足的；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3.仅提供备份投标文件的；</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4.电子投标文件解密失败，且未在规定时间内提交备份投标文件的；</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6.投标文件未按招标文件要求签署、盖章的；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7.与招标文件有重大偏离、未满足带“▲”号实质性指标的投标文件；</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9</w:t>
      </w:r>
      <w:r>
        <w:rPr>
          <w:rFonts w:ascii="仿宋" w:hAnsi="仿宋" w:eastAsia="仿宋"/>
          <w:bCs/>
          <w:color w:val="000000" w:themeColor="text1"/>
          <w:sz w:val="28"/>
          <w:szCs w:val="28"/>
          <w14:textFill>
            <w14:solidFill>
              <w14:schemeClr w14:val="tx1"/>
            </w14:solidFill>
          </w14:textFill>
        </w:rPr>
        <w:t>.</w:t>
      </w:r>
      <w:r>
        <w:rPr>
          <w:rFonts w:hint="eastAsia" w:ascii="仿宋" w:hAnsi="仿宋" w:eastAsia="仿宋"/>
          <w:bCs/>
          <w:color w:val="000000" w:themeColor="text1"/>
          <w:sz w:val="28"/>
          <w:szCs w:val="28"/>
          <w14:textFill>
            <w14:solidFill>
              <w14:schemeClr w14:val="tx1"/>
            </w14:solidFill>
          </w14:textFill>
        </w:rPr>
        <w:t>未提供样品或提供样品不满足采购需求实质性条件的；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ascii="仿宋" w:hAnsi="仿宋" w:eastAsia="仿宋"/>
          <w:bCs/>
          <w:color w:val="000000" w:themeColor="text1"/>
          <w:sz w:val="28"/>
          <w:szCs w:val="28"/>
          <w14:textFill>
            <w14:solidFill>
              <w14:schemeClr w14:val="tx1"/>
            </w14:solidFill>
          </w14:textFill>
        </w:rPr>
        <w:t>10</w:t>
      </w:r>
      <w:r>
        <w:rPr>
          <w:rFonts w:hint="eastAsia" w:ascii="仿宋" w:hAnsi="仿宋" w:eastAsia="仿宋"/>
          <w:bCs/>
          <w:color w:val="000000" w:themeColor="text1"/>
          <w:sz w:val="28"/>
          <w:szCs w:val="28"/>
          <w14:textFill>
            <w14:solidFill>
              <w14:schemeClr w14:val="tx1"/>
            </w14:solidFill>
          </w14:textFill>
        </w:rPr>
        <w:t>.投标报价超出招标文件中规定的预算金额或者最高限价的；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1</w:t>
      </w:r>
      <w:r>
        <w:rPr>
          <w:rFonts w:hint="eastAsia" w:ascii="仿宋" w:hAnsi="仿宋" w:eastAsia="仿宋"/>
          <w:bCs/>
          <w:color w:val="000000" w:themeColor="text1"/>
          <w:sz w:val="28"/>
          <w:szCs w:val="28"/>
          <w14:textFill>
            <w14:solidFill>
              <w14:schemeClr w14:val="tx1"/>
            </w14:solidFill>
          </w14:textFill>
        </w:rPr>
        <w:t>.标项以赠送方式投标的、对一个标项提供两个投标方案或两个报价的；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2</w:t>
      </w:r>
      <w:r>
        <w:rPr>
          <w:rFonts w:hint="eastAsia" w:ascii="仿宋" w:hAnsi="仿宋" w:eastAsia="仿宋"/>
          <w:bCs/>
          <w:color w:val="000000" w:themeColor="text1"/>
          <w:sz w:val="28"/>
          <w:szCs w:val="28"/>
          <w14:textFill>
            <w14:solidFill>
              <w14:schemeClr w14:val="tx1"/>
            </w14:solidFill>
          </w14:textFill>
        </w:rPr>
        <w:t>.评标委员会认为投标人的报价明显低于其他通过符合性审查投标人的报价，有可能影响产品质量或者不能诚信履约，且不能证明其报价合理性的；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3</w:t>
      </w:r>
      <w:r>
        <w:rPr>
          <w:rFonts w:hint="eastAsia" w:ascii="仿宋" w:hAnsi="仿宋" w:eastAsia="仿宋"/>
          <w:bCs/>
          <w:color w:val="000000" w:themeColor="text1"/>
          <w:sz w:val="28"/>
          <w:szCs w:val="28"/>
          <w14:textFill>
            <w14:solidFill>
              <w14:schemeClr w14:val="tx1"/>
            </w14:solidFill>
          </w14:textFill>
        </w:rPr>
        <w:t>.投标人不接受报价文件中修正后的报价的；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4</w:t>
      </w:r>
      <w:r>
        <w:rPr>
          <w:rFonts w:hint="eastAsia" w:ascii="仿宋" w:hAnsi="仿宋" w:eastAsia="仿宋"/>
          <w:bCs/>
          <w:color w:val="000000" w:themeColor="text1"/>
          <w:sz w:val="28"/>
          <w:szCs w:val="28"/>
          <w14:textFill>
            <w14:solidFill>
              <w14:schemeClr w14:val="tx1"/>
            </w14:solidFill>
          </w14:textFill>
        </w:rPr>
        <w:t>.未按本章“二、投标文件的编制”第七点投标报价要求报价的；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5</w:t>
      </w:r>
      <w:r>
        <w:rPr>
          <w:rFonts w:hint="eastAsia" w:ascii="仿宋" w:hAnsi="仿宋" w:eastAsia="仿宋"/>
          <w:bCs/>
          <w:color w:val="000000" w:themeColor="text1"/>
          <w:sz w:val="28"/>
          <w:szCs w:val="28"/>
          <w14:textFill>
            <w14:solidFill>
              <w14:schemeClr w14:val="tx1"/>
            </w14:solidFill>
          </w14:textFill>
        </w:rPr>
        <w:t>.投标文件含有采购人不能接受的附加条件的；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6</w:t>
      </w:r>
      <w:r>
        <w:rPr>
          <w:rFonts w:hint="eastAsia" w:ascii="仿宋" w:hAnsi="仿宋" w:eastAsia="仿宋"/>
          <w:bCs/>
          <w:color w:val="000000" w:themeColor="text1"/>
          <w:sz w:val="28"/>
          <w:szCs w:val="28"/>
          <w14:textFill>
            <w14:solidFill>
              <w14:schemeClr w14:val="tx1"/>
            </w14:solidFill>
          </w14:textFill>
        </w:rPr>
        <w:t>.投标人被视为串通投标的；</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w:t>
      </w:r>
      <w:r>
        <w:rPr>
          <w:rFonts w:ascii="仿宋" w:hAnsi="仿宋" w:eastAsia="仿宋"/>
          <w:bCs/>
          <w:color w:val="000000" w:themeColor="text1"/>
          <w:sz w:val="28"/>
          <w:szCs w:val="28"/>
          <w14:textFill>
            <w14:solidFill>
              <w14:schemeClr w14:val="tx1"/>
            </w14:solidFill>
          </w14:textFill>
        </w:rPr>
        <w:t>7</w:t>
      </w:r>
      <w:r>
        <w:rPr>
          <w:rFonts w:hint="eastAsia" w:ascii="仿宋" w:hAnsi="仿宋" w:eastAsia="仿宋"/>
          <w:bCs/>
          <w:color w:val="000000" w:themeColor="text1"/>
          <w:sz w:val="28"/>
          <w:szCs w:val="28"/>
          <w14:textFill>
            <w14:solidFill>
              <w14:schemeClr w14:val="tx1"/>
            </w14:solidFill>
          </w14:textFill>
        </w:rPr>
        <w:t>.不符合法律、法规和本招标文件规定的其他实质性要求的。</w:t>
      </w:r>
    </w:p>
    <w:p>
      <w:pPr>
        <w:pStyle w:val="31"/>
        <w:snapToGrid w:val="0"/>
        <w:spacing w:beforeLines="0" w:after="156" w:line="460" w:lineRule="exact"/>
        <w:ind w:left="759" w:leftChars="228" w:hanging="280" w:hangingChars="1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（十）错误修正</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投标文件报价出现前后不一致的，除招标文件另有规定外，按照下列规定修正：</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1.投标文件中开标一览表内容与投标文件中相应内容不一致的，以开标一览表为准；</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2.大写金额和小写金额不一致的，以大写金额为准；</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3.单价金额小数点或者百分比有明显错位的，以开标一览表的总价为准，并修改单价；</w:t>
      </w:r>
    </w:p>
    <w:p>
      <w:pPr>
        <w:snapToGrid w:val="0"/>
        <w:spacing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4.总价金额与按单价汇总金额不一致的，以单价金额计算结果为准。</w:t>
      </w:r>
    </w:p>
    <w:p>
      <w:pPr>
        <w:snapToGrid w:val="0"/>
        <w:spacing w:line="460" w:lineRule="exact"/>
        <w:ind w:firstLine="562"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（十一）采购过程中的异常情况及处理措施</w:t>
      </w:r>
    </w:p>
    <w:p>
      <w:pPr>
        <w:pStyle w:val="31"/>
        <w:adjustRightInd w:val="0"/>
        <w:snapToGrid w:val="0"/>
        <w:spacing w:before="156" w:after="156" w:line="500" w:lineRule="exact"/>
        <w:ind w:firstLine="565" w:firstLineChars="201"/>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1.电子交易平台发生故障而无法登录访问的；</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2.电子交易平台应用或数据库出现错误，不能进行正常操作的；</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3.电子交易平台发现严重安全漏洞，有潜在泄密危险的；</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4.病毒发作导致不能进行正常操作的；</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5.其他无法保证电子交易的公平、公正和安全的情况。</w:t>
      </w:r>
    </w:p>
    <w:p>
      <w:pPr>
        <w:spacing w:line="440" w:lineRule="exact"/>
        <w:ind w:firstLine="562"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出现前款规定情形，不影响采购公平、公正性的，招标方可以待上述情形消除后继续组织电子交易活动，也可以决定某些环节以纸质形式进行；影响或可能影响采购公平、公正性的，应当重新采购。</w:t>
      </w:r>
    </w:p>
    <w:p>
      <w:pPr>
        <w:pStyle w:val="31"/>
        <w:snapToGrid w:val="0"/>
        <w:spacing w:before="312" w:beforeLines="100" w:after="312" w:afterLines="100" w:line="360" w:lineRule="auto"/>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三、开、评标程序及评标委员会的评审程序</w:t>
      </w:r>
    </w:p>
    <w:p>
      <w:pPr>
        <w:pStyle w:val="31"/>
        <w:snapToGrid w:val="0"/>
        <w:spacing w:before="156" w:after="156" w:line="460" w:lineRule="exact"/>
        <w:ind w:firstLine="551" w:firstLineChars="196"/>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（一）组织开标</w:t>
      </w:r>
    </w:p>
    <w:p>
      <w:pPr>
        <w:pStyle w:val="31"/>
        <w:snapToGrid w:val="0"/>
        <w:spacing w:before="156" w:after="156"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招标方将按照招标文件规定的时间、地点和程序组织开标，各投标人授权代表及相关人员</w:t>
      </w:r>
      <w:r>
        <w:rPr>
          <w:rFonts w:hint="eastAsia" w:ascii="仿宋" w:hAnsi="仿宋" w:eastAsia="仿宋"/>
          <w:b/>
          <w:bCs/>
          <w:color w:val="000000" w:themeColor="text1"/>
          <w:sz w:val="28"/>
          <w:szCs w:val="28"/>
          <w14:textFill>
            <w14:solidFill>
              <w14:schemeClr w14:val="tx1"/>
            </w14:solidFill>
          </w14:textFill>
        </w:rPr>
        <w:t>均应当准时在线参加</w:t>
      </w:r>
      <w:r>
        <w:rPr>
          <w:rFonts w:hint="eastAsia" w:ascii="仿宋" w:hAnsi="仿宋" w:eastAsia="仿宋"/>
          <w:bCs/>
          <w:color w:val="000000" w:themeColor="text1"/>
          <w:sz w:val="28"/>
          <w:szCs w:val="28"/>
          <w14:textFill>
            <w14:solidFill>
              <w14:schemeClr w14:val="tx1"/>
            </w14:solidFill>
          </w14:textFill>
        </w:rPr>
        <w:t>，无关人员不得进入开标现场。</w:t>
      </w:r>
      <w:r>
        <w:rPr>
          <w:rFonts w:hint="eastAsia" w:ascii="仿宋" w:hAnsi="仿宋" w:eastAsia="仿宋"/>
          <w:b/>
          <w:bCs/>
          <w:color w:val="000000" w:themeColor="text1"/>
          <w:sz w:val="28"/>
          <w:szCs w:val="28"/>
          <w14:textFill>
            <w14:solidFill>
              <w14:schemeClr w14:val="tx1"/>
            </w14:solidFill>
          </w14:textFill>
        </w:rPr>
        <w:t>投标人如未准时在线参加的</w:t>
      </w:r>
      <w:r>
        <w:rPr>
          <w:rFonts w:hint="eastAsia" w:ascii="仿宋" w:hAnsi="仿宋" w:eastAsia="仿宋"/>
          <w:bCs/>
          <w:color w:val="000000" w:themeColor="text1"/>
          <w:sz w:val="28"/>
          <w:szCs w:val="28"/>
          <w14:textFill>
            <w14:solidFill>
              <w14:schemeClr w14:val="tx1"/>
            </w14:solidFill>
          </w14:textFill>
        </w:rPr>
        <w:t>，事后不得对采购相关人员、开标过程和开标结果提出异议。</w:t>
      </w:r>
    </w:p>
    <w:p>
      <w:pPr>
        <w:pStyle w:val="31"/>
        <w:snapToGrid w:val="0"/>
        <w:spacing w:before="156" w:after="156"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1. 落实工作场地、设施，检查录音录像采集设备运行情况，验证电子交易平台是否能正常登录，并开启直播（如直播信号出现问题，不影响项目开标程序）。</w:t>
      </w:r>
    </w:p>
    <w:p>
      <w:pPr>
        <w:pStyle w:val="31"/>
        <w:snapToGrid w:val="0"/>
        <w:spacing w:before="156" w:after="156"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 开标由招标方主持，主持人介绍开标现场的人员情况，宣读递交投标文件的投标人名单、递交备份投标文件的投标人名单、开标纪律、应当回避的情形等注意事项。</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解密时限内未完成解密且按规定提供了备份投标文件的，招标方将在开标直播间拆封其备份投标文件，并导入电子交易平台。</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6.招标方在电子交易平台开启投标人的报价文件信息，投标人对报价信息进行确认。投标人对报价信息不予确认的不影响后续评标过程。</w:t>
      </w:r>
    </w:p>
    <w:p>
      <w:pPr>
        <w:pStyle w:val="31"/>
        <w:snapToGrid w:val="0"/>
        <w:spacing w:before="156" w:after="156"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7.评标委员会经商议认为需要投标人作出必要澄清或说明的，应当通过电子交易平台交换数据电文。评标委员会给予投标人提交澄清或说明的时间为半小时，投标人已经明确表示澄清或说明完毕的除外。澄清说明环节评标委员会可以通过电子交易平台发出“视频会议”邀请，与相关供应商以视频会议形式进行，并在平台“讨论”组件中进行数据电文交换。为避免页面存在兼容性等问题，投标人须使用谷歌Chrome浏览器或360浏览器极速模式，并安装摄像头和麦克风。如若评审过程中，电子交易平台出现视频会议连接失败等情况，按原方式在电子交易平台与供应商交换数据电文。</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8.在电子交易平台上公布评审结果。</w:t>
      </w:r>
    </w:p>
    <w:p>
      <w:pPr>
        <w:spacing w:line="44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特别说明：政采云公司如对电子化开标及评审程序有调整的，按调整后的程序操作。</w:t>
      </w:r>
    </w:p>
    <w:p>
      <w:pPr>
        <w:pStyle w:val="31"/>
        <w:snapToGrid w:val="0"/>
        <w:spacing w:before="156" w:after="156" w:line="46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（二）组织评标程序</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招标方将按照招标文件规定的时间、地点和程序组织评标，各评审专家及相关人员应参加评审活动并接受核验、签到，无关人员不得进入评审现场。</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1、开启开标场地录音录像采集设备，并确保正常运行。</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2、按规定统一收缴、保存评标现场相关人员通讯工具。</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3、介绍评审现场的人员情况，宣布评审工作纪律，告知评审人员应当回避情形；组织推选评标委员会组长。</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4、宣读提交投标文件的供应商名单，组织评标委员会各位成员签订纸质形式的《政府采购评审人员廉洁自律承诺书》。</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5、采购人可以在评标前说明项目背景和采购需求，说明内容不得含有歧视性、倾向性意见，不得超出招标文件所述范围。说明应当提交书面材料，并随采购文件一并存档。</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7、采购人代表对投标人资格文件进行审查并</w:t>
      </w:r>
      <w:r>
        <w:rPr>
          <w:rFonts w:hint="eastAsia" w:ascii="仿宋" w:hAnsi="仿宋" w:eastAsia="仿宋"/>
          <w:color w:val="000000" w:themeColor="text1"/>
          <w:sz w:val="28"/>
          <w:szCs w:val="28"/>
          <w14:textFill>
            <w14:solidFill>
              <w14:schemeClr w14:val="tx1"/>
            </w14:solidFill>
          </w14:textFill>
        </w:rPr>
        <w:t>以开标当日为准</w:t>
      </w:r>
      <w:r>
        <w:rPr>
          <w:rFonts w:hint="eastAsia" w:ascii="仿宋" w:hAnsi="仿宋" w:eastAsia="仿宋"/>
          <w:bCs/>
          <w:color w:val="000000" w:themeColor="text1"/>
          <w:sz w:val="28"/>
          <w:szCs w:val="28"/>
          <w14:textFill>
            <w14:solidFill>
              <w14:schemeClr w14:val="tx1"/>
            </w14:solidFill>
          </w14:textFill>
        </w:rPr>
        <w:t>对投标人“信用中国”网站（www.creditchina.gov.cn）、中国政府采购网（www.ccgp.gov.cn）信用记录情况进行核实，资格不符合的，应组织相关投标人代表进行陈述、澄清或申辩。</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商务技术主观分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9、做好评审现场相关记录，协助评标委员会组长做好评审报告起草、有关内容电脑文字录入等工作，并要求评标委员会各成员签字确认。</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10、评审结束后，招标方应对评标委员会各成员的专业水平、职业道德、遵纪守法等情况进行评价；同时按规定向评审专家发放评审费，并交还评审人员及其他现场相关人员的通讯工具。</w:t>
      </w:r>
    </w:p>
    <w:p>
      <w:pPr>
        <w:pStyle w:val="31"/>
        <w:snapToGrid w:val="0"/>
        <w:spacing w:before="156" w:after="156" w:line="460" w:lineRule="exact"/>
        <w:ind w:firstLine="551"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11、招标方将在《中标公告》中，公开评标委员会对每个投标人的《评分明细》以及《得分汇总表》情况。</w:t>
      </w:r>
      <w:r>
        <w:rPr>
          <w:rFonts w:ascii="Calibri" w:hAnsi="Calibri" w:eastAsia="仿宋" w:cs="Calibri"/>
          <w:b/>
          <w:bCs/>
          <w:color w:val="000000" w:themeColor="text1"/>
          <w:sz w:val="28"/>
          <w:szCs w:val="28"/>
          <w14:textFill>
            <w14:solidFill>
              <w14:schemeClr w14:val="tx1"/>
            </w14:solidFill>
          </w14:textFill>
        </w:rPr>
        <w:t> </w:t>
      </w:r>
      <w:r>
        <w:rPr>
          <w:rFonts w:hint="eastAsia" w:ascii="仿宋" w:hAnsi="仿宋" w:eastAsia="仿宋"/>
          <w:b/>
          <w:bCs/>
          <w:color w:val="000000" w:themeColor="text1"/>
          <w:sz w:val="28"/>
          <w:szCs w:val="28"/>
          <w14:textFill>
            <w14:solidFill>
              <w14:schemeClr w14:val="tx1"/>
            </w14:solidFill>
          </w14:textFill>
        </w:rPr>
        <w:tab/>
      </w:r>
    </w:p>
    <w:p>
      <w:pPr>
        <w:pStyle w:val="31"/>
        <w:snapToGrid w:val="0"/>
        <w:spacing w:before="156" w:after="156" w:line="46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（三）评审程序</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1、在评审专家中推选评标委员会组长。</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3、评审人员对各投标人投标文件的有效性、符合性、完整性和响应程度进行审查，确定是否对招标文件作出实质性响应。</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4、评审人员按招标文件规定的评审方法和评审标准，依法独立对投标人投标文件进行评估、比较，并给予评价或打分，不受任何单位和个人的干预。</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 xml:space="preserve">7、评标委员会根据评审汇总情况和招标文件规定确定中标候选供应商排序名单。 </w:t>
      </w:r>
    </w:p>
    <w:p>
      <w:pPr>
        <w:pStyle w:val="31"/>
        <w:snapToGrid w:val="0"/>
        <w:spacing w:before="156" w:after="156" w:line="460" w:lineRule="exact"/>
        <w:ind w:firstLine="548" w:firstLineChars="196"/>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8、起草评审报告，所有评审人员须在评审报告上签字确认。</w:t>
      </w:r>
    </w:p>
    <w:p>
      <w:pPr>
        <w:pStyle w:val="31"/>
        <w:snapToGrid w:val="0"/>
        <w:spacing w:before="312" w:beforeLines="100" w:after="312" w:afterLines="100" w:line="360" w:lineRule="auto"/>
        <w:jc w:val="center"/>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四、评审原则</w:t>
      </w:r>
    </w:p>
    <w:p>
      <w:pPr>
        <w:pStyle w:val="31"/>
        <w:snapToGrid w:val="0"/>
        <w:spacing w:before="156" w:after="156" w:line="460" w:lineRule="exact"/>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1"/>
        <w:snapToGrid w:val="0"/>
        <w:spacing w:before="156" w:after="156"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1"/>
        <w:snapToGrid w:val="0"/>
        <w:spacing w:before="156" w:after="156"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1"/>
        <w:snapToGrid w:val="0"/>
        <w:spacing w:before="156" w:after="156"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1"/>
        <w:snapToGrid w:val="0"/>
        <w:spacing w:before="156" w:after="156"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非单一产品采购项目，采购人应当根据采购项目技术构成、产品价格比重等合理确定核心产品，并在招标文件中载明。多家投标人提供的核心产品品牌相同的，按前款规定处理。</w:t>
      </w:r>
    </w:p>
    <w:p>
      <w:pPr>
        <w:pStyle w:val="31"/>
        <w:snapToGrid w:val="0"/>
        <w:spacing w:before="156" w:after="156"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1"/>
        <w:snapToGrid w:val="0"/>
        <w:spacing w:before="312" w:beforeLines="100" w:after="312" w:afterLines="100" w:line="360" w:lineRule="auto"/>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五、确定中标供应商的原则</w:t>
      </w:r>
    </w:p>
    <w:p>
      <w:pPr>
        <w:pStyle w:val="31"/>
        <w:snapToGrid w:val="0"/>
        <w:spacing w:before="156" w:after="156"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1.项目由评标委员会根据第三章《评标办法与评分标准》规定提出中标候选人排序。</w:t>
      </w:r>
    </w:p>
    <w:p>
      <w:pPr>
        <w:pStyle w:val="31"/>
        <w:snapToGrid w:val="0"/>
        <w:spacing w:before="156" w:after="156"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hAnsi="宋体" w:cstheme="minorBidi"/>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2.采购人应当自收到评标报告之日起５个工作日内，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在采购结果确认环节，中标候选人撤销投标文件不能成为采购人不确认采购结果的正当理由。</w:t>
      </w:r>
    </w:p>
    <w:p>
      <w:pPr>
        <w:pStyle w:val="31"/>
        <w:snapToGrid w:val="0"/>
        <w:spacing w:before="156" w:after="156"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3.采购结果经采购人确认后，招标方将于2个工作日内在浙江省政府采购网上发布中标公告，通过电子交易平台统一签发《中标通知书》</w:t>
      </w:r>
      <w:r>
        <w:rPr>
          <w:rFonts w:hint="eastAsia" w:ascii="仿宋" w:hAnsi="仿宋" w:eastAsia="仿宋" w:cs="Arial"/>
          <w:color w:val="000000" w:themeColor="text1"/>
          <w:sz w:val="28"/>
          <w:szCs w:val="28"/>
          <w14:textFill>
            <w14:solidFill>
              <w14:schemeClr w14:val="tx1"/>
            </w14:solidFill>
          </w14:textFill>
        </w:rPr>
        <w:t>。</w:t>
      </w:r>
    </w:p>
    <w:p>
      <w:pPr>
        <w:pStyle w:val="31"/>
        <w:snapToGrid w:val="0"/>
        <w:spacing w:before="312" w:beforeLines="100" w:after="312" w:afterLines="100" w:line="360" w:lineRule="auto"/>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六、合同授予</w:t>
      </w:r>
    </w:p>
    <w:p>
      <w:pPr>
        <w:snapToGrid w:val="0"/>
        <w:spacing w:line="460" w:lineRule="exact"/>
        <w:ind w:firstLine="551"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（一）签订合同</w:t>
      </w:r>
    </w:p>
    <w:p>
      <w:pPr>
        <w:snapToGrid w:val="0"/>
        <w:spacing w:line="46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1.采购人与中标人应当在《中标通知书》发出之日起30日内签订政府采购合同。</w:t>
      </w:r>
    </w:p>
    <w:p>
      <w:pPr>
        <w:snapToGrid w:val="0"/>
        <w:spacing w:line="4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2.中标人拖延、拒签合同的,将被取消中标资格。</w:t>
      </w:r>
    </w:p>
    <w:p>
      <w:pPr>
        <w:snapToGrid w:val="0"/>
        <w:spacing w:line="46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snapToGrid w:val="0"/>
        <w:spacing w:before="156" w:after="156" w:line="460" w:lineRule="exact"/>
        <w:ind w:firstLine="551" w:firstLineChars="196"/>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（二）履约保证金</w:t>
      </w:r>
    </w:p>
    <w:p>
      <w:pPr>
        <w:pStyle w:val="31"/>
        <w:snapToGrid w:val="0"/>
        <w:spacing w:before="312" w:beforeLines="100" w:after="312" w:afterLines="100"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31"/>
        <w:snapToGrid w:val="0"/>
        <w:spacing w:before="156" w:after="156" w:line="460" w:lineRule="exact"/>
        <w:ind w:firstLine="554" w:firstLineChars="198"/>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2.按合同约定办理履约保证金退还手续。</w:t>
      </w:r>
    </w:p>
    <w:p>
      <w:pPr>
        <w:pStyle w:val="31"/>
        <w:snapToGrid w:val="0"/>
        <w:spacing w:before="312" w:beforeLines="100" w:after="312" w:afterLines="100" w:line="360" w:lineRule="auto"/>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七、货款的结算</w:t>
      </w:r>
    </w:p>
    <w:p>
      <w:pPr>
        <w:pStyle w:val="31"/>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货款由采购人按采购文件规定的付款方式自行支付。纳入国库集中支付的，按照国库集中支付有关规定付款。</w:t>
      </w:r>
    </w:p>
    <w:p>
      <w:pPr>
        <w:pStyle w:val="31"/>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资金支付进度：采购人对于满足合同约定支付条件的，自收到发票后7个工作日内将资金支付到合同约定的供应商账户。迟延支付中小企业款项的，供应商可要求采购人支付逾期利息。</w:t>
      </w:r>
    </w:p>
    <w:p>
      <w:pPr>
        <w:pStyle w:val="31"/>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 w:hAnsi="仿宋" w:eastAsia="仿宋"/>
          <w:color w:val="000000" w:themeColor="text1"/>
          <w:sz w:val="28"/>
          <w:szCs w:val="28"/>
          <w14:textFill>
            <w14:solidFill>
              <w14:schemeClr w14:val="tx1"/>
            </w14:solidFill>
          </w14:textFill>
        </w:rPr>
        <w:t>浙江省财政厅关于进一步加大政府采购支持中小企业力度助力扎实稳住经济的通知</w:t>
      </w:r>
      <w:r>
        <w:rPr>
          <w:rFonts w:hint="eastAsia" w:ascii="仿宋" w:hAnsi="仿宋" w:eastAsia="仿宋"/>
          <w:color w:val="000000" w:themeColor="text1"/>
          <w:sz w:val="28"/>
          <w:szCs w:val="28"/>
          <w14:textFill>
            <w14:solidFill>
              <w14:schemeClr w14:val="tx1"/>
            </w14:solidFill>
          </w14:textFill>
        </w:rPr>
        <w:t>》等相关规范，对预付款支付要求如下：</w:t>
      </w:r>
    </w:p>
    <w:p>
      <w:pPr>
        <w:pStyle w:val="31"/>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1.对中小企业合同预付款比例原则上不低于合同金额的40％，不高于合同金额的70%；</w:t>
      </w:r>
    </w:p>
    <w:p>
      <w:pPr>
        <w:pStyle w:val="31"/>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2.项目分年安排预算的，每年预付款比例不低于项目年度计划支付资金额的40％，不高于年度计划支付资金额的70%；</w:t>
      </w:r>
    </w:p>
    <w:p>
      <w:pPr>
        <w:pStyle w:val="31"/>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3.采购项目实施以人工投入为主的，可适当降低预付款比例，但不得低于20%。</w:t>
      </w:r>
    </w:p>
    <w:p>
      <w:pPr>
        <w:pStyle w:val="31"/>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4.对供应商为大型企业的项目或者以人工投入为主且实行按月定期结算支付款项的项目，预付款可低于上述比例或者不约定预付款。</w:t>
      </w:r>
    </w:p>
    <w:p>
      <w:pPr>
        <w:pStyle w:val="31"/>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备注：在签订合同时，供应商明确表示无需预付款或者主动要求降低预付款比例的，采购单位可不适用前述预付款比例的规定。</w:t>
      </w:r>
    </w:p>
    <w:p>
      <w:pPr>
        <w:pStyle w:val="31"/>
        <w:spacing w:before="156" w:after="156" w:line="360" w:lineRule="auto"/>
        <w:jc w:val="center"/>
        <w:outlineLvl w:val="0"/>
        <w:rPr>
          <w:rFonts w:hAnsi="宋体"/>
          <w:b/>
          <w:color w:val="000000" w:themeColor="text1"/>
          <w:sz w:val="36"/>
          <w:szCs w:val="36"/>
          <w14:textFill>
            <w14:solidFill>
              <w14:schemeClr w14:val="tx1"/>
            </w14:solidFill>
          </w14:textFill>
        </w:rPr>
      </w:pPr>
      <w:r>
        <w:rPr>
          <w:rFonts w:hint="eastAsia" w:hAnsi="宋体"/>
          <w:b/>
          <w:color w:val="000000" w:themeColor="text1"/>
          <w:kern w:val="0"/>
          <w:sz w:val="36"/>
          <w:szCs w:val="36"/>
          <w14:textFill>
            <w14:solidFill>
              <w14:schemeClr w14:val="tx1"/>
            </w14:solidFill>
          </w14:textFill>
        </w:rPr>
        <w:br w:type="page"/>
      </w:r>
      <w:bookmarkStart w:id="25" w:name="_Toc496796637"/>
      <w:bookmarkStart w:id="26" w:name="_Toc2834"/>
      <w:r>
        <w:rPr>
          <w:rFonts w:hint="eastAsia" w:hAnsi="宋体"/>
          <w:b/>
          <w:color w:val="000000" w:themeColor="text1"/>
          <w:sz w:val="36"/>
          <w:szCs w:val="36"/>
          <w14:textFill>
            <w14:solidFill>
              <w14:schemeClr w14:val="tx1"/>
            </w14:solidFill>
          </w14:textFill>
        </w:rPr>
        <w:t>第三章</w:t>
      </w:r>
      <w:bookmarkStart w:id="27" w:name="评标办法及评分标准"/>
      <w:r>
        <w:rPr>
          <w:rFonts w:hint="eastAsia" w:hAnsi="宋体"/>
          <w:b/>
          <w:color w:val="000000" w:themeColor="text1"/>
          <w:sz w:val="36"/>
          <w:szCs w:val="36"/>
          <w14:textFill>
            <w14:solidFill>
              <w14:schemeClr w14:val="tx1"/>
            </w14:solidFill>
          </w14:textFill>
        </w:rPr>
        <w:t>评标办法及评分标准</w:t>
      </w:r>
      <w:bookmarkEnd w:id="25"/>
      <w:bookmarkEnd w:id="26"/>
      <w:bookmarkEnd w:id="27"/>
    </w:p>
    <w:p>
      <w:pPr>
        <w:spacing w:before="156" w:beforeLines="50" w:after="156" w:afterLines="50" w:line="460" w:lineRule="exact"/>
        <w:ind w:firstLine="42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根据《中华人民共和国政府采购法》等有关法律法规，结合本项目的实际需求，制定本办法。</w:t>
      </w:r>
    </w:p>
    <w:p>
      <w:pPr>
        <w:spacing w:before="156" w:beforeLines="50" w:after="156" w:afterLines="50" w:line="460" w:lineRule="exact"/>
        <w:ind w:firstLine="590" w:firstLineChars="196"/>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一、总则</w:t>
      </w:r>
    </w:p>
    <w:p>
      <w:pPr>
        <w:spacing w:before="156" w:beforeLines="50" w:after="156" w:afterLines="50" w:line="460" w:lineRule="exact"/>
        <w:ind w:firstLine="600" w:firstLineChars="2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spacing w:before="156" w:beforeLines="50" w:after="156" w:afterLines="50" w:line="460" w:lineRule="exact"/>
        <w:ind w:firstLine="602" w:firstLineChars="200"/>
        <w:rPr>
          <w:rFonts w:hint="eastAsia"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lang w:val="en-US" w:eastAsia="zh-CN"/>
          <w14:textFill>
            <w14:solidFill>
              <w14:schemeClr w14:val="tx1"/>
            </w14:solidFill>
          </w14:textFill>
        </w:rPr>
        <w:t>中标候选人数量：1家</w:t>
      </w:r>
    </w:p>
    <w:p>
      <w:pPr>
        <w:spacing w:before="156" w:beforeLines="50" w:after="156" w:afterLines="50" w:line="460" w:lineRule="exact"/>
        <w:ind w:firstLine="590" w:firstLineChars="196"/>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二、分值的计算</w:t>
      </w:r>
    </w:p>
    <w:p>
      <w:pPr>
        <w:spacing w:before="156" w:beforeLines="50" w:after="156" w:afterLines="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技术、资信、商务及其他分按照评标委员会成员的独立评分结果汇总后的算术平均分计算，计算公式为：</w:t>
      </w:r>
    </w:p>
    <w:p>
      <w:pPr>
        <w:spacing w:before="156" w:beforeLines="50" w:after="156" w:afterLines="50" w:line="460" w:lineRule="exact"/>
        <w:ind w:firstLine="495"/>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技术、资信商务及其他分=评标委员会所有成员评分合计数/评标委员会组成人员数</w:t>
      </w:r>
    </w:p>
    <w:p>
      <w:pPr>
        <w:spacing w:before="156" w:beforeLines="50" w:after="156" w:afterLines="50" w:line="460" w:lineRule="exact"/>
        <w:ind w:firstLine="600" w:firstLineChars="200"/>
        <w:rPr>
          <w:rFonts w:ascii="仿宋" w:hAnsi="仿宋" w:eastAsia="仿宋"/>
          <w:bCs/>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投标人评标</w:t>
      </w:r>
      <w:r>
        <w:rPr>
          <w:rFonts w:hint="eastAsia" w:ascii="仿宋" w:hAnsi="仿宋" w:eastAsia="仿宋"/>
          <w:bCs/>
          <w:color w:val="000000" w:themeColor="text1"/>
          <w:sz w:val="30"/>
          <w:szCs w:val="30"/>
          <w14:textFill>
            <w14:solidFill>
              <w14:schemeClr w14:val="tx1"/>
            </w14:solidFill>
          </w14:textFill>
        </w:rPr>
        <w:t>综合得分=价格分+(技术分+资信商务及其他分)</w:t>
      </w:r>
    </w:p>
    <w:p>
      <w:pPr>
        <w:spacing w:before="156" w:beforeLines="50" w:after="156" w:afterLines="50" w:line="460" w:lineRule="exact"/>
        <w:ind w:firstLine="602" w:firstLineChars="200"/>
        <w:rPr>
          <w:rFonts w:ascii="仿宋" w:hAnsi="仿宋" w:eastAsia="仿宋"/>
          <w:b/>
          <w:bCs/>
          <w:color w:val="000000" w:themeColor="text1"/>
          <w:sz w:val="30"/>
          <w:szCs w:val="30"/>
          <w14:textFill>
            <w14:solidFill>
              <w14:schemeClr w14:val="tx1"/>
            </w14:solidFill>
          </w14:textFill>
        </w:rPr>
      </w:pPr>
    </w:p>
    <w:p>
      <w:pPr>
        <w:spacing w:before="156" w:beforeLines="50" w:after="156" w:afterLines="50" w:line="460" w:lineRule="exact"/>
        <w:ind w:firstLine="602" w:firstLineChars="200"/>
        <w:rPr>
          <w:rFonts w:ascii="仿宋" w:hAnsi="仿宋" w:eastAsia="仿宋"/>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特别提醒：</w:t>
      </w:r>
      <w:r>
        <w:rPr>
          <w:rFonts w:hint="eastAsia" w:ascii="仿宋" w:hAnsi="仿宋" w:eastAsia="仿宋"/>
          <w:bCs/>
          <w:color w:val="000000" w:themeColor="text1"/>
          <w:sz w:val="30"/>
          <w:szCs w:val="30"/>
          <w14:textFill>
            <w14:solidFill>
              <w14:schemeClr w14:val="tx1"/>
            </w14:solidFill>
          </w14:textFill>
        </w:rPr>
        <w:t>评标委员会对每个投标人的评分明细以及得分汇总表情况在中标公告中公布。</w:t>
      </w:r>
    </w:p>
    <w:p>
      <w:pPr>
        <w:spacing w:before="156" w:beforeLines="50" w:after="156" w:afterLines="50" w:line="460" w:lineRule="exact"/>
        <w:rPr>
          <w:rFonts w:ascii="仿宋" w:hAnsi="仿宋" w:eastAsiaTheme="minorEastAsia"/>
          <w:bCs/>
          <w:color w:val="000000" w:themeColor="text1"/>
          <w:sz w:val="30"/>
          <w:szCs w:val="30"/>
          <w14:textFill>
            <w14:solidFill>
              <w14:schemeClr w14:val="tx1"/>
            </w14:solidFill>
          </w14:textFill>
        </w:rPr>
      </w:pPr>
    </w:p>
    <w:p>
      <w:pPr>
        <w:spacing w:before="156" w:beforeLines="50" w:after="156" w:afterLines="50" w:line="320" w:lineRule="exact"/>
        <w:rPr>
          <w:rFonts w:ascii="仿宋" w:hAnsi="仿宋" w:eastAsia="仿宋_GB2312"/>
          <w:b/>
          <w:color w:val="000000" w:themeColor="text1"/>
          <w:sz w:val="30"/>
          <w:szCs w:val="30"/>
          <w14:textFill>
            <w14:solidFill>
              <w14:schemeClr w14:val="tx1"/>
            </w14:solidFill>
          </w14:textFill>
        </w:rPr>
      </w:pPr>
      <w:r>
        <w:rPr>
          <w:rFonts w:hint="eastAsia" w:ascii="仿宋" w:hAnsi="仿宋" w:eastAsia="仿宋_GB2312"/>
          <w:bCs/>
          <w:color w:val="000000" w:themeColor="text1"/>
          <w:kern w:val="0"/>
          <w:sz w:val="30"/>
          <w:szCs w:val="30"/>
          <w14:textFill>
            <w14:solidFill>
              <w14:schemeClr w14:val="tx1"/>
            </w14:solidFill>
          </w14:textFill>
        </w:rPr>
        <w:br w:type="page"/>
      </w:r>
      <w:r>
        <w:rPr>
          <w:rFonts w:hint="eastAsia" w:ascii="仿宋" w:hAnsi="仿宋" w:eastAsia="仿宋_GB2312"/>
          <w:b/>
          <w:color w:val="000000" w:themeColor="text1"/>
          <w:sz w:val="32"/>
          <w:szCs w:val="32"/>
          <w14:textFill>
            <w14:solidFill>
              <w14:schemeClr w14:val="tx1"/>
            </w14:solidFill>
          </w14:textFill>
        </w:rPr>
        <w:t>三、评标内容及标</w:t>
      </w:r>
      <w:r>
        <w:rPr>
          <w:rFonts w:hint="eastAsia" w:ascii="仿宋" w:hAnsi="仿宋" w:eastAsia="仿宋_GB2312"/>
          <w:b/>
          <w:color w:val="000000" w:themeColor="text1"/>
          <w:sz w:val="30"/>
          <w:szCs w:val="30"/>
          <w14:textFill>
            <w14:solidFill>
              <w14:schemeClr w14:val="tx1"/>
            </w14:solidFill>
          </w14:textFill>
        </w:rPr>
        <w:t>准</w:t>
      </w:r>
      <w:bookmarkStart w:id="28" w:name="_Toc496796638"/>
    </w:p>
    <w:tbl>
      <w:tblPr>
        <w:tblStyle w:val="60"/>
        <w:tblW w:w="514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991"/>
        <w:gridCol w:w="5043"/>
        <w:gridCol w:w="841"/>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bookmarkStart w:id="29" w:name="PO_TDCUS_ITEM_SM_TABLE_1_1"/>
            <w:r>
              <w:rPr>
                <w:rFonts w:hint="eastAsia" w:ascii="仿宋_GB2312" w:hAnsi="宋体" w:eastAsia="仿宋_GB2312"/>
                <w:b/>
                <w:color w:val="000000" w:themeColor="text1"/>
                <w:sz w:val="32"/>
                <w:szCs w:val="32"/>
                <w:vertAlign w:val="baseline"/>
                <w:lang w:eastAsia="zh-CN"/>
                <w14:textFill>
                  <w14:solidFill>
                    <w14:schemeClr w14:val="tx1"/>
                  </w14:solidFill>
                </w14:textFill>
              </w:rPr>
              <w:t>序号</w:t>
            </w:r>
          </w:p>
        </w:tc>
        <w:tc>
          <w:tcPr>
            <w:tcW w:w="564" w:type="pct"/>
          </w:tcPr>
          <w:p>
            <w:pPr>
              <w:spacing w:before="156" w:beforeLines="50" w:after="156" w:afterLines="50" w:line="340" w:lineRule="exact"/>
              <w:jc w:val="center"/>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评分类型</w:t>
            </w:r>
          </w:p>
        </w:tc>
        <w:tc>
          <w:tcPr>
            <w:tcW w:w="2874"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评分标准</w:t>
            </w:r>
          </w:p>
        </w:tc>
        <w:tc>
          <w:tcPr>
            <w:tcW w:w="479"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分值</w:t>
            </w:r>
          </w:p>
        </w:tc>
        <w:tc>
          <w:tcPr>
            <w:tcW w:w="734"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vertAlign w:val="baseline"/>
                <w:lang w:val="en-US" w:eastAsia="zh-CN"/>
                <w14:textFill>
                  <w14:solidFill>
                    <w14:schemeClr w14:val="tx1"/>
                  </w14:solidFill>
                </w14:textFill>
              </w:rPr>
              <w:t>打分</w:t>
            </w:r>
          </w:p>
          <w:p>
            <w:pPr>
              <w:spacing w:before="156" w:beforeLines="50" w:after="156" w:afterLines="50" w:line="340" w:lineRule="exact"/>
              <w:rPr>
                <w:rFonts w:hint="default" w:ascii="仿宋_GB2312" w:hAnsi="宋体" w:eastAsia="仿宋_GB2312"/>
                <w:b/>
                <w:color w:val="000000" w:themeColor="text1"/>
                <w:sz w:val="32"/>
                <w:szCs w:val="32"/>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vertAlign w:val="baseline"/>
                <w:lang w:val="en-US" w:eastAsia="zh-CN"/>
                <w14:textFill>
                  <w14:solidFill>
                    <w14:schemeClr w14:val="tx1"/>
                  </w14:solidFill>
                </w14:textFill>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1</w:t>
            </w:r>
          </w:p>
        </w:tc>
        <w:tc>
          <w:tcPr>
            <w:tcW w:w="564" w:type="pct"/>
          </w:tcPr>
          <w:p>
            <w:pPr>
              <w:spacing w:before="156" w:beforeLines="50" w:after="156" w:afterLines="50" w:line="340" w:lineRule="exact"/>
              <w:jc w:val="center"/>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报价</w:t>
            </w:r>
          </w:p>
        </w:tc>
        <w:tc>
          <w:tcPr>
            <w:tcW w:w="2874"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(评标基准价／有效投标报价)*最大分值</w:t>
            </w:r>
          </w:p>
        </w:tc>
        <w:tc>
          <w:tcPr>
            <w:tcW w:w="479"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10</w:t>
            </w:r>
          </w:p>
        </w:tc>
        <w:tc>
          <w:tcPr>
            <w:tcW w:w="734" w:type="pct"/>
          </w:tcPr>
          <w:p>
            <w:pPr>
              <w:spacing w:before="156" w:beforeLines="50" w:after="156" w:afterLines="50" w:line="340" w:lineRule="exact"/>
              <w:rPr>
                <w:rFonts w:hint="default" w:ascii="仿宋_GB2312" w:hAnsi="宋体" w:eastAsia="仿宋_GB2312"/>
                <w:b/>
                <w:color w:val="000000" w:themeColor="text1"/>
                <w:sz w:val="32"/>
                <w:szCs w:val="32"/>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1</w:t>
            </w:r>
          </w:p>
        </w:tc>
        <w:tc>
          <w:tcPr>
            <w:tcW w:w="564" w:type="pct"/>
          </w:tcPr>
          <w:p>
            <w:pPr>
              <w:spacing w:before="156" w:beforeLines="50" w:after="156" w:afterLines="50" w:line="340" w:lineRule="exact"/>
              <w:jc w:val="center"/>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技术</w:t>
            </w:r>
          </w:p>
        </w:tc>
        <w:tc>
          <w:tcPr>
            <w:tcW w:w="2874"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投标人对本项目特性、建筑特点、服务管理要求等多方面进行综合分析（2分），列出物业管理上的重点难点（2分），并提出科学合理的管理服务理念、服务定位和质量管理目标（2分）。</w:t>
            </w:r>
          </w:p>
        </w:tc>
        <w:tc>
          <w:tcPr>
            <w:tcW w:w="479"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6</w:t>
            </w:r>
          </w:p>
        </w:tc>
        <w:tc>
          <w:tcPr>
            <w:tcW w:w="734" w:type="pct"/>
          </w:tcPr>
          <w:p>
            <w:pPr>
              <w:spacing w:before="156" w:beforeLines="50" w:after="156" w:afterLines="50" w:line="340" w:lineRule="exact"/>
              <w:rPr>
                <w:rFonts w:hint="default" w:ascii="仿宋_GB2312" w:hAnsi="宋体" w:eastAsia="仿宋_GB2312"/>
                <w:b/>
                <w:color w:val="000000" w:themeColor="text1"/>
                <w:sz w:val="32"/>
                <w:szCs w:val="32"/>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vertAlign w:val="baseline"/>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2</w:t>
            </w:r>
          </w:p>
        </w:tc>
        <w:tc>
          <w:tcPr>
            <w:tcW w:w="564" w:type="pct"/>
          </w:tcPr>
          <w:p>
            <w:pPr>
              <w:spacing w:before="156" w:beforeLines="50" w:after="156" w:afterLines="50" w:line="340" w:lineRule="exact"/>
              <w:jc w:val="center"/>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技术</w:t>
            </w:r>
          </w:p>
        </w:tc>
        <w:tc>
          <w:tcPr>
            <w:tcW w:w="2874"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针对本项目特点及要求，提出环境卫生管理方案，包括但不限于办公楼内公共区域卫生（2分）、卫生间卫生（2分）、办公楼外公共区域卫生（2分）、垃圾分类清理清运（2分）、食堂油污清理（2分）等方案。</w:t>
            </w:r>
          </w:p>
        </w:tc>
        <w:tc>
          <w:tcPr>
            <w:tcW w:w="479"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10</w:t>
            </w:r>
          </w:p>
        </w:tc>
        <w:tc>
          <w:tcPr>
            <w:tcW w:w="734" w:type="pct"/>
          </w:tcPr>
          <w:p>
            <w:pPr>
              <w:spacing w:before="156" w:beforeLines="50" w:after="156" w:afterLines="50" w:line="340" w:lineRule="exact"/>
              <w:rPr>
                <w:rFonts w:hint="default" w:ascii="仿宋_GB2312" w:hAnsi="宋体" w:eastAsia="仿宋_GB2312"/>
                <w:b/>
                <w:color w:val="000000" w:themeColor="text1"/>
                <w:sz w:val="32"/>
                <w:szCs w:val="32"/>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vertAlign w:val="baseline"/>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3</w:t>
            </w:r>
          </w:p>
        </w:tc>
        <w:tc>
          <w:tcPr>
            <w:tcW w:w="564" w:type="pct"/>
          </w:tcPr>
          <w:p>
            <w:pPr>
              <w:spacing w:before="156" w:beforeLines="50" w:after="156" w:afterLines="50" w:line="340" w:lineRule="exact"/>
              <w:jc w:val="center"/>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技术</w:t>
            </w:r>
          </w:p>
        </w:tc>
        <w:tc>
          <w:tcPr>
            <w:tcW w:w="2874"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针对本项目设施设备特点及问题，提出包括但不限于给排水系统（2分）、供电系统（2分）、空调系统（2分）、消防监控系统（2分）、电梯（2分）的具体运行管理和维护维修方案。</w:t>
            </w:r>
          </w:p>
        </w:tc>
        <w:tc>
          <w:tcPr>
            <w:tcW w:w="479"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10</w:t>
            </w:r>
          </w:p>
        </w:tc>
        <w:tc>
          <w:tcPr>
            <w:tcW w:w="734" w:type="pct"/>
          </w:tcPr>
          <w:p>
            <w:pPr>
              <w:spacing w:before="156" w:beforeLines="50" w:after="156" w:afterLines="50" w:line="340" w:lineRule="exact"/>
              <w:rPr>
                <w:rFonts w:hint="default" w:ascii="仿宋_GB2312" w:hAnsi="宋体" w:eastAsia="仿宋_GB2312"/>
                <w:b/>
                <w:color w:val="000000" w:themeColor="text1"/>
                <w:sz w:val="32"/>
                <w:szCs w:val="32"/>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vertAlign w:val="baseline"/>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4</w:t>
            </w:r>
          </w:p>
        </w:tc>
        <w:tc>
          <w:tcPr>
            <w:tcW w:w="564" w:type="pct"/>
          </w:tcPr>
          <w:p>
            <w:pPr>
              <w:spacing w:before="156" w:beforeLines="50" w:after="156" w:afterLines="50" w:line="340" w:lineRule="exact"/>
              <w:jc w:val="center"/>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技术</w:t>
            </w:r>
          </w:p>
        </w:tc>
        <w:tc>
          <w:tcPr>
            <w:tcW w:w="2874"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针对本项目特点及要求，提出包括但不限于建筑屋面、墙面、地面的日常管理与维护维修方案（2分），家具、家电、门窗等设施检查维护维修方案（2分）。</w:t>
            </w:r>
          </w:p>
        </w:tc>
        <w:tc>
          <w:tcPr>
            <w:tcW w:w="479"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4</w:t>
            </w:r>
          </w:p>
        </w:tc>
        <w:tc>
          <w:tcPr>
            <w:tcW w:w="734" w:type="pct"/>
          </w:tcPr>
          <w:p>
            <w:pPr>
              <w:spacing w:before="156" w:beforeLines="50" w:after="156" w:afterLines="50" w:line="340" w:lineRule="exact"/>
              <w:rPr>
                <w:rFonts w:hint="default" w:ascii="仿宋_GB2312" w:hAnsi="宋体" w:eastAsia="仿宋_GB2312"/>
                <w:b/>
                <w:color w:val="000000" w:themeColor="text1"/>
                <w:sz w:val="32"/>
                <w:szCs w:val="32"/>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vertAlign w:val="baseline"/>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5</w:t>
            </w:r>
          </w:p>
        </w:tc>
        <w:tc>
          <w:tcPr>
            <w:tcW w:w="564" w:type="pct"/>
          </w:tcPr>
          <w:p>
            <w:pPr>
              <w:spacing w:before="156" w:beforeLines="50" w:after="156" w:afterLines="50" w:line="340" w:lineRule="exact"/>
              <w:jc w:val="center"/>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技术</w:t>
            </w:r>
          </w:p>
        </w:tc>
        <w:tc>
          <w:tcPr>
            <w:tcW w:w="2874"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针对本项目值班岗位特点及要求，提出门卫管理（2分）、巡视检查管理（2分）、消防、监控管理（2分）、消防、微型消防站管理（2分）、车辆管理（2分）等方案。</w:t>
            </w:r>
          </w:p>
        </w:tc>
        <w:tc>
          <w:tcPr>
            <w:tcW w:w="479"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10</w:t>
            </w:r>
          </w:p>
        </w:tc>
        <w:tc>
          <w:tcPr>
            <w:tcW w:w="734" w:type="pct"/>
          </w:tcPr>
          <w:p>
            <w:pPr>
              <w:spacing w:before="156" w:beforeLines="50" w:after="156" w:afterLines="50" w:line="340" w:lineRule="exact"/>
              <w:rPr>
                <w:rFonts w:hint="default" w:ascii="仿宋_GB2312" w:hAnsi="宋体" w:eastAsia="仿宋_GB2312"/>
                <w:b/>
                <w:color w:val="000000" w:themeColor="text1"/>
                <w:sz w:val="32"/>
                <w:szCs w:val="32"/>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vertAlign w:val="baseline"/>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6</w:t>
            </w:r>
          </w:p>
        </w:tc>
        <w:tc>
          <w:tcPr>
            <w:tcW w:w="564" w:type="pct"/>
          </w:tcPr>
          <w:p>
            <w:pPr>
              <w:spacing w:before="156" w:beforeLines="50" w:after="156" w:afterLines="50" w:line="340" w:lineRule="exact"/>
              <w:jc w:val="center"/>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技术</w:t>
            </w:r>
          </w:p>
        </w:tc>
        <w:tc>
          <w:tcPr>
            <w:tcW w:w="2874"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针对本项目特点和要求，提出应急管理方案（台风、暴雨、雪灾等灾害性天气及其他突发事件）（5分）及每年应急工作演练计划（3分）</w:t>
            </w:r>
          </w:p>
        </w:tc>
        <w:tc>
          <w:tcPr>
            <w:tcW w:w="479"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8</w:t>
            </w:r>
          </w:p>
        </w:tc>
        <w:tc>
          <w:tcPr>
            <w:tcW w:w="734" w:type="pct"/>
          </w:tcPr>
          <w:p>
            <w:pPr>
              <w:spacing w:before="156" w:beforeLines="50" w:after="156" w:afterLines="50" w:line="340" w:lineRule="exact"/>
              <w:rPr>
                <w:rFonts w:hint="default" w:ascii="仿宋_GB2312" w:hAnsi="宋体" w:eastAsia="仿宋_GB2312"/>
                <w:b/>
                <w:color w:val="000000" w:themeColor="text1"/>
                <w:sz w:val="32"/>
                <w:szCs w:val="32"/>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vertAlign w:val="baseline"/>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7</w:t>
            </w:r>
          </w:p>
        </w:tc>
        <w:tc>
          <w:tcPr>
            <w:tcW w:w="564" w:type="pct"/>
          </w:tcPr>
          <w:p>
            <w:pPr>
              <w:spacing w:before="156" w:beforeLines="50" w:after="156" w:afterLines="50" w:line="340" w:lineRule="exact"/>
              <w:jc w:val="center"/>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技术</w:t>
            </w:r>
          </w:p>
        </w:tc>
        <w:tc>
          <w:tcPr>
            <w:tcW w:w="2874"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针对本项目特点及要求，提出室内外绿化管理方案</w:t>
            </w:r>
          </w:p>
        </w:tc>
        <w:tc>
          <w:tcPr>
            <w:tcW w:w="479"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5</w:t>
            </w:r>
          </w:p>
        </w:tc>
        <w:tc>
          <w:tcPr>
            <w:tcW w:w="734" w:type="pct"/>
          </w:tcPr>
          <w:p>
            <w:pPr>
              <w:spacing w:before="156" w:beforeLines="50" w:after="156" w:afterLines="50" w:line="340" w:lineRule="exact"/>
              <w:rPr>
                <w:rFonts w:hint="default" w:ascii="仿宋_GB2312" w:hAnsi="宋体" w:eastAsia="仿宋_GB2312"/>
                <w:b/>
                <w:color w:val="000000" w:themeColor="text1"/>
                <w:sz w:val="32"/>
                <w:szCs w:val="32"/>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vertAlign w:val="baseline"/>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8</w:t>
            </w:r>
          </w:p>
        </w:tc>
        <w:tc>
          <w:tcPr>
            <w:tcW w:w="564" w:type="pct"/>
          </w:tcPr>
          <w:p>
            <w:pPr>
              <w:spacing w:before="156" w:beforeLines="50" w:after="156" w:afterLines="50" w:line="340" w:lineRule="exact"/>
              <w:jc w:val="center"/>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技术</w:t>
            </w:r>
          </w:p>
        </w:tc>
        <w:tc>
          <w:tcPr>
            <w:tcW w:w="2874"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针对本项目本项目特点及要求，提出食堂管理方案</w:t>
            </w:r>
          </w:p>
        </w:tc>
        <w:tc>
          <w:tcPr>
            <w:tcW w:w="479"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5</w:t>
            </w:r>
          </w:p>
        </w:tc>
        <w:tc>
          <w:tcPr>
            <w:tcW w:w="734" w:type="pct"/>
          </w:tcPr>
          <w:p>
            <w:pPr>
              <w:spacing w:before="156" w:beforeLines="50" w:after="156" w:afterLines="50" w:line="340" w:lineRule="exact"/>
              <w:rPr>
                <w:rFonts w:hint="default" w:ascii="仿宋_GB2312" w:hAnsi="宋体" w:eastAsia="仿宋_GB2312"/>
                <w:b/>
                <w:color w:val="000000" w:themeColor="text1"/>
                <w:sz w:val="32"/>
                <w:szCs w:val="32"/>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vertAlign w:val="baseline"/>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9</w:t>
            </w:r>
          </w:p>
        </w:tc>
        <w:tc>
          <w:tcPr>
            <w:tcW w:w="564" w:type="pct"/>
          </w:tcPr>
          <w:p>
            <w:pPr>
              <w:spacing w:before="156" w:beforeLines="50" w:after="156" w:afterLines="50" w:line="340" w:lineRule="exact"/>
              <w:jc w:val="center"/>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技术</w:t>
            </w:r>
          </w:p>
        </w:tc>
        <w:tc>
          <w:tcPr>
            <w:tcW w:w="2874"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拟任项目经理具有三年以上项目管理经验得1分，具有专科以上学历得1分，具有高压电工证得1分。须提供管理经验证明、相关资格证书复印件及社保证明。</w:t>
            </w:r>
          </w:p>
        </w:tc>
        <w:tc>
          <w:tcPr>
            <w:tcW w:w="479"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3</w:t>
            </w:r>
          </w:p>
        </w:tc>
        <w:tc>
          <w:tcPr>
            <w:tcW w:w="734" w:type="pct"/>
          </w:tcPr>
          <w:p>
            <w:pPr>
              <w:spacing w:before="156" w:beforeLines="50" w:after="156" w:afterLines="50" w:line="340" w:lineRule="exact"/>
              <w:rPr>
                <w:rFonts w:hint="default" w:ascii="仿宋_GB2312" w:hAnsi="宋体" w:eastAsia="仿宋_GB2312"/>
                <w:b/>
                <w:color w:val="000000" w:themeColor="text1"/>
                <w:sz w:val="32"/>
                <w:szCs w:val="32"/>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vertAlign w:val="baseline"/>
                <w:lang w:val="en-US" w:eastAsia="zh-CN"/>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10</w:t>
            </w:r>
          </w:p>
        </w:tc>
        <w:tc>
          <w:tcPr>
            <w:tcW w:w="564" w:type="pct"/>
          </w:tcPr>
          <w:p>
            <w:pPr>
              <w:spacing w:before="156" w:beforeLines="50" w:after="156" w:afterLines="50" w:line="340" w:lineRule="exact"/>
              <w:jc w:val="center"/>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技术</w:t>
            </w:r>
          </w:p>
        </w:tc>
        <w:tc>
          <w:tcPr>
            <w:tcW w:w="2874"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拟任保安主管具有保安证得1分，建(构)筑物消防员或消防设施操作员得1分。须提供资格证书复印件。</w:t>
            </w:r>
          </w:p>
        </w:tc>
        <w:tc>
          <w:tcPr>
            <w:tcW w:w="479"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2</w:t>
            </w:r>
          </w:p>
        </w:tc>
        <w:tc>
          <w:tcPr>
            <w:tcW w:w="734" w:type="pct"/>
          </w:tcPr>
          <w:p>
            <w:pPr>
              <w:spacing w:before="156" w:beforeLines="50" w:after="156" w:afterLines="50" w:line="340" w:lineRule="exact"/>
              <w:rPr>
                <w:rFonts w:hint="default" w:ascii="仿宋_GB2312" w:hAnsi="宋体" w:eastAsia="仿宋_GB2312"/>
                <w:b/>
                <w:color w:val="000000" w:themeColor="text1"/>
                <w:sz w:val="32"/>
                <w:szCs w:val="32"/>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vertAlign w:val="baseline"/>
                <w:lang w:val="en-US" w:eastAsia="zh-CN"/>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11</w:t>
            </w:r>
          </w:p>
        </w:tc>
        <w:tc>
          <w:tcPr>
            <w:tcW w:w="564" w:type="pct"/>
          </w:tcPr>
          <w:p>
            <w:pPr>
              <w:spacing w:before="156" w:beforeLines="50" w:after="156" w:afterLines="50" w:line="340" w:lineRule="exact"/>
              <w:jc w:val="center"/>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技术</w:t>
            </w:r>
          </w:p>
        </w:tc>
        <w:tc>
          <w:tcPr>
            <w:tcW w:w="2874"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投标人内部管理架构（附组织机构图）、人事管理及培训机制、员工权益保障机制等情况综合评审。</w:t>
            </w:r>
          </w:p>
        </w:tc>
        <w:tc>
          <w:tcPr>
            <w:tcW w:w="479"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5</w:t>
            </w:r>
          </w:p>
        </w:tc>
        <w:tc>
          <w:tcPr>
            <w:tcW w:w="734" w:type="pct"/>
          </w:tcPr>
          <w:p>
            <w:pPr>
              <w:spacing w:before="156" w:beforeLines="50" w:after="156" w:afterLines="50" w:line="340" w:lineRule="exact"/>
              <w:rPr>
                <w:rFonts w:hint="default" w:ascii="仿宋_GB2312" w:hAnsi="宋体" w:eastAsia="仿宋_GB2312"/>
                <w:b/>
                <w:color w:val="000000" w:themeColor="text1"/>
                <w:sz w:val="32"/>
                <w:szCs w:val="32"/>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vertAlign w:val="baseline"/>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12</w:t>
            </w:r>
          </w:p>
        </w:tc>
        <w:tc>
          <w:tcPr>
            <w:tcW w:w="564" w:type="pct"/>
          </w:tcPr>
          <w:p>
            <w:pPr>
              <w:spacing w:before="156" w:beforeLines="50" w:after="156" w:afterLines="50" w:line="340" w:lineRule="exact"/>
              <w:jc w:val="center"/>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技术</w:t>
            </w:r>
          </w:p>
        </w:tc>
        <w:tc>
          <w:tcPr>
            <w:tcW w:w="2874"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本项目所能提供的相关机械设备、器材、物资配备情况。注：需提供设备物资清单、相关证明资料等内容。</w:t>
            </w:r>
          </w:p>
        </w:tc>
        <w:tc>
          <w:tcPr>
            <w:tcW w:w="479"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5</w:t>
            </w:r>
          </w:p>
        </w:tc>
        <w:tc>
          <w:tcPr>
            <w:tcW w:w="734" w:type="pct"/>
          </w:tcPr>
          <w:p>
            <w:pPr>
              <w:spacing w:before="156" w:beforeLines="50" w:after="156" w:afterLines="50" w:line="340" w:lineRule="exact"/>
              <w:rPr>
                <w:rFonts w:hint="default" w:ascii="仿宋_GB2312" w:hAnsi="宋体" w:eastAsia="仿宋_GB2312"/>
                <w:b/>
                <w:color w:val="000000" w:themeColor="text1"/>
                <w:sz w:val="32"/>
                <w:szCs w:val="32"/>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vertAlign w:val="baseline"/>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13</w:t>
            </w:r>
          </w:p>
        </w:tc>
        <w:tc>
          <w:tcPr>
            <w:tcW w:w="564" w:type="pct"/>
          </w:tcPr>
          <w:p>
            <w:pPr>
              <w:spacing w:before="156" w:beforeLines="50" w:after="156" w:afterLines="50" w:line="340" w:lineRule="exact"/>
              <w:jc w:val="center"/>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技术</w:t>
            </w:r>
          </w:p>
        </w:tc>
        <w:tc>
          <w:tcPr>
            <w:tcW w:w="2874"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根据投标人对项目的合理化建议或做法综合评审。</w:t>
            </w:r>
          </w:p>
        </w:tc>
        <w:tc>
          <w:tcPr>
            <w:tcW w:w="479"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4</w:t>
            </w:r>
          </w:p>
        </w:tc>
        <w:tc>
          <w:tcPr>
            <w:tcW w:w="734" w:type="pct"/>
          </w:tcPr>
          <w:p>
            <w:pPr>
              <w:spacing w:before="156" w:beforeLines="50" w:after="156" w:afterLines="50" w:line="340" w:lineRule="exact"/>
              <w:rPr>
                <w:rFonts w:hint="default" w:ascii="仿宋_GB2312" w:hAnsi="宋体" w:eastAsia="仿宋_GB2312"/>
                <w:b/>
                <w:color w:val="000000" w:themeColor="text1"/>
                <w:sz w:val="32"/>
                <w:szCs w:val="32"/>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vertAlign w:val="baseline"/>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14</w:t>
            </w:r>
          </w:p>
        </w:tc>
        <w:tc>
          <w:tcPr>
            <w:tcW w:w="564" w:type="pct"/>
          </w:tcPr>
          <w:p>
            <w:pPr>
              <w:spacing w:before="156" w:beforeLines="50" w:after="156" w:afterLines="50" w:line="340" w:lineRule="exact"/>
              <w:jc w:val="center"/>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技术</w:t>
            </w:r>
          </w:p>
        </w:tc>
        <w:tc>
          <w:tcPr>
            <w:tcW w:w="2874"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投标人对本项目的过程管理、质量保证和其他方面等所做的承诺及保证措施等。</w:t>
            </w:r>
          </w:p>
        </w:tc>
        <w:tc>
          <w:tcPr>
            <w:tcW w:w="479"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3</w:t>
            </w:r>
          </w:p>
        </w:tc>
        <w:tc>
          <w:tcPr>
            <w:tcW w:w="734" w:type="pct"/>
          </w:tcPr>
          <w:p>
            <w:pPr>
              <w:spacing w:before="156" w:beforeLines="50" w:after="156" w:afterLines="50" w:line="340" w:lineRule="exact"/>
              <w:rPr>
                <w:rFonts w:hint="default" w:ascii="仿宋_GB2312" w:hAnsi="宋体" w:eastAsia="仿宋_GB2312"/>
                <w:b/>
                <w:color w:val="000000" w:themeColor="text1"/>
                <w:sz w:val="32"/>
                <w:szCs w:val="32"/>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vertAlign w:val="baseline"/>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15</w:t>
            </w:r>
          </w:p>
        </w:tc>
        <w:tc>
          <w:tcPr>
            <w:tcW w:w="564" w:type="pct"/>
          </w:tcPr>
          <w:p>
            <w:pPr>
              <w:spacing w:before="156" w:beforeLines="50" w:after="156" w:afterLines="50" w:line="340" w:lineRule="exact"/>
              <w:jc w:val="center"/>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技术</w:t>
            </w:r>
          </w:p>
        </w:tc>
        <w:tc>
          <w:tcPr>
            <w:tcW w:w="2874"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投标人整体服务方案对招标需求中各项内容应答完整齐全、表述准确（2分），与招标文件要求高度吻合（2分），内容无前后矛盾（1分）。</w:t>
            </w:r>
          </w:p>
        </w:tc>
        <w:tc>
          <w:tcPr>
            <w:tcW w:w="479"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5</w:t>
            </w:r>
          </w:p>
        </w:tc>
        <w:tc>
          <w:tcPr>
            <w:tcW w:w="734" w:type="pct"/>
          </w:tcPr>
          <w:p>
            <w:pPr>
              <w:spacing w:before="156" w:beforeLines="50" w:after="156" w:afterLines="50" w:line="340" w:lineRule="exact"/>
              <w:rPr>
                <w:rFonts w:hint="default" w:ascii="仿宋_GB2312" w:hAnsi="宋体" w:eastAsia="仿宋_GB2312"/>
                <w:b/>
                <w:color w:val="000000" w:themeColor="text1"/>
                <w:sz w:val="32"/>
                <w:szCs w:val="32"/>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vertAlign w:val="baseline"/>
                <w:lang w:val="en-US"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16</w:t>
            </w:r>
          </w:p>
        </w:tc>
        <w:tc>
          <w:tcPr>
            <w:tcW w:w="564" w:type="pct"/>
          </w:tcPr>
          <w:p>
            <w:pPr>
              <w:spacing w:before="156" w:beforeLines="50" w:after="156" w:afterLines="50" w:line="340" w:lineRule="exact"/>
              <w:jc w:val="center"/>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商务资信</w:t>
            </w:r>
          </w:p>
        </w:tc>
        <w:tc>
          <w:tcPr>
            <w:tcW w:w="2874"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2020年1月1日以来，投标方所管理的物业项目（非住宅）获得过行政部门颁发的荣誉提供一个得一分，得1分。需提供奖牌及证明文件复印件。</w:t>
            </w:r>
          </w:p>
        </w:tc>
        <w:tc>
          <w:tcPr>
            <w:tcW w:w="479"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1</w:t>
            </w:r>
          </w:p>
        </w:tc>
        <w:tc>
          <w:tcPr>
            <w:tcW w:w="734" w:type="pct"/>
          </w:tcPr>
          <w:p>
            <w:pPr>
              <w:spacing w:before="156" w:beforeLines="50" w:after="156" w:afterLines="50" w:line="340" w:lineRule="exact"/>
              <w:rPr>
                <w:rFonts w:hint="default" w:ascii="仿宋_GB2312" w:hAnsi="宋体" w:eastAsia="仿宋_GB2312"/>
                <w:b/>
                <w:color w:val="000000" w:themeColor="text1"/>
                <w:sz w:val="32"/>
                <w:szCs w:val="32"/>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vertAlign w:val="baseline"/>
                <w:lang w:val="en-US" w:eastAsia="zh-CN"/>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17</w:t>
            </w:r>
          </w:p>
        </w:tc>
        <w:tc>
          <w:tcPr>
            <w:tcW w:w="564" w:type="pct"/>
          </w:tcPr>
          <w:p>
            <w:pPr>
              <w:spacing w:before="156" w:beforeLines="50" w:after="156" w:afterLines="50" w:line="340" w:lineRule="exact"/>
              <w:jc w:val="center"/>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商务资信</w:t>
            </w:r>
          </w:p>
        </w:tc>
        <w:tc>
          <w:tcPr>
            <w:tcW w:w="2874"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投标人技术力量情况（详见商务要求表）</w:t>
            </w:r>
          </w:p>
        </w:tc>
        <w:tc>
          <w:tcPr>
            <w:tcW w:w="479"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3</w:t>
            </w:r>
          </w:p>
        </w:tc>
        <w:tc>
          <w:tcPr>
            <w:tcW w:w="734" w:type="pct"/>
          </w:tcPr>
          <w:p>
            <w:pPr>
              <w:spacing w:before="156" w:beforeLines="50" w:after="156" w:afterLines="50" w:line="340" w:lineRule="exact"/>
              <w:rPr>
                <w:rFonts w:hint="default" w:ascii="仿宋_GB2312" w:hAnsi="宋体" w:eastAsia="仿宋_GB2312"/>
                <w:b/>
                <w:color w:val="000000" w:themeColor="text1"/>
                <w:sz w:val="32"/>
                <w:szCs w:val="32"/>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vertAlign w:val="baseline"/>
                <w:lang w:val="en-US" w:eastAsia="zh-CN"/>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18</w:t>
            </w:r>
          </w:p>
        </w:tc>
        <w:tc>
          <w:tcPr>
            <w:tcW w:w="564" w:type="pct"/>
          </w:tcPr>
          <w:p>
            <w:pPr>
              <w:spacing w:before="156" w:beforeLines="50" w:after="156" w:afterLines="50" w:line="340" w:lineRule="exact"/>
              <w:jc w:val="center"/>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商务资信</w:t>
            </w:r>
          </w:p>
        </w:tc>
        <w:tc>
          <w:tcPr>
            <w:tcW w:w="2874"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经验或业绩要求（详见商务要求表）</w:t>
            </w:r>
          </w:p>
        </w:tc>
        <w:tc>
          <w:tcPr>
            <w:tcW w:w="479" w:type="pct"/>
          </w:tcPr>
          <w:p>
            <w:pPr>
              <w:spacing w:before="156" w:beforeLines="50" w:after="156" w:afterLines="50" w:line="340" w:lineRule="exact"/>
              <w:rPr>
                <w:rFonts w:hint="eastAsia" w:ascii="仿宋_GB2312" w:hAnsi="宋体" w:eastAsia="仿宋_GB2312"/>
                <w:b/>
                <w:color w:val="000000" w:themeColor="text1"/>
                <w:sz w:val="32"/>
                <w:szCs w:val="32"/>
                <w:vertAlign w:val="baseline"/>
                <w:lang w:eastAsia="zh-CN"/>
                <w14:textFill>
                  <w14:solidFill>
                    <w14:schemeClr w14:val="tx1"/>
                  </w14:solidFill>
                </w14:textFill>
              </w:rPr>
            </w:pPr>
            <w:r>
              <w:rPr>
                <w:rFonts w:hint="eastAsia" w:ascii="仿宋_GB2312" w:hAnsi="宋体" w:eastAsia="仿宋_GB2312"/>
                <w:b/>
                <w:color w:val="000000" w:themeColor="text1"/>
                <w:sz w:val="32"/>
                <w:szCs w:val="32"/>
                <w:vertAlign w:val="baseline"/>
                <w:lang w:eastAsia="zh-CN"/>
                <w14:textFill>
                  <w14:solidFill>
                    <w14:schemeClr w14:val="tx1"/>
                  </w14:solidFill>
                </w14:textFill>
              </w:rPr>
              <w:t>1</w:t>
            </w:r>
          </w:p>
        </w:tc>
        <w:tc>
          <w:tcPr>
            <w:tcW w:w="734" w:type="pct"/>
          </w:tcPr>
          <w:p>
            <w:pPr>
              <w:spacing w:before="156" w:beforeLines="50" w:after="156" w:afterLines="50" w:line="340" w:lineRule="exact"/>
              <w:rPr>
                <w:rFonts w:hint="default" w:ascii="仿宋_GB2312" w:hAnsi="宋体" w:eastAsia="仿宋_GB2312"/>
                <w:b/>
                <w:color w:val="000000" w:themeColor="text1"/>
                <w:sz w:val="32"/>
                <w:szCs w:val="32"/>
                <w:vertAlign w:val="baseline"/>
                <w:lang w:val="en-US" w:eastAsia="zh-CN"/>
                <w14:textFill>
                  <w14:solidFill>
                    <w14:schemeClr w14:val="tx1"/>
                  </w14:solidFill>
                </w14:textFill>
              </w:rPr>
            </w:pPr>
            <w:r>
              <w:rPr>
                <w:rFonts w:hint="eastAsia" w:ascii="仿宋_GB2312" w:hAnsi="宋体" w:eastAsia="仿宋_GB2312"/>
                <w:b/>
                <w:color w:val="000000" w:themeColor="text1"/>
                <w:sz w:val="32"/>
                <w:szCs w:val="32"/>
                <w:vertAlign w:val="baseline"/>
                <w:lang w:val="en-US" w:eastAsia="zh-CN"/>
                <w14:textFill>
                  <w14:solidFill>
                    <w14:schemeClr w14:val="tx1"/>
                  </w14:solidFill>
                </w14:textFill>
              </w:rPr>
              <w:t>客观分</w:t>
            </w:r>
          </w:p>
        </w:tc>
      </w:tr>
    </w:tbl>
    <w:p>
      <w:pPr>
        <w:spacing w:before="156" w:beforeLines="50" w:after="156" w:afterLines="50" w:line="340" w:lineRule="exact"/>
        <w:rPr>
          <w:rFonts w:hint="eastAsia" w:ascii="仿宋_GB2312" w:hAnsi="宋体" w:eastAsia="仿宋_GB2312"/>
          <w:b/>
          <w:color w:val="000000" w:themeColor="text1"/>
          <w:sz w:val="32"/>
          <w:szCs w:val="32"/>
          <w:lang w:eastAsia="zh-CN"/>
          <w14:textFill>
            <w14:solidFill>
              <w14:schemeClr w14:val="tx1"/>
            </w14:solidFill>
          </w14:textFill>
        </w:rPr>
      </w:pPr>
      <w:r>
        <w:rPr>
          <w:rFonts w:hint="eastAsia" w:ascii="仿宋_GB2312" w:hAnsi="宋体" w:eastAsia="仿宋_GB2312"/>
          <w:b/>
          <w:color w:val="000000" w:themeColor="text1"/>
          <w:sz w:val="32"/>
          <w:szCs w:val="32"/>
          <w:lang w:eastAsia="zh-CN"/>
          <w14:textFill>
            <w14:solidFill>
              <w14:schemeClr w14:val="tx1"/>
            </w14:solidFill>
          </w14:textFill>
        </w:rPr>
        <w:t xml:space="preserve"> </w:t>
      </w:r>
      <w:bookmarkEnd w:id="29"/>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center"/>
        <w:outlineLvl w:val="0"/>
        <w:rPr>
          <w:rFonts w:hAnsi="宋体"/>
          <w:b/>
          <w:color w:val="000000" w:themeColor="text1"/>
          <w:sz w:val="36"/>
          <w:szCs w:val="36"/>
          <w14:textFill>
            <w14:solidFill>
              <w14:schemeClr w14:val="tx1"/>
            </w14:solidFill>
          </w14:textFill>
        </w:rPr>
      </w:pPr>
    </w:p>
    <w:p>
      <w:pPr>
        <w:spacing w:after="312" w:afterLines="100" w:line="340" w:lineRule="exact"/>
        <w:jc w:val="both"/>
        <w:outlineLvl w:val="0"/>
        <w:rPr>
          <w:rFonts w:hAnsi="宋体"/>
          <w:b/>
          <w:color w:val="000000" w:themeColor="text1"/>
          <w:sz w:val="36"/>
          <w:szCs w:val="36"/>
          <w14:textFill>
            <w14:solidFill>
              <w14:schemeClr w14:val="tx1"/>
            </w14:solidFill>
          </w14:textFill>
        </w:rPr>
      </w:pPr>
    </w:p>
    <w:p>
      <w:pPr>
        <w:spacing w:after="312" w:afterLines="100" w:line="240" w:lineRule="auto"/>
        <w:jc w:val="center"/>
        <w:outlineLvl w:val="0"/>
        <w:rPr>
          <w:rFonts w:hint="eastAsia" w:hAnsi="宋体"/>
          <w:b/>
          <w:color w:val="000000" w:themeColor="text1"/>
          <w:sz w:val="36"/>
          <w:szCs w:val="36"/>
          <w14:textFill>
            <w14:solidFill>
              <w14:schemeClr w14:val="tx1"/>
            </w14:solidFill>
          </w14:textFill>
        </w:rPr>
      </w:pPr>
      <w:bookmarkStart w:id="30" w:name="_Toc24960"/>
    </w:p>
    <w:p>
      <w:pPr>
        <w:spacing w:after="312" w:afterLines="100" w:line="240" w:lineRule="auto"/>
        <w:jc w:val="center"/>
        <w:outlineLvl w:val="0"/>
        <w:rPr>
          <w:rFonts w:hint="eastAsia" w:hAnsi="宋体"/>
          <w:b/>
          <w:color w:val="000000" w:themeColor="text1"/>
          <w:sz w:val="36"/>
          <w:szCs w:val="36"/>
          <w14:textFill>
            <w14:solidFill>
              <w14:schemeClr w14:val="tx1"/>
            </w14:solidFill>
          </w14:textFill>
        </w:rPr>
      </w:pPr>
    </w:p>
    <w:p>
      <w:pPr>
        <w:spacing w:after="312" w:afterLines="100" w:line="240" w:lineRule="auto"/>
        <w:jc w:val="center"/>
        <w:outlineLvl w:val="0"/>
        <w:rPr>
          <w:rFonts w:hint="eastAsia" w:hAnsi="宋体"/>
          <w:b/>
          <w:color w:val="000000" w:themeColor="text1"/>
          <w:sz w:val="36"/>
          <w:szCs w:val="36"/>
          <w14:textFill>
            <w14:solidFill>
              <w14:schemeClr w14:val="tx1"/>
            </w14:solidFill>
          </w14:textFill>
        </w:rPr>
      </w:pPr>
    </w:p>
    <w:p>
      <w:pPr>
        <w:spacing w:after="312" w:afterLines="100" w:line="240" w:lineRule="auto"/>
        <w:jc w:val="center"/>
        <w:outlineLvl w:val="0"/>
        <w:rPr>
          <w:rFonts w:hint="eastAsia" w:hAnsi="宋体"/>
          <w:b/>
          <w:color w:val="000000" w:themeColor="text1"/>
          <w:sz w:val="36"/>
          <w:szCs w:val="36"/>
          <w14:textFill>
            <w14:solidFill>
              <w14:schemeClr w14:val="tx1"/>
            </w14:solidFill>
          </w14:textFill>
        </w:rPr>
      </w:pPr>
    </w:p>
    <w:p>
      <w:pPr>
        <w:spacing w:after="312" w:afterLines="100" w:line="240" w:lineRule="auto"/>
        <w:jc w:val="center"/>
        <w:outlineLvl w:val="0"/>
        <w:rPr>
          <w:rFonts w:hint="eastAsia" w:hAnsi="宋体"/>
          <w:b/>
          <w:color w:val="000000" w:themeColor="text1"/>
          <w:sz w:val="36"/>
          <w:szCs w:val="36"/>
          <w14:textFill>
            <w14:solidFill>
              <w14:schemeClr w14:val="tx1"/>
            </w14:solidFill>
          </w14:textFill>
        </w:rPr>
      </w:pPr>
    </w:p>
    <w:p>
      <w:pPr>
        <w:spacing w:after="312" w:afterLines="100" w:line="240" w:lineRule="auto"/>
        <w:jc w:val="center"/>
        <w:outlineLvl w:val="0"/>
        <w:rPr>
          <w:rFonts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t>第四章招标需求</w:t>
      </w:r>
      <w:bookmarkEnd w:id="28"/>
      <w:bookmarkEnd w:id="30"/>
    </w:p>
    <w:p>
      <w:pPr>
        <w:snapToGrid w:val="0"/>
        <w:spacing w:before="156" w:beforeLines="50" w:after="156" w:afterLines="50"/>
        <w:rPr>
          <w:rFonts w:ascii="宋体" w:hAnsi="宋体" w:eastAsiaTheme="minorEastAsia"/>
          <w:b/>
          <w:color w:val="000000" w:themeColor="text1"/>
          <w:spacing w:val="40"/>
          <w:kern w:val="0"/>
          <w:sz w:val="36"/>
          <w:szCs w:val="36"/>
          <w14:textFill>
            <w14:solidFill>
              <w14:schemeClr w14:val="tx1"/>
            </w14:solidFill>
          </w14:textFill>
        </w:rPr>
      </w:pPr>
    </w:p>
    <w:p>
      <w:pPr>
        <w:snapToGrid w:val="0"/>
        <w:spacing w:before="156" w:beforeLines="50" w:after="156" w:afterLines="50"/>
        <w:rPr>
          <w:rFonts w:ascii="仿宋" w:hAnsi="仿宋" w:eastAsia="仿宋"/>
          <w:b/>
          <w:color w:val="000000" w:themeColor="text1"/>
          <w:spacing w:val="40"/>
          <w:kern w:val="0"/>
          <w:sz w:val="28"/>
          <w:szCs w:val="28"/>
          <w14:textFill>
            <w14:solidFill>
              <w14:schemeClr w14:val="tx1"/>
            </w14:solidFill>
          </w14:textFill>
        </w:rPr>
      </w:pPr>
      <w:r>
        <w:rPr>
          <w:rFonts w:hint="eastAsia" w:ascii="仿宋" w:hAnsi="仿宋" w:eastAsia="仿宋"/>
          <w:b/>
          <w:color w:val="000000" w:themeColor="text1"/>
          <w:spacing w:val="40"/>
          <w:kern w:val="0"/>
          <w:sz w:val="28"/>
          <w:szCs w:val="28"/>
          <w14:textFill>
            <w14:solidFill>
              <w14:schemeClr w14:val="tx1"/>
            </w14:solidFill>
          </w14:textFill>
        </w:rPr>
        <w:t>特别说明：</w:t>
      </w: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1.除采购文件明确的品牌外，欢迎其他能满足本项目技术需求且性能与所明确品牌相当的产品参加。</w:t>
      </w: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2.需求中不允许偏离的实质性要求和条件，以“▲”号标明，如投标人未响应的，将被视为无效。</w:t>
      </w:r>
    </w:p>
    <w:p>
      <w:pPr>
        <w:spacing w:line="360" w:lineRule="auto"/>
        <w:ind w:firstLine="562" w:firstLineChars="200"/>
        <w:rPr>
          <w:rFonts w:ascii="仿宋" w:hAnsi="仿宋" w:eastAsia="仿宋_GB2312"/>
          <w:b/>
          <w:color w:val="000000" w:themeColor="text1"/>
          <w:sz w:val="30"/>
          <w:szCs w:val="30"/>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3.核心产品在各标项内容中明确，如出现同品牌情况的，评标委员会根据评审原则第4条规定执行</w:t>
      </w:r>
      <w:r>
        <w:rPr>
          <w:rFonts w:hint="eastAsia" w:ascii="仿宋" w:hAnsi="仿宋" w:eastAsia="仿宋_GB2312"/>
          <w:b/>
          <w:color w:val="000000" w:themeColor="text1"/>
          <w:sz w:val="30"/>
          <w:szCs w:val="30"/>
          <w14:textFill>
            <w14:solidFill>
              <w14:schemeClr w14:val="tx1"/>
            </w14:solidFill>
          </w14:textFill>
        </w:rPr>
        <w:t>。</w:t>
      </w: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5</w:t>
      </w:r>
      <w:r>
        <w:rPr>
          <w:rFonts w:ascii="仿宋" w:hAnsi="仿宋" w:eastAsia="仿宋"/>
          <w:b/>
          <w:color w:val="000000" w:themeColor="text1"/>
          <w:sz w:val="28"/>
          <w:szCs w:val="28"/>
          <w14:textFill>
            <w14:solidFill>
              <w14:schemeClr w14:val="tx1"/>
            </w14:solidFill>
          </w14:textFill>
        </w:rPr>
        <w:t>.</w:t>
      </w:r>
      <w:r>
        <w:rPr>
          <w:rFonts w:hint="eastAsia" w:ascii="仿宋" w:hAnsi="仿宋" w:eastAsia="仿宋"/>
          <w:b/>
          <w:color w:val="000000" w:themeColor="text1"/>
          <w:sz w:val="28"/>
          <w:szCs w:val="28"/>
          <w14:textFill>
            <w14:solidFill>
              <w14:schemeClr w14:val="tx1"/>
            </w14:solidFill>
          </w14:textFill>
        </w:rPr>
        <w:t xml:space="preserve"> 投标人投标产品规格型号与官网公布的产品规格型号一致，但技术参数不一致的，应当在投标文件中阐述技术参数不一致的原因，以及通过何种技术路线来实现投标产品技术参数。投标人未作说明的，评标委员会有权对该投标文件作出不利于投标人的评判。</w:t>
      </w:r>
    </w:p>
    <w:p>
      <w:pPr>
        <w:spacing w:line="360" w:lineRule="auto"/>
        <w:ind w:firstLine="562" w:firstLineChars="200"/>
        <w:rPr>
          <w:rFonts w:hint="eastAsia" w:ascii="仿宋_GB2312" w:hAnsi="仿宋_GB2312" w:eastAsia="仿宋_GB2312" w:cs="仿宋_GB2312"/>
          <w:sz w:val="32"/>
          <w:szCs w:val="32"/>
        </w:rPr>
      </w:pPr>
      <w:r>
        <w:rPr>
          <w:rFonts w:ascii="仿宋" w:hAnsi="仿宋" w:eastAsia="仿宋"/>
          <w:b/>
          <w:color w:val="000000" w:themeColor="text1"/>
          <w:sz w:val="28"/>
          <w:szCs w:val="28"/>
          <w14:textFill>
            <w14:solidFill>
              <w14:schemeClr w14:val="tx1"/>
            </w14:solidFill>
          </w14:textFill>
        </w:rPr>
        <w:t>6.</w:t>
      </w:r>
      <w:r>
        <w:rPr>
          <w:rFonts w:hint="eastAsia" w:ascii="仿宋" w:hAnsi="仿宋" w:eastAsia="仿宋"/>
          <w:b/>
          <w:color w:val="000000" w:themeColor="text1"/>
          <w:sz w:val="28"/>
          <w:szCs w:val="28"/>
          <w14:textFill>
            <w14:solidFill>
              <w14:schemeClr w14:val="tx1"/>
            </w14:solidFill>
          </w14:textFill>
        </w:rPr>
        <w:t>供应商承诺提供赠品、回扣、采购预算中本身不包含的其他商品或服务，视作无效承诺。</w:t>
      </w:r>
      <w:bookmarkStart w:id="31" w:name="PO_TDCUS_ITEM_PB_REQ_FILE_1_1_0"/>
      <w:bookmarkStart w:id="32" w:name="_Toc496796639"/>
    </w:p>
    <w:bookmarkEnd w:id="31"/>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bookmarkStart w:id="33" w:name="_Toc2630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w:t>
      </w:r>
      <w:r>
        <w:rPr>
          <w:rFonts w:hint="eastAsia" w:ascii="黑体" w:hAnsi="黑体" w:eastAsia="黑体" w:cs="黑体"/>
          <w:sz w:val="32"/>
          <w:szCs w:val="32"/>
        </w:rPr>
        <w:t>物业项目概况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项目位于上城区复兴路397号,地上共十层建筑面积 7470.63 ㎡,阳光房露台面积约为756㎡，庭院面积约为 2394㎡，地下两层面积约为3739㎡，合计面积为14,359.63㎡（具体以实际面积为准）；大楼共设置日立电梯3台，大金中央空调系统、消防灭火系统、监控系统、箱变供电系统、生活水泵系统等设施。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二、委托管理内容（包括且不仅限于以下）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（一）清卫保洁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1.服务内容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包括室内外公共区域的保洁、清洁、消毒、杀虫、灭鼠、垃圾清运、</w:t>
      </w:r>
      <w:r>
        <w:rPr>
          <w:rFonts w:hint="eastAsia" w:ascii="仿宋_GB2312" w:hAnsi="仿宋_GB2312" w:eastAsia="仿宋_GB2312" w:cs="仿宋_GB2312"/>
          <w:sz w:val="32"/>
          <w:szCs w:val="32"/>
          <w:lang w:eastAsia="zh-CN"/>
        </w:rPr>
        <w:t>大楼外立面</w:t>
      </w:r>
      <w:r>
        <w:rPr>
          <w:rFonts w:hint="eastAsia" w:ascii="仿宋_GB2312" w:hAnsi="仿宋_GB2312" w:eastAsia="仿宋_GB2312" w:cs="仿宋_GB2312"/>
          <w:sz w:val="32"/>
          <w:szCs w:val="32"/>
        </w:rPr>
        <w:t>清洗、水池化粪池清洗、管道</w:t>
      </w:r>
      <w:r>
        <w:rPr>
          <w:rFonts w:hint="eastAsia" w:ascii="仿宋_GB2312" w:hAnsi="仿宋_GB2312" w:eastAsia="仿宋_GB2312" w:cs="仿宋_GB2312"/>
          <w:sz w:val="32"/>
          <w:szCs w:val="32"/>
          <w:lang w:eastAsia="zh-CN"/>
        </w:rPr>
        <w:t>窨</w:t>
      </w:r>
      <w:r>
        <w:rPr>
          <w:rFonts w:hint="eastAsia" w:ascii="仿宋_GB2312" w:hAnsi="仿宋_GB2312" w:eastAsia="仿宋_GB2312" w:cs="仿宋_GB2312"/>
          <w:sz w:val="32"/>
          <w:szCs w:val="32"/>
        </w:rPr>
        <w:t>井疏通等。负责办公楼内楼梯、大厅、走廊、电梯间、卫生间、公共活动场所和办公楼室外广场、道路、停车场（库）、“门前三包”等公共区域的清卫保洁以及垃圾、废弃物清理等。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2.服务质量标准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（1）办公楼内公共区域的地面、墙面、楼梯、扶手、大厅、玻璃、走廊等整洁干净，无垃圾、无积灰、无污渍、无手印。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（2）办公楼内卫生间地面清洁无异味，物品摆放有序</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无垃圾、无污迹、无积水、无堆积杂物，洁具、台面、镜面光洁无水迹，电器设施外观清洁。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（3）办公楼室外广场、道路、停车场（库），“门前三包”等公共区域的地面干净无杂物、无积水和淤泥、污垢。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（4）垃圾、废弃物按分类要求及时收集，日产日清；化粪池及时清掏，保持常年清洁；垃圾箱（房）外侧表面清洁，内侧无残留物，无异味；生活水泵房水箱每季度清洗一次。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（1）公共区域及办公室卫生纸（</w:t>
      </w:r>
      <w:r>
        <w:rPr>
          <w:rFonts w:hint="eastAsia" w:ascii="仿宋_GB2312" w:hAnsi="仿宋_GB2312" w:eastAsia="仿宋_GB2312" w:cs="仿宋_GB2312"/>
          <w:sz w:val="32"/>
          <w:szCs w:val="32"/>
          <w:highlight w:val="none"/>
          <w:lang w:val="en-US" w:eastAsia="zh-CN"/>
        </w:rPr>
        <w:t>参考品牌：</w:t>
      </w:r>
      <w:r>
        <w:rPr>
          <w:rFonts w:hint="eastAsia" w:ascii="仿宋_GB2312" w:hAnsi="仿宋_GB2312" w:eastAsia="仿宋_GB2312" w:cs="仿宋_GB2312"/>
          <w:sz w:val="32"/>
          <w:szCs w:val="32"/>
          <w:highlight w:val="none"/>
        </w:rPr>
        <w:t>维达</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心相印</w:t>
      </w:r>
      <w:r>
        <w:rPr>
          <w:rFonts w:hint="eastAsia" w:ascii="仿宋_GB2312" w:hAnsi="仿宋_GB2312" w:eastAsia="仿宋_GB2312" w:cs="仿宋_GB2312"/>
          <w:sz w:val="32"/>
          <w:szCs w:val="32"/>
          <w:highlight w:val="none"/>
          <w:lang w:eastAsia="zh-CN"/>
        </w:rPr>
        <w:t>或清风</w:t>
      </w:r>
      <w:r>
        <w:rPr>
          <w:rFonts w:hint="eastAsia" w:ascii="仿宋_GB2312" w:hAnsi="仿宋_GB2312" w:eastAsia="仿宋_GB2312" w:cs="仿宋_GB2312"/>
          <w:sz w:val="32"/>
          <w:szCs w:val="32"/>
          <w:highlight w:val="none"/>
        </w:rPr>
        <w:t>）、洗手液（</w:t>
      </w:r>
      <w:r>
        <w:rPr>
          <w:rFonts w:hint="eastAsia" w:ascii="仿宋_GB2312" w:hAnsi="仿宋_GB2312" w:eastAsia="仿宋_GB2312" w:cs="仿宋_GB2312"/>
          <w:sz w:val="32"/>
          <w:szCs w:val="32"/>
          <w:highlight w:val="none"/>
          <w:lang w:val="en-US" w:eastAsia="zh-CN"/>
        </w:rPr>
        <w:t>参考品牌：</w:t>
      </w:r>
      <w:r>
        <w:rPr>
          <w:rFonts w:hint="eastAsia" w:ascii="仿宋_GB2312" w:hAnsi="仿宋_GB2312" w:eastAsia="仿宋_GB2312" w:cs="仿宋_GB2312"/>
          <w:sz w:val="32"/>
          <w:szCs w:val="32"/>
          <w:highlight w:val="none"/>
        </w:rPr>
        <w:t>蓝月亮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威露士</w:t>
      </w:r>
      <w:r>
        <w:rPr>
          <w:rFonts w:hint="eastAsia" w:ascii="仿宋_GB2312" w:hAnsi="仿宋_GB2312" w:eastAsia="仿宋_GB2312" w:cs="仿宋_GB2312"/>
          <w:sz w:val="32"/>
          <w:szCs w:val="32"/>
          <w:highlight w:val="none"/>
          <w:lang w:eastAsia="zh-CN"/>
        </w:rPr>
        <w:t>或舒肤佳</w:t>
      </w:r>
      <w:r>
        <w:rPr>
          <w:rFonts w:hint="eastAsia" w:ascii="仿宋_GB2312" w:hAnsi="仿宋_GB2312" w:eastAsia="仿宋_GB2312" w:cs="仿宋_GB2312"/>
          <w:sz w:val="32"/>
          <w:szCs w:val="32"/>
          <w:highlight w:val="none"/>
        </w:rPr>
        <w:t>）、擦手纸（</w:t>
      </w:r>
      <w:r>
        <w:rPr>
          <w:rFonts w:hint="eastAsia" w:ascii="仿宋_GB2312" w:hAnsi="仿宋_GB2312" w:eastAsia="仿宋_GB2312" w:cs="仿宋_GB2312"/>
          <w:sz w:val="32"/>
          <w:szCs w:val="32"/>
          <w:highlight w:val="none"/>
          <w:lang w:val="en-US" w:eastAsia="zh-CN"/>
        </w:rPr>
        <w:t>参考品牌：</w:t>
      </w:r>
      <w:r>
        <w:rPr>
          <w:rFonts w:hint="eastAsia" w:ascii="仿宋_GB2312" w:hAnsi="仿宋_GB2312" w:eastAsia="仿宋_GB2312" w:cs="仿宋_GB2312"/>
          <w:sz w:val="32"/>
          <w:szCs w:val="32"/>
          <w:highlight w:val="none"/>
        </w:rPr>
        <w:t>维达</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心相印</w:t>
      </w:r>
      <w:r>
        <w:rPr>
          <w:rFonts w:hint="eastAsia" w:ascii="仿宋_GB2312" w:hAnsi="仿宋_GB2312" w:eastAsia="仿宋_GB2312" w:cs="仿宋_GB2312"/>
          <w:sz w:val="32"/>
          <w:szCs w:val="32"/>
          <w:highlight w:val="none"/>
          <w:lang w:eastAsia="zh-CN"/>
        </w:rPr>
        <w:t>或清风</w:t>
      </w:r>
      <w:r>
        <w:rPr>
          <w:rFonts w:hint="eastAsia" w:ascii="仿宋_GB2312" w:hAnsi="仿宋_GB2312" w:eastAsia="仿宋_GB2312" w:cs="仿宋_GB2312"/>
          <w:sz w:val="32"/>
          <w:szCs w:val="32"/>
          <w:highlight w:val="none"/>
        </w:rPr>
        <w:t>）、洁厕灵（</w:t>
      </w:r>
      <w:r>
        <w:rPr>
          <w:rFonts w:hint="eastAsia" w:ascii="仿宋_GB2312" w:hAnsi="仿宋_GB2312" w:eastAsia="仿宋_GB2312" w:cs="仿宋_GB2312"/>
          <w:sz w:val="32"/>
          <w:szCs w:val="32"/>
          <w:highlight w:val="none"/>
          <w:lang w:val="en-US" w:eastAsia="zh-CN"/>
        </w:rPr>
        <w:t>参考品牌：</w:t>
      </w:r>
      <w:r>
        <w:rPr>
          <w:rFonts w:hint="eastAsia" w:ascii="仿宋_GB2312" w:hAnsi="仿宋_GB2312" w:eastAsia="仿宋_GB2312" w:cs="仿宋_GB2312"/>
          <w:sz w:val="32"/>
          <w:szCs w:val="32"/>
          <w:highlight w:val="none"/>
        </w:rPr>
        <w:t>蓝月亮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威露士</w:t>
      </w:r>
      <w:r>
        <w:rPr>
          <w:rFonts w:hint="eastAsia" w:ascii="仿宋_GB2312" w:hAnsi="仿宋_GB2312" w:eastAsia="仿宋_GB2312" w:cs="仿宋_GB2312"/>
          <w:sz w:val="32"/>
          <w:szCs w:val="32"/>
          <w:highlight w:val="none"/>
          <w:lang w:eastAsia="zh-CN"/>
        </w:rPr>
        <w:t>或超威</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等清洁材料、清洁工具，办公楼及兑奖大厅迎宾垫（每季度更换一次）等低值易耗品均由</w:t>
      </w:r>
      <w:r>
        <w:rPr>
          <w:rFonts w:hint="eastAsia" w:ascii="仿宋_GB2312" w:hAnsi="仿宋_GB2312" w:eastAsia="仿宋_GB2312" w:cs="仿宋_GB2312"/>
          <w:sz w:val="32"/>
          <w:szCs w:val="32"/>
          <w:lang w:eastAsia="zh-CN"/>
        </w:rPr>
        <w:t>包含在报价中</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（2）每日垃圾</w:t>
      </w:r>
      <w:r>
        <w:rPr>
          <w:rFonts w:hint="eastAsia" w:ascii="仿宋_GB2312" w:hAnsi="仿宋_GB2312" w:eastAsia="仿宋_GB2312" w:cs="仿宋_GB2312"/>
          <w:sz w:val="32"/>
          <w:szCs w:val="32"/>
          <w:lang w:eastAsia="zh-CN"/>
        </w:rPr>
        <w:t>、日常产生的建筑垃圾</w:t>
      </w:r>
      <w:r>
        <w:rPr>
          <w:rFonts w:hint="eastAsia" w:ascii="仿宋_GB2312" w:hAnsi="仿宋_GB2312" w:eastAsia="仿宋_GB2312" w:cs="仿宋_GB2312"/>
          <w:sz w:val="32"/>
          <w:szCs w:val="32"/>
        </w:rPr>
        <w:t>清运，每季度化粪池清淤，</w:t>
      </w:r>
      <w:r>
        <w:rPr>
          <w:rFonts w:hint="eastAsia" w:ascii="仿宋_GB2312" w:hAnsi="仿宋_GB2312" w:eastAsia="仿宋_GB2312" w:cs="仿宋_GB2312"/>
          <w:sz w:val="32"/>
          <w:szCs w:val="32"/>
          <w:lang w:eastAsia="zh-CN"/>
        </w:rPr>
        <w:t>每月</w:t>
      </w:r>
      <w:r>
        <w:rPr>
          <w:rFonts w:hint="eastAsia" w:ascii="仿宋_GB2312" w:hAnsi="仿宋_GB2312" w:eastAsia="仿宋_GB2312" w:cs="仿宋_GB2312"/>
          <w:sz w:val="32"/>
          <w:szCs w:val="32"/>
        </w:rPr>
        <w:t>窨井、明沟、垃圾房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厨房及餐厅</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消</w:t>
      </w:r>
      <w:r>
        <w:rPr>
          <w:rFonts w:hint="eastAsia" w:ascii="仿宋_GB2312" w:hAnsi="仿宋_GB2312" w:eastAsia="仿宋_GB2312" w:cs="仿宋_GB2312"/>
          <w:sz w:val="32"/>
          <w:szCs w:val="32"/>
          <w:lang w:eastAsia="zh-CN"/>
        </w:rPr>
        <w:t>毒灭害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厨房废弃油脂收运费，</w:t>
      </w:r>
      <w:r>
        <w:rPr>
          <w:rFonts w:hint="eastAsia" w:ascii="仿宋_GB2312" w:hAnsi="仿宋_GB2312" w:eastAsia="仿宋_GB2312" w:cs="仿宋_GB2312"/>
          <w:sz w:val="32"/>
          <w:szCs w:val="32"/>
        </w:rPr>
        <w:t>中心大楼外立面委托专业机构清洗</w:t>
      </w:r>
      <w:r>
        <w:rPr>
          <w:rFonts w:hint="eastAsia" w:ascii="仿宋_GB2312" w:hAnsi="仿宋_GB2312" w:eastAsia="仿宋_GB2312" w:cs="仿宋_GB2312"/>
          <w:sz w:val="32"/>
          <w:szCs w:val="32"/>
          <w:lang w:eastAsia="zh-CN"/>
        </w:rPr>
        <w:t>二次</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）办公楼大理石材、釉面等公共区域半年一次清洁、抛光、打蜡。</w:t>
      </w:r>
    </w:p>
    <w:p>
      <w:pPr>
        <w:pStyle w:val="38"/>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（4）食堂燃气灶具、油烟机、净化器委托专业机构清洗两次。</w:t>
      </w:r>
    </w:p>
    <w:p>
      <w:pPr>
        <w:pStyle w:val="38"/>
        <w:ind w:firstLine="640"/>
        <w:rPr>
          <w:rFonts w:hint="eastAsia"/>
          <w:highlight w:val="none"/>
          <w:lang w:val="en-US" w:eastAsia="zh-CN"/>
        </w:rPr>
      </w:pPr>
      <w:r>
        <w:rPr>
          <w:rFonts w:hint="eastAsia" w:ascii="仿宋_GB2312" w:hAnsi="仿宋_GB2312" w:eastAsia="仿宋_GB2312" w:cs="仿宋_GB2312"/>
          <w:sz w:val="32"/>
          <w:szCs w:val="32"/>
          <w:highlight w:val="none"/>
          <w:lang w:val="en-US" w:eastAsia="zh-CN"/>
        </w:rPr>
        <w:t>（5）委托专业公司负责雨水污水管道维护保养、疏通清洗、每季度一次，</w:t>
      </w:r>
      <w:r>
        <w:rPr>
          <w:rFonts w:hint="eastAsia" w:ascii="仿宋_GB2312" w:hAnsi="仿宋_GB2312" w:eastAsia="仿宋_GB2312" w:cs="仿宋_GB2312"/>
          <w:sz w:val="32"/>
          <w:szCs w:val="32"/>
          <w:highlight w:val="none"/>
        </w:rPr>
        <w:t>维保合同及维保记录交由中心备案存档</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以上服务费用均包含在本项目报价内。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（二）安保消控管理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1.服务内容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括接待、门卫、收发、保安管理、管理服务标识设置与维护、车辆行驶、停放管理及其他秩序维护等。负责办公楼（区）门卫管理、巡逻检查，处理治安及其他突发事件，维护公共秩序；负责内部机动车和非机动车停放管理;负责消控、监控设施设备运行管理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2.服务质量标准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（1）门卫管理。办公楼（区）出入口应安排24小时值岗，严格出入登记制度，杜绝闲杂人员和危险物品进入办公楼（区）。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（2）巡视检查。明确巡视工作职责，对重要区域、部位、设备机房进行重点巡视并记录巡视情况，及时发现和处理各种安全和事故隐患。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消控、监控管理。消控应安排24小时值岗，消控、监控设施设备应保持24小时开通，并保持完整的监控记录，保证对办公区域各出入口、内部重点区域的安全监控、录像及协助布警。监控室收到异常情况报警信号后，应及时报警，并派专人赶到现场进行前期处理。监控资料应至少保持30天。做好防盗、防火报警监控设备日常使用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消防、微型消防站。中心大楼为消防重点单位，配合做好消防部门所要求的所有工作。保管好消防设施，保证消防系统设施设备齐全、完好无损，可随时启用；值岗人员要掌握消防设施设备的使用方法，并能及时处理各种火灾事故；协助中心组建义务消防队和明确防火责任人，每月开展一次微型消防站演练，每年必须组织1次消防培训演练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（5）车辆管理。对进出管辖区域的各类车辆进行管理，设置行车指示标志，指定车辆停放区域，车库内配置道闸和监视系统，非机动车定点有序停放，停车区域无易燃、易爆等物品存放。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突发事件处理。按照要求制订物业突发事件应急预案，并在物业办公室、监控室、机房等处张榜悬挂。在各楼层固定位置悬挂疏散示意图及引路标志，每年组织不少于1次的突发事件应急演习。当发生台风、暴雨、雪灾等灾害性天气及其他突发事件时，应对设备机房、停车场、广告牌、电线杆等露天设施进行检查和加固。各岗位人员必须按规定实行岗位警戒，根据不同突发事件的现场情况进行应变处理。对待上访人员做到耐心说服，及时报告有关部门予以妥善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其他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消防设施设备年检及维保，全年1次电气线路检测，气体灭火系统每季度检测</w:t>
      </w:r>
      <w:r>
        <w:rPr>
          <w:rFonts w:hint="eastAsia" w:ascii="仿宋_GB2312" w:hAnsi="仿宋_GB2312" w:eastAsia="仿宋_GB2312" w:cs="仿宋_GB2312"/>
          <w:sz w:val="32"/>
          <w:szCs w:val="32"/>
          <w:lang w:eastAsia="zh-CN"/>
        </w:rPr>
        <w:t>，气体灭火系统钢瓶检测</w:t>
      </w:r>
      <w:r>
        <w:rPr>
          <w:rFonts w:hint="eastAsia" w:ascii="仿宋_GB2312" w:hAnsi="仿宋_GB2312" w:eastAsia="仿宋_GB2312" w:cs="仿宋_GB2312"/>
          <w:sz w:val="32"/>
          <w:szCs w:val="32"/>
          <w:lang w:val="en-US" w:eastAsia="zh-CN"/>
        </w:rPr>
        <w:t>1次</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消防部门要求的标识、标牌、消防通道划线，消防装备包括头盔、战斗服以及灭火器等常用设施设备新增更换。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消控室远程监控系统维护。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以上服务费用均包含在本项目报价内。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）绿化养护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1.服务内容：包括室内外公共区域绿化</w:t>
      </w:r>
      <w:r>
        <w:rPr>
          <w:rFonts w:hint="eastAsia" w:ascii="仿宋_GB2312" w:hAnsi="仿宋_GB2312" w:eastAsia="仿宋_GB2312" w:cs="仿宋_GB2312"/>
          <w:sz w:val="32"/>
          <w:szCs w:val="32"/>
          <w:lang w:eastAsia="zh-CN"/>
        </w:rPr>
        <w:t>摆放、</w:t>
      </w:r>
      <w:r>
        <w:rPr>
          <w:rFonts w:hint="eastAsia" w:ascii="仿宋_GB2312" w:hAnsi="仿宋_GB2312" w:eastAsia="仿宋_GB2312" w:cs="仿宋_GB2312"/>
          <w:sz w:val="32"/>
          <w:szCs w:val="32"/>
        </w:rPr>
        <w:t>养护等。负责办公楼（区）树木、花草、绿地等绿化日常</w:t>
      </w:r>
      <w:r>
        <w:rPr>
          <w:rFonts w:hint="eastAsia" w:ascii="仿宋_GB2312" w:hAnsi="仿宋_GB2312" w:eastAsia="仿宋_GB2312" w:cs="仿宋_GB2312"/>
          <w:sz w:val="32"/>
          <w:szCs w:val="32"/>
          <w:lang w:eastAsia="zh-CN"/>
        </w:rPr>
        <w:t>种植、</w:t>
      </w:r>
      <w:r>
        <w:rPr>
          <w:rFonts w:hint="eastAsia" w:ascii="仿宋_GB2312" w:hAnsi="仿宋_GB2312" w:eastAsia="仿宋_GB2312" w:cs="仿宋_GB2312"/>
          <w:sz w:val="32"/>
          <w:szCs w:val="32"/>
        </w:rPr>
        <w:t>养护和管理，以及办公楼（区）门厅</w:t>
      </w:r>
      <w:r>
        <w:rPr>
          <w:rFonts w:hint="eastAsia" w:ascii="仿宋_GB2312" w:hAnsi="仿宋_GB2312" w:eastAsia="仿宋_GB2312" w:cs="仿宋_GB2312"/>
          <w:sz w:val="32"/>
          <w:szCs w:val="32"/>
          <w:lang w:eastAsia="zh-CN"/>
        </w:rPr>
        <w:t>等室内外公共区域</w:t>
      </w:r>
      <w:r>
        <w:rPr>
          <w:rFonts w:hint="eastAsia" w:ascii="仿宋_GB2312" w:hAnsi="仿宋_GB2312" w:eastAsia="仿宋_GB2312" w:cs="仿宋_GB2312"/>
          <w:sz w:val="32"/>
          <w:szCs w:val="32"/>
        </w:rPr>
        <w:t>摆放</w:t>
      </w:r>
      <w:r>
        <w:rPr>
          <w:rFonts w:hint="eastAsia" w:ascii="仿宋_GB2312" w:hAnsi="仿宋_GB2312" w:eastAsia="仿宋_GB2312" w:cs="仿宋_GB2312"/>
          <w:sz w:val="32"/>
          <w:szCs w:val="32"/>
          <w:lang w:eastAsia="zh-CN"/>
        </w:rPr>
        <w:t>绿植及绿植的</w:t>
      </w:r>
      <w:r>
        <w:rPr>
          <w:rFonts w:hint="eastAsia" w:ascii="仿宋_GB2312" w:hAnsi="仿宋_GB2312" w:eastAsia="仿宋_GB2312" w:cs="仿宋_GB2312"/>
          <w:sz w:val="32"/>
          <w:szCs w:val="32"/>
        </w:rPr>
        <w:t>养护和管理等。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2.服务质量标准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（1）绿地或花坛内各类乔、灌、草等绿化存活率100%。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（2）植株修剪及时，做到枝叶紧密、圆整，无脱节、无倾斜，无枯枝死杈。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（3）病虫害防治率100%，危害率低于5%。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）办公楼院内竹林、树木、草皮补种更换。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3.其他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一至十</w:t>
      </w:r>
      <w:r>
        <w:rPr>
          <w:rFonts w:hint="eastAsia" w:ascii="仿宋_GB2312" w:hAnsi="仿宋_GB2312" w:eastAsia="仿宋_GB2312" w:cs="仿宋_GB2312"/>
          <w:sz w:val="32"/>
          <w:szCs w:val="32"/>
        </w:rPr>
        <w:t>楼电梯口，健身房、会议室、培训室、活动室、彩民接待室</w:t>
      </w:r>
      <w:r>
        <w:rPr>
          <w:rFonts w:hint="eastAsia" w:ascii="仿宋_GB2312" w:hAnsi="仿宋_GB2312" w:eastAsia="仿宋_GB2312" w:cs="仿宋_GB2312"/>
          <w:sz w:val="32"/>
          <w:szCs w:val="32"/>
          <w:lang w:eastAsia="zh-CN"/>
        </w:rPr>
        <w:t>绿植</w:t>
      </w:r>
      <w:r>
        <w:rPr>
          <w:rFonts w:hint="eastAsia" w:ascii="仿宋_GB2312" w:hAnsi="仿宋_GB2312" w:eastAsia="仿宋_GB2312" w:cs="仿宋_GB2312"/>
          <w:sz w:val="32"/>
          <w:szCs w:val="32"/>
        </w:rPr>
        <w:t>摆放和管理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以上服务费用均包含在本项目报价内。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）工程设备维护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1.服务内容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办公楼（区）给排水系统（包括供、排水系统维护保养及零星维修，水箱、管道、管件、相关专业工具等维护保养维修等）、供电系统（包括供电、照明、电话等线路维护维修，仪表开关、灯具更换）、空调系统（包括空调、除尘等空气调节系统和设备维护保养及零星维修等）、消防监控（包括监控、安保系统设备维护保养和零星维修，管道、管件、阀门、相关专业工具等维护保养维修等）系统等设施设备的日常养护维修和电梯运行维护，做好办公房屋的日常养护维修（包括房屋地墙顶面、家具、家电、门窗检查维护与零星维修，电梯检测、维护保养、零星维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2.服务质量标准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（1）定期对给排水系统进行维护保养</w:t>
      </w:r>
      <w:bookmarkStart w:id="34" w:name="_Toc72053973"/>
      <w:r>
        <w:rPr>
          <w:rFonts w:hint="eastAsia" w:ascii="仿宋_GB2312" w:hAnsi="仿宋_GB2312" w:eastAsia="仿宋_GB2312" w:cs="仿宋_GB2312"/>
          <w:sz w:val="32"/>
          <w:szCs w:val="32"/>
          <w:lang w:eastAsia="zh-CN"/>
        </w:rPr>
        <w:t>，</w:t>
      </w:r>
      <w:bookmarkEnd w:id="34"/>
      <w:r>
        <w:rPr>
          <w:rFonts w:hint="eastAsia" w:ascii="仿宋_GB2312" w:hAnsi="仿宋_GB2312" w:eastAsia="仿宋_GB2312" w:cs="仿宋_GB2312"/>
          <w:sz w:val="32"/>
          <w:szCs w:val="32"/>
          <w:lang w:eastAsia="zh-CN"/>
        </w:rPr>
        <w:t>及时更换故障排水泵等设备</w:t>
      </w:r>
      <w:r>
        <w:rPr>
          <w:rFonts w:hint="eastAsia" w:ascii="仿宋_GB2312" w:hAnsi="仿宋_GB2312" w:eastAsia="仿宋_GB2312" w:cs="仿宋_GB2312"/>
          <w:sz w:val="32"/>
          <w:szCs w:val="32"/>
        </w:rPr>
        <w:t>保证正常运行。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（2）定期对变配电设备设施进行检查、维护、清洁，并做好记录，确保高（低）压变（配）电柜操作运行正常，各类表计显示正常，应急供电系统</w:t>
      </w:r>
      <w:bookmarkStart w:id="35" w:name="_Toc72053954"/>
      <w:r>
        <w:rPr>
          <w:rFonts w:hint="eastAsia" w:ascii="仿宋_GB2312" w:hAnsi="仿宋_GB2312" w:eastAsia="仿宋_GB2312" w:cs="仿宋_GB2312"/>
          <w:sz w:val="32"/>
          <w:szCs w:val="32"/>
        </w:rPr>
        <w:t>运行正常。</w:t>
      </w:r>
      <w:bookmarkEnd w:id="35"/>
      <w:r>
        <w:rPr>
          <w:rFonts w:hint="eastAsia" w:ascii="仿宋_GB2312" w:hAnsi="仿宋_GB2312" w:eastAsia="仿宋_GB2312" w:cs="仿宋_GB2312"/>
          <w:sz w:val="32"/>
          <w:szCs w:val="32"/>
        </w:rPr>
        <w:t>其中变压器系统做好维护、维保和预防性试验，维保合同及检测报告交由中心备案存档。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（3）定期对空调系统进行检查、维护、清洁，测试运行控制和安全控制功能，记录运行参数，分析运行记录，确保空调系统正常运行。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（4）定期对消防、监控主机及各消防、监控点的设备进行巡查，确保运行无故障。</w:t>
      </w:r>
    </w:p>
    <w:p>
      <w:pPr>
        <w:pStyle w:val="52"/>
        <w:keepNext w:val="0"/>
        <w:keepLines w:val="0"/>
        <w:widowControl/>
        <w:suppressLineNumbers w:val="0"/>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before="0" w:beforeAutospacing="0" w:after="0" w:afterAutospacing="0"/>
        <w:ind w:left="0" w:right="0"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（5）电梯应由专业资质维修保养单位至少每15日进行一次清洁、润滑、调整和检查，经有资质的检测机构检验合格，</w:t>
      </w:r>
      <w:r>
        <w:rPr>
          <w:rFonts w:hint="eastAsia" w:ascii="仿宋_GB2312" w:hAnsi="仿宋_GB2312" w:eastAsia="仿宋_GB2312" w:cs="仿宋_GB2312"/>
          <w:sz w:val="32"/>
          <w:szCs w:val="32"/>
          <w:highlight w:val="none"/>
        </w:rPr>
        <w:t>在《安全使用许可证》有效期内安全运行，由专业人员对电梯保养进行监督，对电梯运行进行管理</w:t>
      </w:r>
      <w:bookmarkStart w:id="36" w:name="_Toc72054009"/>
      <w:r>
        <w:rPr>
          <w:rFonts w:hint="eastAsia" w:ascii="仿宋_GB2312" w:hAnsi="仿宋_GB2312" w:eastAsia="仿宋_GB2312" w:cs="仿宋_GB2312"/>
          <w:sz w:val="32"/>
          <w:szCs w:val="32"/>
          <w:highlight w:val="none"/>
        </w:rPr>
        <w:t>；电梯发生困人、停梯等重大事件时，专业维修人员应在30分钟内到达现场进行抢修和处理</w:t>
      </w:r>
      <w:r>
        <w:rPr>
          <w:rFonts w:hint="eastAsia" w:ascii="仿宋_GB2312" w:hAnsi="仿宋_GB2312" w:eastAsia="仿宋_GB2312" w:cs="仿宋_GB2312"/>
          <w:sz w:val="32"/>
          <w:szCs w:val="32"/>
          <w:highlight w:val="none"/>
          <w:lang w:eastAsia="zh-CN"/>
        </w:rPr>
        <w:t>；每年对电梯进行一次抱闸拆解检测，检测结果报告需由中心备案存档</w:t>
      </w:r>
      <w:r>
        <w:rPr>
          <w:rFonts w:hint="eastAsia" w:ascii="仿宋_GB2312" w:hAnsi="仿宋_GB2312" w:eastAsia="仿宋_GB2312" w:cs="仿宋_GB2312"/>
          <w:sz w:val="32"/>
          <w:szCs w:val="32"/>
          <w:highlight w:val="none"/>
        </w:rPr>
        <w:t>。</w:t>
      </w:r>
      <w:bookmarkEnd w:id="36"/>
      <w:r>
        <w:rPr>
          <w:rFonts w:hint="eastAsia" w:ascii="仿宋_GB2312" w:hAnsi="仿宋_GB2312" w:eastAsia="仿宋_GB2312" w:cs="仿宋_GB2312"/>
          <w:sz w:val="32"/>
          <w:szCs w:val="32"/>
          <w:highlight w:val="none"/>
        </w:rPr>
        <w:t>电梯维保合同及维保记录交由中心备案存档</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（6）确保办公楼（区）房屋原有完好等级和正常使用，发现有缺损的应在规定时间内安排修理，及时</w:t>
      </w:r>
      <w:r>
        <w:rPr>
          <w:rFonts w:hint="eastAsia" w:ascii="仿宋_GB2312" w:hAnsi="仿宋_GB2312" w:eastAsia="仿宋_GB2312" w:cs="仿宋_GB2312"/>
          <w:sz w:val="32"/>
          <w:szCs w:val="32"/>
        </w:rPr>
        <w:t>完成各项零星维修任务，一般维修任务确保不超过24小时，确保零修合格率达到100%。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（7）由专业的天然气维保单位，每月对中心天然气系统进行维护保养工作，维保合同及维保记录交由中心备案存档。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（8）由专业公司做好110报警系统维护保养工作。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（1）大楼内的所有工程设施设备维修、更换材料单价在300元以下的，由供应商负责。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（2）电梯设施设备年检维保、天然气系统、110报警系统</w:t>
      </w:r>
      <w:r>
        <w:rPr>
          <w:rFonts w:hint="eastAsia" w:ascii="仿宋_GB2312" w:hAnsi="仿宋_GB2312" w:eastAsia="仿宋_GB2312" w:cs="仿宋_GB2312"/>
          <w:sz w:val="32"/>
          <w:szCs w:val="32"/>
          <w:lang w:eastAsia="zh-CN"/>
        </w:rPr>
        <w:t>、空调高温蒸汽消毒</w:t>
      </w:r>
      <w:r>
        <w:rPr>
          <w:rFonts w:hint="eastAsia" w:ascii="仿宋_GB2312" w:hAnsi="仿宋_GB2312" w:eastAsia="仿宋_GB2312" w:cs="仿宋_GB2312"/>
          <w:sz w:val="32"/>
          <w:szCs w:val="32"/>
        </w:rPr>
        <w:t>和电力系统维护检测。</w:t>
      </w:r>
    </w:p>
    <w:p>
      <w:pPr>
        <w:pStyle w:val="38"/>
        <w:ind w:firstLine="640" w:firstLineChars="200"/>
        <w:rPr>
          <w:rFonts w:hint="eastAsia" w:eastAsia="仿宋_GB231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）空调系统、消防设施设备、高压变电设备、燃气设备等委托供应商签订维保协议的项目，后续维修中不再支付人工服务费，仅承担相应的材料费用。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以上服务费用均包含在本项目报价内。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三、管理机构与人力资源配置要求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rPr>
        <w:t>1.</w:t>
      </w:r>
      <w:r>
        <w:rPr>
          <w:rFonts w:hint="eastAsia" w:ascii="仿宋_GB2312" w:hAnsi="仿宋_GB2312" w:eastAsia="仿宋_GB2312" w:cs="仿宋_GB2312"/>
          <w:sz w:val="32"/>
          <w:szCs w:val="32"/>
        </w:rPr>
        <w:t>人员配置1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人：其中管理人员</w:t>
      </w:r>
      <w:r>
        <w:rPr>
          <w:rFonts w:hint="eastAsia" w:ascii="仿宋_GB2312" w:hAnsi="仿宋_GB2312" w:eastAsia="仿宋_GB2312" w:cs="仿宋_GB2312"/>
          <w:sz w:val="32"/>
          <w:szCs w:val="32"/>
          <w:lang w:eastAsia="zh-CN"/>
        </w:rPr>
        <w:t>（兼工程维修）</w:t>
      </w:r>
      <w:r>
        <w:rPr>
          <w:rFonts w:hint="eastAsia" w:ascii="仿宋_GB2312" w:hAnsi="仿宋_GB2312" w:eastAsia="仿宋_GB2312" w:cs="仿宋_GB2312"/>
          <w:sz w:val="32"/>
          <w:szCs w:val="32"/>
        </w:rPr>
        <w:t>1人、保安 8人、保洁</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前台</w:t>
      </w:r>
      <w:r>
        <w:rPr>
          <w:rFonts w:hint="eastAsia" w:ascii="仿宋_GB2312" w:hAnsi="仿宋_GB2312" w:eastAsia="仿宋_GB2312" w:cs="仿宋_GB2312"/>
          <w:sz w:val="32"/>
          <w:szCs w:val="32"/>
        </w:rPr>
        <w:t>1人</w:t>
      </w:r>
      <w:r>
        <w:rPr>
          <w:rFonts w:hint="eastAsia" w:ascii="仿宋_GB2312" w:hAnsi="仿宋_GB2312" w:eastAsia="仿宋_GB2312" w:cs="仿宋_GB2312"/>
          <w:sz w:val="32"/>
          <w:szCs w:val="32"/>
          <w:lang w:eastAsia="zh-CN"/>
        </w:rPr>
        <w:t>、厨师</w:t>
      </w:r>
      <w:r>
        <w:rPr>
          <w:rFonts w:hint="eastAsia" w:ascii="仿宋_GB2312" w:hAnsi="仿宋_GB2312" w:eastAsia="仿宋_GB2312" w:cs="仿宋_GB2312"/>
          <w:sz w:val="32"/>
          <w:szCs w:val="32"/>
          <w:lang w:val="en-US" w:eastAsia="zh-CN"/>
        </w:rPr>
        <w:t>1人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rPr>
        <w:t>门卫24小时值岗，消控中心24小时值岗，兑奖大厅工作日（7:40-19:30）、双休节假日（18:00-19:30）值岗，车库（7:40-20:00）值岗，保洁（7:30-16:30）值岗。</w:t>
      </w:r>
    </w:p>
    <w:p>
      <w:pPr>
        <w:pStyle w:val="38"/>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3.厨师负责中心职工食堂早中两餐制作，节假日及晚餐根据中心工作需要提供服务。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人员必须具备相应的专业技能，身体健康，工作认真负责并定期接受培训。管理人员应取得物业管理从业资格证书或岗位证书必须持有高压及电工作业上岗证，消控值班人员必须持证上岗。管理负责人目前无担任其它物业管理项目负责人或物业管理人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5.厨师岗位职责：（</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rPr>
        <w:t>熟悉和掌握各种菜品的基本制作技术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eastAsia="zh-CN"/>
        </w:rPr>
        <w:t>负责菜品及食品原料的质量把关，定期检查整理冰箱、冷库，保持原料存放整齐和质量完好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eastAsia="zh-CN"/>
        </w:rPr>
        <w:t>每天按照拟定的菜单及各式菜肴的特点配菜、烹制，</w:t>
      </w:r>
      <w:r>
        <w:rPr>
          <w:rFonts w:hint="eastAsia" w:ascii="仿宋_GB2312" w:hAnsi="仿宋_GB2312" w:eastAsia="仿宋_GB2312" w:cs="仿宋_GB2312"/>
          <w:sz w:val="32"/>
          <w:szCs w:val="32"/>
          <w:lang w:eastAsia="zh-CN"/>
        </w:rPr>
        <w:t>满足</w:t>
      </w:r>
      <w:r>
        <w:rPr>
          <w:rFonts w:hint="eastAsia" w:ascii="仿宋_GB2312" w:hAnsi="仿宋_GB2312" w:eastAsia="仿宋_GB2312" w:cs="仿宋_GB2312"/>
          <w:color w:val="auto"/>
          <w:sz w:val="32"/>
          <w:szCs w:val="32"/>
        </w:rPr>
        <w:t>员工</w:t>
      </w:r>
      <w:r>
        <w:rPr>
          <w:rFonts w:hint="eastAsia" w:ascii="仿宋_GB2312" w:hAnsi="仿宋_GB2312" w:eastAsia="仿宋_GB2312" w:cs="仿宋_GB2312"/>
          <w:sz w:val="32"/>
          <w:szCs w:val="32"/>
          <w:lang w:eastAsia="zh-CN"/>
        </w:rPr>
        <w:t>就餐需求；（</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eastAsia="zh-CN"/>
        </w:rPr>
        <w:t>严格按照食品卫生要求，保持刀具不锈、砧板无污、冰箱整洁、切配间清洁，</w:t>
      </w:r>
      <w:r>
        <w:rPr>
          <w:rFonts w:hint="eastAsia" w:ascii="仿宋_GB2312" w:hAnsi="仿宋_GB2312" w:eastAsia="仿宋_GB2312" w:cs="仿宋_GB2312"/>
          <w:color w:val="auto"/>
          <w:sz w:val="32"/>
          <w:szCs w:val="32"/>
        </w:rPr>
        <w:t>操作时严格掌握卫生要求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节约用电用水，做好防火、防盗、防食物中毒工作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做好工作区域内环境、设施、设备的清洁卫生和安全工作</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color w:val="auto"/>
          <w:sz w:val="32"/>
          <w:szCs w:val="32"/>
        </w:rPr>
        <w:t>完成</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 "http://www.5ykj.com/Article/" \t "_blank"</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领导</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交办的其他任务。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上岗时佩戴统一标志，按要求穿戴统一制服，仪容仪表规范整齐。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文明工作，训练有素，言语规范，认真负责。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四、其他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rPr>
        <w:t>1.</w:t>
      </w:r>
      <w:r>
        <w:rPr>
          <w:rFonts w:hint="eastAsia" w:ascii="仿宋_GB2312" w:hAnsi="仿宋_GB2312" w:eastAsia="仿宋_GB2312" w:cs="仿宋_GB2312"/>
          <w:sz w:val="32"/>
          <w:szCs w:val="32"/>
        </w:rPr>
        <w:t>报价应包括为完成本项目服务可能发生的全部费用及中标供应商的利润和应交纳的税金等（包括人员工资、各种社会保险、人员食宿与交通、消耗材料、专用设备及工具、器材、办公费等）。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进一步</w:t>
      </w:r>
      <w:r>
        <w:rPr>
          <w:rFonts w:hint="eastAsia" w:ascii="仿宋_GB2312" w:hAnsi="仿宋_GB2312" w:eastAsia="仿宋_GB2312" w:cs="仿宋_GB2312"/>
          <w:sz w:val="32"/>
          <w:szCs w:val="32"/>
        </w:rPr>
        <w:t>强化对物业监督要求：一是细化对物业配备人员的管理，如对人员不足给予一个月</w:t>
      </w:r>
      <w:r>
        <w:rPr>
          <w:rFonts w:hint="eastAsia" w:ascii="仿宋_GB2312" w:hAnsi="仿宋_GB2312" w:eastAsia="仿宋_GB2312" w:cs="仿宋_GB2312"/>
          <w:sz w:val="32"/>
          <w:szCs w:val="32"/>
          <w:lang w:eastAsia="zh-CN"/>
        </w:rPr>
        <w:t>整改期</w:t>
      </w:r>
      <w:r>
        <w:rPr>
          <w:rFonts w:hint="eastAsia" w:ascii="仿宋_GB2312" w:hAnsi="仿宋_GB2312" w:eastAsia="仿宋_GB2312" w:cs="仿宋_GB2312"/>
          <w:sz w:val="32"/>
          <w:szCs w:val="32"/>
        </w:rPr>
        <w:t>，超过一个月仍未配足的，根据</w:t>
      </w:r>
      <w:r>
        <w:rPr>
          <w:rFonts w:hint="eastAsia" w:ascii="仿宋_GB2312" w:hAnsi="仿宋_GB2312" w:eastAsia="仿宋_GB2312" w:cs="仿宋_GB2312"/>
          <w:sz w:val="32"/>
          <w:szCs w:val="32"/>
          <w:lang w:eastAsia="zh-CN"/>
        </w:rPr>
        <w:t>各岗位成本，</w:t>
      </w:r>
      <w:r>
        <w:rPr>
          <w:rFonts w:hint="eastAsia" w:ascii="仿宋_GB2312" w:hAnsi="仿宋_GB2312" w:eastAsia="仿宋_GB2312" w:cs="仿宋_GB2312"/>
          <w:sz w:val="32"/>
          <w:szCs w:val="32"/>
        </w:rPr>
        <w:t>承担相应岗位的违约金。二是保安、保洁存在失职行为的，第一次发现给予警告，第二次发现</w:t>
      </w:r>
      <w:r>
        <w:rPr>
          <w:rFonts w:hint="eastAsia" w:ascii="仿宋_GB2312" w:hAnsi="仿宋_GB2312" w:eastAsia="仿宋_GB2312" w:cs="仿宋_GB2312"/>
          <w:sz w:val="32"/>
          <w:szCs w:val="32"/>
          <w:lang w:eastAsia="zh-CN"/>
        </w:rPr>
        <w:t>承担</w:t>
      </w:r>
      <w:r>
        <w:rPr>
          <w:rFonts w:hint="eastAsia" w:ascii="仿宋_GB2312" w:hAnsi="仿宋_GB2312" w:eastAsia="仿宋_GB2312" w:cs="仿宋_GB2312"/>
          <w:sz w:val="32"/>
          <w:szCs w:val="32"/>
        </w:rPr>
        <w:t>50元违约金，第三次</w:t>
      </w:r>
      <w:r>
        <w:rPr>
          <w:rFonts w:hint="eastAsia" w:ascii="仿宋_GB2312" w:hAnsi="仿宋_GB2312" w:eastAsia="仿宋_GB2312" w:cs="仿宋_GB2312"/>
          <w:sz w:val="32"/>
          <w:szCs w:val="32"/>
          <w:lang w:eastAsia="zh-CN"/>
        </w:rPr>
        <w:t>承担</w:t>
      </w:r>
      <w:r>
        <w:rPr>
          <w:rFonts w:hint="eastAsia" w:ascii="仿宋_GB2312" w:hAnsi="仿宋_GB2312" w:eastAsia="仿宋_GB2312" w:cs="仿宋_GB2312"/>
          <w:sz w:val="32"/>
          <w:szCs w:val="32"/>
        </w:rPr>
        <w:t>100元违约金，以此类推。</w:t>
      </w:r>
    </w:p>
    <w:p>
      <w:pPr>
        <w:pStyle w:val="31"/>
        <w:spacing w:before="156" w:after="156" w:line="360" w:lineRule="auto"/>
        <w:rPr>
          <w:rFonts w:ascii="仿宋" w:hAnsi="仿宋" w:eastAsia="仿宋"/>
          <w:b/>
          <w:bCs/>
          <w:color w:val="000000" w:themeColor="text1"/>
          <w:sz w:val="28"/>
          <w:szCs w:val="28"/>
          <w14:textFill>
            <w14:solidFill>
              <w14:schemeClr w14:val="tx1"/>
            </w14:solidFill>
          </w14:textFill>
        </w:rPr>
      </w:pPr>
      <w:r>
        <w:rPr>
          <w:rFonts w:hint="default" w:ascii="仿宋_GB2312" w:hAnsi="仿宋_GB2312" w:eastAsia="仿宋_GB2312" w:cs="仿宋_GB2312"/>
          <w:sz w:val="32"/>
          <w:szCs w:val="32"/>
          <w:lang w:val="en-US"/>
        </w:rPr>
        <w:t>3.</w:t>
      </w:r>
      <w:r>
        <w:rPr>
          <w:rFonts w:hint="eastAsia" w:ascii="仿宋_GB2312" w:hAnsi="仿宋_GB2312" w:eastAsia="仿宋_GB2312" w:cs="仿宋_GB2312"/>
          <w:sz w:val="32"/>
          <w:szCs w:val="32"/>
        </w:rPr>
        <w:t>委托管理期限：自</w:t>
      </w:r>
      <w:r>
        <w:rPr>
          <w:rFonts w:hint="eastAsia" w:ascii="仿宋_GB2312" w:hAnsi="仿宋_GB2312" w:eastAsia="仿宋_GB2312" w:cs="仿宋_GB2312"/>
          <w:sz w:val="32"/>
          <w:szCs w:val="32"/>
          <w:lang w:val="en-US" w:eastAsia="zh-CN"/>
        </w:rPr>
        <w:t>2024年3月1日至2026年2月28日</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lang w:val="en-US" w:eastAsia="zh-CN"/>
        </w:rPr>
        <w:t>24个月</w:t>
      </w:r>
      <w:r>
        <w:rPr>
          <w:rFonts w:hint="eastAsia" w:ascii="仿宋_GB2312" w:hAnsi="仿宋_GB2312" w:eastAsia="仿宋_GB2312" w:cs="仿宋_GB2312"/>
          <w:sz w:val="32"/>
          <w:szCs w:val="32"/>
        </w:rPr>
        <w:t>。</w:t>
      </w:r>
    </w:p>
    <w:p>
      <w:pPr>
        <w:spacing w:line="360" w:lineRule="auto"/>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商务要求表</w:t>
      </w:r>
    </w:p>
    <w:tbl>
      <w:tblPr>
        <w:tblStyle w:val="5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▲项目工期（交货期）及地点</w:t>
            </w:r>
          </w:p>
        </w:tc>
        <w:tc>
          <w:tcPr>
            <w:tcW w:w="67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lang w:eastAsia="zh-CN"/>
                <w14:textFill>
                  <w14:solidFill>
                    <w14:schemeClr w14:val="tx1"/>
                  </w14:solidFill>
                </w14:textFill>
              </w:rPr>
              <w:t>项目服务期：</w:t>
            </w:r>
            <w:r>
              <w:rPr>
                <w:rFonts w:hint="eastAsia" w:ascii="仿宋" w:hAnsi="仿宋" w:eastAsia="仿宋"/>
                <w:color w:val="000000" w:themeColor="text1"/>
                <w:sz w:val="28"/>
                <w:szCs w:val="28"/>
                <w:lang w:val="en-US" w:eastAsia="zh-CN"/>
                <w14:textFill>
                  <w14:solidFill>
                    <w14:schemeClr w14:val="tx1"/>
                  </w14:solidFill>
                </w14:textFill>
              </w:rPr>
              <w:t>2024年3月1日至2026年2月28日共两年。服务地点：浙江省体育彩票管理中心办公大楼。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▲付款条件（明确是否需要履约保证金）</w:t>
            </w:r>
          </w:p>
        </w:tc>
        <w:tc>
          <w:tcPr>
            <w:tcW w:w="67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line="240" w:lineRule="auto"/>
              <w:ind w:left="0" w:right="0"/>
              <w:textAlignment w:val="auto"/>
              <w:rPr>
                <w:rFonts w:hint="eastAsia" w:ascii="仿宋_GB2312" w:hAnsi="宋体" w:eastAsia="仿宋_GB2312" w:cs="Times New Roman"/>
                <w:b/>
                <w:color w:val="000000" w:themeColor="text1"/>
                <w:sz w:val="28"/>
                <w:szCs w:val="28"/>
                <w:shd w:val="clear"/>
                <w:lang w:eastAsia="zh-CN"/>
                <w14:textFill>
                  <w14:solidFill>
                    <w14:schemeClr w14:val="tx1"/>
                  </w14:solidFill>
                </w14:textFill>
              </w:rPr>
            </w:pPr>
            <w:r>
              <w:rPr>
                <w:rFonts w:hint="eastAsia" w:ascii="仿宋_GB2312" w:hAnsi="宋体" w:eastAsia="仿宋_GB2312" w:cs="Times New Roman"/>
                <w:b/>
                <w:color w:val="000000" w:themeColor="text1"/>
                <w:sz w:val="28"/>
                <w:szCs w:val="28"/>
                <w:shd w:val="clear"/>
                <w14:textFill>
                  <w14:solidFill>
                    <w14:schemeClr w14:val="tx1"/>
                  </w14:solidFill>
                </w14:textFill>
              </w:rPr>
              <w:t>付款方式：</w:t>
            </w:r>
            <w:r>
              <w:rPr>
                <w:rFonts w:hint="eastAsia" w:ascii="仿宋_GB2312" w:hAnsi="宋体" w:eastAsia="仿宋_GB2312" w:cs="Times New Roman"/>
                <w:b/>
                <w:color w:val="000000" w:themeColor="text1"/>
                <w:sz w:val="28"/>
                <w:szCs w:val="28"/>
                <w:shd w:val="clear"/>
                <w:lang w:eastAsia="zh-CN"/>
                <w14:textFill>
                  <w14:solidFill>
                    <w14:schemeClr w14:val="tx1"/>
                  </w14:solidFill>
                </w14:textFill>
              </w:rPr>
              <w:t>每季度第二个月支付该季度物业服务费。</w:t>
            </w:r>
          </w:p>
          <w:p>
            <w:pPr>
              <w:keepNext w:val="0"/>
              <w:keepLines w:val="0"/>
              <w:suppressLineNumbers w:val="0"/>
              <w:spacing w:before="0" w:beforeAutospacing="0" w:after="0" w:afterAutospacing="0"/>
              <w:ind w:left="0" w:right="0"/>
              <w:rPr>
                <w:rFonts w:hint="default" w:ascii="仿宋" w:hAnsi="仿宋" w:eastAsia="仿宋"/>
                <w:b/>
                <w:color w:val="000000" w:themeColor="text1"/>
                <w:sz w:val="28"/>
                <w:szCs w:val="28"/>
                <w14:textFill>
                  <w14:solidFill>
                    <w14:schemeClr w14:val="tx1"/>
                  </w14:solidFill>
                </w14:textFill>
              </w:rPr>
            </w:pPr>
            <w:r>
              <w:rPr>
                <w:rFonts w:hint="eastAsia" w:ascii="仿宋_GB2312" w:hAnsi="宋体" w:eastAsia="仿宋_GB2312" w:cs="Times New Roman"/>
                <w:b/>
                <w:color w:val="000000" w:themeColor="text1"/>
                <w:sz w:val="28"/>
                <w:szCs w:val="28"/>
                <w14:textFill>
                  <w14:solidFill>
                    <w14:schemeClr w14:val="tx1"/>
                  </w14:solidFill>
                </w14:textFill>
              </w:rPr>
              <w:t>本项目需缴纳合同总价1%的履约保证金。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违约责任及争议解决方式</w:t>
            </w:r>
          </w:p>
        </w:tc>
        <w:tc>
          <w:tcPr>
            <w:tcW w:w="67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售</w:t>
            </w:r>
          </w:p>
          <w:p>
            <w:pPr>
              <w:keepNext w:val="0"/>
              <w:keepLines w:val="0"/>
              <w:suppressLineNumbers w:val="0"/>
              <w:snapToGrid w:val="0"/>
              <w:spacing w:before="0" w:beforeAutospacing="0" w:after="0" w:afterAutospacing="0"/>
              <w:ind w:left="0" w:right="0"/>
              <w:jc w:val="left"/>
              <w:rPr>
                <w:rFonts w:hint="default"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后</w:t>
            </w:r>
          </w:p>
          <w:p>
            <w:pPr>
              <w:keepNext w:val="0"/>
              <w:keepLines w:val="0"/>
              <w:suppressLineNumbers w:val="0"/>
              <w:snapToGrid w:val="0"/>
              <w:spacing w:before="0" w:beforeAutospacing="0" w:after="0" w:afterAutospacing="0"/>
              <w:ind w:left="0" w:right="0"/>
              <w:jc w:val="left"/>
              <w:rPr>
                <w:rFonts w:hint="default"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服务</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项目维护计划</w:t>
            </w:r>
          </w:p>
        </w:tc>
        <w:tc>
          <w:tcPr>
            <w:tcW w:w="67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_GB2312" w:hAnsi="宋体" w:eastAsia="仿宋_GB2312" w:cs="Times New Roman"/>
                <w:b/>
                <w:color w:val="000000" w:themeColor="text1"/>
                <w:sz w:val="28"/>
                <w:szCs w:val="28"/>
                <w:lang w:eastAsia="zh-CN"/>
                <w14:textFill>
                  <w14:solidFill>
                    <w14:schemeClr w14:val="tx1"/>
                  </w14:solidFill>
                </w14:textFill>
              </w:rPr>
            </w:pPr>
            <w:r>
              <w:rPr>
                <w:rFonts w:hint="eastAsia" w:ascii="仿宋_GB2312" w:hAnsi="宋体" w:eastAsia="仿宋_GB2312" w:cs="Times New Roman"/>
                <w:b/>
                <w:color w:val="000000" w:themeColor="text1"/>
                <w:sz w:val="28"/>
                <w:szCs w:val="28"/>
                <w:lang w:eastAsia="zh-CN"/>
                <w14:textFill>
                  <w14:solidFill>
                    <w14:schemeClr w14:val="tx1"/>
                  </w14:solidFill>
                </w14:textFill>
              </w:rPr>
              <w:t>成交供应商需定期对本项目的保洁、安保、绿化、消防等各方面质量进行检查保证服务质量。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cs="仿宋_GB2312"/>
                <w:b/>
                <w:color w:val="000000" w:themeColor="text1"/>
                <w:sz w:val="28"/>
                <w:szCs w:val="28"/>
                <w14:textFill>
                  <w14:solidFill>
                    <w14:schemeClr w14:val="tx1"/>
                  </w14:solidFill>
                </w14:textFill>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响应情况</w:t>
            </w:r>
          </w:p>
        </w:tc>
        <w:tc>
          <w:tcPr>
            <w:tcW w:w="67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rPr>
                <w:rFonts w:hint="eastAsia" w:ascii="仿宋_GB2312" w:hAnsi="宋体" w:eastAsia="仿宋_GB2312"/>
                <w:b/>
                <w:color w:val="000000" w:themeColor="text1"/>
                <w:sz w:val="28"/>
                <w:szCs w:val="28"/>
                <w:lang w:eastAsia="zh-CN"/>
                <w14:textFill>
                  <w14:solidFill>
                    <w14:schemeClr w14:val="tx1"/>
                  </w14:solidFill>
                </w14:textFill>
              </w:rPr>
            </w:pPr>
            <w:r>
              <w:rPr>
                <w:rFonts w:hint="eastAsia" w:ascii="仿宋_GB2312" w:hAnsi="宋体" w:eastAsia="仿宋_GB2312"/>
                <w:b/>
                <w:color w:val="000000" w:themeColor="text1"/>
                <w:sz w:val="28"/>
                <w:szCs w:val="28"/>
                <w:lang w:eastAsia="zh-CN"/>
                <w14:textFill>
                  <w14:solidFill>
                    <w14:schemeClr w14:val="tx1"/>
                  </w14:solidFill>
                </w14:textFill>
              </w:rPr>
              <w:t>完全响应招标文件的采购需求。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cs="仿宋_GB2312"/>
                <w:b/>
                <w:color w:val="000000" w:themeColor="text1"/>
                <w:sz w:val="28"/>
                <w:szCs w:val="28"/>
                <w14:textFill>
                  <w14:solidFill>
                    <w14:schemeClr w14:val="tx1"/>
                  </w14:solidFill>
                </w14:textFill>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技术培训</w:t>
            </w:r>
          </w:p>
        </w:tc>
        <w:tc>
          <w:tcPr>
            <w:tcW w:w="67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 w:hAnsi="仿宋" w:eastAsia="仿宋"/>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lang w:eastAsia="zh-CN"/>
                <w14:textFill>
                  <w14:solidFill>
                    <w14:schemeClr w14:val="tx1"/>
                  </w14:solidFill>
                </w14:textFill>
              </w:rPr>
              <w:t>所有专业服务人员持证上岗，其他服务人员需经过岗前培训。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履约能力</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投标人技术力量情况</w:t>
            </w:r>
          </w:p>
        </w:tc>
        <w:tc>
          <w:tcPr>
            <w:tcW w:w="6775"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suppressLineNumbers w:val="0"/>
              <w:spacing w:before="0" w:beforeLines="50" w:beforeAutospacing="0" w:after="0" w:afterLines="50" w:afterAutospacing="0" w:line="340" w:lineRule="exact"/>
              <w:ind w:left="0" w:right="0"/>
              <w:rPr>
                <w:rFonts w:hint="eastAsia" w:ascii="仿宋_GB2312" w:hAnsi="宋体" w:eastAsia="仿宋_GB2312"/>
                <w:b/>
                <w:color w:val="000000" w:themeColor="text1"/>
                <w:sz w:val="28"/>
                <w:szCs w:val="28"/>
                <w:vertAlign w:val="baseline"/>
                <w:lang w:eastAsia="zh-CN"/>
                <w14:textFill>
                  <w14:solidFill>
                    <w14:schemeClr w14:val="tx1"/>
                  </w14:solidFill>
                </w14:textFill>
              </w:rPr>
            </w:pPr>
            <w:r>
              <w:rPr>
                <w:rFonts w:hint="eastAsia" w:ascii="仿宋_GB2312" w:hAnsi="宋体" w:eastAsia="仿宋_GB2312"/>
                <w:b/>
                <w:color w:val="000000" w:themeColor="text1"/>
                <w:sz w:val="28"/>
                <w:szCs w:val="28"/>
                <w:vertAlign w:val="baseline"/>
                <w:lang w:eastAsia="zh-CN"/>
                <w14:textFill>
                  <w14:solidFill>
                    <w14:schemeClr w14:val="tx1"/>
                  </w14:solidFill>
                </w14:textFill>
              </w:rPr>
              <w:t>公司整体经营状况、技术力量及提供的相关证明材料等情况。</w:t>
            </w:r>
          </w:p>
          <w:p>
            <w:pPr>
              <w:keepNext w:val="0"/>
              <w:keepLines w:val="0"/>
              <w:suppressLineNumbers w:val="0"/>
              <w:spacing w:before="0" w:beforeAutospacing="0" w:after="0" w:afterAutospacing="0"/>
              <w:ind w:left="0" w:right="0"/>
              <w:rPr>
                <w:rFonts w:hint="default" w:ascii="仿宋" w:hAnsi="仿宋" w:eastAsia="仿宋" w:cs="仿宋_GB2312"/>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vertAlign w:val="baseline"/>
                <w:lang w:val="en-US" w:eastAsia="zh-CN"/>
                <w14:textFill>
                  <w14:solidFill>
                    <w14:schemeClr w14:val="tx1"/>
                  </w14:solidFill>
                </w14:textFill>
              </w:rPr>
              <w:t>1</w:t>
            </w:r>
            <w:r>
              <w:rPr>
                <w:rFonts w:hint="eastAsia" w:ascii="仿宋_GB2312" w:hAnsi="宋体" w:eastAsia="仿宋_GB2312"/>
                <w:b/>
                <w:color w:val="000000" w:themeColor="text1"/>
                <w:sz w:val="28"/>
                <w:szCs w:val="28"/>
                <w:vertAlign w:val="baseline"/>
                <w:lang w:eastAsia="zh-CN"/>
                <w14:textFill>
                  <w14:solidFill>
                    <w14:schemeClr w14:val="tx1"/>
                  </w14:solidFill>
                </w14:textFill>
              </w:rPr>
              <w:t>. 投标方公司技术力量情况：投标方取得的相关证书情况；具有有效的质量管理体系、环境管理体系、职业健康安全管理体系</w:t>
            </w:r>
            <w:r>
              <w:rPr>
                <w:rFonts w:hint="eastAsia" w:ascii="仿宋_GB2312" w:hAnsi="宋体" w:eastAsia="仿宋_GB2312"/>
                <w:b/>
                <w:color w:val="000000" w:themeColor="text1"/>
                <w:sz w:val="28"/>
                <w:szCs w:val="28"/>
                <w:vertAlign w:val="baseline"/>
                <w:lang w:val="en-US" w:eastAsia="zh-CN"/>
                <w14:textFill>
                  <w14:solidFill>
                    <w14:schemeClr w14:val="tx1"/>
                  </w14:solidFill>
                </w14:textFill>
              </w:rPr>
              <w:t>,</w:t>
            </w:r>
            <w:r>
              <w:rPr>
                <w:rFonts w:hint="eastAsia" w:ascii="仿宋_GB2312" w:hAnsi="宋体" w:eastAsia="仿宋_GB2312"/>
                <w:b/>
                <w:color w:val="000000" w:themeColor="text1"/>
                <w:sz w:val="28"/>
                <w:szCs w:val="28"/>
                <w:vertAlign w:val="baseline"/>
                <w:lang w:eastAsia="zh-CN"/>
                <w14:textFill>
                  <w14:solidFill>
                    <w14:schemeClr w14:val="tx1"/>
                  </w14:solidFill>
                </w14:textFill>
              </w:rPr>
              <w:t>每提供一个得1分，最高得</w:t>
            </w:r>
            <w:r>
              <w:rPr>
                <w:rFonts w:hint="eastAsia" w:ascii="仿宋_GB2312" w:hAnsi="宋体" w:eastAsia="仿宋_GB2312"/>
                <w:b/>
                <w:color w:val="000000" w:themeColor="text1"/>
                <w:sz w:val="28"/>
                <w:szCs w:val="28"/>
                <w:vertAlign w:val="baseline"/>
                <w:lang w:val="en-US" w:eastAsia="zh-CN"/>
                <w14:textFill>
                  <w14:solidFill>
                    <w14:schemeClr w14:val="tx1"/>
                  </w14:solidFill>
                </w14:textFill>
              </w:rPr>
              <w:t>3</w:t>
            </w:r>
            <w:r>
              <w:rPr>
                <w:rFonts w:hint="eastAsia" w:ascii="仿宋_GB2312" w:hAnsi="宋体" w:eastAsia="仿宋_GB2312"/>
                <w:b/>
                <w:color w:val="000000" w:themeColor="text1"/>
                <w:sz w:val="28"/>
                <w:szCs w:val="28"/>
                <w:vertAlign w:val="baseline"/>
                <w:lang w:eastAsia="zh-CN"/>
                <w14:textFill>
                  <w14:solidFill>
                    <w14:schemeClr w14:val="tx1"/>
                  </w14:solidFill>
                </w14:textFill>
              </w:rPr>
              <w:t>分。（需提供有效的相关证书及全国认证认可信息公共服务平台（http://cx.cnca.cn/CertECloud/result/skipResultList）查询截图并加盖公章作为评分依据，未提供不得分。）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cs="仿宋_GB2312"/>
                <w:b/>
                <w:color w:val="000000" w:themeColor="text1"/>
                <w:sz w:val="28"/>
                <w:szCs w:val="28"/>
                <w14:textFill>
                  <w14:solidFill>
                    <w14:schemeClr w14:val="tx1"/>
                  </w14:solidFill>
                </w14:textFill>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经验或业绩要求</w:t>
            </w:r>
          </w:p>
        </w:tc>
        <w:tc>
          <w:tcPr>
            <w:tcW w:w="67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仿宋" w:hAnsi="仿宋" w:eastAsia="仿宋" w:cs="仿宋_GB2312"/>
                <w:color w:val="000000" w:themeColor="text1"/>
                <w:sz w:val="28"/>
                <w:szCs w:val="28"/>
                <w:lang w:eastAsia="zh-CN"/>
                <w14:textFill>
                  <w14:solidFill>
                    <w14:schemeClr w14:val="tx1"/>
                  </w14:solidFill>
                </w14:textFill>
              </w:rPr>
            </w:pPr>
            <w:r>
              <w:rPr>
                <w:rFonts w:hint="eastAsia" w:ascii="仿宋_GB2312" w:hAnsi="宋体" w:eastAsia="仿宋_GB2312" w:cs="Times New Roman"/>
                <w:b/>
                <w:color w:val="000000" w:themeColor="text1"/>
                <w:sz w:val="28"/>
                <w:szCs w:val="28"/>
                <w:lang w:eastAsia="zh-CN"/>
                <w14:textFill>
                  <w14:solidFill>
                    <w14:schemeClr w14:val="tx1"/>
                  </w14:solidFill>
                </w14:textFill>
              </w:rPr>
              <w:t>类似项目成功经验。需提供2020年1月1日以来类似物业（</w:t>
            </w:r>
            <w:r>
              <w:rPr>
                <w:rFonts w:hint="eastAsia" w:ascii="仿宋_GB2312" w:hAnsi="宋体" w:eastAsia="仿宋_GB2312" w:cs="Times New Roman"/>
                <w:b/>
                <w:color w:val="000000" w:themeColor="text1"/>
                <w:sz w:val="28"/>
                <w:szCs w:val="28"/>
                <w:lang w:val="en-US" w:eastAsia="zh-CN"/>
                <w14:textFill>
                  <w14:solidFill>
                    <w14:schemeClr w14:val="tx1"/>
                  </w14:solidFill>
                </w14:textFill>
              </w:rPr>
              <w:t>非住宅类</w:t>
            </w:r>
            <w:r>
              <w:rPr>
                <w:rFonts w:hint="eastAsia" w:ascii="仿宋_GB2312" w:hAnsi="宋体" w:eastAsia="仿宋_GB2312" w:cs="Times New Roman"/>
                <w:b/>
                <w:color w:val="000000" w:themeColor="text1"/>
                <w:sz w:val="28"/>
                <w:szCs w:val="28"/>
                <w:lang w:eastAsia="zh-CN"/>
                <w14:textFill>
                  <w14:solidFill>
                    <w14:schemeClr w14:val="tx1"/>
                  </w14:solidFill>
                </w14:textFill>
              </w:rPr>
              <w:t>）项目成功案例合同复印件，一个项目计0.5分，最高得1分，以合同签订时间为准。</w:t>
            </w:r>
          </w:p>
        </w:tc>
      </w:tr>
    </w:tbl>
    <w:p>
      <w:pPr>
        <w:widowControl/>
        <w:jc w:val="left"/>
        <w:rPr>
          <w:rFonts w:hint="eastAsia" w:hAnsi="宋体"/>
          <w:b/>
          <w:color w:val="000000" w:themeColor="text1"/>
          <w:sz w:val="36"/>
          <w:szCs w:val="36"/>
          <w14:textFill>
            <w14:solidFill>
              <w14:schemeClr w14:val="tx1"/>
            </w14:solidFill>
          </w14:textFill>
        </w:rPr>
      </w:pPr>
      <w:r>
        <w:rPr>
          <w:rFonts w:ascii="仿宋" w:hAnsi="仿宋" w:eastAsia="仿宋" w:cs="仿宋"/>
          <w:b/>
          <w:bCs/>
          <w:color w:val="000000" w:themeColor="text1"/>
          <w:spacing w:val="30"/>
          <w:sz w:val="28"/>
          <w:szCs w:val="28"/>
          <w14:textFill>
            <w14:solidFill>
              <w14:schemeClr w14:val="tx1"/>
            </w14:solidFill>
          </w14:textFill>
        </w:rPr>
        <w:br w:type="page"/>
      </w:r>
    </w:p>
    <w:p>
      <w:pPr>
        <w:pStyle w:val="31"/>
        <w:spacing w:before="156" w:after="156" w:line="360" w:lineRule="auto"/>
        <w:jc w:val="center"/>
        <w:outlineLvl w:val="0"/>
        <w:rPr>
          <w:rFonts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t>第五章浙江省政府采购合同主要条款指引</w:t>
      </w:r>
      <w:bookmarkEnd w:id="32"/>
      <w:bookmarkEnd w:id="33"/>
    </w:p>
    <w:p>
      <w:pPr>
        <w:rPr>
          <w:color w:val="000000" w:themeColor="text1"/>
          <w14:textFill>
            <w14:solidFill>
              <w14:schemeClr w14:val="tx1"/>
            </w14:solidFill>
          </w14:textFill>
        </w:rPr>
      </w:pPr>
    </w:p>
    <w:p>
      <w:pPr>
        <w:pStyle w:val="31"/>
        <w:snapToGrid w:val="0"/>
        <w:spacing w:before="156" w:after="156" w:line="360" w:lineRule="auto"/>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合同编号：        </w:t>
      </w:r>
    </w:p>
    <w:p>
      <w:pPr>
        <w:pStyle w:val="31"/>
        <w:snapToGrid w:val="0"/>
        <w:spacing w:before="156" w:after="156" w:line="360" w:lineRule="auto"/>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确认书号：</w:t>
      </w:r>
    </w:p>
    <w:p>
      <w:pPr>
        <w:spacing w:line="520" w:lineRule="exact"/>
        <w:ind w:firstLine="301" w:firstLineChars="100"/>
        <w:rPr>
          <w:rFonts w:ascii="仿宋" w:hAnsi="仿宋" w:eastAsia="仿宋"/>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甲方</w:t>
      </w:r>
      <w:r>
        <w:rPr>
          <w:rFonts w:hint="eastAsia" w:ascii="仿宋" w:hAnsi="仿宋" w:eastAsia="仿宋"/>
          <w:color w:val="000000" w:themeColor="text1"/>
          <w:sz w:val="30"/>
          <w:szCs w:val="30"/>
          <w14:textFill>
            <w14:solidFill>
              <w14:schemeClr w14:val="tx1"/>
            </w14:solidFill>
          </w14:textFill>
        </w:rPr>
        <w:t xml:space="preserve">（采购人）： </w:t>
      </w:r>
    </w:p>
    <w:p>
      <w:pPr>
        <w:spacing w:line="520" w:lineRule="exact"/>
        <w:ind w:firstLine="301" w:firstLineChars="100"/>
        <w:rPr>
          <w:rFonts w:ascii="仿宋" w:hAnsi="仿宋" w:eastAsia="仿宋"/>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乙方</w:t>
      </w:r>
      <w:r>
        <w:rPr>
          <w:rFonts w:hint="eastAsia" w:ascii="仿宋" w:hAnsi="仿宋" w:eastAsia="仿宋"/>
          <w:color w:val="000000" w:themeColor="text1"/>
          <w:sz w:val="30"/>
          <w:szCs w:val="30"/>
          <w14:textFill>
            <w14:solidFill>
              <w14:schemeClr w14:val="tx1"/>
            </w14:solidFill>
          </w14:textFill>
        </w:rPr>
        <w:t xml:space="preserve">（供应商）： </w:t>
      </w:r>
    </w:p>
    <w:p>
      <w:pPr>
        <w:pStyle w:val="31"/>
        <w:adjustRightInd w:val="0"/>
        <w:snapToGrid w:val="0"/>
        <w:spacing w:before="156" w:after="156" w:line="460" w:lineRule="exact"/>
        <w:ind w:firstLine="594" w:firstLineChars="198"/>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甲、乙双方根据浙江省政府采购中心关于</w:t>
      </w:r>
      <w:r>
        <w:rPr>
          <w:rFonts w:hint="eastAsia" w:ascii="仿宋" w:hAnsi="仿宋" w:eastAsia="仿宋"/>
          <w:color w:val="000000" w:themeColor="text1"/>
          <w:sz w:val="30"/>
          <w:szCs w:val="30"/>
          <w14:textFill>
            <w14:solidFill>
              <w14:schemeClr w14:val="tx1"/>
            </w14:solidFill>
          </w14:textFill>
        </w:rPr>
        <w:t>项目编号为      的</w:t>
      </w:r>
      <w:r>
        <w:rPr>
          <w:rFonts w:hint="eastAsia" w:ascii="仿宋" w:hAnsi="仿宋" w:eastAsia="仿宋"/>
          <w:snapToGrid w:val="0"/>
          <w:color w:val="000000" w:themeColor="text1"/>
          <w:sz w:val="30"/>
          <w:szCs w:val="30"/>
          <w14:textFill>
            <w14:solidFill>
              <w14:schemeClr w14:val="tx1"/>
            </w14:solidFill>
          </w14:textFill>
        </w:rPr>
        <w:t>（标项及名称）项目公开招标的结果，签署本合同。</w:t>
      </w:r>
    </w:p>
    <w:p>
      <w:pPr>
        <w:pStyle w:val="31"/>
        <w:adjustRightInd w:val="0"/>
        <w:snapToGrid w:val="0"/>
        <w:spacing w:before="156" w:after="156" w:line="460" w:lineRule="exact"/>
        <w:ind w:firstLine="641" w:firstLineChars="213"/>
        <w:rPr>
          <w:rFonts w:ascii="仿宋" w:hAnsi="仿宋" w:eastAsia="仿宋"/>
          <w:b/>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一、项目内容</w:t>
      </w:r>
      <w:r>
        <w:rPr>
          <w:rFonts w:hint="eastAsia" w:ascii="仿宋" w:hAnsi="仿宋" w:eastAsia="仿宋"/>
          <w:b/>
          <w:color w:val="000000" w:themeColor="text1"/>
          <w:sz w:val="30"/>
          <w:szCs w:val="30"/>
          <w14:textFill>
            <w14:solidFill>
              <w14:schemeClr w14:val="tx1"/>
            </w14:solidFill>
          </w14:textFill>
        </w:rPr>
        <w:t>及合同价格</w:t>
      </w:r>
    </w:p>
    <w:p>
      <w:pPr>
        <w:pStyle w:val="31"/>
        <w:adjustRightInd w:val="0"/>
        <w:snapToGrid w:val="0"/>
        <w:spacing w:before="156" w:after="156" w:line="460" w:lineRule="exact"/>
        <w:ind w:firstLine="639" w:firstLineChars="213"/>
        <w:jc w:val="righ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金额单位：元 </w:t>
      </w:r>
    </w:p>
    <w:tbl>
      <w:tblPr>
        <w:tblStyle w:val="59"/>
        <w:tblW w:w="91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3239"/>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56" w:after="156" w:line="460" w:lineRule="exact"/>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56" w:after="156" w:line="460" w:lineRule="exact"/>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56" w:after="156" w:line="460" w:lineRule="exact"/>
              <w:ind w:left="-108"/>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56" w:after="156" w:line="460" w:lineRule="exact"/>
              <w:ind w:left="-108"/>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56" w:after="156" w:line="460" w:lineRule="exact"/>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color w:val="000000" w:themeColor="text1"/>
                <w:sz w:val="30"/>
                <w:szCs w:val="30"/>
                <w14:textFill>
                  <w14:solidFill>
                    <w14:schemeClr w14:val="tx1"/>
                  </w14:solidFill>
                </w14:textFill>
              </w:rPr>
            </w:pPr>
          </w:p>
        </w:tc>
        <w:tc>
          <w:tcPr>
            <w:tcW w:w="32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详见项目对应招投标文件</w:t>
            </w:r>
          </w:p>
        </w:tc>
        <w:tc>
          <w:tcPr>
            <w:tcW w:w="108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color w:val="000000" w:themeColor="text1"/>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pStyle w:val="432"/>
              <w:spacing w:after="120" w:line="460" w:lineRule="exact"/>
              <w:ind w:firstLine="639" w:firstLineChars="213"/>
              <w:rPr>
                <w:rFonts w:ascii="仿宋" w:hAnsi="仿宋" w:eastAsia="仿宋"/>
                <w:color w:val="000000" w:themeColor="text1"/>
                <w:kern w:val="2"/>
                <w:sz w:val="30"/>
                <w:szCs w:val="30"/>
                <w14:textFill>
                  <w14:solidFill>
                    <w14:schemeClr w14:val="tx1"/>
                  </w14:solidFill>
                </w14:textFill>
              </w:rPr>
            </w:pPr>
          </w:p>
        </w:tc>
        <w:tc>
          <w:tcPr>
            <w:tcW w:w="1212" w:type="dxa"/>
            <w:tcBorders>
              <w:top w:val="single" w:color="auto" w:sz="4" w:space="0"/>
              <w:left w:val="single" w:color="auto" w:sz="4" w:space="0"/>
              <w:bottom w:val="single" w:color="auto" w:sz="4" w:space="0"/>
              <w:right w:val="single" w:color="auto" w:sz="4" w:space="0"/>
            </w:tcBorders>
          </w:tcPr>
          <w:p>
            <w:pPr>
              <w:pStyle w:val="432"/>
              <w:spacing w:after="120" w:line="460" w:lineRule="exact"/>
              <w:ind w:left="1890"/>
              <w:rPr>
                <w:rFonts w:ascii="仿宋" w:hAnsi="仿宋" w:eastAsia="仿宋"/>
                <w:color w:val="000000" w:themeColor="text1"/>
                <w:kern w:val="2"/>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31"/>
              <w:snapToGrid w:val="0"/>
              <w:spacing w:before="156" w:after="156" w:line="460" w:lineRule="exact"/>
              <w:ind w:firstLine="639" w:firstLineChars="213"/>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合            计</w:t>
            </w:r>
          </w:p>
        </w:tc>
        <w:tc>
          <w:tcPr>
            <w:tcW w:w="1080" w:type="dxa"/>
            <w:tcBorders>
              <w:top w:val="single" w:color="auto" w:sz="4" w:space="0"/>
              <w:left w:val="single" w:color="auto" w:sz="4" w:space="0"/>
              <w:bottom w:val="single" w:color="auto" w:sz="4" w:space="0"/>
              <w:right w:val="single" w:color="auto" w:sz="4" w:space="0"/>
            </w:tcBorders>
          </w:tcPr>
          <w:p>
            <w:pPr>
              <w:pStyle w:val="31"/>
              <w:snapToGrid w:val="0"/>
              <w:spacing w:before="156" w:after="156" w:line="460" w:lineRule="exact"/>
              <w:ind w:firstLine="639" w:firstLineChars="213"/>
              <w:jc w:val="center"/>
              <w:rPr>
                <w:rFonts w:ascii="仿宋" w:hAnsi="仿宋" w:eastAsia="仿宋"/>
                <w:color w:val="000000" w:themeColor="text1"/>
                <w:sz w:val="30"/>
                <w:szCs w:val="30"/>
                <w14:textFill>
                  <w14:solidFill>
                    <w14:schemeClr w14:val="tx1"/>
                  </w14:solidFill>
                </w14:textFill>
              </w:rPr>
            </w:pPr>
          </w:p>
        </w:tc>
        <w:tc>
          <w:tcPr>
            <w:tcW w:w="2472" w:type="dxa"/>
            <w:gridSpan w:val="2"/>
            <w:tcBorders>
              <w:top w:val="single" w:color="auto" w:sz="4" w:space="0"/>
              <w:left w:val="single" w:color="auto" w:sz="4" w:space="0"/>
              <w:bottom w:val="single" w:color="auto" w:sz="4" w:space="0"/>
              <w:right w:val="single" w:color="auto" w:sz="4" w:space="0"/>
            </w:tcBorders>
          </w:tcPr>
          <w:p>
            <w:pPr>
              <w:pStyle w:val="432"/>
              <w:spacing w:after="120" w:line="460" w:lineRule="exact"/>
              <w:ind w:firstLine="639" w:firstLineChars="213"/>
              <w:rPr>
                <w:rFonts w:ascii="仿宋" w:hAnsi="仿宋" w:eastAsia="仿宋"/>
                <w:color w:val="000000" w:themeColor="text1"/>
                <w:kern w:val="2"/>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31"/>
              <w:snapToGrid w:val="0"/>
              <w:spacing w:before="156" w:after="156" w:line="46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合同总价大写：                              小写：￥</w:t>
            </w:r>
          </w:p>
        </w:tc>
      </w:tr>
    </w:tbl>
    <w:p>
      <w:pPr>
        <w:pStyle w:val="31"/>
        <w:snapToGrid w:val="0"/>
        <w:spacing w:before="120" w:beforeLines="0" w:after="156" w:line="460" w:lineRule="exact"/>
        <w:ind w:left="-178" w:leftChars="-85" w:firstLine="639" w:firstLineChars="213"/>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注：1.项目具体技术需求及采购人地址等详见招标文件、投标文件以及询标记录。</w:t>
      </w:r>
    </w:p>
    <w:p>
      <w:pPr>
        <w:spacing w:line="460" w:lineRule="exact"/>
        <w:ind w:firstLine="639" w:firstLineChars="213"/>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2.以上合同总价包含项目达到预期使用效果所需的一切费用。</w:t>
      </w:r>
    </w:p>
    <w:p>
      <w:pPr>
        <w:pStyle w:val="31"/>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二、技术资料</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1.乙方应按招标文件规定的时间向甲方提供使用项目的有关技术资料。</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1"/>
        <w:adjustRightInd w:val="0"/>
        <w:snapToGrid w:val="0"/>
        <w:spacing w:before="156" w:after="156" w:line="460" w:lineRule="exact"/>
        <w:ind w:firstLine="596" w:firstLineChars="198"/>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三、知识产权</w:t>
      </w:r>
    </w:p>
    <w:p>
      <w:pPr>
        <w:pStyle w:val="31"/>
        <w:adjustRightInd w:val="0"/>
        <w:snapToGrid w:val="0"/>
        <w:spacing w:before="156" w:after="156" w:line="460" w:lineRule="exact"/>
        <w:ind w:firstLine="639" w:firstLineChars="213"/>
        <w:rPr>
          <w:rFonts w:ascii="仿宋" w:hAnsi="仿宋" w:eastAsia="仿宋"/>
          <w:bCs/>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乙方应保证所提供的货物或其任何一部分均不会侵犯任何第三方的知识产权</w:t>
      </w:r>
      <w:r>
        <w:rPr>
          <w:rFonts w:hint="eastAsia" w:ascii="仿宋" w:hAnsi="仿宋" w:eastAsia="仿宋"/>
          <w:bCs/>
          <w:snapToGrid w:val="0"/>
          <w:color w:val="000000" w:themeColor="text1"/>
          <w:sz w:val="30"/>
          <w:szCs w:val="30"/>
          <w14:textFill>
            <w14:solidFill>
              <w14:schemeClr w14:val="tx1"/>
            </w14:solidFill>
          </w14:textFill>
        </w:rPr>
        <w:t>。</w:t>
      </w:r>
    </w:p>
    <w:p>
      <w:pPr>
        <w:pStyle w:val="31"/>
        <w:adjustRightInd w:val="0"/>
        <w:snapToGrid w:val="0"/>
        <w:spacing w:before="156" w:after="156" w:line="460" w:lineRule="exact"/>
        <w:ind w:firstLine="596" w:firstLineChars="198"/>
        <w:rPr>
          <w:rFonts w:ascii="仿宋" w:hAnsi="仿宋" w:eastAsia="仿宋"/>
          <w:snapToGrid w:val="0"/>
          <w:color w:val="000000" w:themeColor="text1"/>
          <w:sz w:val="30"/>
          <w:szCs w:val="30"/>
          <w:u w:val="single"/>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四、产权担保</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u w:val="single"/>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乙方保证所交付的货物的所有权完全属于乙方且无任何抵押、查封等产权瑕疵。</w:t>
      </w:r>
    </w:p>
    <w:p>
      <w:pPr>
        <w:pStyle w:val="31"/>
        <w:adjustRightInd w:val="0"/>
        <w:snapToGrid w:val="0"/>
        <w:spacing w:before="156" w:after="156" w:line="460" w:lineRule="exact"/>
        <w:ind w:firstLine="596" w:firstLineChars="198"/>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五、转包或分包</w:t>
      </w:r>
    </w:p>
    <w:p>
      <w:pPr>
        <w:adjustRightInd w:val="0"/>
        <w:snapToGrid w:val="0"/>
        <w:spacing w:before="156" w:beforeLines="50" w:after="156" w:afterLines="50" w:line="460" w:lineRule="exact"/>
        <w:ind w:firstLine="639" w:firstLineChars="213"/>
        <w:rPr>
          <w:rFonts w:ascii="仿宋" w:hAnsi="仿宋" w:eastAsia="仿宋"/>
          <w:snapToGrid w:val="0"/>
          <w:color w:val="000000" w:themeColor="text1"/>
          <w:kern w:val="0"/>
          <w:sz w:val="30"/>
          <w:szCs w:val="30"/>
          <w14:textFill>
            <w14:solidFill>
              <w14:schemeClr w14:val="tx1"/>
            </w14:solidFill>
          </w14:textFill>
        </w:rPr>
      </w:pPr>
      <w:r>
        <w:rPr>
          <w:rFonts w:hint="eastAsia" w:ascii="仿宋" w:hAnsi="仿宋" w:eastAsia="仿宋"/>
          <w:snapToGrid w:val="0"/>
          <w:color w:val="000000" w:themeColor="text1"/>
          <w:kern w:val="0"/>
          <w:sz w:val="30"/>
          <w:szCs w:val="30"/>
          <w14:textFill>
            <w14:solidFill>
              <w14:schemeClr w14:val="tx1"/>
            </w14:solidFill>
          </w14:textFill>
        </w:rPr>
        <w:t>不允许转包。</w:t>
      </w:r>
    </w:p>
    <w:p>
      <w:pPr>
        <w:adjustRightInd w:val="0"/>
        <w:snapToGrid w:val="0"/>
        <w:spacing w:before="156" w:beforeLines="50" w:after="156" w:afterLines="50" w:line="460" w:lineRule="exact"/>
        <w:ind w:firstLine="639" w:firstLineChars="213"/>
        <w:rPr>
          <w:rFonts w:ascii="仿宋" w:hAnsi="仿宋" w:eastAsia="仿宋"/>
          <w:snapToGrid w:val="0"/>
          <w:color w:val="000000" w:themeColor="text1"/>
          <w:kern w:val="0"/>
          <w:sz w:val="30"/>
          <w:szCs w:val="30"/>
          <w:u w:val="single"/>
          <w14:textFill>
            <w14:solidFill>
              <w14:schemeClr w14:val="tx1"/>
            </w14:solidFill>
          </w14:textFill>
        </w:rPr>
      </w:pPr>
      <w:r>
        <w:rPr>
          <w:rFonts w:hint="eastAsia" w:ascii="仿宋" w:hAnsi="仿宋" w:eastAsia="仿宋"/>
          <w:snapToGrid w:val="0"/>
          <w:color w:val="000000" w:themeColor="text1"/>
          <w:kern w:val="0"/>
          <w:sz w:val="30"/>
          <w:szCs w:val="30"/>
          <w14:textFill>
            <w14:solidFill>
              <w14:schemeClr w14:val="tx1"/>
            </w14:solidFill>
          </w14:textFill>
        </w:rPr>
        <w:t>允许分包部分</w:t>
      </w:r>
      <w:r>
        <w:rPr>
          <w:rFonts w:hint="eastAsia" w:ascii="仿宋" w:hAnsi="仿宋" w:eastAsia="仿宋"/>
          <w:snapToGrid w:val="0"/>
          <w:color w:val="000000" w:themeColor="text1"/>
          <w:kern w:val="0"/>
          <w:sz w:val="30"/>
          <w:szCs w:val="30"/>
          <w:u w:val="single"/>
          <w14:textFill>
            <w14:solidFill>
              <w14:schemeClr w14:val="tx1"/>
            </w14:solidFill>
          </w14:textFill>
        </w:rPr>
        <w:t xml:space="preserve">               。</w:t>
      </w:r>
    </w:p>
    <w:p>
      <w:pPr>
        <w:adjustRightInd w:val="0"/>
        <w:snapToGrid w:val="0"/>
        <w:spacing w:before="156" w:beforeLines="50" w:after="156" w:afterLines="50" w:line="460" w:lineRule="exact"/>
        <w:ind w:firstLine="600" w:firstLineChars="200"/>
        <w:rPr>
          <w:rFonts w:ascii="仿宋" w:hAnsi="仿宋" w:eastAsia="仿宋"/>
          <w:snapToGrid w:val="0"/>
          <w:color w:val="000000" w:themeColor="text1"/>
          <w:kern w:val="0"/>
          <w:sz w:val="30"/>
          <w:szCs w:val="30"/>
          <w14:textFill>
            <w14:solidFill>
              <w14:schemeClr w14:val="tx1"/>
            </w14:solidFill>
          </w14:textFill>
        </w:rPr>
      </w:pPr>
      <w:r>
        <w:rPr>
          <w:rFonts w:hint="eastAsia" w:ascii="仿宋" w:hAnsi="仿宋" w:eastAsia="仿宋"/>
          <w:snapToGrid w:val="0"/>
          <w:color w:val="000000" w:themeColor="text1"/>
          <w:kern w:val="0"/>
          <w:sz w:val="30"/>
          <w:szCs w:val="30"/>
          <w14:textFill>
            <w14:solidFill>
              <w14:schemeClr w14:val="tx1"/>
            </w14:solidFill>
          </w14:textFill>
        </w:rPr>
        <w:t>如乙方将项目转包或将不允许分包部分就行了分包，甲方有权解除合同，没收履约保证金并追究乙方的违约责任。</w:t>
      </w:r>
    </w:p>
    <w:p>
      <w:pPr>
        <w:pStyle w:val="31"/>
        <w:adjustRightInd w:val="0"/>
        <w:snapToGrid w:val="0"/>
        <w:spacing w:before="156" w:after="156" w:line="460" w:lineRule="exact"/>
        <w:ind w:firstLine="641" w:firstLineChars="213"/>
        <w:rPr>
          <w:rFonts w:ascii="仿宋" w:hAnsi="仿宋" w:eastAsia="仿宋"/>
          <w:snapToGrid w:val="0"/>
          <w:color w:val="000000" w:themeColor="text1"/>
          <w:kern w:val="0"/>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六、质保期和履约保证金</w:t>
      </w:r>
    </w:p>
    <w:p>
      <w:pPr>
        <w:pStyle w:val="31"/>
        <w:adjustRightInd w:val="0"/>
        <w:snapToGrid w:val="0"/>
        <w:spacing w:before="156" w:after="156" w:line="460" w:lineRule="exact"/>
        <w:ind w:firstLine="600" w:firstLineChars="200"/>
        <w:jc w:val="left"/>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1.质保期年。（自项目验收合格交付使用之日起计）</w:t>
      </w:r>
    </w:p>
    <w:p>
      <w:pPr>
        <w:pStyle w:val="31"/>
        <w:adjustRightInd w:val="0"/>
        <w:snapToGrid w:val="0"/>
        <w:spacing w:before="156" w:after="156" w:line="460" w:lineRule="exact"/>
        <w:ind w:firstLine="600" w:firstLineChars="200"/>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2.履约保证金元。[履约保证金交至采购人处，在合同约定交货验收合格满（   ）个月之日起5个工作日内无息退还]</w:t>
      </w:r>
    </w:p>
    <w:p>
      <w:pPr>
        <w:pStyle w:val="31"/>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七、项目工期及实施地点</w:t>
      </w:r>
    </w:p>
    <w:p>
      <w:pPr>
        <w:pStyle w:val="31"/>
        <w:adjustRightInd w:val="0"/>
        <w:snapToGrid w:val="0"/>
        <w:spacing w:before="156" w:after="156" w:line="460" w:lineRule="exact"/>
        <w:ind w:firstLine="639" w:firstLineChars="213"/>
        <w:rPr>
          <w:rFonts w:ascii="仿宋" w:hAnsi="仿宋" w:eastAsia="仿宋"/>
          <w:bCs/>
          <w:snapToGrid w:val="0"/>
          <w:color w:val="000000" w:themeColor="text1"/>
          <w:sz w:val="30"/>
          <w:szCs w:val="30"/>
          <w14:textFill>
            <w14:solidFill>
              <w14:schemeClr w14:val="tx1"/>
            </w14:solidFill>
          </w14:textFill>
        </w:rPr>
      </w:pPr>
      <w:r>
        <w:rPr>
          <w:rFonts w:hint="eastAsia" w:ascii="仿宋" w:hAnsi="仿宋" w:eastAsia="仿宋"/>
          <w:bCs/>
          <w:snapToGrid w:val="0"/>
          <w:color w:val="000000" w:themeColor="text1"/>
          <w:sz w:val="30"/>
          <w:szCs w:val="30"/>
          <w14:textFill>
            <w14:solidFill>
              <w14:schemeClr w14:val="tx1"/>
            </w14:solidFill>
          </w14:textFill>
        </w:rPr>
        <w:t>1.交货期：</w:t>
      </w:r>
    </w:p>
    <w:p>
      <w:pPr>
        <w:pStyle w:val="31"/>
        <w:adjustRightInd w:val="0"/>
        <w:snapToGrid w:val="0"/>
        <w:spacing w:before="156" w:after="156" w:line="460" w:lineRule="exact"/>
        <w:ind w:firstLine="639"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Cs/>
          <w:snapToGrid w:val="0"/>
          <w:color w:val="000000" w:themeColor="text1"/>
          <w:sz w:val="30"/>
          <w:szCs w:val="30"/>
          <w14:textFill>
            <w14:solidFill>
              <w14:schemeClr w14:val="tx1"/>
            </w14:solidFill>
          </w14:textFill>
        </w:rPr>
        <w:t>2.实施地点：</w:t>
      </w:r>
    </w:p>
    <w:p>
      <w:pPr>
        <w:pStyle w:val="31"/>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八、货款支付</w:t>
      </w:r>
    </w:p>
    <w:p>
      <w:pPr>
        <w:spacing w:line="360" w:lineRule="auto"/>
        <w:rPr>
          <w:rFonts w:ascii="仿宋" w:hAnsi="仿宋" w:eastAsia="仿宋"/>
          <w:bCs/>
          <w:snapToGrid w:val="0"/>
          <w:color w:val="000000" w:themeColor="text1"/>
          <w:sz w:val="30"/>
          <w:szCs w:val="30"/>
          <w14:textFill>
            <w14:solidFill>
              <w14:schemeClr w14:val="tx1"/>
            </w14:solidFill>
          </w14:textFill>
        </w:rPr>
      </w:pPr>
      <w:r>
        <w:rPr>
          <w:rFonts w:hint="eastAsia" w:ascii="仿宋" w:hAnsi="仿宋" w:eastAsia="仿宋"/>
          <w:bCs/>
          <w:snapToGrid w:val="0"/>
          <w:color w:val="000000" w:themeColor="text1"/>
          <w:sz w:val="30"/>
          <w:szCs w:val="30"/>
          <w14:textFill>
            <w14:solidFill>
              <w14:schemeClr w14:val="tx1"/>
            </w14:solidFill>
          </w14:textFill>
        </w:rPr>
        <w:t xml:space="preserve"> 付款方式：（根据采购文件“第四部分商务要求表付款条件”内容填写）</w:t>
      </w:r>
    </w:p>
    <w:p>
      <w:pPr>
        <w:adjustRightInd w:val="0"/>
        <w:snapToGrid w:val="0"/>
        <w:spacing w:before="156" w:beforeLines="50" w:after="156" w:afterLines="50" w:line="460" w:lineRule="exact"/>
        <w:ind w:firstLine="641" w:firstLineChars="213"/>
        <w:rPr>
          <w:rFonts w:ascii="仿宋" w:hAnsi="仿宋" w:eastAsia="仿宋"/>
          <w:b/>
          <w:snapToGrid w:val="0"/>
          <w:color w:val="000000" w:themeColor="text1"/>
          <w:kern w:val="0"/>
          <w:sz w:val="30"/>
          <w:szCs w:val="30"/>
          <w14:textFill>
            <w14:solidFill>
              <w14:schemeClr w14:val="tx1"/>
            </w14:solidFill>
          </w14:textFill>
        </w:rPr>
      </w:pPr>
      <w:r>
        <w:rPr>
          <w:rFonts w:hint="eastAsia" w:ascii="仿宋" w:hAnsi="仿宋" w:eastAsia="仿宋"/>
          <w:b/>
          <w:snapToGrid w:val="0"/>
          <w:color w:val="000000" w:themeColor="text1"/>
          <w:kern w:val="0"/>
          <w:sz w:val="30"/>
          <w:szCs w:val="30"/>
          <w14:textFill>
            <w14:solidFill>
              <w14:schemeClr w14:val="tx1"/>
            </w14:solidFill>
          </w14:textFill>
        </w:rPr>
        <w:t>九、税费</w:t>
      </w:r>
    </w:p>
    <w:p>
      <w:pPr>
        <w:adjustRightInd w:val="0"/>
        <w:snapToGrid w:val="0"/>
        <w:spacing w:before="156" w:beforeLines="50" w:after="156" w:afterLines="50" w:line="460" w:lineRule="exact"/>
        <w:ind w:firstLine="639" w:firstLineChars="213"/>
        <w:rPr>
          <w:rFonts w:ascii="仿宋" w:hAnsi="仿宋" w:eastAsia="仿宋"/>
          <w:snapToGrid w:val="0"/>
          <w:color w:val="000000" w:themeColor="text1"/>
          <w:kern w:val="0"/>
          <w:sz w:val="30"/>
          <w:szCs w:val="30"/>
          <w14:textFill>
            <w14:solidFill>
              <w14:schemeClr w14:val="tx1"/>
            </w14:solidFill>
          </w14:textFill>
        </w:rPr>
      </w:pPr>
      <w:r>
        <w:rPr>
          <w:rFonts w:hint="eastAsia" w:ascii="仿宋" w:hAnsi="仿宋" w:eastAsia="仿宋"/>
          <w:snapToGrid w:val="0"/>
          <w:color w:val="000000" w:themeColor="text1"/>
          <w:kern w:val="0"/>
          <w:sz w:val="30"/>
          <w:szCs w:val="30"/>
          <w14:textFill>
            <w14:solidFill>
              <w14:schemeClr w14:val="tx1"/>
            </w14:solidFill>
          </w14:textFill>
        </w:rPr>
        <w:t>本合同执行中相关的一切税费均由乙方负担。</w:t>
      </w:r>
    </w:p>
    <w:p>
      <w:pPr>
        <w:pStyle w:val="31"/>
        <w:adjustRightInd w:val="0"/>
        <w:snapToGrid w:val="0"/>
        <w:spacing w:before="156" w:after="156" w:line="460" w:lineRule="exact"/>
        <w:ind w:firstLine="596" w:firstLineChars="198"/>
        <w:rPr>
          <w:rFonts w:ascii="仿宋" w:hAnsi="仿宋" w:eastAsia="仿宋"/>
          <w:snapToGrid w:val="0"/>
          <w:color w:val="000000" w:themeColor="text1"/>
          <w:kern w:val="0"/>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十、质量保证及售后服务</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详见招标文件。</w:t>
      </w:r>
    </w:p>
    <w:p>
      <w:pPr>
        <w:pStyle w:val="31"/>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十一、调试和验收</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详见招标文件、投标文件。</w:t>
      </w:r>
    </w:p>
    <w:p>
      <w:pPr>
        <w:pStyle w:val="31"/>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十二、货物包装</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详见招标文件、投标文件。</w:t>
      </w:r>
    </w:p>
    <w:p>
      <w:pPr>
        <w:pStyle w:val="31"/>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十三、违约责任</w:t>
      </w:r>
    </w:p>
    <w:p>
      <w:pPr>
        <w:pStyle w:val="31"/>
        <w:adjustRightInd w:val="0"/>
        <w:snapToGrid w:val="0"/>
        <w:spacing w:before="156" w:after="156"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1.甲方无正当理由拒收验收项目的，甲方向乙方偿付拒收合同总价的百分之五违约金。</w:t>
      </w:r>
    </w:p>
    <w:p>
      <w:pPr>
        <w:pStyle w:val="31"/>
        <w:adjustRightInd w:val="0"/>
        <w:snapToGrid w:val="0"/>
        <w:spacing w:before="156" w:after="156" w:line="460" w:lineRule="exact"/>
        <w:ind w:left="1"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2. 甲方收到乙方提供的发票，结合验收情况，验收合格的，在15日内将采购资金支付到乙方约定账户。</w:t>
      </w:r>
    </w:p>
    <w:p>
      <w:pPr>
        <w:pStyle w:val="31"/>
        <w:adjustRightInd w:val="0"/>
        <w:snapToGrid w:val="0"/>
        <w:spacing w:before="156" w:after="156"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甲方无故逾期验收和办理合同款项支付手续的,甲方应按逾期付款总额每日万分之五向乙方支付违约金。</w:t>
      </w:r>
    </w:p>
    <w:p>
      <w:pPr>
        <w:pStyle w:val="31"/>
        <w:adjustRightInd w:val="0"/>
        <w:snapToGrid w:val="0"/>
        <w:spacing w:before="156" w:after="156"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1"/>
        <w:adjustRightInd w:val="0"/>
        <w:snapToGrid w:val="0"/>
        <w:spacing w:before="156" w:after="156"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1"/>
        <w:adjustRightInd w:val="0"/>
        <w:snapToGrid w:val="0"/>
        <w:spacing w:before="156" w:after="156"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5.解除合同应按《浙江省政府采购合同暂行办法》向财政备案。</w:t>
      </w:r>
    </w:p>
    <w:p>
      <w:pPr>
        <w:pStyle w:val="31"/>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十四、不可抗力事件处理</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1.在合同有效期内，任何一方因不可抗力事件导致不能履行合同，则合同履行期可延长，其延长期与不可抗力影响期相同。</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2.不可抗力事件发生后，应立即通知对方，并寄送有关权威机构出具的证明。</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3.不可抗力事件延续120天以上，双方应通过友好协商，确定是否继续履行合同。</w:t>
      </w:r>
    </w:p>
    <w:p>
      <w:pPr>
        <w:pStyle w:val="31"/>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十五、诉讼</w:t>
      </w:r>
    </w:p>
    <w:p>
      <w:pPr>
        <w:pStyle w:val="31"/>
        <w:adjustRightInd w:val="0"/>
        <w:snapToGrid w:val="0"/>
        <w:spacing w:before="156" w:after="156" w:line="460" w:lineRule="exact"/>
        <w:ind w:left="2"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双方在执行合同中所发生的一切争议，应通过协商解决。如协商不成，可向甲方所在地法院起诉。</w:t>
      </w:r>
    </w:p>
    <w:p>
      <w:pPr>
        <w:pStyle w:val="31"/>
        <w:adjustRightInd w:val="0"/>
        <w:snapToGrid w:val="0"/>
        <w:spacing w:before="156" w:after="156" w:line="460" w:lineRule="exact"/>
        <w:ind w:firstLine="641" w:firstLineChars="213"/>
        <w:rPr>
          <w:rFonts w:ascii="仿宋" w:hAnsi="仿宋" w:eastAsia="仿宋"/>
          <w:b/>
          <w:snapToGrid w:val="0"/>
          <w:color w:val="000000" w:themeColor="text1"/>
          <w:sz w:val="30"/>
          <w:szCs w:val="30"/>
          <w14:textFill>
            <w14:solidFill>
              <w14:schemeClr w14:val="tx1"/>
            </w14:solidFill>
          </w14:textFill>
        </w:rPr>
      </w:pPr>
      <w:r>
        <w:rPr>
          <w:rFonts w:hint="eastAsia" w:ascii="仿宋" w:hAnsi="仿宋" w:eastAsia="仿宋"/>
          <w:b/>
          <w:snapToGrid w:val="0"/>
          <w:color w:val="000000" w:themeColor="text1"/>
          <w:sz w:val="30"/>
          <w:szCs w:val="30"/>
          <w14:textFill>
            <w14:solidFill>
              <w14:schemeClr w14:val="tx1"/>
            </w14:solidFill>
          </w14:textFill>
        </w:rPr>
        <w:t>十六、合同生效及其它</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1.合同经甲、乙两方签名并加盖单位公章后生效。</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2.合同执行中涉及采购资金和采购内容修改或补充的，须双方经财政部门审批，并签书面补充协议，经报政府采购监督管理部门备案后，方可作为主合同不可分割的一部分。</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3.招标文件、投标文件与本合同具有同等法律效力。</w:t>
      </w:r>
    </w:p>
    <w:p>
      <w:pPr>
        <w:pStyle w:val="31"/>
        <w:adjustRightInd w:val="0"/>
        <w:snapToGrid w:val="0"/>
        <w:spacing w:before="156" w:after="156" w:line="460" w:lineRule="exact"/>
        <w:ind w:firstLine="59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adjustRightInd w:val="0"/>
        <w:snapToGrid w:val="0"/>
        <w:spacing w:before="156" w:after="156" w:line="460" w:lineRule="exact"/>
        <w:ind w:firstLine="600" w:firstLineChars="200"/>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5.本合同未尽事宜，遵照《中华人民共和国民法典》有关条文执行。</w:t>
      </w:r>
    </w:p>
    <w:p>
      <w:pPr>
        <w:pStyle w:val="31"/>
        <w:adjustRightInd w:val="0"/>
        <w:snapToGrid w:val="0"/>
        <w:spacing w:before="120" w:beforeLines="0" w:after="156" w:line="460" w:lineRule="exact"/>
        <w:ind w:left="2" w:leftChars="1" w:firstLine="600" w:firstLineChars="200"/>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6.本合同一式四份，具有同等法律效力，甲、乙两方各执二份。</w:t>
      </w:r>
    </w:p>
    <w:p>
      <w:pPr>
        <w:pStyle w:val="31"/>
        <w:adjustRightInd w:val="0"/>
        <w:snapToGrid w:val="0"/>
        <w:spacing w:before="156" w:after="156"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p>
    <w:p>
      <w:pPr>
        <w:pStyle w:val="31"/>
        <w:adjustRightInd w:val="0"/>
        <w:snapToGrid w:val="0"/>
        <w:spacing w:before="156" w:after="156" w:line="460" w:lineRule="exact"/>
        <w:ind w:left="1"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 xml:space="preserve">甲方（盖章）：                                   </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 xml:space="preserve">地址：                                   </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 xml:space="preserve">法定（授权）代表人：                   </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 xml:space="preserve">签名日期：     年   月   日           </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乙方（盖章）：</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 xml:space="preserve">地址： </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开户行：</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开户帐号：</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法定（授权）代表人：</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r>
        <w:rPr>
          <w:rFonts w:hint="eastAsia" w:ascii="仿宋" w:hAnsi="仿宋" w:eastAsia="仿宋"/>
          <w:snapToGrid w:val="0"/>
          <w:color w:val="000000" w:themeColor="text1"/>
          <w:sz w:val="30"/>
          <w:szCs w:val="30"/>
          <w14:textFill>
            <w14:solidFill>
              <w14:schemeClr w14:val="tx1"/>
            </w14:solidFill>
          </w14:textFill>
        </w:rPr>
        <w:t>签名日期：      年   月   日</w:t>
      </w:r>
    </w:p>
    <w:p>
      <w:pPr>
        <w:pStyle w:val="31"/>
        <w:adjustRightInd w:val="0"/>
        <w:snapToGrid w:val="0"/>
        <w:spacing w:before="156" w:after="156" w:line="460" w:lineRule="exact"/>
        <w:ind w:firstLine="639" w:firstLineChars="213"/>
        <w:rPr>
          <w:rFonts w:ascii="仿宋" w:hAnsi="仿宋" w:eastAsia="仿宋"/>
          <w:snapToGrid w:val="0"/>
          <w:color w:val="000000" w:themeColor="text1"/>
          <w:sz w:val="30"/>
          <w:szCs w:val="30"/>
          <w14:textFill>
            <w14:solidFill>
              <w14:schemeClr w14:val="tx1"/>
            </w14:solidFill>
          </w14:textFill>
        </w:rPr>
      </w:pPr>
    </w:p>
    <w:p>
      <w:pPr>
        <w:rPr>
          <w:color w:val="000000" w:themeColor="text1"/>
          <w:szCs w:val="30"/>
          <w14:textFill>
            <w14:solidFill>
              <w14:schemeClr w14:val="tx1"/>
            </w14:solidFill>
          </w14:textFill>
        </w:rPr>
      </w:pPr>
    </w:p>
    <w:p>
      <w:pPr>
        <w:pStyle w:val="31"/>
        <w:spacing w:before="156" w:after="156" w:line="360" w:lineRule="auto"/>
        <w:jc w:val="center"/>
        <w:outlineLvl w:val="0"/>
        <w:rPr>
          <w:rFonts w:hAnsi="宋体"/>
          <w:b/>
          <w:color w:val="000000" w:themeColor="text1"/>
          <w:sz w:val="36"/>
          <w:szCs w:val="36"/>
          <w14:textFill>
            <w14:solidFill>
              <w14:schemeClr w14:val="tx1"/>
            </w14:solidFill>
          </w14:textFill>
        </w:rPr>
      </w:pPr>
      <w:r>
        <w:rPr>
          <w:rFonts w:hint="eastAsia" w:ascii="仿宋_GB2312" w:eastAsia="仿宋_GB2312"/>
          <w:snapToGrid w:val="0"/>
          <w:color w:val="000000" w:themeColor="text1"/>
          <w:kern w:val="0"/>
          <w:sz w:val="30"/>
          <w:szCs w:val="30"/>
          <w14:textFill>
            <w14:solidFill>
              <w14:schemeClr w14:val="tx1"/>
            </w14:solidFill>
          </w14:textFill>
        </w:rPr>
        <w:br w:type="page"/>
      </w:r>
      <w:bookmarkStart w:id="37" w:name="_Toc22013"/>
      <w:r>
        <w:rPr>
          <w:rFonts w:hint="eastAsia" w:hAnsi="宋体"/>
          <w:b/>
          <w:color w:val="000000" w:themeColor="text1"/>
          <w:sz w:val="36"/>
          <w:szCs w:val="36"/>
          <w14:textFill>
            <w14:solidFill>
              <w14:schemeClr w14:val="tx1"/>
            </w14:solidFill>
          </w14:textFill>
        </w:rPr>
        <w:t>第六章投标文件格式附件</w:t>
      </w:r>
      <w:bookmarkEnd w:id="37"/>
    </w:p>
    <w:p>
      <w:pPr>
        <w:pStyle w:val="31"/>
        <w:spacing w:before="156" w:after="156" w:line="360" w:lineRule="auto"/>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snapToGrid w:val="0"/>
        <w:spacing w:before="156" w:beforeLines="50" w:after="50"/>
        <w:rPr>
          <w:rFonts w:hint="eastAsia" w:ascii="仿宋" w:hAnsi="仿宋" w:eastAsia="仿宋"/>
          <w:color w:val="000000" w:themeColor="text1"/>
          <w:sz w:val="30"/>
          <w:szCs w:val="30"/>
          <w14:textFill>
            <w14:solidFill>
              <w14:schemeClr w14:val="tx1"/>
            </w14:solidFill>
          </w14:textFill>
        </w:rPr>
      </w:pPr>
    </w:p>
    <w:p>
      <w:pPr>
        <w:snapToGrid w:val="0"/>
        <w:spacing w:before="156" w:beforeLines="50" w:after="50"/>
        <w:rPr>
          <w:rFonts w:ascii="仿宋" w:hAnsi="仿宋" w:eastAsia="仿宋"/>
          <w:bCs/>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附件1</w:t>
      </w:r>
      <w:r>
        <w:rPr>
          <w:rFonts w:hint="eastAsia" w:ascii="仿宋" w:hAnsi="仿宋" w:eastAsia="仿宋"/>
          <w:b/>
          <w:color w:val="000000" w:themeColor="text1"/>
          <w:sz w:val="30"/>
          <w:szCs w:val="30"/>
          <w14:textFill>
            <w14:solidFill>
              <w14:schemeClr w14:val="tx1"/>
            </w14:solidFill>
          </w14:textFill>
        </w:rPr>
        <w:t xml:space="preserve">：                                          </w:t>
      </w:r>
    </w:p>
    <w:p>
      <w:pPr>
        <w:spacing w:before="312" w:beforeLines="100" w:line="240" w:lineRule="atLeast"/>
        <w:jc w:val="center"/>
        <w:rPr>
          <w:rFonts w:hint="eastAsia" w:ascii="仿宋" w:hAnsi="仿宋" w:eastAsia="仿宋"/>
          <w:color w:val="000000" w:themeColor="text1"/>
          <w:sz w:val="36"/>
          <w:szCs w:val="36"/>
          <w:lang w:eastAsia="zh-CN"/>
          <w14:textFill>
            <w14:solidFill>
              <w14:schemeClr w14:val="tx1"/>
            </w14:solidFill>
          </w14:textFill>
        </w:rPr>
      </w:pPr>
      <w:bookmarkStart w:id="38" w:name="PO_1000000445_PM002_2"/>
      <w:r>
        <w:rPr>
          <w:rFonts w:hint="eastAsia" w:ascii="仿宋" w:hAnsi="仿宋" w:eastAsia="仿宋"/>
          <w:b/>
          <w:color w:val="000000" w:themeColor="text1"/>
          <w:spacing w:val="40"/>
          <w:sz w:val="52"/>
          <w:szCs w:val="52"/>
          <w:lang w:eastAsia="zh-CN"/>
          <w14:textFill>
            <w14:solidFill>
              <w14:schemeClr w14:val="tx1"/>
            </w14:solidFill>
          </w14:textFill>
        </w:rPr>
        <w:t>省体育彩票管理中心物业服务采购项目</w:t>
      </w:r>
      <w:bookmarkEnd w:id="38"/>
    </w:p>
    <w:p>
      <w:pPr>
        <w:spacing w:before="312" w:beforeLines="100" w:line="240" w:lineRule="atLeast"/>
        <w:jc w:val="center"/>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项目编号：</w:t>
      </w:r>
      <w:bookmarkStart w:id="39" w:name="PO_15528_PM001_2"/>
      <w:r>
        <w:rPr>
          <w:rFonts w:hint="eastAsia" w:ascii="仿宋" w:hAnsi="仿宋" w:eastAsia="仿宋"/>
          <w:color w:val="000000" w:themeColor="text1"/>
          <w:sz w:val="36"/>
          <w:szCs w:val="36"/>
          <w:lang w:eastAsia="zh-CN"/>
          <w14:textFill>
            <w14:solidFill>
              <w14:schemeClr w14:val="tx1"/>
            </w14:solidFill>
          </w14:textFill>
        </w:rPr>
        <w:t>ZZCG2023P-GK-157</w:t>
      </w:r>
      <w:bookmarkEnd w:id="39"/>
      <w:r>
        <w:rPr>
          <w:rFonts w:hint="eastAsia" w:ascii="仿宋" w:hAnsi="仿宋" w:eastAsia="仿宋"/>
          <w:color w:val="000000" w:themeColor="text1"/>
          <w:sz w:val="36"/>
          <w:szCs w:val="36"/>
          <w14:textFill>
            <w14:solidFill>
              <w14:schemeClr w14:val="tx1"/>
            </w14:solidFill>
          </w14:textFill>
        </w:rPr>
        <w:t>（标项  ）</w:t>
      </w: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资</w:t>
      </w: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格</w:t>
      </w: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文</w:t>
      </w: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p>
    <w:p>
      <w:pPr>
        <w:spacing w:after="100" w:afterAutospacing="1" w:line="800" w:lineRule="exact"/>
        <w:ind w:right="-108"/>
        <w:jc w:val="center"/>
        <w:rPr>
          <w:rFonts w:ascii="仿宋" w:hAnsi="仿宋" w:eastAsia="仿宋"/>
          <w:color w:val="000000" w:themeColor="text1"/>
          <w:sz w:val="36"/>
          <w:szCs w:val="36"/>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件</w:t>
      </w:r>
    </w:p>
    <w:p>
      <w:pPr>
        <w:spacing w:line="600" w:lineRule="exact"/>
        <w:ind w:right="532"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投标人全称：</w:t>
      </w:r>
    </w:p>
    <w:p>
      <w:pPr>
        <w:spacing w:line="600" w:lineRule="exact"/>
        <w:ind w:right="532"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地    址：</w:t>
      </w:r>
    </w:p>
    <w:p>
      <w:pPr>
        <w:spacing w:line="600" w:lineRule="exact"/>
        <w:ind w:right="532"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时    间：</w:t>
      </w:r>
    </w:p>
    <w:p>
      <w:pPr>
        <w:snapToGrid w:val="0"/>
        <w:spacing w:before="50" w:after="50"/>
        <w:rPr>
          <w:rFonts w:ascii="仿宋" w:hAnsi="仿宋" w:eastAsia="仿宋"/>
          <w:b/>
          <w:bCs/>
          <w:sz w:val="36"/>
          <w:szCs w:val="36"/>
        </w:rPr>
      </w:pPr>
      <w:r>
        <w:rPr>
          <w:rFonts w:hint="eastAsia" w:ascii="仿宋" w:hAnsi="仿宋" w:eastAsia="仿宋"/>
          <w:b/>
          <w:color w:val="000000" w:themeColor="text1"/>
          <w:kern w:val="0"/>
          <w:sz w:val="36"/>
          <w:szCs w:val="36"/>
          <w14:textFill>
            <w14:solidFill>
              <w14:schemeClr w14:val="tx1"/>
            </w14:solidFill>
          </w14:textFill>
        </w:rPr>
        <w:br w:type="page"/>
      </w:r>
      <w:r>
        <w:rPr>
          <w:rFonts w:hint="eastAsia" w:ascii="仿宋" w:hAnsi="仿宋" w:eastAsia="仿宋"/>
          <w:b/>
          <w:sz w:val="36"/>
          <w:szCs w:val="36"/>
        </w:rPr>
        <w:t>1、</w:t>
      </w:r>
      <w:r>
        <w:rPr>
          <w:rFonts w:hint="eastAsia" w:ascii="仿宋" w:hAnsi="仿宋" w:eastAsia="仿宋"/>
          <w:b/>
          <w:bCs/>
          <w:sz w:val="36"/>
          <w:szCs w:val="36"/>
        </w:rPr>
        <w:t>资格文件目录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（1）声明书 (格式见附件2)；</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（2）法定代表人授权委托书(以非联合体形式投标的提供，格式见附件3</w:t>
      </w:r>
      <w:r>
        <w:rPr>
          <w:rFonts w:ascii="仿宋" w:hAnsi="仿宋" w:eastAsia="仿宋"/>
          <w:sz w:val="30"/>
          <w:szCs w:val="30"/>
        </w:rPr>
        <w:t>-1</w:t>
      </w:r>
      <w:r>
        <w:rPr>
          <w:rFonts w:hint="eastAsia" w:ascii="仿宋" w:hAnsi="仿宋" w:eastAsia="仿宋"/>
          <w:sz w:val="30"/>
          <w:szCs w:val="30"/>
        </w:rPr>
        <w:t>)或法定代表人身份证明（法定代表人代表投标人投标的提供，格式见附件3</w:t>
      </w:r>
      <w:r>
        <w:rPr>
          <w:rFonts w:ascii="仿宋" w:hAnsi="仿宋" w:eastAsia="仿宋"/>
          <w:sz w:val="30"/>
          <w:szCs w:val="30"/>
        </w:rPr>
        <w:t>-2</w:t>
      </w:r>
      <w:r>
        <w:rPr>
          <w:rFonts w:hint="eastAsia" w:ascii="仿宋" w:hAnsi="仿宋" w:eastAsia="仿宋"/>
          <w:sz w:val="30"/>
          <w:szCs w:val="30"/>
        </w:rPr>
        <w:t>）或联合投标授权委托书（以联合体形式投标的提供，格式见附件</w:t>
      </w:r>
      <w:r>
        <w:rPr>
          <w:rFonts w:ascii="仿宋" w:hAnsi="仿宋" w:eastAsia="仿宋"/>
          <w:sz w:val="30"/>
          <w:szCs w:val="30"/>
        </w:rPr>
        <w:t>5</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（4）联合投标协议书（以联合体形式投标的须提供，格式见附件4）;</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5</w:t>
      </w:r>
      <w:r>
        <w:rPr>
          <w:rFonts w:hint="eastAsia" w:ascii="仿宋" w:hAnsi="仿宋" w:eastAsia="仿宋"/>
          <w:sz w:val="30"/>
          <w:szCs w:val="30"/>
        </w:rPr>
        <w:t>）分包意向协议（以分包方式履行合同的须提供，格式见附件6）</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6</w:t>
      </w:r>
      <w:r>
        <w:rPr>
          <w:rFonts w:hint="eastAsia" w:ascii="仿宋" w:hAnsi="仿宋" w:eastAsia="仿宋"/>
          <w:sz w:val="30"/>
          <w:szCs w:val="30"/>
        </w:rPr>
        <w:t>）提供采购公告中符合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4"/>
        <w:snapToGrid w:val="0"/>
        <w:spacing w:after="120"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widowControl/>
        <w:jc w:val="left"/>
        <w:rPr>
          <w:rFonts w:ascii="仿宋" w:hAnsi="仿宋" w:eastAsia="仿宋"/>
          <w:bCs/>
          <w:sz w:val="28"/>
          <w:szCs w:val="28"/>
        </w:rPr>
      </w:pPr>
      <w:r>
        <w:rPr>
          <w:rFonts w:ascii="仿宋" w:hAnsi="仿宋" w:eastAsia="仿宋"/>
          <w:bCs/>
          <w:sz w:val="28"/>
          <w:szCs w:val="28"/>
        </w:rPr>
        <w:br w:type="page"/>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▲投标人须知（九）投标无效的情形中“1.投标人未能提供合格的资格文件”包括但不限于下列情形：</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1</w:t>
      </w:r>
      <w:r>
        <w:rPr>
          <w:rFonts w:ascii="仿宋" w:hAnsi="仿宋" w:eastAsia="仿宋"/>
          <w:b/>
          <w:bCs/>
          <w:sz w:val="30"/>
          <w:szCs w:val="30"/>
        </w:rPr>
        <w:t>.</w:t>
      </w:r>
      <w:r>
        <w:rPr>
          <w:rFonts w:hint="eastAsia" w:ascii="仿宋" w:hAnsi="仿宋" w:eastAsia="仿宋"/>
          <w:b/>
          <w:bCs/>
          <w:sz w:val="30"/>
          <w:szCs w:val="30"/>
        </w:rPr>
        <w:t>声明书：</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未提供声明书或声明书未盖投标人公章；</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联合体形式投标的，未分别提供联合体各方声明书</w:t>
      </w:r>
      <w:r>
        <w:rPr>
          <w:rFonts w:hint="eastAsia" w:ascii="仿宋" w:hAnsi="仿宋" w:eastAsia="仿宋"/>
          <w:bCs/>
          <w:sz w:val="30"/>
          <w:szCs w:val="30"/>
        </w:rPr>
        <w:t>或声明书未盖投标人公章</w:t>
      </w:r>
      <w:r>
        <w:rPr>
          <w:rFonts w:hint="eastAsia" w:ascii="仿宋" w:hAnsi="仿宋" w:eastAsia="仿宋"/>
          <w:sz w:val="30"/>
          <w:szCs w:val="30"/>
        </w:rPr>
        <w:t>；</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2.</w:t>
      </w:r>
      <w:r>
        <w:rPr>
          <w:rFonts w:hint="eastAsia" w:ascii="仿宋" w:hAnsi="仿宋" w:eastAsia="仿宋"/>
          <w:b/>
          <w:sz w:val="30"/>
          <w:szCs w:val="30"/>
        </w:rPr>
        <w:t>法定代表人授权书或法定代表人身份证明或联合投标授权委托书：</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以非联合体形式投标的，未提供法定代表人授权委托书或委托书</w:t>
      </w:r>
      <w:r>
        <w:rPr>
          <w:rFonts w:hint="eastAsia" w:ascii="仿宋" w:hAnsi="仿宋" w:eastAsia="仿宋"/>
          <w:bCs/>
          <w:sz w:val="30"/>
          <w:szCs w:val="30"/>
        </w:rPr>
        <w:t>无法定代表人签章或未盖投标人公章；</w:t>
      </w:r>
      <w:r>
        <w:rPr>
          <w:rFonts w:hint="eastAsia" w:ascii="仿宋" w:hAnsi="仿宋" w:eastAsia="仿宋"/>
          <w:sz w:val="30"/>
          <w:szCs w:val="30"/>
        </w:rPr>
        <w:t>法定代表人代表投标人投标的，</w:t>
      </w:r>
      <w:r>
        <w:rPr>
          <w:rFonts w:hint="eastAsia" w:ascii="仿宋" w:hAnsi="仿宋" w:eastAsia="仿宋"/>
          <w:bCs/>
          <w:sz w:val="30"/>
          <w:szCs w:val="30"/>
        </w:rPr>
        <w:t>未提供身份证或身份证不在有效期内或未签章；</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联合体形式投标的，未提供联合投标授权委托书或委托书</w:t>
      </w:r>
      <w:r>
        <w:rPr>
          <w:rFonts w:hint="eastAsia" w:ascii="仿宋" w:hAnsi="仿宋" w:eastAsia="仿宋"/>
          <w:bCs/>
          <w:sz w:val="30"/>
          <w:szCs w:val="30"/>
        </w:rPr>
        <w:t>无联合体各方法定代表人签章或未盖联合体各方公章；</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3</w:t>
      </w:r>
      <w:r>
        <w:rPr>
          <w:rFonts w:ascii="仿宋" w:hAnsi="仿宋" w:eastAsia="仿宋"/>
          <w:b/>
          <w:bCs/>
          <w:sz w:val="30"/>
          <w:szCs w:val="30"/>
        </w:rPr>
        <w:t>.</w:t>
      </w:r>
      <w:r>
        <w:rPr>
          <w:rFonts w:hint="eastAsia" w:ascii="仿宋" w:hAnsi="仿宋" w:eastAsia="仿宋"/>
          <w:b/>
          <w:bCs/>
          <w:sz w:val="30"/>
          <w:szCs w:val="30"/>
        </w:rPr>
        <w:t>营业执照：</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未提供营业执照或营业执照不在有效期内或未盖投标人公章；</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联合体形式投标的，未提供联合体各方</w:t>
      </w:r>
      <w:r>
        <w:rPr>
          <w:rFonts w:hint="eastAsia" w:ascii="仿宋" w:hAnsi="仿宋" w:eastAsia="仿宋"/>
          <w:bCs/>
          <w:sz w:val="30"/>
          <w:szCs w:val="30"/>
        </w:rPr>
        <w:t>营业执照或营业执照不在有效期内或未盖投标人公章</w:t>
      </w:r>
      <w:r>
        <w:rPr>
          <w:rFonts w:hint="eastAsia" w:ascii="仿宋" w:hAnsi="仿宋" w:eastAsia="仿宋"/>
          <w:sz w:val="30"/>
          <w:szCs w:val="30"/>
        </w:rPr>
        <w:t>；</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事业单位投标的，未提供事业单位法人证书或事业单位法人证书不在有效期内或未盖投标人公章；自然人投标的，未提供身份证或身份证不在有效期内或未签章；</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4.</w:t>
      </w:r>
      <w:r>
        <w:rPr>
          <w:rFonts w:hint="eastAsia" w:ascii="仿宋" w:hAnsi="仿宋" w:eastAsia="仿宋"/>
          <w:b/>
          <w:sz w:val="30"/>
          <w:szCs w:val="30"/>
        </w:rPr>
        <w:t>联合投标协议书：</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联合体形式投标的，未提供联合投标协议书或</w:t>
      </w:r>
      <w:r>
        <w:rPr>
          <w:rFonts w:hint="eastAsia" w:ascii="仿宋" w:hAnsi="仿宋" w:eastAsia="仿宋"/>
          <w:bCs/>
          <w:sz w:val="30"/>
          <w:szCs w:val="30"/>
        </w:rPr>
        <w:t>未盖联合体各方公章或</w:t>
      </w:r>
      <w:r>
        <w:rPr>
          <w:rFonts w:hint="eastAsia" w:ascii="仿宋" w:hAnsi="仿宋" w:eastAsia="仿宋"/>
          <w:sz w:val="30"/>
          <w:szCs w:val="30"/>
        </w:rPr>
        <w:t>未列明联合体各方承担的工作、义务、合同金额占比；</w:t>
      </w:r>
    </w:p>
    <w:p>
      <w:pPr>
        <w:snapToGrid w:val="0"/>
        <w:spacing w:line="460" w:lineRule="exact"/>
        <w:ind w:firstLine="446" w:firstLineChars="148"/>
        <w:jc w:val="left"/>
        <w:outlineLvl w:val="1"/>
        <w:rPr>
          <w:rFonts w:ascii="仿宋" w:hAnsi="仿宋" w:eastAsia="仿宋"/>
          <w:b/>
          <w:sz w:val="30"/>
          <w:szCs w:val="30"/>
        </w:rPr>
      </w:pPr>
      <w:r>
        <w:rPr>
          <w:rFonts w:hint="eastAsia" w:ascii="仿宋" w:hAnsi="仿宋" w:eastAsia="仿宋"/>
          <w:b/>
          <w:sz w:val="30"/>
          <w:szCs w:val="30"/>
        </w:rPr>
        <w:t>5</w:t>
      </w:r>
      <w:r>
        <w:rPr>
          <w:rFonts w:ascii="仿宋" w:hAnsi="仿宋" w:eastAsia="仿宋"/>
          <w:b/>
          <w:sz w:val="30"/>
          <w:szCs w:val="30"/>
        </w:rPr>
        <w:t>.</w:t>
      </w:r>
      <w:r>
        <w:rPr>
          <w:rFonts w:hint="eastAsia" w:ascii="仿宋" w:hAnsi="仿宋" w:eastAsia="仿宋"/>
          <w:b/>
          <w:sz w:val="30"/>
          <w:szCs w:val="30"/>
        </w:rPr>
        <w:t xml:space="preserve"> 投标人的特定条件证明材料：</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合格投标人的资格要求中有投标人的特定条件的，未提供符合投标人特定条件证明材料或证明材</w:t>
      </w:r>
      <w:r>
        <w:rPr>
          <w:rFonts w:hint="eastAsia" w:ascii="仿宋" w:hAnsi="仿宋" w:eastAsia="仿宋"/>
          <w:bCs/>
          <w:sz w:val="30"/>
          <w:szCs w:val="30"/>
        </w:rPr>
        <w:t>料不在有效期内或未盖投标人公章；</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6</w:t>
      </w:r>
      <w:r>
        <w:rPr>
          <w:rFonts w:ascii="仿宋" w:hAnsi="仿宋" w:eastAsia="仿宋"/>
          <w:b/>
          <w:bCs/>
          <w:sz w:val="30"/>
          <w:szCs w:val="30"/>
        </w:rPr>
        <w:t>.</w:t>
      </w:r>
      <w:r>
        <w:rPr>
          <w:rFonts w:hint="eastAsia" w:ascii="仿宋" w:hAnsi="仿宋" w:eastAsia="仿宋"/>
          <w:b/>
          <w:bCs/>
          <w:sz w:val="30"/>
          <w:szCs w:val="30"/>
        </w:rPr>
        <w:t>中小企业声明函：</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项目专门面向中小企业的，未提供中小企业声明函或中小企业声明函中未完整填写标的名称、企业名称、从业人员、营业收入、资产总额或未盖投标人公章；</w:t>
      </w:r>
    </w:p>
    <w:p>
      <w:pPr>
        <w:snapToGrid w:val="0"/>
        <w:spacing w:line="460" w:lineRule="exact"/>
        <w:ind w:firstLine="461" w:firstLineChars="148"/>
        <w:jc w:val="left"/>
        <w:outlineLvl w:val="1"/>
        <w:rPr>
          <w:rFonts w:ascii="仿宋" w:hAnsi="仿宋" w:eastAsia="仿宋"/>
          <w:sz w:val="30"/>
          <w:szCs w:val="30"/>
        </w:rPr>
      </w:pPr>
      <w:r>
        <w:rPr>
          <w:rFonts w:hint="eastAsia" w:ascii="仿宋" w:hAnsi="仿宋" w:eastAsia="仿宋"/>
          <w:spacing w:val="6"/>
          <w:sz w:val="30"/>
          <w:szCs w:val="30"/>
        </w:rPr>
        <w:t>残疾人福利性单位投标的，</w:t>
      </w:r>
      <w:r>
        <w:rPr>
          <w:rFonts w:hint="eastAsia" w:ascii="仿宋" w:hAnsi="仿宋" w:eastAsia="仿宋"/>
          <w:bCs/>
          <w:sz w:val="30"/>
          <w:szCs w:val="30"/>
        </w:rPr>
        <w:t>未提供残疾人福利性单位声明函或未盖投标人公章；监狱企业投标的，未提供由省级以上监狱管理局、戒毒管理局（含新疆生产建设兵团）出具的属于监狱企业的证明文件；</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7.</w:t>
      </w:r>
      <w:r>
        <w:rPr>
          <w:rFonts w:hint="eastAsia" w:ascii="仿宋" w:hAnsi="仿宋" w:eastAsia="仿宋"/>
          <w:b/>
          <w:sz w:val="30"/>
          <w:szCs w:val="30"/>
        </w:rPr>
        <w:t>分包意向协议:</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sz w:val="30"/>
          <w:szCs w:val="30"/>
        </w:rPr>
        <w:t>项目要求以合同分包形式预留份额专门面向中小企业的，未提供分包意向协议或</w:t>
      </w:r>
      <w:r>
        <w:rPr>
          <w:rFonts w:hint="eastAsia" w:ascii="仿宋" w:hAnsi="仿宋" w:eastAsia="仿宋"/>
          <w:bCs/>
          <w:sz w:val="30"/>
          <w:szCs w:val="30"/>
        </w:rPr>
        <w:t>未盖投标人与分包供应商公章或</w:t>
      </w:r>
      <w:r>
        <w:rPr>
          <w:rFonts w:hint="eastAsia" w:ascii="仿宋" w:hAnsi="仿宋" w:eastAsia="仿宋"/>
          <w:sz w:val="30"/>
          <w:szCs w:val="30"/>
        </w:rPr>
        <w:t>未列明分包供应商承担的工作、合同金额占比。</w:t>
      </w:r>
    </w:p>
    <w:p>
      <w:pPr>
        <w:pStyle w:val="31"/>
        <w:snapToGrid w:val="0"/>
        <w:spacing w:before="156" w:after="156" w:line="240" w:lineRule="auto"/>
        <w:rPr>
          <w:rFonts w:ascii="仿宋" w:hAnsi="仿宋" w:eastAsia="仿宋"/>
          <w:sz w:val="30"/>
          <w:szCs w:val="30"/>
        </w:rPr>
      </w:pPr>
    </w:p>
    <w:p>
      <w:pPr>
        <w:pStyle w:val="31"/>
        <w:snapToGrid w:val="0"/>
        <w:spacing w:before="156" w:after="156" w:line="240" w:lineRule="auto"/>
        <w:rPr>
          <w:rFonts w:ascii="仿宋" w:hAnsi="仿宋" w:eastAsia="仿宋"/>
          <w:sz w:val="30"/>
          <w:szCs w:val="30"/>
        </w:rPr>
      </w:pPr>
    </w:p>
    <w:p>
      <w:pPr>
        <w:snapToGrid w:val="0"/>
        <w:spacing w:before="50" w:after="156" w:afterLines="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我方愿意参加贵方组织的</w:t>
      </w:r>
      <w:bookmarkStart w:id="40" w:name="PO_3000002632_PM002"/>
      <w:r>
        <w:rPr>
          <w:rFonts w:hint="eastAsia" w:ascii="仿宋" w:hAnsi="仿宋" w:eastAsia="仿宋"/>
          <w:b/>
          <w:sz w:val="30"/>
          <w:szCs w:val="30"/>
          <w:u w:val="single"/>
          <w:lang w:eastAsia="zh-CN"/>
        </w:rPr>
        <w:t>省体育彩票管理中心物业服务采购项目</w:t>
      </w:r>
      <w:bookmarkEnd w:id="40"/>
      <w:r>
        <w:rPr>
          <w:rFonts w:hint="eastAsia" w:ascii="仿宋" w:hAnsi="仿宋" w:eastAsia="仿宋"/>
          <w:sz w:val="30"/>
          <w:szCs w:val="30"/>
          <w:u w:val="single"/>
        </w:rPr>
        <w:t>（编号为</w:t>
      </w:r>
      <w:bookmarkStart w:id="41" w:name="PO_15528_PM001_3"/>
      <w:r>
        <w:rPr>
          <w:rFonts w:hint="eastAsia" w:ascii="仿宋" w:hAnsi="仿宋" w:eastAsia="仿宋"/>
          <w:sz w:val="30"/>
          <w:szCs w:val="30"/>
          <w:u w:val="single"/>
          <w:lang w:eastAsia="zh-CN"/>
        </w:rPr>
        <w:t>ZZCG2023P-GK-157</w:t>
      </w:r>
      <w:bookmarkEnd w:id="41"/>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w:t>
      </w:r>
      <w:r>
        <w:rPr>
          <w:rFonts w:ascii="仿宋" w:hAnsi="仿宋" w:eastAsia="仿宋"/>
          <w:b/>
          <w:sz w:val="30"/>
          <w:szCs w:val="30"/>
        </w:rPr>
        <w:t>具有良好的商业信誉和健全的财务会计制度</w:t>
      </w:r>
      <w:r>
        <w:rPr>
          <w:rFonts w:hint="eastAsia" w:ascii="仿宋" w:hAnsi="仿宋" w:eastAsia="仿宋"/>
          <w:b/>
          <w:sz w:val="30"/>
          <w:szCs w:val="30"/>
        </w:rPr>
        <w:t>；</w:t>
      </w:r>
      <w:r>
        <w:rPr>
          <w:rFonts w:ascii="仿宋" w:hAnsi="仿宋" w:eastAsia="仿宋"/>
          <w:b/>
          <w:sz w:val="30"/>
          <w:szCs w:val="30"/>
        </w:rPr>
        <w:t>有依法缴纳税收和社会保障资金的良好记录；参加政府采购活动前三年内，在经营活动中没有重大违法记录</w:t>
      </w:r>
      <w:r>
        <w:rPr>
          <w:rFonts w:hint="eastAsia" w:ascii="仿宋" w:hAnsi="仿宋" w:eastAsia="仿宋"/>
          <w:b/>
          <w:sz w:val="30"/>
          <w:szCs w:val="30"/>
        </w:rPr>
        <w:t>。</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单位负责人为同一人或者存在直接控股、管理关系的不同供应商， 参加同一合同项下的政府采购活动</w:t>
      </w:r>
      <w:r>
        <w:rPr>
          <w:rFonts w:hint="eastAsia" w:ascii="仿宋" w:hAnsi="仿宋" w:eastAsia="仿宋"/>
          <w:sz w:val="30"/>
          <w:szCs w:val="30"/>
        </w:rPr>
        <w:t>的情况</w:t>
      </w:r>
      <w:r>
        <w:rPr>
          <w:rFonts w:ascii="仿宋" w:hAnsi="仿宋" w:eastAsia="仿宋"/>
          <w:sz w:val="30"/>
          <w:szCs w:val="30"/>
        </w:rPr>
        <w:t>。</w:t>
      </w:r>
    </w:p>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9</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为采购项目提供整体设计、规范编制或者项目管理、监理、检测等服务</w:t>
      </w:r>
      <w:r>
        <w:rPr>
          <w:rFonts w:hint="eastAsia" w:ascii="仿宋" w:hAnsi="仿宋" w:eastAsia="仿宋"/>
          <w:sz w:val="30"/>
          <w:szCs w:val="30"/>
        </w:rPr>
        <w:t>后</w:t>
      </w:r>
      <w:r>
        <w:rPr>
          <w:rFonts w:ascii="仿宋" w:hAnsi="仿宋" w:eastAsia="仿宋"/>
          <w:sz w:val="30"/>
          <w:szCs w:val="30"/>
        </w:rPr>
        <w:t>再参加该采购项目的其他采购活动</w:t>
      </w:r>
      <w:r>
        <w:rPr>
          <w:rFonts w:hint="eastAsia" w:ascii="仿宋" w:hAnsi="仿宋" w:eastAsia="仿宋"/>
          <w:sz w:val="30"/>
          <w:szCs w:val="30"/>
        </w:rPr>
        <w:t>的情况</w:t>
      </w:r>
      <w:r>
        <w:rPr>
          <w:rFonts w:ascii="仿宋" w:hAnsi="仿宋" w:eastAsia="仿宋"/>
          <w:sz w:val="30"/>
          <w:szCs w:val="30"/>
        </w:rPr>
        <w:t>。</w:t>
      </w:r>
    </w:p>
    <w:p>
      <w:pPr>
        <w:snapToGrid w:val="0"/>
        <w:spacing w:before="156" w:beforeLines="50" w:after="50" w:line="460" w:lineRule="exact"/>
        <w:ind w:firstLine="600" w:firstLineChars="200"/>
        <w:rPr>
          <w:rFonts w:ascii="仿宋" w:hAnsi="仿宋" w:eastAsia="仿宋"/>
          <w:sz w:val="30"/>
          <w:szCs w:val="30"/>
        </w:rPr>
      </w:pPr>
      <w:r>
        <w:rPr>
          <w:rFonts w:ascii="仿宋" w:hAnsi="仿宋" w:eastAsia="仿宋"/>
          <w:sz w:val="30"/>
          <w:szCs w:val="30"/>
        </w:rPr>
        <w:t>10</w:t>
      </w:r>
      <w:r>
        <w:rPr>
          <w:rFonts w:hint="eastAsia" w:ascii="仿宋" w:hAnsi="仿宋" w:eastAsia="仿宋"/>
          <w:sz w:val="30"/>
          <w:szCs w:val="30"/>
        </w:rPr>
        <w:t>.以上事项如有虚假或隐瞒，我方愿意承担一切后果，并不再寻求任何旨在减轻或免除法律责任的辩解。</w:t>
      </w:r>
    </w:p>
    <w:p>
      <w:pPr>
        <w:snapToGrid w:val="0"/>
        <w:spacing w:before="156" w:beforeLines="50" w:after="50" w:line="460" w:lineRule="exact"/>
        <w:ind w:right="600" w:firstLine="150" w:firstLineChars="50"/>
        <w:rPr>
          <w:rFonts w:ascii="仿宋" w:hAnsi="仿宋" w:eastAsia="仿宋"/>
          <w:sz w:val="30"/>
          <w:szCs w:val="30"/>
        </w:rPr>
      </w:pPr>
    </w:p>
    <w:p>
      <w:pPr>
        <w:snapToGrid w:val="0"/>
        <w:spacing w:before="156" w:beforeLines="50" w:after="50" w:line="460" w:lineRule="exact"/>
        <w:ind w:right="600" w:firstLine="150" w:firstLineChars="50"/>
        <w:rPr>
          <w:rFonts w:ascii="仿宋" w:hAnsi="仿宋" w:eastAsia="仿宋"/>
          <w:sz w:val="30"/>
          <w:szCs w:val="30"/>
        </w:rPr>
      </w:pPr>
    </w:p>
    <w:p>
      <w:pPr>
        <w:snapToGrid w:val="0"/>
        <w:spacing w:before="156"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附件3</w:t>
      </w:r>
      <w:r>
        <w:rPr>
          <w:rFonts w:ascii="仿宋" w:hAnsi="仿宋" w:eastAsia="仿宋"/>
          <w:sz w:val="30"/>
          <w:szCs w:val="30"/>
        </w:rPr>
        <w:t>-1</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56" w:beforeLines="50" w:after="50"/>
        <w:jc w:val="center"/>
        <w:rPr>
          <w:rFonts w:ascii="仿宋" w:hAnsi="仿宋" w:eastAsia="仿宋"/>
          <w:b/>
          <w:sz w:val="30"/>
          <w:szCs w:val="30"/>
        </w:rPr>
      </w:pPr>
    </w:p>
    <w:p>
      <w:pPr>
        <w:snapToGrid w:val="0"/>
        <w:spacing w:before="156"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56"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的法定代表人，现授权委托本单位在职职工</w:t>
      </w:r>
      <w:r>
        <w:rPr>
          <w:rFonts w:hint="eastAsia" w:ascii="仿宋" w:hAnsi="仿宋" w:eastAsia="仿宋"/>
          <w:sz w:val="30"/>
          <w:szCs w:val="30"/>
          <w:u w:val="single"/>
        </w:rPr>
        <w:t xml:space="preserve"> （姓名）</w:t>
      </w:r>
      <w:r>
        <w:rPr>
          <w:rFonts w:hint="eastAsia" w:ascii="仿宋" w:hAnsi="仿宋" w:eastAsia="仿宋"/>
          <w:sz w:val="30"/>
          <w:szCs w:val="30"/>
        </w:rPr>
        <w:t>为授权代表，以我方的名义参加项目名称：</w:t>
      </w:r>
      <w:bookmarkStart w:id="42" w:name="PO_3000002632_PM002_1"/>
      <w:r>
        <w:rPr>
          <w:rFonts w:hint="eastAsia" w:ascii="仿宋" w:hAnsi="仿宋" w:eastAsia="仿宋"/>
          <w:b/>
          <w:sz w:val="30"/>
          <w:szCs w:val="30"/>
          <w:u w:val="single"/>
          <w:lang w:eastAsia="zh-CN"/>
        </w:rPr>
        <w:t>省体育彩票管理中心物业服务采购项目</w:t>
      </w:r>
      <w:bookmarkEnd w:id="42"/>
      <w:r>
        <w:rPr>
          <w:rFonts w:hint="eastAsia" w:ascii="仿宋" w:hAnsi="仿宋" w:eastAsia="仿宋"/>
          <w:sz w:val="30"/>
          <w:szCs w:val="30"/>
        </w:rPr>
        <w:t xml:space="preserve"> 项目编号：</w:t>
      </w:r>
      <w:bookmarkStart w:id="43" w:name="PO_3000002632_PM001"/>
      <w:r>
        <w:rPr>
          <w:rFonts w:hint="eastAsia" w:ascii="仿宋" w:hAnsi="仿宋" w:eastAsia="仿宋"/>
          <w:b/>
          <w:sz w:val="30"/>
          <w:szCs w:val="30"/>
          <w:u w:val="single"/>
          <w:lang w:eastAsia="zh-CN"/>
        </w:rPr>
        <w:t>ZZCG2023P-GK-157</w:t>
      </w:r>
      <w:bookmarkEnd w:id="43"/>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56" w:beforeLines="50" w:after="50" w:line="460" w:lineRule="exact"/>
        <w:ind w:firstLine="480"/>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p>
    <w:p>
      <w:pPr>
        <w:snapToGrid w:val="0"/>
        <w:spacing w:before="156" w:beforeLines="50" w:after="50" w:line="460" w:lineRule="exact"/>
        <w:ind w:firstLine="6150" w:firstLineChars="2050"/>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widowControl/>
        <w:jc w:val="left"/>
        <w:rPr>
          <w:rFonts w:ascii="仿宋" w:hAnsi="仿宋" w:eastAsia="仿宋"/>
          <w:sz w:val="30"/>
          <w:szCs w:val="30"/>
        </w:rPr>
      </w:pPr>
    </w:p>
    <w:p>
      <w:pPr>
        <w:snapToGrid w:val="0"/>
        <w:spacing w:before="156" w:beforeLines="50" w:after="50" w:line="460" w:lineRule="exact"/>
        <w:rPr>
          <w:rFonts w:hint="eastAsia" w:ascii="仿宋" w:hAnsi="仿宋" w:eastAsia="仿宋"/>
          <w:sz w:val="30"/>
          <w:szCs w:val="30"/>
        </w:rPr>
      </w:pP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附件3</w:t>
      </w:r>
      <w:r>
        <w:rPr>
          <w:rFonts w:ascii="仿宋" w:hAnsi="仿宋" w:eastAsia="仿宋"/>
          <w:sz w:val="30"/>
          <w:szCs w:val="30"/>
        </w:rPr>
        <w:t>-2</w:t>
      </w:r>
      <w:r>
        <w:rPr>
          <w:rFonts w:hint="eastAsia" w:ascii="仿宋" w:hAnsi="仿宋" w:eastAsia="仿宋"/>
          <w:sz w:val="30"/>
          <w:szCs w:val="30"/>
        </w:rPr>
        <w:t>：</w:t>
      </w:r>
    </w:p>
    <w:p>
      <w:pPr>
        <w:snapToGrid w:val="0"/>
        <w:spacing w:before="50" w:after="50"/>
        <w:jc w:val="center"/>
        <w:rPr>
          <w:rFonts w:ascii="仿宋" w:hAnsi="仿宋" w:eastAsia="仿宋"/>
          <w:sz w:val="30"/>
          <w:szCs w:val="30"/>
        </w:rPr>
      </w:pPr>
      <w:r>
        <w:rPr>
          <w:rFonts w:hint="eastAsia" w:ascii="仿宋" w:hAnsi="仿宋" w:eastAsia="仿宋"/>
          <w:b/>
          <w:sz w:val="36"/>
          <w:szCs w:val="36"/>
        </w:rPr>
        <w:t>法定代表人身份证明</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有效的身份证件扫描件、复印件：</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正面：</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反面：</w:t>
      </w: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widowControl/>
        <w:jc w:val="left"/>
        <w:rPr>
          <w:rFonts w:hAnsi="宋体" w:cs="宋体"/>
          <w:bCs/>
          <w:sz w:val="24"/>
        </w:rPr>
      </w:pPr>
    </w:p>
    <w:p>
      <w:pPr>
        <w:snapToGrid w:val="0"/>
        <w:spacing w:before="156" w:beforeLines="50" w:after="50" w:line="460" w:lineRule="exact"/>
        <w:rPr>
          <w:rFonts w:hint="eastAsia"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tabs>
          <w:tab w:val="left" w:pos="606"/>
        </w:tabs>
        <w:spacing w:line="360" w:lineRule="exact"/>
        <w:rPr>
          <w:rFonts w:hint="eastAsia" w:ascii="仿宋" w:hAnsi="仿宋" w:eastAsia="仿宋"/>
          <w:sz w:val="30"/>
          <w:szCs w:val="30"/>
        </w:rPr>
      </w:pPr>
    </w:p>
    <w:p>
      <w:pPr>
        <w:tabs>
          <w:tab w:val="left" w:pos="606"/>
        </w:tabs>
        <w:spacing w:line="360" w:lineRule="exact"/>
        <w:rPr>
          <w:rFonts w:hint="eastAsia" w:ascii="仿宋" w:hAnsi="仿宋" w:eastAsia="仿宋"/>
          <w:sz w:val="30"/>
          <w:szCs w:val="30"/>
        </w:rPr>
      </w:pPr>
    </w:p>
    <w:p>
      <w:pPr>
        <w:tabs>
          <w:tab w:val="left" w:pos="606"/>
        </w:tabs>
        <w:spacing w:line="360" w:lineRule="exact"/>
        <w:rPr>
          <w:rFonts w:hint="eastAsia" w:ascii="仿宋" w:hAnsi="仿宋" w:eastAsia="仿宋"/>
          <w:sz w:val="30"/>
          <w:szCs w:val="30"/>
        </w:rPr>
      </w:pPr>
    </w:p>
    <w:p>
      <w:pPr>
        <w:tabs>
          <w:tab w:val="left" w:pos="606"/>
        </w:tabs>
        <w:spacing w:line="360" w:lineRule="exact"/>
        <w:rPr>
          <w:rFonts w:hint="eastAsia" w:ascii="仿宋" w:hAnsi="仿宋" w:eastAsia="仿宋"/>
          <w:sz w:val="30"/>
          <w:szCs w:val="30"/>
        </w:rPr>
      </w:pPr>
    </w:p>
    <w:p>
      <w:pPr>
        <w:tabs>
          <w:tab w:val="left" w:pos="606"/>
        </w:tabs>
        <w:spacing w:line="360" w:lineRule="exact"/>
        <w:rPr>
          <w:rFonts w:hint="eastAsia" w:ascii="仿宋" w:hAnsi="仿宋" w:eastAsia="仿宋"/>
          <w:sz w:val="30"/>
          <w:szCs w:val="30"/>
        </w:rPr>
      </w:pPr>
    </w:p>
    <w:p>
      <w:pPr>
        <w:tabs>
          <w:tab w:val="left" w:pos="606"/>
        </w:tabs>
        <w:spacing w:line="360" w:lineRule="exact"/>
        <w:rPr>
          <w:rFonts w:ascii="仿宋" w:hAnsi="仿宋" w:eastAsia="仿宋"/>
          <w:spacing w:val="20"/>
          <w:sz w:val="30"/>
          <w:szCs w:val="30"/>
        </w:rPr>
      </w:pPr>
      <w:r>
        <w:rPr>
          <w:rFonts w:hint="eastAsia" w:ascii="仿宋" w:hAnsi="仿宋" w:eastAsia="仿宋"/>
          <w:sz w:val="30"/>
          <w:szCs w:val="30"/>
        </w:rPr>
        <w:t>附件4：</w:t>
      </w:r>
    </w:p>
    <w:p>
      <w:pPr>
        <w:pStyle w:val="17"/>
        <w:overflowPunct w:val="0"/>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w:t>
      </w:r>
      <w:r>
        <w:rPr>
          <w:rFonts w:hint="eastAsia" w:ascii="仿宋" w:hAnsi="仿宋" w:eastAsia="仿宋"/>
          <w:sz w:val="30"/>
          <w:szCs w:val="30"/>
          <w:u w:val="single"/>
        </w:rPr>
        <w:t xml:space="preserve">        </w:t>
      </w:r>
      <w:r>
        <w:rPr>
          <w:rFonts w:hint="eastAsia" w:ascii="仿宋" w:hAnsi="仿宋" w:eastAsia="仿宋"/>
          <w:sz w:val="30"/>
          <w:szCs w:val="30"/>
        </w:rPr>
        <w:t>组织实施的编号为</w:t>
      </w:r>
      <w:r>
        <w:rPr>
          <w:rFonts w:hint="eastAsia" w:ascii="仿宋" w:hAnsi="仿宋" w:eastAsia="仿宋"/>
          <w:sz w:val="30"/>
          <w:szCs w:val="30"/>
          <w:u w:val="single"/>
        </w:rPr>
        <w:t xml:space="preserve"> </w:t>
      </w:r>
      <w:bookmarkStart w:id="44" w:name="PO_3000002632_PM001_1"/>
      <w:r>
        <w:rPr>
          <w:rFonts w:hint="eastAsia" w:ascii="仿宋" w:hAnsi="仿宋" w:eastAsia="仿宋"/>
          <w:b/>
          <w:sz w:val="30"/>
          <w:szCs w:val="30"/>
          <w:u w:val="single"/>
          <w:lang w:eastAsia="zh-CN"/>
        </w:rPr>
        <w:t>ZZCG2023P-GK-157</w:t>
      </w:r>
      <w:bookmarkEnd w:id="44"/>
      <w:r>
        <w:rPr>
          <w:rFonts w:hint="eastAsia" w:ascii="仿宋" w:hAnsi="仿宋" w:eastAsia="仿宋"/>
          <w:sz w:val="30"/>
          <w:szCs w:val="30"/>
        </w:rPr>
        <w:t>的招标活动联合进行投标之事宜，达成如下协议：</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为主办人进行投标，并按照招标文件的规定分别提交联合体各方的资格文件（声明书、营业执照、投标人特定条件）。</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表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乙方承担的工作和义务为：</w:t>
      </w: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17"/>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附件5：</w:t>
      </w:r>
    </w:p>
    <w:p>
      <w:pPr>
        <w:pStyle w:val="17"/>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17"/>
        <w:overflowPunct w:val="0"/>
        <w:spacing w:line="460" w:lineRule="exact"/>
        <w:rPr>
          <w:rFonts w:ascii="仿宋" w:hAnsi="仿宋" w:eastAsia="仿宋"/>
          <w:sz w:val="30"/>
          <w:szCs w:val="30"/>
        </w:rPr>
      </w:pPr>
    </w:p>
    <w:p>
      <w:pPr>
        <w:pStyle w:val="17"/>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签订的《联合投标协议书》的内容，现授权</w:t>
      </w:r>
      <w:r>
        <w:rPr>
          <w:rFonts w:hint="eastAsia" w:ascii="仿宋" w:hAnsi="仿宋" w:eastAsia="仿宋"/>
          <w:sz w:val="30"/>
          <w:szCs w:val="30"/>
          <w:u w:val="single"/>
        </w:rPr>
        <w:t xml:space="preserve">    </w:t>
      </w:r>
      <w:r>
        <w:rPr>
          <w:rFonts w:hint="eastAsia" w:ascii="仿宋" w:hAnsi="仿宋" w:eastAsia="仿宋"/>
          <w:sz w:val="30"/>
          <w:szCs w:val="30"/>
        </w:rPr>
        <w:t>为联合投标授权代表，授权代表在投标、开标、评标、签约过程中所签署的一切文件和处理与这有关的一切事务， 联合投标各方均予以认可并遵守。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pStyle w:val="17"/>
        <w:overflowPunct w:val="0"/>
        <w:spacing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附件6：</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分包意向协议</w:t>
      </w:r>
    </w:p>
    <w:p>
      <w:pPr>
        <w:pStyle w:val="58"/>
        <w:spacing w:before="156" w:after="156" w:line="400" w:lineRule="exact"/>
      </w:pP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w:t>
      </w:r>
    </w:p>
    <w:p>
      <w:pPr>
        <w:snapToGrid w:val="0"/>
        <w:spacing w:line="360" w:lineRule="exact"/>
        <w:ind w:left="84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left="84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pPr>
        <w:widowControl/>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p>
    <w:p>
      <w:pPr>
        <w:snapToGrid w:val="0"/>
        <w:spacing w:before="120" w:beforeLines="50" w:after="50"/>
        <w:rPr>
          <w:rFonts w:ascii="仿宋" w:hAnsi="仿宋" w:eastAsia="仿宋"/>
          <w:b/>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w:t>
      </w:r>
      <w:r>
        <w:rPr>
          <w:rFonts w:hint="eastAsia" w:ascii="仿宋" w:hAnsi="仿宋" w:eastAsia="仿宋"/>
          <w:color w:val="000000" w:themeColor="text1"/>
          <w:sz w:val="30"/>
          <w:szCs w:val="30"/>
          <w:lang w:val="en-US" w:eastAsia="zh-CN"/>
          <w14:textFill>
            <w14:solidFill>
              <w14:schemeClr w14:val="tx1"/>
            </w14:solidFill>
          </w14:textFill>
        </w:rPr>
        <w:t>7</w:t>
      </w:r>
      <w:r>
        <w:rPr>
          <w:rFonts w:hint="eastAsia" w:ascii="仿宋" w:hAnsi="仿宋" w:eastAsia="仿宋"/>
          <w:b/>
          <w:color w:val="000000" w:themeColor="text1"/>
          <w:sz w:val="30"/>
          <w:szCs w:val="30"/>
          <w14:textFill>
            <w14:solidFill>
              <w14:schemeClr w14:val="tx1"/>
            </w14:solidFill>
          </w14:textFill>
        </w:rPr>
        <w:t xml:space="preserve">：                                     </w:t>
      </w:r>
    </w:p>
    <w:p>
      <w:pPr>
        <w:spacing w:before="240" w:beforeLines="100" w:line="240" w:lineRule="atLeast"/>
        <w:jc w:val="center"/>
        <w:rPr>
          <w:rFonts w:hint="eastAsia" w:ascii="仿宋" w:hAnsi="仿宋" w:eastAsia="仿宋"/>
          <w:b/>
          <w:color w:val="000000" w:themeColor="text1"/>
          <w:spacing w:val="40"/>
          <w:sz w:val="52"/>
          <w:szCs w:val="52"/>
          <w:lang w:eastAsia="zh-CN"/>
          <w14:textFill>
            <w14:solidFill>
              <w14:schemeClr w14:val="tx1"/>
            </w14:solidFill>
          </w14:textFill>
        </w:rPr>
      </w:pPr>
      <w:bookmarkStart w:id="45" w:name="PO_1000000445_PM002"/>
      <w:r>
        <w:rPr>
          <w:rFonts w:hint="eastAsia" w:ascii="仿宋" w:hAnsi="仿宋" w:eastAsia="仿宋"/>
          <w:b/>
          <w:color w:val="000000" w:themeColor="text1"/>
          <w:spacing w:val="40"/>
          <w:sz w:val="52"/>
          <w:szCs w:val="52"/>
          <w:lang w:eastAsia="zh-CN"/>
          <w14:textFill>
            <w14:solidFill>
              <w14:schemeClr w14:val="tx1"/>
            </w14:solidFill>
          </w14:textFill>
        </w:rPr>
        <w:t>省体育彩票管理中心物业服务采购项目</w:t>
      </w:r>
      <w:bookmarkEnd w:id="45"/>
    </w:p>
    <w:p>
      <w:pPr>
        <w:spacing w:before="240" w:beforeLines="100" w:line="240" w:lineRule="atLeast"/>
        <w:jc w:val="center"/>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项目编号：</w:t>
      </w:r>
      <w:bookmarkStart w:id="46" w:name="PO_15528_PM001_4"/>
      <w:r>
        <w:rPr>
          <w:rFonts w:hint="eastAsia" w:ascii="仿宋" w:hAnsi="仿宋" w:eastAsia="仿宋"/>
          <w:color w:val="000000" w:themeColor="text1"/>
          <w:sz w:val="36"/>
          <w:szCs w:val="36"/>
          <w:lang w:eastAsia="zh-CN"/>
          <w14:textFill>
            <w14:solidFill>
              <w14:schemeClr w14:val="tx1"/>
            </w14:solidFill>
          </w14:textFill>
        </w:rPr>
        <w:t>ZZCG2023P-GK-157</w:t>
      </w:r>
      <w:bookmarkEnd w:id="46"/>
      <w:r>
        <w:rPr>
          <w:rFonts w:hint="eastAsia" w:ascii="仿宋" w:hAnsi="仿宋" w:eastAsia="仿宋"/>
          <w:color w:val="000000" w:themeColor="text1"/>
          <w:sz w:val="36"/>
          <w:szCs w:val="36"/>
          <w14:textFill>
            <w14:solidFill>
              <w14:schemeClr w14:val="tx1"/>
            </w14:solidFill>
          </w14:textFill>
        </w:rPr>
        <w:t>（标项  ）</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技</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术</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及</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商</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务</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文</w:t>
      </w:r>
    </w:p>
    <w:p>
      <w:pPr>
        <w:spacing w:line="12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件</w:t>
      </w:r>
    </w:p>
    <w:p>
      <w:pPr>
        <w:spacing w:line="600" w:lineRule="exact"/>
        <w:ind w:right="532"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投标人全称：</w:t>
      </w:r>
    </w:p>
    <w:p>
      <w:pPr>
        <w:spacing w:line="600" w:lineRule="exact"/>
        <w:ind w:right="-108"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地    址：</w:t>
      </w:r>
    </w:p>
    <w:p>
      <w:pPr>
        <w:spacing w:line="600" w:lineRule="exact"/>
        <w:ind w:right="-108"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时    间：</w:t>
      </w:r>
    </w:p>
    <w:p>
      <w:pPr>
        <w:snapToGrid w:val="0"/>
        <w:spacing w:before="50" w:after="50"/>
        <w:rPr>
          <w:rFonts w:ascii="仿宋" w:hAnsi="仿宋" w:eastAsia="仿宋"/>
          <w:color w:val="000000" w:themeColor="text1"/>
          <w:sz w:val="30"/>
          <w:szCs w:val="30"/>
          <w14:textFill>
            <w14:solidFill>
              <w14:schemeClr w14:val="tx1"/>
            </w14:solidFill>
          </w14:textFill>
        </w:rPr>
      </w:pPr>
    </w:p>
    <w:p>
      <w:pPr>
        <w:snapToGrid w:val="0"/>
        <w:spacing w:before="50" w:after="50"/>
        <w:rPr>
          <w:rFonts w:ascii="仿宋" w:hAnsi="仿宋" w:eastAsia="仿宋"/>
          <w:color w:val="000000" w:themeColor="text1"/>
          <w:sz w:val="30"/>
          <w:szCs w:val="30"/>
          <w14:textFill>
            <w14:solidFill>
              <w14:schemeClr w14:val="tx1"/>
            </w14:solidFill>
          </w14:textFill>
        </w:rPr>
      </w:pPr>
    </w:p>
    <w:p>
      <w:pPr>
        <w:snapToGrid w:val="0"/>
        <w:spacing w:before="50" w:after="50"/>
        <w:rPr>
          <w:rFonts w:ascii="仿宋" w:hAnsi="仿宋" w:eastAsia="仿宋"/>
          <w:b/>
          <w:bCs/>
          <w:color w:val="000000" w:themeColor="text1"/>
          <w:sz w:val="36"/>
          <w:szCs w:val="36"/>
          <w14:textFill>
            <w14:solidFill>
              <w14:schemeClr w14:val="tx1"/>
            </w14:solidFill>
          </w14:textFill>
        </w:rPr>
      </w:pPr>
      <w:r>
        <w:rPr>
          <w:rFonts w:hint="eastAsia" w:ascii="仿宋" w:hAnsi="仿宋" w:eastAsia="仿宋"/>
          <w:color w:val="000000" w:themeColor="text1"/>
          <w:kern w:val="0"/>
          <w:sz w:val="36"/>
          <w:szCs w:val="36"/>
          <w14:textFill>
            <w14:solidFill>
              <w14:schemeClr w14:val="tx1"/>
            </w14:solidFill>
          </w14:textFill>
        </w:rPr>
        <w:br w:type="page"/>
      </w:r>
      <w:r>
        <w:rPr>
          <w:rFonts w:hint="eastAsia" w:ascii="仿宋" w:hAnsi="仿宋" w:eastAsia="仿宋"/>
          <w:color w:val="000000" w:themeColor="text1"/>
          <w:sz w:val="36"/>
          <w:szCs w:val="36"/>
          <w14:textFill>
            <w14:solidFill>
              <w14:schemeClr w14:val="tx1"/>
            </w14:solidFill>
          </w14:textFill>
        </w:rPr>
        <w:t>2、</w:t>
      </w:r>
      <w:r>
        <w:rPr>
          <w:rFonts w:hint="eastAsia" w:ascii="仿宋" w:hAnsi="仿宋" w:eastAsia="仿宋"/>
          <w:b/>
          <w:bCs/>
          <w:color w:val="000000" w:themeColor="text1"/>
          <w:sz w:val="36"/>
          <w:szCs w:val="36"/>
          <w14:textFill>
            <w14:solidFill>
              <w14:schemeClr w14:val="tx1"/>
            </w14:solidFill>
          </w14:textFill>
        </w:rPr>
        <w:t>技术及商务文件目录</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（1）评分对应表（格式见附件，主要用于评委对应评分内容）</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（2）投标项目明细清单（含货物、服务等）；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（3）技术响应表（格式见附件）；</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（6）列入政府采购节能环保清单的证明资料（若有）；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（7）商务响应表（格式见附件）；</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（9）技术培训计划（若有）；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（10）投标人履约能力（可包含且不限于技术力量情况、投标人各项能力证书）；</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（11）案例的业绩证明（投标人业绩情况一览表、合同复印件等）；</w:t>
      </w:r>
    </w:p>
    <w:p>
      <w:pPr>
        <w:snapToGrid w:val="0"/>
        <w:spacing w:line="460" w:lineRule="exact"/>
        <w:ind w:firstLine="600" w:firstLineChars="2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（12）投标人认为需要的其他文件资料。</w:t>
      </w:r>
    </w:p>
    <w:p>
      <w:pPr>
        <w:snapToGrid w:val="0"/>
        <w:spacing w:before="50" w:after="120" w:afterLines="50"/>
        <w:jc w:val="left"/>
        <w:rPr>
          <w:rFonts w:ascii="仿宋" w:hAnsi="仿宋" w:eastAsia="仿宋"/>
          <w:color w:val="000000" w:themeColor="text1"/>
          <w:sz w:val="30"/>
          <w:szCs w:val="30"/>
          <w14:textFill>
            <w14:solidFill>
              <w14:schemeClr w14:val="tx1"/>
            </w14:solidFill>
          </w14:textFill>
        </w:rPr>
      </w:pPr>
    </w:p>
    <w:p>
      <w:pPr>
        <w:snapToGrid w:val="0"/>
        <w:spacing w:before="5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w:t>
      </w:r>
      <w:r>
        <w:rPr>
          <w:rFonts w:hint="eastAsia" w:ascii="仿宋" w:hAnsi="仿宋" w:eastAsia="仿宋"/>
          <w:color w:val="000000" w:themeColor="text1"/>
          <w:sz w:val="30"/>
          <w:szCs w:val="30"/>
          <w:lang w:val="en-US" w:eastAsia="zh-CN"/>
          <w14:textFill>
            <w14:solidFill>
              <w14:schemeClr w14:val="tx1"/>
            </w14:solidFill>
          </w14:textFill>
        </w:rPr>
        <w:t>8</w:t>
      </w:r>
      <w:r>
        <w:rPr>
          <w:rFonts w:hint="eastAsia" w:ascii="仿宋" w:hAnsi="仿宋" w:eastAsia="仿宋"/>
          <w:color w:val="000000" w:themeColor="text1"/>
          <w:sz w:val="30"/>
          <w:szCs w:val="30"/>
          <w14:textFill>
            <w14:solidFill>
              <w14:schemeClr w14:val="tx1"/>
            </w14:solidFill>
          </w14:textFill>
        </w:rPr>
        <w:t>：</w:t>
      </w:r>
    </w:p>
    <w:p>
      <w:pPr>
        <w:snapToGrid w:val="0"/>
        <w:spacing w:before="50" w:after="50"/>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评分对应表</w:t>
      </w:r>
    </w:p>
    <w:p>
      <w:pPr>
        <w:snapToGrid w:val="0"/>
        <w:spacing w:before="50"/>
        <w:jc w:val="center"/>
        <w:rPr>
          <w:rFonts w:ascii="仿宋" w:hAnsi="仿宋" w:eastAsia="仿宋"/>
          <w:b/>
          <w:color w:val="000000" w:themeColor="text1"/>
          <w:sz w:val="32"/>
          <w:szCs w:val="32"/>
          <w14:textFill>
            <w14:solidFill>
              <w14:schemeClr w14:val="tx1"/>
            </w14:solidFill>
          </w14:textFill>
        </w:rPr>
      </w:pPr>
    </w:p>
    <w:p>
      <w:pPr>
        <w:pStyle w:val="18"/>
        <w:snapToGrid w:val="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              标项：</w:t>
      </w:r>
    </w:p>
    <w:tbl>
      <w:tblPr>
        <w:tblStyle w:val="59"/>
        <w:tblW w:w="839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9"/>
        <w:gridCol w:w="3061"/>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bl>
    <w:p>
      <w:pPr>
        <w:snapToGrid w:val="0"/>
        <w:spacing w:before="120" w:beforeLines="5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授权代表签名：               日期：</w:t>
      </w:r>
    </w:p>
    <w:p>
      <w:pPr>
        <w:snapToGrid w:val="0"/>
        <w:spacing w:before="50" w:after="120" w:afterLines="5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w:t>
      </w:r>
      <w:r>
        <w:rPr>
          <w:rFonts w:hint="eastAsia" w:ascii="仿宋" w:hAnsi="仿宋" w:eastAsia="仿宋"/>
          <w:color w:val="000000" w:themeColor="text1"/>
          <w:sz w:val="30"/>
          <w:szCs w:val="30"/>
          <w:lang w:val="en-US" w:eastAsia="zh-CN"/>
          <w14:textFill>
            <w14:solidFill>
              <w14:schemeClr w14:val="tx1"/>
            </w14:solidFill>
          </w14:textFill>
        </w:rPr>
        <w:t>9</w:t>
      </w:r>
      <w:r>
        <w:rPr>
          <w:rFonts w:hint="eastAsia" w:ascii="仿宋" w:hAnsi="仿宋" w:eastAsia="仿宋"/>
          <w:color w:val="000000" w:themeColor="text1"/>
          <w:sz w:val="30"/>
          <w:szCs w:val="30"/>
          <w14:textFill>
            <w14:solidFill>
              <w14:schemeClr w14:val="tx1"/>
            </w14:solidFill>
          </w14:textFill>
        </w:rPr>
        <w:t>：</w:t>
      </w:r>
    </w:p>
    <w:p>
      <w:pPr>
        <w:snapToGrid w:val="0"/>
        <w:spacing w:before="50" w:after="120" w:afterLines="50"/>
        <w:jc w:val="center"/>
        <w:rPr>
          <w:rFonts w:ascii="仿宋" w:hAnsi="仿宋" w:eastAsia="仿宋"/>
          <w:b/>
          <w:color w:val="000000" w:themeColor="text1"/>
          <w:spacing w:val="40"/>
          <w:kern w:val="0"/>
          <w:sz w:val="36"/>
          <w:szCs w:val="36"/>
          <w14:textFill>
            <w14:solidFill>
              <w14:schemeClr w14:val="tx1"/>
            </w14:solidFill>
          </w14:textFill>
        </w:rPr>
      </w:pPr>
      <w:r>
        <w:rPr>
          <w:rFonts w:hint="eastAsia" w:ascii="仿宋" w:hAnsi="仿宋" w:eastAsia="仿宋"/>
          <w:b/>
          <w:color w:val="000000" w:themeColor="text1"/>
          <w:spacing w:val="40"/>
          <w:kern w:val="0"/>
          <w:sz w:val="36"/>
          <w:szCs w:val="36"/>
          <w14:textFill>
            <w14:solidFill>
              <w14:schemeClr w14:val="tx1"/>
            </w14:solidFill>
          </w14:textFill>
        </w:rPr>
        <w:t>投标项目明细清单</w:t>
      </w:r>
    </w:p>
    <w:p>
      <w:pPr>
        <w:snapToGrid w:val="0"/>
        <w:spacing w:before="50" w:after="120" w:afterLines="50"/>
        <w:rPr>
          <w:rFonts w:ascii="仿宋" w:hAnsi="仿宋" w:eastAsia="仿宋"/>
          <w:b/>
          <w:color w:val="000000" w:themeColor="text1"/>
          <w:spacing w:val="40"/>
          <w:kern w:val="0"/>
          <w:sz w:val="36"/>
          <w:szCs w:val="36"/>
          <w14:textFill>
            <w14:solidFill>
              <w14:schemeClr w14:val="tx1"/>
            </w14:solidFill>
          </w14:textFill>
        </w:rPr>
      </w:pPr>
    </w:p>
    <w:p>
      <w:pPr>
        <w:pStyle w:val="18"/>
        <w:snapToGrid w:val="0"/>
        <w:rPr>
          <w:rFonts w:ascii="仿宋" w:hAnsi="仿宋" w:eastAsia="仿宋"/>
          <w:color w:val="000000" w:themeColor="text1"/>
          <w:kern w:val="0"/>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                标项：</w:t>
      </w:r>
    </w:p>
    <w:p>
      <w:pPr>
        <w:pStyle w:val="18"/>
        <w:snapToGrid w:val="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货物类</w:t>
      </w:r>
    </w:p>
    <w:tbl>
      <w:tblPr>
        <w:tblStyle w:val="59"/>
        <w:tblW w:w="90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规格</w:t>
            </w:r>
          </w:p>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单位及</w:t>
            </w:r>
          </w:p>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themeColor="text1"/>
                <w:sz w:val="30"/>
                <w:szCs w:val="30"/>
                <w14:textFill>
                  <w14:solidFill>
                    <w14:schemeClr w14:val="tx1"/>
                  </w14:solidFill>
                </w14:textFill>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themeColor="text1"/>
                <w:sz w:val="30"/>
                <w:szCs w:val="30"/>
                <w14:textFill>
                  <w14:solidFill>
                    <w14:schemeClr w14:val="tx1"/>
                  </w14:solidFill>
                </w14:textFill>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r>
    </w:tbl>
    <w:p>
      <w:pPr>
        <w:snapToGrid w:val="0"/>
        <w:spacing w:before="120" w:beforeLines="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服务类</w:t>
      </w:r>
    </w:p>
    <w:tbl>
      <w:tblPr>
        <w:tblStyle w:val="59"/>
        <w:tblW w:w="90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2828"/>
        <w:gridCol w:w="2828"/>
        <w:gridCol w:w="2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themeColor="text1"/>
                <w:sz w:val="30"/>
                <w:szCs w:val="30"/>
                <w14:textFill>
                  <w14:solidFill>
                    <w14:schemeClr w14:val="tx1"/>
                  </w14:solidFill>
                </w14:textFill>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themeColor="text1"/>
                <w:sz w:val="30"/>
                <w:szCs w:val="30"/>
                <w14:textFill>
                  <w14:solidFill>
                    <w14:schemeClr w14:val="tx1"/>
                  </w14:solidFill>
                </w14:textFill>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themeColor="text1"/>
                <w:sz w:val="30"/>
                <w:szCs w:val="30"/>
                <w14:textFill>
                  <w14:solidFill>
                    <w14:schemeClr w14:val="tx1"/>
                  </w14:solidFill>
                </w14:textFill>
              </w:rPr>
            </w:pPr>
          </w:p>
        </w:tc>
      </w:tr>
    </w:tbl>
    <w:p>
      <w:pPr>
        <w:snapToGrid w:val="0"/>
        <w:spacing w:before="120" w:beforeLines="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注：在填写时，如上表不适合本项目的实际情况，可在确保投标明细内容完整的情况下，根据上表格式自行划表填写。</w:t>
      </w:r>
    </w:p>
    <w:p>
      <w:pPr>
        <w:snapToGrid w:val="0"/>
        <w:spacing w:before="120" w:beforeLines="50"/>
        <w:rPr>
          <w:rFonts w:ascii="仿宋" w:hAnsi="仿宋" w:eastAsia="仿宋"/>
          <w:color w:val="000000" w:themeColor="text1"/>
          <w:sz w:val="30"/>
          <w:szCs w:val="30"/>
          <w14:textFill>
            <w14:solidFill>
              <w14:schemeClr w14:val="tx1"/>
            </w14:solidFill>
          </w14:textFill>
        </w:rPr>
      </w:pPr>
    </w:p>
    <w:p>
      <w:pPr>
        <w:snapToGrid w:val="0"/>
        <w:spacing w:before="120" w:beforeLines="5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授权代表签名：               日期：</w:t>
      </w:r>
    </w:p>
    <w:p>
      <w:pPr>
        <w:snapToGrid w:val="0"/>
        <w:spacing w:before="50" w:after="50"/>
        <w:rPr>
          <w:rFonts w:ascii="仿宋" w:hAnsi="仿宋" w:eastAsia="仿宋"/>
          <w:color w:val="000000" w:themeColor="text1"/>
          <w:spacing w:val="20"/>
          <w:sz w:val="30"/>
          <w:szCs w:val="30"/>
          <w14:textFill>
            <w14:solidFill>
              <w14:schemeClr w14:val="tx1"/>
            </w14:solidFill>
          </w14:textFill>
        </w:rPr>
      </w:pPr>
    </w:p>
    <w:p>
      <w:pPr>
        <w:snapToGrid w:val="0"/>
        <w:spacing w:before="50" w:after="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pacing w:val="20"/>
          <w:kern w:val="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附件1</w:t>
      </w:r>
      <w:r>
        <w:rPr>
          <w:rFonts w:hint="eastAsia" w:ascii="仿宋" w:hAnsi="仿宋" w:eastAsia="仿宋"/>
          <w:color w:val="000000" w:themeColor="text1"/>
          <w:sz w:val="30"/>
          <w:szCs w:val="30"/>
          <w:lang w:val="en-US" w:eastAsia="zh-CN"/>
          <w14:textFill>
            <w14:solidFill>
              <w14:schemeClr w14:val="tx1"/>
            </w14:solidFill>
          </w14:textFill>
        </w:rPr>
        <w:t>0</w:t>
      </w:r>
      <w:r>
        <w:rPr>
          <w:rFonts w:hint="eastAsia" w:ascii="仿宋" w:hAnsi="仿宋" w:eastAsia="仿宋"/>
          <w:color w:val="000000" w:themeColor="text1"/>
          <w:sz w:val="30"/>
          <w:szCs w:val="30"/>
          <w14:textFill>
            <w14:solidFill>
              <w14:schemeClr w14:val="tx1"/>
            </w14:solidFill>
          </w14:textFill>
        </w:rPr>
        <w:t>：</w:t>
      </w:r>
    </w:p>
    <w:p>
      <w:pPr>
        <w:snapToGrid w:val="0"/>
        <w:spacing w:before="50" w:after="120" w:afterLines="50"/>
        <w:jc w:val="center"/>
        <w:rPr>
          <w:rFonts w:ascii="仿宋" w:hAnsi="仿宋" w:eastAsia="仿宋"/>
          <w:b/>
          <w:color w:val="000000" w:themeColor="text1"/>
          <w:spacing w:val="40"/>
          <w:kern w:val="0"/>
          <w:sz w:val="36"/>
          <w:szCs w:val="36"/>
          <w14:textFill>
            <w14:solidFill>
              <w14:schemeClr w14:val="tx1"/>
            </w14:solidFill>
          </w14:textFill>
        </w:rPr>
      </w:pPr>
      <w:r>
        <w:rPr>
          <w:rFonts w:hint="eastAsia" w:ascii="仿宋" w:hAnsi="仿宋" w:eastAsia="仿宋"/>
          <w:b/>
          <w:color w:val="000000" w:themeColor="text1"/>
          <w:spacing w:val="40"/>
          <w:kern w:val="0"/>
          <w:sz w:val="36"/>
          <w:szCs w:val="36"/>
          <w14:textFill>
            <w14:solidFill>
              <w14:schemeClr w14:val="tx1"/>
            </w14:solidFill>
          </w14:textFill>
        </w:rPr>
        <w:t>技 术 响 应 表</w:t>
      </w:r>
    </w:p>
    <w:p>
      <w:pPr>
        <w:snapToGrid w:val="0"/>
        <w:spacing w:before="50" w:after="120" w:afterLines="50"/>
        <w:rPr>
          <w:rFonts w:ascii="仿宋" w:hAnsi="仿宋" w:eastAsia="仿宋"/>
          <w:b/>
          <w:color w:val="000000" w:themeColor="text1"/>
          <w:sz w:val="32"/>
          <w:szCs w:val="32"/>
          <w14:textFill>
            <w14:solidFill>
              <w14:schemeClr w14:val="tx1"/>
            </w14:solidFill>
          </w14:textFill>
        </w:rPr>
      </w:pPr>
    </w:p>
    <w:p>
      <w:pPr>
        <w:pStyle w:val="18"/>
        <w:snapToGrid w:val="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            标项：</w:t>
      </w:r>
    </w:p>
    <w:tbl>
      <w:tblPr>
        <w:tblStyle w:val="59"/>
        <w:tblW w:w="85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7"/>
        <w:gridCol w:w="2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themeColor="text1"/>
                <w:sz w:val="30"/>
                <w:szCs w:val="30"/>
                <w14:textFill>
                  <w14:solidFill>
                    <w14:schemeClr w14:val="tx1"/>
                  </w14:solidFill>
                </w14:textFill>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themeColor="text1"/>
                <w:sz w:val="30"/>
                <w:szCs w:val="30"/>
                <w14:textFill>
                  <w14:solidFill>
                    <w14:schemeClr w14:val="tx1"/>
                  </w14:solidFill>
                </w14:textFill>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themeColor="text1"/>
                <w:sz w:val="30"/>
                <w:szCs w:val="30"/>
                <w14:textFill>
                  <w14:solidFill>
                    <w14:schemeClr w14:val="tx1"/>
                  </w14:solidFill>
                </w14:textFill>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themeColor="text1"/>
                <w:sz w:val="30"/>
                <w:szCs w:val="30"/>
                <w14:textFill>
                  <w14:solidFill>
                    <w14:schemeClr w14:val="tx1"/>
                  </w14:solidFill>
                </w14:textFill>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nil"/>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themeColor="text1"/>
                <w:sz w:val="30"/>
                <w:szCs w:val="30"/>
                <w14:textFill>
                  <w14:solidFill>
                    <w14:schemeClr w14:val="tx1"/>
                  </w14:solidFill>
                </w14:textFill>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themeColor="text1"/>
                <w:sz w:val="30"/>
                <w:szCs w:val="30"/>
                <w14:textFill>
                  <w14:solidFill>
                    <w14:schemeClr w14:val="tx1"/>
                  </w14:solidFill>
                </w14:textFill>
              </w:rPr>
            </w:pPr>
          </w:p>
        </w:tc>
        <w:tc>
          <w:tcPr>
            <w:tcW w:w="2196"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c>
          <w:tcPr>
            <w:tcW w:w="2423"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themeColor="text1"/>
                <w:sz w:val="30"/>
                <w:szCs w:val="30"/>
                <w14:textFill>
                  <w14:solidFill>
                    <w14:schemeClr w14:val="tx1"/>
                  </w14:solidFill>
                </w14:textFill>
              </w:rPr>
            </w:pPr>
          </w:p>
        </w:tc>
      </w:tr>
    </w:tbl>
    <w:p>
      <w:pPr>
        <w:pStyle w:val="23"/>
        <w:rPr>
          <w:rFonts w:ascii="仿宋" w:hAnsi="仿宋" w:eastAsia="仿宋"/>
          <w:color w:val="000000" w:themeColor="text1"/>
          <w:spacing w:val="20"/>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注：投标人应根据投标设备的性能指标、对照招标文件要求在“偏离情况”栏注明“正偏离”、“负偏离”或“无偏离”。</w:t>
      </w:r>
    </w:p>
    <w:p>
      <w:pPr>
        <w:snapToGrid w:val="0"/>
        <w:spacing w:before="50" w:after="50"/>
        <w:rPr>
          <w:rFonts w:ascii="仿宋" w:hAnsi="仿宋" w:eastAsia="仿宋"/>
          <w:color w:val="000000" w:themeColor="text1"/>
          <w:spacing w:val="20"/>
          <w:sz w:val="30"/>
          <w:szCs w:val="30"/>
          <w14:textFill>
            <w14:solidFill>
              <w14:schemeClr w14:val="tx1"/>
            </w14:solidFill>
          </w14:textFill>
        </w:rPr>
      </w:pPr>
    </w:p>
    <w:p>
      <w:pPr>
        <w:snapToGrid w:val="0"/>
        <w:spacing w:before="50" w:after="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pacing w:val="20"/>
          <w:sz w:val="30"/>
          <w:szCs w:val="30"/>
          <w14:textFill>
            <w14:solidFill>
              <w14:schemeClr w14:val="tx1"/>
            </w14:solidFill>
          </w14:textFill>
        </w:rPr>
        <w:t>授权代表签名：          日 期：</w:t>
      </w:r>
    </w:p>
    <w:p>
      <w:pPr>
        <w:snapToGrid w:val="0"/>
        <w:spacing w:before="50" w:after="120" w:afterLines="50"/>
        <w:jc w:val="left"/>
        <w:rPr>
          <w:rFonts w:ascii="仿宋" w:hAnsi="仿宋" w:eastAsia="仿宋"/>
          <w:color w:val="000000" w:themeColor="text1"/>
          <w:sz w:val="30"/>
          <w:szCs w:val="30"/>
          <w14:textFill>
            <w14:solidFill>
              <w14:schemeClr w14:val="tx1"/>
            </w14:solidFill>
          </w14:textFill>
        </w:rPr>
      </w:pPr>
    </w:p>
    <w:p>
      <w:pPr>
        <w:snapToGrid w:val="0"/>
        <w:spacing w:before="50" w:after="5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附件1</w:t>
      </w:r>
      <w:r>
        <w:rPr>
          <w:rFonts w:hint="eastAsia" w:ascii="仿宋" w:hAnsi="仿宋" w:eastAsia="仿宋"/>
          <w:color w:val="000000" w:themeColor="text1"/>
          <w:sz w:val="30"/>
          <w:szCs w:val="30"/>
          <w:lang w:val="en-US" w:eastAsia="zh-CN"/>
          <w14:textFill>
            <w14:solidFill>
              <w14:schemeClr w14:val="tx1"/>
            </w14:solidFill>
          </w14:textFill>
        </w:rPr>
        <w:t>1</w:t>
      </w:r>
      <w:r>
        <w:rPr>
          <w:rFonts w:hint="eastAsia" w:ascii="仿宋" w:hAnsi="仿宋" w:eastAsia="仿宋"/>
          <w:color w:val="000000" w:themeColor="text1"/>
          <w:sz w:val="30"/>
          <w:szCs w:val="30"/>
          <w14:textFill>
            <w14:solidFill>
              <w14:schemeClr w14:val="tx1"/>
            </w14:solidFill>
          </w14:textFill>
        </w:rPr>
        <w:t>：</w:t>
      </w:r>
    </w:p>
    <w:p>
      <w:pPr>
        <w:snapToGrid w:val="0"/>
        <w:spacing w:before="50" w:after="120" w:afterLines="50"/>
        <w:jc w:val="center"/>
        <w:rPr>
          <w:rFonts w:ascii="仿宋" w:hAnsi="仿宋" w:eastAsia="仿宋"/>
          <w:b/>
          <w:color w:val="000000" w:themeColor="text1"/>
          <w:kern w:val="0"/>
          <w:sz w:val="36"/>
          <w:szCs w:val="36"/>
          <w14:textFill>
            <w14:solidFill>
              <w14:schemeClr w14:val="tx1"/>
            </w14:solidFill>
          </w14:textFill>
        </w:rPr>
      </w:pPr>
      <w:r>
        <w:rPr>
          <w:rFonts w:hint="eastAsia" w:ascii="仿宋" w:hAnsi="仿宋" w:eastAsia="仿宋"/>
          <w:b/>
          <w:color w:val="000000" w:themeColor="text1"/>
          <w:kern w:val="0"/>
          <w:sz w:val="36"/>
          <w:szCs w:val="36"/>
          <w14:textFill>
            <w14:solidFill>
              <w14:schemeClr w14:val="tx1"/>
            </w14:solidFill>
          </w14:textFill>
        </w:rPr>
        <w:t>项目组人员清单</w:t>
      </w:r>
    </w:p>
    <w:p>
      <w:pPr>
        <w:snapToGrid w:val="0"/>
        <w:spacing w:before="120" w:beforeLines="50" w:after="50"/>
        <w:rPr>
          <w:rFonts w:ascii="仿宋" w:hAnsi="仿宋" w:eastAsia="仿宋"/>
          <w:b/>
          <w:color w:val="000000" w:themeColor="text1"/>
          <w:sz w:val="30"/>
          <w:szCs w:val="30"/>
          <w14:textFill>
            <w14:solidFill>
              <w14:schemeClr w14:val="tx1"/>
            </w14:solidFill>
          </w14:textFill>
        </w:rPr>
      </w:pPr>
    </w:p>
    <w:p>
      <w:pPr>
        <w:pStyle w:val="18"/>
        <w:snapToGrid w:val="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              标项：</w:t>
      </w:r>
    </w:p>
    <w:tbl>
      <w:tblPr>
        <w:tblStyle w:val="59"/>
        <w:tblW w:w="8530"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3"/>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专业技</w:t>
            </w:r>
          </w:p>
          <w:p>
            <w:pPr>
              <w:snapToGrid w:val="0"/>
              <w:spacing w:before="120" w:beforeLines="50" w:after="50" w:line="460" w:lineRule="exact"/>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证书</w:t>
            </w:r>
          </w:p>
          <w:p>
            <w:pPr>
              <w:snapToGrid w:val="0"/>
              <w:spacing w:before="120" w:beforeLines="50" w:after="50" w:line="460" w:lineRule="exact"/>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color w:val="000000" w:themeColor="text1"/>
                <w:kern w:val="0"/>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color w:val="000000" w:themeColor="text1"/>
                <w:kern w:val="0"/>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劳动合</w:t>
            </w:r>
          </w:p>
          <w:p>
            <w:pPr>
              <w:snapToGrid w:val="0"/>
              <w:spacing w:before="120" w:beforeLines="50" w:after="50" w:line="460" w:lineRule="exact"/>
              <w:jc w:val="center"/>
              <w:rPr>
                <w:rFonts w:ascii="仿宋" w:hAnsi="仿宋" w:eastAsia="仿宋"/>
                <w:bCs/>
                <w:color w:val="000000" w:themeColor="text1"/>
                <w:kern w:val="0"/>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pStyle w:val="34"/>
              <w:snapToGrid w:val="0"/>
              <w:spacing w:before="120" w:beforeLines="50" w:after="120" w:line="460" w:lineRule="exact"/>
              <w:ind w:left="5250"/>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themeColor="text1"/>
                <w:sz w:val="30"/>
                <w:szCs w:val="30"/>
                <w14:textFill>
                  <w14:solidFill>
                    <w14:schemeClr w14:val="tx1"/>
                  </w14:solidFill>
                </w14:textFill>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themeColor="text1"/>
                <w:kern w:val="0"/>
                <w:sz w:val="30"/>
                <w:szCs w:val="30"/>
                <w14:textFill>
                  <w14:solidFill>
                    <w14:schemeClr w14:val="tx1"/>
                  </w14:solidFill>
                </w14:textFill>
              </w:rPr>
            </w:pPr>
          </w:p>
        </w:tc>
      </w:tr>
    </w:tbl>
    <w:p>
      <w:pPr>
        <w:snapToGrid w:val="0"/>
        <w:spacing w:before="50" w:after="120" w:afterLines="50" w:line="460" w:lineRule="exact"/>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color w:val="000000" w:themeColor="text1"/>
          <w:sz w:val="30"/>
          <w:szCs w:val="30"/>
          <w14:textFill>
            <w14:solidFill>
              <w14:schemeClr w14:val="tx1"/>
            </w14:solidFill>
          </w14:textFill>
        </w:rPr>
      </w:pPr>
    </w:p>
    <w:p>
      <w:pPr>
        <w:snapToGrid w:val="0"/>
        <w:spacing w:before="50" w:after="50" w:line="460" w:lineRule="exact"/>
        <w:rPr>
          <w:rFonts w:ascii="仿宋" w:hAnsi="仿宋" w:eastAsia="仿宋"/>
          <w:color w:val="000000" w:themeColor="text1"/>
          <w:spacing w:val="20"/>
          <w:sz w:val="30"/>
          <w:szCs w:val="30"/>
          <w:u w:val="single"/>
          <w14:textFill>
            <w14:solidFill>
              <w14:schemeClr w14:val="tx1"/>
            </w14:solidFill>
          </w14:textFill>
        </w:rPr>
      </w:pPr>
      <w:r>
        <w:rPr>
          <w:rFonts w:hint="eastAsia" w:ascii="仿宋" w:hAnsi="仿宋" w:eastAsia="仿宋"/>
          <w:color w:val="000000" w:themeColor="text1"/>
          <w:spacing w:val="20"/>
          <w:sz w:val="30"/>
          <w:szCs w:val="30"/>
          <w14:textFill>
            <w14:solidFill>
              <w14:schemeClr w14:val="tx1"/>
            </w14:solidFill>
          </w14:textFill>
        </w:rPr>
        <w:t>授权代表签名： 日  期：</w:t>
      </w:r>
    </w:p>
    <w:p>
      <w:pPr>
        <w:snapToGrid w:val="0"/>
        <w:spacing w:before="50" w:after="120" w:afterLines="50" w:line="460" w:lineRule="exact"/>
        <w:jc w:val="left"/>
        <w:rPr>
          <w:rFonts w:ascii="仿宋" w:hAnsi="仿宋" w:eastAsia="仿宋"/>
          <w:color w:val="000000" w:themeColor="text1"/>
          <w:sz w:val="30"/>
          <w:szCs w:val="30"/>
          <w14:textFill>
            <w14:solidFill>
              <w14:schemeClr w14:val="tx1"/>
            </w14:solidFill>
          </w14:textFill>
        </w:rPr>
      </w:pPr>
    </w:p>
    <w:p>
      <w:pPr>
        <w:pStyle w:val="31"/>
        <w:snapToGrid w:val="0"/>
        <w:spacing w:before="120" w:after="120" w:line="460" w:lineRule="exact"/>
        <w:rPr>
          <w:rFonts w:ascii="仿宋" w:hAnsi="仿宋" w:eastAsia="仿宋"/>
          <w:color w:val="000000" w:themeColor="text1"/>
          <w:sz w:val="30"/>
          <w:szCs w:val="30"/>
          <w14:textFill>
            <w14:solidFill>
              <w14:schemeClr w14:val="tx1"/>
            </w14:solidFill>
          </w14:textFill>
        </w:rPr>
      </w:pPr>
    </w:p>
    <w:p>
      <w:pPr>
        <w:snapToGrid w:val="0"/>
        <w:spacing w:before="5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附件1</w:t>
      </w:r>
      <w:r>
        <w:rPr>
          <w:rFonts w:hint="eastAsia" w:ascii="仿宋" w:hAnsi="仿宋" w:eastAsia="仿宋"/>
          <w:color w:val="000000" w:themeColor="text1"/>
          <w:sz w:val="30"/>
          <w:szCs w:val="30"/>
          <w:lang w:val="en-US" w:eastAsia="zh-CN"/>
          <w14:textFill>
            <w14:solidFill>
              <w14:schemeClr w14:val="tx1"/>
            </w14:solidFill>
          </w14:textFill>
        </w:rPr>
        <w:t>2</w:t>
      </w:r>
      <w:r>
        <w:rPr>
          <w:rFonts w:hint="eastAsia" w:ascii="仿宋" w:hAnsi="仿宋" w:eastAsia="仿宋"/>
          <w:color w:val="000000" w:themeColor="text1"/>
          <w:sz w:val="30"/>
          <w:szCs w:val="30"/>
          <w14:textFill>
            <w14:solidFill>
              <w14:schemeClr w14:val="tx1"/>
            </w14:solidFill>
          </w14:textFill>
        </w:rPr>
        <w:t>：</w:t>
      </w:r>
    </w:p>
    <w:p>
      <w:pPr>
        <w:snapToGrid w:val="0"/>
        <w:spacing w:before="50" w:after="50"/>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商务响应表</w:t>
      </w:r>
    </w:p>
    <w:p>
      <w:pPr>
        <w:snapToGrid w:val="0"/>
        <w:spacing w:before="50"/>
        <w:jc w:val="center"/>
        <w:rPr>
          <w:rFonts w:ascii="仿宋" w:hAnsi="仿宋" w:eastAsia="仿宋"/>
          <w:b/>
          <w:color w:val="000000" w:themeColor="text1"/>
          <w:sz w:val="32"/>
          <w:szCs w:val="32"/>
          <w14:textFill>
            <w14:solidFill>
              <w14:schemeClr w14:val="tx1"/>
            </w14:solidFill>
          </w14:textFill>
        </w:rPr>
      </w:pPr>
    </w:p>
    <w:p>
      <w:pPr>
        <w:pStyle w:val="18"/>
        <w:snapToGrid w:val="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              标项：</w:t>
      </w:r>
    </w:p>
    <w:tbl>
      <w:tblPr>
        <w:tblStyle w:val="59"/>
        <w:tblW w:w="87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项目</w:t>
            </w:r>
          </w:p>
        </w:tc>
        <w:tc>
          <w:tcPr>
            <w:tcW w:w="269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招标文件要求</w:t>
            </w:r>
          </w:p>
        </w:tc>
        <w:tc>
          <w:tcPr>
            <w:tcW w:w="125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是否</w:t>
            </w:r>
          </w:p>
          <w:p>
            <w:pPr>
              <w:snapToGrid w:val="0"/>
              <w:spacing w:before="120" w:beforeLines="50"/>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响应</w:t>
            </w:r>
          </w:p>
        </w:tc>
        <w:tc>
          <w:tcPr>
            <w:tcW w:w="301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项目工期（交货期）及地点</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付款条件</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违约责任及争议解决方式</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项目维护计划</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响应情况</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技术培训</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投标人技术力量情况</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经验或业绩要求</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w:t>
            </w:r>
          </w:p>
        </w:tc>
        <w:tc>
          <w:tcPr>
            <w:tcW w:w="269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301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b/>
                <w:bCs/>
                <w:color w:val="000000" w:themeColor="text1"/>
                <w:sz w:val="30"/>
                <w:szCs w:val="30"/>
                <w14:textFill>
                  <w14:solidFill>
                    <w14:schemeClr w14:val="tx1"/>
                  </w14:solidFill>
                </w14:textFill>
              </w:rPr>
            </w:pPr>
          </w:p>
        </w:tc>
      </w:tr>
    </w:tbl>
    <w:p>
      <w:pPr>
        <w:snapToGrid w:val="0"/>
        <w:spacing w:before="120" w:beforeLines="5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授权代表签名：               日期：</w:t>
      </w:r>
    </w:p>
    <w:p>
      <w:pPr>
        <w:widowControl/>
        <w:jc w:val="left"/>
        <w:rPr>
          <w:rFonts w:ascii="仿宋" w:hAnsi="仿宋" w:eastAsia="仿宋"/>
          <w:color w:val="000000" w:themeColor="text1"/>
          <w:kern w:val="0"/>
          <w:sz w:val="30"/>
          <w:szCs w:val="30"/>
          <w14:textFill>
            <w14:solidFill>
              <w14:schemeClr w14:val="tx1"/>
            </w14:solidFill>
          </w14:textFill>
        </w:rPr>
        <w:sectPr>
          <w:footerReference r:id="rId3" w:type="default"/>
          <w:pgSz w:w="11906" w:h="16838"/>
          <w:pgMar w:top="1474" w:right="1797" w:bottom="1247" w:left="1797" w:header="851" w:footer="851" w:gutter="0"/>
          <w:cols w:space="720" w:num="1"/>
        </w:sectPr>
      </w:pPr>
    </w:p>
    <w:p>
      <w:pPr>
        <w:snapToGrid w:val="0"/>
        <w:spacing w:before="50" w:after="120" w:afterLines="5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附件1</w:t>
      </w:r>
      <w:r>
        <w:rPr>
          <w:rFonts w:hint="eastAsia" w:ascii="仿宋" w:hAnsi="仿宋" w:eastAsia="仿宋"/>
          <w:color w:val="000000" w:themeColor="text1"/>
          <w:sz w:val="30"/>
          <w:szCs w:val="30"/>
          <w:lang w:val="en-US" w:eastAsia="zh-CN"/>
          <w14:textFill>
            <w14:solidFill>
              <w14:schemeClr w14:val="tx1"/>
            </w14:solidFill>
          </w14:textFill>
        </w:rPr>
        <w:t>3</w:t>
      </w:r>
      <w:r>
        <w:rPr>
          <w:rFonts w:hint="eastAsia" w:ascii="仿宋" w:hAnsi="仿宋" w:eastAsia="仿宋"/>
          <w:color w:val="000000" w:themeColor="text1"/>
          <w:sz w:val="30"/>
          <w:szCs w:val="30"/>
          <w14:textFill>
            <w14:solidFill>
              <w14:schemeClr w14:val="tx1"/>
            </w14:solidFill>
          </w14:textFill>
        </w:rPr>
        <w:t>：</w:t>
      </w:r>
    </w:p>
    <w:p>
      <w:pPr>
        <w:snapToGrid w:val="0"/>
        <w:spacing w:before="50" w:after="50"/>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投标人业绩情况一览表</w:t>
      </w:r>
    </w:p>
    <w:p>
      <w:pPr>
        <w:pStyle w:val="18"/>
        <w:snapToGrid w:val="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w:t>
      </w:r>
    </w:p>
    <w:tbl>
      <w:tblPr>
        <w:tblStyle w:val="59"/>
        <w:tblW w:w="139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9"/>
        <w:gridCol w:w="3421"/>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采购</w:t>
            </w:r>
          </w:p>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合同</w:t>
            </w:r>
          </w:p>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金额</w:t>
            </w:r>
          </w:p>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采购单位联系人及</w:t>
            </w:r>
          </w:p>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30"/>
                <w:szCs w:val="30"/>
                <w14:textFill>
                  <w14:solidFill>
                    <w14:schemeClr w14:val="tx1"/>
                  </w14:solidFill>
                </w14:textFill>
              </w:rPr>
            </w:pPr>
          </w:p>
        </w:tc>
        <w:tc>
          <w:tcPr>
            <w:tcW w:w="11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30"/>
                <w:szCs w:val="3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30"/>
                <w:szCs w:val="30"/>
                <w14:textFill>
                  <w14:solidFill>
                    <w14:schemeClr w14:val="tx1"/>
                  </w14:solidFill>
                </w14:textFill>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30"/>
                <w:szCs w:val="30"/>
                <w14:textFill>
                  <w14:solidFill>
                    <w14:schemeClr w14:val="tx1"/>
                  </w14:solidFill>
                </w14:textFill>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合</w:t>
            </w:r>
          </w:p>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验收</w:t>
            </w:r>
          </w:p>
          <w:p>
            <w:pPr>
              <w:snapToGrid w:val="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提供投标人同类项目合同复印件、用户验收报告（如有）。</w:t>
            </w:r>
          </w:p>
        </w:tc>
      </w:tr>
    </w:tbl>
    <w:p>
      <w:pPr>
        <w:pStyle w:val="18"/>
        <w:snapToGrid w:val="0"/>
        <w:spacing w:before="240"/>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授权代表签名：</w:t>
      </w:r>
      <w:r>
        <w:rPr>
          <w:rFonts w:hint="eastAsia" w:ascii="仿宋" w:hAnsi="仿宋" w:eastAsia="仿宋"/>
          <w:color w:val="000000" w:themeColor="text1"/>
          <w:sz w:val="30"/>
          <w:szCs w:val="30"/>
          <w:u w:val="single"/>
          <w14:textFill>
            <w14:solidFill>
              <w14:schemeClr w14:val="tx1"/>
            </w14:solidFill>
          </w14:textFill>
        </w:rPr>
        <w:t>　　　　　</w:t>
      </w:r>
      <w:r>
        <w:rPr>
          <w:rFonts w:hint="eastAsia" w:ascii="仿宋" w:hAnsi="仿宋" w:eastAsia="仿宋"/>
          <w:color w:val="000000" w:themeColor="text1"/>
          <w:sz w:val="30"/>
          <w:szCs w:val="30"/>
          <w14:textFill>
            <w14:solidFill>
              <w14:schemeClr w14:val="tx1"/>
            </w14:solidFill>
          </w14:textFill>
        </w:rPr>
        <w:t xml:space="preserve">                                            时  间：</w:t>
      </w:r>
    </w:p>
    <w:p>
      <w:pPr>
        <w:widowControl/>
        <w:jc w:val="left"/>
        <w:rPr>
          <w:rFonts w:ascii="仿宋" w:hAnsi="仿宋" w:eastAsia="仿宋"/>
          <w:color w:val="000000" w:themeColor="text1"/>
          <w:kern w:val="0"/>
          <w:sz w:val="30"/>
          <w:szCs w:val="30"/>
          <w14:textFill>
            <w14:solidFill>
              <w14:schemeClr w14:val="tx1"/>
            </w14:solidFill>
          </w14:textFill>
        </w:rPr>
        <w:sectPr>
          <w:pgSz w:w="16838" w:h="11906" w:orient="landscape"/>
          <w:pgMar w:top="1797" w:right="1474" w:bottom="1797" w:left="1247" w:header="851" w:footer="851" w:gutter="0"/>
          <w:cols w:space="720" w:num="1"/>
        </w:sectPr>
      </w:pPr>
    </w:p>
    <w:p>
      <w:pPr>
        <w:snapToGrid w:val="0"/>
        <w:spacing w:before="120" w:beforeLines="50" w:after="50"/>
        <w:rPr>
          <w:rFonts w:ascii="仿宋" w:hAnsi="仿宋" w:eastAsia="仿宋"/>
          <w:b/>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附件1</w:t>
      </w:r>
      <w:r>
        <w:rPr>
          <w:rFonts w:hint="eastAsia" w:ascii="仿宋" w:hAnsi="仿宋" w:eastAsia="仿宋"/>
          <w:color w:val="000000" w:themeColor="text1"/>
          <w:sz w:val="30"/>
          <w:szCs w:val="30"/>
          <w:lang w:val="en-US" w:eastAsia="zh-CN"/>
          <w14:textFill>
            <w14:solidFill>
              <w14:schemeClr w14:val="tx1"/>
            </w14:solidFill>
          </w14:textFill>
        </w:rPr>
        <w:t>4</w:t>
      </w:r>
      <w:r>
        <w:rPr>
          <w:rFonts w:hint="eastAsia" w:ascii="仿宋" w:hAnsi="仿宋" w:eastAsia="仿宋"/>
          <w:b/>
          <w:color w:val="000000" w:themeColor="text1"/>
          <w:sz w:val="30"/>
          <w:szCs w:val="30"/>
          <w14:textFill>
            <w14:solidFill>
              <w14:schemeClr w14:val="tx1"/>
            </w14:solidFill>
          </w14:textFill>
        </w:rPr>
        <w:t xml:space="preserve">：                                    </w:t>
      </w:r>
    </w:p>
    <w:p>
      <w:pPr>
        <w:spacing w:before="240" w:beforeLines="100" w:line="240" w:lineRule="atLeast"/>
        <w:jc w:val="center"/>
        <w:rPr>
          <w:rFonts w:hint="eastAsia" w:ascii="仿宋" w:hAnsi="仿宋" w:eastAsia="仿宋"/>
          <w:b/>
          <w:color w:val="000000" w:themeColor="text1"/>
          <w:spacing w:val="40"/>
          <w:sz w:val="52"/>
          <w:szCs w:val="52"/>
          <w:lang w:eastAsia="zh-CN"/>
          <w14:textFill>
            <w14:solidFill>
              <w14:schemeClr w14:val="tx1"/>
            </w14:solidFill>
          </w14:textFill>
        </w:rPr>
      </w:pPr>
      <w:bookmarkStart w:id="47" w:name="PO_1000000445_PM002_1"/>
      <w:r>
        <w:rPr>
          <w:rFonts w:hint="eastAsia" w:ascii="仿宋" w:hAnsi="仿宋" w:eastAsia="仿宋"/>
          <w:b/>
          <w:color w:val="000000" w:themeColor="text1"/>
          <w:spacing w:val="40"/>
          <w:sz w:val="52"/>
          <w:szCs w:val="52"/>
          <w:lang w:eastAsia="zh-CN"/>
          <w14:textFill>
            <w14:solidFill>
              <w14:schemeClr w14:val="tx1"/>
            </w14:solidFill>
          </w14:textFill>
        </w:rPr>
        <w:t>省体育彩票管理中心物业服务采购项目</w:t>
      </w:r>
      <w:bookmarkEnd w:id="47"/>
    </w:p>
    <w:p>
      <w:pPr>
        <w:spacing w:before="240" w:beforeLines="100" w:line="240" w:lineRule="atLeast"/>
        <w:jc w:val="center"/>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项目编号：</w:t>
      </w:r>
      <w:bookmarkStart w:id="48" w:name="PO_1000000445_PM001"/>
      <w:r>
        <w:rPr>
          <w:rFonts w:hint="eastAsia" w:ascii="仿宋" w:hAnsi="仿宋" w:eastAsia="仿宋"/>
          <w:b/>
          <w:color w:val="000000" w:themeColor="text1"/>
          <w:sz w:val="36"/>
          <w:szCs w:val="36"/>
          <w:lang w:eastAsia="zh-CN"/>
          <w14:textFill>
            <w14:solidFill>
              <w14:schemeClr w14:val="tx1"/>
            </w14:solidFill>
          </w14:textFill>
        </w:rPr>
        <w:t>ZZCG2023P-GK-157</w:t>
      </w:r>
      <w:bookmarkEnd w:id="48"/>
      <w:r>
        <w:rPr>
          <w:rFonts w:hint="eastAsia" w:ascii="仿宋" w:hAnsi="仿宋" w:eastAsia="仿宋"/>
          <w:color w:val="000000" w:themeColor="text1"/>
          <w:sz w:val="36"/>
          <w:szCs w:val="36"/>
          <w14:textFill>
            <w14:solidFill>
              <w14:schemeClr w14:val="tx1"/>
            </w14:solidFill>
          </w14:textFill>
        </w:rPr>
        <w:t>（标项  ）</w:t>
      </w: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p>
    <w:p>
      <w:pPr>
        <w:spacing w:after="100" w:afterAutospacing="1"/>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报</w:t>
      </w:r>
    </w:p>
    <w:p>
      <w:pPr>
        <w:spacing w:after="100" w:afterAutospacing="1"/>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价</w:t>
      </w:r>
    </w:p>
    <w:p>
      <w:pPr>
        <w:spacing w:after="100" w:afterAutospacing="1"/>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文</w:t>
      </w:r>
    </w:p>
    <w:p>
      <w:pPr>
        <w:spacing w:after="100" w:afterAutospacing="1"/>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件</w:t>
      </w:r>
    </w:p>
    <w:p>
      <w:pPr>
        <w:spacing w:line="500" w:lineRule="exact"/>
        <w:ind w:right="532"/>
        <w:jc w:val="center"/>
        <w:rPr>
          <w:rFonts w:ascii="仿宋" w:hAnsi="仿宋" w:eastAsia="仿宋"/>
          <w:color w:val="000000" w:themeColor="text1"/>
          <w:sz w:val="36"/>
          <w:szCs w:val="36"/>
          <w14:textFill>
            <w14:solidFill>
              <w14:schemeClr w14:val="tx1"/>
            </w14:solidFill>
          </w14:textFill>
        </w:rPr>
      </w:pPr>
    </w:p>
    <w:p>
      <w:pPr>
        <w:spacing w:line="500" w:lineRule="exact"/>
        <w:ind w:right="532"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投标人全称：</w:t>
      </w:r>
    </w:p>
    <w:p>
      <w:pPr>
        <w:wordWrap w:val="0"/>
        <w:spacing w:line="500" w:lineRule="exact"/>
        <w:ind w:right="-108"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地    址：</w:t>
      </w:r>
    </w:p>
    <w:p>
      <w:pPr>
        <w:wordWrap w:val="0"/>
        <w:spacing w:line="500" w:lineRule="exact"/>
        <w:ind w:right="-108"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时    间：</w:t>
      </w:r>
    </w:p>
    <w:p>
      <w:pPr>
        <w:snapToGrid w:val="0"/>
        <w:spacing w:before="50" w:after="50"/>
        <w:rPr>
          <w:rFonts w:ascii="仿宋" w:hAnsi="仿宋" w:eastAsia="仿宋"/>
          <w:color w:val="000000" w:themeColor="text1"/>
          <w:sz w:val="30"/>
          <w:szCs w:val="30"/>
          <w14:textFill>
            <w14:solidFill>
              <w14:schemeClr w14:val="tx1"/>
            </w14:solidFill>
          </w14:textFill>
        </w:rPr>
      </w:pPr>
    </w:p>
    <w:p>
      <w:pPr>
        <w:pStyle w:val="34"/>
        <w:snapToGrid w:val="0"/>
        <w:spacing w:after="120"/>
        <w:ind w:left="0" w:leftChars="0"/>
        <w:rPr>
          <w:rFonts w:ascii="仿宋" w:hAnsi="仿宋" w:eastAsia="仿宋"/>
          <w:b/>
          <w:color w:val="000000" w:themeColor="text1"/>
          <w:sz w:val="36"/>
          <w:szCs w:val="36"/>
          <w14:textFill>
            <w14:solidFill>
              <w14:schemeClr w14:val="tx1"/>
            </w14:solidFill>
          </w14:textFill>
        </w:rPr>
      </w:pPr>
      <w:r>
        <w:rPr>
          <w:rFonts w:hint="eastAsia" w:ascii="仿宋" w:hAnsi="仿宋" w:eastAsia="仿宋"/>
          <w:color w:val="000000" w:themeColor="text1"/>
          <w:kern w:val="0"/>
          <w:sz w:val="36"/>
          <w:szCs w:val="36"/>
          <w14:textFill>
            <w14:solidFill>
              <w14:schemeClr w14:val="tx1"/>
            </w14:solidFill>
          </w14:textFill>
        </w:rPr>
        <w:br w:type="page"/>
      </w:r>
      <w:r>
        <w:rPr>
          <w:rFonts w:hint="eastAsia" w:ascii="仿宋" w:hAnsi="仿宋" w:eastAsia="仿宋"/>
          <w:color w:val="000000" w:themeColor="text1"/>
          <w:sz w:val="36"/>
          <w:szCs w:val="36"/>
          <w14:textFill>
            <w14:solidFill>
              <w14:schemeClr w14:val="tx1"/>
            </w14:solidFill>
          </w14:textFill>
        </w:rPr>
        <w:t>3、</w:t>
      </w:r>
      <w:r>
        <w:rPr>
          <w:rFonts w:hint="eastAsia" w:ascii="仿宋" w:hAnsi="仿宋" w:eastAsia="仿宋"/>
          <w:b/>
          <w:color w:val="000000" w:themeColor="text1"/>
          <w:sz w:val="36"/>
          <w:szCs w:val="36"/>
          <w14:textFill>
            <w14:solidFill>
              <w14:schemeClr w14:val="tx1"/>
            </w14:solidFill>
          </w14:textFill>
        </w:rPr>
        <w:t>报价文件目录</w:t>
      </w:r>
    </w:p>
    <w:p>
      <w:pPr>
        <w:rPr>
          <w:rFonts w:ascii="仿宋" w:hAnsi="仿宋" w:eastAsia="仿宋"/>
          <w:color w:val="000000" w:themeColor="text1"/>
          <w14:textFill>
            <w14:solidFill>
              <w14:schemeClr w14:val="tx1"/>
            </w14:solidFill>
          </w14:textFill>
        </w:rPr>
      </w:pPr>
    </w:p>
    <w:p>
      <w:pPr>
        <w:pStyle w:val="34"/>
        <w:numPr>
          <w:ilvl w:val="0"/>
          <w:numId w:val="31"/>
        </w:numPr>
        <w:snapToGrid w:val="0"/>
        <w:spacing w:after="120" w:line="460" w:lineRule="exact"/>
        <w:ind w:left="0" w:leftChars="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开标一览表（见附件1</w:t>
      </w:r>
      <w:r>
        <w:rPr>
          <w:rFonts w:hint="eastAsia" w:ascii="仿宋" w:hAnsi="仿宋" w:eastAsia="仿宋"/>
          <w:color w:val="000000" w:themeColor="text1"/>
          <w:sz w:val="30"/>
          <w:szCs w:val="30"/>
          <w:lang w:val="en-US" w:eastAsia="zh-CN"/>
          <w14:textFill>
            <w14:solidFill>
              <w14:schemeClr w14:val="tx1"/>
            </w14:solidFill>
          </w14:textFill>
        </w:rPr>
        <w:t>5</w:t>
      </w:r>
      <w:r>
        <w:rPr>
          <w:rFonts w:hint="eastAsia" w:ascii="仿宋" w:hAnsi="仿宋" w:eastAsia="仿宋"/>
          <w:color w:val="000000" w:themeColor="text1"/>
          <w:sz w:val="30"/>
          <w:szCs w:val="30"/>
          <w14:textFill>
            <w14:solidFill>
              <w14:schemeClr w14:val="tx1"/>
            </w14:solidFill>
          </w14:textFill>
        </w:rPr>
        <w:t>）；</w:t>
      </w:r>
    </w:p>
    <w:p>
      <w:pPr>
        <w:snapToGrid w:val="0"/>
        <w:spacing w:line="460" w:lineRule="exact"/>
        <w:jc w:val="left"/>
        <w:rPr>
          <w:rFonts w:ascii="仿宋" w:hAnsi="仿宋" w:eastAsia="仿宋"/>
        </w:rPr>
      </w:pPr>
      <w:r>
        <w:rPr>
          <w:rFonts w:hint="eastAsia" w:ascii="仿宋" w:hAnsi="仿宋" w:eastAsia="仿宋"/>
          <w:sz w:val="30"/>
          <w:szCs w:val="30"/>
        </w:rPr>
        <w:t>（</w:t>
      </w:r>
      <w:r>
        <w:rPr>
          <w:rFonts w:hint="eastAsia" w:ascii="仿宋" w:hAnsi="仿宋" w:eastAsia="仿宋"/>
          <w:sz w:val="30"/>
          <w:szCs w:val="30"/>
          <w:lang w:val="en-US" w:eastAsia="zh-CN"/>
        </w:rPr>
        <w:t>2</w:t>
      </w:r>
      <w:r>
        <w:rPr>
          <w:rFonts w:hint="eastAsia" w:ascii="仿宋" w:hAnsi="仿宋" w:eastAsia="仿宋"/>
          <w:sz w:val="30"/>
          <w:szCs w:val="30"/>
        </w:rPr>
        <w:t>）中小企业声明函（若需要，格式见附件</w:t>
      </w:r>
      <w:r>
        <w:rPr>
          <w:rFonts w:hint="eastAsia" w:ascii="仿宋" w:hAnsi="仿宋" w:eastAsia="仿宋"/>
          <w:sz w:val="30"/>
          <w:szCs w:val="30"/>
          <w:lang w:val="en-US" w:eastAsia="zh-CN"/>
        </w:rPr>
        <w:t>16</w:t>
      </w:r>
      <w:r>
        <w:rPr>
          <w:rFonts w:hint="eastAsia" w:ascii="仿宋" w:hAnsi="仿宋" w:eastAsia="仿宋"/>
          <w:sz w:val="30"/>
          <w:szCs w:val="30"/>
        </w:rPr>
        <w:t>）；</w:t>
      </w:r>
    </w:p>
    <w:p>
      <w:pPr>
        <w:snapToGrid w:val="0"/>
        <w:spacing w:line="460" w:lineRule="exact"/>
        <w:jc w:val="left"/>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3</w:t>
      </w:r>
      <w:r>
        <w:rPr>
          <w:rFonts w:hint="eastAsia" w:ascii="仿宋" w:hAnsi="仿宋" w:eastAsia="仿宋"/>
          <w:sz w:val="30"/>
          <w:szCs w:val="30"/>
        </w:rPr>
        <w:t>）残疾人福利企业声明函（若需要，格式见附件</w:t>
      </w:r>
      <w:r>
        <w:rPr>
          <w:rFonts w:hint="eastAsia" w:ascii="仿宋" w:hAnsi="仿宋" w:eastAsia="仿宋"/>
          <w:sz w:val="30"/>
          <w:szCs w:val="30"/>
          <w:lang w:val="en-US" w:eastAsia="zh-CN"/>
        </w:rPr>
        <w:t>17</w:t>
      </w:r>
      <w:r>
        <w:rPr>
          <w:rFonts w:hint="eastAsia" w:ascii="仿宋" w:hAnsi="仿宋" w:eastAsia="仿宋"/>
          <w:sz w:val="30"/>
          <w:szCs w:val="30"/>
        </w:rPr>
        <w:t>）；</w:t>
      </w:r>
    </w:p>
    <w:p>
      <w:pPr>
        <w:snapToGrid w:val="0"/>
        <w:spacing w:line="460" w:lineRule="exact"/>
        <w:jc w:val="left"/>
      </w:pPr>
      <w:r>
        <w:rPr>
          <w:rFonts w:hint="eastAsia" w:ascii="仿宋" w:hAnsi="仿宋" w:eastAsia="仿宋"/>
          <w:sz w:val="30"/>
          <w:szCs w:val="30"/>
        </w:rPr>
        <w:t>（</w:t>
      </w:r>
      <w:r>
        <w:rPr>
          <w:rFonts w:hint="eastAsia" w:ascii="仿宋" w:hAnsi="仿宋" w:eastAsia="仿宋"/>
          <w:sz w:val="30"/>
          <w:szCs w:val="30"/>
          <w:lang w:val="en-US" w:eastAsia="zh-CN"/>
        </w:rPr>
        <w:t>4</w:t>
      </w:r>
      <w:r>
        <w:rPr>
          <w:rFonts w:hint="eastAsia" w:ascii="仿宋" w:hAnsi="仿宋" w:eastAsia="仿宋"/>
          <w:sz w:val="30"/>
          <w:szCs w:val="30"/>
        </w:rPr>
        <w:t>）</w:t>
      </w:r>
      <w:r>
        <w:rPr>
          <w:rFonts w:hint="eastAsia" w:ascii="仿宋" w:hAnsi="仿宋" w:eastAsia="仿宋"/>
          <w:bCs/>
          <w:sz w:val="30"/>
          <w:szCs w:val="30"/>
        </w:rPr>
        <w:t>监狱企业证明文件</w:t>
      </w:r>
      <w:r>
        <w:rPr>
          <w:rFonts w:hint="eastAsia" w:ascii="仿宋" w:hAnsi="仿宋" w:eastAsia="仿宋"/>
          <w:sz w:val="30"/>
          <w:szCs w:val="30"/>
        </w:rPr>
        <w:t>（若需要）；</w:t>
      </w:r>
    </w:p>
    <w:p>
      <w:pPr>
        <w:pStyle w:val="34"/>
        <w:snapToGrid w:val="0"/>
        <w:spacing w:after="120" w:line="460" w:lineRule="exact"/>
        <w:ind w:left="0" w:leftChars="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lang w:val="en-US" w:eastAsia="zh-CN"/>
          <w14:textFill>
            <w14:solidFill>
              <w14:schemeClr w14:val="tx1"/>
            </w14:solidFill>
          </w14:textFill>
        </w:rPr>
        <w:t>5</w:t>
      </w:r>
      <w:r>
        <w:rPr>
          <w:rFonts w:hint="eastAsia" w:ascii="仿宋" w:hAnsi="仿宋" w:eastAsia="仿宋"/>
          <w:color w:val="000000" w:themeColor="text1"/>
          <w:sz w:val="30"/>
          <w:szCs w:val="30"/>
          <w14:textFill>
            <w14:solidFill>
              <w14:schemeClr w14:val="tx1"/>
            </w14:solidFill>
          </w14:textFill>
        </w:rPr>
        <w:t>）投标人针对报价需要说明的其他文件和说明（格式自拟）；</w:t>
      </w:r>
    </w:p>
    <w:p>
      <w:pPr>
        <w:pStyle w:val="31"/>
        <w:snapToGrid w:val="0"/>
        <w:spacing w:before="120" w:after="120" w:line="240" w:lineRule="auto"/>
        <w:jc w:val="left"/>
        <w:rPr>
          <w:rFonts w:ascii="仿宋" w:hAnsi="仿宋" w:eastAsia="仿宋"/>
          <w:b/>
          <w:color w:val="000000" w:themeColor="text1"/>
          <w:sz w:val="36"/>
          <w:szCs w:val="36"/>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附件1</w:t>
      </w:r>
      <w:r>
        <w:rPr>
          <w:rFonts w:hint="eastAsia" w:ascii="仿宋" w:hAnsi="仿宋" w:eastAsia="仿宋"/>
          <w:color w:val="000000" w:themeColor="text1"/>
          <w:sz w:val="30"/>
          <w:szCs w:val="30"/>
          <w:lang w:val="en-US" w:eastAsia="zh-CN"/>
          <w14:textFill>
            <w14:solidFill>
              <w14:schemeClr w14:val="tx1"/>
            </w14:solidFill>
          </w14:textFill>
        </w:rPr>
        <w:t>5</w:t>
      </w:r>
      <w:r>
        <w:rPr>
          <w:rFonts w:hint="eastAsia" w:ascii="仿宋" w:hAnsi="仿宋" w:eastAsia="仿宋"/>
          <w:color w:val="000000" w:themeColor="text1"/>
          <w:sz w:val="30"/>
          <w:szCs w:val="30"/>
          <w14:textFill>
            <w14:solidFill>
              <w14:schemeClr w14:val="tx1"/>
            </w14:solidFill>
          </w14:textFill>
        </w:rPr>
        <w:t>：</w:t>
      </w:r>
    </w:p>
    <w:p>
      <w:pPr>
        <w:pStyle w:val="31"/>
        <w:snapToGrid w:val="0"/>
        <w:spacing w:before="120" w:after="120" w:line="240" w:lineRule="auto"/>
        <w:ind w:firstLine="1084" w:firstLineChars="300"/>
        <w:jc w:val="center"/>
        <w:rPr>
          <w:rFonts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t>开 标 一 览 表</w:t>
      </w:r>
    </w:p>
    <w:p>
      <w:pPr>
        <w:pStyle w:val="31"/>
        <w:snapToGrid w:val="0"/>
        <w:spacing w:before="120" w:after="120" w:line="240" w:lineRule="auto"/>
        <w:ind w:firstLine="1084" w:firstLineChars="300"/>
        <w:jc w:val="center"/>
        <w:rPr>
          <w:rFonts w:ascii="仿宋" w:hAnsi="仿宋" w:eastAsia="仿宋"/>
          <w:b/>
          <w:color w:val="000000" w:themeColor="text1"/>
          <w:sz w:val="36"/>
          <w:szCs w:val="36"/>
          <w14:textFill>
            <w14:solidFill>
              <w14:schemeClr w14:val="tx1"/>
            </w14:solidFill>
          </w14:textFill>
        </w:rPr>
      </w:pPr>
    </w:p>
    <w:p>
      <w:pPr>
        <w:snapToGrid w:val="0"/>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投标人全称（公章）：</w:t>
      </w:r>
      <w:r>
        <w:rPr>
          <w:rFonts w:hint="eastAsia" w:ascii="仿宋" w:hAnsi="仿宋" w:eastAsia="仿宋"/>
          <w:color w:val="000000" w:themeColor="text1"/>
          <w:sz w:val="28"/>
          <w:szCs w:val="28"/>
          <w:u w:val="single"/>
          <w14:textFill>
            <w14:solidFill>
              <w14:schemeClr w14:val="tx1"/>
            </w14:solidFill>
          </w14:textFill>
        </w:rPr>
        <w:t xml:space="preserve">               </w:t>
      </w:r>
    </w:p>
    <w:p>
      <w:pPr>
        <w:snapToGrid w:val="0"/>
        <w:rPr>
          <w:rFonts w:ascii="仿宋" w:hAnsi="仿宋" w:eastAsia="仿宋"/>
          <w:color w:val="000000" w:themeColor="text1"/>
          <w:sz w:val="28"/>
          <w:szCs w:val="28"/>
          <w14:textFill>
            <w14:solidFill>
              <w14:schemeClr w14:val="tx1"/>
            </w14:solidFill>
          </w14:textFill>
        </w:rPr>
      </w:pPr>
    </w:p>
    <w:p>
      <w:pPr>
        <w:snapToGrid w:val="0"/>
        <w:rPr>
          <w:rFonts w:ascii="仿宋" w:hAnsi="仿宋" w:eastAsia="仿宋"/>
          <w:b/>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招标编号及标项：</w:t>
      </w:r>
      <w:r>
        <w:rPr>
          <w:rFonts w:hint="eastAsia" w:ascii="仿宋" w:hAnsi="仿宋" w:eastAsia="仿宋"/>
          <w:color w:val="000000" w:themeColor="text1"/>
          <w:sz w:val="28"/>
          <w:szCs w:val="28"/>
          <w:u w:val="single"/>
          <w14:textFill>
            <w14:solidFill>
              <w14:schemeClr w14:val="tx1"/>
            </w14:solidFill>
          </w14:textFill>
        </w:rPr>
        <w:t xml:space="preserve">                 </w:t>
      </w:r>
    </w:p>
    <w:p>
      <w:pPr>
        <w:snapToGrid w:val="0"/>
        <w:rPr>
          <w:rFonts w:ascii="仿宋" w:hAnsi="仿宋" w:eastAsia="仿宋"/>
          <w:b/>
          <w:color w:val="000000" w:themeColor="text1"/>
          <w:sz w:val="24"/>
          <w:szCs w:val="24"/>
          <w:u w:val="single"/>
          <w14:textFill>
            <w14:solidFill>
              <w14:schemeClr w14:val="tx1"/>
            </w14:solidFill>
          </w14:textFill>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货物</w:t>
            </w:r>
          </w:p>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品牌</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产地</w:t>
            </w:r>
          </w:p>
        </w:tc>
        <w:tc>
          <w:tcPr>
            <w:tcW w:w="1029"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规格</w:t>
            </w:r>
          </w:p>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型号</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数量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单价</w:t>
            </w:r>
          </w:p>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7827"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1029"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是否中小企业</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备注</w:t>
            </w:r>
          </w:p>
        </w:tc>
        <w:tc>
          <w:tcPr>
            <w:tcW w:w="8647" w:type="dxa"/>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2.报价要求：项目费用包括项目实施所需的工程费、工时费、服务费、运输费、安装调试费、税费及其他一切费用。</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w:t>
            </w:r>
            <w:r>
              <w:rPr>
                <w:rFonts w:hint="eastAsia" w:ascii="仿宋" w:hAnsi="仿宋" w:eastAsia="仿宋"/>
                <w:b/>
                <w:color w:val="000000" w:themeColor="text1"/>
                <w:sz w:val="24"/>
                <w:szCs w:val="24"/>
                <w14:textFill>
                  <w14:solidFill>
                    <w14:schemeClr w14:val="tx1"/>
                  </w14:solidFill>
                </w14:textFill>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5</w:t>
            </w:r>
            <w:r>
              <w:rPr>
                <w:rFonts w:ascii="仿宋" w:hAnsi="仿宋" w:eastAsia="仿宋"/>
                <w:b/>
                <w:color w:val="000000" w:themeColor="text1"/>
                <w:sz w:val="24"/>
                <w:szCs w:val="24"/>
                <w14:textFill>
                  <w14:solidFill>
                    <w14:schemeClr w14:val="tx1"/>
                  </w14:solidFill>
                </w14:textFill>
              </w:rPr>
              <w:t>.</w:t>
            </w:r>
            <w:r>
              <w:rPr>
                <w:rFonts w:hint="eastAsia" w:ascii="仿宋" w:hAnsi="仿宋" w:eastAsia="仿宋"/>
                <w:b/>
                <w:color w:val="000000" w:themeColor="text1"/>
                <w:sz w:val="24"/>
                <w:szCs w:val="24"/>
                <w14:textFill>
                  <w14:solidFill>
                    <w14:schemeClr w14:val="tx1"/>
                  </w14:solidFill>
                </w14:textFill>
              </w:rPr>
              <w:t>报价低于项目预算50%的，应当在报价文件中详细阐述不影响产品质量或者诚信履约的具体原因。</w:t>
            </w:r>
          </w:p>
        </w:tc>
      </w:tr>
    </w:tbl>
    <w:p>
      <w:pPr>
        <w:snapToGrid w:val="0"/>
        <w:spacing w:line="400" w:lineRule="exact"/>
        <w:jc w:val="left"/>
        <w:rPr>
          <w:rFonts w:ascii="仿宋" w:hAnsi="仿宋" w:eastAsia="仿宋"/>
          <w:color w:val="000000" w:themeColor="text1"/>
          <w:sz w:val="24"/>
          <w:szCs w:val="24"/>
          <w14:textFill>
            <w14:solidFill>
              <w14:schemeClr w14:val="tx1"/>
            </w14:solidFill>
          </w14:textFill>
        </w:rPr>
      </w:pPr>
    </w:p>
    <w:p>
      <w:pPr>
        <w:snapToGrid w:val="0"/>
        <w:spacing w:line="4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授权代表签名：</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日期：</w:t>
      </w:r>
      <w:r>
        <w:rPr>
          <w:rFonts w:hint="eastAsia" w:ascii="仿宋" w:hAnsi="仿宋" w:eastAsia="仿宋"/>
          <w:color w:val="000000" w:themeColor="text1"/>
          <w:sz w:val="28"/>
          <w:szCs w:val="28"/>
          <w:u w:val="single"/>
          <w14:textFill>
            <w14:solidFill>
              <w14:schemeClr w14:val="tx1"/>
            </w14:solidFill>
          </w14:textFill>
        </w:rPr>
        <w:t xml:space="preserve">           </w:t>
      </w:r>
    </w:p>
    <w:p>
      <w:pPr>
        <w:snapToGrid w:val="0"/>
        <w:spacing w:line="360" w:lineRule="auto"/>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p>
    <w:p>
      <w:pPr>
        <w:pStyle w:val="31"/>
        <w:snapToGrid w:val="0"/>
        <w:spacing w:before="120" w:after="120" w:line="240" w:lineRule="auto"/>
        <w:ind w:firstLine="1084" w:firstLineChars="300"/>
        <w:jc w:val="center"/>
        <w:rPr>
          <w:rFonts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t>开 标 一 览 表</w:t>
      </w:r>
    </w:p>
    <w:p>
      <w:pPr>
        <w:pStyle w:val="31"/>
        <w:snapToGrid w:val="0"/>
        <w:spacing w:before="120" w:after="120" w:line="240" w:lineRule="auto"/>
        <w:ind w:firstLine="1084" w:firstLineChars="300"/>
        <w:jc w:val="center"/>
        <w:rPr>
          <w:rFonts w:ascii="仿宋" w:hAnsi="仿宋" w:eastAsia="仿宋"/>
          <w:b/>
          <w:color w:val="000000" w:themeColor="text1"/>
          <w:sz w:val="36"/>
          <w:szCs w:val="36"/>
          <w14:textFill>
            <w14:solidFill>
              <w14:schemeClr w14:val="tx1"/>
            </w14:solidFill>
          </w14:textFill>
        </w:rPr>
      </w:pPr>
    </w:p>
    <w:p>
      <w:pPr>
        <w:snapToGrid w:val="0"/>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投标人全称（公章）：</w:t>
      </w:r>
      <w:r>
        <w:rPr>
          <w:rFonts w:hint="eastAsia" w:ascii="仿宋" w:hAnsi="仿宋" w:eastAsia="仿宋"/>
          <w:color w:val="000000" w:themeColor="text1"/>
          <w:sz w:val="28"/>
          <w:szCs w:val="28"/>
          <w:u w:val="single"/>
          <w14:textFill>
            <w14:solidFill>
              <w14:schemeClr w14:val="tx1"/>
            </w14:solidFill>
          </w14:textFill>
        </w:rPr>
        <w:t xml:space="preserve">                 </w:t>
      </w:r>
    </w:p>
    <w:p>
      <w:pPr>
        <w:snapToGrid w:val="0"/>
        <w:rPr>
          <w:rFonts w:ascii="仿宋" w:hAnsi="仿宋" w:eastAsia="仿宋"/>
          <w:color w:val="000000" w:themeColor="text1"/>
          <w:sz w:val="28"/>
          <w:szCs w:val="28"/>
          <w14:textFill>
            <w14:solidFill>
              <w14:schemeClr w14:val="tx1"/>
            </w14:solidFill>
          </w14:textFill>
        </w:rPr>
      </w:pPr>
    </w:p>
    <w:p>
      <w:pPr>
        <w:snapToGrid w:val="0"/>
        <w:rPr>
          <w:rFonts w:ascii="仿宋" w:hAnsi="仿宋" w:eastAsia="仿宋"/>
          <w:b/>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招标编号及标项：</w:t>
      </w:r>
      <w:r>
        <w:rPr>
          <w:rFonts w:hint="eastAsia" w:ascii="仿宋" w:hAnsi="仿宋" w:eastAsia="仿宋"/>
          <w:color w:val="000000" w:themeColor="text1"/>
          <w:sz w:val="28"/>
          <w:szCs w:val="28"/>
          <w:u w:val="single"/>
          <w14:textFill>
            <w14:solidFill>
              <w14:schemeClr w14:val="tx1"/>
            </w14:solidFill>
          </w14:textFill>
        </w:rPr>
        <w:t xml:space="preserve">                   </w:t>
      </w:r>
    </w:p>
    <w:p>
      <w:pPr>
        <w:snapToGrid w:val="0"/>
        <w:spacing w:line="360" w:lineRule="auto"/>
        <w:rPr>
          <w:rFonts w:ascii="仿宋" w:hAnsi="仿宋" w:eastAsia="仿宋"/>
          <w:color w:val="000000" w:themeColor="text1"/>
          <w:sz w:val="30"/>
          <w:szCs w:val="30"/>
          <w14:textFill>
            <w14:solidFill>
              <w14:schemeClr w14:val="tx1"/>
            </w14:solidFill>
          </w14:textFill>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服务内容</w:t>
            </w:r>
          </w:p>
        </w:tc>
        <w:tc>
          <w:tcPr>
            <w:tcW w:w="1845"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服务人员数量</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工作量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单价</w:t>
            </w:r>
          </w:p>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7827"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1845"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是否中小企业承接</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13"/>
                <w:szCs w:val="13"/>
                <w14:textFill>
                  <w14:solidFill>
                    <w14:schemeClr w14:val="tx1"/>
                  </w14:solidFill>
                </w14:textFill>
              </w:rPr>
            </w:pPr>
            <w:r>
              <w:rPr>
                <w:rFonts w:hint="eastAsia" w:ascii="仿宋" w:hAnsi="仿宋" w:eastAsia="仿宋"/>
                <w:b/>
                <w:color w:val="000000" w:themeColor="text1"/>
                <w:sz w:val="13"/>
                <w:szCs w:val="13"/>
                <w14:textFill>
                  <w14:solidFill>
                    <w14:schemeClr w14:val="tx1"/>
                  </w14:solidFill>
                </w14:textFill>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w:t>
            </w:r>
          </w:p>
        </w:tc>
        <w:tc>
          <w:tcPr>
            <w:tcW w:w="184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备注</w:t>
            </w:r>
          </w:p>
        </w:tc>
        <w:tc>
          <w:tcPr>
            <w:tcW w:w="8647"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2.报价要求：项目费用包括项目实施所需的工程费、工时费、服务费、运输费、安装调试费、税费及其他一切费用。</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4</w:t>
            </w:r>
            <w:r>
              <w:rPr>
                <w:rFonts w:hint="eastAsia" w:ascii="仿宋" w:hAnsi="仿宋" w:eastAsia="仿宋"/>
                <w:b/>
                <w:color w:val="000000" w:themeColor="text1"/>
                <w:sz w:val="24"/>
                <w:szCs w:val="24"/>
                <w14:textFill>
                  <w14:solidFill>
                    <w14:schemeClr w14:val="tx1"/>
                  </w14:solidFill>
                </w14:textFill>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5</w:t>
            </w:r>
            <w:r>
              <w:rPr>
                <w:rFonts w:ascii="仿宋" w:hAnsi="仿宋" w:eastAsia="仿宋"/>
                <w:b/>
                <w:color w:val="000000" w:themeColor="text1"/>
                <w:sz w:val="24"/>
                <w:szCs w:val="24"/>
                <w14:textFill>
                  <w14:solidFill>
                    <w14:schemeClr w14:val="tx1"/>
                  </w14:solidFill>
                </w14:textFill>
              </w:rPr>
              <w:t>.</w:t>
            </w:r>
            <w:r>
              <w:rPr>
                <w:rFonts w:hint="eastAsia" w:ascii="仿宋" w:hAnsi="仿宋" w:eastAsia="仿宋"/>
                <w:b/>
                <w:color w:val="000000" w:themeColor="text1"/>
                <w:sz w:val="24"/>
                <w:szCs w:val="24"/>
                <w14:textFill>
                  <w14:solidFill>
                    <w14:schemeClr w14:val="tx1"/>
                  </w14:solidFill>
                </w14:textFill>
              </w:rPr>
              <w:t>报价低于项目预算50%的，应当在报价文件中详细阐述不影响产品质量或者诚信履约的具体原因。</w:t>
            </w:r>
          </w:p>
        </w:tc>
      </w:tr>
    </w:tbl>
    <w:p>
      <w:pPr>
        <w:snapToGrid w:val="0"/>
        <w:spacing w:line="360" w:lineRule="auto"/>
        <w:rPr>
          <w:rFonts w:ascii="仿宋" w:hAnsi="仿宋" w:eastAsia="仿宋"/>
          <w:color w:val="000000" w:themeColor="text1"/>
          <w:sz w:val="30"/>
          <w:szCs w:val="30"/>
          <w14:textFill>
            <w14:solidFill>
              <w14:schemeClr w14:val="tx1"/>
            </w14:solidFill>
          </w14:textFill>
        </w:rPr>
      </w:pPr>
    </w:p>
    <w:p>
      <w:pPr>
        <w:snapToGrid w:val="0"/>
        <w:spacing w:line="4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授权代表签名：</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日期：</w:t>
      </w:r>
      <w:r>
        <w:rPr>
          <w:rFonts w:hint="eastAsia" w:ascii="仿宋" w:hAnsi="仿宋" w:eastAsia="仿宋"/>
          <w:color w:val="000000" w:themeColor="text1"/>
          <w:sz w:val="28"/>
          <w:szCs w:val="28"/>
          <w:u w:val="single"/>
          <w14:textFill>
            <w14:solidFill>
              <w14:schemeClr w14:val="tx1"/>
            </w14:solidFill>
          </w14:textFill>
        </w:rPr>
        <w:t xml:space="preserve">            </w:t>
      </w:r>
    </w:p>
    <w:p>
      <w:pPr>
        <w:snapToGrid w:val="0"/>
        <w:spacing w:line="360" w:lineRule="auto"/>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p>
    <w:p>
      <w:pPr>
        <w:pStyle w:val="31"/>
        <w:snapToGrid w:val="0"/>
        <w:spacing w:before="120" w:after="120" w:line="240" w:lineRule="auto"/>
        <w:jc w:val="center"/>
        <w:rPr>
          <w:rFonts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t>开 标 一 览 表</w:t>
      </w:r>
    </w:p>
    <w:p>
      <w:pPr>
        <w:pStyle w:val="31"/>
        <w:snapToGrid w:val="0"/>
        <w:spacing w:before="120" w:after="120" w:line="240" w:lineRule="auto"/>
        <w:ind w:firstLine="1084" w:firstLineChars="300"/>
        <w:jc w:val="center"/>
        <w:rPr>
          <w:rFonts w:ascii="仿宋" w:hAnsi="仿宋" w:eastAsia="仿宋"/>
          <w:b/>
          <w:color w:val="000000" w:themeColor="text1"/>
          <w:sz w:val="36"/>
          <w:szCs w:val="36"/>
          <w14:textFill>
            <w14:solidFill>
              <w14:schemeClr w14:val="tx1"/>
            </w14:solidFill>
          </w14:textFill>
        </w:rPr>
      </w:pPr>
    </w:p>
    <w:p>
      <w:pPr>
        <w:snapToGrid w:val="0"/>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投标人全称（公章）：</w:t>
      </w:r>
      <w:r>
        <w:rPr>
          <w:rFonts w:hint="eastAsia" w:ascii="仿宋" w:hAnsi="仿宋" w:eastAsia="仿宋"/>
          <w:color w:val="000000" w:themeColor="text1"/>
          <w:sz w:val="28"/>
          <w:szCs w:val="28"/>
          <w:u w:val="single"/>
          <w14:textFill>
            <w14:solidFill>
              <w14:schemeClr w14:val="tx1"/>
            </w14:solidFill>
          </w14:textFill>
        </w:rPr>
        <w:t xml:space="preserve">             </w:t>
      </w:r>
    </w:p>
    <w:p>
      <w:pPr>
        <w:snapToGrid w:val="0"/>
        <w:rPr>
          <w:rFonts w:ascii="仿宋" w:hAnsi="仿宋" w:eastAsia="仿宋"/>
          <w:color w:val="000000" w:themeColor="text1"/>
          <w:sz w:val="28"/>
          <w:szCs w:val="28"/>
          <w14:textFill>
            <w14:solidFill>
              <w14:schemeClr w14:val="tx1"/>
            </w14:solidFill>
          </w14:textFill>
        </w:rPr>
      </w:pPr>
    </w:p>
    <w:p>
      <w:pPr>
        <w:snapToGrid w:val="0"/>
        <w:rPr>
          <w:rFonts w:ascii="仿宋" w:hAnsi="仿宋" w:eastAsia="仿宋"/>
          <w:b/>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招标编号及标项：</w:t>
      </w:r>
      <w:r>
        <w:rPr>
          <w:rFonts w:hint="eastAsia" w:ascii="仿宋" w:hAnsi="仿宋" w:eastAsia="仿宋"/>
          <w:color w:val="000000" w:themeColor="text1"/>
          <w:sz w:val="28"/>
          <w:szCs w:val="28"/>
          <w:u w:val="single"/>
          <w14:textFill>
            <w14:solidFill>
              <w14:schemeClr w14:val="tx1"/>
            </w14:solidFill>
          </w14:textFill>
        </w:rPr>
        <w:t xml:space="preserve">               </w:t>
      </w:r>
    </w:p>
    <w:p>
      <w:pPr>
        <w:snapToGrid w:val="0"/>
        <w:rPr>
          <w:rFonts w:ascii="仿宋" w:hAnsi="仿宋" w:eastAsia="仿宋"/>
          <w:b/>
          <w:color w:val="000000" w:themeColor="text1"/>
          <w:sz w:val="24"/>
          <w:szCs w:val="24"/>
          <w:u w:val="single"/>
          <w14:textFill>
            <w14:solidFill>
              <w14:schemeClr w14:val="tx1"/>
            </w14:solidFill>
          </w14:textFill>
        </w:rPr>
      </w:pPr>
    </w:p>
    <w:tbl>
      <w:tblPr>
        <w:tblStyle w:val="59"/>
        <w:tblW w:w="905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2"/>
        <w:gridCol w:w="563"/>
        <w:gridCol w:w="998"/>
        <w:gridCol w:w="993"/>
        <w:gridCol w:w="993"/>
        <w:gridCol w:w="851"/>
        <w:gridCol w:w="1422"/>
        <w:gridCol w:w="1278"/>
        <w:gridCol w:w="14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45"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工程项目名称</w:t>
            </w:r>
          </w:p>
        </w:tc>
        <w:tc>
          <w:tcPr>
            <w:tcW w:w="9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施工范围</w:t>
            </w:r>
          </w:p>
        </w:tc>
        <w:tc>
          <w:tcPr>
            <w:tcW w:w="99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具体内容</w:t>
            </w:r>
          </w:p>
        </w:tc>
        <w:tc>
          <w:tcPr>
            <w:tcW w:w="99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施工工期</w:t>
            </w:r>
          </w:p>
        </w:tc>
        <w:tc>
          <w:tcPr>
            <w:tcW w:w="85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单价（元）</w:t>
            </w:r>
          </w:p>
        </w:tc>
        <w:tc>
          <w:tcPr>
            <w:tcW w:w="142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总价（元）</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承建工程的企业情况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75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9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85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142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是否中小企业</w:t>
            </w:r>
          </w:p>
        </w:tc>
        <w:tc>
          <w:tcPr>
            <w:tcW w:w="141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997"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992"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992"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851"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1421"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themeColor="text1"/>
                <w:sz w:val="24"/>
                <w:szCs w:val="24"/>
                <w14:textFill>
                  <w14:solidFill>
                    <w14:schemeClr w14:val="tx1"/>
                  </w14:solidFill>
                </w14:textFill>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141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14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投标总价合计金额大写：小写：￥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备注</w:t>
            </w:r>
          </w:p>
        </w:tc>
        <w:tc>
          <w:tcPr>
            <w:tcW w:w="8512"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2.报价要求：项目费用包括项目实施所需的工程费、工时费、服务费、运输费、安装调试费、税费及其他一切费用。</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4.</w:t>
            </w:r>
            <w:r>
              <w:rPr>
                <w:rFonts w:hint="eastAsia" w:ascii="仿宋" w:hAnsi="仿宋" w:eastAsia="仿宋"/>
                <w:color w:val="000000" w:themeColor="text1"/>
                <w:sz w:val="24"/>
                <w:szCs w:val="24"/>
                <w14:textFill>
                  <w14:solidFill>
                    <w14:schemeClr w14:val="tx1"/>
                  </w14:solidFill>
                </w14:textFill>
              </w:rPr>
              <w:t>开标时，现场工作人员当众拆封，并宣布投标人名称、投标总价合计金额。</w:t>
            </w:r>
          </w:p>
          <w:p>
            <w:pPr>
              <w:snapToGrid w:val="0"/>
              <w:rPr>
                <w:rFonts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5</w:t>
            </w:r>
            <w:r>
              <w:rPr>
                <w:rFonts w:ascii="仿宋" w:hAnsi="仿宋" w:eastAsia="仿宋"/>
                <w:b/>
                <w:color w:val="000000" w:themeColor="text1"/>
                <w:sz w:val="24"/>
                <w:szCs w:val="24"/>
                <w14:textFill>
                  <w14:solidFill>
                    <w14:schemeClr w14:val="tx1"/>
                  </w14:solidFill>
                </w14:textFill>
              </w:rPr>
              <w:t>.</w:t>
            </w:r>
            <w:r>
              <w:rPr>
                <w:rFonts w:hint="eastAsia" w:ascii="仿宋" w:hAnsi="仿宋" w:eastAsia="仿宋"/>
                <w:b/>
                <w:color w:val="000000" w:themeColor="text1"/>
                <w:sz w:val="24"/>
                <w:szCs w:val="24"/>
                <w14:textFill>
                  <w14:solidFill>
                    <w14:schemeClr w14:val="tx1"/>
                  </w14:solidFill>
                </w14:textFill>
              </w:rPr>
              <w:t>报价低于项目预算50%的，应当在报价文件中详细阐述不影响产品质量或者诚信履约的具体原因。</w:t>
            </w:r>
          </w:p>
        </w:tc>
      </w:tr>
    </w:tbl>
    <w:p>
      <w:pPr>
        <w:snapToGrid w:val="0"/>
        <w:spacing w:line="4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授权代表签名：</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日期：</w:t>
      </w:r>
      <w:r>
        <w:rPr>
          <w:rFonts w:hint="eastAsia" w:ascii="仿宋" w:hAnsi="仿宋" w:eastAsia="仿宋"/>
          <w:color w:val="000000" w:themeColor="text1"/>
          <w:sz w:val="28"/>
          <w:szCs w:val="28"/>
          <w:u w:val="single"/>
          <w14:textFill>
            <w14:solidFill>
              <w14:schemeClr w14:val="tx1"/>
            </w14:solidFill>
          </w14:textFill>
        </w:rPr>
        <w:t xml:space="preserve">        </w:t>
      </w:r>
    </w:p>
    <w:p>
      <w:pPr>
        <w:widowControl/>
        <w:tabs>
          <w:tab w:val="center" w:pos="4755"/>
          <w:tab w:val="right" w:pos="9070"/>
        </w:tabs>
        <w:jc w:val="left"/>
        <w:rPr>
          <w:rFonts w:ascii="宋体" w:cs="Arial"/>
          <w:color w:val="000000" w:themeColor="text1"/>
          <w:kern w:val="0"/>
          <w:sz w:val="18"/>
          <w:szCs w:val="18"/>
          <w14:textFill>
            <w14:solidFill>
              <w14:schemeClr w14:val="tx1"/>
            </w14:solidFill>
          </w14:textFill>
        </w:rPr>
      </w:pPr>
    </w:p>
    <w:p>
      <w:pPr>
        <w:pStyle w:val="40"/>
        <w:spacing w:after="120"/>
        <w:rPr>
          <w:color w:val="000000" w:themeColor="text1"/>
          <w14:textFill>
            <w14:solidFill>
              <w14:schemeClr w14:val="tx1"/>
            </w14:solidFill>
          </w14:textFill>
        </w:rPr>
      </w:pPr>
    </w:p>
    <w:p>
      <w:pPr>
        <w:rPr>
          <w:color w:val="000000" w:themeColor="text1"/>
          <w14:textFill>
            <w14:solidFill>
              <w14:schemeClr w14:val="tx1"/>
            </w14:solidFill>
          </w14:textFill>
        </w:rPr>
      </w:pPr>
    </w:p>
    <w:p>
      <w:pPr>
        <w:snapToGrid w:val="0"/>
        <w:spacing w:line="360" w:lineRule="auto"/>
        <w:rPr>
          <w:rFonts w:ascii="仿宋" w:hAnsi="仿宋" w:eastAsia="仿宋"/>
          <w:color w:val="000000" w:themeColor="text1"/>
          <w:sz w:val="30"/>
          <w:szCs w:val="30"/>
          <w14:textFill>
            <w14:solidFill>
              <w14:schemeClr w14:val="tx1"/>
            </w14:solidFill>
          </w14:textFill>
        </w:rPr>
      </w:pPr>
    </w:p>
    <w:p>
      <w:pPr>
        <w:snapToGrid w:val="0"/>
        <w:spacing w:line="360" w:lineRule="auto"/>
        <w:rPr>
          <w:rFonts w:ascii="仿宋" w:hAnsi="仿宋" w:eastAsia="仿宋"/>
          <w:color w:val="000000" w:themeColor="text1"/>
          <w:sz w:val="30"/>
          <w:szCs w:val="30"/>
          <w14:textFill>
            <w14:solidFill>
              <w14:schemeClr w14:val="tx1"/>
            </w14:solidFill>
          </w14:textFill>
        </w:rPr>
      </w:pPr>
    </w:p>
    <w:p>
      <w:pPr>
        <w:snapToGrid w:val="0"/>
        <w:spacing w:line="360" w:lineRule="auto"/>
        <w:rPr>
          <w:rFonts w:ascii="仿宋" w:hAnsi="仿宋" w:eastAsia="仿宋"/>
          <w:color w:val="000000" w:themeColor="text1"/>
          <w:sz w:val="30"/>
          <w:szCs w:val="30"/>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napToGrid w:val="0"/>
        <w:spacing w:before="50" w:after="50"/>
        <w:jc w:val="left"/>
        <w:rPr>
          <w:rFonts w:ascii="仿宋" w:hAnsi="仿宋" w:eastAsia="仿宋"/>
          <w:sz w:val="30"/>
          <w:szCs w:val="30"/>
        </w:rPr>
      </w:pPr>
      <w:r>
        <w:rPr>
          <w:rFonts w:hint="eastAsia" w:ascii="仿宋" w:hAnsi="仿宋" w:eastAsia="仿宋"/>
          <w:sz w:val="30"/>
          <w:szCs w:val="30"/>
        </w:rPr>
        <w:t>附件</w:t>
      </w:r>
      <w:r>
        <w:rPr>
          <w:rFonts w:hint="eastAsia" w:ascii="仿宋" w:hAnsi="仿宋" w:eastAsia="仿宋"/>
          <w:sz w:val="30"/>
          <w:szCs w:val="30"/>
          <w:lang w:val="en-US" w:eastAsia="zh-CN"/>
        </w:rPr>
        <w:t>16</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中小企业声明函（货物）</w:t>
      </w:r>
    </w:p>
    <w:p>
      <w:pPr>
        <w:snapToGrid w:val="0"/>
        <w:spacing w:line="360" w:lineRule="auto"/>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 行业</w:t>
      </w:r>
      <w:r>
        <w:rPr>
          <w:rFonts w:hint="eastAsia" w:ascii="仿宋" w:hAnsi="仿宋" w:eastAsia="仿宋"/>
          <w:sz w:val="28"/>
          <w:szCs w:val="28"/>
        </w:rPr>
        <w:t>；制造商为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 xml:space="preserve">采购文件中明确的所属行业） </w:t>
      </w:r>
      <w:r>
        <w:rPr>
          <w:rFonts w:hint="eastAsia" w:ascii="仿宋" w:hAnsi="仿宋" w:eastAsia="仿宋"/>
          <w:sz w:val="28"/>
          <w:szCs w:val="28"/>
        </w:rPr>
        <w:t>行业；制造商为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本企业对上述声明内容的真实性负责。如有虚假，将依法承担相应责任。</w:t>
      </w:r>
    </w:p>
    <w:p>
      <w:pPr>
        <w:snapToGrid w:val="0"/>
        <w:spacing w:line="360" w:lineRule="auto"/>
        <w:ind w:left="3640" w:firstLine="560" w:firstLineChars="200"/>
        <w:jc w:val="left"/>
        <w:rPr>
          <w:rFonts w:ascii="仿宋" w:hAnsi="仿宋" w:eastAsia="仿宋"/>
          <w:sz w:val="28"/>
          <w:szCs w:val="28"/>
          <w:u w:val="single"/>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p>
    <w:p>
      <w:pPr>
        <w:wordWrap w:val="0"/>
        <w:snapToGrid w:val="0"/>
        <w:spacing w:line="360" w:lineRule="auto"/>
        <w:ind w:right="1120"/>
        <w:jc w:val="right"/>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1"/>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p>
    <w:p>
      <w:pPr>
        <w:widowControl/>
        <w:jc w:val="left"/>
        <w:rPr>
          <w:rFonts w:ascii="仿宋" w:hAnsi="仿宋" w:eastAsia="仿宋"/>
          <w:b/>
          <w:sz w:val="36"/>
          <w:szCs w:val="36"/>
        </w:rPr>
      </w:pPr>
      <w:r>
        <w:rPr>
          <w:rFonts w:hint="eastAsia" w:ascii="仿宋" w:hAnsi="仿宋" w:eastAsia="仿宋"/>
          <w:b/>
          <w:kern w:val="0"/>
          <w:sz w:val="36"/>
          <w:szCs w:val="36"/>
        </w:rPr>
        <w:br w:type="page"/>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w:t>
      </w:r>
      <w:r>
        <w:rPr>
          <w:rFonts w:hint="eastAsia" w:ascii="仿宋" w:hAnsi="仿宋" w:eastAsia="仿宋"/>
          <w:sz w:val="28"/>
          <w:szCs w:val="28"/>
        </w:rPr>
        <w:t>； 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（采购文件中明确的所属行业）</w:t>
      </w:r>
      <w:r>
        <w:rPr>
          <w:rFonts w:hint="eastAsia" w:ascii="仿宋" w:hAnsi="仿宋" w:eastAsia="仿宋"/>
          <w:sz w:val="28"/>
          <w:szCs w:val="28"/>
        </w:rPr>
        <w:t>；承建（承接）企业为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以上企业，不属于大企业的分支机构，不存在控股股东为大企业的情形，也不存在与大企业的负责人为同一人的情形。</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napToGrid w:val="0"/>
        <w:spacing w:line="312" w:lineRule="auto"/>
        <w:ind w:firstLine="4620" w:firstLineChars="1650"/>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1"/>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widowControl/>
        <w:jc w:val="left"/>
        <w:rPr>
          <w:rFonts w:ascii="仿宋" w:hAnsi="仿宋" w:eastAsia="仿宋"/>
          <w:sz w:val="28"/>
          <w:szCs w:val="28"/>
        </w:rPr>
      </w:pPr>
      <w:r>
        <w:rPr>
          <w:rFonts w:ascii="仿宋" w:hAnsi="仿宋" w:eastAsia="仿宋"/>
          <w:sz w:val="28"/>
          <w:szCs w:val="28"/>
        </w:rPr>
        <w:br w:type="page"/>
      </w:r>
    </w:p>
    <w:p>
      <w:pPr>
        <w:widowControl/>
        <w:jc w:val="left"/>
        <w:rPr>
          <w:rFonts w:ascii="仿宋" w:hAnsi="仿宋" w:eastAsia="仿宋"/>
          <w:sz w:val="28"/>
          <w:szCs w:val="28"/>
        </w:rPr>
        <w:sectPr>
          <w:pgSz w:w="11906" w:h="16838"/>
          <w:pgMar w:top="1440" w:right="1800" w:bottom="1440" w:left="1800" w:header="851" w:footer="992" w:gutter="0"/>
          <w:cols w:space="425" w:num="1"/>
          <w:docGrid w:type="lines" w:linePitch="312" w:charSpace="0"/>
        </w:sectPr>
      </w:pPr>
    </w:p>
    <w:p>
      <w:pPr>
        <w:jc w:val="left"/>
        <w:rPr>
          <w:rFonts w:ascii="仿宋" w:hAnsi="仿宋" w:eastAsia="仿宋"/>
        </w:rPr>
      </w:pPr>
      <w:r>
        <w:rPr>
          <w:rFonts w:hint="eastAsia" w:ascii="仿宋" w:hAnsi="仿宋" w:eastAsia="仿宋"/>
          <w:sz w:val="30"/>
          <w:szCs w:val="30"/>
        </w:rPr>
        <w:t>附件</w:t>
      </w:r>
      <w:r>
        <w:rPr>
          <w:rFonts w:hint="eastAsia" w:ascii="仿宋" w:hAnsi="仿宋" w:eastAsia="仿宋"/>
          <w:sz w:val="30"/>
          <w:szCs w:val="30"/>
          <w:lang w:val="en-US" w:eastAsia="zh-CN"/>
        </w:rPr>
        <w:t>17</w:t>
      </w:r>
      <w:r>
        <w:rPr>
          <w:rFonts w:hint="eastAsia" w:ascii="仿宋" w:hAnsi="仿宋" w:eastAsia="仿宋"/>
          <w:sz w:val="30"/>
          <w:szCs w:val="30"/>
        </w:rPr>
        <w:t>：</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投标人名称（盖章）：</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color w:val="000000" w:themeColor="text1"/>
          <w:sz w:val="28"/>
          <w:szCs w:val="28"/>
          <w:u w:val="single"/>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jc w:val="left"/>
        <w:rPr>
          <w:rFonts w:ascii="仿宋" w:hAnsi="仿宋" w:eastAsia="仿宋"/>
          <w:color w:val="000000" w:themeColor="text1"/>
          <w:sz w:val="30"/>
          <w:szCs w:val="30"/>
          <w14:textFill>
            <w14:solidFill>
              <w14:schemeClr w14:val="tx1"/>
            </w14:solidFill>
          </w14:textFill>
        </w:rPr>
      </w:pPr>
    </w:p>
    <w:p>
      <w:pPr>
        <w:rPr>
          <w:color w:val="000000" w:themeColor="text1"/>
          <w14:textFill>
            <w14:solidFill>
              <w14:schemeClr w14:val="tx1"/>
            </w14:solidFill>
          </w14:textFill>
        </w:rPr>
      </w:pPr>
    </w:p>
    <w:p/>
    <w:p/>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altName w:val="Century"/>
    <w:panose1 w:val="02040604050505020304"/>
    <w:charset w:val="00"/>
    <w:family w:val="roman"/>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UI Semilight"/>
    <w:panose1 w:val="020004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61</w:t>
    </w:r>
    <w:r>
      <w:rPr>
        <w:rFonts w:ascii="宋体" w:hAnsi="宋体"/>
        <w:sz w:val="28"/>
        <w:szCs w:val="28"/>
      </w:rPr>
      <w:fldChar w:fldCharType="end"/>
    </w:r>
    <w:r>
      <w:rPr>
        <w:rStyle w:val="66"/>
        <w:rFonts w:hint="eastAsia" w:ascii="宋体" w:hAnsi="宋体"/>
        <w:sz w:val="28"/>
        <w:szCs w:val="28"/>
      </w:rPr>
      <w:t xml:space="preserve"> —</w:t>
    </w:r>
  </w:p>
  <w:p>
    <w:pPr>
      <w:pStyle w:val="38"/>
      <w:ind w:right="720" w:firstLine="180" w:firstLineChars="100"/>
      <w:jc w:val="center"/>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44E2A8"/>
    <w:multiLevelType w:val="singleLevel"/>
    <w:tmpl w:val="9344E2A8"/>
    <w:lvl w:ilvl="0" w:tentative="0">
      <w:start w:val="1"/>
      <w:numFmt w:val="decimal"/>
      <w:suff w:val="nothing"/>
      <w:lvlText w:val="（%1）"/>
      <w:lvlJc w:val="left"/>
    </w:lvl>
  </w:abstractNum>
  <w:abstractNum w:abstractNumId="1">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2">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3">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4">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7">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1">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4">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9">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0">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1">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2">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3">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4">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5">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6">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7">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8">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9">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0">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3"/>
  </w:num>
  <w:num w:numId="2">
    <w:abstractNumId w:val="3"/>
  </w:num>
  <w:num w:numId="3">
    <w:abstractNumId w:val="1"/>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0"/>
  </w:num>
  <w:num w:numId="8">
    <w:abstractNumId w:val="22"/>
  </w:num>
  <w:num w:numId="9">
    <w:abstractNumId w:val="27"/>
    <w:lvlOverride w:ilvl="0">
      <w:startOverride w:val="1"/>
    </w:lvlOverride>
  </w:num>
  <w:num w:numId="10">
    <w:abstractNumId w:val="9"/>
  </w:num>
  <w:num w:numId="11">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7"/>
  </w:num>
  <w:num w:numId="14">
    <w:abstractNumId w:val="25"/>
  </w:num>
  <w:num w:numId="15">
    <w:abstractNumId w:val="19"/>
  </w:num>
  <w:num w:numId="16">
    <w:abstractNumId w:val="16"/>
  </w:num>
  <w:num w:numId="17">
    <w:abstractNumId w:val="5"/>
  </w:num>
  <w:num w:numId="18">
    <w:abstractNumId w:val="23"/>
  </w:num>
  <w:num w:numId="19">
    <w:abstractNumId w:val="7"/>
  </w:num>
  <w:num w:numId="20">
    <w:abstractNumId w:val="14"/>
  </w:num>
  <w:num w:numId="21">
    <w:abstractNumId w:val="12"/>
  </w:num>
  <w:num w:numId="22">
    <w:abstractNumId w:val="20"/>
  </w:num>
  <w:num w:numId="23">
    <w:abstractNumId w:val="8"/>
  </w:num>
  <w:num w:numId="24">
    <w:abstractNumId w:val="29"/>
  </w:num>
  <w:num w:numId="25">
    <w:abstractNumId w:val="4"/>
  </w:num>
  <w:num w:numId="26">
    <w:abstractNumId w:val="26"/>
  </w:num>
  <w:num w:numId="27">
    <w:abstractNumId w:val="21"/>
  </w:num>
  <w:num w:numId="28">
    <w:abstractNumId w:val="11"/>
  </w:num>
  <w:num w:numId="29">
    <w:abstractNumId w:val="2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JlNjJjYTBmMTY5MDIzNGMzM2Y4Y2IxMmViODhiNTgifQ=="/>
  </w:docVars>
  <w:rsids>
    <w:rsidRoot w:val="007B39CD"/>
    <w:rsid w:val="000869A0"/>
    <w:rsid w:val="00097B32"/>
    <w:rsid w:val="000A0C44"/>
    <w:rsid w:val="000C308D"/>
    <w:rsid w:val="000F7EE7"/>
    <w:rsid w:val="00120088"/>
    <w:rsid w:val="0012017A"/>
    <w:rsid w:val="0012623F"/>
    <w:rsid w:val="00162FF4"/>
    <w:rsid w:val="00176C4B"/>
    <w:rsid w:val="001A46E4"/>
    <w:rsid w:val="001B3980"/>
    <w:rsid w:val="001D0E9A"/>
    <w:rsid w:val="002641A2"/>
    <w:rsid w:val="003325FB"/>
    <w:rsid w:val="00360F0E"/>
    <w:rsid w:val="0036152B"/>
    <w:rsid w:val="003D1384"/>
    <w:rsid w:val="003E2398"/>
    <w:rsid w:val="00411BA0"/>
    <w:rsid w:val="00473394"/>
    <w:rsid w:val="004825F5"/>
    <w:rsid w:val="0049675C"/>
    <w:rsid w:val="004A290E"/>
    <w:rsid w:val="004A76BE"/>
    <w:rsid w:val="004B659A"/>
    <w:rsid w:val="004C0111"/>
    <w:rsid w:val="005855C1"/>
    <w:rsid w:val="005C254C"/>
    <w:rsid w:val="005E17E9"/>
    <w:rsid w:val="005F25FA"/>
    <w:rsid w:val="006111E0"/>
    <w:rsid w:val="0065516D"/>
    <w:rsid w:val="006A75FB"/>
    <w:rsid w:val="006E1042"/>
    <w:rsid w:val="006F3E5C"/>
    <w:rsid w:val="00741CB1"/>
    <w:rsid w:val="007456F9"/>
    <w:rsid w:val="0079512C"/>
    <w:rsid w:val="007B33D8"/>
    <w:rsid w:val="007B39CD"/>
    <w:rsid w:val="008010EC"/>
    <w:rsid w:val="008139C8"/>
    <w:rsid w:val="00831259"/>
    <w:rsid w:val="0084546F"/>
    <w:rsid w:val="00935B2B"/>
    <w:rsid w:val="00993FC4"/>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E3542"/>
    <w:rsid w:val="00BF76D9"/>
    <w:rsid w:val="00C21114"/>
    <w:rsid w:val="00C22B7F"/>
    <w:rsid w:val="00C42BF5"/>
    <w:rsid w:val="00C50CB8"/>
    <w:rsid w:val="00C8441C"/>
    <w:rsid w:val="00D06379"/>
    <w:rsid w:val="00D34D4C"/>
    <w:rsid w:val="00D67996"/>
    <w:rsid w:val="00DB219B"/>
    <w:rsid w:val="00E05EDB"/>
    <w:rsid w:val="00E201D7"/>
    <w:rsid w:val="00EA67ED"/>
    <w:rsid w:val="00ED4653"/>
    <w:rsid w:val="00EF085D"/>
    <w:rsid w:val="00F65755"/>
    <w:rsid w:val="00FC29AB"/>
    <w:rsid w:val="00FD3EEC"/>
    <w:rsid w:val="15471EAA"/>
    <w:rsid w:val="3A1D4B26"/>
    <w:rsid w:val="42367018"/>
    <w:rsid w:val="5DE02BC7"/>
    <w:rsid w:val="7C803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2"/>
    <w:qFormat/>
    <w:uiPriority w:val="0"/>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29"/>
    <w:semiHidden/>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4"/>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75"/>
    <w:semiHidden/>
    <w:unhideWhenUsed/>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6"/>
    <w:semiHidden/>
    <w:unhideWhenUsed/>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7"/>
    <w:semiHidden/>
    <w:unhideWhenUsed/>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78"/>
    <w:semiHidden/>
    <w:unhideWhenUsed/>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79"/>
    <w:semiHidden/>
    <w:unhideWhenUsed/>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0"/>
    <w:semiHidden/>
    <w:unhideWhenUsed/>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semiHidden/>
    <w:qFormat/>
    <w:uiPriority w:val="0"/>
  </w:style>
  <w:style w:type="table" w:default="1" w:styleId="59">
    <w:name w:val="Normal Table"/>
    <w:semiHidden/>
    <w:qFormat/>
    <w:uiPriority w:val="0"/>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szCs w:val="20"/>
    </w:rPr>
  </w:style>
  <w:style w:type="paragraph" w:styleId="12">
    <w:name w:val="toc 7"/>
    <w:basedOn w:val="1"/>
    <w:next w:val="1"/>
    <w:qFormat/>
    <w:uiPriority w:val="0"/>
    <w:pPr>
      <w:ind w:left="1260"/>
      <w:jc w:val="left"/>
    </w:pPr>
    <w:rPr>
      <w:rFonts w:ascii="Times New Roman" w:hAnsi="Times New Roman"/>
      <w:sz w:val="18"/>
      <w:szCs w:val="18"/>
    </w:rPr>
  </w:style>
  <w:style w:type="paragraph" w:styleId="13">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4">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5">
    <w:name w:val="List Bullet 4"/>
    <w:basedOn w:val="1"/>
    <w:qFormat/>
    <w:uiPriority w:val="0"/>
    <w:pPr>
      <w:numPr>
        <w:ilvl w:val="0"/>
        <w:numId w:val="2"/>
      </w:numPr>
    </w:pPr>
    <w:rPr>
      <w:rFonts w:ascii="Times New Roman" w:hAnsi="Times New Roman"/>
      <w:szCs w:val="24"/>
    </w:rPr>
  </w:style>
  <w:style w:type="paragraph" w:styleId="16">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2"/>
    <w:qFormat/>
    <w:uiPriority w:val="0"/>
    <w:pPr>
      <w:ind w:firstLine="420"/>
    </w:pPr>
    <w:rPr>
      <w:szCs w:val="20"/>
    </w:rPr>
  </w:style>
  <w:style w:type="paragraph" w:styleId="18">
    <w:name w:val="caption"/>
    <w:basedOn w:val="1"/>
    <w:next w:val="1"/>
    <w:link w:val="107"/>
    <w:semiHidden/>
    <w:unhideWhenUsed/>
    <w:qFormat/>
    <w:uiPriority w:val="0"/>
    <w:pPr>
      <w:spacing w:before="152" w:after="160"/>
    </w:pPr>
    <w:rPr>
      <w:rFonts w:ascii="Arial" w:hAnsi="Arial" w:eastAsia="黑体"/>
      <w:sz w:val="20"/>
      <w:szCs w:val="20"/>
    </w:rPr>
  </w:style>
  <w:style w:type="paragraph" w:styleId="19">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81"/>
    <w:qFormat/>
    <w:uiPriority w:val="0"/>
    <w:rPr>
      <w:rFonts w:ascii="宋体"/>
      <w:sz w:val="18"/>
      <w:szCs w:val="18"/>
    </w:rPr>
  </w:style>
  <w:style w:type="paragraph" w:styleId="21">
    <w:name w:val="annotation text"/>
    <w:basedOn w:val="1"/>
    <w:link w:val="82"/>
    <w:qFormat/>
    <w:uiPriority w:val="0"/>
    <w:pPr>
      <w:jc w:val="left"/>
    </w:pPr>
  </w:style>
  <w:style w:type="paragraph" w:styleId="22">
    <w:name w:val="Salutation"/>
    <w:basedOn w:val="1"/>
    <w:next w:val="1"/>
    <w:link w:val="83"/>
    <w:qFormat/>
    <w:uiPriority w:val="0"/>
    <w:rPr>
      <w:rFonts w:ascii="宋体" w:hAnsi="Times New Roman"/>
      <w:b/>
      <w:sz w:val="28"/>
      <w:szCs w:val="20"/>
    </w:rPr>
  </w:style>
  <w:style w:type="paragraph" w:styleId="23">
    <w:name w:val="Body Text 3"/>
    <w:basedOn w:val="1"/>
    <w:link w:val="84"/>
    <w:qFormat/>
    <w:uiPriority w:val="0"/>
    <w:pPr>
      <w:snapToGrid w:val="0"/>
      <w:spacing w:before="50" w:after="50"/>
    </w:pPr>
    <w:rPr>
      <w:rFonts w:ascii="Times New Roman" w:hAnsi="宋体" w:eastAsia="仿宋_GB2312"/>
      <w:b/>
      <w:bCs/>
      <w:sz w:val="24"/>
      <w:szCs w:val="20"/>
    </w:rPr>
  </w:style>
  <w:style w:type="paragraph" w:styleId="24">
    <w:name w:val="Body Text"/>
    <w:basedOn w:val="1"/>
    <w:link w:val="85"/>
    <w:qFormat/>
    <w:uiPriority w:val="0"/>
    <w:pPr>
      <w:spacing w:after="120"/>
    </w:pPr>
    <w:rPr>
      <w:sz w:val="28"/>
      <w:szCs w:val="24"/>
    </w:rPr>
  </w:style>
  <w:style w:type="paragraph" w:styleId="25">
    <w:name w:val="Body Text Indent"/>
    <w:basedOn w:val="1"/>
    <w:link w:val="86"/>
    <w:qFormat/>
    <w:uiPriority w:val="0"/>
    <w:pPr>
      <w:spacing w:line="200" w:lineRule="exact"/>
      <w:ind w:firstLine="301"/>
    </w:pPr>
    <w:rPr>
      <w:rFonts w:ascii="宋体" w:hAnsi="Courier New"/>
      <w:spacing w:val="-4"/>
      <w:sz w:val="18"/>
      <w:szCs w:val="20"/>
    </w:rPr>
  </w:style>
  <w:style w:type="paragraph" w:styleId="26">
    <w:name w:val="List Number 3"/>
    <w:basedOn w:val="1"/>
    <w:qFormat/>
    <w:uiPriority w:val="0"/>
    <w:pPr>
      <w:numPr>
        <w:ilvl w:val="0"/>
        <w:numId w:val="3"/>
      </w:numPr>
    </w:pPr>
    <w:rPr>
      <w:rFonts w:ascii="Times New Roman" w:hAnsi="Times New Roman"/>
      <w:szCs w:val="24"/>
    </w:rPr>
  </w:style>
  <w:style w:type="paragraph" w:styleId="27">
    <w:name w:val="List 2"/>
    <w:basedOn w:val="1"/>
    <w:qFormat/>
    <w:uiPriority w:val="0"/>
    <w:pPr>
      <w:ind w:left="100" w:leftChars="200" w:hanging="200" w:hangingChars="200"/>
    </w:pPr>
    <w:rPr>
      <w:rFonts w:ascii="Times New Roman" w:hAnsi="Times New Roman"/>
      <w:sz w:val="28"/>
      <w:szCs w:val="24"/>
    </w:rPr>
  </w:style>
  <w:style w:type="paragraph" w:styleId="28">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29">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0">
    <w:name w:val="toc 3"/>
    <w:basedOn w:val="1"/>
    <w:next w:val="1"/>
    <w:qFormat/>
    <w:uiPriority w:val="0"/>
    <w:pPr>
      <w:ind w:left="840" w:leftChars="400"/>
    </w:pPr>
  </w:style>
  <w:style w:type="paragraph" w:styleId="31">
    <w:name w:val="Plain Text"/>
    <w:basedOn w:val="1"/>
    <w:link w:val="87"/>
    <w:qFormat/>
    <w:uiPriority w:val="0"/>
    <w:pPr>
      <w:spacing w:beforeLines="50" w:afterLines="50" w:line="400" w:lineRule="exact"/>
    </w:pPr>
    <w:rPr>
      <w:rFonts w:ascii="宋体" w:hAnsi="Courier New"/>
      <w:sz w:val="24"/>
      <w:szCs w:val="24"/>
    </w:rPr>
  </w:style>
  <w:style w:type="paragraph" w:styleId="32">
    <w:name w:val="List Bullet 5"/>
    <w:basedOn w:val="1"/>
    <w:qFormat/>
    <w:uiPriority w:val="0"/>
    <w:pPr>
      <w:numPr>
        <w:ilvl w:val="0"/>
        <w:numId w:val="4"/>
      </w:numPr>
    </w:pPr>
    <w:rPr>
      <w:rFonts w:ascii="Times New Roman" w:hAnsi="Times New Roman"/>
      <w:szCs w:val="24"/>
    </w:rPr>
  </w:style>
  <w:style w:type="paragraph" w:styleId="33">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4">
    <w:name w:val="Date"/>
    <w:basedOn w:val="1"/>
    <w:next w:val="1"/>
    <w:link w:val="88"/>
    <w:qFormat/>
    <w:uiPriority w:val="0"/>
    <w:pPr>
      <w:ind w:left="2500" w:leftChars="2500"/>
    </w:pPr>
    <w:rPr>
      <w:rFonts w:eastAsia="楷体_GB2312"/>
      <w:sz w:val="32"/>
      <w:szCs w:val="20"/>
    </w:rPr>
  </w:style>
  <w:style w:type="paragraph" w:styleId="35">
    <w:name w:val="Body Text Indent 2"/>
    <w:basedOn w:val="1"/>
    <w:link w:val="89"/>
    <w:qFormat/>
    <w:uiPriority w:val="0"/>
    <w:pPr>
      <w:snapToGrid w:val="0"/>
      <w:ind w:firstLine="542" w:firstLineChars="225"/>
    </w:pPr>
    <w:rPr>
      <w:rFonts w:ascii="仿宋_GB2312" w:hAnsi="宋体"/>
      <w:b/>
      <w:bCs/>
      <w:color w:val="000000"/>
      <w:sz w:val="24"/>
      <w:szCs w:val="24"/>
    </w:rPr>
  </w:style>
  <w:style w:type="paragraph" w:styleId="36">
    <w:name w:val="endnote text"/>
    <w:basedOn w:val="1"/>
    <w:link w:val="90"/>
    <w:qFormat/>
    <w:uiPriority w:val="0"/>
    <w:pPr>
      <w:numPr>
        <w:ilvl w:val="0"/>
        <w:numId w:val="5"/>
      </w:numPr>
      <w:snapToGrid w:val="0"/>
      <w:spacing w:afterLines="50"/>
      <w:jc w:val="left"/>
    </w:pPr>
    <w:rPr>
      <w:rFonts w:ascii="宋体"/>
      <w:snapToGrid w:val="0"/>
      <w:kern w:val="0"/>
      <w:szCs w:val="20"/>
    </w:rPr>
  </w:style>
  <w:style w:type="paragraph" w:styleId="37">
    <w:name w:val="Balloon Text"/>
    <w:basedOn w:val="1"/>
    <w:link w:val="91"/>
    <w:qFormat/>
    <w:uiPriority w:val="0"/>
    <w:rPr>
      <w:sz w:val="18"/>
      <w:szCs w:val="18"/>
    </w:rPr>
  </w:style>
  <w:style w:type="paragraph" w:styleId="38">
    <w:name w:val="footer"/>
    <w:basedOn w:val="1"/>
    <w:link w:val="245"/>
    <w:qFormat/>
    <w:uiPriority w:val="0"/>
    <w:pPr>
      <w:tabs>
        <w:tab w:val="center" w:pos="4153"/>
        <w:tab w:val="right" w:pos="8306"/>
      </w:tabs>
      <w:snapToGrid w:val="0"/>
      <w:jc w:val="left"/>
    </w:pPr>
    <w:rPr>
      <w:sz w:val="18"/>
      <w:szCs w:val="18"/>
    </w:rPr>
  </w:style>
  <w:style w:type="paragraph" w:styleId="39">
    <w:name w:val="header"/>
    <w:basedOn w:val="1"/>
    <w:link w:val="379"/>
    <w:qFormat/>
    <w:uiPriority w:val="0"/>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0"/>
    <w:pPr>
      <w:spacing w:before="240" w:after="240"/>
    </w:pPr>
    <w:rPr>
      <w:rFonts w:ascii="Times New Roman" w:hAnsi="Times New Roman" w:eastAsia="仿宋"/>
      <w:sz w:val="36"/>
      <w:szCs w:val="24"/>
    </w:rPr>
  </w:style>
  <w:style w:type="paragraph" w:styleId="41">
    <w:name w:val="toc 4"/>
    <w:basedOn w:val="1"/>
    <w:next w:val="1"/>
    <w:qFormat/>
    <w:uiPriority w:val="0"/>
    <w:pPr>
      <w:ind w:left="1260" w:leftChars="600"/>
    </w:pPr>
  </w:style>
  <w:style w:type="paragraph" w:styleId="42">
    <w:name w:val="Subtitle"/>
    <w:basedOn w:val="1"/>
    <w:link w:val="94"/>
    <w:qFormat/>
    <w:uiPriority w:val="0"/>
    <w:pPr>
      <w:spacing w:afterLines="50"/>
      <w:jc w:val="center"/>
    </w:pPr>
    <w:rPr>
      <w:rFonts w:ascii="Times New Roman" w:hAnsi="Times New Roman" w:eastAsia="Times New Roman"/>
      <w:sz w:val="18"/>
      <w:szCs w:val="18"/>
    </w:rPr>
  </w:style>
  <w:style w:type="paragraph" w:styleId="43">
    <w:name w:val="List"/>
    <w:basedOn w:val="1"/>
    <w:qFormat/>
    <w:uiPriority w:val="0"/>
    <w:pPr>
      <w:ind w:left="200" w:hanging="200" w:hangingChars="200"/>
    </w:pPr>
    <w:rPr>
      <w:rFonts w:ascii="Times New Roman" w:hAnsi="Times New Roman"/>
      <w:sz w:val="28"/>
      <w:szCs w:val="24"/>
    </w:rPr>
  </w:style>
  <w:style w:type="paragraph" w:styleId="44">
    <w:name w:val="footnote text"/>
    <w:basedOn w:val="1"/>
    <w:link w:val="95"/>
    <w:qFormat/>
    <w:uiPriority w:val="0"/>
    <w:pPr>
      <w:snapToGrid w:val="0"/>
      <w:jc w:val="left"/>
    </w:pPr>
    <w:rPr>
      <w:sz w:val="18"/>
      <w:szCs w:val="18"/>
    </w:rPr>
  </w:style>
  <w:style w:type="paragraph" w:styleId="45">
    <w:name w:val="toc 6"/>
    <w:basedOn w:val="1"/>
    <w:next w:val="1"/>
    <w:qFormat/>
    <w:uiPriority w:val="0"/>
    <w:pPr>
      <w:ind w:left="1050"/>
      <w:jc w:val="left"/>
    </w:pPr>
    <w:rPr>
      <w:rFonts w:ascii="Times New Roman" w:hAnsi="Times New Roman"/>
      <w:sz w:val="18"/>
      <w:szCs w:val="18"/>
    </w:rPr>
  </w:style>
  <w:style w:type="paragraph" w:styleId="46">
    <w:name w:val="Body Text Indent 3"/>
    <w:basedOn w:val="1"/>
    <w:link w:val="96"/>
    <w:qFormat/>
    <w:uiPriority w:val="0"/>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qFormat/>
    <w:uiPriority w:val="0"/>
    <w:pPr>
      <w:ind w:left="1680"/>
      <w:jc w:val="left"/>
    </w:pPr>
    <w:rPr>
      <w:rFonts w:ascii="Times New Roman" w:hAnsi="Times New Roman"/>
      <w:sz w:val="18"/>
      <w:szCs w:val="18"/>
    </w:rPr>
  </w:style>
  <w:style w:type="paragraph" w:styleId="50">
    <w:name w:val="Body Text 2"/>
    <w:basedOn w:val="1"/>
    <w:link w:val="97"/>
    <w:qFormat/>
    <w:uiPriority w:val="0"/>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qFormat/>
    <w:uiPriority w:val="0"/>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qFormat/>
    <w:uiPriority w:val="0"/>
    <w:rPr>
      <w:rFonts w:ascii="Courier New" w:hAnsi="Courier New"/>
      <w:sz w:val="20"/>
      <w:szCs w:val="20"/>
    </w:rPr>
  </w:style>
  <w:style w:type="paragraph" w:styleId="5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qFormat/>
    <w:uiPriority w:val="0"/>
    <w:rPr>
      <w:rFonts w:ascii="Times New Roman" w:hAnsi="Times New Roman"/>
      <w:szCs w:val="20"/>
    </w:rPr>
  </w:style>
  <w:style w:type="paragraph" w:styleId="55">
    <w:name w:val="Title"/>
    <w:basedOn w:val="1"/>
    <w:link w:val="99"/>
    <w:qFormat/>
    <w:uiPriority w:val="0"/>
    <w:pPr>
      <w:spacing w:before="240" w:after="60"/>
      <w:jc w:val="center"/>
      <w:outlineLvl w:val="0"/>
    </w:pPr>
    <w:rPr>
      <w:rFonts w:ascii="Arial" w:hAnsi="Arial"/>
      <w:b/>
      <w:bCs/>
      <w:sz w:val="32"/>
      <w:szCs w:val="32"/>
    </w:rPr>
  </w:style>
  <w:style w:type="paragraph" w:styleId="56">
    <w:name w:val="annotation subject"/>
    <w:basedOn w:val="21"/>
    <w:next w:val="21"/>
    <w:link w:val="963"/>
    <w:qFormat/>
    <w:uiPriority w:val="0"/>
    <w:rPr>
      <w:b/>
      <w:bCs/>
    </w:rPr>
  </w:style>
  <w:style w:type="paragraph" w:styleId="57">
    <w:name w:val="Body Text First Indent"/>
    <w:basedOn w:val="24"/>
    <w:link w:val="102"/>
    <w:qFormat/>
    <w:uiPriority w:val="0"/>
    <w:pPr>
      <w:ind w:firstLine="420" w:firstLineChars="100"/>
    </w:pPr>
    <w:rPr>
      <w:sz w:val="21"/>
      <w:szCs w:val="22"/>
    </w:rPr>
  </w:style>
  <w:style w:type="paragraph" w:styleId="58">
    <w:name w:val="Body Text First Indent 2"/>
    <w:basedOn w:val="25"/>
    <w:link w:val="964"/>
    <w:qFormat/>
    <w:uiPriority w:val="0"/>
    <w:pPr>
      <w:spacing w:after="120" w:line="240" w:lineRule="auto"/>
      <w:ind w:left="420" w:leftChars="200" w:firstLine="420" w:firstLineChars="200"/>
    </w:pPr>
    <w:rPr>
      <w:rFonts w:ascii="Times New Roman" w:hAnsi="Times New Roman"/>
      <w:spacing w:val="0"/>
      <w:sz w:val="21"/>
    </w:rPr>
  </w:style>
  <w:style w:type="table" w:styleId="60">
    <w:name w:val="Table Grid"/>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0"/>
    <w:rPr>
      <w:b/>
      <w:bCs/>
    </w:rPr>
  </w:style>
  <w:style w:type="character" w:styleId="66">
    <w:name w:val="page number"/>
    <w:basedOn w:val="64"/>
    <w:qFormat/>
    <w:uiPriority w:val="0"/>
  </w:style>
  <w:style w:type="character" w:styleId="67">
    <w:name w:val="FollowedHyperlink"/>
    <w:qFormat/>
    <w:uiPriority w:val="0"/>
    <w:rPr>
      <w:color w:val="800080"/>
      <w:u w:val="single"/>
    </w:rPr>
  </w:style>
  <w:style w:type="character" w:styleId="68">
    <w:name w:val="Emphasis"/>
    <w:qFormat/>
    <w:uiPriority w:val="0"/>
    <w:rPr>
      <w:color w:val="CC0033"/>
    </w:rPr>
  </w:style>
  <w:style w:type="character" w:styleId="69">
    <w:name w:val="Hyperlink"/>
    <w:qFormat/>
    <w:uiPriority w:val="0"/>
    <w:rPr>
      <w:color w:val="0000FF"/>
      <w:u w:val="single"/>
    </w:rPr>
  </w:style>
  <w:style w:type="character" w:styleId="70">
    <w:name w:val="annotation reference"/>
    <w:qFormat/>
    <w:uiPriority w:val="0"/>
    <w:rPr>
      <w:sz w:val="21"/>
      <w:szCs w:val="21"/>
    </w:rPr>
  </w:style>
  <w:style w:type="character" w:styleId="71">
    <w:name w:val="footnote reference"/>
    <w:qFormat/>
    <w:uiPriority w:val="0"/>
    <w:rPr>
      <w:vertAlign w:val="superscript"/>
    </w:rPr>
  </w:style>
  <w:style w:type="character" w:customStyle="1" w:styleId="72">
    <w:name w:val="标题 1 字符"/>
    <w:basedOn w:val="64"/>
    <w:link w:val="2"/>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4"/>
    <w:qFormat/>
    <w:uiPriority w:val="9"/>
    <w:rPr>
      <w:rFonts w:ascii="Calibri" w:hAnsi="Calibri" w:eastAsia="宋体" w:cs="Times New Roman"/>
      <w:b/>
      <w:bCs/>
      <w:sz w:val="32"/>
      <w:szCs w:val="32"/>
    </w:rPr>
  </w:style>
  <w:style w:type="character" w:customStyle="1" w:styleId="75">
    <w:name w:val="标题 4 字符"/>
    <w:basedOn w:val="64"/>
    <w:link w:val="5"/>
    <w:qFormat/>
    <w:uiPriority w:val="0"/>
    <w:rPr>
      <w:rFonts w:ascii="Arial" w:hAnsi="Arial" w:eastAsia="黑体" w:cs="Times New Roman"/>
      <w:b/>
      <w:bCs/>
      <w:sz w:val="28"/>
      <w:szCs w:val="28"/>
    </w:rPr>
  </w:style>
  <w:style w:type="character" w:customStyle="1" w:styleId="76">
    <w:name w:val="标题 5 字符"/>
    <w:basedOn w:val="64"/>
    <w:link w:val="6"/>
    <w:qFormat/>
    <w:uiPriority w:val="0"/>
    <w:rPr>
      <w:rFonts w:ascii="Calibri" w:hAnsi="Calibri" w:eastAsia="宋体" w:cs="Times New Roman"/>
      <w:b/>
      <w:bCs/>
      <w:sz w:val="28"/>
      <w:szCs w:val="28"/>
    </w:rPr>
  </w:style>
  <w:style w:type="character" w:customStyle="1" w:styleId="77">
    <w:name w:val="标题 6 字符"/>
    <w:basedOn w:val="64"/>
    <w:link w:val="7"/>
    <w:qFormat/>
    <w:uiPriority w:val="0"/>
    <w:rPr>
      <w:rFonts w:ascii="Arial" w:hAnsi="Arial" w:eastAsia="黑体" w:cs="Times New Roman"/>
      <w:b/>
      <w:bCs/>
      <w:sz w:val="24"/>
      <w:szCs w:val="24"/>
    </w:rPr>
  </w:style>
  <w:style w:type="character" w:customStyle="1" w:styleId="78">
    <w:name w:val="标题 7 字符"/>
    <w:basedOn w:val="64"/>
    <w:link w:val="8"/>
    <w:qFormat/>
    <w:uiPriority w:val="99"/>
    <w:rPr>
      <w:rFonts w:ascii="Calibri" w:hAnsi="Calibri" w:eastAsia="宋体" w:cs="Times New Roman"/>
      <w:b/>
      <w:bCs/>
      <w:sz w:val="24"/>
      <w:szCs w:val="24"/>
    </w:rPr>
  </w:style>
  <w:style w:type="character" w:customStyle="1" w:styleId="79">
    <w:name w:val="标题 8 字符"/>
    <w:basedOn w:val="64"/>
    <w:link w:val="9"/>
    <w:qFormat/>
    <w:uiPriority w:val="99"/>
    <w:rPr>
      <w:rFonts w:ascii="Cambria" w:hAnsi="Cambria" w:eastAsia="宋体" w:cs="Times New Roman"/>
      <w:sz w:val="24"/>
      <w:szCs w:val="24"/>
    </w:rPr>
  </w:style>
  <w:style w:type="character" w:customStyle="1" w:styleId="80">
    <w:name w:val="标题 9 字符"/>
    <w:basedOn w:val="64"/>
    <w:link w:val="10"/>
    <w:qFormat/>
    <w:uiPriority w:val="99"/>
    <w:rPr>
      <w:rFonts w:ascii="Cambria" w:hAnsi="Cambria" w:eastAsia="宋体" w:cs="Times New Roman"/>
      <w:szCs w:val="21"/>
    </w:rPr>
  </w:style>
  <w:style w:type="character" w:customStyle="1" w:styleId="81">
    <w:name w:val="文档结构图 字符"/>
    <w:basedOn w:val="64"/>
    <w:link w:val="20"/>
    <w:qFormat/>
    <w:uiPriority w:val="99"/>
    <w:rPr>
      <w:rFonts w:ascii="宋体" w:hAnsi="Calibri" w:eastAsia="宋体" w:cs="Times New Roman"/>
      <w:sz w:val="18"/>
      <w:szCs w:val="18"/>
    </w:rPr>
  </w:style>
  <w:style w:type="character" w:customStyle="1" w:styleId="82">
    <w:name w:val="批注文字 字符1"/>
    <w:basedOn w:val="64"/>
    <w:link w:val="21"/>
    <w:qFormat/>
    <w:uiPriority w:val="99"/>
    <w:rPr>
      <w:rFonts w:ascii="Calibri" w:hAnsi="Calibri" w:eastAsia="宋体" w:cs="Times New Roman"/>
    </w:rPr>
  </w:style>
  <w:style w:type="character" w:customStyle="1" w:styleId="83">
    <w:name w:val="称呼 字符"/>
    <w:basedOn w:val="64"/>
    <w:link w:val="22"/>
    <w:qFormat/>
    <w:uiPriority w:val="99"/>
    <w:rPr>
      <w:rFonts w:ascii="宋体" w:hAnsi="Times New Roman" w:eastAsia="宋体" w:cs="Times New Roman"/>
      <w:b/>
      <w:sz w:val="28"/>
      <w:szCs w:val="20"/>
    </w:rPr>
  </w:style>
  <w:style w:type="character" w:customStyle="1" w:styleId="84">
    <w:name w:val="正文文本 3 字符"/>
    <w:basedOn w:val="64"/>
    <w:link w:val="23"/>
    <w:qFormat/>
    <w:uiPriority w:val="99"/>
    <w:rPr>
      <w:rFonts w:ascii="Times New Roman" w:hAnsi="宋体" w:eastAsia="仿宋_GB2312" w:cs="Times New Roman"/>
      <w:b/>
      <w:bCs/>
      <w:sz w:val="24"/>
      <w:szCs w:val="20"/>
    </w:rPr>
  </w:style>
  <w:style w:type="character" w:customStyle="1" w:styleId="85">
    <w:name w:val="正文文本 字符1"/>
    <w:basedOn w:val="64"/>
    <w:link w:val="24"/>
    <w:qFormat/>
    <w:uiPriority w:val="99"/>
    <w:rPr>
      <w:rFonts w:ascii="Calibri" w:hAnsi="Calibri" w:eastAsia="宋体" w:cs="Times New Roman"/>
      <w:sz w:val="28"/>
      <w:szCs w:val="24"/>
    </w:rPr>
  </w:style>
  <w:style w:type="character" w:customStyle="1" w:styleId="86">
    <w:name w:val="正文文本缩进 字符1"/>
    <w:basedOn w:val="64"/>
    <w:link w:val="25"/>
    <w:qFormat/>
    <w:uiPriority w:val="99"/>
    <w:rPr>
      <w:rFonts w:ascii="宋体" w:hAnsi="Courier New" w:eastAsia="宋体" w:cs="Times New Roman"/>
      <w:spacing w:val="-4"/>
      <w:sz w:val="18"/>
      <w:szCs w:val="20"/>
    </w:rPr>
  </w:style>
  <w:style w:type="character" w:customStyle="1" w:styleId="87">
    <w:name w:val="纯文本 字符"/>
    <w:basedOn w:val="64"/>
    <w:link w:val="31"/>
    <w:qFormat/>
    <w:uiPriority w:val="99"/>
    <w:rPr>
      <w:rFonts w:ascii="宋体" w:hAnsi="Courier New" w:eastAsia="宋体" w:cs="Times New Roman"/>
      <w:sz w:val="24"/>
      <w:szCs w:val="24"/>
    </w:rPr>
  </w:style>
  <w:style w:type="character" w:customStyle="1" w:styleId="88">
    <w:name w:val="日期 字符"/>
    <w:basedOn w:val="64"/>
    <w:link w:val="34"/>
    <w:qFormat/>
    <w:uiPriority w:val="0"/>
    <w:rPr>
      <w:rFonts w:ascii="Calibri" w:hAnsi="Calibri" w:eastAsia="楷体_GB2312" w:cs="Times New Roman"/>
      <w:sz w:val="32"/>
      <w:szCs w:val="20"/>
    </w:rPr>
  </w:style>
  <w:style w:type="character" w:customStyle="1" w:styleId="89">
    <w:name w:val="正文文本缩进 2 字符"/>
    <w:basedOn w:val="64"/>
    <w:link w:val="35"/>
    <w:qFormat/>
    <w:uiPriority w:val="99"/>
    <w:rPr>
      <w:rFonts w:ascii="仿宋_GB2312" w:hAnsi="宋体" w:eastAsia="宋体" w:cs="Times New Roman"/>
      <w:b/>
      <w:bCs/>
      <w:color w:val="000000"/>
      <w:sz w:val="24"/>
      <w:szCs w:val="24"/>
    </w:rPr>
  </w:style>
  <w:style w:type="character" w:customStyle="1" w:styleId="90">
    <w:name w:val="尾注文本 字符"/>
    <w:basedOn w:val="64"/>
    <w:link w:val="36"/>
    <w:qFormat/>
    <w:uiPriority w:val="99"/>
    <w:rPr>
      <w:rFonts w:ascii="宋体" w:hAnsi="Calibri" w:eastAsia="宋体" w:cs="Times New Roman"/>
      <w:snapToGrid w:val="0"/>
      <w:kern w:val="0"/>
      <w:szCs w:val="20"/>
    </w:rPr>
  </w:style>
  <w:style w:type="character" w:customStyle="1" w:styleId="91">
    <w:name w:val="批注框文本 字符"/>
    <w:basedOn w:val="64"/>
    <w:link w:val="37"/>
    <w:qFormat/>
    <w:uiPriority w:val="99"/>
    <w:rPr>
      <w:rFonts w:ascii="Calibri" w:hAnsi="Calibri" w:eastAsia="宋体" w:cs="Times New Roman"/>
      <w:sz w:val="18"/>
      <w:szCs w:val="18"/>
    </w:rPr>
  </w:style>
  <w:style w:type="character" w:customStyle="1" w:styleId="92">
    <w:name w:val="页脚 Char"/>
    <w:basedOn w:val="64"/>
    <w:qFormat/>
    <w:uiPriority w:val="0"/>
    <w:rPr>
      <w:rFonts w:ascii="Calibri" w:hAnsi="Calibri" w:eastAsia="宋体" w:cs="Times New Roman"/>
      <w:sz w:val="18"/>
      <w:szCs w:val="18"/>
    </w:rPr>
  </w:style>
  <w:style w:type="character" w:customStyle="1" w:styleId="93">
    <w:name w:val="页眉 Char"/>
    <w:basedOn w:val="64"/>
    <w:qFormat/>
    <w:uiPriority w:val="0"/>
    <w:rPr>
      <w:rFonts w:ascii="Calibri" w:hAnsi="Calibri" w:eastAsia="宋体" w:cs="Times New Roman"/>
      <w:sz w:val="18"/>
      <w:szCs w:val="18"/>
    </w:rPr>
  </w:style>
  <w:style w:type="character" w:customStyle="1" w:styleId="94">
    <w:name w:val="副标题 字符"/>
    <w:basedOn w:val="64"/>
    <w:link w:val="42"/>
    <w:qFormat/>
    <w:uiPriority w:val="11"/>
    <w:rPr>
      <w:rFonts w:ascii="Times New Roman" w:hAnsi="Times New Roman" w:eastAsia="Times New Roman" w:cs="Times New Roman"/>
      <w:sz w:val="18"/>
      <w:szCs w:val="18"/>
    </w:rPr>
  </w:style>
  <w:style w:type="character" w:customStyle="1" w:styleId="95">
    <w:name w:val="脚注文本 字符"/>
    <w:basedOn w:val="64"/>
    <w:link w:val="44"/>
    <w:qFormat/>
    <w:uiPriority w:val="99"/>
    <w:rPr>
      <w:rFonts w:ascii="Calibri" w:hAnsi="Calibri" w:eastAsia="宋体" w:cs="Times New Roman"/>
      <w:sz w:val="18"/>
      <w:szCs w:val="18"/>
    </w:rPr>
  </w:style>
  <w:style w:type="character" w:customStyle="1" w:styleId="96">
    <w:name w:val="正文文本缩进 3 字符"/>
    <w:basedOn w:val="64"/>
    <w:link w:val="46"/>
    <w:qFormat/>
    <w:uiPriority w:val="99"/>
    <w:rPr>
      <w:rFonts w:ascii="仿宋_GB2312" w:hAnsi="宋体" w:eastAsia="仿宋_GB2312" w:cs="Times New Roman"/>
      <w:color w:val="000000"/>
      <w:sz w:val="24"/>
      <w:szCs w:val="24"/>
    </w:rPr>
  </w:style>
  <w:style w:type="character" w:customStyle="1" w:styleId="97">
    <w:name w:val="正文文本 2 字符"/>
    <w:basedOn w:val="64"/>
    <w:link w:val="50"/>
    <w:qFormat/>
    <w:uiPriority w:val="0"/>
    <w:rPr>
      <w:rFonts w:ascii="宋体" w:hAnsi="宋体" w:eastAsia="宋体" w:cs="Times New Roman"/>
      <w:color w:val="000000"/>
      <w:sz w:val="24"/>
      <w:szCs w:val="24"/>
    </w:rPr>
  </w:style>
  <w:style w:type="character" w:customStyle="1" w:styleId="98">
    <w:name w:val="HTML 预设格式 字符"/>
    <w:basedOn w:val="64"/>
    <w:link w:val="52"/>
    <w:qFormat/>
    <w:uiPriority w:val="99"/>
    <w:rPr>
      <w:rFonts w:ascii="Courier New" w:hAnsi="Courier New" w:eastAsia="宋体" w:cs="Times New Roman"/>
      <w:sz w:val="20"/>
      <w:szCs w:val="20"/>
    </w:rPr>
  </w:style>
  <w:style w:type="character" w:customStyle="1" w:styleId="99">
    <w:name w:val="标题 字符"/>
    <w:basedOn w:val="64"/>
    <w:link w:val="55"/>
    <w:qFormat/>
    <w:uiPriority w:val="99"/>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1"/>
    <w:next w:val="21"/>
    <w:link w:val="100"/>
    <w:qFormat/>
    <w:uiPriority w:val="99"/>
    <w:rPr>
      <w:b/>
      <w:bCs/>
    </w:rPr>
  </w:style>
  <w:style w:type="character" w:customStyle="1" w:styleId="102">
    <w:name w:val="正文首行缩进 字符"/>
    <w:basedOn w:val="85"/>
    <w:link w:val="57"/>
    <w:qFormat/>
    <w:uiPriority w:val="99"/>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99"/>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18"/>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18"/>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5"/>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qFormat/>
    <w:uiPriority w:val="0"/>
  </w:style>
  <w:style w:type="paragraph" w:styleId="182">
    <w:name w:val="List Paragraph"/>
    <w:basedOn w:val="1"/>
    <w:link w:val="181"/>
    <w:qFormat/>
    <w:uiPriority w:val="0"/>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99"/>
    <w:rPr>
      <w:rFonts w:ascii="Arial" w:hAnsi="Arial"/>
      <w:sz w:val="18"/>
      <w:szCs w:val="18"/>
    </w:rPr>
  </w:style>
  <w:style w:type="paragraph" w:customStyle="1" w:styleId="213">
    <w:name w:val="Item List in Table"/>
    <w:link w:val="212"/>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8"/>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qFormat/>
    <w:uiPriority w:val="0"/>
    <w:rPr>
      <w:rFonts w:ascii="Calibri" w:hAnsi="Calibri" w:eastAsia="宋体" w:cs="Times New Roman"/>
      <w:sz w:val="18"/>
      <w:szCs w:val="18"/>
    </w:rPr>
  </w:style>
  <w:style w:type="character" w:customStyle="1" w:styleId="229">
    <w:name w:val="标题 2 字符"/>
    <w:link w:val="3"/>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字符1"/>
    <w:link w:val="38"/>
    <w:qFormat/>
    <w:uiPriority w:val="99"/>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99"/>
    <w:rPr>
      <w:rFonts w:ascii="Calibri" w:hAnsi="Calibri"/>
      <w:sz w:val="24"/>
      <w:szCs w:val="24"/>
    </w:rPr>
  </w:style>
  <w:style w:type="paragraph" w:customStyle="1" w:styleId="254">
    <w:name w:val="正文4"/>
    <w:basedOn w:val="1"/>
    <w:link w:val="253"/>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99"/>
    <w:rPr>
      <w:rFonts w:ascii="仿宋" w:hAnsi="仿宋" w:eastAsia="仿宋"/>
      <w:sz w:val="28"/>
      <w:szCs w:val="21"/>
    </w:rPr>
  </w:style>
  <w:style w:type="paragraph" w:customStyle="1" w:styleId="263">
    <w:name w:val="列表1、"/>
    <w:basedOn w:val="126"/>
    <w:link w:val="262"/>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qFormat/>
    <w:uiPriority w:val="0"/>
    <w:rPr>
      <w:rFonts w:ascii="Futura Lt" w:hAnsi="Futura Lt" w:cs="Futura Lt"/>
      <w:szCs w:val="21"/>
      <w:lang w:eastAsia="en-US"/>
    </w:rPr>
  </w:style>
  <w:style w:type="paragraph" w:customStyle="1" w:styleId="282">
    <w:name w:val="*Body Text"/>
    <w:link w:val="281"/>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qFormat/>
    <w:uiPriority w:val="0"/>
    <w:rPr>
      <w:color w:val="000000"/>
      <w:sz w:val="21"/>
    </w:rPr>
  </w:style>
  <w:style w:type="character" w:customStyle="1" w:styleId="284">
    <w:name w:val="样式 小四1"/>
    <w:qFormat/>
    <w:uiPriority w:val="0"/>
    <w:rPr>
      <w:rFonts w:ascii="Tahoma" w:hAnsi="Tahoma" w:eastAsia="仿宋_GB2312"/>
      <w:kern w:val="2"/>
      <w:sz w:val="24"/>
      <w:lang w:val="en-US" w:eastAsia="zh-CN" w:bidi="ar-SA"/>
    </w:rPr>
  </w:style>
  <w:style w:type="character" w:customStyle="1" w:styleId="285">
    <w:name w:val="Char Char3"/>
    <w:qFormat/>
    <w:uiPriority w:val="0"/>
    <w:rPr>
      <w:rFonts w:ascii="Arial" w:hAnsi="Arial" w:eastAsia="黑体"/>
      <w:b/>
      <w:kern w:val="2"/>
      <w:sz w:val="32"/>
      <w:lang w:val="en-US" w:eastAsia="zh-CN" w:bidi="ar-SA"/>
    </w:rPr>
  </w:style>
  <w:style w:type="character" w:customStyle="1" w:styleId="286">
    <w:name w:val="style51"/>
    <w:qFormat/>
    <w:uiPriority w:val="0"/>
    <w:rPr>
      <w:rFonts w:hint="eastAsia" w:ascii="宋体" w:hAnsi="宋体" w:eastAsia="宋体"/>
      <w:color w:val="333333"/>
      <w:sz w:val="23"/>
      <w:szCs w:val="23"/>
      <w:u w:val="none"/>
    </w:rPr>
  </w:style>
  <w:style w:type="character" w:customStyle="1" w:styleId="287">
    <w:name w:val="font3"/>
    <w:basedOn w:val="64"/>
    <w:qFormat/>
    <w:uiPriority w:val="0"/>
  </w:style>
  <w:style w:type="character" w:customStyle="1" w:styleId="288">
    <w:name w:val="样式4 Char"/>
    <w:link w:val="289"/>
    <w:qFormat/>
    <w:uiPriority w:val="0"/>
    <w:rPr>
      <w:rFonts w:ascii="Calibri" w:hAnsi="Calibri" w:eastAsia="宋体"/>
      <w:sz w:val="24"/>
    </w:rPr>
  </w:style>
  <w:style w:type="paragraph" w:customStyle="1" w:styleId="289">
    <w:name w:val="样式4"/>
    <w:basedOn w:val="1"/>
    <w:link w:val="288"/>
    <w:qFormat/>
    <w:uiPriority w:val="0"/>
    <w:pPr>
      <w:spacing w:line="360" w:lineRule="auto"/>
    </w:pPr>
    <w:rPr>
      <w:rFonts w:cstheme="minorBidi"/>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17"/>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99"/>
    <w:rPr>
      <w:rFonts w:ascii="Arial" w:hAnsi="Arial" w:eastAsia="仿宋_GB2312"/>
      <w:b/>
      <w:bCs/>
      <w:sz w:val="28"/>
      <w:szCs w:val="28"/>
    </w:rPr>
  </w:style>
  <w:style w:type="paragraph" w:customStyle="1" w:styleId="336">
    <w:name w:val="ZJGIS-四级标题"/>
    <w:basedOn w:val="5"/>
    <w:link w:val="335"/>
    <w:qFormat/>
    <w:uiPriority w:val="99"/>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99"/>
    <w:rPr>
      <w:rFonts w:ascii="宋体" w:hAnsi="宋体"/>
      <w:bCs/>
      <w:color w:val="000000"/>
      <w:sz w:val="24"/>
      <w:szCs w:val="24"/>
    </w:rPr>
  </w:style>
  <w:style w:type="paragraph" w:customStyle="1" w:styleId="350">
    <w:name w:val="样式 首行缩进:  2 字符"/>
    <w:basedOn w:val="1"/>
    <w:link w:val="349"/>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7"/>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39"/>
    <w:qFormat/>
    <w:uiPriority w:val="99"/>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99"/>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3"/>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94">
    <w:name w:val="沈标题四"/>
    <w:basedOn w:val="5"/>
    <w:next w:val="1"/>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4"/>
    <w:qFormat/>
    <w:uiPriority w:val="99"/>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99"/>
    <w:pPr>
      <w:ind w:firstLine="480" w:firstLineChars="200"/>
    </w:pPr>
  </w:style>
  <w:style w:type="paragraph" w:customStyle="1" w:styleId="397">
    <w:name w:val="正文段"/>
    <w:basedOn w:val="1"/>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99"/>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99"/>
    <w:pPr>
      <w:ind w:firstLine="420" w:firstLineChars="200"/>
    </w:pPr>
  </w:style>
  <w:style w:type="paragraph" w:customStyle="1" w:styleId="400">
    <w:name w:val="15"/>
    <w:basedOn w:val="1"/>
    <w:qFormat/>
    <w:uiPriority w:val="99"/>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99"/>
    <w:pPr>
      <w:spacing w:line="288" w:lineRule="auto"/>
      <w:jc w:val="center"/>
    </w:pPr>
    <w:rPr>
      <w:rFonts w:ascii="新宋体" w:hAnsi="Times New Roman" w:eastAsia="新宋体"/>
      <w:sz w:val="24"/>
      <w:szCs w:val="24"/>
    </w:rPr>
  </w:style>
  <w:style w:type="paragraph" w:customStyle="1" w:styleId="402">
    <w:name w:val="xl76"/>
    <w:basedOn w:val="1"/>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99"/>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99"/>
    <w:pPr>
      <w:spacing w:line="360" w:lineRule="auto"/>
    </w:pPr>
    <w:rPr>
      <w:rFonts w:ascii="Times New Roman" w:hAnsi="Times New Roman"/>
      <w:b/>
      <w:i/>
      <w:sz w:val="24"/>
      <w:szCs w:val="24"/>
      <w:u w:val="single"/>
    </w:rPr>
  </w:style>
  <w:style w:type="paragraph" w:customStyle="1" w:styleId="405">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99"/>
    <w:pPr>
      <w:spacing w:after="120"/>
    </w:pPr>
    <w:rPr>
      <w:rFonts w:ascii="Times New Roman" w:hAnsi="Times New Roman"/>
      <w:sz w:val="28"/>
      <w:szCs w:val="24"/>
    </w:rPr>
  </w:style>
  <w:style w:type="paragraph" w:customStyle="1" w:styleId="407">
    <w:name w:val="xl70"/>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99"/>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99"/>
    <w:pPr>
      <w:spacing w:line="360" w:lineRule="auto"/>
      <w:jc w:val="center"/>
    </w:pPr>
    <w:rPr>
      <w:rFonts w:ascii="宋体" w:hAnsi="宋体"/>
      <w:b/>
      <w:sz w:val="24"/>
      <w:szCs w:val="24"/>
    </w:rPr>
  </w:style>
  <w:style w:type="paragraph" w:customStyle="1" w:styleId="412">
    <w:name w:val="Char"/>
    <w:basedOn w:val="1"/>
    <w:qFormat/>
    <w:uiPriority w:val="99"/>
    <w:rPr>
      <w:rFonts w:ascii="仿宋_GB2312" w:hAnsi="Times New Roman" w:eastAsia="仿宋_GB2312"/>
      <w:b/>
      <w:sz w:val="32"/>
      <w:szCs w:val="32"/>
    </w:rPr>
  </w:style>
  <w:style w:type="paragraph" w:customStyle="1" w:styleId="413">
    <w:name w:val="font11"/>
    <w:basedOn w:val="1"/>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99"/>
    <w:pPr>
      <w:adjustRightInd w:val="0"/>
      <w:snapToGrid w:val="0"/>
      <w:jc w:val="center"/>
    </w:pPr>
    <w:rPr>
      <w:rFonts w:ascii="宋体" w:hAnsi="宋体"/>
      <w:szCs w:val="21"/>
    </w:rPr>
  </w:style>
  <w:style w:type="paragraph" w:customStyle="1" w:styleId="416">
    <w:name w:val="正文浙江中烟安全"/>
    <w:basedOn w:val="1"/>
    <w:qFormat/>
    <w:uiPriority w:val="99"/>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99"/>
    <w:pPr>
      <w:ind w:firstLine="480" w:firstLineChars="200"/>
    </w:pPr>
  </w:style>
  <w:style w:type="paragraph" w:customStyle="1" w:styleId="420">
    <w:name w:val="样式 正文文本缩进 + 仿宋_GB2312 小四 首行缩进:  0 厘米 行距: 1.5 倍行距"/>
    <w:basedOn w:val="25"/>
    <w:qFormat/>
    <w:uiPriority w:val="99"/>
    <w:pPr>
      <w:spacing w:line="360" w:lineRule="auto"/>
      <w:ind w:firstLine="0"/>
    </w:pPr>
    <w:rPr>
      <w:rFonts w:ascii="仿宋_GB2312" w:hAnsi="Times New Roman" w:eastAsia="新宋体"/>
      <w:spacing w:val="0"/>
      <w:sz w:val="24"/>
    </w:rPr>
  </w:style>
  <w:style w:type="paragraph" w:customStyle="1" w:styleId="421">
    <w:name w:val="xl86"/>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99"/>
    <w:pPr>
      <w:ind w:firstLine="562"/>
    </w:pPr>
    <w:rPr>
      <w:rFonts w:ascii="仿宋_GB2312" w:eastAsia="仿宋_GB2312"/>
      <w:b/>
      <w:sz w:val="28"/>
      <w:szCs w:val="28"/>
    </w:rPr>
  </w:style>
  <w:style w:type="paragraph" w:customStyle="1" w:styleId="423">
    <w:name w:val="图名"/>
    <w:basedOn w:val="18"/>
    <w:qFormat/>
    <w:uiPriority w:val="99"/>
    <w:pPr>
      <w:spacing w:beforeLines="50" w:afterLines="50"/>
      <w:jc w:val="center"/>
    </w:pPr>
    <w:rPr>
      <w:rFonts w:ascii="Times New Roman" w:hAnsi="Times New Roman"/>
      <w:kern w:val="0"/>
      <w:sz w:val="24"/>
      <w:szCs w:val="24"/>
    </w:rPr>
  </w:style>
  <w:style w:type="paragraph" w:styleId="424">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99"/>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8"/>
    <w:qFormat/>
    <w:uiPriority w:val="99"/>
    <w:pPr>
      <w:spacing w:beforeLines="50" w:afterLines="50"/>
      <w:jc w:val="center"/>
    </w:pPr>
    <w:rPr>
      <w:rFonts w:ascii="黑体"/>
      <w:kern w:val="0"/>
      <w:sz w:val="24"/>
      <w:szCs w:val="24"/>
    </w:rPr>
  </w:style>
  <w:style w:type="paragraph" w:customStyle="1" w:styleId="434">
    <w:name w:val="Char Char Char"/>
    <w:basedOn w:val="1"/>
    <w:qFormat/>
    <w:uiPriority w:val="99"/>
    <w:rPr>
      <w:rFonts w:ascii="Tahoma" w:hAnsi="Tahoma"/>
      <w:sz w:val="24"/>
      <w:szCs w:val="20"/>
    </w:rPr>
  </w:style>
  <w:style w:type="paragraph" w:customStyle="1" w:styleId="435">
    <w:name w:val="样式 样式 标题 4 + 段后: 0.5 行1"/>
    <w:basedOn w:val="436"/>
    <w:next w:val="36"/>
    <w:qFormat/>
    <w:uiPriority w:val="99"/>
    <w:pPr>
      <w:numPr>
        <w:ilvl w:val="1"/>
        <w:numId w:val="5"/>
      </w:numPr>
      <w:tabs>
        <w:tab w:val="left" w:pos="2040"/>
      </w:tabs>
      <w:spacing w:after="120"/>
      <w:ind w:left="0" w:firstLine="0"/>
    </w:pPr>
  </w:style>
  <w:style w:type="paragraph" w:customStyle="1" w:styleId="436">
    <w:name w:val="样式 标题 4 + 段后: 0.5 行"/>
    <w:basedOn w:val="5"/>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3"/>
    <w:next w:val="1"/>
    <w:qFormat/>
    <w:uiPriority w:val="99"/>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99"/>
    <w:pPr>
      <w:ind w:left="1890" w:leftChars="900"/>
    </w:pPr>
    <w:rPr>
      <w:rFonts w:ascii="Times New Roman" w:hAnsi="Times New Roman"/>
      <w:sz w:val="24"/>
      <w:szCs w:val="24"/>
    </w:rPr>
  </w:style>
  <w:style w:type="paragraph" w:customStyle="1" w:styleId="440">
    <w:name w:val="linyang-正文"/>
    <w:basedOn w:val="1"/>
    <w:qFormat/>
    <w:uiPriority w:val="99"/>
    <w:pPr>
      <w:spacing w:before="120" w:after="120" w:line="400" w:lineRule="exact"/>
      <w:ind w:firstLine="200" w:firstLineChars="200"/>
    </w:pPr>
    <w:rPr>
      <w:rFonts w:ascii="Times New Roman" w:hAnsi="Times New Roman"/>
      <w:sz w:val="24"/>
      <w:szCs w:val="24"/>
    </w:rPr>
  </w:style>
  <w:style w:type="paragraph" w:customStyle="1" w:styleId="441">
    <w:name w:val="标题2"/>
    <w:basedOn w:val="3"/>
    <w:next w:val="4"/>
    <w:qFormat/>
    <w:uiPriority w:val="99"/>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0"/>
    <w:next w:val="1"/>
    <w:qFormat/>
    <w:uiPriority w:val="99"/>
    <w:pPr>
      <w:shd w:val="clear" w:color="auto" w:fill="000080"/>
    </w:pPr>
    <w:rPr>
      <w:rFonts w:ascii="Tahoma" w:hAnsi="Tahoma" w:cs="Tahoma"/>
      <w:kern w:val="0"/>
      <w:szCs w:val="24"/>
    </w:rPr>
  </w:style>
  <w:style w:type="paragraph" w:customStyle="1" w:styleId="444">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4"/>
    <w:qFormat/>
    <w:uiPriority w:val="99"/>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99"/>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99"/>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99"/>
    <w:pPr>
      <w:spacing w:after="120" w:line="360" w:lineRule="auto"/>
      <w:jc w:val="center"/>
    </w:pPr>
    <w:rPr>
      <w:rFonts w:ascii="Times New Roman" w:hAnsi="Times New Roman"/>
      <w:szCs w:val="21"/>
    </w:rPr>
  </w:style>
  <w:style w:type="paragraph" w:customStyle="1" w:styleId="452">
    <w:name w:val="P2"/>
    <w:basedOn w:val="1"/>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qFormat/>
    <w:uiPriority w:val="99"/>
    <w:pPr>
      <w:spacing w:beforeLines="0" w:afterLines="0" w:line="360" w:lineRule="auto"/>
    </w:pPr>
    <w:rPr>
      <w:b/>
      <w:sz w:val="30"/>
      <w:szCs w:val="20"/>
    </w:rPr>
  </w:style>
  <w:style w:type="paragraph" w:customStyle="1" w:styleId="455">
    <w:name w:val="Normal0"/>
    <w:qFormat/>
    <w:uiPriority w:val="99"/>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99"/>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4"/>
    <w:qFormat/>
    <w:uiPriority w:val="99"/>
    <w:rPr>
      <w:rFonts w:ascii="Arial" w:hAnsi="Arial"/>
      <w:sz w:val="30"/>
    </w:rPr>
  </w:style>
  <w:style w:type="paragraph" w:customStyle="1" w:styleId="458">
    <w:name w:val="书籍标题3"/>
    <w:basedOn w:val="1"/>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99"/>
    <w:pPr>
      <w:spacing w:beforeLines="20" w:afterLines="20"/>
    </w:pPr>
    <w:rPr>
      <w:rFonts w:ascii="楷体_GB2312" w:hAnsi="宋体" w:eastAsia="楷体_GB2312" w:cs="Arial"/>
      <w:kern w:val="0"/>
      <w:sz w:val="24"/>
      <w:szCs w:val="24"/>
    </w:rPr>
  </w:style>
  <w:style w:type="paragraph" w:customStyle="1" w:styleId="460">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99"/>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99"/>
    <w:pPr>
      <w:ind w:firstLine="420"/>
    </w:pPr>
    <w:rPr>
      <w:rFonts w:ascii="Times New Roman" w:hAnsi="Times New Roman"/>
      <w:szCs w:val="20"/>
    </w:rPr>
  </w:style>
  <w:style w:type="paragraph" w:customStyle="1" w:styleId="469">
    <w:name w:val="pa-17"/>
    <w:basedOn w:val="1"/>
    <w:qFormat/>
    <w:uiPriority w:val="99"/>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99"/>
    <w:pPr>
      <w:spacing w:line="360" w:lineRule="auto"/>
      <w:ind w:firstLine="480" w:firstLineChars="200"/>
    </w:pPr>
    <w:rPr>
      <w:rFonts w:ascii="宋体" w:hAnsi="宋体"/>
      <w:sz w:val="24"/>
      <w:szCs w:val="24"/>
    </w:rPr>
  </w:style>
  <w:style w:type="paragraph" w:customStyle="1" w:styleId="471">
    <w:name w:val="Char9"/>
    <w:basedOn w:val="1"/>
    <w:qFormat/>
    <w:uiPriority w:val="99"/>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7"/>
    <w:qFormat/>
    <w:uiPriority w:val="99"/>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1"/>
    <w:next w:val="21"/>
    <w:qFormat/>
    <w:uiPriority w:val="99"/>
    <w:rPr>
      <w:b/>
      <w:bCs/>
      <w:kern w:val="0"/>
      <w:sz w:val="20"/>
      <w:szCs w:val="20"/>
    </w:rPr>
  </w:style>
  <w:style w:type="paragraph" w:customStyle="1" w:styleId="474">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99"/>
    <w:pPr>
      <w:tabs>
        <w:tab w:val="left" w:pos="1140"/>
      </w:tabs>
      <w:spacing w:after="120"/>
    </w:pPr>
    <w:rPr>
      <w:bCs/>
    </w:rPr>
  </w:style>
  <w:style w:type="paragraph" w:customStyle="1" w:styleId="476">
    <w:name w:val="样式 标题1"/>
    <w:basedOn w:val="477"/>
    <w:next w:val="478"/>
    <w:qFormat/>
    <w:uiPriority w:val="99"/>
    <w:pPr>
      <w:tabs>
        <w:tab w:val="left" w:pos="1140"/>
      </w:tabs>
      <w:spacing w:after="50"/>
      <w:ind w:left="1140" w:hanging="720"/>
    </w:pPr>
    <w:rPr>
      <w:bCs w:val="0"/>
      <w:sz w:val="32"/>
    </w:rPr>
  </w:style>
  <w:style w:type="paragraph" w:customStyle="1" w:styleId="477">
    <w:name w:val="样式 标题 1 + 段后: 0.5 行"/>
    <w:basedOn w:val="2"/>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99"/>
    <w:pPr>
      <w:spacing w:after="120"/>
    </w:pPr>
  </w:style>
  <w:style w:type="paragraph" w:customStyle="1" w:styleId="479">
    <w:name w:val="样式 标题 2"/>
    <w:basedOn w:val="3"/>
    <w:next w:val="480"/>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4"/>
    <w:next w:val="482"/>
    <w:qFormat/>
    <w:uiPriority w:val="99"/>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99"/>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99"/>
    <w:pPr>
      <w:numPr>
        <w:numId w:val="0"/>
      </w:numPr>
      <w:tabs>
        <w:tab w:val="left" w:pos="864"/>
      </w:tabs>
      <w:spacing w:after="120"/>
      <w:ind w:left="864" w:hanging="864"/>
    </w:pPr>
  </w:style>
  <w:style w:type="paragraph" w:customStyle="1" w:styleId="485">
    <w:name w:val="样式 正文"/>
    <w:basedOn w:val="1"/>
    <w:next w:val="1"/>
    <w:qFormat/>
    <w:uiPriority w:val="99"/>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99"/>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2"/>
    <w:qFormat/>
    <w:uiPriority w:val="99"/>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99"/>
    <w:pPr>
      <w:spacing w:before="80" w:afterLines="50"/>
    </w:pPr>
    <w:rPr>
      <w:rFonts w:ascii="宋体" w:hAnsi="Times New Roman"/>
      <w:snapToGrid w:val="0"/>
      <w:kern w:val="0"/>
      <w:szCs w:val="20"/>
    </w:rPr>
  </w:style>
  <w:style w:type="paragraph" w:customStyle="1" w:styleId="490">
    <w:name w:val="4"/>
    <w:basedOn w:val="1"/>
    <w:qFormat/>
    <w:uiPriority w:val="99"/>
  </w:style>
  <w:style w:type="paragraph" w:customStyle="1" w:styleId="491">
    <w:name w:val="ZJGIS-一级标题"/>
    <w:basedOn w:val="2"/>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99"/>
    <w:pPr>
      <w:tabs>
        <w:tab w:val="left" w:pos="432"/>
      </w:tabs>
      <w:ind w:left="432" w:hanging="432"/>
    </w:pPr>
    <w:rPr>
      <w:rFonts w:ascii="Times New Roman" w:hAnsi="Times New Roman"/>
      <w:sz w:val="24"/>
      <w:szCs w:val="24"/>
    </w:rPr>
  </w:style>
  <w:style w:type="paragraph" w:customStyle="1" w:styleId="500">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99"/>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99"/>
    <w:pPr>
      <w:widowControl/>
      <w:spacing w:before="360" w:after="360"/>
      <w:jc w:val="center"/>
    </w:pPr>
    <w:rPr>
      <w:rFonts w:ascii="宋体" w:hAnsi="宋体" w:cs="宋体"/>
      <w:kern w:val="0"/>
      <w:sz w:val="24"/>
      <w:szCs w:val="24"/>
    </w:rPr>
  </w:style>
  <w:style w:type="paragraph" w:customStyle="1" w:styleId="506">
    <w:name w:val="pbullet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99"/>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99"/>
    <w:pPr>
      <w:adjustRightInd w:val="0"/>
      <w:spacing w:line="360" w:lineRule="atLeast"/>
      <w:textAlignment w:val="baseline"/>
    </w:pPr>
    <w:rPr>
      <w:rFonts w:ascii="Tahoma" w:hAnsi="Tahoma"/>
      <w:sz w:val="24"/>
      <w:szCs w:val="20"/>
    </w:rPr>
  </w:style>
  <w:style w:type="paragraph" w:customStyle="1" w:styleId="513">
    <w:name w:val="圆点"/>
    <w:basedOn w:val="1"/>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99"/>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99"/>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2"/>
    <w:qFormat/>
    <w:uiPriority w:val="99"/>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99"/>
    <w:rPr>
      <w:rFonts w:ascii="仿宋_GB2312" w:hAnsi="Times New Roman" w:eastAsia="仿宋_GB2312"/>
      <w:b/>
      <w:sz w:val="32"/>
      <w:szCs w:val="32"/>
    </w:rPr>
  </w:style>
  <w:style w:type="paragraph" w:customStyle="1" w:styleId="519">
    <w:name w:val="样式6"/>
    <w:basedOn w:val="1"/>
    <w:qFormat/>
    <w:uiPriority w:val="99"/>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qFormat/>
    <w:uiPriority w:val="99"/>
    <w:pPr>
      <w:spacing w:after="60"/>
      <w:ind w:left="420" w:firstLine="200" w:firstLineChars="200"/>
    </w:pPr>
    <w:rPr>
      <w:rFonts w:ascii="Times New Roman" w:hAnsi="Times New Roman"/>
      <w:szCs w:val="24"/>
    </w:rPr>
  </w:style>
  <w:style w:type="paragraph" w:customStyle="1" w:styleId="521">
    <w:name w:val="xl114"/>
    <w:basedOn w:val="1"/>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99"/>
    <w:pPr>
      <w:numPr>
        <w:ilvl w:val="0"/>
        <w:numId w:val="14"/>
      </w:numPr>
      <w:spacing w:line="400" w:lineRule="exact"/>
    </w:pPr>
    <w:rPr>
      <w:rFonts w:ascii="Arial" w:hAnsi="Arial"/>
      <w:szCs w:val="24"/>
    </w:rPr>
  </w:style>
  <w:style w:type="paragraph" w:customStyle="1" w:styleId="523">
    <w:name w:val="GP有序编号2级"/>
    <w:basedOn w:val="1"/>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99"/>
    <w:pPr>
      <w:spacing w:after="120"/>
    </w:pPr>
  </w:style>
  <w:style w:type="paragraph" w:customStyle="1" w:styleId="526">
    <w:name w:val="标题 3Chapter X.X.X. + 段后: 0.5 行 + 段后: 0.5 行 + 段后: 0.5 行1"/>
    <w:basedOn w:val="527"/>
    <w:qFormat/>
    <w:uiPriority w:val="99"/>
  </w:style>
  <w:style w:type="paragraph" w:customStyle="1" w:styleId="527">
    <w:name w:val="样式 样式 标题 3Chapter X.X.X. + 段后: 0.5 行 + 段后: 0.5 行"/>
    <w:basedOn w:val="528"/>
    <w:qFormat/>
    <w:uiPriority w:val="99"/>
  </w:style>
  <w:style w:type="paragraph" w:customStyle="1" w:styleId="528">
    <w:name w:val="样式 标题 3Chapter X.X.X. + 段后: 0.5 行"/>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99"/>
    <w:pPr>
      <w:tabs>
        <w:tab w:val="left" w:pos="720"/>
      </w:tabs>
      <w:ind w:hanging="720"/>
    </w:pPr>
  </w:style>
  <w:style w:type="paragraph" w:customStyle="1" w:styleId="535">
    <w:name w:val="S4-L15"/>
    <w:basedOn w:val="1"/>
    <w:qFormat/>
    <w:uiPriority w:val="99"/>
    <w:pPr>
      <w:spacing w:after="120" w:line="360" w:lineRule="auto"/>
      <w:ind w:left="720" w:firstLine="392"/>
    </w:pPr>
    <w:rPr>
      <w:rFonts w:ascii="Times New Roman" w:hAnsi="Times New Roman"/>
      <w:szCs w:val="21"/>
      <w:lang w:val="fr-FR"/>
    </w:rPr>
  </w:style>
  <w:style w:type="paragraph" w:customStyle="1" w:styleId="536">
    <w:name w:val="a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99"/>
    <w:pPr>
      <w:tabs>
        <w:tab w:val="left" w:pos="432"/>
      </w:tabs>
      <w:ind w:left="432" w:hanging="432"/>
    </w:pPr>
    <w:rPr>
      <w:rFonts w:ascii="Tahoma" w:hAnsi="Tahoma"/>
      <w:sz w:val="24"/>
      <w:szCs w:val="20"/>
    </w:rPr>
  </w:style>
  <w:style w:type="paragraph" w:customStyle="1" w:styleId="542">
    <w:name w:val="Bullet2"/>
    <w:basedOn w:val="1"/>
    <w:qFormat/>
    <w:uiPriority w:val="99"/>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99"/>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99"/>
    <w:pPr>
      <w:spacing w:line="0" w:lineRule="atLeast"/>
    </w:pPr>
    <w:rPr>
      <w:rFonts w:ascii="Times New Roman" w:hAnsi="Times New Roman" w:eastAsia="仿宋_GB2312"/>
      <w:sz w:val="22"/>
      <w:szCs w:val="24"/>
    </w:rPr>
  </w:style>
  <w:style w:type="paragraph" w:customStyle="1" w:styleId="547">
    <w:name w:val="Char3"/>
    <w:basedOn w:val="1"/>
    <w:qFormat/>
    <w:uiPriority w:val="99"/>
    <w:rPr>
      <w:rFonts w:ascii="仿宋_GB2312" w:hAnsi="Times New Roman" w:eastAsia="仿宋_GB2312"/>
      <w:b/>
      <w:sz w:val="32"/>
      <w:szCs w:val="20"/>
    </w:rPr>
  </w:style>
  <w:style w:type="paragraph" w:customStyle="1" w:styleId="548">
    <w:name w:val="此正文"/>
    <w:basedOn w:val="1"/>
    <w:qFormat/>
    <w:uiPriority w:val="99"/>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99"/>
    <w:pPr>
      <w:tabs>
        <w:tab w:val="left" w:pos="360"/>
      </w:tabs>
      <w:ind w:firstLine="420" w:firstLineChars="150"/>
    </w:pPr>
    <w:rPr>
      <w:rFonts w:ascii="Times New Roman" w:hAnsi="Times New Roman"/>
      <w:szCs w:val="20"/>
    </w:rPr>
  </w:style>
  <w:style w:type="paragraph" w:customStyle="1" w:styleId="551">
    <w:name w:val="Bullet 2"/>
    <w:basedOn w:val="24"/>
    <w:qFormat/>
    <w:uiPriority w:val="99"/>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99"/>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99"/>
    <w:pPr>
      <w:keepNext/>
      <w:widowControl/>
      <w:spacing w:before="80" w:after="80"/>
      <w:jc w:val="center"/>
    </w:pPr>
    <w:rPr>
      <w:rFonts w:ascii="Times New Roman" w:hAnsi="Times New Roman"/>
      <w:szCs w:val="20"/>
    </w:rPr>
  </w:style>
  <w:style w:type="paragraph" w:customStyle="1" w:styleId="556">
    <w:name w:val="Char Char1 Char111"/>
    <w:basedOn w:val="1"/>
    <w:qFormat/>
    <w:uiPriority w:val="99"/>
    <w:rPr>
      <w:rFonts w:ascii="仿宋_GB2312" w:hAnsi="Times New Roman" w:eastAsia="仿宋_GB2312"/>
      <w:b/>
      <w:sz w:val="32"/>
      <w:szCs w:val="32"/>
    </w:rPr>
  </w:style>
  <w:style w:type="paragraph" w:customStyle="1" w:styleId="557">
    <w:name w:val="xl73"/>
    <w:basedOn w:val="1"/>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99"/>
    <w:rPr>
      <w:rFonts w:ascii="Tahoma" w:hAnsi="Tahoma"/>
      <w:sz w:val="24"/>
      <w:szCs w:val="20"/>
    </w:rPr>
  </w:style>
  <w:style w:type="paragraph" w:customStyle="1" w:styleId="559">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560">
    <w:name w:val="样式2"/>
    <w:basedOn w:val="3"/>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99"/>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99"/>
  </w:style>
  <w:style w:type="paragraph" w:customStyle="1" w:styleId="564">
    <w:name w:val="标准有序列表（L1）"/>
    <w:basedOn w:val="17"/>
    <w:qFormat/>
    <w:uiPriority w:val="99"/>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99"/>
    <w:pPr>
      <w:jc w:val="center"/>
    </w:pPr>
    <w:rPr>
      <w:rFonts w:ascii="Times New Roman" w:hAnsi="Times New Roman" w:eastAsia="幼圆" w:cs="宋体"/>
      <w:b/>
      <w:sz w:val="28"/>
      <w:szCs w:val="28"/>
    </w:rPr>
  </w:style>
  <w:style w:type="paragraph" w:customStyle="1" w:styleId="566">
    <w:name w:val="_Style 11811"/>
    <w:basedOn w:val="1"/>
    <w:qFormat/>
    <w:uiPriority w:val="99"/>
  </w:style>
  <w:style w:type="paragraph" w:customStyle="1" w:styleId="567">
    <w:name w:val="Char Char Char Char Char Char Char Char"/>
    <w:basedOn w:val="1"/>
    <w:qFormat/>
    <w:uiPriority w:val="99"/>
    <w:pPr>
      <w:tabs>
        <w:tab w:val="left" w:pos="360"/>
      </w:tabs>
    </w:pPr>
    <w:rPr>
      <w:rFonts w:ascii="Times New Roman" w:hAnsi="Times New Roman"/>
      <w:sz w:val="24"/>
      <w:szCs w:val="24"/>
    </w:rPr>
  </w:style>
  <w:style w:type="paragraph" w:customStyle="1" w:styleId="568">
    <w:name w:val="xl66"/>
    <w:basedOn w:val="1"/>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99"/>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99"/>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99"/>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99"/>
    <w:pPr>
      <w:ind w:firstLine="420" w:firstLineChars="200"/>
    </w:pPr>
    <w:rPr>
      <w:szCs w:val="24"/>
    </w:rPr>
  </w:style>
  <w:style w:type="paragraph" w:customStyle="1" w:styleId="576">
    <w:name w:val="样式 标题 2 + 五号"/>
    <w:basedOn w:val="3"/>
    <w:qFormat/>
    <w:uiPriority w:val="99"/>
    <w:pPr>
      <w:spacing w:before="0" w:after="0" w:line="240" w:lineRule="auto"/>
    </w:pPr>
    <w:rPr>
      <w:rFonts w:ascii="宋体" w:hAnsi="宋体" w:eastAsia="宋体"/>
      <w:sz w:val="21"/>
    </w:rPr>
  </w:style>
  <w:style w:type="paragraph" w:customStyle="1" w:styleId="577">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7"/>
    <w:qFormat/>
    <w:uiPriority w:val="99"/>
    <w:pPr>
      <w:spacing w:line="360" w:lineRule="auto"/>
    </w:pPr>
    <w:rPr>
      <w:sz w:val="24"/>
      <w:szCs w:val="24"/>
    </w:rPr>
  </w:style>
  <w:style w:type="paragraph" w:customStyle="1" w:styleId="579">
    <w:name w:val="Style-正文"/>
    <w:basedOn w:val="1"/>
    <w:qFormat/>
    <w:uiPriority w:val="99"/>
    <w:pPr>
      <w:spacing w:line="360" w:lineRule="auto"/>
      <w:ind w:firstLine="420"/>
    </w:pPr>
    <w:rPr>
      <w:rFonts w:ascii="宋体" w:hAnsi="宋体"/>
      <w:sz w:val="24"/>
      <w:szCs w:val="24"/>
    </w:rPr>
  </w:style>
  <w:style w:type="paragraph" w:customStyle="1" w:styleId="580">
    <w:name w:val="金保文档标准正文 Char"/>
    <w:basedOn w:val="1"/>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2"/>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99"/>
    <w:rPr>
      <w:rFonts w:ascii="Times New Roman" w:hAnsi="Times New Roman"/>
      <w:szCs w:val="24"/>
    </w:rPr>
  </w:style>
  <w:style w:type="paragraph" w:customStyle="1" w:styleId="583">
    <w:name w:val="样式 标题 1 + 五号"/>
    <w:basedOn w:val="2"/>
    <w:qFormat/>
    <w:uiPriority w:val="99"/>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99"/>
    <w:rPr>
      <w:rFonts w:ascii="宋体" w:hAnsi="Courier New"/>
      <w:szCs w:val="20"/>
    </w:rPr>
  </w:style>
  <w:style w:type="paragraph" w:customStyle="1" w:styleId="586">
    <w:name w:val="S4-I-U-L15-No-dot"/>
    <w:basedOn w:val="1"/>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99"/>
    <w:rPr>
      <w:rFonts w:ascii="Tahoma" w:hAnsi="Tahoma"/>
      <w:sz w:val="24"/>
      <w:szCs w:val="20"/>
    </w:rPr>
  </w:style>
  <w:style w:type="paragraph" w:customStyle="1" w:styleId="590">
    <w:name w:val="样式 样式3 + 宋体 五号 Char Char Char"/>
    <w:basedOn w:val="1"/>
    <w:qFormat/>
    <w:uiPriority w:val="99"/>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99"/>
    <w:pPr>
      <w:spacing w:after="120"/>
    </w:pPr>
  </w:style>
  <w:style w:type="paragraph" w:customStyle="1" w:styleId="592">
    <w:name w:val="样式 标题 2 + 宋体 小四 段前: 0 磅 段后: 0 磅 行距: 1.5 倍行距"/>
    <w:basedOn w:val="3"/>
    <w:qFormat/>
    <w:uiPriority w:val="99"/>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99"/>
    <w:pPr>
      <w:widowControl/>
      <w:spacing w:after="160" w:line="240" w:lineRule="exact"/>
      <w:jc w:val="left"/>
    </w:pPr>
    <w:rPr>
      <w:rFonts w:ascii="Times New Roman" w:hAnsi="Times New Roman"/>
      <w:szCs w:val="20"/>
    </w:rPr>
  </w:style>
  <w:style w:type="paragraph" w:customStyle="1" w:styleId="594">
    <w:name w:val="二级标题"/>
    <w:basedOn w:val="3"/>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99"/>
    <w:rPr>
      <w:rFonts w:ascii="宋体"/>
      <w:kern w:val="0"/>
      <w:sz w:val="18"/>
      <w:szCs w:val="18"/>
    </w:rPr>
  </w:style>
  <w:style w:type="paragraph" w:customStyle="1" w:styleId="596">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99"/>
    <w:pPr>
      <w:tabs>
        <w:tab w:val="left" w:pos="432"/>
      </w:tabs>
      <w:ind w:left="432" w:hanging="432"/>
    </w:pPr>
    <w:rPr>
      <w:rFonts w:ascii="Tahoma" w:hAnsi="Tahoma"/>
      <w:sz w:val="24"/>
      <w:szCs w:val="20"/>
    </w:rPr>
  </w:style>
  <w:style w:type="paragraph" w:customStyle="1" w:styleId="598">
    <w:name w:val="正文文本 New New"/>
    <w:basedOn w:val="524"/>
    <w:qFormat/>
    <w:uiPriority w:val="99"/>
    <w:pPr>
      <w:spacing w:after="120"/>
    </w:pPr>
    <w:rPr>
      <w:sz w:val="28"/>
      <w:szCs w:val="24"/>
    </w:rPr>
  </w:style>
  <w:style w:type="paragraph" w:customStyle="1" w:styleId="599">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99"/>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99"/>
    <w:rPr>
      <w:rFonts w:ascii="宋体" w:hAnsi="宋体" w:eastAsia="宋体" w:cs="Times New Roman"/>
      <w:kern w:val="0"/>
      <w:sz w:val="24"/>
      <w:szCs w:val="20"/>
      <w:lang w:val="zh-CN" w:eastAsia="zh-CN" w:bidi="ar-SA"/>
    </w:rPr>
  </w:style>
  <w:style w:type="paragraph" w:customStyle="1" w:styleId="603">
    <w:name w:val="SZF表"/>
    <w:basedOn w:val="604"/>
    <w:qFormat/>
    <w:uiPriority w:val="99"/>
    <w:rPr>
      <w:rFonts w:ascii="宋体" w:hAnsi="宋体"/>
      <w:bCs/>
      <w:szCs w:val="21"/>
    </w:rPr>
  </w:style>
  <w:style w:type="paragraph" w:customStyle="1" w:styleId="604">
    <w:name w:val="SZF图"/>
    <w:basedOn w:val="1"/>
    <w:qFormat/>
    <w:uiPriority w:val="99"/>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99"/>
    <w:rPr>
      <w:rFonts w:ascii="Tahoma" w:hAnsi="Tahoma"/>
      <w:sz w:val="24"/>
      <w:szCs w:val="20"/>
    </w:rPr>
  </w:style>
  <w:style w:type="paragraph" w:customStyle="1" w:styleId="608">
    <w:name w:val="文档结构图2"/>
    <w:basedOn w:val="1"/>
    <w:qFormat/>
    <w:uiPriority w:val="99"/>
    <w:rPr>
      <w:rFonts w:ascii="宋体"/>
      <w:kern w:val="0"/>
      <w:sz w:val="18"/>
      <w:szCs w:val="18"/>
    </w:rPr>
  </w:style>
  <w:style w:type="paragraph" w:customStyle="1" w:styleId="609">
    <w:name w:val="xl72"/>
    <w:basedOn w:val="1"/>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99"/>
    <w:pPr>
      <w:ind w:firstLine="480" w:firstLineChars="200"/>
    </w:pPr>
  </w:style>
  <w:style w:type="paragraph" w:customStyle="1" w:styleId="611">
    <w:name w:val="大汉正文"/>
    <w:basedOn w:val="1"/>
    <w:qFormat/>
    <w:uiPriority w:val="99"/>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99"/>
    <w:rPr>
      <w:sz w:val="18"/>
    </w:rPr>
  </w:style>
  <w:style w:type="paragraph" w:customStyle="1" w:styleId="613">
    <w:name w:val="IBM 正文"/>
    <w:basedOn w:val="1"/>
    <w:qFormat/>
    <w:uiPriority w:val="99"/>
    <w:pPr>
      <w:spacing w:line="360" w:lineRule="atLeast"/>
    </w:pPr>
    <w:rPr>
      <w:rFonts w:ascii="Times New Roman" w:hAnsi="Times New Roman"/>
      <w:sz w:val="24"/>
      <w:szCs w:val="20"/>
    </w:rPr>
  </w:style>
  <w:style w:type="paragraph" w:customStyle="1" w:styleId="614">
    <w:name w:val="Char Char1 Char1"/>
    <w:basedOn w:val="1"/>
    <w:qFormat/>
    <w:uiPriority w:val="99"/>
    <w:rPr>
      <w:rFonts w:ascii="仿宋_GB2312" w:hAnsi="Times New Roman" w:eastAsia="仿宋_GB2312"/>
      <w:b/>
      <w:sz w:val="32"/>
      <w:szCs w:val="32"/>
    </w:rPr>
  </w:style>
  <w:style w:type="paragraph" w:customStyle="1" w:styleId="615">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99"/>
    <w:pPr>
      <w:tabs>
        <w:tab w:val="left" w:pos="432"/>
      </w:tabs>
      <w:ind w:left="432" w:hanging="432"/>
    </w:pPr>
    <w:rPr>
      <w:rFonts w:ascii="Tahoma" w:hAnsi="Tahoma"/>
      <w:sz w:val="24"/>
      <w:szCs w:val="20"/>
    </w:rPr>
  </w:style>
  <w:style w:type="paragraph" w:customStyle="1" w:styleId="617">
    <w:name w:val="页眉1"/>
    <w:basedOn w:val="1"/>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99"/>
    <w:pPr>
      <w:tabs>
        <w:tab w:val="left" w:pos="432"/>
      </w:tabs>
      <w:ind w:left="432" w:hanging="432"/>
    </w:pPr>
    <w:rPr>
      <w:rFonts w:ascii="Tahoma" w:hAnsi="Tahoma"/>
      <w:sz w:val="24"/>
      <w:szCs w:val="20"/>
    </w:rPr>
  </w:style>
  <w:style w:type="paragraph" w:customStyle="1" w:styleId="619">
    <w:name w:val="Tabletext"/>
    <w:basedOn w:val="1"/>
    <w:qFormat/>
    <w:uiPriority w:val="99"/>
    <w:pPr>
      <w:keepLines/>
      <w:spacing w:afterLines="50"/>
      <w:jc w:val="left"/>
    </w:pPr>
    <w:rPr>
      <w:rFonts w:ascii="宋体" w:hAnsi="Times New Roman"/>
      <w:snapToGrid w:val="0"/>
      <w:kern w:val="0"/>
      <w:szCs w:val="20"/>
    </w:rPr>
  </w:style>
  <w:style w:type="paragraph" w:customStyle="1" w:styleId="620">
    <w:name w:val="P3"/>
    <w:basedOn w:val="1"/>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4"/>
    <w:qFormat/>
    <w:uiPriority w:val="99"/>
    <w:pPr>
      <w:tabs>
        <w:tab w:val="left" w:pos="1050"/>
      </w:tabs>
      <w:spacing w:line="240" w:lineRule="auto"/>
      <w:ind w:left="-258" w:leftChars="-258"/>
    </w:pPr>
    <w:rPr>
      <w:rFonts w:eastAsia="仿宋_GB2312"/>
      <w:sz w:val="28"/>
    </w:rPr>
  </w:style>
  <w:style w:type="paragraph" w:customStyle="1" w:styleId="622">
    <w:name w:val="大表 mt"/>
    <w:basedOn w:val="1"/>
    <w:qFormat/>
    <w:uiPriority w:val="99"/>
    <w:pPr>
      <w:widowControl/>
      <w:jc w:val="left"/>
    </w:pPr>
    <w:rPr>
      <w:rFonts w:ascii="宋体" w:hAnsi="宋体" w:cs="宋体"/>
      <w:kern w:val="0"/>
      <w:szCs w:val="21"/>
    </w:rPr>
  </w:style>
  <w:style w:type="paragraph" w:customStyle="1" w:styleId="623">
    <w:name w:val="Char Char Char111"/>
    <w:basedOn w:val="1"/>
    <w:qFormat/>
    <w:uiPriority w:val="99"/>
  </w:style>
  <w:style w:type="paragraph" w:customStyle="1" w:styleId="624">
    <w:name w:val="段落正文"/>
    <w:basedOn w:val="1"/>
    <w:qFormat/>
    <w:uiPriority w:val="99"/>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99"/>
    <w:pPr>
      <w:spacing w:line="360" w:lineRule="auto"/>
      <w:ind w:firstLine="0"/>
    </w:pPr>
    <w:rPr>
      <w:rFonts w:ascii="宋体" w:hAnsi="宋体" w:cs="宋体"/>
      <w:kern w:val="0"/>
    </w:rPr>
  </w:style>
  <w:style w:type="paragraph" w:customStyle="1" w:styleId="631">
    <w:name w:val="graytext"/>
    <w:basedOn w:val="1"/>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99"/>
    <w:pPr>
      <w:widowControl/>
      <w:spacing w:after="160" w:line="240" w:lineRule="exact"/>
      <w:jc w:val="left"/>
    </w:pPr>
    <w:rPr>
      <w:rFonts w:ascii="Times New Roman" w:hAnsi="Times New Roman"/>
      <w:szCs w:val="20"/>
    </w:rPr>
  </w:style>
  <w:style w:type="paragraph" w:customStyle="1" w:styleId="636">
    <w:name w:val="font5"/>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99"/>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99"/>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99"/>
    <w:pPr>
      <w:numPr>
        <w:numId w:val="0"/>
      </w:numPr>
      <w:tabs>
        <w:tab w:val="left" w:pos="864"/>
      </w:tabs>
      <w:ind w:left="425" w:hanging="425"/>
    </w:pPr>
    <w:rPr>
      <w:szCs w:val="21"/>
    </w:rPr>
  </w:style>
  <w:style w:type="paragraph" w:customStyle="1" w:styleId="643">
    <w:name w:val="样式 标题 4Chapter X.X.X. + 段后: 0.5 行1"/>
    <w:basedOn w:val="5"/>
    <w:next w:val="5"/>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6"/>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2"/>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99"/>
    <w:rPr>
      <w:rFonts w:ascii="仿宋_GB2312" w:hAnsi="Times New Roman" w:eastAsia="仿宋_GB2312"/>
      <w:b/>
      <w:sz w:val="32"/>
      <w:szCs w:val="32"/>
    </w:rPr>
  </w:style>
  <w:style w:type="paragraph" w:customStyle="1" w:styleId="650">
    <w:name w:val="正文文本 21"/>
    <w:basedOn w:val="1"/>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99"/>
    <w:pPr>
      <w:spacing w:line="360" w:lineRule="auto"/>
      <w:ind w:firstLine="200" w:firstLineChars="200"/>
    </w:pPr>
    <w:rPr>
      <w:rFonts w:ascii="Times New Roman" w:hAnsi="Times New Roman"/>
      <w:sz w:val="24"/>
      <w:szCs w:val="24"/>
    </w:rPr>
  </w:style>
  <w:style w:type="paragraph" w:customStyle="1" w:styleId="653">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99"/>
    <w:pPr>
      <w:ind w:firstLine="420" w:firstLineChars="200"/>
    </w:pPr>
  </w:style>
  <w:style w:type="paragraph" w:customStyle="1" w:styleId="655">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99"/>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4"/>
    <w:qFormat/>
    <w:uiPriority w:val="99"/>
    <w:pPr>
      <w:suppressLineNumbers/>
      <w:suppressAutoHyphens/>
    </w:pPr>
    <w:rPr>
      <w:kern w:val="1"/>
      <w:sz w:val="21"/>
      <w:lang w:eastAsia="ar-SA"/>
    </w:rPr>
  </w:style>
  <w:style w:type="paragraph" w:customStyle="1" w:styleId="661">
    <w:name w:val="样式　标题4"/>
    <w:basedOn w:val="643"/>
    <w:next w:val="1"/>
    <w:qFormat/>
    <w:uiPriority w:val="99"/>
    <w:pPr>
      <w:numPr>
        <w:ilvl w:val="0"/>
        <w:numId w:val="0"/>
      </w:numPr>
      <w:ind w:left="425" w:hanging="425"/>
    </w:pPr>
  </w:style>
  <w:style w:type="paragraph" w:customStyle="1" w:styleId="662">
    <w:name w:val="Char2 Char Char Char"/>
    <w:basedOn w:val="1"/>
    <w:qFormat/>
    <w:uiPriority w:val="99"/>
    <w:rPr>
      <w:rFonts w:ascii="仿宋_GB2312" w:hAnsi="Times New Roman" w:eastAsia="仿宋_GB2312"/>
      <w:b/>
      <w:sz w:val="32"/>
      <w:szCs w:val="32"/>
    </w:rPr>
  </w:style>
  <w:style w:type="paragraph" w:customStyle="1" w:styleId="663">
    <w:name w:val="Paragraph4"/>
    <w:basedOn w:val="1"/>
    <w:qFormat/>
    <w:uiPriority w:val="99"/>
    <w:pPr>
      <w:spacing w:before="80" w:afterLines="50"/>
      <w:ind w:left="2250"/>
    </w:pPr>
    <w:rPr>
      <w:rFonts w:ascii="宋体" w:hAnsi="Times New Roman"/>
      <w:snapToGrid w:val="0"/>
      <w:kern w:val="0"/>
      <w:szCs w:val="20"/>
    </w:rPr>
  </w:style>
  <w:style w:type="paragraph" w:customStyle="1" w:styleId="664">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4"/>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99"/>
    <w:pPr>
      <w:adjustRightInd w:val="0"/>
      <w:spacing w:line="360" w:lineRule="auto"/>
      <w:ind w:firstLine="480"/>
    </w:pPr>
    <w:rPr>
      <w:rFonts w:ascii="宋体" w:hAnsi="宋体"/>
      <w:kern w:val="0"/>
      <w:sz w:val="24"/>
      <w:szCs w:val="20"/>
    </w:rPr>
  </w:style>
  <w:style w:type="paragraph" w:customStyle="1" w:styleId="671">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99"/>
    <w:rPr>
      <w:rFonts w:ascii="Tahoma" w:hAnsi="Tahoma"/>
      <w:sz w:val="24"/>
      <w:szCs w:val="20"/>
    </w:rPr>
  </w:style>
  <w:style w:type="paragraph" w:customStyle="1" w:styleId="676">
    <w:name w:val="样式1"/>
    <w:basedOn w:val="1"/>
    <w:qFormat/>
    <w:uiPriority w:val="99"/>
    <w:pPr>
      <w:pBdr>
        <w:bottom w:val="single" w:color="auto" w:sz="4" w:space="1"/>
      </w:pBdr>
    </w:pPr>
    <w:rPr>
      <w:rFonts w:ascii="Times New Roman" w:hAnsi="Times New Roman"/>
      <w:szCs w:val="24"/>
    </w:rPr>
  </w:style>
  <w:style w:type="paragraph" w:customStyle="1" w:styleId="677">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99"/>
    <w:rPr>
      <w:rFonts w:ascii="仿宋_GB2312" w:hAnsi="Times New Roman" w:eastAsia="仿宋_GB2312"/>
      <w:b/>
      <w:sz w:val="32"/>
      <w:szCs w:val="32"/>
    </w:rPr>
  </w:style>
  <w:style w:type="paragraph" w:customStyle="1" w:styleId="679">
    <w:name w:val="要点2"/>
    <w:basedOn w:val="1"/>
    <w:qFormat/>
    <w:uiPriority w:val="99"/>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99"/>
    <w:pPr>
      <w:widowControl/>
      <w:spacing w:before="60" w:afterLines="50"/>
      <w:jc w:val="left"/>
    </w:pPr>
    <w:rPr>
      <w:rFonts w:ascii="Times New Roman" w:hAnsi="Times New Roman"/>
      <w:kern w:val="0"/>
      <w:szCs w:val="20"/>
      <w:lang w:eastAsia="en-US"/>
    </w:rPr>
  </w:style>
  <w:style w:type="paragraph" w:customStyle="1" w:styleId="681">
    <w:name w:val="Item List"/>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99"/>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99"/>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99"/>
    <w:pPr>
      <w:spacing w:after="120"/>
      <w:ind w:left="420" w:leftChars="200"/>
    </w:pPr>
    <w:rPr>
      <w:rFonts w:cs="黑体"/>
    </w:rPr>
  </w:style>
  <w:style w:type="paragraph" w:customStyle="1" w:styleId="686">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99"/>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99"/>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99"/>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qFormat/>
    <w:uiPriority w:val="99"/>
    <w:pPr>
      <w:spacing w:beforeLines="0" w:afterLines="0" w:line="360" w:lineRule="auto"/>
      <w:jc w:val="left"/>
    </w:pPr>
    <w:rPr>
      <w:rFonts w:eastAsia="仿宋_GB2312" w:cs="Arial"/>
      <w:sz w:val="28"/>
      <w:szCs w:val="20"/>
    </w:rPr>
  </w:style>
  <w:style w:type="paragraph" w:customStyle="1" w:styleId="694">
    <w:name w:val="msoaccenttext2"/>
    <w:qFormat/>
    <w:uiPriority w:val="99"/>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4"/>
    <w:next w:val="1"/>
    <w:qFormat/>
    <w:uiPriority w:val="99"/>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99"/>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99"/>
    <w:pPr>
      <w:widowControl/>
      <w:ind w:left="75"/>
      <w:jc w:val="left"/>
    </w:pPr>
    <w:rPr>
      <w:rFonts w:ascii="Arial" w:hAnsi="Arial" w:cs="Arial"/>
      <w:b/>
      <w:bCs/>
      <w:kern w:val="0"/>
      <w:sz w:val="20"/>
      <w:szCs w:val="20"/>
    </w:rPr>
  </w:style>
  <w:style w:type="paragraph" w:customStyle="1" w:styleId="703">
    <w:name w:val="itemlis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99"/>
    <w:pPr>
      <w:tabs>
        <w:tab w:val="left" w:pos="432"/>
      </w:tabs>
      <w:ind w:left="432" w:hanging="432"/>
    </w:pPr>
    <w:rPr>
      <w:rFonts w:ascii="Times New Roman" w:hAnsi="Times New Roman"/>
      <w:sz w:val="24"/>
      <w:szCs w:val="24"/>
    </w:rPr>
  </w:style>
  <w:style w:type="paragraph" w:customStyle="1" w:styleId="705">
    <w:name w:val="二级."/>
    <w:basedOn w:val="3"/>
    <w:qFormat/>
    <w:uiPriority w:val="99"/>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99"/>
    <w:pPr>
      <w:spacing w:line="360" w:lineRule="auto"/>
      <w:ind w:firstLine="480" w:firstLineChars="200"/>
    </w:pPr>
    <w:rPr>
      <w:rFonts w:ascii="Arial" w:hAnsi="Arial"/>
      <w:sz w:val="24"/>
      <w:szCs w:val="21"/>
    </w:rPr>
  </w:style>
  <w:style w:type="paragraph" w:customStyle="1" w:styleId="707">
    <w:name w:val="xl65"/>
    <w:basedOn w:val="1"/>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99"/>
    <w:rPr>
      <w:rFonts w:ascii="仿宋_GB2312" w:hAnsi="Times New Roman" w:eastAsia="仿宋_GB2312"/>
      <w:b/>
      <w:sz w:val="32"/>
      <w:szCs w:val="32"/>
    </w:rPr>
  </w:style>
  <w:style w:type="paragraph" w:customStyle="1" w:styleId="709">
    <w:name w:val="xl1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99"/>
    <w:pPr>
      <w:ind w:firstLine="420" w:firstLineChars="200"/>
    </w:pPr>
  </w:style>
  <w:style w:type="paragraph" w:customStyle="1" w:styleId="711">
    <w:name w:val="Char Char Char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99"/>
    <w:rPr>
      <w:rFonts w:ascii="Times New Roman" w:hAnsi="Times New Roman" w:eastAsia="仿宋_GB2312" w:cs="宋体"/>
      <w:szCs w:val="20"/>
    </w:rPr>
  </w:style>
  <w:style w:type="paragraph" w:customStyle="1" w:styleId="720">
    <w:name w:val="样式 标题 2Chapter X.X. Statementh22Header 2l2Level 2 Headhea...1"/>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99"/>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99"/>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6"/>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99"/>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99"/>
    <w:pPr>
      <w:spacing w:line="360" w:lineRule="auto"/>
    </w:pPr>
    <w:rPr>
      <w:rFonts w:ascii="Times New Roman" w:hAnsi="Times New Roman"/>
      <w:b/>
      <w:bCs/>
      <w:sz w:val="24"/>
      <w:szCs w:val="24"/>
    </w:rPr>
  </w:style>
  <w:style w:type="paragraph" w:customStyle="1" w:styleId="729">
    <w:name w:val="GP标题1"/>
    <w:basedOn w:val="1"/>
    <w:next w:val="1"/>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99"/>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99"/>
    <w:rPr>
      <w:rFonts w:ascii="Tahoma" w:hAnsi="Tahoma"/>
      <w:sz w:val="24"/>
      <w:szCs w:val="20"/>
    </w:rPr>
  </w:style>
  <w:style w:type="paragraph" w:customStyle="1" w:styleId="733">
    <w:name w:val="列表（编号二级）（绿盟科技）"/>
    <w:basedOn w:val="656"/>
    <w:qFormat/>
    <w:uiPriority w:val="99"/>
    <w:pPr>
      <w:numPr>
        <w:ilvl w:val="1"/>
      </w:numPr>
      <w:spacing w:beforeLines="0"/>
      <w:ind w:left="1260"/>
    </w:pPr>
  </w:style>
  <w:style w:type="paragraph" w:customStyle="1" w:styleId="734">
    <w:name w:val="huide00"/>
    <w:basedOn w:val="1"/>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99"/>
    <w:pPr>
      <w:spacing w:before="80" w:afterLines="50"/>
      <w:ind w:left="1530"/>
    </w:pPr>
    <w:rPr>
      <w:rFonts w:ascii="宋体" w:hAnsi="Times New Roman"/>
      <w:snapToGrid w:val="0"/>
      <w:kern w:val="0"/>
      <w:szCs w:val="20"/>
    </w:rPr>
  </w:style>
  <w:style w:type="paragraph" w:customStyle="1" w:styleId="737">
    <w:name w:val="正文样式"/>
    <w:basedOn w:val="1"/>
    <w:qFormat/>
    <w:uiPriority w:val="99"/>
    <w:pPr>
      <w:spacing w:line="360" w:lineRule="auto"/>
      <w:ind w:firstLine="200" w:firstLineChars="200"/>
    </w:pPr>
    <w:rPr>
      <w:rFonts w:ascii="宋体" w:hAnsi="Times New Roman"/>
      <w:sz w:val="24"/>
      <w:szCs w:val="24"/>
    </w:rPr>
  </w:style>
  <w:style w:type="paragraph" w:customStyle="1" w:styleId="738">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3"/>
    <w:qFormat/>
    <w:uiPriority w:val="99"/>
    <w:pPr>
      <w:spacing w:after="0" w:line="415" w:lineRule="auto"/>
    </w:pPr>
    <w:rPr>
      <w:sz w:val="28"/>
      <w:szCs w:val="20"/>
    </w:rPr>
  </w:style>
  <w:style w:type="paragraph" w:customStyle="1" w:styleId="740">
    <w:name w:val="表格标题"/>
    <w:basedOn w:val="660"/>
    <w:qFormat/>
    <w:uiPriority w:val="99"/>
    <w:pPr>
      <w:numPr>
        <w:ilvl w:val="0"/>
        <w:numId w:val="26"/>
      </w:numPr>
      <w:tabs>
        <w:tab w:val="clear" w:pos="360"/>
      </w:tabs>
      <w:ind w:left="0" w:firstLine="0"/>
      <w:jc w:val="center"/>
    </w:pPr>
    <w:rPr>
      <w:b/>
      <w:bCs/>
      <w:i/>
      <w:iCs/>
    </w:rPr>
  </w:style>
  <w:style w:type="paragraph" w:customStyle="1" w:styleId="741">
    <w:name w:val="_Style 1181"/>
    <w:basedOn w:val="1"/>
    <w:qFormat/>
    <w:uiPriority w:val="99"/>
  </w:style>
  <w:style w:type="paragraph" w:customStyle="1" w:styleId="742">
    <w:name w:val="Char2"/>
    <w:basedOn w:val="1"/>
    <w:qFormat/>
    <w:uiPriority w:val="99"/>
    <w:rPr>
      <w:rFonts w:ascii="仿宋_GB2312" w:hAnsi="Times New Roman" w:eastAsia="仿宋_GB2312"/>
      <w:b/>
      <w:sz w:val="32"/>
      <w:szCs w:val="20"/>
    </w:rPr>
  </w:style>
  <w:style w:type="paragraph" w:customStyle="1" w:styleId="743">
    <w:name w:val="ZJGIS-三级标题"/>
    <w:basedOn w:val="4"/>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99"/>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99"/>
    <w:rPr>
      <w:rFonts w:ascii="Tahoma" w:hAnsi="Tahoma"/>
      <w:sz w:val="24"/>
      <w:szCs w:val="20"/>
    </w:rPr>
  </w:style>
  <w:style w:type="paragraph" w:customStyle="1" w:styleId="747">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99"/>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99"/>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99"/>
    <w:pPr>
      <w:widowControl/>
      <w:spacing w:before="150" w:after="150"/>
      <w:jc w:val="left"/>
    </w:pPr>
    <w:rPr>
      <w:rFonts w:ascii="宋体" w:hAnsi="宋体" w:cs="宋体"/>
      <w:kern w:val="0"/>
      <w:sz w:val="24"/>
      <w:szCs w:val="24"/>
    </w:rPr>
  </w:style>
  <w:style w:type="paragraph" w:customStyle="1" w:styleId="753">
    <w:name w:val="表格_内容"/>
    <w:basedOn w:val="1"/>
    <w:qFormat/>
    <w:uiPriority w:val="99"/>
    <w:rPr>
      <w:rFonts w:ascii="宋体" w:hAnsi="宋体"/>
      <w:szCs w:val="21"/>
    </w:rPr>
  </w:style>
  <w:style w:type="paragraph" w:customStyle="1" w:styleId="754">
    <w:name w:val="MM Title"/>
    <w:basedOn w:val="55"/>
    <w:qFormat/>
    <w:uiPriority w:val="99"/>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99"/>
    <w:pPr>
      <w:spacing w:line="480" w:lineRule="exact"/>
      <w:ind w:firstLine="480" w:firstLineChars="200"/>
    </w:pPr>
    <w:rPr>
      <w:rFonts w:ascii="宋体" w:hAnsi="宋体" w:cs="宋体"/>
      <w:sz w:val="24"/>
      <w:szCs w:val="20"/>
    </w:rPr>
  </w:style>
  <w:style w:type="paragraph" w:customStyle="1" w:styleId="756">
    <w:name w:val="xl79"/>
    <w:basedOn w:val="1"/>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99"/>
    <w:pPr>
      <w:spacing w:beforeLines="800"/>
      <w:jc w:val="center"/>
    </w:pPr>
    <w:rPr>
      <w:rFonts w:ascii="Arial" w:hAnsi="Arial" w:eastAsia="黑体" w:cs="宋体"/>
      <w:b/>
      <w:sz w:val="72"/>
      <w:szCs w:val="72"/>
    </w:rPr>
  </w:style>
  <w:style w:type="paragraph" w:customStyle="1" w:styleId="760">
    <w:name w:val="xl12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99"/>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7"/>
    <w:qFormat/>
    <w:uiPriority w:val="99"/>
    <w:pPr>
      <w:numPr>
        <w:ilvl w:val="4"/>
        <w:numId w:val="29"/>
      </w:numPr>
    </w:pPr>
    <w:rPr>
      <w:rFonts w:eastAsia="黑体"/>
      <w:kern w:val="0"/>
      <w:sz w:val="24"/>
      <w:szCs w:val="20"/>
    </w:rPr>
  </w:style>
  <w:style w:type="paragraph" w:customStyle="1" w:styleId="763">
    <w:name w:val="Body"/>
    <w:basedOn w:val="1"/>
    <w:qFormat/>
    <w:uiPriority w:val="99"/>
    <w:pPr>
      <w:widowControl/>
      <w:spacing w:before="120" w:afterLines="50"/>
    </w:pPr>
    <w:rPr>
      <w:rFonts w:ascii="宋体" w:hAnsi="Times New Roman"/>
      <w:snapToGrid w:val="0"/>
      <w:kern w:val="0"/>
      <w:szCs w:val="20"/>
    </w:rPr>
  </w:style>
  <w:style w:type="paragraph" w:customStyle="1" w:styleId="764">
    <w:name w:val="标准标题2"/>
    <w:basedOn w:val="3"/>
    <w:qFormat/>
    <w:uiPriority w:val="99"/>
    <w:pPr>
      <w:spacing w:line="360" w:lineRule="auto"/>
    </w:pPr>
    <w:rPr>
      <w:rFonts w:eastAsia="仿宋_GB2312"/>
      <w:bCs w:val="0"/>
      <w:sz w:val="28"/>
    </w:rPr>
  </w:style>
  <w:style w:type="paragraph" w:customStyle="1" w:styleId="765">
    <w:name w:val="xl8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4"/>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99"/>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99"/>
    <w:rPr>
      <w:rFonts w:ascii="Times New Roman" w:hAnsi="Times New Roman"/>
      <w:szCs w:val="20"/>
    </w:rPr>
  </w:style>
  <w:style w:type="paragraph" w:customStyle="1" w:styleId="776">
    <w:name w:val="GP公文标题1"/>
    <w:basedOn w:val="1"/>
    <w:next w:val="1"/>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99"/>
    <w:pPr>
      <w:tabs>
        <w:tab w:val="left" w:pos="432"/>
      </w:tabs>
      <w:ind w:left="432" w:hanging="432"/>
    </w:pPr>
    <w:rPr>
      <w:rFonts w:ascii="Tahoma" w:hAnsi="Tahoma"/>
      <w:sz w:val="24"/>
      <w:szCs w:val="20"/>
    </w:rPr>
  </w:style>
  <w:style w:type="paragraph" w:customStyle="1" w:styleId="779">
    <w:name w:val="Table Text"/>
    <w:basedOn w:val="1"/>
    <w:qFormat/>
    <w:uiPriority w:val="99"/>
    <w:pPr>
      <w:widowControl/>
      <w:spacing w:before="60" w:after="60"/>
      <w:jc w:val="left"/>
    </w:pPr>
    <w:rPr>
      <w:rFonts w:ascii="Times New Roman" w:hAnsi="Times New Roman"/>
      <w:kern w:val="0"/>
      <w:sz w:val="24"/>
      <w:szCs w:val="24"/>
    </w:rPr>
  </w:style>
  <w:style w:type="paragraph" w:customStyle="1" w:styleId="780">
    <w:name w:val="button"/>
    <w:basedOn w:val="1"/>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99"/>
    <w:pPr>
      <w:tabs>
        <w:tab w:val="left" w:pos="1200"/>
      </w:tabs>
      <w:ind w:left="1200" w:hanging="360"/>
    </w:pPr>
  </w:style>
  <w:style w:type="paragraph" w:customStyle="1" w:styleId="784">
    <w:name w:val="封面2级标题"/>
    <w:basedOn w:val="1"/>
    <w:next w:val="280"/>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4"/>
    <w:qFormat/>
    <w:uiPriority w:val="99"/>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3"/>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99"/>
    <w:pPr>
      <w:widowControl/>
      <w:spacing w:before="150" w:after="150"/>
      <w:jc w:val="left"/>
    </w:pPr>
    <w:rPr>
      <w:rFonts w:ascii="宋体" w:hAnsi="宋体" w:cs="宋体"/>
      <w:kern w:val="0"/>
      <w:sz w:val="24"/>
      <w:szCs w:val="24"/>
    </w:rPr>
  </w:style>
  <w:style w:type="paragraph" w:customStyle="1" w:styleId="789">
    <w:name w:val="注意事项"/>
    <w:basedOn w:val="1"/>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99"/>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99"/>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5"/>
    <w:qFormat/>
    <w:uiPriority w:val="99"/>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99"/>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99"/>
    <w:pPr>
      <w:spacing w:line="360" w:lineRule="auto"/>
      <w:ind w:firstLine="0"/>
    </w:pPr>
    <w:rPr>
      <w:rFonts w:ascii="宋体" w:hAnsi="宋体" w:cs="宋体"/>
      <w:kern w:val="0"/>
    </w:rPr>
  </w:style>
  <w:style w:type="paragraph" w:customStyle="1" w:styleId="798">
    <w:name w:val="Char8"/>
    <w:basedOn w:val="1"/>
    <w:qFormat/>
    <w:uiPriority w:val="99"/>
    <w:pPr>
      <w:tabs>
        <w:tab w:val="left" w:pos="432"/>
      </w:tabs>
      <w:ind w:left="432" w:hanging="432"/>
    </w:pPr>
    <w:rPr>
      <w:rFonts w:ascii="Times New Roman" w:hAnsi="Times New Roman"/>
      <w:sz w:val="24"/>
      <w:szCs w:val="24"/>
    </w:rPr>
  </w:style>
  <w:style w:type="paragraph" w:customStyle="1" w:styleId="799">
    <w:name w:val="Char Char Char1"/>
    <w:basedOn w:val="1"/>
    <w:qFormat/>
    <w:uiPriority w:val="99"/>
    <w:rPr>
      <w:rFonts w:ascii="Times New Roman" w:hAnsi="Times New Roman" w:eastAsia="仿宋_GB2312" w:cs="宋体"/>
      <w:sz w:val="24"/>
      <w:szCs w:val="20"/>
    </w:rPr>
  </w:style>
  <w:style w:type="paragraph" w:customStyle="1" w:styleId="800">
    <w:name w:val="ZJGIS-五级标题"/>
    <w:basedOn w:val="6"/>
    <w:qFormat/>
    <w:uiPriority w:val="99"/>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99"/>
    <w:pPr>
      <w:jc w:val="center"/>
    </w:pPr>
    <w:rPr>
      <w:rFonts w:ascii="Arial" w:hAnsi="Arial" w:eastAsia="黑体"/>
      <w:b/>
    </w:rPr>
  </w:style>
  <w:style w:type="paragraph" w:customStyle="1" w:styleId="803">
    <w:name w:val="吉奥封面(黑体小初)"/>
    <w:basedOn w:val="191"/>
    <w:qFormat/>
    <w:uiPriority w:val="99"/>
    <w:pPr>
      <w:spacing w:before="480"/>
      <w:ind w:firstLine="0" w:firstLineChars="0"/>
      <w:jc w:val="center"/>
    </w:pPr>
    <w:rPr>
      <w:rFonts w:eastAsia="黑体"/>
      <w:sz w:val="72"/>
      <w:szCs w:val="72"/>
    </w:rPr>
  </w:style>
  <w:style w:type="paragraph" w:customStyle="1" w:styleId="804">
    <w:name w:val="样式 标题 3 + 首行缩进:  2 字符1"/>
    <w:basedOn w:val="4"/>
    <w:qFormat/>
    <w:uiPriority w:val="99"/>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1"/>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99"/>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99"/>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99"/>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99"/>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99"/>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1"/>
    <w:next w:val="21"/>
    <w:qFormat/>
    <w:uiPriority w:val="99"/>
    <w:rPr>
      <w:b/>
      <w:bCs/>
      <w:kern w:val="0"/>
      <w:sz w:val="20"/>
      <w:szCs w:val="20"/>
    </w:rPr>
  </w:style>
  <w:style w:type="paragraph" w:customStyle="1" w:styleId="872">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99"/>
    <w:rPr>
      <w:rFonts w:ascii="仿宋_GB2312" w:hAnsi="Times New Roman" w:eastAsia="仿宋_GB2312"/>
      <w:b/>
      <w:sz w:val="32"/>
      <w:szCs w:val="32"/>
    </w:rPr>
  </w:style>
  <w:style w:type="paragraph" w:customStyle="1" w:styleId="874">
    <w:name w:val="Char Char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99"/>
    <w:pPr>
      <w:tabs>
        <w:tab w:val="left" w:pos="432"/>
      </w:tabs>
      <w:ind w:left="432" w:hanging="432"/>
    </w:pPr>
    <w:rPr>
      <w:rFonts w:ascii="Tahoma" w:hAnsi="Tahoma"/>
      <w:sz w:val="24"/>
      <w:szCs w:val="20"/>
    </w:rPr>
  </w:style>
  <w:style w:type="paragraph" w:customStyle="1" w:styleId="877">
    <w:name w:val="Char Char Char11"/>
    <w:basedOn w:val="1"/>
    <w:qFormat/>
    <w:uiPriority w:val="99"/>
  </w:style>
  <w:style w:type="paragraph" w:customStyle="1" w:styleId="878">
    <w:name w:val="Char111"/>
    <w:basedOn w:val="1"/>
    <w:qFormat/>
    <w:uiPriority w:val="99"/>
    <w:rPr>
      <w:rFonts w:ascii="仿宋_GB2312" w:hAnsi="Times New Roman" w:eastAsia="仿宋_GB2312"/>
      <w:b/>
      <w:sz w:val="32"/>
      <w:szCs w:val="32"/>
    </w:rPr>
  </w:style>
  <w:style w:type="paragraph" w:customStyle="1" w:styleId="879">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99"/>
    <w:rPr>
      <w:rFonts w:ascii="仿宋_GB2312" w:hAnsi="Times New Roman" w:eastAsia="仿宋_GB2312"/>
      <w:b/>
      <w:sz w:val="32"/>
      <w:szCs w:val="32"/>
    </w:rPr>
  </w:style>
  <w:style w:type="paragraph" w:customStyle="1" w:styleId="883">
    <w:name w:val="正文文本缩进11"/>
    <w:basedOn w:val="1"/>
    <w:qFormat/>
    <w:uiPriority w:val="99"/>
    <w:pPr>
      <w:spacing w:after="120"/>
      <w:ind w:left="420" w:leftChars="200"/>
    </w:pPr>
    <w:rPr>
      <w:rFonts w:cs="黑体"/>
    </w:rPr>
  </w:style>
  <w:style w:type="paragraph" w:customStyle="1" w:styleId="884">
    <w:name w:val="Char Char Char Char Char Char Char Char Char Char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99"/>
    <w:rPr>
      <w:rFonts w:ascii="仿宋_GB2312" w:hAnsi="Times New Roman" w:eastAsia="仿宋_GB2312"/>
      <w:b/>
      <w:sz w:val="32"/>
      <w:szCs w:val="32"/>
    </w:rPr>
  </w:style>
  <w:style w:type="paragraph" w:customStyle="1" w:styleId="886">
    <w:name w:val="列出段落12"/>
    <w:basedOn w:val="1"/>
    <w:qFormat/>
    <w:uiPriority w:val="99"/>
    <w:pPr>
      <w:ind w:firstLine="420" w:firstLineChars="200"/>
    </w:pPr>
  </w:style>
  <w:style w:type="paragraph" w:customStyle="1" w:styleId="887">
    <w:name w:val="Char Char Char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99"/>
    <w:rPr>
      <w:rFonts w:ascii="Tahoma" w:hAnsi="Tahoma"/>
      <w:sz w:val="24"/>
      <w:szCs w:val="20"/>
    </w:rPr>
  </w:style>
  <w:style w:type="paragraph" w:customStyle="1" w:styleId="889">
    <w:name w:val="Char Char1 Char Char Char Char1 Char Char Char1"/>
    <w:basedOn w:val="1"/>
    <w:qFormat/>
    <w:uiPriority w:val="99"/>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99"/>
    <w:rPr>
      <w:rFonts w:ascii="Tahoma" w:hAnsi="Tahoma"/>
      <w:sz w:val="24"/>
      <w:szCs w:val="20"/>
    </w:rPr>
  </w:style>
  <w:style w:type="paragraph" w:customStyle="1" w:styleId="891">
    <w:name w:val="Char Char Char Char3"/>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99"/>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qFormat/>
    <w:uiPriority w:val="0"/>
    <w:rPr>
      <w:rFonts w:ascii="Arial" w:hAnsi="Arial" w:cs="Arial"/>
      <w:vanish/>
      <w:sz w:val="16"/>
      <w:szCs w:val="16"/>
    </w:rPr>
  </w:style>
  <w:style w:type="paragraph" w:customStyle="1" w:styleId="895">
    <w:name w:val="HTML Bottom of Form"/>
    <w:basedOn w:val="1"/>
    <w:next w:val="1"/>
    <w:link w:val="894"/>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qFormat/>
    <w:uiPriority w:val="0"/>
    <w:rPr>
      <w:rFonts w:ascii="Arial" w:hAnsi="Arial" w:cs="Arial"/>
      <w:vanish/>
      <w:sz w:val="16"/>
      <w:szCs w:val="16"/>
    </w:rPr>
  </w:style>
  <w:style w:type="paragraph" w:customStyle="1" w:styleId="898">
    <w:name w:val="HTML Top of Form"/>
    <w:basedOn w:val="1"/>
    <w:next w:val="1"/>
    <w:link w:val="897"/>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2"/>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qFormat/>
    <w:uiPriority w:val="99"/>
    <w:rPr>
      <w:rFonts w:ascii="Arial" w:hAnsi="Arial" w:eastAsia="宋体" w:cs="Arial"/>
      <w:vanish/>
      <w:sz w:val="16"/>
      <w:szCs w:val="16"/>
    </w:rPr>
  </w:style>
  <w:style w:type="character" w:customStyle="1" w:styleId="902">
    <w:name w:val="z-窗体顶端 Char1"/>
    <w:basedOn w:val="64"/>
    <w:semiHidden/>
    <w:qFormat/>
    <w:uiPriority w:val="99"/>
    <w:rPr>
      <w:rFonts w:ascii="Arial" w:hAnsi="Arial" w:eastAsia="宋体" w:cs="Arial"/>
      <w:vanish/>
      <w:sz w:val="16"/>
      <w:szCs w:val="16"/>
    </w:rPr>
  </w:style>
  <w:style w:type="paragraph" w:customStyle="1" w:styleId="903">
    <w:name w:val="Revision"/>
    <w:semiHidden/>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99"/>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99"/>
    <w:pPr>
      <w:outlineLvl w:val="9"/>
    </w:pPr>
  </w:style>
  <w:style w:type="paragraph" w:customStyle="1" w:styleId="956">
    <w:name w:val="xl22"/>
    <w:basedOn w:val="1"/>
    <w:qFormat/>
    <w:uiPriority w:val="99"/>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99"/>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qFormat/>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82"/>
    <w:link w:val="56"/>
    <w:qFormat/>
    <w:uiPriority w:val="99"/>
    <w:rPr>
      <w:rFonts w:ascii="Calibri" w:hAnsi="Calibri" w:eastAsia="宋体" w:cs="Times New Roman"/>
      <w:b/>
      <w:bCs/>
    </w:rPr>
  </w:style>
  <w:style w:type="character" w:customStyle="1" w:styleId="964">
    <w:name w:val="正文首行缩进 2 字符"/>
    <w:basedOn w:val="86"/>
    <w:link w:val="58"/>
    <w:qFormat/>
    <w:uiPriority w:val="99"/>
    <w:rPr>
      <w:rFonts w:ascii="Times New Roman" w:hAnsi="Times New Roman" w:eastAsia="宋体" w:cs="Times New Roman"/>
      <w:spacing w:val="-4"/>
      <w:sz w:val="18"/>
      <w:szCs w:val="20"/>
    </w:rPr>
  </w:style>
  <w:style w:type="table" w:customStyle="1" w:styleId="965">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qFormat/>
    <w:uiPriority w:val="99"/>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qFormat/>
    <w:uiPriority w:val="99"/>
    <w:rPr>
      <w:rFonts w:eastAsia="宋体"/>
      <w:kern w:val="2"/>
      <w:sz w:val="28"/>
      <w:szCs w:val="24"/>
      <w:lang w:val="en-US" w:eastAsia="zh-CN" w:bidi="ar-SA"/>
    </w:rPr>
  </w:style>
  <w:style w:type="character" w:customStyle="1" w:styleId="969">
    <w:name w:val="批注文字 字符"/>
    <w:qFormat/>
    <w:uiPriority w:val="99"/>
    <w:rPr>
      <w:kern w:val="2"/>
      <w:sz w:val="21"/>
      <w:szCs w:val="22"/>
    </w:rPr>
  </w:style>
  <w:style w:type="character" w:customStyle="1" w:styleId="970">
    <w:name w:val="正文文本缩进 字符"/>
    <w:qFormat/>
    <w:uiPriority w:val="99"/>
    <w:rPr>
      <w:rFonts w:ascii="宋体" w:hAnsi="Courier New" w:eastAsia="宋体"/>
      <w:spacing w:val="-4"/>
      <w:kern w:val="2"/>
      <w:sz w:val="18"/>
      <w:lang w:val="en-US" w:eastAsia="zh-CN" w:bidi="ar-SA"/>
    </w:rPr>
  </w:style>
  <w:style w:type="character" w:customStyle="1" w:styleId="971">
    <w:name w:val="标题 字符1"/>
    <w:basedOn w:val="64"/>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qFormat/>
    <w:uiPriority w:val="0"/>
    <w:rPr>
      <w:rFonts w:ascii="Futura Bk" w:hAnsi="Futura Bk" w:eastAsia="宋体" w:cs="Times New Roman"/>
      <w:sz w:val="18"/>
      <w:szCs w:val="21"/>
    </w:rPr>
  </w:style>
  <w:style w:type="paragraph" w:customStyle="1" w:styleId="975">
    <w:name w:val="a2"/>
    <w:basedOn w:val="1"/>
    <w:qFormat/>
    <w:uiPriority w:val="99"/>
    <w:pPr>
      <w:widowControl/>
      <w:spacing w:after="150"/>
      <w:jc w:val="left"/>
    </w:pPr>
    <w:rPr>
      <w:rFonts w:ascii="宋体" w:hAnsi="宋体" w:cs="宋体"/>
      <w:kern w:val="0"/>
      <w:sz w:val="24"/>
      <w:szCs w:val="24"/>
    </w:rPr>
  </w:style>
  <w:style w:type="table" w:customStyle="1" w:styleId="976">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2"/>
    <w:next w:val="1"/>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qFormat/>
    <w:uiPriority w:val="0"/>
  </w:style>
  <w:style w:type="character" w:customStyle="1" w:styleId="981">
    <w:name w:val="书籍标题2"/>
    <w:qFormat/>
    <w:uiPriority w:val="33"/>
    <w:rPr>
      <w:b/>
      <w:bCs/>
      <w:smallCaps/>
      <w:spacing w:val="5"/>
    </w:rPr>
  </w:style>
  <w:style w:type="paragraph" w:customStyle="1" w:styleId="982">
    <w:name w:val="z-窗体底端2"/>
    <w:basedOn w:val="1"/>
    <w:next w:val="1"/>
    <w:qFormat/>
    <w:uiPriority w:val="0"/>
    <w:pPr>
      <w:widowControl/>
      <w:pBdr>
        <w:top w:val="single" w:color="auto" w:sz="6" w:space="1"/>
      </w:pBdr>
      <w:jc w:val="center"/>
    </w:pPr>
    <w:rPr>
      <w:rFonts w:ascii="Arial" w:hAnsi="Arial" w:cs="Arial" w:eastAsiaTheme="minorEastAsia"/>
      <w:vanish/>
      <w:kern w:val="0"/>
      <w:sz w:val="16"/>
      <w:szCs w:val="16"/>
    </w:rPr>
  </w:style>
  <w:style w:type="character" w:customStyle="1" w:styleId="983">
    <w:name w:val="明显参考2"/>
    <w:qFormat/>
    <w:uiPriority w:val="0"/>
    <w:rPr>
      <w:b/>
      <w:sz w:val="24"/>
      <w:u w:val="single"/>
    </w:rPr>
  </w:style>
  <w:style w:type="paragraph" w:customStyle="1" w:styleId="984">
    <w:name w:val="z-窗体顶端2"/>
    <w:basedOn w:val="1"/>
    <w:next w:val="1"/>
    <w:qFormat/>
    <w:uiPriority w:val="0"/>
    <w:pPr>
      <w:widowControl/>
      <w:pBdr>
        <w:bottom w:val="single" w:color="auto" w:sz="6" w:space="1"/>
      </w:pBdr>
      <w:jc w:val="center"/>
    </w:pPr>
    <w:rPr>
      <w:rFonts w:ascii="Arial" w:hAnsi="Arial" w:cs="Arial" w:eastAsiaTheme="minorEastAsia"/>
      <w:vanish/>
      <w:kern w:val="0"/>
      <w:sz w:val="16"/>
      <w:szCs w:val="16"/>
    </w:rPr>
  </w:style>
  <w:style w:type="character" w:customStyle="1" w:styleId="985">
    <w:name w:val="不明显参考2"/>
    <w:qFormat/>
    <w:uiPriority w:val="31"/>
    <w:rPr>
      <w:smallCaps/>
      <w:color w:val="C0504D"/>
      <w:u w:val="single"/>
    </w:rPr>
  </w:style>
  <w:style w:type="paragraph" w:customStyle="1" w:styleId="986">
    <w:name w:val="TOC 标题2"/>
    <w:basedOn w:val="2"/>
    <w:next w:val="1"/>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987">
    <w:name w:val="修订2"/>
    <w:semiHidden/>
    <w:qFormat/>
    <w:uiPriority w:val="99"/>
    <w:rPr>
      <w:rFonts w:ascii="Calibri" w:hAnsi="Calibri" w:eastAsia="宋体" w:cs="Times New Roman"/>
      <w:kern w:val="2"/>
      <w:sz w:val="21"/>
      <w:szCs w:val="22"/>
      <w:lang w:val="en-US" w:eastAsia="zh-CN" w:bidi="ar-SA"/>
    </w:rPr>
  </w:style>
  <w:style w:type="character" w:customStyle="1" w:styleId="988">
    <w:name w:val="日期 字符1"/>
    <w:basedOn w:val="64"/>
    <w:semiHidden/>
    <w:qFormat/>
    <w:uiPriority w:val="0"/>
    <w:rPr>
      <w:rFonts w:ascii="Calibri" w:hAnsi="Calibri" w:eastAsia="宋体" w:cs="Times New Roman"/>
    </w:rPr>
  </w:style>
  <w:style w:type="character" w:customStyle="1" w:styleId="989">
    <w:name w:val="正文文本 2 字符1"/>
    <w:basedOn w:val="64"/>
    <w:semiHidden/>
    <w:qFormat/>
    <w:uiPriority w:val="0"/>
    <w:rPr>
      <w:rFonts w:ascii="Calibri" w:hAnsi="Calibri" w:eastAsia="宋体" w:cs="Times New Roman"/>
    </w:rPr>
  </w:style>
  <w:style w:type="character" w:customStyle="1" w:styleId="990">
    <w:name w:val="纯文本 字符1"/>
    <w:basedOn w:val="64"/>
    <w:semiHidden/>
    <w:qFormat/>
    <w:uiPriority w:val="99"/>
    <w:rPr>
      <w:rFonts w:hAnsi="Courier New" w:cs="Courier New" w:asciiTheme="minorEastAsia"/>
    </w:rPr>
  </w:style>
  <w:style w:type="table" w:customStyle="1" w:styleId="991">
    <w:name w:val="网格型2"/>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73</Pages>
  <Words>29290</Words>
  <Characters>30879</Characters>
  <Lines>0</Lines>
  <Paragraphs>0</Paragraphs>
  <TotalTime>6</TotalTime>
  <ScaleCrop>false</ScaleCrop>
  <LinksUpToDate>false</LinksUpToDate>
  <CharactersWithSpaces>32987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zhaoxinlei</dc:creator>
  <cp:lastModifiedBy> </cp:lastModifiedBy>
  <cp:lastPrinted>2021-01-25T02:12:00Z</cp:lastPrinted>
  <dcterms:modified xsi:type="dcterms:W3CDTF">2023-12-25T07:44:39Z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12C28131D64C47FA9F49B7913B8B5187</vt:lpwstr>
  </property>
</Properties>
</file>