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3D87D">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浙江省交通运输宣传与保障中心</w:t>
      </w:r>
    </w:p>
    <w:p w14:paraId="00BE0E60">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lang w:eastAsia="zh-CN"/>
          <w14:textFill>
            <w14:solidFill>
              <w14:schemeClr w14:val="tx1"/>
            </w14:solidFill>
          </w14:textFill>
        </w:rPr>
        <w:t>2025年机关大院物业管理服务项目</w:t>
      </w:r>
      <w:bookmarkEnd w:id="0"/>
    </w:p>
    <w:p w14:paraId="7838A439">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ZZCG2024P-GK-160</w:t>
      </w:r>
      <w:bookmarkEnd w:id="1"/>
    </w:p>
    <w:p w14:paraId="634B3CD1">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3C073E0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F16AC6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1EFED5E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66A765C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362C36BF">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47163890">
      <w:pPr>
        <w:ind w:right="-110"/>
        <w:rPr>
          <w:rFonts w:ascii="宋体" w:hAnsi="宋体"/>
          <w:color w:val="000000" w:themeColor="text1"/>
          <w:sz w:val="32"/>
          <w:szCs w:val="32"/>
          <w14:textFill>
            <w14:solidFill>
              <w14:schemeClr w14:val="tx1"/>
            </w14:solidFill>
          </w14:textFill>
        </w:rPr>
      </w:pPr>
    </w:p>
    <w:p w14:paraId="2E22BD4D">
      <w:pPr>
        <w:ind w:right="-110"/>
        <w:rPr>
          <w:rFonts w:ascii="宋体" w:hAnsi="宋体"/>
          <w:color w:val="000000" w:themeColor="text1"/>
          <w:sz w:val="32"/>
          <w:szCs w:val="32"/>
          <w14:textFill>
            <w14:solidFill>
              <w14:schemeClr w14:val="tx1"/>
            </w14:solidFill>
          </w14:textFill>
        </w:rPr>
      </w:pPr>
    </w:p>
    <w:p w14:paraId="43AC1628">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26FE8527">
      <w:pPr>
        <w:spacing w:line="500" w:lineRule="exact"/>
        <w:ind w:right="532"/>
        <w:jc w:val="center"/>
        <w:rPr>
          <w:rFonts w:ascii="宋体" w:hAnsi="宋体"/>
          <w:color w:val="000000" w:themeColor="text1"/>
          <w:sz w:val="36"/>
          <w:szCs w:val="36"/>
          <w14:textFill>
            <w14:solidFill>
              <w14:schemeClr w14:val="tx1"/>
            </w14:solidFill>
          </w14:textFill>
        </w:rPr>
      </w:pPr>
    </w:p>
    <w:p w14:paraId="380CE217">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35CC5D3C">
      <w:pPr>
        <w:spacing w:line="500" w:lineRule="exact"/>
        <w:ind w:right="-108" w:firstLine="3072" w:firstLineChars="850"/>
        <w:rPr>
          <w:rFonts w:hAnsi="宋体"/>
          <w:b/>
          <w:color w:val="000000" w:themeColor="text1"/>
          <w:sz w:val="36"/>
          <w:szCs w:val="36"/>
          <w14:textFill>
            <w14:solidFill>
              <w14:schemeClr w14:val="tx1"/>
            </w14:solidFill>
          </w14:textFill>
        </w:rPr>
      </w:pPr>
    </w:p>
    <w:p w14:paraId="128EF663">
      <w:pPr>
        <w:spacing w:line="500" w:lineRule="exact"/>
        <w:ind w:right="-108" w:firstLine="3072" w:firstLineChars="850"/>
        <w:rPr>
          <w:rFonts w:hAnsi="宋体"/>
          <w:b/>
          <w:color w:val="000000" w:themeColor="text1"/>
          <w:sz w:val="36"/>
          <w:szCs w:val="36"/>
          <w14:textFill>
            <w14:solidFill>
              <w14:schemeClr w14:val="tx1"/>
            </w14:solidFill>
          </w14:textFill>
        </w:rPr>
      </w:pPr>
    </w:p>
    <w:p w14:paraId="1C9B8B52">
      <w:pPr>
        <w:spacing w:line="500" w:lineRule="exact"/>
        <w:ind w:right="-108" w:firstLine="3072" w:firstLineChars="850"/>
        <w:rPr>
          <w:rFonts w:hAnsi="宋体"/>
          <w:b/>
          <w:color w:val="000000" w:themeColor="text1"/>
          <w:sz w:val="36"/>
          <w:szCs w:val="36"/>
          <w14:textFill>
            <w14:solidFill>
              <w14:schemeClr w14:val="tx1"/>
            </w14:solidFill>
          </w14:textFill>
        </w:rPr>
      </w:pPr>
    </w:p>
    <w:p w14:paraId="7F7075FE">
      <w:pPr>
        <w:spacing w:line="500" w:lineRule="exact"/>
        <w:ind w:right="-108" w:firstLine="3072" w:firstLineChars="850"/>
        <w:rPr>
          <w:rFonts w:hAnsi="宋体"/>
          <w:b/>
          <w:color w:val="000000" w:themeColor="text1"/>
          <w:sz w:val="36"/>
          <w:szCs w:val="36"/>
          <w14:textFill>
            <w14:solidFill>
              <w14:schemeClr w14:val="tx1"/>
            </w14:solidFill>
          </w14:textFill>
        </w:rPr>
      </w:pPr>
    </w:p>
    <w:p w14:paraId="13230BEA">
      <w:pPr>
        <w:spacing w:line="500" w:lineRule="exact"/>
        <w:ind w:right="-108" w:firstLine="3072" w:firstLineChars="850"/>
        <w:rPr>
          <w:rFonts w:hAnsi="宋体"/>
          <w:b/>
          <w:color w:val="000000" w:themeColor="text1"/>
          <w:sz w:val="36"/>
          <w:szCs w:val="36"/>
          <w14:textFill>
            <w14:solidFill>
              <w14:schemeClr w14:val="tx1"/>
            </w14:solidFill>
          </w14:textFill>
        </w:rPr>
      </w:pPr>
    </w:p>
    <w:p w14:paraId="1A92F2B3">
      <w:pPr>
        <w:spacing w:line="500" w:lineRule="exact"/>
        <w:ind w:right="-108" w:firstLine="3072" w:firstLineChars="850"/>
        <w:rPr>
          <w:rFonts w:hAnsi="宋体"/>
          <w:b/>
          <w:color w:val="000000" w:themeColor="text1"/>
          <w:sz w:val="36"/>
          <w:szCs w:val="36"/>
          <w14:textFill>
            <w14:solidFill>
              <w14:schemeClr w14:val="tx1"/>
            </w14:solidFill>
          </w14:textFill>
        </w:rPr>
      </w:pPr>
    </w:p>
    <w:p w14:paraId="5865DD5F">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1B69678">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7EFC4D9F">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164F07D3">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012CB6AD">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3EE7F048">
      <w:pPr>
        <w:pStyle w:val="40"/>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第四章招标需求</w:t>
      </w:r>
      <w:r>
        <w:tab/>
      </w:r>
      <w:r>
        <w:rPr>
          <w:rFonts w:hint="eastAsia"/>
          <w:lang w:val="en-US" w:eastAsia="zh-CN"/>
        </w:rPr>
        <w:t>3</w:t>
      </w:r>
      <w:r>
        <w:fldChar w:fldCharType="end"/>
      </w:r>
      <w:r>
        <w:rPr>
          <w:rFonts w:hint="eastAsia"/>
          <w:lang w:val="en-US" w:eastAsia="zh-CN"/>
        </w:rPr>
        <w:t>3</w:t>
      </w:r>
    </w:p>
    <w:p w14:paraId="22003138">
      <w:pPr>
        <w:pStyle w:val="40"/>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rPr>
          <w:rFonts w:hint="eastAsia"/>
          <w:lang w:val="en-US" w:eastAsia="zh-CN"/>
        </w:rPr>
        <w:t>4</w:t>
      </w:r>
      <w:r>
        <w:fldChar w:fldCharType="end"/>
      </w:r>
      <w:r>
        <w:rPr>
          <w:rFonts w:hint="eastAsia"/>
          <w:lang w:val="en-US" w:eastAsia="zh-CN"/>
        </w:rPr>
        <w:t>6</w:t>
      </w:r>
    </w:p>
    <w:p w14:paraId="1FD54A28">
      <w:pPr>
        <w:pStyle w:val="40"/>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5</w:t>
      </w:r>
      <w:r>
        <w:fldChar w:fldCharType="end"/>
      </w:r>
      <w:r>
        <w:rPr>
          <w:rFonts w:hint="eastAsia"/>
          <w:lang w:val="en-US" w:eastAsia="zh-CN"/>
        </w:rPr>
        <w:t>1</w:t>
      </w:r>
      <w:bookmarkStart w:id="47" w:name="_GoBack"/>
      <w:bookmarkEnd w:id="47"/>
    </w:p>
    <w:p w14:paraId="4B523692">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27AA5C1B">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66C693EB">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686DA8D3">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ZZCG2024P-GK-160</w:t>
      </w:r>
      <w:bookmarkEnd w:id="3"/>
    </w:p>
    <w:p w14:paraId="3CCE3874">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67925276">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5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074"/>
        <w:gridCol w:w="854"/>
        <w:gridCol w:w="824"/>
        <w:gridCol w:w="1409"/>
        <w:gridCol w:w="2507"/>
      </w:tblGrid>
      <w:tr w14:paraId="3DE9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tcPr>
          <w:p w14:paraId="1C7DA511">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619" w:type="pct"/>
          </w:tcPr>
          <w:p w14:paraId="03BDE9F5">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450" w:type="pct"/>
          </w:tcPr>
          <w:p w14:paraId="7BF255F5">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34" w:type="pct"/>
          </w:tcPr>
          <w:p w14:paraId="3F41807D">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742" w:type="pct"/>
          </w:tcPr>
          <w:p w14:paraId="2C23116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320" w:type="pct"/>
          </w:tcPr>
          <w:p w14:paraId="30B8478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45E6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tcPr>
          <w:p w14:paraId="232C1D6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619" w:type="pct"/>
          </w:tcPr>
          <w:p w14:paraId="44A2117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浙江省交通运输宣传与保障中心2025年机关大院物业管理服务项目</w:t>
            </w:r>
          </w:p>
        </w:tc>
        <w:tc>
          <w:tcPr>
            <w:tcW w:w="450" w:type="pct"/>
          </w:tcPr>
          <w:p w14:paraId="010919AC">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434" w:type="pct"/>
          </w:tcPr>
          <w:p w14:paraId="3959378E">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年</w:t>
            </w:r>
          </w:p>
        </w:tc>
        <w:tc>
          <w:tcPr>
            <w:tcW w:w="742" w:type="pct"/>
          </w:tcPr>
          <w:p w14:paraId="0E57A13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240</w:t>
            </w:r>
          </w:p>
        </w:tc>
        <w:tc>
          <w:tcPr>
            <w:tcW w:w="1320" w:type="pct"/>
          </w:tcPr>
          <w:p w14:paraId="6C16F30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14:paraId="6527995F">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7D41F6EB">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1033D1A8">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30D01E79">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eastAsia="zh-CN"/>
          <w14:textFill>
            <w14:solidFill>
              <w14:schemeClr w14:val="tx1"/>
            </w14:solidFill>
          </w14:textFill>
        </w:rPr>
        <w:t>标项1:本项目专门面向中小企业，请单独上传《中小企业声明函》。</w:t>
      </w:r>
      <w:bookmarkEnd w:id="5"/>
    </w:p>
    <w:p w14:paraId="12D006F6">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标项1:不允许联合体投标</w:t>
      </w:r>
      <w:bookmarkEnd w:id="6"/>
    </w:p>
    <w:p w14:paraId="31EBDD3E">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1EB0996D">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2025-01-15 09:00:00</w:t>
      </w:r>
      <w:bookmarkEnd w:id="7"/>
      <w:r>
        <w:rPr>
          <w:rFonts w:hint="eastAsia" w:ascii="宋体" w:hAnsi="宋体"/>
          <w:color w:val="000000" w:themeColor="text1"/>
          <w:kern w:val="0"/>
          <w:sz w:val="28"/>
          <w:szCs w:val="28"/>
          <w14:textFill>
            <w14:solidFill>
              <w14:schemeClr w14:val="tx1"/>
            </w14:solidFill>
          </w14:textFill>
        </w:rPr>
        <w:t>。</w:t>
      </w:r>
    </w:p>
    <w:p w14:paraId="4895B6CD">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E9C2E4F">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7446D5E1">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20C657B1">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2025-01-15 09:00:00</w:t>
      </w:r>
      <w:bookmarkEnd w:id="8"/>
      <w:r>
        <w:rPr>
          <w:rFonts w:hint="eastAsia" w:hAnsi="宋体"/>
          <w:b/>
          <w:color w:val="000000" w:themeColor="text1"/>
          <w:kern w:val="0"/>
          <w:sz w:val="28"/>
          <w:szCs w:val="28"/>
          <w14:textFill>
            <w14:solidFill>
              <w14:schemeClr w14:val="tx1"/>
            </w14:solidFill>
          </w14:textFill>
        </w:rPr>
        <w:t>。</w:t>
      </w:r>
    </w:p>
    <w:p w14:paraId="64232BD7">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282AE89A">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5AFFFC44">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24422D93">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674C57BC">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5B6ADA2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2025-01-15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p>
    <w:p w14:paraId="222ED823">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5348"/>
      </w:tblGrid>
      <w:tr w14:paraId="7AC9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174" w:type="dxa"/>
            <w:tcBorders>
              <w:top w:val="single" w:color="auto" w:sz="4" w:space="0"/>
              <w:left w:val="single" w:color="auto" w:sz="4" w:space="0"/>
              <w:bottom w:val="single" w:color="auto" w:sz="4" w:space="0"/>
              <w:right w:val="single" w:color="auto" w:sz="4" w:space="0"/>
            </w:tcBorders>
            <w:vAlign w:val="center"/>
          </w:tcPr>
          <w:p w14:paraId="2977DCFC">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5348" w:type="dxa"/>
            <w:tcBorders>
              <w:top w:val="single" w:color="auto" w:sz="4" w:space="0"/>
              <w:left w:val="single" w:color="auto" w:sz="4" w:space="0"/>
              <w:right w:val="single" w:color="auto" w:sz="4" w:space="0"/>
            </w:tcBorders>
            <w:vAlign w:val="center"/>
          </w:tcPr>
          <w:p w14:paraId="739F7541">
            <w:pPr>
              <w:adjustRightInd w:val="0"/>
              <w:snapToGrid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r>
    </w:tbl>
    <w:p w14:paraId="5052E9D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1D04F1ED">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5C3E235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4C3D31D2">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98016AA">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365C6CF8">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1FE1ABA2">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0754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297AD3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4B7AC0C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7808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C593E9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6A5A12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1829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DCAED4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5724DF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5CC5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551521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1545C61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2D65EC9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44C1070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36D991B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01FF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0838EF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7FEE399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3DCF38EC">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14:paraId="640F58D1">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73ADCBDF">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3"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00B2D099">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4"/>
          </w:p>
        </w:tc>
      </w:tr>
      <w:tr w14:paraId="7EBC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12A19A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2CD0F78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2AF6EAE">
            <w:pPr>
              <w:keepNext w:val="0"/>
              <w:keepLines w:val="0"/>
              <w:suppressLineNumbers w:val="0"/>
              <w:spacing w:before="0" w:beforeAutospacing="0" w:after="0" w:afterAutospacing="0" w:line="480" w:lineRule="exact"/>
              <w:ind w:left="0" w:leftChars="0" w:right="0" w:rightChars="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马龚辰</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127BF6E">
            <w:pPr>
              <w:keepNext w:val="0"/>
              <w:keepLines w:val="0"/>
              <w:suppressLineNumbers w:val="0"/>
              <w:spacing w:before="0" w:beforeAutospacing="0" w:after="0" w:afterAutospacing="0" w:line="480" w:lineRule="exact"/>
              <w:ind w:left="0" w:leftChars="0" w:right="0" w:rightChars="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698E166F">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81E1AC2">
            <w:pPr>
              <w:widowControl/>
              <w:jc w:val="left"/>
              <w:rPr>
                <w:rFonts w:ascii="仿宋" w:hAnsi="仿宋" w:eastAsia="仿宋" w:cs="仿宋"/>
                <w:color w:val="000000" w:themeColor="text1"/>
                <w:sz w:val="28"/>
                <w:szCs w:val="28"/>
                <w14:textFill>
                  <w14:solidFill>
                    <w14:schemeClr w14:val="tx1"/>
                  </w14:solidFill>
                </w14:textFill>
              </w:rPr>
            </w:pPr>
          </w:p>
        </w:tc>
      </w:tr>
      <w:tr w14:paraId="1820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BDF5BE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BDDEE3B">
            <w:pPr>
              <w:keepNext w:val="0"/>
              <w:keepLines w:val="0"/>
              <w:suppressLineNumbers w:val="0"/>
              <w:spacing w:before="0" w:beforeAutospacing="0" w:after="0" w:afterAutospacing="0" w:line="480" w:lineRule="exact"/>
              <w:ind w:left="0" w:leftChars="0" w:right="0" w:rightChars="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邵玲芳</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D4A4E47">
            <w:pPr>
              <w:keepNext w:val="0"/>
              <w:keepLines w:val="0"/>
              <w:suppressLineNumbers w:val="0"/>
              <w:spacing w:before="0" w:beforeAutospacing="0" w:after="0" w:afterAutospacing="0" w:line="480" w:lineRule="exact"/>
              <w:ind w:left="0" w:leftChars="0" w:right="0" w:rightChars="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14D87B46">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E7DE5F1">
            <w:pPr>
              <w:widowControl/>
              <w:jc w:val="left"/>
              <w:rPr>
                <w:rFonts w:ascii="仿宋" w:hAnsi="仿宋" w:eastAsia="仿宋" w:cs="仿宋"/>
                <w:color w:val="000000" w:themeColor="text1"/>
                <w:sz w:val="28"/>
                <w:szCs w:val="28"/>
                <w14:textFill>
                  <w14:solidFill>
                    <w14:schemeClr w14:val="tx1"/>
                  </w14:solidFill>
                </w14:textFill>
              </w:rPr>
            </w:pPr>
          </w:p>
        </w:tc>
      </w:tr>
      <w:tr w14:paraId="37C5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8A97A7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57D1B13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6DA550C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0F1FBE18">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2EDC92C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26AA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46C18EE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203725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5F3BB99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5B567317">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E13288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10B9CB8E">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636B18E0">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5"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51B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3F2F4D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4B5389F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浙江省交通运输宣传与保障中心</w:t>
            </w:r>
          </w:p>
        </w:tc>
      </w:tr>
      <w:tr w14:paraId="3892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3BFF8E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17B9987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浙江省梅花碑4号</w:t>
            </w:r>
          </w:p>
        </w:tc>
      </w:tr>
      <w:tr w14:paraId="5514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0518C7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043B67D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50CD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C1753E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2B84B27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沈航渊</w:t>
            </w:r>
          </w:p>
        </w:tc>
      </w:tr>
      <w:tr w14:paraId="2A10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4C3B3A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7DF27A9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0571-87800011</w:t>
            </w:r>
          </w:p>
        </w:tc>
      </w:tr>
      <w:tr w14:paraId="0FB6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16ADA7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40898D3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1CF7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B8EB99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60DEDF7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5A8B4158">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p>
    <w:p w14:paraId="3DE94C74">
      <w:pPr>
        <w:snapToGrid w:val="0"/>
        <w:spacing w:line="440" w:lineRule="exact"/>
        <w:jc w:val="left"/>
        <w:rPr>
          <w:rFonts w:ascii="仿宋" w:hAnsi="仿宋" w:eastAsia="仿宋" w:cs="Arial"/>
          <w:b/>
          <w:bCs/>
          <w:color w:val="000000" w:themeColor="text1"/>
          <w:sz w:val="30"/>
          <w:szCs w:val="30"/>
          <w14:textFill>
            <w14:solidFill>
              <w14:schemeClr w14:val="tx1"/>
            </w14:solidFill>
          </w14:textFill>
        </w:rPr>
      </w:pPr>
    </w:p>
    <w:p w14:paraId="02BDB1AE">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6" w:name="PO_TDCUS_ITEM_PRC_TABLE_1_1"/>
      <w:bookmarkEnd w:id="16"/>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4B7A41EB">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D60D7AD">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31EAC8D0">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571AB358">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48169C5C">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60582A5">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7" w:name="_Toc29498"/>
      <w:bookmarkStart w:id="18" w:name="_Toc496796636"/>
      <w:r>
        <w:rPr>
          <w:rFonts w:hint="eastAsia" w:ascii="仿宋" w:hAnsi="仿宋" w:eastAsia="仿宋"/>
          <w:b/>
          <w:color w:val="000000" w:themeColor="text1"/>
          <w:sz w:val="36"/>
          <w:szCs w:val="36"/>
          <w14:textFill>
            <w14:solidFill>
              <w14:schemeClr w14:val="tx1"/>
            </w14:solidFill>
          </w14:textFill>
        </w:rPr>
        <w:t>第二章</w:t>
      </w:r>
      <w:bookmarkStart w:id="19" w:name="投标人须知"/>
      <w:r>
        <w:rPr>
          <w:rFonts w:hint="eastAsia" w:ascii="仿宋" w:hAnsi="仿宋" w:eastAsia="仿宋"/>
          <w:b/>
          <w:color w:val="000000" w:themeColor="text1"/>
          <w:sz w:val="36"/>
          <w:szCs w:val="36"/>
          <w14:textFill>
            <w14:solidFill>
              <w14:schemeClr w14:val="tx1"/>
            </w14:solidFill>
          </w14:textFill>
        </w:rPr>
        <w:t>投标人须知</w:t>
      </w:r>
      <w:bookmarkEnd w:id="17"/>
      <w:bookmarkEnd w:id="18"/>
      <w:bookmarkEnd w:id="19"/>
    </w:p>
    <w:p w14:paraId="620BCDA4">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1E61B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6AF68D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D1BEC7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55AFAA5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514A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EF42BC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56DB4DE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7524357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7A233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84624E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7ECF85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4AEF62B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242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D8BC31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3E1CD86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4AEBA841">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03904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76519B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E5978F4">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0A053D44">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71AA3DD0">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4F8F7B66">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sz w:val="24"/>
                <w:szCs w:val="24"/>
                <w:lang w:eastAsia="zh-CN"/>
              </w:rPr>
              <w:t>浙江省交通运输宣传与保障中心2025年机关大院物业管理服务项目</w:t>
            </w:r>
            <w:r>
              <w:rPr>
                <w:rFonts w:hint="eastAsia" w:ascii="仿宋" w:hAnsi="仿宋" w:eastAsia="仿宋"/>
                <w:b/>
                <w:color w:val="000000"/>
                <w:sz w:val="24"/>
                <w:szCs w:val="24"/>
              </w:rPr>
              <w:t>，所属行业：</w:t>
            </w:r>
            <w:r>
              <w:rPr>
                <w:rFonts w:hint="eastAsia" w:ascii="仿宋" w:hAnsi="仿宋" w:eastAsia="仿宋"/>
                <w:b/>
                <w:color w:val="000000"/>
                <w:sz w:val="24"/>
                <w:szCs w:val="24"/>
                <w:lang w:val="en-US" w:eastAsia="zh-CN"/>
              </w:rPr>
              <w:t>物业管理</w:t>
            </w:r>
          </w:p>
          <w:p w14:paraId="49C8FC08">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cs="仿宋"/>
                <w:b/>
                <w:bCs w:val="0"/>
                <w:kern w:val="2"/>
                <w:sz w:val="24"/>
                <w:szCs w:val="24"/>
                <w:lang w:val="zh-CN" w:eastAsia="zh-CN" w:bidi="ar"/>
              </w:rPr>
              <w:t>本项目专门面向中小企业采购的项目，不再执行价格评审优惠的扶持政策。</w:t>
            </w:r>
          </w:p>
          <w:p w14:paraId="448FA89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90BE41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7911670">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78F73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7F18BA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413BD56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201A95D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D283E1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1082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D315CE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0871E3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3CA309A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36253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68CEE7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51E488E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11F1B1B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39C63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33CF30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52833D3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7A6AD7F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0FC2C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3AAF11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FFF2DF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6A28D030">
            <w:pPr>
              <w:spacing w:line="500" w:lineRule="exact"/>
              <w:jc w:val="left"/>
              <w:rPr>
                <w:rFonts w:ascii="仿宋" w:hAnsi="仿宋" w:eastAsia="仿宋"/>
                <w:color w:val="000000" w:themeColor="text1"/>
                <w:sz w:val="24"/>
                <w:szCs w:val="24"/>
                <w14:textFill>
                  <w14:solidFill>
                    <w14:schemeClr w14:val="tx1"/>
                  </w14:solidFill>
                </w14:textFill>
              </w:rPr>
            </w:pPr>
            <w:bookmarkStart w:id="20"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20"/>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27A5F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10587B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56E55CA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0CD6B574">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7D7AF637">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1" w:name="PO_15528_PM044"/>
            <w:r>
              <w:rPr>
                <w:rFonts w:hint="eastAsia" w:ascii="仿宋_GB2312" w:hAnsi="仿宋" w:eastAsia="仿宋_GB2312"/>
                <w:bCs/>
                <w:color w:val="000000" w:themeColor="text1"/>
                <w:sz w:val="24"/>
                <w:lang w:eastAsia="zh-CN"/>
                <w14:textFill>
                  <w14:solidFill>
                    <w14:schemeClr w14:val="tx1"/>
                  </w14:solidFill>
                </w14:textFill>
              </w:rPr>
              <w:t>不允许分包</w:t>
            </w:r>
            <w:bookmarkEnd w:id="21"/>
            <w:r>
              <w:rPr>
                <w:rFonts w:hint="eastAsia" w:ascii="仿宋_GB2312" w:hAnsi="仿宋" w:eastAsia="仿宋_GB2312"/>
                <w:bCs/>
                <w:color w:val="000000" w:themeColor="text1"/>
                <w:sz w:val="24"/>
                <w14:textFill>
                  <w14:solidFill>
                    <w14:schemeClr w14:val="tx1"/>
                  </w14:solidFill>
                </w14:textFill>
              </w:rPr>
              <w:t>；</w:t>
            </w:r>
          </w:p>
          <w:p w14:paraId="2DD05265">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57FC4D8F">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6F92E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55B115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6FCD6B6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6E6E0F6F">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2" w:name="PO_15528_PM007_1"/>
            <w:r>
              <w:rPr>
                <w:rFonts w:hint="eastAsia" w:ascii="仿宋_GB2312" w:hAnsi="仿宋" w:eastAsia="仿宋_GB2312"/>
                <w:bCs/>
                <w:color w:val="000000" w:themeColor="text1"/>
                <w:sz w:val="24"/>
                <w:lang w:eastAsia="zh-CN"/>
                <w14:textFill>
                  <w14:solidFill>
                    <w14:schemeClr w14:val="tx1"/>
                  </w14:solidFill>
                </w14:textFill>
              </w:rPr>
              <w:t>标项1:不允许联合体投标</w:t>
            </w:r>
            <w:bookmarkEnd w:id="22"/>
            <w:r>
              <w:rPr>
                <w:rFonts w:hint="eastAsia" w:ascii="仿宋_GB2312" w:hAnsi="仿宋" w:eastAsia="仿宋_GB2312"/>
                <w:bCs/>
                <w:color w:val="000000" w:themeColor="text1"/>
                <w:sz w:val="24"/>
                <w14:textFill>
                  <w14:solidFill>
                    <w14:schemeClr w14:val="tx1"/>
                  </w14:solidFill>
                </w14:textFill>
              </w:rPr>
              <w:t>。</w:t>
            </w:r>
          </w:p>
          <w:p w14:paraId="1C11BA52">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auto"/>
                <w:sz w:val="24"/>
                <w:lang w:val="en-US" w:eastAsia="zh-CN"/>
              </w:rPr>
              <w:t>浙江省交通运输厅作为省级行政机关，对日常办公秩序、综合安全等方面标准要求较高，考虑联合体投标、项目分包存在着不同企业之间的利益分配、决策指定等相关问题，可能导致项目进行过程中出现分歧和延误，不利于厅机关大院的安全稳定，故本项目不接受联合体及分包。</w:t>
            </w:r>
          </w:p>
        </w:tc>
      </w:tr>
      <w:tr w14:paraId="18ABA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3D15D55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31E1855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4CEF52BA">
            <w:pPr>
              <w:spacing w:line="500" w:lineRule="exact"/>
              <w:jc w:val="left"/>
              <w:rPr>
                <w:rFonts w:ascii="仿宋" w:hAnsi="仿宋" w:eastAsia="仿宋"/>
                <w:color w:val="000000" w:themeColor="text1"/>
                <w:sz w:val="24"/>
                <w:szCs w:val="24"/>
                <w14:textFill>
                  <w14:solidFill>
                    <w14:schemeClr w14:val="tx1"/>
                  </w14:solidFill>
                </w14:textFill>
              </w:rPr>
            </w:pPr>
            <w:bookmarkStart w:id="23"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3"/>
            <w:r>
              <w:rPr>
                <w:rFonts w:hint="eastAsia" w:ascii="仿宋" w:hAnsi="仿宋" w:eastAsia="仿宋"/>
                <w:color w:val="000000" w:themeColor="text1"/>
                <w:sz w:val="24"/>
                <w:szCs w:val="24"/>
                <w14:textFill>
                  <w14:solidFill>
                    <w14:schemeClr w14:val="tx1"/>
                  </w14:solidFill>
                </w14:textFill>
              </w:rPr>
              <w:t>。</w:t>
            </w:r>
          </w:p>
        </w:tc>
      </w:tr>
      <w:tr w14:paraId="456DF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308FCB1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38597B1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5A99629D">
            <w:pP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4"/>
            <w:r>
              <w:rPr>
                <w:rFonts w:hint="eastAsia" w:ascii="仿宋" w:hAnsi="仿宋" w:eastAsia="仿宋"/>
                <w:color w:val="000000" w:themeColor="text1"/>
                <w:sz w:val="24"/>
                <w:szCs w:val="24"/>
                <w14:textFill>
                  <w14:solidFill>
                    <w14:schemeClr w14:val="tx1"/>
                  </w14:solidFill>
                </w14:textFill>
              </w:rPr>
              <w:t>。</w:t>
            </w:r>
          </w:p>
        </w:tc>
      </w:tr>
      <w:tr w14:paraId="1D179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6B7D35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F605D6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3996852F">
            <w:pPr>
              <w:spacing w:line="500" w:lineRule="exact"/>
              <w:jc w:val="left"/>
              <w:rPr>
                <w:rFonts w:ascii="仿宋" w:hAnsi="仿宋" w:eastAsia="仿宋"/>
                <w:color w:val="000000" w:themeColor="text1"/>
                <w:sz w:val="24"/>
                <w:szCs w:val="24"/>
                <w14:textFill>
                  <w14:solidFill>
                    <w14:schemeClr w14:val="tx1"/>
                  </w14:solidFill>
                </w14:textFill>
              </w:rPr>
            </w:pPr>
            <w:bookmarkStart w:id="25"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5"/>
            <w:r>
              <w:rPr>
                <w:rFonts w:hint="eastAsia" w:ascii="仿宋" w:hAnsi="仿宋" w:eastAsia="仿宋"/>
                <w:color w:val="000000" w:themeColor="text1"/>
                <w:sz w:val="24"/>
                <w:szCs w:val="24"/>
                <w14:textFill>
                  <w14:solidFill>
                    <w14:schemeClr w14:val="tx1"/>
                  </w14:solidFill>
                </w14:textFill>
              </w:rPr>
              <w:t>。</w:t>
            </w:r>
          </w:p>
        </w:tc>
      </w:tr>
      <w:tr w14:paraId="0EB6B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7FF343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BD0CC8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2B468F9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3D6381D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052A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53CE91F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EC663C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721B423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3FCFA3C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95F101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6350D64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74E262E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42AE1F1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BDC8BE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7DC63AA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676046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296B638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1FAC2B93">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75997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5D2D6C7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79D630E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15C0F8B3">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36994F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7373AA3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7349B93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041C89CF">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517C08A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76A6A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4CAB9C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5BEFAB5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00641B54">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2B560741">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2B0C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A5B39E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762A78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35E2EAD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3F13A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595CA1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221609D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6364E879">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31635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C0ECFC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6B307F2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6FEA845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39EB0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634D2F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5789061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7301A6CE">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7747D327">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8036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6B4AD48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3FF3658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31F6295A">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3AB73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729C3F8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921315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311E214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6580B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3C23C29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639298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57DC3F2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5F161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7E4A4E2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BE1CD3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5A852BD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7E0C5FF5">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73EE13B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481672C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6FDB662C">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6F01DF9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0E4B0F9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29A0841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1EE89B8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3F2D09F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7473C9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641AD79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25C625FC">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480C05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3674A8B0">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5FFC65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7592D748">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19FAF73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1ED5B26F">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110B09AF">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5165EA3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8265C1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48013F69">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1390AA5C">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3F8FB23D">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78BB0A6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6A9A824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23C35A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75D28D5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2E3E12A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036964C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5C0F32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E53CDE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B9FDD3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9721F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3FBC18F2">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0C692E45">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3579450A">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E7BA4EE">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3DA7EE5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0FE90E08">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7AD910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237E233C">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1B727D2">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E92986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2607D764">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13F787B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42A0CE6E">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08D8FD1D">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79361D23">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7950A698">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1693A138">
      <w:pPr>
        <w:pStyle w:val="16"/>
        <w:numPr>
          <w:ilvl w:val="0"/>
          <w:numId w:val="0"/>
        </w:numPr>
        <w:tabs>
          <w:tab w:val="clear" w:pos="454"/>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08A91156">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268905FC">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15240183">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6A33B2C4">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7B348EAB">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7F5D741">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116B653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1A43D566">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081BB973">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62C10AF9">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08EF314A">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7E7A7306">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5F9821C">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4AD24680">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2A53EE77">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6FAE692E">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762D82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4F88F20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1E12F80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6694D5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1B23DD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7F4AF4D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7EDEDF1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36A261B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B93330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63E1505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55C7439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7E16A22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526FB1E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4A42B87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2A6B4CB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1C81A9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0A3D2F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9C01F3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572EF9C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1FBD5F5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78A462E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027ECB4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7CD3A33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172B690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6C3D2AC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4009685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05BE6E2D">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507A105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29016CC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2708648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6768BC43">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254BD27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56ED45E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7D8454DC">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19E1702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5DE8F6B2">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27CC3CB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7915C5C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7B82B32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55A2FD8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26B4458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77C8F206">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2DCB2827">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48C47477">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1F005D38">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4B75A7FB">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7036F88C">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46C6B13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2AF8434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688B64A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6719245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2037DB8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69EADA78">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690BDEE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5053C07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7B17602C">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6ABACA9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24EEB52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3AB1369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265E02F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5A45870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7D57BE8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27D8989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D5C257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0FE4089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25CDC1D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7D4C604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5E6F28C0">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2754DBF8">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369D018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37FD9EC9">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3EAE898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327D5B5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7DEC960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D8AA27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1DA6777">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794DA2E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214EC784">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15D57B47">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475D8AA">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F7C5A1B">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DCF35AF">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DF10138">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1E974BE7">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C83F1F">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17CA52F1">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21126821">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4C230CB">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1F5CF217">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2DF6E167">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D754DA5">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AF5E466">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5F502ADD">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D0FDC8A">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346B20A2">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154FF06">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7DEA9BFC">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2BBF98A1">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5882B341">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EA14335">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0027F0D2">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3A457FB">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773A56D6">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78451B3C">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187E21EC">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79787802">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6" w:name="_Toc496796637"/>
      <w:bookmarkStart w:id="27" w:name="_Toc2834"/>
      <w:r>
        <w:rPr>
          <w:rFonts w:hint="eastAsia" w:hAnsi="宋体"/>
          <w:b/>
          <w:color w:val="000000" w:themeColor="text1"/>
          <w:sz w:val="36"/>
          <w:szCs w:val="36"/>
          <w14:textFill>
            <w14:solidFill>
              <w14:schemeClr w14:val="tx1"/>
            </w14:solidFill>
          </w14:textFill>
        </w:rPr>
        <w:t>第三章</w:t>
      </w:r>
      <w:bookmarkStart w:id="28" w:name="评标办法及评分标准"/>
      <w:r>
        <w:rPr>
          <w:rFonts w:hint="eastAsia" w:hAnsi="宋体"/>
          <w:b/>
          <w:color w:val="000000" w:themeColor="text1"/>
          <w:sz w:val="36"/>
          <w:szCs w:val="36"/>
          <w14:textFill>
            <w14:solidFill>
              <w14:schemeClr w14:val="tx1"/>
            </w14:solidFill>
          </w14:textFill>
        </w:rPr>
        <w:t>评标办法及评分标准</w:t>
      </w:r>
      <w:bookmarkEnd w:id="26"/>
      <w:bookmarkEnd w:id="27"/>
      <w:bookmarkEnd w:id="28"/>
    </w:p>
    <w:p w14:paraId="2D3357F5">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5F923515">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98A726D">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6FF450E9">
      <w:pPr>
        <w:spacing w:before="156" w:beforeLines="50" w:after="156" w:afterLines="50" w:line="460" w:lineRule="exact"/>
        <w:ind w:firstLine="602" w:firstLineChars="200"/>
        <w:rPr>
          <w:rFonts w:hint="eastAsia" w:ascii="仿宋" w:hAnsi="仿宋" w:eastAsia="仿宋"/>
          <w:b/>
          <w:bCs/>
          <w:color w:val="auto"/>
          <w:sz w:val="30"/>
          <w:szCs w:val="30"/>
          <w:lang w:val="en-US"/>
        </w:rPr>
      </w:pPr>
      <w:r>
        <w:rPr>
          <w:rFonts w:hint="eastAsia" w:ascii="仿宋" w:hAnsi="仿宋" w:eastAsia="仿宋"/>
          <w:b/>
          <w:bCs/>
          <w:color w:val="auto"/>
          <w:sz w:val="30"/>
          <w:szCs w:val="30"/>
          <w:lang w:val="en-US" w:eastAsia="zh-CN"/>
        </w:rPr>
        <w:t>中标候选人数量：1家</w:t>
      </w:r>
    </w:p>
    <w:p w14:paraId="20A970B2">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5468ED99">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385AE799">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4773E0E1">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7F8E2414">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2EF4891A">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4AEE8E3E">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5A9023BE">
      <w:pPr>
        <w:spacing w:before="156" w:beforeLines="50" w:after="156" w:afterLines="50" w:line="320" w:lineRule="exact"/>
        <w:rPr>
          <w:rFonts w:hAnsi="宋体"/>
          <w:b/>
          <w:color w:val="000000" w:themeColor="text1"/>
          <w:sz w:val="36"/>
          <w:szCs w:val="36"/>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9" w:name="_Toc496796638"/>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065"/>
        <w:gridCol w:w="4456"/>
        <w:gridCol w:w="794"/>
        <w:gridCol w:w="1224"/>
      </w:tblGrid>
      <w:tr w14:paraId="1DBC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7925ADCB">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序号</w:t>
            </w:r>
          </w:p>
        </w:tc>
        <w:tc>
          <w:tcPr>
            <w:tcW w:w="625" w:type="pct"/>
            <w:noWrap w:val="0"/>
            <w:vAlign w:val="top"/>
          </w:tcPr>
          <w:p w14:paraId="25B713B5">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评分类型</w:t>
            </w:r>
          </w:p>
        </w:tc>
        <w:tc>
          <w:tcPr>
            <w:tcW w:w="2615" w:type="pct"/>
            <w:noWrap w:val="0"/>
            <w:vAlign w:val="top"/>
          </w:tcPr>
          <w:p w14:paraId="643D9EE7">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评分标准</w:t>
            </w:r>
          </w:p>
        </w:tc>
        <w:tc>
          <w:tcPr>
            <w:tcW w:w="466" w:type="pct"/>
            <w:noWrap w:val="0"/>
            <w:vAlign w:val="top"/>
          </w:tcPr>
          <w:p w14:paraId="11E1FE1A">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分值</w:t>
            </w:r>
          </w:p>
        </w:tc>
        <w:tc>
          <w:tcPr>
            <w:tcW w:w="718" w:type="pct"/>
            <w:noWrap w:val="0"/>
            <w:vAlign w:val="top"/>
          </w:tcPr>
          <w:p w14:paraId="3F11BD8A">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val="en-US" w:eastAsia="zh-CN"/>
              </w:rPr>
            </w:pPr>
            <w:r>
              <w:rPr>
                <w:rFonts w:hint="eastAsia" w:ascii="仿宋_GB2312" w:hAnsi="宋体" w:eastAsia="仿宋_GB2312"/>
                <w:b/>
                <w:color w:val="000000"/>
                <w:sz w:val="32"/>
                <w:szCs w:val="32"/>
                <w:vertAlign w:val="baseline"/>
                <w:lang w:val="en-US" w:eastAsia="zh-CN"/>
              </w:rPr>
              <w:t>打分</w:t>
            </w:r>
          </w:p>
          <w:p w14:paraId="3EB257EA">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sz w:val="32"/>
                <w:szCs w:val="32"/>
                <w:vertAlign w:val="baseline"/>
                <w:lang w:val="en-US" w:eastAsia="zh-CN"/>
              </w:rPr>
            </w:pPr>
            <w:r>
              <w:rPr>
                <w:rFonts w:hint="eastAsia" w:ascii="仿宋_GB2312" w:hAnsi="宋体" w:eastAsia="仿宋_GB2312"/>
                <w:b/>
                <w:color w:val="000000"/>
                <w:sz w:val="32"/>
                <w:szCs w:val="32"/>
                <w:vertAlign w:val="baseline"/>
                <w:lang w:val="en-US" w:eastAsia="zh-CN"/>
              </w:rPr>
              <w:t>方法</w:t>
            </w:r>
          </w:p>
        </w:tc>
      </w:tr>
      <w:tr w14:paraId="6681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0150B56C">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w:t>
            </w:r>
          </w:p>
        </w:tc>
        <w:tc>
          <w:tcPr>
            <w:tcW w:w="625" w:type="pct"/>
            <w:noWrap w:val="0"/>
            <w:vAlign w:val="top"/>
          </w:tcPr>
          <w:p w14:paraId="025655D8">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报价</w:t>
            </w:r>
          </w:p>
        </w:tc>
        <w:tc>
          <w:tcPr>
            <w:tcW w:w="2615" w:type="pct"/>
            <w:noWrap w:val="0"/>
            <w:vAlign w:val="top"/>
          </w:tcPr>
          <w:p w14:paraId="083C71E1">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(评标基准价／有效投标报价)*最大分值</w:t>
            </w:r>
          </w:p>
        </w:tc>
        <w:tc>
          <w:tcPr>
            <w:tcW w:w="466" w:type="pct"/>
            <w:noWrap w:val="0"/>
            <w:vAlign w:val="top"/>
          </w:tcPr>
          <w:p w14:paraId="71DEB4FB">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10</w:t>
            </w:r>
          </w:p>
        </w:tc>
        <w:tc>
          <w:tcPr>
            <w:tcW w:w="718" w:type="pct"/>
            <w:noWrap w:val="0"/>
            <w:vAlign w:val="top"/>
          </w:tcPr>
          <w:p w14:paraId="4DB37A71">
            <w:pPr>
              <w:keepNext w:val="0"/>
              <w:keepLines w:val="0"/>
              <w:suppressLineNumbers w:val="0"/>
              <w:spacing w:before="156" w:beforeLines="50" w:beforeAutospacing="0" w:after="156" w:afterLines="50" w:afterAutospacing="0" w:line="340" w:lineRule="exact"/>
              <w:ind w:left="0" w:right="0"/>
              <w:jc w:val="center"/>
              <w:rPr>
                <w:rFonts w:hint="default" w:ascii="仿宋_GB2312" w:hAnsi="宋体" w:eastAsia="仿宋_GB2312"/>
                <w:b/>
                <w:color w:val="000000"/>
                <w:sz w:val="32"/>
                <w:szCs w:val="32"/>
                <w:vertAlign w:val="baseline"/>
                <w:lang w:val="en-US" w:eastAsia="zh-CN"/>
              </w:rPr>
            </w:pPr>
            <w:r>
              <w:rPr>
                <w:rFonts w:hint="eastAsia" w:ascii="仿宋_GB2312" w:hAnsi="宋体" w:eastAsia="仿宋_GB2312"/>
                <w:b/>
                <w:color w:val="000000"/>
                <w:sz w:val="32"/>
                <w:szCs w:val="32"/>
                <w:vertAlign w:val="baseline"/>
                <w:lang w:val="en-US" w:eastAsia="zh-CN"/>
              </w:rPr>
              <w:t>/</w:t>
            </w:r>
          </w:p>
        </w:tc>
      </w:tr>
      <w:tr w14:paraId="0AF5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479D74C6">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w:t>
            </w:r>
          </w:p>
        </w:tc>
        <w:tc>
          <w:tcPr>
            <w:tcW w:w="625" w:type="pct"/>
            <w:noWrap w:val="0"/>
            <w:vAlign w:val="top"/>
          </w:tcPr>
          <w:p w14:paraId="54A70091">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2615" w:type="pct"/>
            <w:noWrap w:val="0"/>
            <w:vAlign w:val="top"/>
          </w:tcPr>
          <w:p w14:paraId="7122C9B7">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投标的整体方案与采购需求的吻合程度，应答是否详尽明晰，是否满足招标文件要求（4分）；</w:t>
            </w:r>
          </w:p>
          <w:p w14:paraId="74692E97">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内容是否表述准确、无前后矛盾，符合招标文件要求（2分）。</w:t>
            </w:r>
          </w:p>
        </w:tc>
        <w:tc>
          <w:tcPr>
            <w:tcW w:w="466" w:type="pct"/>
            <w:noWrap w:val="0"/>
            <w:vAlign w:val="top"/>
          </w:tcPr>
          <w:p w14:paraId="6C941E66">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6</w:t>
            </w:r>
          </w:p>
        </w:tc>
        <w:tc>
          <w:tcPr>
            <w:tcW w:w="718" w:type="pct"/>
            <w:noWrap w:val="0"/>
            <w:vAlign w:val="top"/>
          </w:tcPr>
          <w:p w14:paraId="7D39F70F">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sz w:val="32"/>
                <w:szCs w:val="32"/>
                <w:vertAlign w:val="baseline"/>
                <w:lang w:val="en-US" w:eastAsia="zh-CN"/>
              </w:rPr>
            </w:pPr>
            <w:r>
              <w:rPr>
                <w:rFonts w:hint="eastAsia" w:ascii="仿宋_GB2312" w:hAnsi="宋体" w:eastAsia="仿宋_GB2312"/>
                <w:b/>
                <w:color w:val="000000"/>
                <w:sz w:val="32"/>
                <w:szCs w:val="32"/>
                <w:vertAlign w:val="baseline"/>
                <w:lang w:val="en-US" w:eastAsia="zh-CN"/>
              </w:rPr>
              <w:t>主观分</w:t>
            </w:r>
          </w:p>
        </w:tc>
      </w:tr>
      <w:tr w14:paraId="480C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6CBF601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w:t>
            </w:r>
          </w:p>
        </w:tc>
        <w:tc>
          <w:tcPr>
            <w:tcW w:w="625" w:type="pct"/>
            <w:noWrap w:val="0"/>
            <w:vAlign w:val="top"/>
          </w:tcPr>
          <w:p w14:paraId="71AF2C1D">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2615" w:type="pct"/>
            <w:noWrap w:val="0"/>
            <w:vAlign w:val="top"/>
          </w:tcPr>
          <w:p w14:paraId="1162EC13">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1.根据本项目物业使用特点提出合理的物业管理服务理念，提出服务定位、目标，投标人的管理模式能够切合实际，且安全可行，安全性、文明服务的计划及承诺情况。（3分）</w:t>
            </w:r>
          </w:p>
          <w:p w14:paraId="7911E4F8">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2.有比较完善的组织架构，清晰简练地列出主要管理流程，包括运作流程图、激励机制、监督机制、自我约束机制、信息反馈渠道及处理机制。（3分）</w:t>
            </w:r>
          </w:p>
          <w:p w14:paraId="019A7FF7">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3.有完善的物业管理工作计划及实施时间，并具有完善的档案管理制度、体现标准化服务，管理服务水平符合各项标准。（3分）</w:t>
            </w:r>
          </w:p>
        </w:tc>
        <w:tc>
          <w:tcPr>
            <w:tcW w:w="466" w:type="pct"/>
            <w:noWrap w:val="0"/>
            <w:vAlign w:val="top"/>
          </w:tcPr>
          <w:p w14:paraId="0E3D3D6C">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9</w:t>
            </w:r>
          </w:p>
        </w:tc>
        <w:tc>
          <w:tcPr>
            <w:tcW w:w="718" w:type="pct"/>
            <w:noWrap w:val="0"/>
            <w:vAlign w:val="top"/>
          </w:tcPr>
          <w:p w14:paraId="1A44803B">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val="en-US" w:eastAsia="zh-CN"/>
              </w:rPr>
              <w:t>主观分</w:t>
            </w:r>
          </w:p>
        </w:tc>
      </w:tr>
      <w:tr w14:paraId="67C2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7030C54A">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3</w:t>
            </w:r>
          </w:p>
        </w:tc>
        <w:tc>
          <w:tcPr>
            <w:tcW w:w="625" w:type="pct"/>
            <w:noWrap w:val="0"/>
            <w:vAlign w:val="top"/>
          </w:tcPr>
          <w:p w14:paraId="7E7459B7">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2615" w:type="pct"/>
            <w:noWrap w:val="0"/>
            <w:vAlign w:val="top"/>
          </w:tcPr>
          <w:p w14:paraId="30282940">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分析本项目的特点提出针对性服务方案。包括如下方面：</w:t>
            </w:r>
          </w:p>
          <w:p w14:paraId="6022920A">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1.项目主管日常检查（3分）；</w:t>
            </w:r>
          </w:p>
          <w:p w14:paraId="0C23A528">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2.门岗秩序管理（3分）；</w:t>
            </w:r>
          </w:p>
          <w:p w14:paraId="7FC4D8FA">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3.交通与车辆管理（3分）；</w:t>
            </w:r>
          </w:p>
          <w:p w14:paraId="17E07721">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4.环境卫生管理（3分）；</w:t>
            </w:r>
          </w:p>
          <w:p w14:paraId="341EB6BA">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5.综合维护及巡查（3分）；</w:t>
            </w:r>
          </w:p>
          <w:p w14:paraId="126844EF">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6.除四害与白蚁防治（3分）；</w:t>
            </w:r>
          </w:p>
          <w:p w14:paraId="4E409C8E">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7.采购人交代的其他工作等（3分）；</w:t>
            </w:r>
          </w:p>
        </w:tc>
        <w:tc>
          <w:tcPr>
            <w:tcW w:w="466" w:type="pct"/>
            <w:noWrap w:val="0"/>
            <w:vAlign w:val="top"/>
          </w:tcPr>
          <w:p w14:paraId="5523CEBC">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21</w:t>
            </w:r>
          </w:p>
        </w:tc>
        <w:tc>
          <w:tcPr>
            <w:tcW w:w="718" w:type="pct"/>
            <w:noWrap w:val="0"/>
            <w:vAlign w:val="top"/>
          </w:tcPr>
          <w:p w14:paraId="17B720E1">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val="en-US" w:eastAsia="zh-CN"/>
              </w:rPr>
              <w:t>主观分</w:t>
            </w:r>
          </w:p>
        </w:tc>
      </w:tr>
      <w:tr w14:paraId="34A5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6B8CE330">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4</w:t>
            </w:r>
          </w:p>
        </w:tc>
        <w:tc>
          <w:tcPr>
            <w:tcW w:w="625" w:type="pct"/>
            <w:noWrap w:val="0"/>
            <w:vAlign w:val="top"/>
          </w:tcPr>
          <w:p w14:paraId="55288E13">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2615" w:type="pct"/>
            <w:noWrap w:val="0"/>
            <w:vAlign w:val="top"/>
          </w:tcPr>
          <w:p w14:paraId="014A241E">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提供具有针对性的节能管理方案。</w:t>
            </w:r>
          </w:p>
        </w:tc>
        <w:tc>
          <w:tcPr>
            <w:tcW w:w="466" w:type="pct"/>
            <w:noWrap w:val="0"/>
            <w:vAlign w:val="top"/>
          </w:tcPr>
          <w:p w14:paraId="030957D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3</w:t>
            </w:r>
          </w:p>
        </w:tc>
        <w:tc>
          <w:tcPr>
            <w:tcW w:w="718" w:type="pct"/>
            <w:noWrap w:val="0"/>
            <w:vAlign w:val="top"/>
          </w:tcPr>
          <w:p w14:paraId="1F07DC80">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val="en-US" w:eastAsia="zh-CN"/>
              </w:rPr>
              <w:t>主观分</w:t>
            </w:r>
          </w:p>
        </w:tc>
      </w:tr>
      <w:tr w14:paraId="559C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6CB2E8FE">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5</w:t>
            </w:r>
          </w:p>
        </w:tc>
        <w:tc>
          <w:tcPr>
            <w:tcW w:w="625" w:type="pct"/>
            <w:noWrap w:val="0"/>
            <w:vAlign w:val="top"/>
          </w:tcPr>
          <w:p w14:paraId="0DE212DA">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2615" w:type="pct"/>
            <w:noWrap w:val="0"/>
            <w:vAlign w:val="top"/>
          </w:tcPr>
          <w:p w14:paraId="5E057AE1">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投标人的内部管理情况：</w:t>
            </w:r>
          </w:p>
          <w:p w14:paraId="7B3876FE">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1.内部管理制度和质量控制标准情况，是否具有完善规章制度和保障措施（2分）；</w:t>
            </w:r>
          </w:p>
          <w:p w14:paraId="6C10C4B7">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2.实行信息化管理等情况（2分）。</w:t>
            </w:r>
          </w:p>
        </w:tc>
        <w:tc>
          <w:tcPr>
            <w:tcW w:w="466" w:type="pct"/>
            <w:noWrap w:val="0"/>
            <w:vAlign w:val="top"/>
          </w:tcPr>
          <w:p w14:paraId="431A569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4</w:t>
            </w:r>
          </w:p>
        </w:tc>
        <w:tc>
          <w:tcPr>
            <w:tcW w:w="718" w:type="pct"/>
            <w:noWrap w:val="0"/>
            <w:vAlign w:val="top"/>
          </w:tcPr>
          <w:p w14:paraId="15F5D19F">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val="en-US" w:eastAsia="zh-CN"/>
              </w:rPr>
              <w:t>主观分</w:t>
            </w:r>
          </w:p>
        </w:tc>
      </w:tr>
      <w:tr w14:paraId="49EC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52D81117">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6</w:t>
            </w:r>
          </w:p>
        </w:tc>
        <w:tc>
          <w:tcPr>
            <w:tcW w:w="625" w:type="pct"/>
            <w:noWrap w:val="0"/>
            <w:vAlign w:val="top"/>
          </w:tcPr>
          <w:p w14:paraId="394A85DF">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2615" w:type="pct"/>
            <w:noWrap w:val="0"/>
            <w:vAlign w:val="top"/>
          </w:tcPr>
          <w:p w14:paraId="02E96E1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应急保障：根据投标单位提供的应急保障处理预案（包含自然灾害、消防、各类纠纷等），信息指挥（1.5分）、人员组织（1.5分）、物资储备（1.5分）、设备使用等内容（1.5分）。</w:t>
            </w:r>
          </w:p>
        </w:tc>
        <w:tc>
          <w:tcPr>
            <w:tcW w:w="466" w:type="pct"/>
            <w:noWrap w:val="0"/>
            <w:vAlign w:val="top"/>
          </w:tcPr>
          <w:p w14:paraId="7AFE69C6">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6</w:t>
            </w:r>
          </w:p>
        </w:tc>
        <w:tc>
          <w:tcPr>
            <w:tcW w:w="718" w:type="pct"/>
            <w:noWrap w:val="0"/>
            <w:vAlign w:val="top"/>
          </w:tcPr>
          <w:p w14:paraId="2B8C864F">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val="en-US" w:eastAsia="zh-CN"/>
              </w:rPr>
              <w:t>主观分</w:t>
            </w:r>
          </w:p>
        </w:tc>
      </w:tr>
      <w:tr w14:paraId="5AD7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7E70455D">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7</w:t>
            </w:r>
          </w:p>
        </w:tc>
        <w:tc>
          <w:tcPr>
            <w:tcW w:w="625" w:type="pct"/>
            <w:noWrap w:val="0"/>
            <w:vAlign w:val="top"/>
          </w:tcPr>
          <w:p w14:paraId="05762D0E">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2615" w:type="pct"/>
            <w:noWrap w:val="0"/>
            <w:vAlign w:val="top"/>
          </w:tcPr>
          <w:p w14:paraId="18040926">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大型会务及重要接待物业保障方案。</w:t>
            </w:r>
          </w:p>
        </w:tc>
        <w:tc>
          <w:tcPr>
            <w:tcW w:w="466" w:type="pct"/>
            <w:noWrap w:val="0"/>
            <w:vAlign w:val="top"/>
          </w:tcPr>
          <w:p w14:paraId="57069801">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3</w:t>
            </w:r>
          </w:p>
        </w:tc>
        <w:tc>
          <w:tcPr>
            <w:tcW w:w="718" w:type="pct"/>
            <w:noWrap w:val="0"/>
            <w:vAlign w:val="top"/>
          </w:tcPr>
          <w:p w14:paraId="7B7A6A60">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val="en-US" w:eastAsia="zh-CN"/>
              </w:rPr>
              <w:t>主观分</w:t>
            </w:r>
          </w:p>
        </w:tc>
      </w:tr>
      <w:tr w14:paraId="35B4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55D89BD4">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8</w:t>
            </w:r>
          </w:p>
        </w:tc>
        <w:tc>
          <w:tcPr>
            <w:tcW w:w="625" w:type="pct"/>
            <w:noWrap w:val="0"/>
            <w:vAlign w:val="top"/>
          </w:tcPr>
          <w:p w14:paraId="74C63E8A">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2615" w:type="pct"/>
            <w:noWrap w:val="0"/>
            <w:vAlign w:val="top"/>
          </w:tcPr>
          <w:p w14:paraId="40C3C4C0">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一、驻场项目负责人（5分）:</w:t>
            </w:r>
          </w:p>
          <w:p w14:paraId="459151A3">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auto"/>
                <w:sz w:val="32"/>
                <w:szCs w:val="32"/>
                <w:vertAlign w:val="baseline"/>
                <w:lang w:eastAsia="zh-CN"/>
              </w:rPr>
              <w:t>1.年龄</w:t>
            </w:r>
            <w:r>
              <w:rPr>
                <w:rFonts w:hint="eastAsia" w:ascii="仿宋_GB2312" w:hAnsi="宋体" w:eastAsia="仿宋_GB2312"/>
                <w:b/>
                <w:color w:val="auto"/>
                <w:sz w:val="32"/>
                <w:szCs w:val="32"/>
                <w:vertAlign w:val="baseline"/>
                <w:lang w:val="en-US" w:eastAsia="zh-CN"/>
              </w:rPr>
              <w:t>50</w:t>
            </w:r>
            <w:r>
              <w:rPr>
                <w:rFonts w:hint="eastAsia" w:ascii="仿宋_GB2312" w:hAnsi="宋体" w:eastAsia="仿宋_GB2312"/>
                <w:b/>
                <w:color w:val="auto"/>
                <w:sz w:val="32"/>
                <w:szCs w:val="32"/>
                <w:vertAlign w:val="baseline"/>
                <w:lang w:eastAsia="zh-CN"/>
              </w:rPr>
              <w:t>周岁（含）以下,大专及以上学历，符合的得1分；</w:t>
            </w:r>
          </w:p>
          <w:p w14:paraId="2669BBE7">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2.取得人力资源和社会保障部门颁发的经济类中级职称及以上证书的得3分；</w:t>
            </w:r>
          </w:p>
          <w:p w14:paraId="4CABCBEB">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3.取得类似办公大楼项目3年以上项目负责人工作经历的得1分；（需提供业主证明并盖章，证明中需体现该人员姓名、职务及物业管理项目主管工作年限，否则不得分）；</w:t>
            </w:r>
          </w:p>
          <w:p w14:paraId="7DDB813C">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（注：须提供相关证书复印件及投标截止前一个月社保证明，未提供不得分。）</w:t>
            </w:r>
          </w:p>
          <w:p w14:paraId="0B62DAB0">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二、安保队长（5分）：</w:t>
            </w:r>
          </w:p>
          <w:p w14:paraId="2613BFF2">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1.年龄50周岁（含）以下、男性、大专及以上学历得1分；</w:t>
            </w:r>
          </w:p>
          <w:p w14:paraId="5C9AB041">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2.同时取得保安</w:t>
            </w:r>
            <w:r>
              <w:rPr>
                <w:rFonts w:hint="eastAsia" w:ascii="仿宋_GB2312" w:hAnsi="宋体" w:eastAsia="仿宋_GB2312"/>
                <w:b/>
                <w:color w:val="000000"/>
                <w:sz w:val="32"/>
                <w:szCs w:val="32"/>
                <w:vertAlign w:val="baseline"/>
                <w:lang w:val="en-US" w:eastAsia="zh-CN"/>
              </w:rPr>
              <w:t>员</w:t>
            </w:r>
            <w:r>
              <w:rPr>
                <w:rFonts w:hint="eastAsia" w:ascii="仿宋_GB2312" w:hAnsi="宋体" w:eastAsia="仿宋_GB2312"/>
                <w:b/>
                <w:color w:val="000000"/>
                <w:sz w:val="32"/>
                <w:szCs w:val="32"/>
                <w:vertAlign w:val="baseline"/>
                <w:lang w:eastAsia="zh-CN"/>
              </w:rPr>
              <w:t>上岗证及消防设施操作员证书（</w:t>
            </w:r>
            <w:r>
              <w:rPr>
                <w:rFonts w:hint="eastAsia" w:ascii="仿宋_GB2312" w:hAnsi="宋体" w:eastAsia="仿宋_GB2312"/>
                <w:b/>
                <w:color w:val="000000"/>
                <w:sz w:val="32"/>
                <w:szCs w:val="32"/>
                <w:vertAlign w:val="baseline"/>
                <w:lang w:val="en-US" w:eastAsia="zh-CN"/>
              </w:rPr>
              <w:t>或建(构)筑物消防员证）</w:t>
            </w:r>
            <w:r>
              <w:rPr>
                <w:rFonts w:hint="eastAsia" w:ascii="仿宋_GB2312" w:hAnsi="宋体" w:eastAsia="仿宋_GB2312"/>
                <w:b/>
                <w:color w:val="000000"/>
                <w:sz w:val="32"/>
                <w:szCs w:val="32"/>
                <w:vertAlign w:val="baseline"/>
                <w:lang w:eastAsia="zh-CN"/>
              </w:rPr>
              <w:t>得2分；（注：须提供相关证书复印件及投标截止前一个月社保证明，未提供不得分。）</w:t>
            </w:r>
          </w:p>
          <w:p w14:paraId="2197B469">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3.3年及以上物业管理服务安保队长工作经历的得</w:t>
            </w:r>
            <w:r>
              <w:rPr>
                <w:rFonts w:hint="eastAsia" w:ascii="仿宋_GB2312" w:hAnsi="宋体" w:eastAsia="仿宋_GB2312"/>
                <w:b/>
                <w:color w:val="000000"/>
                <w:sz w:val="32"/>
                <w:szCs w:val="32"/>
                <w:vertAlign w:val="baseline"/>
                <w:lang w:val="en-US" w:eastAsia="zh-CN"/>
              </w:rPr>
              <w:t>2</w:t>
            </w:r>
            <w:r>
              <w:rPr>
                <w:rFonts w:hint="eastAsia" w:ascii="仿宋_GB2312" w:hAnsi="宋体" w:eastAsia="仿宋_GB2312"/>
                <w:b/>
                <w:color w:val="000000"/>
                <w:sz w:val="32"/>
                <w:szCs w:val="32"/>
                <w:vertAlign w:val="baseline"/>
                <w:lang w:eastAsia="zh-CN"/>
              </w:rPr>
              <w:t>分（需提供业主证明，证明中需体现该人员姓名、职务及物业管理服务安保队长工作年限，否则不得分）；</w:t>
            </w:r>
          </w:p>
          <w:p w14:paraId="7A7048C0">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三、安保人员（3分）：</w:t>
            </w:r>
          </w:p>
          <w:p w14:paraId="50F75B3B">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1.持有消防设施操作员证书（</w:t>
            </w:r>
            <w:r>
              <w:rPr>
                <w:rFonts w:hint="eastAsia" w:ascii="仿宋_GB2312" w:hAnsi="宋体" w:eastAsia="仿宋_GB2312"/>
                <w:b/>
                <w:color w:val="000000"/>
                <w:sz w:val="32"/>
                <w:szCs w:val="32"/>
                <w:vertAlign w:val="baseline"/>
                <w:lang w:val="en-US" w:eastAsia="zh-CN"/>
              </w:rPr>
              <w:t>或建(构)筑物消防员证）</w:t>
            </w:r>
            <w:r>
              <w:rPr>
                <w:rFonts w:hint="eastAsia" w:ascii="仿宋_GB2312" w:hAnsi="宋体" w:eastAsia="仿宋_GB2312"/>
                <w:b/>
                <w:color w:val="000000"/>
                <w:sz w:val="32"/>
                <w:szCs w:val="32"/>
                <w:vertAlign w:val="baseline"/>
                <w:lang w:eastAsia="zh-CN"/>
              </w:rPr>
              <w:t>，每提供1人得0.5分（</w:t>
            </w:r>
            <w:r>
              <w:rPr>
                <w:rFonts w:hint="default" w:ascii="仿宋_GB2312" w:hAnsi="宋体" w:eastAsia="仿宋_GB2312" w:cs="Times New Roman"/>
                <w:b/>
                <w:color w:val="000000"/>
                <w:sz w:val="32"/>
                <w:szCs w:val="32"/>
                <w:vertAlign w:val="baseline"/>
                <w:lang w:eastAsia="zh-CN"/>
              </w:rPr>
              <w:t>一人多证</w:t>
            </w:r>
            <w:r>
              <w:rPr>
                <w:rFonts w:hint="eastAsia" w:ascii="仿宋_GB2312" w:hAnsi="宋体" w:eastAsia="仿宋_GB2312" w:cs="Times New Roman"/>
                <w:b/>
                <w:color w:val="000000"/>
                <w:sz w:val="32"/>
                <w:szCs w:val="32"/>
                <w:vertAlign w:val="baseline"/>
                <w:lang w:eastAsia="zh-CN"/>
              </w:rPr>
              <w:t>不</w:t>
            </w:r>
            <w:r>
              <w:rPr>
                <w:rFonts w:hint="default" w:ascii="仿宋_GB2312" w:hAnsi="宋体" w:eastAsia="仿宋_GB2312" w:cs="Times New Roman"/>
                <w:b/>
                <w:color w:val="000000"/>
                <w:sz w:val="32"/>
                <w:szCs w:val="32"/>
                <w:vertAlign w:val="baseline"/>
                <w:lang w:eastAsia="zh-CN"/>
              </w:rPr>
              <w:t>重复得分</w:t>
            </w:r>
            <w:r>
              <w:rPr>
                <w:rFonts w:hint="eastAsia" w:ascii="仿宋_GB2312" w:hAnsi="宋体" w:eastAsia="仿宋_GB2312" w:cs="Times New Roman"/>
                <w:b/>
                <w:color w:val="000000"/>
                <w:sz w:val="32"/>
                <w:szCs w:val="32"/>
                <w:vertAlign w:val="baseline"/>
                <w:lang w:eastAsia="zh-CN"/>
              </w:rPr>
              <w:t>），</w:t>
            </w:r>
            <w:r>
              <w:rPr>
                <w:rFonts w:hint="eastAsia" w:ascii="仿宋_GB2312" w:hAnsi="宋体" w:eastAsia="仿宋_GB2312"/>
                <w:b/>
                <w:color w:val="000000"/>
                <w:sz w:val="32"/>
                <w:szCs w:val="32"/>
                <w:vertAlign w:val="baseline"/>
                <w:lang w:eastAsia="zh-CN"/>
              </w:rPr>
              <w:t>此项共2分；</w:t>
            </w:r>
          </w:p>
          <w:p w14:paraId="7AD1B8BB">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（注：须提供相关证书复印件及投标截止前一个月社保证明，未提供不得分。）</w:t>
            </w:r>
          </w:p>
          <w:p w14:paraId="5CACAD4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2.承诺所有安保人员为18至50周岁内的中国公</w:t>
            </w:r>
            <w:r>
              <w:rPr>
                <w:rFonts w:hint="eastAsia" w:ascii="仿宋_GB2312" w:hAnsi="宋体" w:eastAsia="仿宋_GB2312" w:cs="Times New Roman"/>
                <w:b/>
                <w:color w:val="000000"/>
                <w:sz w:val="32"/>
                <w:szCs w:val="32"/>
                <w:vertAlign w:val="baseline"/>
                <w:lang w:eastAsia="zh-CN"/>
              </w:rPr>
              <w:t>民且均取</w:t>
            </w:r>
            <w:r>
              <w:rPr>
                <w:rFonts w:hint="eastAsia" w:ascii="仿宋_GB2312" w:hAnsi="宋体" w:eastAsia="仿宋_GB2312"/>
                <w:b/>
                <w:color w:val="000000"/>
                <w:sz w:val="32"/>
                <w:szCs w:val="32"/>
                <w:vertAlign w:val="baseline"/>
                <w:lang w:eastAsia="zh-CN"/>
              </w:rPr>
              <w:t>得安保员上岗证得1分，提供承诺函。</w:t>
            </w:r>
          </w:p>
          <w:p w14:paraId="0BFE7036">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四、保洁主管（2分）：</w:t>
            </w:r>
          </w:p>
          <w:p w14:paraId="67A27BA7">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1.年龄</w:t>
            </w:r>
            <w:r>
              <w:rPr>
                <w:rFonts w:hint="eastAsia" w:ascii="仿宋_GB2312" w:hAnsi="宋体" w:eastAsia="仿宋_GB2312"/>
                <w:b/>
                <w:color w:val="000000"/>
                <w:sz w:val="32"/>
                <w:szCs w:val="32"/>
                <w:vertAlign w:val="baseline"/>
                <w:lang w:val="en-US" w:eastAsia="zh-CN"/>
              </w:rPr>
              <w:t>45</w:t>
            </w:r>
            <w:r>
              <w:rPr>
                <w:rFonts w:hint="eastAsia" w:ascii="仿宋_GB2312" w:hAnsi="宋体" w:eastAsia="仿宋_GB2312"/>
                <w:b/>
                <w:color w:val="000000"/>
                <w:sz w:val="32"/>
                <w:szCs w:val="32"/>
                <w:vertAlign w:val="baseline"/>
                <w:lang w:eastAsia="zh-CN"/>
              </w:rPr>
              <w:t>周岁以下，大专及以上学历，得1分；</w:t>
            </w:r>
          </w:p>
          <w:p w14:paraId="3166EFB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2.从事保洁管理相关服务工作5年以上得1分，（需提供业主证明并盖章，证明中需体现该人员姓名、工作内容及从事保洁管理相关服务工作年限）</w:t>
            </w:r>
          </w:p>
          <w:p w14:paraId="74740463">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五、食堂服务人员（2分）</w:t>
            </w:r>
          </w:p>
          <w:p w14:paraId="5FAE75A0">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食堂服务人员要求身体健康，年龄在50岁以内，全员持健康证上岗，此项共2分。</w:t>
            </w:r>
          </w:p>
          <w:p w14:paraId="1B8B0A02">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（注：须提供相关证书复印件及投标截止前一个月社保证明，未提供不得分。）</w:t>
            </w:r>
          </w:p>
          <w:p w14:paraId="3CEF540B">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六、工程服务人员（2分）</w:t>
            </w:r>
          </w:p>
          <w:p w14:paraId="4C86AF14">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工程高配操作人员同时持高、低压电工作业证上岗每提供1人得0.5分，此项共2分。</w:t>
            </w:r>
          </w:p>
          <w:p w14:paraId="31544A2C">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（注：须提供相关证书复印件及投标截止前一个月社保证明，未提供不得分。）</w:t>
            </w:r>
          </w:p>
          <w:p w14:paraId="6611E8B0">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七、其他（1分）：</w:t>
            </w:r>
          </w:p>
          <w:p w14:paraId="414D1B3C">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承诺上述所有服务人员（男60岁以内，女50岁以内）为其缴纳社保，全员购买人身意外险，提供承诺函得1分。</w:t>
            </w:r>
          </w:p>
        </w:tc>
        <w:tc>
          <w:tcPr>
            <w:tcW w:w="466" w:type="pct"/>
            <w:noWrap w:val="0"/>
            <w:vAlign w:val="top"/>
          </w:tcPr>
          <w:p w14:paraId="50B2C0AB">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20</w:t>
            </w:r>
          </w:p>
        </w:tc>
        <w:tc>
          <w:tcPr>
            <w:tcW w:w="718" w:type="pct"/>
            <w:noWrap w:val="0"/>
            <w:vAlign w:val="top"/>
          </w:tcPr>
          <w:p w14:paraId="78729908">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sz w:val="32"/>
                <w:szCs w:val="32"/>
                <w:vertAlign w:val="baseline"/>
                <w:lang w:val="en-US" w:eastAsia="zh-CN"/>
              </w:rPr>
            </w:pPr>
            <w:r>
              <w:rPr>
                <w:rFonts w:hint="eastAsia" w:ascii="仿宋_GB2312" w:hAnsi="宋体" w:eastAsia="仿宋_GB2312"/>
                <w:b/>
                <w:color w:val="000000"/>
                <w:sz w:val="32"/>
                <w:szCs w:val="32"/>
                <w:vertAlign w:val="baseline"/>
                <w:lang w:val="en-US" w:eastAsia="zh-CN"/>
              </w:rPr>
              <w:t>客观分</w:t>
            </w:r>
          </w:p>
        </w:tc>
      </w:tr>
      <w:tr w14:paraId="0369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567058E9">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9</w:t>
            </w:r>
          </w:p>
        </w:tc>
        <w:tc>
          <w:tcPr>
            <w:tcW w:w="625" w:type="pct"/>
            <w:noWrap w:val="0"/>
            <w:vAlign w:val="top"/>
          </w:tcPr>
          <w:p w14:paraId="41FE8AD6">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2615" w:type="pct"/>
            <w:noWrap w:val="0"/>
            <w:vAlign w:val="top"/>
          </w:tcPr>
          <w:p w14:paraId="7E33297E">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本项目所能投入的工具及机械设备：</w:t>
            </w:r>
          </w:p>
          <w:p w14:paraId="681D29CA">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根据本项目特点，提供完成本项目日常物业工作所需设施设备清单包括但不限于：</w:t>
            </w:r>
          </w:p>
          <w:p w14:paraId="30F8A18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①升降机；</w:t>
            </w:r>
          </w:p>
          <w:p w14:paraId="08E8CD7A">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②驾驶室洗地机；</w:t>
            </w:r>
          </w:p>
          <w:p w14:paraId="6943B6C8">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③垃圾清运车；</w:t>
            </w:r>
          </w:p>
          <w:p w14:paraId="32AA0752">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④清洗打磨一体机；</w:t>
            </w:r>
          </w:p>
          <w:p w14:paraId="64C2BE53">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⑤高压水枪、吸尘器；</w:t>
            </w:r>
          </w:p>
          <w:p w14:paraId="4CA3C9FC">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需提供自有凭证发票或租赁合同等证明材料。每提供一项得1分，不提供不得分。</w:t>
            </w:r>
          </w:p>
        </w:tc>
        <w:tc>
          <w:tcPr>
            <w:tcW w:w="466" w:type="pct"/>
            <w:noWrap w:val="0"/>
            <w:vAlign w:val="top"/>
          </w:tcPr>
          <w:p w14:paraId="0889F06D">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5</w:t>
            </w:r>
          </w:p>
        </w:tc>
        <w:tc>
          <w:tcPr>
            <w:tcW w:w="718" w:type="pct"/>
            <w:noWrap w:val="0"/>
            <w:vAlign w:val="top"/>
          </w:tcPr>
          <w:p w14:paraId="35A3ADF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val="en-US" w:eastAsia="zh-CN"/>
              </w:rPr>
              <w:t>客观分</w:t>
            </w:r>
          </w:p>
        </w:tc>
      </w:tr>
      <w:tr w14:paraId="11DF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6D436B4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10</w:t>
            </w:r>
          </w:p>
        </w:tc>
        <w:tc>
          <w:tcPr>
            <w:tcW w:w="625" w:type="pct"/>
            <w:noWrap w:val="0"/>
            <w:vAlign w:val="top"/>
          </w:tcPr>
          <w:p w14:paraId="2C87F21A">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商务资信</w:t>
            </w:r>
          </w:p>
        </w:tc>
        <w:tc>
          <w:tcPr>
            <w:tcW w:w="2615" w:type="pct"/>
            <w:noWrap w:val="0"/>
            <w:vAlign w:val="top"/>
          </w:tcPr>
          <w:p w14:paraId="3460C285">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培训方案：</w:t>
            </w:r>
          </w:p>
          <w:p w14:paraId="4D7D5DFF">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1.人员培训：岗前培训和在岗培训，管理人员培训方案等内容（3分）</w:t>
            </w:r>
          </w:p>
          <w:p w14:paraId="57ECB1D3">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 安全培训：消防、治安等培训相关内容（3分）</w:t>
            </w:r>
          </w:p>
        </w:tc>
        <w:tc>
          <w:tcPr>
            <w:tcW w:w="466" w:type="pct"/>
            <w:noWrap w:val="0"/>
            <w:vAlign w:val="top"/>
          </w:tcPr>
          <w:p w14:paraId="013F3AC1">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6</w:t>
            </w:r>
          </w:p>
        </w:tc>
        <w:tc>
          <w:tcPr>
            <w:tcW w:w="718" w:type="pct"/>
            <w:noWrap w:val="0"/>
            <w:vAlign w:val="top"/>
          </w:tcPr>
          <w:p w14:paraId="626C5639">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val="en-US" w:eastAsia="zh-CN"/>
              </w:rPr>
              <w:t>主观分</w:t>
            </w:r>
          </w:p>
        </w:tc>
      </w:tr>
      <w:tr w14:paraId="2233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0ED46546">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11</w:t>
            </w:r>
          </w:p>
        </w:tc>
        <w:tc>
          <w:tcPr>
            <w:tcW w:w="625" w:type="pct"/>
            <w:noWrap w:val="0"/>
            <w:vAlign w:val="top"/>
          </w:tcPr>
          <w:p w14:paraId="1CA3E44B">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商务资信</w:t>
            </w:r>
          </w:p>
        </w:tc>
        <w:tc>
          <w:tcPr>
            <w:tcW w:w="2615" w:type="pct"/>
            <w:noWrap w:val="0"/>
            <w:vAlign w:val="top"/>
          </w:tcPr>
          <w:p w14:paraId="12E4769E">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投标人技术力量情况（详见商务要求表）</w:t>
            </w:r>
          </w:p>
        </w:tc>
        <w:tc>
          <w:tcPr>
            <w:tcW w:w="466" w:type="pct"/>
            <w:noWrap w:val="0"/>
            <w:vAlign w:val="top"/>
          </w:tcPr>
          <w:p w14:paraId="1B4A2AD1">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6</w:t>
            </w:r>
          </w:p>
        </w:tc>
        <w:tc>
          <w:tcPr>
            <w:tcW w:w="718" w:type="pct"/>
            <w:noWrap w:val="0"/>
            <w:vAlign w:val="top"/>
          </w:tcPr>
          <w:p w14:paraId="45C060DE">
            <w:pPr>
              <w:keepNext w:val="0"/>
              <w:keepLines w:val="0"/>
              <w:suppressLineNumbers w:val="0"/>
              <w:spacing w:before="156" w:beforeLines="50" w:beforeAutospacing="0" w:after="156" w:afterLines="50" w:afterAutospacing="0" w:line="340" w:lineRule="exact"/>
              <w:ind w:left="0" w:right="0"/>
              <w:rPr>
                <w:rFonts w:hint="default" w:ascii="仿宋_GB2312" w:hAnsi="宋体" w:eastAsia="仿宋_GB2312"/>
                <w:b/>
                <w:color w:val="000000"/>
                <w:sz w:val="32"/>
                <w:szCs w:val="32"/>
                <w:vertAlign w:val="baseline"/>
                <w:lang w:val="en-US" w:eastAsia="zh-CN"/>
              </w:rPr>
            </w:pPr>
            <w:r>
              <w:rPr>
                <w:rFonts w:hint="eastAsia" w:ascii="仿宋_GB2312" w:hAnsi="宋体" w:eastAsia="仿宋_GB2312"/>
                <w:b/>
                <w:color w:val="000000"/>
                <w:sz w:val="32"/>
                <w:szCs w:val="32"/>
                <w:vertAlign w:val="baseline"/>
                <w:lang w:val="en-US" w:eastAsia="zh-CN"/>
              </w:rPr>
              <w:t>客观分</w:t>
            </w:r>
          </w:p>
        </w:tc>
      </w:tr>
      <w:tr w14:paraId="26F5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0"/>
            <w:vAlign w:val="top"/>
          </w:tcPr>
          <w:p w14:paraId="76D9BF2C">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12</w:t>
            </w:r>
          </w:p>
        </w:tc>
        <w:tc>
          <w:tcPr>
            <w:tcW w:w="625" w:type="pct"/>
            <w:noWrap w:val="0"/>
            <w:vAlign w:val="top"/>
          </w:tcPr>
          <w:p w14:paraId="6C693F2D">
            <w:pPr>
              <w:keepNext w:val="0"/>
              <w:keepLines w:val="0"/>
              <w:suppressLineNumbers w:val="0"/>
              <w:spacing w:before="156" w:beforeLines="50" w:beforeAutospacing="0" w:after="156" w:afterLines="50" w:afterAutospacing="0" w:line="340" w:lineRule="exact"/>
              <w:ind w:left="0" w:right="0"/>
              <w:jc w:val="center"/>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商务资信</w:t>
            </w:r>
          </w:p>
        </w:tc>
        <w:tc>
          <w:tcPr>
            <w:tcW w:w="2615" w:type="pct"/>
            <w:noWrap w:val="0"/>
            <w:vAlign w:val="top"/>
          </w:tcPr>
          <w:p w14:paraId="18A47041">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经验或业绩要求（详见商务要求表）</w:t>
            </w:r>
          </w:p>
        </w:tc>
        <w:tc>
          <w:tcPr>
            <w:tcW w:w="466" w:type="pct"/>
            <w:noWrap w:val="0"/>
            <w:vAlign w:val="top"/>
          </w:tcPr>
          <w:p w14:paraId="2CC6B5BC">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w:t>
            </w:r>
          </w:p>
        </w:tc>
        <w:tc>
          <w:tcPr>
            <w:tcW w:w="718" w:type="pct"/>
            <w:noWrap w:val="0"/>
            <w:vAlign w:val="top"/>
          </w:tcPr>
          <w:p w14:paraId="275AA449">
            <w:pPr>
              <w:keepNext w:val="0"/>
              <w:keepLines w:val="0"/>
              <w:suppressLineNumbers w:val="0"/>
              <w:spacing w:before="156" w:beforeLines="50" w:beforeAutospacing="0" w:after="156" w:afterLines="50" w:afterAutospacing="0" w:line="340" w:lineRule="exact"/>
              <w:ind w:left="0" w:right="0"/>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val="en-US" w:eastAsia="zh-CN"/>
              </w:rPr>
              <w:t>客观分</w:t>
            </w:r>
          </w:p>
        </w:tc>
      </w:tr>
    </w:tbl>
    <w:p w14:paraId="0105309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090231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B921C06">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D3CE0B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C7D9B1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751DB3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1EC7DCB">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E730E9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5386F83">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BC9606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29AF695">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BBAB6C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FBB7883">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4A05C86">
      <w:pPr>
        <w:spacing w:after="312" w:afterLines="100" w:line="240" w:lineRule="auto"/>
        <w:jc w:val="center"/>
        <w:outlineLvl w:val="0"/>
        <w:rPr>
          <w:rFonts w:hAnsi="宋体"/>
          <w:b/>
          <w:color w:val="000000" w:themeColor="text1"/>
          <w:sz w:val="36"/>
          <w:szCs w:val="36"/>
          <w14:textFill>
            <w14:solidFill>
              <w14:schemeClr w14:val="tx1"/>
            </w14:solidFill>
          </w14:textFill>
        </w:rPr>
      </w:pPr>
      <w:bookmarkStart w:id="30" w:name="_Toc24960"/>
      <w:r>
        <w:rPr>
          <w:rFonts w:hint="eastAsia" w:hAnsi="宋体"/>
          <w:b/>
          <w:color w:val="000000" w:themeColor="text1"/>
          <w:sz w:val="36"/>
          <w:szCs w:val="36"/>
          <w14:textFill>
            <w14:solidFill>
              <w14:schemeClr w14:val="tx1"/>
            </w14:solidFill>
          </w14:textFill>
        </w:rPr>
        <w:t>第四章招标需求</w:t>
      </w:r>
      <w:bookmarkEnd w:id="29"/>
      <w:bookmarkEnd w:id="30"/>
    </w:p>
    <w:p w14:paraId="4E54D64F">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3894702C">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11D2989C">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085E877B">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60170AAC">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180D87E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5023B89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1F1F5846">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6C1B6742">
      <w:pPr>
        <w:rPr>
          <w:color w:val="auto"/>
          <w:highlight w:val="none"/>
        </w:rPr>
      </w:pPr>
      <w:r>
        <w:rPr>
          <w:rFonts w:hint="eastAsia"/>
          <w:color w:val="auto"/>
          <w:highlight w:val="none"/>
        </w:rPr>
        <w:t>一、项目背景</w:t>
      </w:r>
    </w:p>
    <w:p w14:paraId="7627F6E4">
      <w:pPr>
        <w:rPr>
          <w:color w:val="auto"/>
          <w:highlight w:val="none"/>
        </w:rPr>
      </w:pPr>
      <w:r>
        <w:rPr>
          <w:rFonts w:hint="eastAsia"/>
          <w:color w:val="auto"/>
          <w:highlight w:val="none"/>
        </w:rPr>
        <w:t>（一）项目名称：浙江省交通运输宣传与保障中心</w:t>
      </w:r>
      <w:r>
        <w:rPr>
          <w:color w:val="auto"/>
          <w:highlight w:val="none"/>
        </w:rPr>
        <w:t>2025</w:t>
      </w:r>
      <w:r>
        <w:rPr>
          <w:rFonts w:hint="eastAsia"/>
          <w:color w:val="auto"/>
          <w:highlight w:val="none"/>
        </w:rPr>
        <w:t>年机关大院物业服务项目。</w:t>
      </w:r>
    </w:p>
    <w:p w14:paraId="02449BA3">
      <w:pPr>
        <w:rPr>
          <w:color w:val="auto"/>
          <w:highlight w:val="none"/>
        </w:rPr>
      </w:pPr>
      <w:r>
        <w:rPr>
          <w:rFonts w:hint="eastAsia"/>
          <w:color w:val="auto"/>
          <w:highlight w:val="none"/>
        </w:rPr>
        <w:t>（二）项目地址：杭州市上城区梅花碑</w:t>
      </w:r>
      <w:r>
        <w:rPr>
          <w:color w:val="auto"/>
          <w:highlight w:val="none"/>
        </w:rPr>
        <w:t>4</w:t>
      </w:r>
      <w:r>
        <w:rPr>
          <w:rFonts w:hint="eastAsia"/>
          <w:color w:val="auto"/>
          <w:highlight w:val="none"/>
        </w:rPr>
        <w:t>号。</w:t>
      </w:r>
    </w:p>
    <w:p w14:paraId="34F201A0">
      <w:pPr>
        <w:rPr>
          <w:color w:val="auto"/>
          <w:highlight w:val="none"/>
        </w:rPr>
      </w:pPr>
      <w:r>
        <w:rPr>
          <w:rFonts w:hint="eastAsia"/>
          <w:color w:val="auto"/>
          <w:highlight w:val="none"/>
        </w:rPr>
        <w:t>（三）服务范围：浙江省交通运输宣传与保障中心机关大院建筑总面积</w:t>
      </w:r>
      <w:r>
        <w:rPr>
          <w:color w:val="auto"/>
          <w:highlight w:val="none"/>
        </w:rPr>
        <w:t>19550.76</w:t>
      </w:r>
      <w:r>
        <w:rPr>
          <w:rFonts w:hint="eastAsia"/>
          <w:color w:val="auto"/>
          <w:highlight w:val="none"/>
        </w:rPr>
        <w:t>㎡（具体以房屋产权证及土地使用权证书为准），大楼主楼</w:t>
      </w:r>
      <w:r>
        <w:rPr>
          <w:color w:val="auto"/>
          <w:highlight w:val="none"/>
        </w:rPr>
        <w:t>2</w:t>
      </w:r>
      <w:r>
        <w:rPr>
          <w:rFonts w:hint="eastAsia"/>
          <w:color w:val="auto"/>
          <w:highlight w:val="none"/>
        </w:rPr>
        <w:t>号楼共有</w:t>
      </w:r>
      <w:r>
        <w:rPr>
          <w:color w:val="auto"/>
          <w:highlight w:val="none"/>
        </w:rPr>
        <w:t>9</w:t>
      </w:r>
      <w:r>
        <w:rPr>
          <w:rFonts w:hint="eastAsia"/>
          <w:color w:val="auto"/>
          <w:highlight w:val="none"/>
        </w:rPr>
        <w:t>层（含地下车库</w:t>
      </w:r>
      <w:r>
        <w:rPr>
          <w:color w:val="auto"/>
          <w:highlight w:val="none"/>
        </w:rPr>
        <w:t>1</w:t>
      </w:r>
      <w:r>
        <w:rPr>
          <w:rFonts w:hint="eastAsia"/>
          <w:color w:val="auto"/>
          <w:highlight w:val="none"/>
        </w:rPr>
        <w:t>个）；另</w:t>
      </w:r>
      <w:r>
        <w:rPr>
          <w:color w:val="auto"/>
          <w:highlight w:val="none"/>
        </w:rPr>
        <w:t>1</w:t>
      </w:r>
      <w:r>
        <w:rPr>
          <w:rFonts w:hint="eastAsia"/>
          <w:color w:val="auto"/>
          <w:highlight w:val="none"/>
        </w:rPr>
        <w:t>号楼为</w:t>
      </w:r>
      <w:r>
        <w:rPr>
          <w:color w:val="auto"/>
          <w:highlight w:val="none"/>
        </w:rPr>
        <w:t>12</w:t>
      </w:r>
      <w:r>
        <w:rPr>
          <w:rFonts w:hint="eastAsia"/>
          <w:color w:val="auto"/>
          <w:highlight w:val="none"/>
        </w:rPr>
        <w:t>层。地面车位共</w:t>
      </w:r>
      <w:r>
        <w:rPr>
          <w:color w:val="auto"/>
          <w:highlight w:val="none"/>
        </w:rPr>
        <w:t>61</w:t>
      </w:r>
      <w:r>
        <w:rPr>
          <w:rFonts w:hint="eastAsia"/>
          <w:color w:val="auto"/>
          <w:highlight w:val="none"/>
        </w:rPr>
        <w:t>个，地下车位</w:t>
      </w:r>
      <w:r>
        <w:rPr>
          <w:color w:val="auto"/>
          <w:highlight w:val="none"/>
        </w:rPr>
        <w:t>97</w:t>
      </w:r>
      <w:r>
        <w:rPr>
          <w:rFonts w:hint="eastAsia"/>
          <w:color w:val="auto"/>
          <w:highlight w:val="none"/>
        </w:rPr>
        <w:t>个、立体车库车位</w:t>
      </w:r>
      <w:r>
        <w:rPr>
          <w:color w:val="auto"/>
          <w:highlight w:val="none"/>
        </w:rPr>
        <w:t>142</w:t>
      </w:r>
      <w:r>
        <w:rPr>
          <w:rFonts w:hint="eastAsia"/>
          <w:color w:val="auto"/>
          <w:highlight w:val="none"/>
        </w:rPr>
        <w:t>个，其中</w:t>
      </w:r>
      <w:r>
        <w:rPr>
          <w:color w:val="auto"/>
          <w:highlight w:val="none"/>
        </w:rPr>
        <w:t>A</w:t>
      </w:r>
      <w:r>
        <w:rPr>
          <w:rFonts w:hint="eastAsia"/>
          <w:color w:val="auto"/>
          <w:highlight w:val="none"/>
        </w:rPr>
        <w:t>车库</w:t>
      </w:r>
      <w:r>
        <w:rPr>
          <w:color w:val="auto"/>
          <w:highlight w:val="none"/>
        </w:rPr>
        <w:t>31</w:t>
      </w:r>
      <w:r>
        <w:rPr>
          <w:rFonts w:hint="eastAsia"/>
          <w:color w:val="auto"/>
          <w:highlight w:val="none"/>
        </w:rPr>
        <w:t>个、</w:t>
      </w:r>
      <w:r>
        <w:rPr>
          <w:color w:val="auto"/>
          <w:highlight w:val="none"/>
        </w:rPr>
        <w:t>B</w:t>
      </w:r>
      <w:r>
        <w:rPr>
          <w:rFonts w:hint="eastAsia"/>
          <w:color w:val="auto"/>
          <w:highlight w:val="none"/>
        </w:rPr>
        <w:t>车库</w:t>
      </w:r>
      <w:r>
        <w:rPr>
          <w:color w:val="auto"/>
          <w:highlight w:val="none"/>
        </w:rPr>
        <w:t>31</w:t>
      </w:r>
      <w:r>
        <w:rPr>
          <w:rFonts w:hint="eastAsia"/>
          <w:color w:val="auto"/>
          <w:highlight w:val="none"/>
        </w:rPr>
        <w:t>个、</w:t>
      </w:r>
      <w:r>
        <w:rPr>
          <w:color w:val="auto"/>
          <w:highlight w:val="none"/>
        </w:rPr>
        <w:t>C</w:t>
      </w:r>
      <w:r>
        <w:rPr>
          <w:rFonts w:hint="eastAsia"/>
          <w:color w:val="auto"/>
          <w:highlight w:val="none"/>
        </w:rPr>
        <w:t>车库</w:t>
      </w:r>
      <w:r>
        <w:rPr>
          <w:color w:val="auto"/>
          <w:highlight w:val="none"/>
        </w:rPr>
        <w:t>31</w:t>
      </w:r>
      <w:r>
        <w:rPr>
          <w:rFonts w:hint="eastAsia"/>
          <w:color w:val="auto"/>
          <w:highlight w:val="none"/>
        </w:rPr>
        <w:t>个、</w:t>
      </w:r>
      <w:r>
        <w:rPr>
          <w:color w:val="auto"/>
          <w:highlight w:val="none"/>
        </w:rPr>
        <w:t>D</w:t>
      </w:r>
      <w:r>
        <w:rPr>
          <w:rFonts w:hint="eastAsia"/>
          <w:color w:val="auto"/>
          <w:highlight w:val="none"/>
        </w:rPr>
        <w:t>车库</w:t>
      </w:r>
      <w:r>
        <w:rPr>
          <w:color w:val="auto"/>
          <w:highlight w:val="none"/>
        </w:rPr>
        <w:t>49</w:t>
      </w:r>
      <w:r>
        <w:rPr>
          <w:rFonts w:hint="eastAsia"/>
          <w:color w:val="auto"/>
          <w:highlight w:val="none"/>
        </w:rPr>
        <w:t>个，共计停车位</w:t>
      </w:r>
      <w:r>
        <w:rPr>
          <w:color w:val="auto"/>
          <w:highlight w:val="none"/>
        </w:rPr>
        <w:t>300</w:t>
      </w:r>
      <w:r>
        <w:rPr>
          <w:rFonts w:hint="eastAsia"/>
          <w:color w:val="auto"/>
          <w:highlight w:val="none"/>
        </w:rPr>
        <w:t>个。地址：杭州市上城区梅花碑</w:t>
      </w:r>
      <w:r>
        <w:rPr>
          <w:color w:val="auto"/>
          <w:highlight w:val="none"/>
        </w:rPr>
        <w:t>4</w:t>
      </w:r>
      <w:r>
        <w:rPr>
          <w:rFonts w:hint="eastAsia"/>
          <w:color w:val="auto"/>
          <w:highlight w:val="none"/>
        </w:rPr>
        <w:t>号。</w:t>
      </w:r>
    </w:p>
    <w:p w14:paraId="5573262B">
      <w:pPr>
        <w:rPr>
          <w:color w:val="auto"/>
          <w:highlight w:val="none"/>
        </w:rPr>
      </w:pPr>
      <w:r>
        <w:rPr>
          <w:rFonts w:hint="eastAsia"/>
          <w:color w:val="auto"/>
          <w:highlight w:val="none"/>
        </w:rPr>
        <w:t>二、技术规范及要求</w:t>
      </w:r>
    </w:p>
    <w:p w14:paraId="41D2B2EF">
      <w:pPr>
        <w:rPr>
          <w:color w:val="auto"/>
          <w:highlight w:val="none"/>
        </w:rPr>
      </w:pPr>
      <w:r>
        <w:rPr>
          <w:rFonts w:hint="eastAsia"/>
          <w:color w:val="auto"/>
          <w:highlight w:val="none"/>
        </w:rPr>
        <w:t>为体现精简效能的原则，本着后勤服务社会化的改革方向，积极扩大社会化用工，科学合理组织管理，决定委托专业公司来完成浙江省交通运输宣传与保障中心机关大院指定外包区域相关物业服务：</w:t>
      </w:r>
    </w:p>
    <w:p w14:paraId="61562CDA">
      <w:pPr>
        <w:rPr>
          <w:color w:val="auto"/>
          <w:highlight w:val="none"/>
        </w:rPr>
      </w:pPr>
      <w:r>
        <w:rPr>
          <w:rFonts w:hint="eastAsia"/>
          <w:color w:val="auto"/>
          <w:highlight w:val="none"/>
        </w:rPr>
        <w:t>（一）管理服务应达到的各项指标</w:t>
      </w:r>
    </w:p>
    <w:p w14:paraId="44138C58">
      <w:pPr>
        <w:rPr>
          <w:color w:val="auto"/>
          <w:highlight w:val="none"/>
        </w:rPr>
      </w:pPr>
      <w:r>
        <w:rPr>
          <w:color w:val="auto"/>
          <w:highlight w:val="none"/>
        </w:rPr>
        <w:t>1</w:t>
      </w:r>
      <w:r>
        <w:rPr>
          <w:rFonts w:hint="eastAsia"/>
          <w:color w:val="auto"/>
          <w:highlight w:val="none"/>
        </w:rPr>
        <w:t>、各类服务人员上岗培训率达到</w:t>
      </w:r>
      <w:r>
        <w:rPr>
          <w:color w:val="auto"/>
          <w:highlight w:val="none"/>
        </w:rPr>
        <w:t>100%</w:t>
      </w:r>
      <w:r>
        <w:rPr>
          <w:rFonts w:hint="eastAsia"/>
          <w:color w:val="auto"/>
          <w:highlight w:val="none"/>
        </w:rPr>
        <w:t>；</w:t>
      </w:r>
    </w:p>
    <w:p w14:paraId="0A8F1937">
      <w:pPr>
        <w:rPr>
          <w:color w:val="auto"/>
          <w:highlight w:val="none"/>
        </w:rPr>
      </w:pPr>
      <w:r>
        <w:rPr>
          <w:color w:val="auto"/>
          <w:highlight w:val="none"/>
        </w:rPr>
        <w:t>2</w:t>
      </w:r>
      <w:r>
        <w:rPr>
          <w:rFonts w:hint="eastAsia"/>
          <w:color w:val="auto"/>
          <w:highlight w:val="none"/>
        </w:rPr>
        <w:t>、治安案件发生率为</w:t>
      </w:r>
      <w:r>
        <w:rPr>
          <w:color w:val="auto"/>
          <w:highlight w:val="none"/>
        </w:rPr>
        <w:t>0</w:t>
      </w:r>
      <w:r>
        <w:rPr>
          <w:rFonts w:hint="eastAsia"/>
          <w:color w:val="auto"/>
          <w:highlight w:val="none"/>
        </w:rPr>
        <w:t>；</w:t>
      </w:r>
    </w:p>
    <w:p w14:paraId="6D4AB62D">
      <w:pPr>
        <w:rPr>
          <w:color w:val="auto"/>
          <w:highlight w:val="none"/>
        </w:rPr>
      </w:pPr>
      <w:r>
        <w:rPr>
          <w:color w:val="auto"/>
          <w:highlight w:val="none"/>
        </w:rPr>
        <w:t>3</w:t>
      </w:r>
      <w:r>
        <w:rPr>
          <w:rFonts w:hint="eastAsia"/>
          <w:color w:val="auto"/>
          <w:highlight w:val="none"/>
        </w:rPr>
        <w:t>、火灾责任事故、刑事案件率为</w:t>
      </w:r>
      <w:r>
        <w:rPr>
          <w:color w:val="auto"/>
          <w:highlight w:val="none"/>
        </w:rPr>
        <w:t>0</w:t>
      </w:r>
      <w:r>
        <w:rPr>
          <w:rFonts w:hint="eastAsia"/>
          <w:color w:val="auto"/>
          <w:highlight w:val="none"/>
        </w:rPr>
        <w:t>；</w:t>
      </w:r>
    </w:p>
    <w:p w14:paraId="66755543">
      <w:pPr>
        <w:rPr>
          <w:color w:val="auto"/>
          <w:highlight w:val="none"/>
        </w:rPr>
      </w:pPr>
      <w:r>
        <w:rPr>
          <w:color w:val="auto"/>
          <w:highlight w:val="none"/>
        </w:rPr>
        <w:t>4</w:t>
      </w:r>
      <w:r>
        <w:rPr>
          <w:rFonts w:hint="eastAsia"/>
          <w:color w:val="auto"/>
          <w:highlight w:val="none"/>
        </w:rPr>
        <w:t>、环境卫生、清洁率达</w:t>
      </w:r>
      <w:r>
        <w:rPr>
          <w:color w:val="auto"/>
          <w:highlight w:val="none"/>
        </w:rPr>
        <w:t>98%</w:t>
      </w:r>
      <w:r>
        <w:rPr>
          <w:rFonts w:hint="eastAsia"/>
          <w:color w:val="auto"/>
          <w:highlight w:val="none"/>
        </w:rPr>
        <w:t>；</w:t>
      </w:r>
    </w:p>
    <w:p w14:paraId="53EAF91F">
      <w:pPr>
        <w:rPr>
          <w:color w:val="auto"/>
          <w:highlight w:val="none"/>
        </w:rPr>
      </w:pPr>
      <w:r>
        <w:rPr>
          <w:color w:val="auto"/>
          <w:highlight w:val="none"/>
        </w:rPr>
        <w:t>5</w:t>
      </w:r>
      <w:r>
        <w:rPr>
          <w:rFonts w:hint="eastAsia"/>
          <w:color w:val="auto"/>
          <w:highlight w:val="none"/>
        </w:rPr>
        <w:t>、消防、安防设备设施完好率</w:t>
      </w:r>
      <w:r>
        <w:rPr>
          <w:color w:val="auto"/>
          <w:highlight w:val="none"/>
        </w:rPr>
        <w:t>100%</w:t>
      </w:r>
      <w:r>
        <w:rPr>
          <w:rFonts w:hint="eastAsia"/>
          <w:color w:val="auto"/>
          <w:highlight w:val="none"/>
        </w:rPr>
        <w:t>；</w:t>
      </w:r>
    </w:p>
    <w:p w14:paraId="328D22B2">
      <w:pPr>
        <w:rPr>
          <w:color w:val="auto"/>
          <w:highlight w:val="none"/>
        </w:rPr>
      </w:pPr>
      <w:r>
        <w:rPr>
          <w:color w:val="auto"/>
          <w:highlight w:val="none"/>
        </w:rPr>
        <w:t>6</w:t>
      </w:r>
      <w:r>
        <w:rPr>
          <w:rFonts w:hint="eastAsia"/>
          <w:color w:val="auto"/>
          <w:highlight w:val="none"/>
        </w:rPr>
        <w:t>、智能化系统运行正常率</w:t>
      </w:r>
      <w:r>
        <w:rPr>
          <w:color w:val="auto"/>
          <w:highlight w:val="none"/>
        </w:rPr>
        <w:t>95%</w:t>
      </w:r>
      <w:r>
        <w:rPr>
          <w:rFonts w:hint="eastAsia"/>
          <w:color w:val="auto"/>
          <w:highlight w:val="none"/>
        </w:rPr>
        <w:t>；</w:t>
      </w:r>
    </w:p>
    <w:p w14:paraId="5120FC45">
      <w:pPr>
        <w:rPr>
          <w:color w:val="auto"/>
          <w:highlight w:val="none"/>
        </w:rPr>
      </w:pPr>
      <w:r>
        <w:rPr>
          <w:color w:val="auto"/>
          <w:highlight w:val="none"/>
        </w:rPr>
        <w:t>7</w:t>
      </w:r>
      <w:r>
        <w:rPr>
          <w:rFonts w:hint="eastAsia"/>
          <w:color w:val="auto"/>
          <w:highlight w:val="none"/>
        </w:rPr>
        <w:t>、服务有效投诉少于</w:t>
      </w:r>
      <w:r>
        <w:rPr>
          <w:color w:val="auto"/>
          <w:highlight w:val="none"/>
        </w:rPr>
        <w:t>1%</w:t>
      </w:r>
      <w:r>
        <w:rPr>
          <w:rFonts w:hint="eastAsia"/>
          <w:color w:val="auto"/>
          <w:highlight w:val="none"/>
        </w:rPr>
        <w:t>，处理率</w:t>
      </w:r>
      <w:r>
        <w:rPr>
          <w:color w:val="auto"/>
          <w:highlight w:val="none"/>
        </w:rPr>
        <w:t>100%</w:t>
      </w:r>
      <w:r>
        <w:rPr>
          <w:rFonts w:hint="eastAsia"/>
          <w:color w:val="auto"/>
          <w:highlight w:val="none"/>
        </w:rPr>
        <w:t>；</w:t>
      </w:r>
    </w:p>
    <w:p w14:paraId="2BCCB673">
      <w:pPr>
        <w:rPr>
          <w:color w:val="auto"/>
          <w:highlight w:val="none"/>
        </w:rPr>
      </w:pPr>
      <w:r>
        <w:rPr>
          <w:color w:val="auto"/>
          <w:highlight w:val="none"/>
        </w:rPr>
        <w:t>8</w:t>
      </w:r>
      <w:r>
        <w:rPr>
          <w:rFonts w:hint="eastAsia"/>
          <w:color w:val="auto"/>
          <w:highlight w:val="none"/>
        </w:rPr>
        <w:t>、业主满意率</w:t>
      </w:r>
      <w:r>
        <w:rPr>
          <w:color w:val="auto"/>
          <w:highlight w:val="none"/>
        </w:rPr>
        <w:t>95%</w:t>
      </w:r>
      <w:r>
        <w:rPr>
          <w:rFonts w:hint="eastAsia"/>
          <w:color w:val="auto"/>
          <w:highlight w:val="none"/>
        </w:rPr>
        <w:t>。</w:t>
      </w:r>
    </w:p>
    <w:p w14:paraId="4F5D15C6">
      <w:pPr>
        <w:rPr>
          <w:color w:val="auto"/>
          <w:highlight w:val="none"/>
        </w:rPr>
      </w:pPr>
      <w:r>
        <w:rPr>
          <w:rFonts w:hint="eastAsia"/>
          <w:color w:val="auto"/>
          <w:highlight w:val="none"/>
        </w:rPr>
        <w:t>（二）物业管理服务具体内容及基本要求</w:t>
      </w:r>
      <w:r>
        <w:rPr>
          <w:color w:val="auto"/>
          <w:highlight w:val="none"/>
        </w:rPr>
        <w:t>(</w:t>
      </w:r>
      <w:r>
        <w:rPr>
          <w:rFonts w:hint="eastAsia"/>
          <w:color w:val="auto"/>
          <w:highlight w:val="none"/>
        </w:rPr>
        <w:t>包括但不限于</w:t>
      </w:r>
      <w:r>
        <w:rPr>
          <w:color w:val="auto"/>
          <w:highlight w:val="none"/>
        </w:rPr>
        <w:t>)</w:t>
      </w:r>
      <w:r>
        <w:rPr>
          <w:rFonts w:hint="eastAsia"/>
          <w:color w:val="auto"/>
          <w:highlight w:val="none"/>
        </w:rPr>
        <w:t>：</w:t>
      </w:r>
    </w:p>
    <w:p w14:paraId="566A2554">
      <w:pPr>
        <w:rPr>
          <w:color w:val="auto"/>
          <w:highlight w:val="none"/>
        </w:rPr>
      </w:pPr>
      <w:r>
        <w:rPr>
          <w:rFonts w:hint="eastAsia"/>
          <w:color w:val="auto"/>
          <w:highlight w:val="none"/>
        </w:rPr>
        <w:t>一、楼内环境的管理内容</w:t>
      </w:r>
    </w:p>
    <w:p w14:paraId="13E3AEAF">
      <w:pPr>
        <w:rPr>
          <w:color w:val="auto"/>
          <w:highlight w:val="none"/>
        </w:rPr>
      </w:pPr>
      <w:r>
        <w:rPr>
          <w:rFonts w:hint="eastAsia"/>
          <w:color w:val="auto"/>
          <w:highlight w:val="none"/>
        </w:rPr>
        <w:t>①公共区域保洁：含部分办公室（约</w:t>
      </w:r>
      <w:r>
        <w:rPr>
          <w:color w:val="auto"/>
          <w:highlight w:val="none"/>
        </w:rPr>
        <w:t>40</w:t>
      </w:r>
      <w:r>
        <w:rPr>
          <w:rFonts w:hint="eastAsia"/>
          <w:color w:val="auto"/>
          <w:highlight w:val="none"/>
        </w:rPr>
        <w:t>间左右）、大厅、走廊、过道、楼梯、天台与屋顶、明沟、</w:t>
      </w:r>
      <w:r>
        <w:rPr>
          <w:color w:val="auto"/>
          <w:highlight w:val="none"/>
        </w:rPr>
        <w:t>2</w:t>
      </w:r>
      <w:r>
        <w:rPr>
          <w:rFonts w:hint="eastAsia"/>
          <w:color w:val="auto"/>
          <w:highlight w:val="none"/>
        </w:rPr>
        <w:t>米以下的外墙，外露管道、标志牌、道路、灯具、公共绿化以及其他公共区域的清扫保洁，办公和生活垃圾的收集和清运、协助化粪池的清理、污水管道的疏通、卫生防疫等。各楼层的垃圾或果壳箱，保持箱内无污染；楼梯、走廊的地面保持整洁，无随意堆放的垃圾和杂物，窗、门干净、明亮，垃圾日产日清；电梯厢内外做到无尘、无指纹。</w:t>
      </w:r>
    </w:p>
    <w:p w14:paraId="0695531C">
      <w:pPr>
        <w:rPr>
          <w:color w:val="auto"/>
          <w:highlight w:val="none"/>
        </w:rPr>
      </w:pPr>
      <w:r>
        <w:rPr>
          <w:rFonts w:hint="eastAsia"/>
          <w:color w:val="auto"/>
          <w:highlight w:val="none"/>
        </w:rPr>
        <w:t>②特定区域保洁：公共卫生间、活动室、健身房、机房、功能厅、会议室、接待室等特定区域的保洁。</w:t>
      </w:r>
    </w:p>
    <w:p w14:paraId="374BDA9E">
      <w:pPr>
        <w:rPr>
          <w:color w:val="auto"/>
          <w:highlight w:val="none"/>
        </w:rPr>
      </w:pPr>
      <w:r>
        <w:rPr>
          <w:rFonts w:hint="eastAsia"/>
          <w:color w:val="auto"/>
          <w:highlight w:val="none"/>
        </w:rPr>
        <w:t>③专项保洁：地毯、踏垫定期清洗、除尘，大理石地坪定期打腊抛光保养，标识牌及会议桌椅家具、各种灯具定期清擦除尘。</w:t>
      </w:r>
    </w:p>
    <w:p w14:paraId="6ABCE42B">
      <w:pPr>
        <w:rPr>
          <w:color w:val="auto"/>
          <w:highlight w:val="none"/>
        </w:rPr>
      </w:pPr>
      <w:r>
        <w:rPr>
          <w:rFonts w:hint="eastAsia"/>
          <w:color w:val="auto"/>
          <w:highlight w:val="none"/>
        </w:rPr>
        <w:t>保洁标准：</w:t>
      </w:r>
    </w:p>
    <w:p w14:paraId="17DFFCED">
      <w:pPr>
        <w:rPr>
          <w:color w:val="auto"/>
          <w:highlight w:val="none"/>
        </w:rPr>
      </w:pPr>
      <w:r>
        <w:rPr>
          <w:color w:val="auto"/>
          <w:highlight w:val="none"/>
        </w:rPr>
        <w:t>1</w:t>
      </w:r>
      <w:r>
        <w:rPr>
          <w:rFonts w:hint="eastAsia"/>
          <w:color w:val="auto"/>
          <w:highlight w:val="none"/>
        </w:rPr>
        <w:t>、清扫、拖洗楼内公共走廊地面和楼梯间地面，并随时保洁。</w:t>
      </w:r>
    </w:p>
    <w:p w14:paraId="202268E0">
      <w:pPr>
        <w:rPr>
          <w:color w:val="auto"/>
          <w:highlight w:val="none"/>
        </w:rPr>
      </w:pPr>
      <w:r>
        <w:rPr>
          <w:color w:val="auto"/>
          <w:highlight w:val="none"/>
        </w:rPr>
        <w:t>2</w:t>
      </w:r>
      <w:r>
        <w:rPr>
          <w:rFonts w:hint="eastAsia"/>
          <w:color w:val="auto"/>
          <w:highlight w:val="none"/>
        </w:rPr>
        <w:t>、清洁擦拭各层办公室外门和门套、防火门、走廊灯具、开关、栏杆、楼梯扶手、瓷砖墙面、窗台板等。</w:t>
      </w:r>
    </w:p>
    <w:p w14:paraId="29928EC4">
      <w:pPr>
        <w:rPr>
          <w:color w:val="auto"/>
          <w:highlight w:val="none"/>
        </w:rPr>
      </w:pPr>
      <w:r>
        <w:rPr>
          <w:color w:val="auto"/>
          <w:highlight w:val="none"/>
        </w:rPr>
        <w:t>4</w:t>
      </w:r>
      <w:r>
        <w:rPr>
          <w:rFonts w:hint="eastAsia"/>
          <w:color w:val="auto"/>
          <w:highlight w:val="none"/>
        </w:rPr>
        <w:t>、随时清抹大厅玻璃门、电梯门、电梯按钮，电梯轿箱内不锈钢壁面。</w:t>
      </w:r>
    </w:p>
    <w:p w14:paraId="58DB35E9">
      <w:pPr>
        <w:rPr>
          <w:color w:val="auto"/>
          <w:highlight w:val="none"/>
        </w:rPr>
      </w:pPr>
      <w:r>
        <w:rPr>
          <w:color w:val="auto"/>
          <w:highlight w:val="none"/>
        </w:rPr>
        <w:t>5</w:t>
      </w:r>
      <w:r>
        <w:rPr>
          <w:rFonts w:hint="eastAsia"/>
          <w:color w:val="auto"/>
          <w:highlight w:val="none"/>
        </w:rPr>
        <w:t>、及时清洗和保洁卫生间和茶水间内的墙面、地面、台面及卫生洁具，及时清洗垃圾桶；及时添置公共洗手间卫生纸和洗手液。</w:t>
      </w:r>
    </w:p>
    <w:p w14:paraId="0713C6AD">
      <w:pPr>
        <w:rPr>
          <w:color w:val="auto"/>
          <w:highlight w:val="none"/>
        </w:rPr>
      </w:pPr>
      <w:r>
        <w:rPr>
          <w:color w:val="auto"/>
          <w:highlight w:val="none"/>
        </w:rPr>
        <w:t>6</w:t>
      </w:r>
      <w:r>
        <w:rPr>
          <w:rFonts w:hint="eastAsia"/>
          <w:color w:val="auto"/>
          <w:highlight w:val="none"/>
        </w:rPr>
        <w:t>、大堂地面保持光洁，电梯内花岗岩地面每季打蜡和养护。</w:t>
      </w:r>
    </w:p>
    <w:p w14:paraId="73CF438E">
      <w:pPr>
        <w:rPr>
          <w:color w:val="auto"/>
          <w:highlight w:val="none"/>
        </w:rPr>
      </w:pPr>
      <w:r>
        <w:rPr>
          <w:color w:val="auto"/>
          <w:highlight w:val="none"/>
        </w:rPr>
        <w:t>7</w:t>
      </w:r>
      <w:r>
        <w:rPr>
          <w:rFonts w:hint="eastAsia"/>
          <w:color w:val="auto"/>
          <w:highlight w:val="none"/>
        </w:rPr>
        <w:t>、楼外道路每天清扫和每</w:t>
      </w:r>
      <w:r>
        <w:rPr>
          <w:color w:val="auto"/>
          <w:highlight w:val="none"/>
        </w:rPr>
        <w:t>2</w:t>
      </w:r>
      <w:r>
        <w:rPr>
          <w:rFonts w:hint="eastAsia"/>
          <w:color w:val="auto"/>
          <w:highlight w:val="none"/>
        </w:rPr>
        <w:t>个月清洗一次，垃圾桶每天及时清倒、清洗；及时清理公共场所，公共绿地的废弃杂物；及时清扫积水、积雪；及时组织清理乱堆放物品、乱张贴宣传品等。</w:t>
      </w:r>
    </w:p>
    <w:p w14:paraId="63495760">
      <w:pPr>
        <w:rPr>
          <w:color w:val="auto"/>
          <w:highlight w:val="none"/>
        </w:rPr>
      </w:pPr>
      <w:r>
        <w:rPr>
          <w:color w:val="auto"/>
          <w:highlight w:val="none"/>
        </w:rPr>
        <w:t>8</w:t>
      </w:r>
      <w:r>
        <w:rPr>
          <w:rFonts w:hint="eastAsia"/>
          <w:color w:val="auto"/>
          <w:highlight w:val="none"/>
        </w:rPr>
        <w:t>、会议室及接待室在每次使用后及时清扫、整理。</w:t>
      </w:r>
    </w:p>
    <w:p w14:paraId="6FB8212D">
      <w:pPr>
        <w:rPr>
          <w:color w:val="auto"/>
          <w:highlight w:val="none"/>
        </w:rPr>
      </w:pPr>
      <w:r>
        <w:rPr>
          <w:color w:val="auto"/>
          <w:highlight w:val="none"/>
        </w:rPr>
        <w:t>9</w:t>
      </w:r>
      <w:r>
        <w:rPr>
          <w:rFonts w:hint="eastAsia"/>
          <w:color w:val="auto"/>
          <w:highlight w:val="none"/>
        </w:rPr>
        <w:t>、定期清抹路灯、标识牌等。</w:t>
      </w:r>
    </w:p>
    <w:p w14:paraId="662AFF81">
      <w:pPr>
        <w:rPr>
          <w:color w:val="auto"/>
          <w:highlight w:val="none"/>
        </w:rPr>
      </w:pPr>
      <w:r>
        <w:rPr>
          <w:color w:val="auto"/>
          <w:highlight w:val="none"/>
        </w:rPr>
        <w:t>10</w:t>
      </w:r>
      <w:r>
        <w:rPr>
          <w:rFonts w:hint="eastAsia"/>
          <w:color w:val="auto"/>
          <w:highlight w:val="none"/>
        </w:rPr>
        <w:t>、保洁时间尽量与上班时间错开，避免干扰正常工作。</w:t>
      </w:r>
    </w:p>
    <w:p w14:paraId="632C06D4">
      <w:pPr>
        <w:rPr>
          <w:color w:val="auto"/>
          <w:highlight w:val="none"/>
        </w:rPr>
      </w:pPr>
      <w:r>
        <w:rPr>
          <w:color w:val="auto"/>
          <w:highlight w:val="none"/>
        </w:rPr>
        <w:t>11</w:t>
      </w:r>
      <w:r>
        <w:rPr>
          <w:rFonts w:hint="eastAsia"/>
          <w:color w:val="auto"/>
          <w:highlight w:val="none"/>
        </w:rPr>
        <w:t>、遇重大活动开展时，乙方需无条件配合甲方搞好各项保洁工作。</w:t>
      </w:r>
    </w:p>
    <w:p w14:paraId="26749C20">
      <w:pPr>
        <w:rPr>
          <w:color w:val="auto"/>
          <w:highlight w:val="none"/>
        </w:rPr>
      </w:pPr>
      <w:r>
        <w:rPr>
          <w:rFonts w:hint="eastAsia"/>
          <w:color w:val="auto"/>
          <w:highlight w:val="none"/>
        </w:rPr>
        <w:t>具体如下表：</w:t>
      </w:r>
    </w:p>
    <w:tbl>
      <w:tblPr>
        <w:tblStyle w:val="59"/>
        <w:tblW w:w="4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40"/>
        <w:gridCol w:w="1324"/>
        <w:gridCol w:w="1818"/>
        <w:gridCol w:w="2534"/>
      </w:tblGrid>
      <w:tr w14:paraId="0035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24" w:type="pct"/>
            <w:vMerge w:val="restart"/>
            <w:tcBorders>
              <w:top w:val="single" w:color="auto" w:sz="4" w:space="0"/>
              <w:left w:val="single" w:color="auto" w:sz="4" w:space="0"/>
              <w:bottom w:val="single" w:color="auto" w:sz="4" w:space="0"/>
              <w:right w:val="single" w:color="auto" w:sz="4" w:space="0"/>
            </w:tcBorders>
            <w:noWrap w:val="0"/>
            <w:vAlign w:val="center"/>
          </w:tcPr>
          <w:p w14:paraId="0B77A83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区域</w:t>
            </w:r>
          </w:p>
        </w:tc>
        <w:tc>
          <w:tcPr>
            <w:tcW w:w="955" w:type="pct"/>
            <w:vMerge w:val="restart"/>
            <w:tcBorders>
              <w:top w:val="single" w:color="auto" w:sz="4" w:space="0"/>
              <w:left w:val="nil"/>
              <w:bottom w:val="single" w:color="auto" w:sz="4" w:space="0"/>
              <w:right w:val="single" w:color="auto" w:sz="4" w:space="0"/>
            </w:tcBorders>
            <w:noWrap w:val="0"/>
            <w:vAlign w:val="center"/>
          </w:tcPr>
          <w:p w14:paraId="4B31086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项</w:t>
            </w:r>
            <w:r>
              <w:rPr>
                <w:rFonts w:hint="default"/>
                <w:color w:val="auto"/>
                <w:highlight w:val="none"/>
              </w:rPr>
              <w:t xml:space="preserve">  </w:t>
            </w:r>
            <w:r>
              <w:rPr>
                <w:rFonts w:hint="eastAsia"/>
                <w:color w:val="auto"/>
                <w:highlight w:val="none"/>
              </w:rPr>
              <w:t>目</w:t>
            </w:r>
          </w:p>
        </w:tc>
        <w:tc>
          <w:tcPr>
            <w:tcW w:w="821" w:type="pct"/>
            <w:vMerge w:val="restart"/>
            <w:tcBorders>
              <w:top w:val="single" w:color="auto" w:sz="4" w:space="0"/>
              <w:left w:val="nil"/>
              <w:bottom w:val="single" w:color="auto" w:sz="4" w:space="0"/>
              <w:right w:val="single" w:color="auto" w:sz="4" w:space="0"/>
            </w:tcBorders>
            <w:noWrap w:val="0"/>
            <w:vAlign w:val="center"/>
          </w:tcPr>
          <w:p w14:paraId="002D9B7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工作内容</w:t>
            </w:r>
          </w:p>
        </w:tc>
        <w:tc>
          <w:tcPr>
            <w:tcW w:w="1126" w:type="pct"/>
            <w:vMerge w:val="restart"/>
            <w:tcBorders>
              <w:top w:val="single" w:color="auto" w:sz="4" w:space="0"/>
              <w:left w:val="nil"/>
              <w:bottom w:val="single" w:color="auto" w:sz="4" w:space="0"/>
              <w:right w:val="single" w:color="auto" w:sz="4" w:space="0"/>
            </w:tcBorders>
            <w:noWrap w:val="0"/>
            <w:vAlign w:val="center"/>
          </w:tcPr>
          <w:p w14:paraId="0FF5BA4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标</w:t>
            </w:r>
            <w:r>
              <w:rPr>
                <w:rFonts w:hint="default"/>
                <w:color w:val="auto"/>
                <w:highlight w:val="none"/>
              </w:rPr>
              <w:t xml:space="preserve">  </w:t>
            </w:r>
            <w:r>
              <w:rPr>
                <w:rFonts w:hint="eastAsia"/>
                <w:color w:val="auto"/>
                <w:highlight w:val="none"/>
              </w:rPr>
              <w:t>准</w:t>
            </w:r>
          </w:p>
        </w:tc>
        <w:tc>
          <w:tcPr>
            <w:tcW w:w="1571" w:type="pct"/>
            <w:vMerge w:val="restart"/>
            <w:tcBorders>
              <w:top w:val="single" w:color="auto" w:sz="4" w:space="0"/>
              <w:left w:val="nil"/>
              <w:bottom w:val="single" w:color="auto" w:sz="4" w:space="0"/>
              <w:right w:val="single" w:color="auto" w:sz="4" w:space="0"/>
            </w:tcBorders>
            <w:noWrap w:val="0"/>
            <w:vAlign w:val="center"/>
          </w:tcPr>
          <w:p w14:paraId="7EA3AFD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备注</w:t>
            </w:r>
          </w:p>
        </w:tc>
      </w:tr>
      <w:tr w14:paraId="0B38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C2ACF4">
            <w:pPr>
              <w:keepNext w:val="0"/>
              <w:keepLines w:val="0"/>
              <w:widowControl/>
              <w:suppressLineNumbers w:val="0"/>
              <w:spacing w:before="0" w:beforeAutospacing="0" w:after="0" w:afterAutospacing="0"/>
              <w:ind w:left="0" w:right="0"/>
              <w:jc w:val="left"/>
              <w:rPr>
                <w:rFonts w:hint="default"/>
                <w:color w:val="auto"/>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340889E9">
            <w:pPr>
              <w:keepNext w:val="0"/>
              <w:keepLines w:val="0"/>
              <w:widowControl/>
              <w:suppressLineNumbers w:val="0"/>
              <w:spacing w:before="0" w:beforeAutospacing="0" w:after="0" w:afterAutospacing="0"/>
              <w:ind w:left="0" w:right="0"/>
              <w:jc w:val="left"/>
              <w:rPr>
                <w:rFonts w:hint="default"/>
                <w:color w:val="auto"/>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435111A8">
            <w:pPr>
              <w:keepNext w:val="0"/>
              <w:keepLines w:val="0"/>
              <w:widowControl/>
              <w:suppressLineNumbers w:val="0"/>
              <w:spacing w:before="0" w:beforeAutospacing="0" w:after="0" w:afterAutospacing="0"/>
              <w:ind w:left="0" w:right="0"/>
              <w:jc w:val="left"/>
              <w:rPr>
                <w:rFonts w:hint="default"/>
                <w:color w:val="auto"/>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5836932C">
            <w:pPr>
              <w:keepNext w:val="0"/>
              <w:keepLines w:val="0"/>
              <w:widowControl/>
              <w:suppressLineNumbers w:val="0"/>
              <w:spacing w:before="0" w:beforeAutospacing="0" w:after="0" w:afterAutospacing="0"/>
              <w:ind w:left="0" w:right="0"/>
              <w:jc w:val="left"/>
              <w:rPr>
                <w:rFonts w:hint="default"/>
                <w:color w:val="auto"/>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782D2F21">
            <w:pPr>
              <w:keepNext w:val="0"/>
              <w:keepLines w:val="0"/>
              <w:widowControl/>
              <w:suppressLineNumbers w:val="0"/>
              <w:spacing w:before="0" w:beforeAutospacing="0" w:after="0" w:afterAutospacing="0"/>
              <w:ind w:left="0" w:right="0"/>
              <w:jc w:val="left"/>
              <w:rPr>
                <w:rFonts w:hint="default"/>
                <w:color w:val="auto"/>
                <w:highlight w:val="none"/>
              </w:rPr>
            </w:pPr>
          </w:p>
        </w:tc>
      </w:tr>
      <w:tr w14:paraId="6A2B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4" w:type="pct"/>
            <w:vMerge w:val="restart"/>
            <w:tcBorders>
              <w:top w:val="nil"/>
              <w:left w:val="single" w:color="auto" w:sz="4" w:space="0"/>
              <w:bottom w:val="single" w:color="auto" w:sz="4" w:space="0"/>
              <w:right w:val="single" w:color="auto" w:sz="4" w:space="0"/>
            </w:tcBorders>
            <w:noWrap w:val="0"/>
            <w:vAlign w:val="center"/>
          </w:tcPr>
          <w:p w14:paraId="7C172A1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总</w:t>
            </w:r>
          </w:p>
          <w:p w14:paraId="75A4CFB9">
            <w:pPr>
              <w:keepNext w:val="0"/>
              <w:keepLines w:val="0"/>
              <w:suppressLineNumbers w:val="0"/>
              <w:spacing w:before="0" w:beforeAutospacing="0" w:after="0" w:afterAutospacing="0"/>
              <w:ind w:left="0" w:right="0"/>
              <w:rPr>
                <w:rFonts w:hint="default"/>
                <w:color w:val="auto"/>
                <w:highlight w:val="none"/>
              </w:rPr>
            </w:pPr>
          </w:p>
          <w:p w14:paraId="6BCC346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体</w:t>
            </w:r>
          </w:p>
          <w:p w14:paraId="5104E721">
            <w:pPr>
              <w:keepNext w:val="0"/>
              <w:keepLines w:val="0"/>
              <w:suppressLineNumbers w:val="0"/>
              <w:spacing w:before="0" w:beforeAutospacing="0" w:after="0" w:afterAutospacing="0"/>
              <w:ind w:left="0" w:right="0"/>
              <w:rPr>
                <w:rFonts w:hint="default"/>
                <w:color w:val="auto"/>
                <w:highlight w:val="none"/>
              </w:rPr>
            </w:pPr>
          </w:p>
          <w:p w14:paraId="63052F1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外</w:t>
            </w:r>
          </w:p>
          <w:p w14:paraId="510142E2">
            <w:pPr>
              <w:keepNext w:val="0"/>
              <w:keepLines w:val="0"/>
              <w:suppressLineNumbers w:val="0"/>
              <w:spacing w:before="0" w:beforeAutospacing="0" w:after="0" w:afterAutospacing="0"/>
              <w:ind w:left="0" w:right="0"/>
              <w:rPr>
                <w:rFonts w:hint="default"/>
                <w:color w:val="auto"/>
                <w:highlight w:val="none"/>
              </w:rPr>
            </w:pPr>
          </w:p>
          <w:p w14:paraId="46B8D2A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围</w:t>
            </w:r>
          </w:p>
        </w:tc>
        <w:tc>
          <w:tcPr>
            <w:tcW w:w="955" w:type="pct"/>
            <w:tcBorders>
              <w:top w:val="single" w:color="auto" w:sz="4" w:space="0"/>
              <w:left w:val="nil"/>
              <w:bottom w:val="single" w:color="auto" w:sz="4" w:space="0"/>
              <w:right w:val="single" w:color="auto" w:sz="4" w:space="0"/>
            </w:tcBorders>
            <w:noWrap w:val="0"/>
            <w:vAlign w:val="center"/>
          </w:tcPr>
          <w:p w14:paraId="0BA1B2F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各出入口地面</w:t>
            </w:r>
          </w:p>
        </w:tc>
        <w:tc>
          <w:tcPr>
            <w:tcW w:w="821" w:type="pct"/>
            <w:tcBorders>
              <w:top w:val="single" w:color="auto" w:sz="4" w:space="0"/>
              <w:left w:val="nil"/>
              <w:bottom w:val="single" w:color="auto" w:sz="4" w:space="0"/>
              <w:right w:val="single" w:color="auto" w:sz="4" w:space="0"/>
            </w:tcBorders>
            <w:noWrap w:val="0"/>
            <w:vAlign w:val="center"/>
          </w:tcPr>
          <w:p w14:paraId="7734589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清扫（必要时水力冲洗）</w:t>
            </w:r>
          </w:p>
        </w:tc>
        <w:tc>
          <w:tcPr>
            <w:tcW w:w="1126" w:type="pct"/>
            <w:tcBorders>
              <w:top w:val="single" w:color="auto" w:sz="4" w:space="0"/>
              <w:left w:val="nil"/>
              <w:bottom w:val="single" w:color="auto" w:sz="4" w:space="0"/>
              <w:right w:val="single" w:color="auto" w:sz="4" w:space="0"/>
            </w:tcBorders>
            <w:noWrap w:val="0"/>
            <w:vAlign w:val="center"/>
          </w:tcPr>
          <w:p w14:paraId="00BE792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无垃圾、烟头、杂物、明显泥沙</w:t>
            </w:r>
          </w:p>
        </w:tc>
        <w:tc>
          <w:tcPr>
            <w:tcW w:w="1571" w:type="pct"/>
            <w:tcBorders>
              <w:top w:val="single" w:color="auto" w:sz="4" w:space="0"/>
              <w:left w:val="nil"/>
              <w:bottom w:val="single" w:color="auto" w:sz="4" w:space="0"/>
              <w:right w:val="single" w:color="auto" w:sz="4" w:space="0"/>
            </w:tcBorders>
            <w:noWrap w:val="0"/>
            <w:vAlign w:val="center"/>
          </w:tcPr>
          <w:p w14:paraId="4C85EB4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循环清扫，每季度冲洗一次，如遇特殊情况，根据采购人要求冲洗</w:t>
            </w:r>
          </w:p>
        </w:tc>
      </w:tr>
      <w:tr w14:paraId="7B55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94EE730">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2FF2FDD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各出入口大门（伸缩门）</w:t>
            </w:r>
          </w:p>
        </w:tc>
        <w:tc>
          <w:tcPr>
            <w:tcW w:w="1948" w:type="pct"/>
            <w:gridSpan w:val="2"/>
            <w:tcBorders>
              <w:top w:val="single" w:color="auto" w:sz="4" w:space="0"/>
              <w:left w:val="nil"/>
              <w:bottom w:val="single" w:color="auto" w:sz="4" w:space="0"/>
              <w:right w:val="single" w:color="auto" w:sz="4" w:space="0"/>
            </w:tcBorders>
            <w:noWrap w:val="0"/>
            <w:vAlign w:val="center"/>
          </w:tcPr>
          <w:p w14:paraId="4147841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除尘、保持清洁</w:t>
            </w:r>
          </w:p>
        </w:tc>
        <w:tc>
          <w:tcPr>
            <w:tcW w:w="1571" w:type="pct"/>
            <w:tcBorders>
              <w:top w:val="single" w:color="auto" w:sz="4" w:space="0"/>
              <w:left w:val="nil"/>
              <w:bottom w:val="single" w:color="auto" w:sz="4" w:space="0"/>
              <w:right w:val="single" w:color="auto" w:sz="4" w:space="0"/>
            </w:tcBorders>
            <w:noWrap w:val="0"/>
            <w:vAlign w:val="center"/>
          </w:tcPr>
          <w:p w14:paraId="3733AE1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每日清抹一次</w:t>
            </w:r>
          </w:p>
        </w:tc>
      </w:tr>
      <w:tr w14:paraId="43A6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9F21E38">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26F21D4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明沟、屋面排水系统、雨水井</w:t>
            </w:r>
          </w:p>
        </w:tc>
        <w:tc>
          <w:tcPr>
            <w:tcW w:w="821" w:type="pct"/>
            <w:tcBorders>
              <w:top w:val="single" w:color="auto" w:sz="4" w:space="0"/>
              <w:left w:val="nil"/>
              <w:bottom w:val="single" w:color="auto" w:sz="4" w:space="0"/>
              <w:right w:val="single" w:color="auto" w:sz="4" w:space="0"/>
            </w:tcBorders>
            <w:noWrap w:val="0"/>
            <w:vAlign w:val="center"/>
          </w:tcPr>
          <w:p w14:paraId="7E021C2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清扫、刷洗、清洁堵塞物、疏通</w:t>
            </w:r>
          </w:p>
        </w:tc>
        <w:tc>
          <w:tcPr>
            <w:tcW w:w="1126" w:type="pct"/>
            <w:tcBorders>
              <w:top w:val="single" w:color="auto" w:sz="4" w:space="0"/>
              <w:left w:val="nil"/>
              <w:bottom w:val="single" w:color="auto" w:sz="4" w:space="0"/>
              <w:right w:val="single" w:color="auto" w:sz="4" w:space="0"/>
            </w:tcBorders>
            <w:noWrap w:val="0"/>
            <w:vAlign w:val="center"/>
          </w:tcPr>
          <w:p w14:paraId="1744BF3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无垃圾、杂物、无苔藓、无树枝、无枯叶</w:t>
            </w:r>
          </w:p>
        </w:tc>
        <w:tc>
          <w:tcPr>
            <w:tcW w:w="1571" w:type="pct"/>
            <w:tcBorders>
              <w:top w:val="single" w:color="auto" w:sz="4" w:space="0"/>
              <w:left w:val="nil"/>
              <w:bottom w:val="single" w:color="auto" w:sz="4" w:space="0"/>
              <w:right w:val="single" w:color="auto" w:sz="4" w:space="0"/>
            </w:tcBorders>
            <w:noWrap w:val="0"/>
            <w:vAlign w:val="center"/>
          </w:tcPr>
          <w:p w14:paraId="3DD2C4E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每日清查，每月冲洗一次，如遇特殊情况，根据采购人要求进行清洁</w:t>
            </w:r>
          </w:p>
        </w:tc>
      </w:tr>
      <w:tr w14:paraId="2B47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E42188F">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01EA8D5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停车场</w:t>
            </w:r>
            <w:r>
              <w:rPr>
                <w:rFonts w:hint="default"/>
                <w:color w:val="auto"/>
                <w:highlight w:val="none"/>
              </w:rPr>
              <w:t>/</w:t>
            </w:r>
            <w:r>
              <w:rPr>
                <w:rFonts w:hint="eastAsia"/>
                <w:color w:val="auto"/>
                <w:highlight w:val="none"/>
              </w:rPr>
              <w:t>车库</w:t>
            </w:r>
          </w:p>
        </w:tc>
        <w:tc>
          <w:tcPr>
            <w:tcW w:w="821" w:type="pct"/>
            <w:tcBorders>
              <w:top w:val="single" w:color="auto" w:sz="4" w:space="0"/>
              <w:left w:val="nil"/>
              <w:bottom w:val="single" w:color="auto" w:sz="4" w:space="0"/>
              <w:right w:val="single" w:color="auto" w:sz="4" w:space="0"/>
            </w:tcBorders>
            <w:noWrap w:val="0"/>
            <w:vAlign w:val="center"/>
          </w:tcPr>
          <w:p w14:paraId="205DA7D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清扫、清洁</w:t>
            </w:r>
          </w:p>
        </w:tc>
        <w:tc>
          <w:tcPr>
            <w:tcW w:w="1126" w:type="pct"/>
            <w:tcBorders>
              <w:top w:val="single" w:color="auto" w:sz="4" w:space="0"/>
              <w:left w:val="nil"/>
              <w:bottom w:val="single" w:color="auto" w:sz="4" w:space="0"/>
              <w:right w:val="single" w:color="auto" w:sz="4" w:space="0"/>
            </w:tcBorders>
            <w:noWrap w:val="0"/>
            <w:vAlign w:val="center"/>
          </w:tcPr>
          <w:p w14:paraId="361C5A0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无垃圾、杂物、树叶、积水、灰尘、污渍</w:t>
            </w:r>
          </w:p>
        </w:tc>
        <w:tc>
          <w:tcPr>
            <w:tcW w:w="1571" w:type="pct"/>
            <w:tcBorders>
              <w:top w:val="single" w:color="auto" w:sz="4" w:space="0"/>
              <w:left w:val="nil"/>
              <w:bottom w:val="single" w:color="auto" w:sz="4" w:space="0"/>
              <w:right w:val="single" w:color="auto" w:sz="4" w:space="0"/>
            </w:tcBorders>
            <w:noWrap w:val="0"/>
            <w:vAlign w:val="center"/>
          </w:tcPr>
          <w:p w14:paraId="0152C4A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地面每日清扫一次，每月清洁一次</w:t>
            </w:r>
          </w:p>
        </w:tc>
      </w:tr>
      <w:tr w14:paraId="657D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43220A1">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2C29EA8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屋顶及周边</w:t>
            </w:r>
          </w:p>
        </w:tc>
        <w:tc>
          <w:tcPr>
            <w:tcW w:w="821" w:type="pct"/>
            <w:tcBorders>
              <w:top w:val="single" w:color="auto" w:sz="4" w:space="0"/>
              <w:left w:val="nil"/>
              <w:bottom w:val="single" w:color="auto" w:sz="4" w:space="0"/>
              <w:right w:val="single" w:color="auto" w:sz="4" w:space="0"/>
            </w:tcBorders>
            <w:noWrap w:val="0"/>
            <w:vAlign w:val="center"/>
          </w:tcPr>
          <w:p w14:paraId="32787A0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清扫、收集垃圾、刷洗、清洁堵塞物</w:t>
            </w:r>
          </w:p>
        </w:tc>
        <w:tc>
          <w:tcPr>
            <w:tcW w:w="1126" w:type="pct"/>
            <w:tcBorders>
              <w:top w:val="single" w:color="auto" w:sz="4" w:space="0"/>
              <w:left w:val="nil"/>
              <w:bottom w:val="single" w:color="auto" w:sz="4" w:space="0"/>
              <w:right w:val="single" w:color="auto" w:sz="4" w:space="0"/>
            </w:tcBorders>
            <w:noWrap w:val="0"/>
            <w:vAlign w:val="center"/>
          </w:tcPr>
          <w:p w14:paraId="508F53F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无垃圾、杂物、树叶、积水</w:t>
            </w:r>
          </w:p>
        </w:tc>
        <w:tc>
          <w:tcPr>
            <w:tcW w:w="1571" w:type="pct"/>
            <w:tcBorders>
              <w:top w:val="single" w:color="auto" w:sz="4" w:space="0"/>
              <w:left w:val="nil"/>
              <w:bottom w:val="single" w:color="auto" w:sz="4" w:space="0"/>
              <w:right w:val="single" w:color="auto" w:sz="4" w:space="0"/>
            </w:tcBorders>
            <w:noWrap w:val="0"/>
            <w:vAlign w:val="center"/>
          </w:tcPr>
          <w:p w14:paraId="70A3A48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每日清扫，雨雪天气重点清扫，特别是特殊部位（如：报告厅屋顶）根据采购人要求进行清扫</w:t>
            </w:r>
          </w:p>
        </w:tc>
      </w:tr>
      <w:tr w14:paraId="423D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C0331A5">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7E66B32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标志牌</w:t>
            </w:r>
          </w:p>
        </w:tc>
        <w:tc>
          <w:tcPr>
            <w:tcW w:w="821" w:type="pct"/>
            <w:tcBorders>
              <w:top w:val="single" w:color="auto" w:sz="4" w:space="0"/>
              <w:left w:val="nil"/>
              <w:bottom w:val="single" w:color="auto" w:sz="4" w:space="0"/>
              <w:right w:val="single" w:color="auto" w:sz="4" w:space="0"/>
            </w:tcBorders>
            <w:noWrap w:val="0"/>
            <w:vAlign w:val="center"/>
          </w:tcPr>
          <w:p w14:paraId="6D8CA03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16A1982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无积灰</w:t>
            </w:r>
          </w:p>
        </w:tc>
        <w:tc>
          <w:tcPr>
            <w:tcW w:w="1571" w:type="pct"/>
            <w:tcBorders>
              <w:top w:val="single" w:color="auto" w:sz="4" w:space="0"/>
              <w:left w:val="nil"/>
              <w:bottom w:val="single" w:color="auto" w:sz="4" w:space="0"/>
              <w:right w:val="single" w:color="auto" w:sz="4" w:space="0"/>
            </w:tcBorders>
            <w:noWrap w:val="0"/>
            <w:vAlign w:val="center"/>
          </w:tcPr>
          <w:p w14:paraId="21E9982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每日清抹一次</w:t>
            </w:r>
          </w:p>
        </w:tc>
      </w:tr>
      <w:tr w14:paraId="5B2A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FA713FC">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5C13981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风口百叶、屋顶采光玻璃</w:t>
            </w:r>
          </w:p>
        </w:tc>
        <w:tc>
          <w:tcPr>
            <w:tcW w:w="1948" w:type="pct"/>
            <w:gridSpan w:val="2"/>
            <w:tcBorders>
              <w:top w:val="single" w:color="auto" w:sz="4" w:space="0"/>
              <w:left w:val="nil"/>
              <w:bottom w:val="single" w:color="auto" w:sz="4" w:space="0"/>
              <w:right w:val="single" w:color="auto" w:sz="4" w:space="0"/>
            </w:tcBorders>
            <w:noWrap w:val="0"/>
            <w:vAlign w:val="center"/>
          </w:tcPr>
          <w:p w14:paraId="2DCA5E3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无积灰</w:t>
            </w:r>
          </w:p>
        </w:tc>
        <w:tc>
          <w:tcPr>
            <w:tcW w:w="1571" w:type="pct"/>
            <w:tcBorders>
              <w:top w:val="single" w:color="auto" w:sz="4" w:space="0"/>
              <w:left w:val="nil"/>
              <w:bottom w:val="single" w:color="auto" w:sz="4" w:space="0"/>
              <w:right w:val="single" w:color="auto" w:sz="4" w:space="0"/>
            </w:tcBorders>
            <w:noWrap w:val="0"/>
            <w:vAlign w:val="center"/>
          </w:tcPr>
          <w:p w14:paraId="3593D67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每星期清洁一次</w:t>
            </w:r>
          </w:p>
        </w:tc>
      </w:tr>
      <w:tr w14:paraId="7D56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C82FC46">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452A23E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栏杆、装饰物</w:t>
            </w:r>
          </w:p>
        </w:tc>
        <w:tc>
          <w:tcPr>
            <w:tcW w:w="1948" w:type="pct"/>
            <w:gridSpan w:val="2"/>
            <w:tcBorders>
              <w:top w:val="single" w:color="auto" w:sz="4" w:space="0"/>
              <w:left w:val="nil"/>
              <w:bottom w:val="single" w:color="auto" w:sz="4" w:space="0"/>
              <w:right w:val="single" w:color="auto" w:sz="4" w:space="0"/>
            </w:tcBorders>
            <w:noWrap w:val="0"/>
            <w:vAlign w:val="center"/>
          </w:tcPr>
          <w:p w14:paraId="2045977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无污渍、无积灰</w:t>
            </w:r>
          </w:p>
        </w:tc>
        <w:tc>
          <w:tcPr>
            <w:tcW w:w="1571" w:type="pct"/>
            <w:tcBorders>
              <w:top w:val="single" w:color="auto" w:sz="4" w:space="0"/>
              <w:left w:val="nil"/>
              <w:bottom w:val="single" w:color="auto" w:sz="4" w:space="0"/>
              <w:right w:val="single" w:color="auto" w:sz="4" w:space="0"/>
            </w:tcBorders>
            <w:noWrap w:val="0"/>
            <w:vAlign w:val="center"/>
          </w:tcPr>
          <w:p w14:paraId="6FB58B6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每月清洁一次</w:t>
            </w:r>
          </w:p>
        </w:tc>
      </w:tr>
      <w:tr w14:paraId="2CDB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2EBC77A">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6B5CC53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各管道、管道架</w:t>
            </w:r>
          </w:p>
        </w:tc>
        <w:tc>
          <w:tcPr>
            <w:tcW w:w="1948" w:type="pct"/>
            <w:gridSpan w:val="2"/>
            <w:tcBorders>
              <w:top w:val="single" w:color="auto" w:sz="4" w:space="0"/>
              <w:left w:val="nil"/>
              <w:bottom w:val="single" w:color="auto" w:sz="4" w:space="0"/>
              <w:right w:val="single" w:color="auto" w:sz="4" w:space="0"/>
            </w:tcBorders>
            <w:noWrap w:val="0"/>
            <w:vAlign w:val="center"/>
          </w:tcPr>
          <w:p w14:paraId="7329B79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w:t>
            </w:r>
          </w:p>
        </w:tc>
        <w:tc>
          <w:tcPr>
            <w:tcW w:w="1571" w:type="pct"/>
            <w:tcBorders>
              <w:top w:val="single" w:color="auto" w:sz="4" w:space="0"/>
              <w:left w:val="nil"/>
              <w:bottom w:val="single" w:color="auto" w:sz="4" w:space="0"/>
              <w:right w:val="single" w:color="auto" w:sz="4" w:space="0"/>
            </w:tcBorders>
            <w:noWrap w:val="0"/>
            <w:vAlign w:val="center"/>
          </w:tcPr>
          <w:p w14:paraId="7D205A1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每年清洁一次</w:t>
            </w:r>
          </w:p>
        </w:tc>
      </w:tr>
      <w:tr w14:paraId="4844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6C60CFA">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2539D76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大楼铭牌</w:t>
            </w:r>
          </w:p>
        </w:tc>
        <w:tc>
          <w:tcPr>
            <w:tcW w:w="821" w:type="pct"/>
            <w:tcBorders>
              <w:top w:val="single" w:color="auto" w:sz="4" w:space="0"/>
              <w:left w:val="nil"/>
              <w:bottom w:val="single" w:color="auto" w:sz="4" w:space="0"/>
              <w:right w:val="single" w:color="auto" w:sz="4" w:space="0"/>
            </w:tcBorders>
            <w:noWrap w:val="0"/>
            <w:vAlign w:val="center"/>
          </w:tcPr>
          <w:p w14:paraId="0B74329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536A7BE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w:t>
            </w:r>
          </w:p>
        </w:tc>
        <w:tc>
          <w:tcPr>
            <w:tcW w:w="1571" w:type="pct"/>
            <w:tcBorders>
              <w:top w:val="single" w:color="auto" w:sz="4" w:space="0"/>
              <w:left w:val="nil"/>
              <w:bottom w:val="single" w:color="auto" w:sz="4" w:space="0"/>
              <w:right w:val="single" w:color="auto" w:sz="4" w:space="0"/>
            </w:tcBorders>
            <w:noWrap w:val="0"/>
            <w:vAlign w:val="center"/>
          </w:tcPr>
          <w:p w14:paraId="4FFFB25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每日清抹一次</w:t>
            </w:r>
          </w:p>
        </w:tc>
      </w:tr>
      <w:tr w14:paraId="34FF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88D4278">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7ADA035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监控探头</w:t>
            </w:r>
          </w:p>
        </w:tc>
        <w:tc>
          <w:tcPr>
            <w:tcW w:w="821" w:type="pct"/>
            <w:tcBorders>
              <w:top w:val="single" w:color="auto" w:sz="4" w:space="0"/>
              <w:left w:val="nil"/>
              <w:bottom w:val="single" w:color="auto" w:sz="4" w:space="0"/>
              <w:right w:val="single" w:color="auto" w:sz="4" w:space="0"/>
            </w:tcBorders>
            <w:noWrap w:val="0"/>
            <w:vAlign w:val="center"/>
          </w:tcPr>
          <w:p w14:paraId="03339F1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56033A5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w:t>
            </w:r>
          </w:p>
        </w:tc>
        <w:tc>
          <w:tcPr>
            <w:tcW w:w="1571" w:type="pct"/>
            <w:tcBorders>
              <w:top w:val="single" w:color="auto" w:sz="4" w:space="0"/>
              <w:left w:val="nil"/>
              <w:bottom w:val="single" w:color="auto" w:sz="4" w:space="0"/>
              <w:right w:val="single" w:color="auto" w:sz="4" w:space="0"/>
            </w:tcBorders>
            <w:noWrap w:val="0"/>
            <w:vAlign w:val="center"/>
          </w:tcPr>
          <w:p w14:paraId="7BEC2E7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每半年清抹一次</w:t>
            </w:r>
          </w:p>
        </w:tc>
      </w:tr>
      <w:tr w14:paraId="4656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524" w:type="pct"/>
            <w:vMerge w:val="restart"/>
            <w:tcBorders>
              <w:top w:val="single" w:color="auto" w:sz="4" w:space="0"/>
              <w:left w:val="single" w:color="auto" w:sz="4" w:space="0"/>
              <w:bottom w:val="single" w:color="auto" w:sz="4" w:space="0"/>
              <w:right w:val="single" w:color="auto" w:sz="4" w:space="0"/>
            </w:tcBorders>
            <w:noWrap w:val="0"/>
            <w:vAlign w:val="center"/>
          </w:tcPr>
          <w:p w14:paraId="68D41158">
            <w:pPr>
              <w:keepNext w:val="0"/>
              <w:keepLines w:val="0"/>
              <w:suppressLineNumbers w:val="0"/>
              <w:spacing w:before="0" w:beforeAutospacing="0" w:after="0" w:afterAutospacing="0"/>
              <w:ind w:left="0" w:right="0"/>
              <w:rPr>
                <w:rFonts w:hint="default"/>
                <w:color w:val="auto"/>
                <w:highlight w:val="none"/>
              </w:rPr>
            </w:pPr>
          </w:p>
          <w:p w14:paraId="16148A51">
            <w:pPr>
              <w:keepNext w:val="0"/>
              <w:keepLines w:val="0"/>
              <w:suppressLineNumbers w:val="0"/>
              <w:spacing w:before="0" w:beforeAutospacing="0" w:after="0" w:afterAutospacing="0"/>
              <w:ind w:left="0" w:right="0"/>
              <w:rPr>
                <w:rFonts w:hint="default"/>
                <w:color w:val="auto"/>
                <w:highlight w:val="none"/>
              </w:rPr>
            </w:pPr>
          </w:p>
          <w:p w14:paraId="6774E48B">
            <w:pPr>
              <w:keepNext w:val="0"/>
              <w:keepLines w:val="0"/>
              <w:suppressLineNumbers w:val="0"/>
              <w:spacing w:before="0" w:beforeAutospacing="0" w:after="0" w:afterAutospacing="0"/>
              <w:ind w:left="0" w:right="0"/>
              <w:rPr>
                <w:rFonts w:hint="default"/>
                <w:color w:val="auto"/>
                <w:highlight w:val="none"/>
              </w:rPr>
            </w:pPr>
          </w:p>
          <w:p w14:paraId="64A9A42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各</w:t>
            </w:r>
          </w:p>
          <w:p w14:paraId="5849513A">
            <w:pPr>
              <w:keepNext w:val="0"/>
              <w:keepLines w:val="0"/>
              <w:suppressLineNumbers w:val="0"/>
              <w:spacing w:before="0" w:beforeAutospacing="0" w:after="0" w:afterAutospacing="0"/>
              <w:ind w:left="0" w:right="0"/>
              <w:rPr>
                <w:rFonts w:hint="default"/>
                <w:color w:val="auto"/>
                <w:highlight w:val="none"/>
              </w:rPr>
            </w:pPr>
          </w:p>
          <w:p w14:paraId="02E8288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楼</w:t>
            </w:r>
          </w:p>
          <w:p w14:paraId="5B20BDA1">
            <w:pPr>
              <w:keepNext w:val="0"/>
              <w:keepLines w:val="0"/>
              <w:suppressLineNumbers w:val="0"/>
              <w:spacing w:before="0" w:beforeAutospacing="0" w:after="0" w:afterAutospacing="0"/>
              <w:ind w:left="0" w:right="0"/>
              <w:rPr>
                <w:rFonts w:hint="default"/>
                <w:color w:val="auto"/>
                <w:highlight w:val="none"/>
              </w:rPr>
            </w:pPr>
          </w:p>
          <w:p w14:paraId="193CA6A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层</w:t>
            </w:r>
          </w:p>
          <w:p w14:paraId="30F93D2E">
            <w:pPr>
              <w:keepNext w:val="0"/>
              <w:keepLines w:val="0"/>
              <w:suppressLineNumbers w:val="0"/>
              <w:spacing w:before="0" w:beforeAutospacing="0" w:after="0" w:afterAutospacing="0"/>
              <w:ind w:left="0" w:right="0"/>
              <w:rPr>
                <w:rFonts w:hint="default"/>
                <w:color w:val="auto"/>
                <w:highlight w:val="none"/>
              </w:rPr>
            </w:pPr>
          </w:p>
          <w:p w14:paraId="6A07D0B8">
            <w:pPr>
              <w:keepNext w:val="0"/>
              <w:keepLines w:val="0"/>
              <w:suppressLineNumbers w:val="0"/>
              <w:spacing w:before="0" w:beforeAutospacing="0" w:after="0" w:afterAutospacing="0"/>
              <w:ind w:left="0" w:right="0"/>
              <w:rPr>
                <w:rFonts w:hint="default"/>
                <w:color w:val="auto"/>
                <w:highlight w:val="none"/>
              </w:rPr>
            </w:pPr>
          </w:p>
          <w:p w14:paraId="6B54B472">
            <w:pPr>
              <w:keepNext w:val="0"/>
              <w:keepLines w:val="0"/>
              <w:suppressLineNumbers w:val="0"/>
              <w:spacing w:before="0" w:beforeAutospacing="0" w:after="0" w:afterAutospacing="0"/>
              <w:ind w:left="0" w:right="0"/>
              <w:rPr>
                <w:rFonts w:hint="default"/>
                <w:color w:val="auto"/>
                <w:highlight w:val="none"/>
              </w:rPr>
            </w:pPr>
          </w:p>
          <w:p w14:paraId="396C65A0">
            <w:pPr>
              <w:keepNext w:val="0"/>
              <w:keepLines w:val="0"/>
              <w:suppressLineNumbers w:val="0"/>
              <w:spacing w:before="0" w:beforeAutospacing="0" w:after="0" w:afterAutospacing="0"/>
              <w:ind w:left="0" w:right="0"/>
              <w:rPr>
                <w:rFonts w:hint="default"/>
                <w:color w:val="auto"/>
                <w:highlight w:val="none"/>
              </w:rPr>
            </w:pPr>
          </w:p>
          <w:p w14:paraId="4EF4C0FC">
            <w:pPr>
              <w:keepNext w:val="0"/>
              <w:keepLines w:val="0"/>
              <w:suppressLineNumbers w:val="0"/>
              <w:spacing w:before="0" w:beforeAutospacing="0" w:after="0" w:afterAutospacing="0"/>
              <w:ind w:left="0" w:right="0"/>
              <w:rPr>
                <w:rFonts w:hint="default"/>
                <w:color w:val="auto"/>
                <w:highlight w:val="none"/>
              </w:rPr>
            </w:pPr>
          </w:p>
          <w:p w14:paraId="6166E3D5">
            <w:pPr>
              <w:keepNext w:val="0"/>
              <w:keepLines w:val="0"/>
              <w:suppressLineNumbers w:val="0"/>
              <w:spacing w:before="0" w:beforeAutospacing="0" w:after="0" w:afterAutospacing="0"/>
              <w:ind w:left="0" w:right="0"/>
              <w:rPr>
                <w:rFonts w:hint="default"/>
                <w:color w:val="auto"/>
                <w:highlight w:val="none"/>
              </w:rPr>
            </w:pPr>
          </w:p>
          <w:p w14:paraId="423B4825">
            <w:pPr>
              <w:keepNext w:val="0"/>
              <w:keepLines w:val="0"/>
              <w:suppressLineNumbers w:val="0"/>
              <w:spacing w:before="0" w:beforeAutospacing="0" w:after="0" w:afterAutospacing="0"/>
              <w:ind w:left="0" w:right="0"/>
              <w:rPr>
                <w:rFonts w:hint="default"/>
                <w:color w:val="auto"/>
                <w:highlight w:val="none"/>
              </w:rPr>
            </w:pPr>
          </w:p>
          <w:p w14:paraId="55D33799">
            <w:pPr>
              <w:keepNext w:val="0"/>
              <w:keepLines w:val="0"/>
              <w:suppressLineNumbers w:val="0"/>
              <w:spacing w:before="0" w:beforeAutospacing="0" w:after="0" w:afterAutospacing="0"/>
              <w:ind w:left="0" w:right="0"/>
              <w:rPr>
                <w:rFonts w:hint="default"/>
                <w:color w:val="auto"/>
                <w:highlight w:val="none"/>
              </w:rPr>
            </w:pPr>
          </w:p>
          <w:p w14:paraId="6954963A">
            <w:pPr>
              <w:keepNext w:val="0"/>
              <w:keepLines w:val="0"/>
              <w:suppressLineNumbers w:val="0"/>
              <w:spacing w:before="0" w:beforeAutospacing="0" w:after="0" w:afterAutospacing="0"/>
              <w:ind w:left="0" w:right="0"/>
              <w:rPr>
                <w:rFonts w:hint="default"/>
                <w:color w:val="auto"/>
                <w:highlight w:val="none"/>
              </w:rPr>
            </w:pPr>
          </w:p>
          <w:p w14:paraId="3FCF2815">
            <w:pPr>
              <w:keepNext w:val="0"/>
              <w:keepLines w:val="0"/>
              <w:suppressLineNumbers w:val="0"/>
              <w:spacing w:before="0" w:beforeAutospacing="0" w:after="0" w:afterAutospacing="0"/>
              <w:ind w:left="0" w:right="0"/>
              <w:rPr>
                <w:rFonts w:hint="default"/>
                <w:color w:val="auto"/>
                <w:highlight w:val="none"/>
              </w:rPr>
            </w:pPr>
          </w:p>
          <w:p w14:paraId="2B701BD7">
            <w:pPr>
              <w:keepNext w:val="0"/>
              <w:keepLines w:val="0"/>
              <w:suppressLineNumbers w:val="0"/>
              <w:spacing w:before="0" w:beforeAutospacing="0" w:after="0" w:afterAutospacing="0"/>
              <w:ind w:left="0" w:right="0"/>
              <w:rPr>
                <w:rFonts w:hint="default"/>
                <w:color w:val="auto"/>
                <w:highlight w:val="none"/>
              </w:rPr>
            </w:pPr>
          </w:p>
          <w:p w14:paraId="7EB14151">
            <w:pPr>
              <w:keepNext w:val="0"/>
              <w:keepLines w:val="0"/>
              <w:suppressLineNumbers w:val="0"/>
              <w:spacing w:before="0" w:beforeAutospacing="0" w:after="0" w:afterAutospacing="0"/>
              <w:ind w:left="0" w:right="0"/>
              <w:rPr>
                <w:rFonts w:hint="default"/>
                <w:color w:val="auto"/>
                <w:highlight w:val="none"/>
              </w:rPr>
            </w:pPr>
          </w:p>
          <w:p w14:paraId="2E1E71C8">
            <w:pPr>
              <w:keepNext w:val="0"/>
              <w:keepLines w:val="0"/>
              <w:suppressLineNumbers w:val="0"/>
              <w:spacing w:before="0" w:beforeAutospacing="0" w:after="0" w:afterAutospacing="0"/>
              <w:ind w:left="0" w:right="0"/>
              <w:rPr>
                <w:rFonts w:hint="default"/>
                <w:color w:val="auto"/>
                <w:highlight w:val="none"/>
              </w:rPr>
            </w:pPr>
          </w:p>
          <w:p w14:paraId="16DD58DA">
            <w:pPr>
              <w:keepNext w:val="0"/>
              <w:keepLines w:val="0"/>
              <w:suppressLineNumbers w:val="0"/>
              <w:spacing w:before="0" w:beforeAutospacing="0" w:after="0" w:afterAutospacing="0"/>
              <w:ind w:left="0" w:right="0"/>
              <w:rPr>
                <w:rFonts w:hint="default"/>
                <w:color w:val="auto"/>
                <w:highlight w:val="none"/>
              </w:rPr>
            </w:pPr>
          </w:p>
          <w:p w14:paraId="5ED836D6">
            <w:pPr>
              <w:keepNext w:val="0"/>
              <w:keepLines w:val="0"/>
              <w:suppressLineNumbers w:val="0"/>
              <w:spacing w:before="0" w:beforeAutospacing="0" w:after="0" w:afterAutospacing="0"/>
              <w:ind w:left="0" w:right="0"/>
              <w:rPr>
                <w:rFonts w:hint="default"/>
                <w:color w:val="auto"/>
                <w:highlight w:val="none"/>
              </w:rPr>
            </w:pPr>
          </w:p>
          <w:p w14:paraId="041AAA03">
            <w:pPr>
              <w:keepNext w:val="0"/>
              <w:keepLines w:val="0"/>
              <w:suppressLineNumbers w:val="0"/>
              <w:spacing w:before="0" w:beforeAutospacing="0" w:after="0" w:afterAutospacing="0"/>
              <w:ind w:left="0" w:right="0"/>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196DCE4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地毯、踏垫</w:t>
            </w:r>
          </w:p>
        </w:tc>
        <w:tc>
          <w:tcPr>
            <w:tcW w:w="821" w:type="pct"/>
            <w:tcBorders>
              <w:top w:val="single" w:color="auto" w:sz="4" w:space="0"/>
              <w:left w:val="nil"/>
              <w:bottom w:val="single" w:color="auto" w:sz="4" w:space="0"/>
              <w:right w:val="single" w:color="auto" w:sz="4" w:space="0"/>
            </w:tcBorders>
            <w:noWrap w:val="0"/>
            <w:vAlign w:val="center"/>
          </w:tcPr>
          <w:p w14:paraId="4E22E4B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除尘、清洁</w:t>
            </w:r>
          </w:p>
        </w:tc>
        <w:tc>
          <w:tcPr>
            <w:tcW w:w="1126" w:type="pct"/>
            <w:tcBorders>
              <w:top w:val="single" w:color="auto" w:sz="4" w:space="0"/>
              <w:left w:val="nil"/>
              <w:bottom w:val="single" w:color="auto" w:sz="4" w:space="0"/>
              <w:right w:val="single" w:color="auto" w:sz="4" w:space="0"/>
            </w:tcBorders>
            <w:noWrap w:val="0"/>
            <w:vAlign w:val="center"/>
          </w:tcPr>
          <w:p w14:paraId="32E68D0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保持地毯干净、松软、无污渍斑点，洗后无色差</w:t>
            </w:r>
          </w:p>
        </w:tc>
        <w:tc>
          <w:tcPr>
            <w:tcW w:w="1571" w:type="pct"/>
            <w:tcBorders>
              <w:top w:val="single" w:color="auto" w:sz="4" w:space="0"/>
              <w:left w:val="nil"/>
              <w:bottom w:val="single" w:color="auto" w:sz="4" w:space="0"/>
              <w:right w:val="single" w:color="auto" w:sz="4" w:space="0"/>
            </w:tcBorders>
            <w:noWrap w:val="0"/>
            <w:vAlign w:val="center"/>
          </w:tcPr>
          <w:p w14:paraId="2B94948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每日清扫，每日吸尘清洁，每周局部使用清洁剂清洁，每月一次用清洁剂清洗</w:t>
            </w:r>
          </w:p>
        </w:tc>
      </w:tr>
      <w:tr w14:paraId="5FFD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DDDBFC">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6AE9AA3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地砖、石材地面</w:t>
            </w:r>
          </w:p>
        </w:tc>
        <w:tc>
          <w:tcPr>
            <w:tcW w:w="821" w:type="pct"/>
            <w:tcBorders>
              <w:top w:val="single" w:color="auto" w:sz="4" w:space="0"/>
              <w:left w:val="nil"/>
              <w:bottom w:val="single" w:color="auto" w:sz="4" w:space="0"/>
              <w:right w:val="single" w:color="auto" w:sz="4" w:space="0"/>
            </w:tcBorders>
            <w:noWrap w:val="0"/>
            <w:vAlign w:val="center"/>
          </w:tcPr>
          <w:p w14:paraId="4819059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除尘、清洁</w:t>
            </w:r>
          </w:p>
        </w:tc>
        <w:tc>
          <w:tcPr>
            <w:tcW w:w="1126" w:type="pct"/>
            <w:tcBorders>
              <w:top w:val="single" w:color="auto" w:sz="4" w:space="0"/>
              <w:left w:val="nil"/>
              <w:bottom w:val="single" w:color="auto" w:sz="4" w:space="0"/>
              <w:right w:val="single" w:color="auto" w:sz="4" w:space="0"/>
            </w:tcBorders>
            <w:noWrap w:val="0"/>
            <w:vAlign w:val="center"/>
          </w:tcPr>
          <w:p w14:paraId="75A6101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无灰尘、光亮、无水迹、无脚印、</w:t>
            </w:r>
          </w:p>
        </w:tc>
        <w:tc>
          <w:tcPr>
            <w:tcW w:w="1571" w:type="pct"/>
            <w:tcBorders>
              <w:top w:val="single" w:color="auto" w:sz="4" w:space="0"/>
              <w:left w:val="nil"/>
              <w:bottom w:val="single" w:color="auto" w:sz="4" w:space="0"/>
              <w:right w:val="single" w:color="auto" w:sz="4" w:space="0"/>
            </w:tcBorders>
            <w:noWrap w:val="0"/>
            <w:vAlign w:val="center"/>
          </w:tcPr>
          <w:p w14:paraId="67A83EB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循环推尘、每日清洁，石材地面每年打蜡一次。</w:t>
            </w:r>
          </w:p>
        </w:tc>
      </w:tr>
      <w:tr w14:paraId="1419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925331">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0C6AE64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抹灰墙面</w:t>
            </w:r>
          </w:p>
        </w:tc>
        <w:tc>
          <w:tcPr>
            <w:tcW w:w="821" w:type="pct"/>
            <w:tcBorders>
              <w:top w:val="single" w:color="auto" w:sz="4" w:space="0"/>
              <w:left w:val="nil"/>
              <w:bottom w:val="single" w:color="auto" w:sz="4" w:space="0"/>
              <w:right w:val="single" w:color="auto" w:sz="4" w:space="0"/>
            </w:tcBorders>
            <w:noWrap w:val="0"/>
            <w:vAlign w:val="center"/>
          </w:tcPr>
          <w:p w14:paraId="57ED22F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15C926E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无积灰、无蜘蛛网</w:t>
            </w:r>
          </w:p>
        </w:tc>
        <w:tc>
          <w:tcPr>
            <w:tcW w:w="1571" w:type="pct"/>
            <w:tcBorders>
              <w:top w:val="single" w:color="auto" w:sz="4" w:space="0"/>
              <w:left w:val="nil"/>
              <w:bottom w:val="single" w:color="auto" w:sz="4" w:space="0"/>
              <w:right w:val="single" w:color="auto" w:sz="4" w:space="0"/>
            </w:tcBorders>
            <w:noWrap w:val="0"/>
            <w:vAlign w:val="center"/>
          </w:tcPr>
          <w:p w14:paraId="28B5ED2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每月清洁两次</w:t>
            </w:r>
          </w:p>
        </w:tc>
      </w:tr>
      <w:tr w14:paraId="062C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785815">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64D69D1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瓷砖墙面</w:t>
            </w:r>
          </w:p>
        </w:tc>
        <w:tc>
          <w:tcPr>
            <w:tcW w:w="821" w:type="pct"/>
            <w:tcBorders>
              <w:top w:val="single" w:color="auto" w:sz="4" w:space="0"/>
              <w:left w:val="nil"/>
              <w:bottom w:val="single" w:color="auto" w:sz="4" w:space="0"/>
              <w:right w:val="single" w:color="auto" w:sz="4" w:space="0"/>
            </w:tcBorders>
            <w:noWrap w:val="0"/>
            <w:vAlign w:val="center"/>
          </w:tcPr>
          <w:p w14:paraId="3C9860B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除尘、清洁</w:t>
            </w:r>
          </w:p>
        </w:tc>
        <w:tc>
          <w:tcPr>
            <w:tcW w:w="1126" w:type="pct"/>
            <w:tcBorders>
              <w:top w:val="single" w:color="auto" w:sz="4" w:space="0"/>
              <w:left w:val="nil"/>
              <w:bottom w:val="single" w:color="auto" w:sz="4" w:space="0"/>
              <w:right w:val="single" w:color="auto" w:sz="4" w:space="0"/>
            </w:tcBorders>
            <w:noWrap w:val="0"/>
            <w:vAlign w:val="center"/>
          </w:tcPr>
          <w:p w14:paraId="7EF6B8E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清洁无灰尘，光亮、无蜘蛛网</w:t>
            </w:r>
          </w:p>
        </w:tc>
        <w:tc>
          <w:tcPr>
            <w:tcW w:w="1571" w:type="pct"/>
            <w:tcBorders>
              <w:top w:val="single" w:color="auto" w:sz="4" w:space="0"/>
              <w:left w:val="nil"/>
              <w:bottom w:val="single" w:color="auto" w:sz="4" w:space="0"/>
              <w:right w:val="single" w:color="auto" w:sz="4" w:space="0"/>
            </w:tcBorders>
            <w:noWrap w:val="0"/>
            <w:vAlign w:val="center"/>
          </w:tcPr>
          <w:p w14:paraId="13C15A9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每日清抹，每年清洁一次</w:t>
            </w:r>
          </w:p>
        </w:tc>
      </w:tr>
      <w:tr w14:paraId="1DF2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0A6E71">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2785446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踢脚线</w:t>
            </w:r>
          </w:p>
        </w:tc>
        <w:tc>
          <w:tcPr>
            <w:tcW w:w="821" w:type="pct"/>
            <w:tcBorders>
              <w:top w:val="single" w:color="auto" w:sz="4" w:space="0"/>
              <w:left w:val="nil"/>
              <w:bottom w:val="single" w:color="auto" w:sz="4" w:space="0"/>
              <w:right w:val="single" w:color="auto" w:sz="4" w:space="0"/>
            </w:tcBorders>
            <w:noWrap w:val="0"/>
            <w:vAlign w:val="center"/>
          </w:tcPr>
          <w:p w14:paraId="1349F9D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6FAB395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无积灰</w:t>
            </w:r>
          </w:p>
        </w:tc>
        <w:tc>
          <w:tcPr>
            <w:tcW w:w="1571" w:type="pct"/>
            <w:tcBorders>
              <w:top w:val="single" w:color="auto" w:sz="4" w:space="0"/>
              <w:left w:val="nil"/>
              <w:bottom w:val="single" w:color="auto" w:sz="4" w:space="0"/>
              <w:right w:val="single" w:color="auto" w:sz="4" w:space="0"/>
            </w:tcBorders>
            <w:noWrap w:val="0"/>
            <w:vAlign w:val="center"/>
          </w:tcPr>
          <w:p w14:paraId="43DC621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每日保洁，每星期清除一次</w:t>
            </w:r>
          </w:p>
        </w:tc>
      </w:tr>
      <w:tr w14:paraId="5CF2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89F582">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top"/>
          </w:tcPr>
          <w:p w14:paraId="5E15DD9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石材及各类装饰墙面</w:t>
            </w:r>
          </w:p>
        </w:tc>
        <w:tc>
          <w:tcPr>
            <w:tcW w:w="821" w:type="pct"/>
            <w:tcBorders>
              <w:top w:val="single" w:color="auto" w:sz="4" w:space="0"/>
              <w:left w:val="nil"/>
              <w:bottom w:val="single" w:color="auto" w:sz="4" w:space="0"/>
              <w:right w:val="single" w:color="auto" w:sz="4" w:space="0"/>
            </w:tcBorders>
            <w:noWrap w:val="0"/>
            <w:vAlign w:val="center"/>
          </w:tcPr>
          <w:p w14:paraId="51DAC26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除尘、清洁</w:t>
            </w:r>
          </w:p>
        </w:tc>
        <w:tc>
          <w:tcPr>
            <w:tcW w:w="1126" w:type="pct"/>
            <w:tcBorders>
              <w:top w:val="single" w:color="auto" w:sz="4" w:space="0"/>
              <w:left w:val="nil"/>
              <w:bottom w:val="single" w:color="auto" w:sz="4" w:space="0"/>
              <w:right w:val="single" w:color="auto" w:sz="4" w:space="0"/>
            </w:tcBorders>
            <w:noWrap w:val="0"/>
            <w:vAlign w:val="center"/>
          </w:tcPr>
          <w:p w14:paraId="3971963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无灰尘，光亮、无蜘蛛网</w:t>
            </w:r>
          </w:p>
        </w:tc>
        <w:tc>
          <w:tcPr>
            <w:tcW w:w="1571" w:type="pct"/>
            <w:tcBorders>
              <w:top w:val="single" w:color="auto" w:sz="4" w:space="0"/>
              <w:left w:val="nil"/>
              <w:bottom w:val="single" w:color="auto" w:sz="4" w:space="0"/>
              <w:right w:val="single" w:color="auto" w:sz="4" w:space="0"/>
            </w:tcBorders>
            <w:noWrap w:val="0"/>
            <w:vAlign w:val="center"/>
          </w:tcPr>
          <w:p w14:paraId="35AA7F3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每日清抹，每年清洁一次</w:t>
            </w:r>
          </w:p>
        </w:tc>
      </w:tr>
      <w:tr w14:paraId="5201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AE6D71">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71ED1F2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标识牌（各类）</w:t>
            </w:r>
          </w:p>
        </w:tc>
        <w:tc>
          <w:tcPr>
            <w:tcW w:w="821" w:type="pct"/>
            <w:tcBorders>
              <w:top w:val="single" w:color="auto" w:sz="4" w:space="0"/>
              <w:left w:val="nil"/>
              <w:bottom w:val="single" w:color="auto" w:sz="4" w:space="0"/>
              <w:right w:val="single" w:color="auto" w:sz="4" w:space="0"/>
            </w:tcBorders>
            <w:noWrap w:val="0"/>
            <w:vAlign w:val="center"/>
          </w:tcPr>
          <w:p w14:paraId="7CA199C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0565DA2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无积灰</w:t>
            </w:r>
          </w:p>
        </w:tc>
        <w:tc>
          <w:tcPr>
            <w:tcW w:w="1571" w:type="pct"/>
            <w:tcBorders>
              <w:top w:val="single" w:color="auto" w:sz="4" w:space="0"/>
              <w:left w:val="nil"/>
              <w:bottom w:val="single" w:color="auto" w:sz="4" w:space="0"/>
              <w:right w:val="single" w:color="auto" w:sz="4" w:space="0"/>
            </w:tcBorders>
            <w:noWrap w:val="0"/>
            <w:vAlign w:val="center"/>
          </w:tcPr>
          <w:p w14:paraId="64AFFE5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每日清抹</w:t>
            </w:r>
          </w:p>
        </w:tc>
      </w:tr>
      <w:tr w14:paraId="6F0B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F02A45">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5648DAA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灯箱、配电箱、开关面板等</w:t>
            </w:r>
          </w:p>
        </w:tc>
        <w:tc>
          <w:tcPr>
            <w:tcW w:w="821" w:type="pct"/>
            <w:tcBorders>
              <w:top w:val="single" w:color="auto" w:sz="4" w:space="0"/>
              <w:left w:val="nil"/>
              <w:bottom w:val="single" w:color="auto" w:sz="4" w:space="0"/>
              <w:right w:val="single" w:color="auto" w:sz="4" w:space="0"/>
            </w:tcBorders>
            <w:noWrap w:val="0"/>
            <w:vAlign w:val="center"/>
          </w:tcPr>
          <w:p w14:paraId="1512DC6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外表除尘</w:t>
            </w:r>
          </w:p>
        </w:tc>
        <w:tc>
          <w:tcPr>
            <w:tcW w:w="1126" w:type="pct"/>
            <w:tcBorders>
              <w:top w:val="single" w:color="auto" w:sz="4" w:space="0"/>
              <w:left w:val="nil"/>
              <w:bottom w:val="single" w:color="auto" w:sz="4" w:space="0"/>
              <w:right w:val="single" w:color="auto" w:sz="4" w:space="0"/>
            </w:tcBorders>
            <w:noWrap w:val="0"/>
            <w:vAlign w:val="center"/>
          </w:tcPr>
          <w:p w14:paraId="0CB391F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w:t>
            </w:r>
          </w:p>
        </w:tc>
        <w:tc>
          <w:tcPr>
            <w:tcW w:w="1571" w:type="pct"/>
            <w:tcBorders>
              <w:top w:val="single" w:color="auto" w:sz="4" w:space="0"/>
              <w:left w:val="nil"/>
              <w:bottom w:val="single" w:color="auto" w:sz="4" w:space="0"/>
              <w:right w:val="single" w:color="auto" w:sz="4" w:space="0"/>
            </w:tcBorders>
            <w:noWrap w:val="0"/>
            <w:vAlign w:val="center"/>
          </w:tcPr>
          <w:p w14:paraId="7F32BCB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每星期清抹一次</w:t>
            </w:r>
          </w:p>
        </w:tc>
      </w:tr>
      <w:tr w14:paraId="4145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7E39A9">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68D2A3E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各类消防、安防、各出入口道闸、伸缩门，各楼层存包柜等</w:t>
            </w:r>
          </w:p>
        </w:tc>
        <w:tc>
          <w:tcPr>
            <w:tcW w:w="821" w:type="pct"/>
            <w:tcBorders>
              <w:top w:val="single" w:color="auto" w:sz="4" w:space="0"/>
              <w:left w:val="nil"/>
              <w:bottom w:val="single" w:color="auto" w:sz="4" w:space="0"/>
              <w:right w:val="single" w:color="auto" w:sz="4" w:space="0"/>
            </w:tcBorders>
            <w:noWrap w:val="0"/>
            <w:vAlign w:val="center"/>
          </w:tcPr>
          <w:p w14:paraId="592D4EF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1229529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w:t>
            </w:r>
          </w:p>
        </w:tc>
        <w:tc>
          <w:tcPr>
            <w:tcW w:w="1571" w:type="pct"/>
            <w:tcBorders>
              <w:top w:val="single" w:color="auto" w:sz="4" w:space="0"/>
              <w:left w:val="nil"/>
              <w:bottom w:val="single" w:color="auto" w:sz="4" w:space="0"/>
              <w:right w:val="single" w:color="auto" w:sz="4" w:space="0"/>
            </w:tcBorders>
            <w:noWrap w:val="0"/>
            <w:vAlign w:val="center"/>
          </w:tcPr>
          <w:p w14:paraId="7CD649C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每日清抹</w:t>
            </w:r>
          </w:p>
        </w:tc>
      </w:tr>
      <w:tr w14:paraId="67FA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B4C655">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0F37F6A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风口、灯具</w:t>
            </w:r>
          </w:p>
        </w:tc>
        <w:tc>
          <w:tcPr>
            <w:tcW w:w="821" w:type="pct"/>
            <w:tcBorders>
              <w:top w:val="single" w:color="auto" w:sz="4" w:space="0"/>
              <w:left w:val="nil"/>
              <w:bottom w:val="single" w:color="auto" w:sz="4" w:space="0"/>
              <w:right w:val="single" w:color="auto" w:sz="4" w:space="0"/>
            </w:tcBorders>
            <w:noWrap w:val="0"/>
            <w:vAlign w:val="center"/>
          </w:tcPr>
          <w:p w14:paraId="02B2305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1969EFC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无积灰</w:t>
            </w:r>
          </w:p>
        </w:tc>
        <w:tc>
          <w:tcPr>
            <w:tcW w:w="1571" w:type="pct"/>
            <w:tcBorders>
              <w:top w:val="single" w:color="auto" w:sz="4" w:space="0"/>
              <w:left w:val="nil"/>
              <w:bottom w:val="single" w:color="auto" w:sz="4" w:space="0"/>
              <w:right w:val="single" w:color="auto" w:sz="4" w:space="0"/>
            </w:tcBorders>
            <w:noWrap w:val="0"/>
            <w:vAlign w:val="center"/>
          </w:tcPr>
          <w:p w14:paraId="10F8AEE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每月清洁一次</w:t>
            </w:r>
          </w:p>
        </w:tc>
      </w:tr>
      <w:tr w14:paraId="2D04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405E679">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2A15D7A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废物箱</w:t>
            </w:r>
          </w:p>
        </w:tc>
        <w:tc>
          <w:tcPr>
            <w:tcW w:w="821" w:type="pct"/>
            <w:tcBorders>
              <w:top w:val="single" w:color="auto" w:sz="4" w:space="0"/>
              <w:left w:val="nil"/>
              <w:bottom w:val="single" w:color="auto" w:sz="4" w:space="0"/>
              <w:right w:val="single" w:color="auto" w:sz="4" w:space="0"/>
            </w:tcBorders>
            <w:noWrap w:val="0"/>
            <w:vAlign w:val="center"/>
          </w:tcPr>
          <w:p w14:paraId="09001C3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清除垃圾、外表抹净</w:t>
            </w:r>
          </w:p>
        </w:tc>
        <w:tc>
          <w:tcPr>
            <w:tcW w:w="1126" w:type="pct"/>
            <w:tcBorders>
              <w:top w:val="single" w:color="auto" w:sz="4" w:space="0"/>
              <w:left w:val="nil"/>
              <w:bottom w:val="single" w:color="auto" w:sz="4" w:space="0"/>
              <w:right w:val="single" w:color="auto" w:sz="4" w:space="0"/>
            </w:tcBorders>
            <w:noWrap w:val="0"/>
            <w:vAlign w:val="center"/>
          </w:tcPr>
          <w:p w14:paraId="3746E7A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无垃圾满溢、无拖挂</w:t>
            </w:r>
          </w:p>
        </w:tc>
        <w:tc>
          <w:tcPr>
            <w:tcW w:w="1571" w:type="pct"/>
            <w:tcBorders>
              <w:top w:val="single" w:color="auto" w:sz="4" w:space="0"/>
              <w:left w:val="nil"/>
              <w:bottom w:val="single" w:color="auto" w:sz="4" w:space="0"/>
              <w:right w:val="single" w:color="auto" w:sz="4" w:space="0"/>
            </w:tcBorders>
            <w:noWrap w:val="0"/>
            <w:vAlign w:val="center"/>
          </w:tcPr>
          <w:p w14:paraId="492549F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每日循环清理</w:t>
            </w:r>
          </w:p>
        </w:tc>
      </w:tr>
      <w:tr w14:paraId="4B22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2A0D7A">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1C93553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门框</w:t>
            </w:r>
          </w:p>
        </w:tc>
        <w:tc>
          <w:tcPr>
            <w:tcW w:w="821" w:type="pct"/>
            <w:tcBorders>
              <w:top w:val="single" w:color="auto" w:sz="4" w:space="0"/>
              <w:left w:val="nil"/>
              <w:bottom w:val="single" w:color="auto" w:sz="4" w:space="0"/>
              <w:right w:val="single" w:color="auto" w:sz="4" w:space="0"/>
            </w:tcBorders>
            <w:noWrap w:val="0"/>
            <w:vAlign w:val="center"/>
          </w:tcPr>
          <w:p w14:paraId="6A18918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720621F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无灰尘、无手印、明亮</w:t>
            </w:r>
          </w:p>
        </w:tc>
        <w:tc>
          <w:tcPr>
            <w:tcW w:w="1571" w:type="pct"/>
            <w:tcBorders>
              <w:top w:val="single" w:color="auto" w:sz="4" w:space="0"/>
              <w:left w:val="nil"/>
              <w:bottom w:val="single" w:color="auto" w:sz="4" w:space="0"/>
              <w:right w:val="single" w:color="auto" w:sz="4" w:space="0"/>
            </w:tcBorders>
            <w:noWrap w:val="0"/>
            <w:vAlign w:val="center"/>
          </w:tcPr>
          <w:p w14:paraId="083F22A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每星期保洁一次</w:t>
            </w:r>
          </w:p>
        </w:tc>
      </w:tr>
      <w:tr w14:paraId="1BBD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0D8294">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0FFD174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大玻璃窗、玻璃隔断、玻璃围挡</w:t>
            </w:r>
          </w:p>
        </w:tc>
        <w:tc>
          <w:tcPr>
            <w:tcW w:w="821" w:type="pct"/>
            <w:tcBorders>
              <w:top w:val="single" w:color="auto" w:sz="4" w:space="0"/>
              <w:left w:val="nil"/>
              <w:bottom w:val="single" w:color="auto" w:sz="4" w:space="0"/>
              <w:right w:val="single" w:color="auto" w:sz="4" w:space="0"/>
            </w:tcBorders>
            <w:noWrap w:val="0"/>
            <w:vAlign w:val="center"/>
          </w:tcPr>
          <w:p w14:paraId="4B548BD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清洗</w:t>
            </w:r>
          </w:p>
        </w:tc>
        <w:tc>
          <w:tcPr>
            <w:tcW w:w="1126" w:type="pct"/>
            <w:tcBorders>
              <w:top w:val="single" w:color="auto" w:sz="4" w:space="0"/>
              <w:left w:val="nil"/>
              <w:bottom w:val="single" w:color="auto" w:sz="4" w:space="0"/>
              <w:right w:val="single" w:color="auto" w:sz="4" w:space="0"/>
            </w:tcBorders>
            <w:noWrap w:val="0"/>
            <w:vAlign w:val="center"/>
          </w:tcPr>
          <w:p w14:paraId="0B599EC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无积灰、无划痕，明亮</w:t>
            </w:r>
          </w:p>
        </w:tc>
        <w:tc>
          <w:tcPr>
            <w:tcW w:w="1571" w:type="pct"/>
            <w:tcBorders>
              <w:top w:val="single" w:color="auto" w:sz="4" w:space="0"/>
              <w:left w:val="nil"/>
              <w:bottom w:val="single" w:color="auto" w:sz="4" w:space="0"/>
              <w:right w:val="single" w:color="auto" w:sz="4" w:space="0"/>
            </w:tcBorders>
            <w:noWrap w:val="0"/>
            <w:vAlign w:val="center"/>
          </w:tcPr>
          <w:p w14:paraId="20BD648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每星期保洁一次</w:t>
            </w:r>
          </w:p>
        </w:tc>
      </w:tr>
      <w:tr w14:paraId="4356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CC35D84">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4D21758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花盆套</w:t>
            </w:r>
          </w:p>
        </w:tc>
        <w:tc>
          <w:tcPr>
            <w:tcW w:w="821" w:type="pct"/>
            <w:tcBorders>
              <w:top w:val="single" w:color="auto" w:sz="4" w:space="0"/>
              <w:left w:val="nil"/>
              <w:bottom w:val="single" w:color="auto" w:sz="4" w:space="0"/>
              <w:right w:val="single" w:color="auto" w:sz="4" w:space="0"/>
            </w:tcBorders>
            <w:noWrap w:val="0"/>
            <w:vAlign w:val="center"/>
          </w:tcPr>
          <w:p w14:paraId="21313DD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683DAA5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无灰尘、盆内无垃圾、</w:t>
            </w:r>
          </w:p>
        </w:tc>
        <w:tc>
          <w:tcPr>
            <w:tcW w:w="1571" w:type="pct"/>
            <w:tcBorders>
              <w:top w:val="single" w:color="auto" w:sz="4" w:space="0"/>
              <w:left w:val="nil"/>
              <w:bottom w:val="single" w:color="auto" w:sz="4" w:space="0"/>
              <w:right w:val="single" w:color="auto" w:sz="4" w:space="0"/>
            </w:tcBorders>
            <w:noWrap w:val="0"/>
            <w:vAlign w:val="center"/>
          </w:tcPr>
          <w:p w14:paraId="5CF0CF2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每星期清洗一次</w:t>
            </w:r>
          </w:p>
        </w:tc>
      </w:tr>
      <w:tr w14:paraId="4BC1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8DE3B1">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054ED22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桌椅、茶几、书架、沙发等</w:t>
            </w:r>
          </w:p>
        </w:tc>
        <w:tc>
          <w:tcPr>
            <w:tcW w:w="821" w:type="pct"/>
            <w:tcBorders>
              <w:top w:val="single" w:color="auto" w:sz="4" w:space="0"/>
              <w:left w:val="nil"/>
              <w:bottom w:val="single" w:color="auto" w:sz="4" w:space="0"/>
              <w:right w:val="single" w:color="auto" w:sz="4" w:space="0"/>
            </w:tcBorders>
            <w:noWrap w:val="0"/>
            <w:vAlign w:val="center"/>
          </w:tcPr>
          <w:p w14:paraId="692E040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除尘、清洁</w:t>
            </w:r>
          </w:p>
        </w:tc>
        <w:tc>
          <w:tcPr>
            <w:tcW w:w="1126" w:type="pct"/>
            <w:tcBorders>
              <w:top w:val="single" w:color="auto" w:sz="4" w:space="0"/>
              <w:left w:val="nil"/>
              <w:bottom w:val="single" w:color="auto" w:sz="4" w:space="0"/>
              <w:right w:val="single" w:color="auto" w:sz="4" w:space="0"/>
            </w:tcBorders>
            <w:noWrap w:val="0"/>
            <w:vAlign w:val="center"/>
          </w:tcPr>
          <w:p w14:paraId="125E586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无灰尘，光亮、无水迹</w:t>
            </w:r>
          </w:p>
        </w:tc>
        <w:tc>
          <w:tcPr>
            <w:tcW w:w="1571" w:type="pct"/>
            <w:tcBorders>
              <w:top w:val="single" w:color="auto" w:sz="4" w:space="0"/>
              <w:left w:val="nil"/>
              <w:bottom w:val="single" w:color="auto" w:sz="4" w:space="0"/>
              <w:right w:val="single" w:color="auto" w:sz="4" w:space="0"/>
            </w:tcBorders>
            <w:noWrap w:val="0"/>
            <w:vAlign w:val="center"/>
          </w:tcPr>
          <w:p w14:paraId="607095A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循环清抹、每日清洁</w:t>
            </w:r>
          </w:p>
        </w:tc>
      </w:tr>
      <w:tr w14:paraId="15CF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24" w:type="pct"/>
            <w:vMerge w:val="restart"/>
            <w:tcBorders>
              <w:top w:val="nil"/>
              <w:left w:val="single" w:color="auto" w:sz="4" w:space="0"/>
              <w:bottom w:val="single" w:color="auto" w:sz="4" w:space="0"/>
              <w:right w:val="single" w:color="auto" w:sz="4" w:space="0"/>
            </w:tcBorders>
            <w:noWrap w:val="0"/>
            <w:vAlign w:val="center"/>
          </w:tcPr>
          <w:p w14:paraId="5AB9B18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电</w:t>
            </w:r>
          </w:p>
          <w:p w14:paraId="2949A7F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梯</w:t>
            </w:r>
          </w:p>
        </w:tc>
        <w:tc>
          <w:tcPr>
            <w:tcW w:w="955" w:type="pct"/>
            <w:tcBorders>
              <w:top w:val="single" w:color="auto" w:sz="4" w:space="0"/>
              <w:left w:val="nil"/>
              <w:bottom w:val="single" w:color="auto" w:sz="4" w:space="0"/>
              <w:right w:val="single" w:color="auto" w:sz="4" w:space="0"/>
            </w:tcBorders>
            <w:noWrap w:val="0"/>
            <w:vAlign w:val="center"/>
          </w:tcPr>
          <w:p w14:paraId="6A4B738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地毯、地面</w:t>
            </w:r>
          </w:p>
        </w:tc>
        <w:tc>
          <w:tcPr>
            <w:tcW w:w="821" w:type="pct"/>
            <w:tcBorders>
              <w:top w:val="single" w:color="auto" w:sz="4" w:space="0"/>
              <w:left w:val="nil"/>
              <w:bottom w:val="single" w:color="auto" w:sz="4" w:space="0"/>
              <w:right w:val="single" w:color="auto" w:sz="4" w:space="0"/>
            </w:tcBorders>
            <w:noWrap w:val="0"/>
            <w:vAlign w:val="center"/>
          </w:tcPr>
          <w:p w14:paraId="48A0537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除尘、清洗</w:t>
            </w:r>
          </w:p>
        </w:tc>
        <w:tc>
          <w:tcPr>
            <w:tcW w:w="1126" w:type="pct"/>
            <w:tcBorders>
              <w:top w:val="single" w:color="auto" w:sz="4" w:space="0"/>
              <w:left w:val="nil"/>
              <w:bottom w:val="single" w:color="auto" w:sz="4" w:space="0"/>
              <w:right w:val="single" w:color="auto" w:sz="4" w:space="0"/>
            </w:tcBorders>
            <w:noWrap w:val="0"/>
            <w:vAlign w:val="center"/>
          </w:tcPr>
          <w:p w14:paraId="31E0397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无灰尘、无垃圾、无污渍</w:t>
            </w:r>
          </w:p>
        </w:tc>
        <w:tc>
          <w:tcPr>
            <w:tcW w:w="1571" w:type="pct"/>
            <w:tcBorders>
              <w:top w:val="single" w:color="auto" w:sz="4" w:space="0"/>
              <w:left w:val="nil"/>
              <w:bottom w:val="single" w:color="auto" w:sz="4" w:space="0"/>
              <w:right w:val="single" w:color="auto" w:sz="4" w:space="0"/>
            </w:tcBorders>
            <w:noWrap w:val="0"/>
            <w:vAlign w:val="center"/>
          </w:tcPr>
          <w:p w14:paraId="055283B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每日保洁，每周更换一次</w:t>
            </w:r>
          </w:p>
        </w:tc>
      </w:tr>
      <w:tr w14:paraId="0702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691ABFC">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6593D37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轿厢内壁</w:t>
            </w:r>
          </w:p>
        </w:tc>
        <w:tc>
          <w:tcPr>
            <w:tcW w:w="821" w:type="pct"/>
            <w:tcBorders>
              <w:top w:val="single" w:color="auto" w:sz="4" w:space="0"/>
              <w:left w:val="nil"/>
              <w:bottom w:val="single" w:color="auto" w:sz="4" w:space="0"/>
              <w:right w:val="single" w:color="auto" w:sz="4" w:space="0"/>
            </w:tcBorders>
            <w:noWrap w:val="0"/>
            <w:vAlign w:val="center"/>
          </w:tcPr>
          <w:p w14:paraId="784B7BF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不锈钢（上保护剂）、镜面清洁</w:t>
            </w:r>
          </w:p>
        </w:tc>
        <w:tc>
          <w:tcPr>
            <w:tcW w:w="1126" w:type="pct"/>
            <w:tcBorders>
              <w:top w:val="single" w:color="auto" w:sz="4" w:space="0"/>
              <w:left w:val="nil"/>
              <w:bottom w:val="single" w:color="auto" w:sz="4" w:space="0"/>
              <w:right w:val="single" w:color="auto" w:sz="4" w:space="0"/>
            </w:tcBorders>
            <w:noWrap w:val="0"/>
            <w:vAlign w:val="center"/>
          </w:tcPr>
          <w:p w14:paraId="1E53632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无灰尘、无手印、光亮</w:t>
            </w:r>
          </w:p>
        </w:tc>
        <w:tc>
          <w:tcPr>
            <w:tcW w:w="1571" w:type="pct"/>
            <w:tcBorders>
              <w:top w:val="single" w:color="auto" w:sz="4" w:space="0"/>
              <w:left w:val="nil"/>
              <w:bottom w:val="single" w:color="auto" w:sz="4" w:space="0"/>
              <w:right w:val="single" w:color="auto" w:sz="4" w:space="0"/>
            </w:tcBorders>
            <w:noWrap w:val="0"/>
            <w:vAlign w:val="center"/>
          </w:tcPr>
          <w:p w14:paraId="7FFB84B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每日保洁，每星期清洁、上光</w:t>
            </w:r>
          </w:p>
        </w:tc>
      </w:tr>
      <w:tr w14:paraId="0B78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0A99DA8">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4ECA96C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门（内外）</w:t>
            </w:r>
          </w:p>
        </w:tc>
        <w:tc>
          <w:tcPr>
            <w:tcW w:w="821" w:type="pct"/>
            <w:tcBorders>
              <w:top w:val="single" w:color="auto" w:sz="4" w:space="0"/>
              <w:left w:val="nil"/>
              <w:bottom w:val="single" w:color="auto" w:sz="4" w:space="0"/>
              <w:right w:val="single" w:color="auto" w:sz="4" w:space="0"/>
            </w:tcBorders>
            <w:noWrap w:val="0"/>
            <w:vAlign w:val="center"/>
          </w:tcPr>
          <w:p w14:paraId="1367A33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抹净（上保护剂）</w:t>
            </w:r>
          </w:p>
        </w:tc>
        <w:tc>
          <w:tcPr>
            <w:tcW w:w="1126" w:type="pct"/>
            <w:tcBorders>
              <w:top w:val="single" w:color="auto" w:sz="4" w:space="0"/>
              <w:left w:val="nil"/>
              <w:bottom w:val="single" w:color="auto" w:sz="4" w:space="0"/>
              <w:right w:val="single" w:color="auto" w:sz="4" w:space="0"/>
            </w:tcBorders>
            <w:noWrap w:val="0"/>
            <w:vAlign w:val="center"/>
          </w:tcPr>
          <w:p w14:paraId="1DCF5C5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无灰尘、无垃圾、光亮</w:t>
            </w:r>
          </w:p>
        </w:tc>
        <w:tc>
          <w:tcPr>
            <w:tcW w:w="1571" w:type="pct"/>
            <w:tcBorders>
              <w:top w:val="single" w:color="auto" w:sz="4" w:space="0"/>
              <w:left w:val="nil"/>
              <w:bottom w:val="single" w:color="auto" w:sz="4" w:space="0"/>
              <w:right w:val="single" w:color="auto" w:sz="4" w:space="0"/>
            </w:tcBorders>
            <w:noWrap w:val="0"/>
            <w:vAlign w:val="center"/>
          </w:tcPr>
          <w:p w14:paraId="4734C41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每日及时清洁</w:t>
            </w:r>
          </w:p>
        </w:tc>
      </w:tr>
      <w:tr w14:paraId="6B6D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F5E12EB">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4A8D4B4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门槽</w:t>
            </w:r>
          </w:p>
        </w:tc>
        <w:tc>
          <w:tcPr>
            <w:tcW w:w="821" w:type="pct"/>
            <w:tcBorders>
              <w:top w:val="single" w:color="auto" w:sz="4" w:space="0"/>
              <w:left w:val="nil"/>
              <w:bottom w:val="single" w:color="auto" w:sz="4" w:space="0"/>
              <w:right w:val="single" w:color="auto" w:sz="4" w:space="0"/>
            </w:tcBorders>
            <w:noWrap w:val="0"/>
            <w:vAlign w:val="center"/>
          </w:tcPr>
          <w:p w14:paraId="1A0AFB4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清除垃圾、杂物</w:t>
            </w:r>
          </w:p>
        </w:tc>
        <w:tc>
          <w:tcPr>
            <w:tcW w:w="1126" w:type="pct"/>
            <w:tcBorders>
              <w:top w:val="single" w:color="auto" w:sz="4" w:space="0"/>
              <w:left w:val="nil"/>
              <w:bottom w:val="single" w:color="auto" w:sz="4" w:space="0"/>
              <w:right w:val="single" w:color="auto" w:sz="4" w:space="0"/>
            </w:tcBorders>
            <w:noWrap w:val="0"/>
            <w:vAlign w:val="center"/>
          </w:tcPr>
          <w:p w14:paraId="62349AD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无灰尘、无垃圾、光亮</w:t>
            </w:r>
          </w:p>
        </w:tc>
        <w:tc>
          <w:tcPr>
            <w:tcW w:w="1571" w:type="pct"/>
            <w:tcBorders>
              <w:top w:val="single" w:color="auto" w:sz="4" w:space="0"/>
              <w:left w:val="nil"/>
              <w:bottom w:val="single" w:color="auto" w:sz="4" w:space="0"/>
              <w:right w:val="single" w:color="auto" w:sz="4" w:space="0"/>
            </w:tcBorders>
            <w:noWrap w:val="0"/>
            <w:vAlign w:val="center"/>
          </w:tcPr>
          <w:p w14:paraId="5E0F14E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每日及时清洁</w:t>
            </w:r>
          </w:p>
        </w:tc>
      </w:tr>
      <w:tr w14:paraId="2F1A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C44FB4B">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7F588E5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指示牌和按钮</w:t>
            </w:r>
          </w:p>
        </w:tc>
        <w:tc>
          <w:tcPr>
            <w:tcW w:w="821" w:type="pct"/>
            <w:tcBorders>
              <w:top w:val="single" w:color="auto" w:sz="4" w:space="0"/>
              <w:left w:val="nil"/>
              <w:bottom w:val="single" w:color="auto" w:sz="4" w:space="0"/>
              <w:right w:val="single" w:color="auto" w:sz="4" w:space="0"/>
            </w:tcBorders>
            <w:noWrap w:val="0"/>
            <w:vAlign w:val="center"/>
          </w:tcPr>
          <w:p w14:paraId="5C20560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2A09662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无灰尘、无手印</w:t>
            </w:r>
          </w:p>
        </w:tc>
        <w:tc>
          <w:tcPr>
            <w:tcW w:w="1571" w:type="pct"/>
            <w:tcBorders>
              <w:top w:val="single" w:color="auto" w:sz="4" w:space="0"/>
              <w:left w:val="nil"/>
              <w:bottom w:val="single" w:color="auto" w:sz="4" w:space="0"/>
              <w:right w:val="single" w:color="auto" w:sz="4" w:space="0"/>
            </w:tcBorders>
            <w:noWrap w:val="0"/>
            <w:vAlign w:val="center"/>
          </w:tcPr>
          <w:p w14:paraId="7572C43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每日清抹一次</w:t>
            </w:r>
          </w:p>
        </w:tc>
      </w:tr>
      <w:tr w14:paraId="2F28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1FBF77F">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2F5B2F6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灯具和风口</w:t>
            </w:r>
          </w:p>
        </w:tc>
        <w:tc>
          <w:tcPr>
            <w:tcW w:w="821" w:type="pct"/>
            <w:tcBorders>
              <w:top w:val="single" w:color="auto" w:sz="4" w:space="0"/>
              <w:left w:val="nil"/>
              <w:bottom w:val="single" w:color="auto" w:sz="4" w:space="0"/>
              <w:right w:val="single" w:color="auto" w:sz="4" w:space="0"/>
            </w:tcBorders>
            <w:noWrap w:val="0"/>
            <w:vAlign w:val="center"/>
          </w:tcPr>
          <w:p w14:paraId="0D2538F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0397DC3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w:t>
            </w:r>
          </w:p>
        </w:tc>
        <w:tc>
          <w:tcPr>
            <w:tcW w:w="1571" w:type="pct"/>
            <w:tcBorders>
              <w:top w:val="single" w:color="auto" w:sz="4" w:space="0"/>
              <w:left w:val="nil"/>
              <w:bottom w:val="single" w:color="auto" w:sz="4" w:space="0"/>
              <w:right w:val="single" w:color="auto" w:sz="4" w:space="0"/>
            </w:tcBorders>
            <w:noWrap w:val="0"/>
            <w:vAlign w:val="center"/>
          </w:tcPr>
          <w:p w14:paraId="2BBF4CF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每日清抹一次</w:t>
            </w:r>
          </w:p>
        </w:tc>
      </w:tr>
      <w:tr w14:paraId="5598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4" w:type="pct"/>
            <w:vMerge w:val="restart"/>
            <w:tcBorders>
              <w:top w:val="single" w:color="auto" w:sz="4" w:space="0"/>
              <w:left w:val="single" w:color="auto" w:sz="4" w:space="0"/>
              <w:bottom w:val="single" w:color="auto" w:sz="4" w:space="0"/>
              <w:right w:val="single" w:color="auto" w:sz="4" w:space="0"/>
            </w:tcBorders>
            <w:noWrap w:val="0"/>
            <w:vAlign w:val="center"/>
          </w:tcPr>
          <w:p w14:paraId="55B313F7">
            <w:pPr>
              <w:keepNext w:val="0"/>
              <w:keepLines w:val="0"/>
              <w:suppressLineNumbers w:val="0"/>
              <w:spacing w:before="0" w:beforeAutospacing="0" w:after="0" w:afterAutospacing="0"/>
              <w:ind w:left="0" w:right="0"/>
              <w:rPr>
                <w:rFonts w:hint="default"/>
                <w:color w:val="auto"/>
                <w:highlight w:val="none"/>
              </w:rPr>
            </w:pPr>
          </w:p>
          <w:p w14:paraId="4023789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洗</w:t>
            </w:r>
          </w:p>
          <w:p w14:paraId="600467BF">
            <w:pPr>
              <w:keepNext w:val="0"/>
              <w:keepLines w:val="0"/>
              <w:suppressLineNumbers w:val="0"/>
              <w:spacing w:before="0" w:beforeAutospacing="0" w:after="0" w:afterAutospacing="0"/>
              <w:ind w:left="0" w:right="0"/>
              <w:rPr>
                <w:rFonts w:hint="default"/>
                <w:color w:val="auto"/>
                <w:highlight w:val="none"/>
              </w:rPr>
            </w:pPr>
          </w:p>
          <w:p w14:paraId="1E997BB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手</w:t>
            </w:r>
          </w:p>
          <w:p w14:paraId="32404D40">
            <w:pPr>
              <w:keepNext w:val="0"/>
              <w:keepLines w:val="0"/>
              <w:suppressLineNumbers w:val="0"/>
              <w:spacing w:before="0" w:beforeAutospacing="0" w:after="0" w:afterAutospacing="0"/>
              <w:ind w:left="0" w:right="0"/>
              <w:rPr>
                <w:rFonts w:hint="default"/>
                <w:color w:val="auto"/>
                <w:highlight w:val="none"/>
              </w:rPr>
            </w:pPr>
          </w:p>
          <w:p w14:paraId="0A907AD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间</w:t>
            </w:r>
          </w:p>
        </w:tc>
        <w:tc>
          <w:tcPr>
            <w:tcW w:w="955" w:type="pct"/>
            <w:tcBorders>
              <w:top w:val="single" w:color="auto" w:sz="4" w:space="0"/>
              <w:left w:val="nil"/>
              <w:bottom w:val="single" w:color="auto" w:sz="4" w:space="0"/>
              <w:right w:val="single" w:color="auto" w:sz="4" w:space="0"/>
            </w:tcBorders>
            <w:noWrap w:val="0"/>
            <w:vAlign w:val="center"/>
          </w:tcPr>
          <w:p w14:paraId="1EC0C05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尿斗、坐便器、蹲便器、</w:t>
            </w:r>
          </w:p>
        </w:tc>
        <w:tc>
          <w:tcPr>
            <w:tcW w:w="821" w:type="pct"/>
            <w:tcBorders>
              <w:top w:val="single" w:color="auto" w:sz="4" w:space="0"/>
              <w:left w:val="nil"/>
              <w:bottom w:val="single" w:color="auto" w:sz="4" w:space="0"/>
              <w:right w:val="single" w:color="auto" w:sz="4" w:space="0"/>
            </w:tcBorders>
            <w:noWrap w:val="0"/>
            <w:vAlign w:val="center"/>
          </w:tcPr>
          <w:p w14:paraId="49AAA20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除污垢（用中性药剂）除锈斑、消毒</w:t>
            </w:r>
          </w:p>
        </w:tc>
        <w:tc>
          <w:tcPr>
            <w:tcW w:w="1126" w:type="pct"/>
            <w:tcBorders>
              <w:top w:val="single" w:color="auto" w:sz="4" w:space="0"/>
              <w:left w:val="nil"/>
              <w:bottom w:val="single" w:color="auto" w:sz="4" w:space="0"/>
              <w:right w:val="single" w:color="auto" w:sz="4" w:space="0"/>
            </w:tcBorders>
            <w:noWrap w:val="0"/>
            <w:vAlign w:val="center"/>
          </w:tcPr>
          <w:p w14:paraId="4E53FEA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无异味、无污垢、无积垢、清洁</w:t>
            </w:r>
          </w:p>
        </w:tc>
        <w:tc>
          <w:tcPr>
            <w:tcW w:w="1571" w:type="pct"/>
            <w:tcBorders>
              <w:top w:val="single" w:color="auto" w:sz="4" w:space="0"/>
              <w:left w:val="nil"/>
              <w:bottom w:val="single" w:color="auto" w:sz="4" w:space="0"/>
              <w:right w:val="single" w:color="auto" w:sz="4" w:space="0"/>
            </w:tcBorders>
            <w:noWrap w:val="0"/>
            <w:vAlign w:val="center"/>
          </w:tcPr>
          <w:p w14:paraId="1A19BA1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随时保持畅通，无漏水，无异味、无污垢</w:t>
            </w:r>
          </w:p>
        </w:tc>
      </w:tr>
      <w:tr w14:paraId="51A1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B43FD5">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3757951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隔断</w:t>
            </w:r>
          </w:p>
        </w:tc>
        <w:tc>
          <w:tcPr>
            <w:tcW w:w="821" w:type="pct"/>
            <w:tcBorders>
              <w:top w:val="single" w:color="auto" w:sz="4" w:space="0"/>
              <w:left w:val="nil"/>
              <w:bottom w:val="single" w:color="auto" w:sz="4" w:space="0"/>
              <w:right w:val="single" w:color="auto" w:sz="4" w:space="0"/>
            </w:tcBorders>
            <w:noWrap w:val="0"/>
            <w:vAlign w:val="center"/>
          </w:tcPr>
          <w:p w14:paraId="5DA6F0D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除尘、除污垢</w:t>
            </w:r>
          </w:p>
        </w:tc>
        <w:tc>
          <w:tcPr>
            <w:tcW w:w="1126" w:type="pct"/>
            <w:tcBorders>
              <w:top w:val="single" w:color="auto" w:sz="4" w:space="0"/>
              <w:left w:val="nil"/>
              <w:bottom w:val="single" w:color="auto" w:sz="4" w:space="0"/>
              <w:right w:val="single" w:color="auto" w:sz="4" w:space="0"/>
            </w:tcBorders>
            <w:noWrap w:val="0"/>
            <w:vAlign w:val="center"/>
          </w:tcPr>
          <w:p w14:paraId="6C970F9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无异味、无灰尘、无涂画、无污垢</w:t>
            </w:r>
          </w:p>
        </w:tc>
        <w:tc>
          <w:tcPr>
            <w:tcW w:w="1571" w:type="pct"/>
            <w:tcBorders>
              <w:top w:val="single" w:color="auto" w:sz="4" w:space="0"/>
              <w:left w:val="nil"/>
              <w:bottom w:val="single" w:color="auto" w:sz="4" w:space="0"/>
              <w:right w:val="single" w:color="auto" w:sz="4" w:space="0"/>
            </w:tcBorders>
            <w:noWrap w:val="0"/>
            <w:vAlign w:val="center"/>
          </w:tcPr>
          <w:p w14:paraId="169C7DA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循环保洁，每日清洁</w:t>
            </w:r>
          </w:p>
        </w:tc>
      </w:tr>
      <w:tr w14:paraId="607C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DA922B">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4683E97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水龙头、镜面、台盆台面</w:t>
            </w:r>
          </w:p>
        </w:tc>
        <w:tc>
          <w:tcPr>
            <w:tcW w:w="821" w:type="pct"/>
            <w:tcBorders>
              <w:top w:val="single" w:color="auto" w:sz="4" w:space="0"/>
              <w:left w:val="nil"/>
              <w:bottom w:val="single" w:color="auto" w:sz="4" w:space="0"/>
              <w:right w:val="single" w:color="auto" w:sz="4" w:space="0"/>
            </w:tcBorders>
            <w:noWrap w:val="0"/>
            <w:vAlign w:val="center"/>
          </w:tcPr>
          <w:p w14:paraId="2E9A7E3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抹净</w:t>
            </w:r>
          </w:p>
        </w:tc>
        <w:tc>
          <w:tcPr>
            <w:tcW w:w="1126" w:type="pct"/>
            <w:tcBorders>
              <w:top w:val="single" w:color="auto" w:sz="4" w:space="0"/>
              <w:left w:val="nil"/>
              <w:bottom w:val="single" w:color="auto" w:sz="4" w:space="0"/>
              <w:right w:val="single" w:color="auto" w:sz="4" w:space="0"/>
            </w:tcBorders>
            <w:noWrap w:val="0"/>
            <w:vAlign w:val="center"/>
          </w:tcPr>
          <w:p w14:paraId="6DC68A1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无水锈、无污渍</w:t>
            </w:r>
          </w:p>
        </w:tc>
        <w:tc>
          <w:tcPr>
            <w:tcW w:w="1571" w:type="pct"/>
            <w:tcBorders>
              <w:top w:val="single" w:color="auto" w:sz="4" w:space="0"/>
              <w:left w:val="nil"/>
              <w:bottom w:val="single" w:color="auto" w:sz="4" w:space="0"/>
              <w:right w:val="single" w:color="auto" w:sz="4" w:space="0"/>
            </w:tcBorders>
            <w:noWrap w:val="0"/>
            <w:vAlign w:val="center"/>
          </w:tcPr>
          <w:p w14:paraId="3CC098F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循环保洁，每日清洁</w:t>
            </w:r>
          </w:p>
        </w:tc>
      </w:tr>
      <w:tr w14:paraId="2ABD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E88939">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415C558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地面、墙面</w:t>
            </w:r>
          </w:p>
        </w:tc>
        <w:tc>
          <w:tcPr>
            <w:tcW w:w="821" w:type="pct"/>
            <w:tcBorders>
              <w:top w:val="single" w:color="auto" w:sz="4" w:space="0"/>
              <w:left w:val="nil"/>
              <w:bottom w:val="single" w:color="auto" w:sz="4" w:space="0"/>
              <w:right w:val="single" w:color="auto" w:sz="4" w:space="0"/>
            </w:tcBorders>
            <w:noWrap w:val="0"/>
            <w:vAlign w:val="center"/>
          </w:tcPr>
          <w:p w14:paraId="4A735BE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5A58B52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无垃圾、无水迹、无污渍</w:t>
            </w:r>
          </w:p>
        </w:tc>
        <w:tc>
          <w:tcPr>
            <w:tcW w:w="1571" w:type="pct"/>
            <w:tcBorders>
              <w:top w:val="single" w:color="auto" w:sz="4" w:space="0"/>
              <w:left w:val="nil"/>
              <w:bottom w:val="single" w:color="auto" w:sz="4" w:space="0"/>
              <w:right w:val="single" w:color="auto" w:sz="4" w:space="0"/>
            </w:tcBorders>
            <w:noWrap w:val="0"/>
            <w:vAlign w:val="center"/>
          </w:tcPr>
          <w:p w14:paraId="5B95792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循环保洁，每日清洁；地面必要时消毒</w:t>
            </w:r>
          </w:p>
        </w:tc>
      </w:tr>
      <w:tr w14:paraId="21CF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90EFEF">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527999E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灯片、天花、风口、排气扇</w:t>
            </w:r>
          </w:p>
        </w:tc>
        <w:tc>
          <w:tcPr>
            <w:tcW w:w="821" w:type="pct"/>
            <w:tcBorders>
              <w:top w:val="single" w:color="auto" w:sz="4" w:space="0"/>
              <w:left w:val="nil"/>
              <w:bottom w:val="single" w:color="auto" w:sz="4" w:space="0"/>
              <w:right w:val="single" w:color="auto" w:sz="4" w:space="0"/>
            </w:tcBorders>
            <w:noWrap w:val="0"/>
            <w:vAlign w:val="center"/>
          </w:tcPr>
          <w:p w14:paraId="7EC66D8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69D840E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无积灰</w:t>
            </w:r>
          </w:p>
        </w:tc>
        <w:tc>
          <w:tcPr>
            <w:tcW w:w="1571" w:type="pct"/>
            <w:tcBorders>
              <w:top w:val="single" w:color="auto" w:sz="4" w:space="0"/>
              <w:left w:val="nil"/>
              <w:bottom w:val="single" w:color="auto" w:sz="4" w:space="0"/>
              <w:right w:val="single" w:color="auto" w:sz="4" w:space="0"/>
            </w:tcBorders>
            <w:noWrap w:val="0"/>
            <w:vAlign w:val="center"/>
          </w:tcPr>
          <w:p w14:paraId="492FA0D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每月清除一次</w:t>
            </w:r>
          </w:p>
        </w:tc>
      </w:tr>
      <w:tr w14:paraId="208B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BA1332">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4EC9DB7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门和门框</w:t>
            </w:r>
          </w:p>
        </w:tc>
        <w:tc>
          <w:tcPr>
            <w:tcW w:w="821" w:type="pct"/>
            <w:tcBorders>
              <w:top w:val="single" w:color="auto" w:sz="4" w:space="0"/>
              <w:left w:val="nil"/>
              <w:bottom w:val="single" w:color="auto" w:sz="4" w:space="0"/>
              <w:right w:val="single" w:color="auto" w:sz="4" w:space="0"/>
            </w:tcBorders>
            <w:noWrap w:val="0"/>
            <w:vAlign w:val="center"/>
          </w:tcPr>
          <w:p w14:paraId="414C66C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7A3DACF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无灰尘、无污渍</w:t>
            </w:r>
          </w:p>
        </w:tc>
        <w:tc>
          <w:tcPr>
            <w:tcW w:w="1571" w:type="pct"/>
            <w:tcBorders>
              <w:top w:val="single" w:color="auto" w:sz="4" w:space="0"/>
              <w:left w:val="nil"/>
              <w:bottom w:val="single" w:color="auto" w:sz="4" w:space="0"/>
              <w:right w:val="single" w:color="auto" w:sz="4" w:space="0"/>
            </w:tcBorders>
            <w:noWrap w:val="0"/>
            <w:vAlign w:val="center"/>
          </w:tcPr>
          <w:p w14:paraId="71E319C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循环保洁，每日清洁</w:t>
            </w:r>
          </w:p>
        </w:tc>
      </w:tr>
      <w:tr w14:paraId="5EC1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40F2AD">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2CA9F40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废物箱</w:t>
            </w:r>
          </w:p>
        </w:tc>
        <w:tc>
          <w:tcPr>
            <w:tcW w:w="821" w:type="pct"/>
            <w:tcBorders>
              <w:top w:val="single" w:color="auto" w:sz="4" w:space="0"/>
              <w:left w:val="nil"/>
              <w:bottom w:val="single" w:color="auto" w:sz="4" w:space="0"/>
              <w:right w:val="single" w:color="auto" w:sz="4" w:space="0"/>
            </w:tcBorders>
            <w:noWrap w:val="0"/>
            <w:vAlign w:val="center"/>
          </w:tcPr>
          <w:p w14:paraId="44F3E75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清除垃圾、外表清洁</w:t>
            </w:r>
          </w:p>
        </w:tc>
        <w:tc>
          <w:tcPr>
            <w:tcW w:w="1126" w:type="pct"/>
            <w:tcBorders>
              <w:top w:val="single" w:color="auto" w:sz="4" w:space="0"/>
              <w:left w:val="nil"/>
              <w:bottom w:val="single" w:color="auto" w:sz="4" w:space="0"/>
              <w:right w:val="single" w:color="auto" w:sz="4" w:space="0"/>
            </w:tcBorders>
            <w:noWrap w:val="0"/>
            <w:vAlign w:val="center"/>
          </w:tcPr>
          <w:p w14:paraId="5FE9FCB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无异味、无垃圾满溢、无污渍</w:t>
            </w:r>
          </w:p>
        </w:tc>
        <w:tc>
          <w:tcPr>
            <w:tcW w:w="1571" w:type="pct"/>
            <w:tcBorders>
              <w:top w:val="single" w:color="auto" w:sz="4" w:space="0"/>
              <w:left w:val="nil"/>
              <w:bottom w:val="single" w:color="auto" w:sz="4" w:space="0"/>
              <w:right w:val="single" w:color="auto" w:sz="4" w:space="0"/>
            </w:tcBorders>
            <w:noWrap w:val="0"/>
            <w:vAlign w:val="center"/>
          </w:tcPr>
          <w:p w14:paraId="15DAE68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循环保洁，及时清理</w:t>
            </w:r>
          </w:p>
        </w:tc>
      </w:tr>
      <w:tr w14:paraId="3B3E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799879">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144E4AD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玻璃窗</w:t>
            </w:r>
          </w:p>
        </w:tc>
        <w:tc>
          <w:tcPr>
            <w:tcW w:w="821" w:type="pct"/>
            <w:tcBorders>
              <w:top w:val="single" w:color="auto" w:sz="4" w:space="0"/>
              <w:left w:val="nil"/>
              <w:bottom w:val="single" w:color="auto" w:sz="4" w:space="0"/>
              <w:right w:val="single" w:color="auto" w:sz="4" w:space="0"/>
            </w:tcBorders>
            <w:noWrap w:val="0"/>
            <w:vAlign w:val="center"/>
          </w:tcPr>
          <w:p w14:paraId="680EFF8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清洗、除尘</w:t>
            </w:r>
          </w:p>
        </w:tc>
        <w:tc>
          <w:tcPr>
            <w:tcW w:w="1126" w:type="pct"/>
            <w:tcBorders>
              <w:top w:val="single" w:color="auto" w:sz="4" w:space="0"/>
              <w:left w:val="nil"/>
              <w:bottom w:val="single" w:color="auto" w:sz="4" w:space="0"/>
              <w:right w:val="single" w:color="auto" w:sz="4" w:space="0"/>
            </w:tcBorders>
            <w:noWrap w:val="0"/>
            <w:vAlign w:val="center"/>
          </w:tcPr>
          <w:p w14:paraId="377572F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无灰尘、无水迹</w:t>
            </w:r>
          </w:p>
        </w:tc>
        <w:tc>
          <w:tcPr>
            <w:tcW w:w="1571" w:type="pct"/>
            <w:tcBorders>
              <w:top w:val="single" w:color="auto" w:sz="4" w:space="0"/>
              <w:left w:val="nil"/>
              <w:bottom w:val="single" w:color="auto" w:sz="4" w:space="0"/>
              <w:right w:val="single" w:color="auto" w:sz="4" w:space="0"/>
            </w:tcBorders>
            <w:noWrap w:val="0"/>
            <w:vAlign w:val="center"/>
          </w:tcPr>
          <w:p w14:paraId="291509F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循环保洁，每月清洁一次</w:t>
            </w:r>
          </w:p>
        </w:tc>
      </w:tr>
      <w:tr w14:paraId="36A1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24" w:type="pct"/>
            <w:vMerge w:val="restart"/>
            <w:tcBorders>
              <w:top w:val="nil"/>
              <w:left w:val="single" w:color="auto" w:sz="4" w:space="0"/>
              <w:bottom w:val="single" w:color="auto" w:sz="4" w:space="0"/>
              <w:right w:val="single" w:color="auto" w:sz="4" w:space="0"/>
            </w:tcBorders>
            <w:noWrap w:val="0"/>
            <w:vAlign w:val="center"/>
          </w:tcPr>
          <w:p w14:paraId="70D3CE3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楼</w:t>
            </w:r>
          </w:p>
          <w:p w14:paraId="3C6A610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梯</w:t>
            </w:r>
          </w:p>
        </w:tc>
        <w:tc>
          <w:tcPr>
            <w:tcW w:w="955" w:type="pct"/>
            <w:tcBorders>
              <w:top w:val="single" w:color="auto" w:sz="4" w:space="0"/>
              <w:left w:val="nil"/>
              <w:bottom w:val="single" w:color="auto" w:sz="4" w:space="0"/>
              <w:right w:val="single" w:color="auto" w:sz="4" w:space="0"/>
            </w:tcBorders>
            <w:noWrap w:val="0"/>
            <w:vAlign w:val="center"/>
          </w:tcPr>
          <w:p w14:paraId="0ADB595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楼级和平台</w:t>
            </w:r>
          </w:p>
        </w:tc>
        <w:tc>
          <w:tcPr>
            <w:tcW w:w="821" w:type="pct"/>
            <w:tcBorders>
              <w:top w:val="single" w:color="auto" w:sz="4" w:space="0"/>
              <w:left w:val="nil"/>
              <w:bottom w:val="single" w:color="auto" w:sz="4" w:space="0"/>
              <w:right w:val="single" w:color="auto" w:sz="4" w:space="0"/>
            </w:tcBorders>
            <w:noWrap w:val="0"/>
            <w:vAlign w:val="center"/>
          </w:tcPr>
          <w:p w14:paraId="49C8C88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清扫垃圾、清洁</w:t>
            </w:r>
          </w:p>
        </w:tc>
        <w:tc>
          <w:tcPr>
            <w:tcW w:w="1126" w:type="pct"/>
            <w:tcBorders>
              <w:top w:val="single" w:color="auto" w:sz="4" w:space="0"/>
              <w:left w:val="nil"/>
              <w:bottom w:val="single" w:color="auto" w:sz="4" w:space="0"/>
              <w:right w:val="single" w:color="auto" w:sz="4" w:space="0"/>
            </w:tcBorders>
            <w:noWrap w:val="0"/>
            <w:vAlign w:val="center"/>
          </w:tcPr>
          <w:p w14:paraId="4BD1293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无垃圾、死角、无积灰</w:t>
            </w:r>
          </w:p>
        </w:tc>
        <w:tc>
          <w:tcPr>
            <w:tcW w:w="1571" w:type="pct"/>
            <w:tcBorders>
              <w:top w:val="single" w:color="auto" w:sz="4" w:space="0"/>
              <w:left w:val="nil"/>
              <w:bottom w:val="single" w:color="auto" w:sz="4" w:space="0"/>
              <w:right w:val="single" w:color="auto" w:sz="4" w:space="0"/>
            </w:tcBorders>
            <w:noWrap w:val="0"/>
            <w:vAlign w:val="center"/>
          </w:tcPr>
          <w:p w14:paraId="102A4C2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每天清洁一次</w:t>
            </w:r>
          </w:p>
        </w:tc>
      </w:tr>
      <w:tr w14:paraId="62CC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E973FE0">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4940982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扶手、栏杆</w:t>
            </w:r>
          </w:p>
        </w:tc>
        <w:tc>
          <w:tcPr>
            <w:tcW w:w="821" w:type="pct"/>
            <w:tcBorders>
              <w:top w:val="single" w:color="auto" w:sz="4" w:space="0"/>
              <w:left w:val="nil"/>
              <w:bottom w:val="single" w:color="auto" w:sz="4" w:space="0"/>
              <w:right w:val="single" w:color="auto" w:sz="4" w:space="0"/>
            </w:tcBorders>
            <w:noWrap w:val="0"/>
            <w:vAlign w:val="center"/>
          </w:tcPr>
          <w:p w14:paraId="730C96A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除尘、抹净</w:t>
            </w:r>
          </w:p>
        </w:tc>
        <w:tc>
          <w:tcPr>
            <w:tcW w:w="1126" w:type="pct"/>
            <w:tcBorders>
              <w:top w:val="single" w:color="auto" w:sz="4" w:space="0"/>
              <w:left w:val="nil"/>
              <w:bottom w:val="single" w:color="auto" w:sz="4" w:space="0"/>
              <w:right w:val="single" w:color="auto" w:sz="4" w:space="0"/>
            </w:tcBorders>
            <w:noWrap w:val="0"/>
            <w:vAlign w:val="center"/>
          </w:tcPr>
          <w:p w14:paraId="605F580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w:t>
            </w:r>
          </w:p>
        </w:tc>
        <w:tc>
          <w:tcPr>
            <w:tcW w:w="1571" w:type="pct"/>
            <w:tcBorders>
              <w:top w:val="single" w:color="auto" w:sz="4" w:space="0"/>
              <w:left w:val="nil"/>
              <w:bottom w:val="single" w:color="auto" w:sz="4" w:space="0"/>
              <w:right w:val="single" w:color="auto" w:sz="4" w:space="0"/>
            </w:tcBorders>
            <w:noWrap w:val="0"/>
            <w:vAlign w:val="center"/>
          </w:tcPr>
          <w:p w14:paraId="4B863DB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循环保洁，随时清抹</w:t>
            </w:r>
          </w:p>
        </w:tc>
      </w:tr>
      <w:tr w14:paraId="18DF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77B8234">
            <w:pPr>
              <w:keepNext w:val="0"/>
              <w:keepLines w:val="0"/>
              <w:widowControl/>
              <w:suppressLineNumbers w:val="0"/>
              <w:spacing w:before="0" w:beforeAutospacing="0" w:after="0" w:afterAutospacing="0"/>
              <w:ind w:left="0" w:right="0"/>
              <w:jc w:val="left"/>
              <w:rPr>
                <w:rFonts w:hint="default"/>
                <w:color w:val="auto"/>
                <w:highlight w:val="none"/>
              </w:rPr>
            </w:pPr>
          </w:p>
        </w:tc>
        <w:tc>
          <w:tcPr>
            <w:tcW w:w="955" w:type="pct"/>
            <w:tcBorders>
              <w:top w:val="single" w:color="auto" w:sz="4" w:space="0"/>
              <w:left w:val="nil"/>
              <w:bottom w:val="single" w:color="auto" w:sz="4" w:space="0"/>
              <w:right w:val="single" w:color="auto" w:sz="4" w:space="0"/>
            </w:tcBorders>
            <w:noWrap w:val="0"/>
            <w:vAlign w:val="center"/>
          </w:tcPr>
          <w:p w14:paraId="489B9A3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外露管道</w:t>
            </w:r>
          </w:p>
        </w:tc>
        <w:tc>
          <w:tcPr>
            <w:tcW w:w="821" w:type="pct"/>
            <w:tcBorders>
              <w:top w:val="single" w:color="auto" w:sz="4" w:space="0"/>
              <w:left w:val="nil"/>
              <w:bottom w:val="single" w:color="auto" w:sz="4" w:space="0"/>
              <w:right w:val="single" w:color="auto" w:sz="4" w:space="0"/>
            </w:tcBorders>
            <w:noWrap w:val="0"/>
            <w:vAlign w:val="center"/>
          </w:tcPr>
          <w:p w14:paraId="692E83A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除尘</w:t>
            </w:r>
          </w:p>
        </w:tc>
        <w:tc>
          <w:tcPr>
            <w:tcW w:w="1126" w:type="pct"/>
            <w:tcBorders>
              <w:top w:val="single" w:color="auto" w:sz="4" w:space="0"/>
              <w:left w:val="nil"/>
              <w:bottom w:val="single" w:color="auto" w:sz="4" w:space="0"/>
              <w:right w:val="single" w:color="auto" w:sz="4" w:space="0"/>
            </w:tcBorders>
            <w:noWrap w:val="0"/>
            <w:vAlign w:val="center"/>
          </w:tcPr>
          <w:p w14:paraId="50545B3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无灰尘</w:t>
            </w:r>
          </w:p>
        </w:tc>
        <w:tc>
          <w:tcPr>
            <w:tcW w:w="1571" w:type="pct"/>
            <w:tcBorders>
              <w:top w:val="single" w:color="auto" w:sz="4" w:space="0"/>
              <w:left w:val="nil"/>
              <w:bottom w:val="single" w:color="auto" w:sz="4" w:space="0"/>
              <w:right w:val="single" w:color="auto" w:sz="4" w:space="0"/>
            </w:tcBorders>
            <w:noWrap w:val="0"/>
            <w:vAlign w:val="center"/>
          </w:tcPr>
          <w:p w14:paraId="56A9176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每星期清洁一次</w:t>
            </w:r>
          </w:p>
        </w:tc>
      </w:tr>
      <w:tr w14:paraId="2DB4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24" w:type="pct"/>
            <w:tcBorders>
              <w:top w:val="nil"/>
              <w:left w:val="single" w:color="auto" w:sz="4" w:space="0"/>
              <w:bottom w:val="single" w:color="auto" w:sz="4" w:space="0"/>
              <w:right w:val="single" w:color="auto" w:sz="4" w:space="0"/>
            </w:tcBorders>
            <w:noWrap w:val="0"/>
            <w:vAlign w:val="center"/>
          </w:tcPr>
          <w:p w14:paraId="50E52EF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停车场（库）</w:t>
            </w:r>
          </w:p>
        </w:tc>
        <w:tc>
          <w:tcPr>
            <w:tcW w:w="955" w:type="pct"/>
            <w:tcBorders>
              <w:top w:val="single" w:color="auto" w:sz="4" w:space="0"/>
              <w:left w:val="nil"/>
              <w:bottom w:val="single" w:color="auto" w:sz="4" w:space="0"/>
              <w:right w:val="single" w:color="auto" w:sz="4" w:space="0"/>
            </w:tcBorders>
            <w:noWrap w:val="0"/>
            <w:vAlign w:val="center"/>
          </w:tcPr>
          <w:p w14:paraId="1972821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地面</w:t>
            </w:r>
          </w:p>
        </w:tc>
        <w:tc>
          <w:tcPr>
            <w:tcW w:w="821" w:type="pct"/>
            <w:tcBorders>
              <w:top w:val="single" w:color="auto" w:sz="4" w:space="0"/>
              <w:left w:val="nil"/>
              <w:bottom w:val="single" w:color="auto" w:sz="4" w:space="0"/>
              <w:right w:val="single" w:color="auto" w:sz="4" w:space="0"/>
            </w:tcBorders>
            <w:noWrap w:val="0"/>
            <w:vAlign w:val="center"/>
          </w:tcPr>
          <w:p w14:paraId="71E62C2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清扫、冲洗</w:t>
            </w:r>
          </w:p>
        </w:tc>
        <w:tc>
          <w:tcPr>
            <w:tcW w:w="1126" w:type="pct"/>
            <w:tcBorders>
              <w:top w:val="single" w:color="auto" w:sz="4" w:space="0"/>
              <w:left w:val="nil"/>
              <w:bottom w:val="single" w:color="auto" w:sz="4" w:space="0"/>
              <w:right w:val="single" w:color="auto" w:sz="4" w:space="0"/>
            </w:tcBorders>
            <w:noWrap w:val="0"/>
            <w:vAlign w:val="center"/>
          </w:tcPr>
          <w:p w14:paraId="724EB87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无垃圾、无杂物</w:t>
            </w:r>
          </w:p>
        </w:tc>
        <w:tc>
          <w:tcPr>
            <w:tcW w:w="1571" w:type="pct"/>
            <w:tcBorders>
              <w:top w:val="single" w:color="auto" w:sz="4" w:space="0"/>
              <w:left w:val="nil"/>
              <w:bottom w:val="single" w:color="auto" w:sz="4" w:space="0"/>
              <w:right w:val="single" w:color="auto" w:sz="4" w:space="0"/>
            </w:tcBorders>
            <w:noWrap w:val="0"/>
            <w:vAlign w:val="center"/>
          </w:tcPr>
          <w:p w14:paraId="02F2253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循环保洁，每天清洁一次，保持地面整洁</w:t>
            </w:r>
          </w:p>
        </w:tc>
      </w:tr>
    </w:tbl>
    <w:p w14:paraId="3AD822AD">
      <w:pPr>
        <w:rPr>
          <w:color w:val="auto"/>
          <w:highlight w:val="none"/>
        </w:rPr>
      </w:pPr>
      <w:r>
        <w:rPr>
          <w:rFonts w:hint="eastAsia"/>
          <w:color w:val="auto"/>
          <w:highlight w:val="none"/>
        </w:rPr>
        <w:t>二、供电配电系统、给水消防和安保系统的管理</w:t>
      </w:r>
    </w:p>
    <w:p w14:paraId="67E0AE5D">
      <w:pPr>
        <w:rPr>
          <w:color w:val="auto"/>
          <w:highlight w:val="none"/>
        </w:rPr>
      </w:pPr>
      <w:r>
        <w:rPr>
          <w:rFonts w:hint="eastAsia"/>
          <w:color w:val="auto"/>
          <w:highlight w:val="none"/>
        </w:rPr>
        <w:t>（</w:t>
      </w:r>
      <w:r>
        <w:rPr>
          <w:color w:val="auto"/>
          <w:highlight w:val="none"/>
        </w:rPr>
        <w:t>1</w:t>
      </w:r>
      <w:r>
        <w:rPr>
          <w:rFonts w:hint="eastAsia"/>
          <w:color w:val="auto"/>
          <w:highlight w:val="none"/>
        </w:rPr>
        <w:t>）供电配电系统管理：办公室、会议室、廊道等大楼照明系统的日常协助检查管理，故障保修①负责高低配室</w:t>
      </w:r>
      <w:r>
        <w:rPr>
          <w:color w:val="auto"/>
          <w:highlight w:val="none"/>
        </w:rPr>
        <w:t xml:space="preserve"> 24</w:t>
      </w:r>
      <w:r>
        <w:rPr>
          <w:rFonts w:hint="eastAsia"/>
          <w:color w:val="auto"/>
          <w:highlight w:val="none"/>
        </w:rPr>
        <w:t>小时值班、设备巡查，运行数据记录，并及时、妥善处置突发事件。</w:t>
      </w:r>
      <w:r>
        <w:rPr>
          <w:color w:val="auto"/>
          <w:highlight w:val="none"/>
        </w:rPr>
        <w:t xml:space="preserve"> </w:t>
      </w:r>
      <w:r>
        <w:rPr>
          <w:rFonts w:hint="eastAsia"/>
          <w:color w:val="auto"/>
          <w:highlight w:val="none"/>
        </w:rPr>
        <w:t>②按规范做好高低配设备正常的倒闸工作及设备检修维护时停电倒闸的配合工作。③协助水泵安全巡查工作。④协助维保单位做好高低配设备日常维护管理，如高压出线柜熔丝更换，电容补偿柜日常螺丝紧固和维护，低压出线柜指示灯更换等工作。⑤做好高低配室、变压器室、值班室、室外走廊日常卫生清洁工作（每周打扫卫生次数不少于两次）⑥值班期间服从采购人的调度和工作安排。</w:t>
      </w:r>
    </w:p>
    <w:p w14:paraId="3AEE4A34">
      <w:pPr>
        <w:rPr>
          <w:color w:val="auto"/>
          <w:highlight w:val="none"/>
        </w:rPr>
      </w:pPr>
      <w:r>
        <w:rPr>
          <w:rFonts w:hint="eastAsia"/>
          <w:color w:val="auto"/>
          <w:highlight w:val="none"/>
        </w:rPr>
        <w:t>（</w:t>
      </w:r>
      <w:r>
        <w:rPr>
          <w:color w:val="auto"/>
          <w:highlight w:val="none"/>
        </w:rPr>
        <w:t>2</w:t>
      </w:r>
      <w:r>
        <w:rPr>
          <w:rFonts w:hint="eastAsia"/>
          <w:color w:val="auto"/>
          <w:highlight w:val="none"/>
        </w:rPr>
        <w:t>）消监控室管理：消防系统包括应急照明灯、消防栓、灭火器材等的日常检查管理。协助维保单位对安保系统包括安保摄像系统、红外报警系统等的日常检查管理，每半年检查一次；各系统的各接插件联接可靠，无接触不良现象，两个月检查一次，保证系统的可靠运行①负责视频监控巡查，视频监控回放记录调取。②负责消防、监控设备</w:t>
      </w:r>
      <w:r>
        <w:rPr>
          <w:color w:val="auto"/>
          <w:highlight w:val="none"/>
        </w:rPr>
        <w:t>24</w:t>
      </w:r>
      <w:r>
        <w:rPr>
          <w:rFonts w:hint="eastAsia"/>
          <w:color w:val="auto"/>
          <w:highlight w:val="none"/>
        </w:rPr>
        <w:t>小时值守。③负责综合监控设备运行值守，操作监控。④负责突发应急事件处置。⑤负责消防钥匙管理工作。⑥室内其它设备的管理操作。⑦值班期间服从采购人的调度和工作安排。⑧消监控室中采购人值班人员若有请假的，物业公司需派执有效证件（消控证）的人进行顶班，采购人不另行支付相关费用。</w:t>
      </w:r>
    </w:p>
    <w:p w14:paraId="77F7ECEF">
      <w:pPr>
        <w:rPr>
          <w:color w:val="auto"/>
          <w:highlight w:val="none"/>
        </w:rPr>
      </w:pPr>
      <w:r>
        <w:rPr>
          <w:rFonts w:hint="eastAsia"/>
          <w:color w:val="auto"/>
          <w:highlight w:val="none"/>
        </w:rPr>
        <w:t>三、安保服务内容</w:t>
      </w:r>
    </w:p>
    <w:p w14:paraId="75E026A5">
      <w:pPr>
        <w:rPr>
          <w:color w:val="auto"/>
          <w:highlight w:val="none"/>
        </w:rPr>
      </w:pPr>
      <w:r>
        <w:rPr>
          <w:rFonts w:hint="eastAsia"/>
          <w:color w:val="auto"/>
          <w:highlight w:val="none"/>
        </w:rPr>
        <w:t>负责采购人单位门口</w:t>
      </w:r>
      <w:r>
        <w:rPr>
          <w:color w:val="auto"/>
          <w:highlight w:val="none"/>
        </w:rPr>
        <w:t>24</w:t>
      </w:r>
      <w:r>
        <w:rPr>
          <w:rFonts w:hint="eastAsia"/>
          <w:color w:val="auto"/>
          <w:highlight w:val="none"/>
        </w:rPr>
        <w:t>小时值勤、大院安保包括秩序维护、院内巡逻、防疫查验、车辆停放管理包括地下车库指引管理及立体车库操作管理、消防安全、白天报纸和信件送达、挂号件的收发等工作。具体工作时间要求：</w:t>
      </w:r>
    </w:p>
    <w:p w14:paraId="54C2E86E">
      <w:pPr>
        <w:rPr>
          <w:color w:val="auto"/>
          <w:highlight w:val="none"/>
        </w:rPr>
      </w:pPr>
      <w:r>
        <w:rPr>
          <w:color w:val="auto"/>
          <w:highlight w:val="none"/>
        </w:rPr>
        <w:t>1.</w:t>
      </w:r>
      <w:r>
        <w:rPr>
          <w:rFonts w:hint="eastAsia"/>
          <w:color w:val="auto"/>
          <w:highlight w:val="none"/>
        </w:rPr>
        <w:t>白班</w:t>
      </w:r>
      <w:r>
        <w:rPr>
          <w:color w:val="auto"/>
          <w:highlight w:val="none"/>
        </w:rPr>
        <w:t>7:00</w:t>
      </w:r>
      <w:r>
        <w:rPr>
          <w:rFonts w:hint="eastAsia"/>
          <w:color w:val="auto"/>
          <w:highlight w:val="none"/>
        </w:rPr>
        <w:t>—</w:t>
      </w:r>
      <w:r>
        <w:rPr>
          <w:color w:val="auto"/>
          <w:highlight w:val="none"/>
        </w:rPr>
        <w:t>19</w:t>
      </w:r>
      <w:r>
        <w:rPr>
          <w:rFonts w:hint="eastAsia"/>
          <w:color w:val="auto"/>
          <w:highlight w:val="none"/>
        </w:rPr>
        <w:t>：</w:t>
      </w:r>
      <w:r>
        <w:rPr>
          <w:color w:val="auto"/>
          <w:highlight w:val="none"/>
        </w:rPr>
        <w:t>00</w:t>
      </w:r>
      <w:r>
        <w:rPr>
          <w:rFonts w:hint="eastAsia"/>
          <w:color w:val="auto"/>
          <w:highlight w:val="none"/>
        </w:rPr>
        <w:t>；夜班</w:t>
      </w:r>
      <w:r>
        <w:rPr>
          <w:color w:val="auto"/>
          <w:highlight w:val="none"/>
        </w:rPr>
        <w:t>19:00</w:t>
      </w:r>
      <w:r>
        <w:rPr>
          <w:rFonts w:hint="eastAsia"/>
          <w:color w:val="auto"/>
          <w:highlight w:val="none"/>
        </w:rPr>
        <w:t>—次日</w:t>
      </w:r>
      <w:r>
        <w:rPr>
          <w:color w:val="auto"/>
          <w:highlight w:val="none"/>
        </w:rPr>
        <w:t>7:00</w:t>
      </w:r>
      <w:r>
        <w:rPr>
          <w:rFonts w:hint="eastAsia"/>
          <w:color w:val="auto"/>
          <w:highlight w:val="none"/>
        </w:rPr>
        <w:t>。</w:t>
      </w:r>
    </w:p>
    <w:p w14:paraId="7525F7FD">
      <w:pPr>
        <w:rPr>
          <w:color w:val="auto"/>
          <w:highlight w:val="none"/>
        </w:rPr>
      </w:pPr>
      <w:r>
        <w:rPr>
          <w:color w:val="auto"/>
          <w:highlight w:val="none"/>
        </w:rPr>
        <w:t>2.</w:t>
      </w:r>
      <w:r>
        <w:rPr>
          <w:rFonts w:hint="eastAsia"/>
          <w:color w:val="auto"/>
          <w:highlight w:val="none"/>
        </w:rPr>
        <w:t>上班高峰期保障至少</w:t>
      </w:r>
      <w:r>
        <w:rPr>
          <w:rFonts w:hint="eastAsia"/>
          <w:color w:val="auto"/>
          <w:highlight w:val="none"/>
          <w:lang w:val="en-US" w:eastAsia="zh-CN"/>
        </w:rPr>
        <w:t>5</w:t>
      </w:r>
      <w:r>
        <w:rPr>
          <w:rFonts w:hint="eastAsia"/>
          <w:color w:val="auto"/>
          <w:highlight w:val="none"/>
        </w:rPr>
        <w:t>名以上安保人员值勤，至少</w:t>
      </w:r>
      <w:r>
        <w:rPr>
          <w:color w:val="auto"/>
          <w:highlight w:val="none"/>
        </w:rPr>
        <w:t>1</w:t>
      </w:r>
      <w:r>
        <w:rPr>
          <w:rFonts w:hint="eastAsia"/>
          <w:color w:val="auto"/>
          <w:highlight w:val="none"/>
        </w:rPr>
        <w:t>名负责</w:t>
      </w:r>
      <w:r>
        <w:rPr>
          <w:color w:val="auto"/>
          <w:highlight w:val="none"/>
        </w:rPr>
        <w:t>AB</w:t>
      </w:r>
      <w:r>
        <w:rPr>
          <w:rFonts w:hint="eastAsia"/>
          <w:color w:val="auto"/>
          <w:highlight w:val="none"/>
        </w:rPr>
        <w:t>立体车库操作、至少</w:t>
      </w:r>
      <w:r>
        <w:rPr>
          <w:color w:val="auto"/>
          <w:highlight w:val="none"/>
        </w:rPr>
        <w:t>1</w:t>
      </w:r>
      <w:r>
        <w:rPr>
          <w:rFonts w:hint="eastAsia"/>
          <w:color w:val="auto"/>
          <w:highlight w:val="none"/>
        </w:rPr>
        <w:t>名负责</w:t>
      </w:r>
      <w:r>
        <w:rPr>
          <w:color w:val="auto"/>
          <w:highlight w:val="none"/>
        </w:rPr>
        <w:t>CD</w:t>
      </w:r>
      <w:r>
        <w:rPr>
          <w:rFonts w:hint="eastAsia"/>
          <w:color w:val="auto"/>
          <w:highlight w:val="none"/>
        </w:rPr>
        <w:t>立体车库操作、至少</w:t>
      </w:r>
      <w:r>
        <w:rPr>
          <w:color w:val="auto"/>
          <w:highlight w:val="none"/>
        </w:rPr>
        <w:t>2</w:t>
      </w:r>
      <w:r>
        <w:rPr>
          <w:rFonts w:hint="eastAsia"/>
          <w:color w:val="auto"/>
          <w:highlight w:val="none"/>
        </w:rPr>
        <w:t>名院门执勤</w:t>
      </w:r>
      <w:r>
        <w:rPr>
          <w:rFonts w:hint="eastAsia"/>
          <w:color w:val="auto"/>
          <w:highlight w:val="none"/>
          <w:lang w:eastAsia="zh-CN"/>
        </w:rPr>
        <w:t>、</w:t>
      </w:r>
      <w:r>
        <w:rPr>
          <w:rFonts w:hint="eastAsia"/>
          <w:color w:val="auto"/>
          <w:highlight w:val="none"/>
          <w:lang w:val="en-US" w:eastAsia="zh-CN"/>
        </w:rPr>
        <w:t>至少1名机动巡逻</w:t>
      </w:r>
      <w:r>
        <w:rPr>
          <w:rFonts w:hint="eastAsia"/>
          <w:color w:val="auto"/>
          <w:highlight w:val="none"/>
        </w:rPr>
        <w:t>。双休日及节假日每日白班、夜班分别至少由</w:t>
      </w:r>
      <w:r>
        <w:rPr>
          <w:color w:val="auto"/>
          <w:highlight w:val="none"/>
        </w:rPr>
        <w:t>2</w:t>
      </w:r>
      <w:r>
        <w:rPr>
          <w:rFonts w:hint="eastAsia"/>
          <w:color w:val="auto"/>
          <w:highlight w:val="none"/>
        </w:rPr>
        <w:t>名以上安保人员值勤。</w:t>
      </w:r>
    </w:p>
    <w:p w14:paraId="7C095CC7">
      <w:pPr>
        <w:rPr>
          <w:color w:val="auto"/>
          <w:highlight w:val="none"/>
        </w:rPr>
      </w:pPr>
      <w:r>
        <w:rPr>
          <w:rFonts w:hint="eastAsia"/>
          <w:color w:val="auto"/>
          <w:highlight w:val="none"/>
        </w:rPr>
        <w:t>安保服务标准：</w:t>
      </w:r>
    </w:p>
    <w:p w14:paraId="3C961CC8">
      <w:pPr>
        <w:rPr>
          <w:color w:val="auto"/>
          <w:highlight w:val="none"/>
        </w:rPr>
      </w:pPr>
      <w:r>
        <w:rPr>
          <w:color w:val="auto"/>
          <w:highlight w:val="none"/>
        </w:rPr>
        <w:t>1</w:t>
      </w:r>
      <w:r>
        <w:rPr>
          <w:rFonts w:hint="eastAsia"/>
          <w:color w:val="auto"/>
          <w:highlight w:val="none"/>
        </w:rPr>
        <w:t>）安保队长</w:t>
      </w:r>
    </w:p>
    <w:p w14:paraId="4AD9F963">
      <w:pPr>
        <w:rPr>
          <w:color w:val="auto"/>
          <w:highlight w:val="none"/>
        </w:rPr>
      </w:pPr>
      <w:r>
        <w:rPr>
          <w:rFonts w:hint="eastAsia"/>
          <w:color w:val="auto"/>
          <w:highlight w:val="none"/>
        </w:rPr>
        <w:t>（</w:t>
      </w:r>
      <w:r>
        <w:rPr>
          <w:color w:val="auto"/>
          <w:highlight w:val="none"/>
        </w:rPr>
        <w:t>a</w:t>
      </w:r>
      <w:r>
        <w:rPr>
          <w:rFonts w:hint="eastAsia"/>
          <w:color w:val="auto"/>
          <w:highlight w:val="none"/>
        </w:rPr>
        <w:t>）对所有安保员的管理、督导训练及考核。</w:t>
      </w:r>
    </w:p>
    <w:p w14:paraId="51DBA2EB">
      <w:pPr>
        <w:rPr>
          <w:color w:val="auto"/>
          <w:highlight w:val="none"/>
        </w:rPr>
      </w:pPr>
      <w:r>
        <w:rPr>
          <w:rFonts w:hint="eastAsia"/>
          <w:color w:val="auto"/>
          <w:highlight w:val="none"/>
        </w:rPr>
        <w:t>（</w:t>
      </w:r>
      <w:r>
        <w:rPr>
          <w:color w:val="auto"/>
          <w:highlight w:val="none"/>
        </w:rPr>
        <w:t>b</w:t>
      </w:r>
      <w:r>
        <w:rPr>
          <w:rFonts w:hint="eastAsia"/>
          <w:color w:val="auto"/>
          <w:highlight w:val="none"/>
        </w:rPr>
        <w:t>）每天检查安保值班日志内容，发现问题及时处理。</w:t>
      </w:r>
    </w:p>
    <w:p w14:paraId="34AA970B">
      <w:pPr>
        <w:rPr>
          <w:color w:val="auto"/>
          <w:highlight w:val="none"/>
        </w:rPr>
      </w:pPr>
      <w:r>
        <w:rPr>
          <w:rFonts w:hint="eastAsia"/>
          <w:color w:val="auto"/>
          <w:highlight w:val="none"/>
        </w:rPr>
        <w:t>（</w:t>
      </w:r>
      <w:r>
        <w:rPr>
          <w:color w:val="auto"/>
          <w:highlight w:val="none"/>
        </w:rPr>
        <w:t>c</w:t>
      </w:r>
      <w:r>
        <w:rPr>
          <w:rFonts w:hint="eastAsia"/>
          <w:color w:val="auto"/>
          <w:highlight w:val="none"/>
        </w:rPr>
        <w:t>）组织安保人员业务知识的学习、军训和消防训练以及各种应急演习。</w:t>
      </w:r>
    </w:p>
    <w:p w14:paraId="693A01E9">
      <w:pPr>
        <w:rPr>
          <w:color w:val="auto"/>
          <w:highlight w:val="none"/>
        </w:rPr>
      </w:pPr>
      <w:r>
        <w:rPr>
          <w:rFonts w:hint="eastAsia"/>
          <w:color w:val="auto"/>
          <w:highlight w:val="none"/>
        </w:rPr>
        <w:t>（</w:t>
      </w:r>
      <w:r>
        <w:rPr>
          <w:color w:val="auto"/>
          <w:highlight w:val="none"/>
        </w:rPr>
        <w:t>d</w:t>
      </w:r>
      <w:r>
        <w:rPr>
          <w:rFonts w:hint="eastAsia"/>
          <w:color w:val="auto"/>
          <w:highlight w:val="none"/>
        </w:rPr>
        <w:t>）每天进行不定时查岗和不定时查夜，并及时纠正安保人员的违纪行为。</w:t>
      </w:r>
    </w:p>
    <w:p w14:paraId="6D882775">
      <w:pPr>
        <w:rPr>
          <w:color w:val="auto"/>
          <w:highlight w:val="none"/>
        </w:rPr>
      </w:pPr>
      <w:r>
        <w:rPr>
          <w:rFonts w:hint="eastAsia"/>
          <w:color w:val="auto"/>
          <w:highlight w:val="none"/>
        </w:rPr>
        <w:t>（</w:t>
      </w:r>
      <w:r>
        <w:rPr>
          <w:color w:val="auto"/>
          <w:highlight w:val="none"/>
        </w:rPr>
        <w:t>e</w:t>
      </w:r>
      <w:r>
        <w:rPr>
          <w:rFonts w:hint="eastAsia"/>
          <w:color w:val="auto"/>
          <w:highlight w:val="none"/>
        </w:rPr>
        <w:t>）制定每月值班安排表。</w:t>
      </w:r>
    </w:p>
    <w:p w14:paraId="0A97A6F0">
      <w:pPr>
        <w:rPr>
          <w:color w:val="auto"/>
          <w:highlight w:val="none"/>
        </w:rPr>
      </w:pPr>
      <w:r>
        <w:rPr>
          <w:rFonts w:hint="eastAsia"/>
          <w:color w:val="auto"/>
          <w:highlight w:val="none"/>
        </w:rPr>
        <w:t>（</w:t>
      </w:r>
      <w:r>
        <w:rPr>
          <w:color w:val="auto"/>
          <w:highlight w:val="none"/>
        </w:rPr>
        <w:t>f</w:t>
      </w:r>
      <w:r>
        <w:rPr>
          <w:rFonts w:hint="eastAsia"/>
          <w:color w:val="auto"/>
          <w:highlight w:val="none"/>
        </w:rPr>
        <w:t>）突发事件的处理（火灾、偷盗、打架以及与外界纠纷等）及消防、治安单位的联系。</w:t>
      </w:r>
    </w:p>
    <w:p w14:paraId="161AA15F">
      <w:pPr>
        <w:rPr>
          <w:color w:val="auto"/>
          <w:highlight w:val="none"/>
        </w:rPr>
      </w:pPr>
      <w:r>
        <w:rPr>
          <w:rFonts w:hint="eastAsia"/>
          <w:color w:val="auto"/>
          <w:highlight w:val="none"/>
        </w:rPr>
        <w:t>（</w:t>
      </w:r>
      <w:r>
        <w:rPr>
          <w:color w:val="auto"/>
          <w:highlight w:val="none"/>
        </w:rPr>
        <w:t>g</w:t>
      </w:r>
      <w:r>
        <w:rPr>
          <w:rFonts w:hint="eastAsia"/>
          <w:color w:val="auto"/>
          <w:highlight w:val="none"/>
        </w:rPr>
        <w:t>）负责监督安保的出勤、在岗状况，交接班记录的检查。</w:t>
      </w:r>
    </w:p>
    <w:p w14:paraId="6E8F503C">
      <w:pPr>
        <w:rPr>
          <w:color w:val="auto"/>
          <w:highlight w:val="none"/>
        </w:rPr>
      </w:pPr>
      <w:r>
        <w:rPr>
          <w:rFonts w:hint="eastAsia"/>
          <w:color w:val="auto"/>
          <w:highlight w:val="none"/>
        </w:rPr>
        <w:t>（</w:t>
      </w:r>
      <w:r>
        <w:rPr>
          <w:color w:val="auto"/>
          <w:highlight w:val="none"/>
        </w:rPr>
        <w:t>h</w:t>
      </w:r>
      <w:r>
        <w:rPr>
          <w:rFonts w:hint="eastAsia"/>
          <w:color w:val="auto"/>
          <w:highlight w:val="none"/>
        </w:rPr>
        <w:t>）协助做好有关公司安全保卫工作。</w:t>
      </w:r>
    </w:p>
    <w:p w14:paraId="2B1D311D">
      <w:pPr>
        <w:rPr>
          <w:color w:val="auto"/>
          <w:highlight w:val="none"/>
        </w:rPr>
      </w:pPr>
      <w:r>
        <w:rPr>
          <w:rFonts w:hint="eastAsia"/>
          <w:color w:val="auto"/>
          <w:highlight w:val="none"/>
        </w:rPr>
        <w:t>（</w:t>
      </w:r>
      <w:r>
        <w:rPr>
          <w:color w:val="auto"/>
          <w:highlight w:val="none"/>
        </w:rPr>
        <w:t>i</w:t>
      </w:r>
      <w:r>
        <w:rPr>
          <w:rFonts w:hint="eastAsia"/>
          <w:color w:val="auto"/>
          <w:highlight w:val="none"/>
        </w:rPr>
        <w:t>）完成业主单位临时交办的其他工作。</w:t>
      </w:r>
    </w:p>
    <w:p w14:paraId="6DF57749">
      <w:pPr>
        <w:rPr>
          <w:color w:val="auto"/>
          <w:highlight w:val="none"/>
        </w:rPr>
      </w:pPr>
      <w:r>
        <w:rPr>
          <w:color w:val="auto"/>
          <w:highlight w:val="none"/>
        </w:rPr>
        <w:t>2</w:t>
      </w:r>
      <w:r>
        <w:rPr>
          <w:rFonts w:hint="eastAsia"/>
          <w:color w:val="auto"/>
          <w:highlight w:val="none"/>
        </w:rPr>
        <w:t>）消控员</w:t>
      </w:r>
      <w:r>
        <w:rPr>
          <w:color w:val="auto"/>
          <w:highlight w:val="none"/>
        </w:rPr>
        <w:t xml:space="preserve"> </w:t>
      </w:r>
    </w:p>
    <w:p w14:paraId="352C60B6">
      <w:pPr>
        <w:rPr>
          <w:color w:val="auto"/>
          <w:highlight w:val="none"/>
        </w:rPr>
      </w:pPr>
      <w:r>
        <w:rPr>
          <w:rFonts w:hint="eastAsia"/>
          <w:color w:val="auto"/>
          <w:highlight w:val="none"/>
        </w:rPr>
        <w:t>（</w:t>
      </w:r>
      <w:r>
        <w:rPr>
          <w:color w:val="auto"/>
          <w:highlight w:val="none"/>
        </w:rPr>
        <w:t>a</w:t>
      </w:r>
      <w:r>
        <w:rPr>
          <w:rFonts w:hint="eastAsia"/>
          <w:color w:val="auto"/>
          <w:highlight w:val="none"/>
        </w:rPr>
        <w:t>）熟悉和掌握消防系统的工作原理和操作规定，熟悉各种按键的功能，熟悉操作各种系统。</w:t>
      </w:r>
    </w:p>
    <w:p w14:paraId="668A8FDE">
      <w:pPr>
        <w:rPr>
          <w:color w:val="auto"/>
          <w:highlight w:val="none"/>
        </w:rPr>
      </w:pPr>
      <w:r>
        <w:rPr>
          <w:rFonts w:hint="eastAsia"/>
          <w:color w:val="auto"/>
          <w:highlight w:val="none"/>
        </w:rPr>
        <w:t>（</w:t>
      </w:r>
      <w:r>
        <w:rPr>
          <w:color w:val="auto"/>
          <w:highlight w:val="none"/>
        </w:rPr>
        <w:t>b</w:t>
      </w:r>
      <w:r>
        <w:rPr>
          <w:rFonts w:hint="eastAsia"/>
          <w:color w:val="auto"/>
          <w:highlight w:val="none"/>
        </w:rPr>
        <w:t>）负责对消防设施的每日检查，并认真填写《消防控制室值班记录》，并定期对各种消防设施进行检查，保证自动消防设施的完好有效。</w:t>
      </w:r>
    </w:p>
    <w:p w14:paraId="7E5BD837">
      <w:pPr>
        <w:rPr>
          <w:color w:val="auto"/>
          <w:highlight w:val="none"/>
        </w:rPr>
      </w:pPr>
      <w:r>
        <w:rPr>
          <w:rFonts w:hint="eastAsia"/>
          <w:color w:val="auto"/>
          <w:highlight w:val="none"/>
        </w:rPr>
        <w:t>（</w:t>
      </w:r>
      <w:r>
        <w:rPr>
          <w:color w:val="auto"/>
          <w:highlight w:val="none"/>
        </w:rPr>
        <w:t>c</w:t>
      </w:r>
      <w:r>
        <w:rPr>
          <w:rFonts w:hint="eastAsia"/>
          <w:color w:val="auto"/>
          <w:highlight w:val="none"/>
        </w:rPr>
        <w:t>）及时发现和处理设备故障，并在《消防控制室值班记录》上填写相关情况。</w:t>
      </w:r>
    </w:p>
    <w:p w14:paraId="40070BE7">
      <w:pPr>
        <w:rPr>
          <w:color w:val="auto"/>
          <w:highlight w:val="none"/>
        </w:rPr>
      </w:pPr>
      <w:r>
        <w:rPr>
          <w:rFonts w:hint="eastAsia"/>
          <w:color w:val="auto"/>
          <w:highlight w:val="none"/>
        </w:rPr>
        <w:t>（</w:t>
      </w:r>
      <w:r>
        <w:rPr>
          <w:color w:val="auto"/>
          <w:highlight w:val="none"/>
        </w:rPr>
        <w:t>d</w:t>
      </w:r>
      <w:r>
        <w:rPr>
          <w:rFonts w:hint="eastAsia"/>
          <w:color w:val="auto"/>
          <w:highlight w:val="none"/>
        </w:rPr>
        <w:t>）掌握和了解消防设施的运行、报警、故障等有关情况。</w:t>
      </w:r>
    </w:p>
    <w:p w14:paraId="690A3B0F">
      <w:pPr>
        <w:rPr>
          <w:color w:val="auto"/>
          <w:highlight w:val="none"/>
        </w:rPr>
      </w:pPr>
      <w:r>
        <w:rPr>
          <w:rFonts w:hint="eastAsia"/>
          <w:color w:val="auto"/>
          <w:highlight w:val="none"/>
        </w:rPr>
        <w:t>（</w:t>
      </w:r>
      <w:r>
        <w:rPr>
          <w:color w:val="auto"/>
          <w:highlight w:val="none"/>
        </w:rPr>
        <w:t>e</w:t>
      </w:r>
      <w:r>
        <w:rPr>
          <w:rFonts w:hint="eastAsia"/>
          <w:color w:val="auto"/>
          <w:highlight w:val="none"/>
        </w:rPr>
        <w:t>）熟悉掌握《消防控制室火警误报处理程序》，火灾情况下能够按照程序开展灭火救援工作。</w:t>
      </w:r>
    </w:p>
    <w:p w14:paraId="49134FDC">
      <w:pPr>
        <w:rPr>
          <w:color w:val="auto"/>
          <w:highlight w:val="none"/>
        </w:rPr>
      </w:pPr>
      <w:r>
        <w:rPr>
          <w:rFonts w:hint="eastAsia"/>
          <w:color w:val="auto"/>
          <w:highlight w:val="none"/>
        </w:rPr>
        <w:t>（</w:t>
      </w:r>
      <w:r>
        <w:rPr>
          <w:color w:val="auto"/>
          <w:highlight w:val="none"/>
        </w:rPr>
        <w:t>f</w:t>
      </w:r>
      <w:r>
        <w:rPr>
          <w:rFonts w:hint="eastAsia"/>
          <w:color w:val="auto"/>
          <w:highlight w:val="none"/>
        </w:rPr>
        <w:t>）熟悉掌握《消防控制室火警误报处理程序》，火警误报情况下能够将系统恢复到正常工作状态。</w:t>
      </w:r>
    </w:p>
    <w:p w14:paraId="112004B7">
      <w:pPr>
        <w:rPr>
          <w:color w:val="auto"/>
          <w:highlight w:val="none"/>
        </w:rPr>
      </w:pPr>
      <w:r>
        <w:rPr>
          <w:rFonts w:hint="eastAsia"/>
          <w:color w:val="auto"/>
          <w:highlight w:val="none"/>
        </w:rPr>
        <w:t>（</w:t>
      </w:r>
      <w:r>
        <w:rPr>
          <w:color w:val="auto"/>
          <w:highlight w:val="none"/>
        </w:rPr>
        <w:t>g</w:t>
      </w:r>
      <w:r>
        <w:rPr>
          <w:rFonts w:hint="eastAsia"/>
          <w:color w:val="auto"/>
          <w:highlight w:val="none"/>
        </w:rPr>
        <w:t>）消防控制室工作人员要爱护消防控制室的设施，保持控制室内的卫生。</w:t>
      </w:r>
    </w:p>
    <w:p w14:paraId="6DA513E7">
      <w:pPr>
        <w:rPr>
          <w:color w:val="auto"/>
          <w:highlight w:val="none"/>
        </w:rPr>
      </w:pPr>
      <w:r>
        <w:rPr>
          <w:rFonts w:hint="eastAsia"/>
          <w:color w:val="auto"/>
          <w:highlight w:val="none"/>
        </w:rPr>
        <w:t>（</w:t>
      </w:r>
      <w:r>
        <w:rPr>
          <w:color w:val="auto"/>
          <w:highlight w:val="none"/>
        </w:rPr>
        <w:t>h</w:t>
      </w:r>
      <w:r>
        <w:rPr>
          <w:rFonts w:hint="eastAsia"/>
          <w:color w:val="auto"/>
          <w:highlight w:val="none"/>
        </w:rPr>
        <w:t>）做好每月消防器材检查，并做好消防器材检测卡的悬挂和记录工作，完成采购人临时交办的其他工作。</w:t>
      </w:r>
    </w:p>
    <w:p w14:paraId="08795ADA">
      <w:pPr>
        <w:rPr>
          <w:color w:val="auto"/>
          <w:highlight w:val="none"/>
        </w:rPr>
      </w:pPr>
      <w:r>
        <w:rPr>
          <w:color w:val="auto"/>
          <w:highlight w:val="none"/>
        </w:rPr>
        <w:t>3</w:t>
      </w:r>
      <w:r>
        <w:rPr>
          <w:rFonts w:hint="eastAsia"/>
          <w:color w:val="auto"/>
          <w:highlight w:val="none"/>
        </w:rPr>
        <w:t>）安保员</w:t>
      </w:r>
      <w:r>
        <w:rPr>
          <w:color w:val="auto"/>
          <w:highlight w:val="none"/>
        </w:rPr>
        <w:t xml:space="preserve"> </w:t>
      </w:r>
    </w:p>
    <w:p w14:paraId="021E92FB">
      <w:pPr>
        <w:rPr>
          <w:color w:val="auto"/>
          <w:highlight w:val="none"/>
        </w:rPr>
      </w:pPr>
      <w:r>
        <w:rPr>
          <w:rFonts w:hint="eastAsia"/>
          <w:color w:val="auto"/>
          <w:highlight w:val="none"/>
        </w:rPr>
        <w:t>（</w:t>
      </w:r>
      <w:r>
        <w:rPr>
          <w:color w:val="auto"/>
          <w:highlight w:val="none"/>
        </w:rPr>
        <w:t>a</w:t>
      </w:r>
      <w:r>
        <w:rPr>
          <w:rFonts w:hint="eastAsia"/>
          <w:color w:val="auto"/>
          <w:highlight w:val="none"/>
        </w:rPr>
        <w:t>）安保员必须严格遵守执行国家的法律法规和公司的各项规章制度，恪尽职守、爱岗敬业、规范服务，认真完成本职工作以及领导交办的各项临时性工作。严禁越权行事（如：限制人身自由、搜查个人物品等）。</w:t>
      </w:r>
    </w:p>
    <w:p w14:paraId="4CC341A5">
      <w:pPr>
        <w:rPr>
          <w:color w:val="auto"/>
          <w:highlight w:val="none"/>
        </w:rPr>
      </w:pPr>
      <w:r>
        <w:rPr>
          <w:rFonts w:hint="eastAsia"/>
          <w:color w:val="auto"/>
          <w:highlight w:val="none"/>
        </w:rPr>
        <w:t>（</w:t>
      </w:r>
      <w:r>
        <w:rPr>
          <w:color w:val="auto"/>
          <w:highlight w:val="none"/>
        </w:rPr>
        <w:t>b</w:t>
      </w:r>
      <w:r>
        <w:rPr>
          <w:rFonts w:hint="eastAsia"/>
          <w:color w:val="auto"/>
          <w:highlight w:val="none"/>
        </w:rPr>
        <w:t>）安保人员要严格交接班制度，上班不离岗，要认真填写交接班记录。交班时交班人要明确工作任务和上一班遗留问题，并填写好交班记录，接班人查对无误后，方可交接班。</w:t>
      </w:r>
    </w:p>
    <w:p w14:paraId="0A16614B">
      <w:pPr>
        <w:rPr>
          <w:color w:val="auto"/>
          <w:highlight w:val="none"/>
        </w:rPr>
      </w:pPr>
      <w:r>
        <w:rPr>
          <w:rFonts w:hint="eastAsia"/>
          <w:color w:val="auto"/>
          <w:highlight w:val="none"/>
        </w:rPr>
        <w:t>（</w:t>
      </w:r>
      <w:r>
        <w:rPr>
          <w:color w:val="auto"/>
          <w:highlight w:val="none"/>
        </w:rPr>
        <w:t>c</w:t>
      </w:r>
      <w:r>
        <w:rPr>
          <w:rFonts w:hint="eastAsia"/>
          <w:color w:val="auto"/>
          <w:highlight w:val="none"/>
        </w:rPr>
        <w:t>）值勤时必须严格着装、佩戴安保标志，做到服装整洁、佩戴整齐、款式统一；交接班时，未交接完毕不得更换便装；严禁留长发、留长指甲、蓄小胡子。</w:t>
      </w:r>
    </w:p>
    <w:p w14:paraId="7B810095">
      <w:pPr>
        <w:rPr>
          <w:color w:val="auto"/>
          <w:highlight w:val="none"/>
        </w:rPr>
      </w:pPr>
      <w:r>
        <w:rPr>
          <w:rFonts w:hint="eastAsia"/>
          <w:color w:val="auto"/>
          <w:highlight w:val="none"/>
        </w:rPr>
        <w:t>（</w:t>
      </w:r>
      <w:r>
        <w:rPr>
          <w:color w:val="auto"/>
          <w:highlight w:val="none"/>
        </w:rPr>
        <w:t>d</w:t>
      </w:r>
      <w:r>
        <w:rPr>
          <w:rFonts w:hint="eastAsia"/>
          <w:color w:val="auto"/>
          <w:highlight w:val="none"/>
        </w:rPr>
        <w:t>）在单位员工上下班期间实行立岗值勤，做到岗位固定，站姿端庄；坐岗时要姿势端正；确保在精神饱满的状态下开展各项工作。</w:t>
      </w:r>
    </w:p>
    <w:p w14:paraId="6B66D04C">
      <w:pPr>
        <w:rPr>
          <w:color w:val="auto"/>
          <w:highlight w:val="none"/>
        </w:rPr>
      </w:pPr>
      <w:r>
        <w:rPr>
          <w:rFonts w:hint="eastAsia"/>
          <w:color w:val="auto"/>
          <w:highlight w:val="none"/>
        </w:rPr>
        <w:t>（</w:t>
      </w:r>
      <w:r>
        <w:rPr>
          <w:color w:val="auto"/>
          <w:highlight w:val="none"/>
        </w:rPr>
        <w:t>e</w:t>
      </w:r>
      <w:r>
        <w:rPr>
          <w:rFonts w:hint="eastAsia"/>
          <w:color w:val="auto"/>
          <w:highlight w:val="none"/>
        </w:rPr>
        <w:t>）严格执行门卫管理制度，外来人员来访必须要与相关科室联系确认征得同意登记后方可放行。</w:t>
      </w:r>
    </w:p>
    <w:p w14:paraId="36B0ECF4">
      <w:pPr>
        <w:rPr>
          <w:color w:val="auto"/>
          <w:highlight w:val="none"/>
        </w:rPr>
      </w:pPr>
      <w:r>
        <w:rPr>
          <w:rFonts w:hint="eastAsia"/>
          <w:color w:val="auto"/>
          <w:highlight w:val="none"/>
        </w:rPr>
        <w:t>（</w:t>
      </w:r>
      <w:r>
        <w:rPr>
          <w:color w:val="auto"/>
          <w:highlight w:val="none"/>
        </w:rPr>
        <w:t>f</w:t>
      </w:r>
      <w:r>
        <w:rPr>
          <w:rFonts w:hint="eastAsia"/>
          <w:color w:val="auto"/>
          <w:highlight w:val="none"/>
        </w:rPr>
        <w:t>）做好报刊、信函、邮件及快递物品的收发、登记工作，严禁私拆和扣留。</w:t>
      </w:r>
    </w:p>
    <w:p w14:paraId="311F9D33">
      <w:pPr>
        <w:rPr>
          <w:color w:val="auto"/>
          <w:highlight w:val="none"/>
        </w:rPr>
      </w:pPr>
      <w:r>
        <w:rPr>
          <w:rFonts w:hint="eastAsia"/>
          <w:color w:val="auto"/>
          <w:highlight w:val="none"/>
        </w:rPr>
        <w:t>（</w:t>
      </w:r>
      <w:r>
        <w:rPr>
          <w:color w:val="auto"/>
          <w:highlight w:val="none"/>
        </w:rPr>
        <w:t>g</w:t>
      </w:r>
      <w:r>
        <w:rPr>
          <w:rFonts w:hint="eastAsia"/>
          <w:color w:val="auto"/>
          <w:highlight w:val="none"/>
        </w:rPr>
        <w:t>）做好单位巡查工作：日间采取不定时巡查；夜间巡查要仔细到位，所有的巡更点环境是否异常现象。杜绝走马观花；巡查次数不能低于每小时一次，且须在巡更点打点确认，同时在值勤日志详细记录巡查情况，严禁弄虚作假。</w:t>
      </w:r>
    </w:p>
    <w:p w14:paraId="3DEDA9E7">
      <w:pPr>
        <w:rPr>
          <w:color w:val="auto"/>
          <w:highlight w:val="none"/>
        </w:rPr>
      </w:pPr>
      <w:r>
        <w:rPr>
          <w:rFonts w:hint="eastAsia"/>
          <w:color w:val="auto"/>
          <w:highlight w:val="none"/>
        </w:rPr>
        <w:t>（</w:t>
      </w:r>
      <w:r>
        <w:rPr>
          <w:color w:val="auto"/>
          <w:highlight w:val="none"/>
        </w:rPr>
        <w:t>h</w:t>
      </w:r>
      <w:r>
        <w:rPr>
          <w:rFonts w:hint="eastAsia"/>
          <w:color w:val="auto"/>
          <w:highlight w:val="none"/>
        </w:rPr>
        <w:t>）落实防火、防盗、防抢、防破坏、防事故等安全措施，发现情况或安全隐患及时报告并协助处理。执勤人员要熟练掌握火灾等各种灾害的预防、处置，牢记相关应急预案和各种消防设备器材的使用及分布情况；遇有雷雨天气，在确保自身安全的情况下，加强现场观察，防止因雷击火灾造成损失；发生报警必须及时到现场查看、确认，并作处置记录。</w:t>
      </w:r>
    </w:p>
    <w:p w14:paraId="6B281177">
      <w:pPr>
        <w:rPr>
          <w:color w:val="auto"/>
          <w:highlight w:val="none"/>
        </w:rPr>
      </w:pPr>
      <w:r>
        <w:rPr>
          <w:rFonts w:hint="eastAsia"/>
          <w:color w:val="auto"/>
          <w:highlight w:val="none"/>
        </w:rPr>
        <w:t>（</w:t>
      </w:r>
      <w:r>
        <w:rPr>
          <w:color w:val="auto"/>
          <w:highlight w:val="none"/>
        </w:rPr>
        <w:t>i</w:t>
      </w:r>
      <w:r>
        <w:rPr>
          <w:rFonts w:hint="eastAsia"/>
          <w:color w:val="auto"/>
          <w:highlight w:val="none"/>
        </w:rPr>
        <w:t>）凡发生在责任区域内的刑事治安事件以及各种突发情况，值班安保人员要及时报告公司有关领导和当地公安机关，采取措施，保护现场，并协助处理，依法妥善处理责任范围内的其他突发事件。</w:t>
      </w:r>
    </w:p>
    <w:p w14:paraId="5E8FEB53">
      <w:pPr>
        <w:rPr>
          <w:rFonts w:hint="eastAsia"/>
          <w:color w:val="auto"/>
          <w:highlight w:val="none"/>
        </w:rPr>
      </w:pPr>
      <w:r>
        <w:rPr>
          <w:rFonts w:hint="eastAsia"/>
          <w:color w:val="auto"/>
          <w:highlight w:val="none"/>
        </w:rPr>
        <w:t>（</w:t>
      </w:r>
      <w:r>
        <w:rPr>
          <w:color w:val="auto"/>
          <w:highlight w:val="none"/>
        </w:rPr>
        <w:t>j</w:t>
      </w:r>
      <w:r>
        <w:rPr>
          <w:rFonts w:hint="eastAsia"/>
          <w:color w:val="auto"/>
          <w:highlight w:val="none"/>
        </w:rPr>
        <w:t>）完成采购人交付的一些临时性的工作，听从领导的各项指挥和下达的各项任务；</w:t>
      </w:r>
    </w:p>
    <w:p w14:paraId="37342A09">
      <w:pPr>
        <w:rPr>
          <w:color w:val="auto"/>
          <w:highlight w:val="none"/>
        </w:rPr>
      </w:pPr>
      <w:r>
        <w:rPr>
          <w:rFonts w:hint="eastAsia"/>
          <w:color w:val="auto"/>
          <w:highlight w:val="none"/>
          <w:lang w:val="en-US" w:eastAsia="zh-CN"/>
        </w:rPr>
        <w:t>四</w:t>
      </w:r>
      <w:r>
        <w:rPr>
          <w:rFonts w:hint="eastAsia"/>
          <w:color w:val="auto"/>
          <w:highlight w:val="none"/>
        </w:rPr>
        <w:t>、</w:t>
      </w:r>
      <w:r>
        <w:rPr>
          <w:rFonts w:hint="eastAsia"/>
          <w:color w:val="auto"/>
          <w:highlight w:val="none"/>
          <w:lang w:val="en-US" w:eastAsia="zh-CN"/>
        </w:rPr>
        <w:t>食堂</w:t>
      </w:r>
      <w:r>
        <w:rPr>
          <w:rFonts w:hint="eastAsia"/>
          <w:color w:val="auto"/>
          <w:highlight w:val="none"/>
        </w:rPr>
        <w:t>服务内容</w:t>
      </w:r>
    </w:p>
    <w:p w14:paraId="2CAB9A9F">
      <w:pPr>
        <w:rPr>
          <w:color w:val="auto"/>
          <w:highlight w:val="none"/>
        </w:rPr>
      </w:pPr>
      <w:r>
        <w:rPr>
          <w:color w:val="auto"/>
          <w:highlight w:val="none"/>
        </w:rPr>
        <w:t>1</w:t>
      </w:r>
      <w:r>
        <w:rPr>
          <w:rFonts w:hint="eastAsia"/>
          <w:color w:val="auto"/>
          <w:highlight w:val="none"/>
        </w:rPr>
        <w:t>、清扫、拖洗</w:t>
      </w:r>
      <w:r>
        <w:rPr>
          <w:rFonts w:hint="eastAsia"/>
          <w:color w:val="auto"/>
          <w:highlight w:val="none"/>
          <w:lang w:val="en-US" w:eastAsia="zh-CN"/>
        </w:rPr>
        <w:t>食堂及附属区域</w:t>
      </w:r>
      <w:r>
        <w:rPr>
          <w:rFonts w:hint="eastAsia"/>
          <w:color w:val="auto"/>
          <w:highlight w:val="none"/>
        </w:rPr>
        <w:t>地面，并随时保洁。</w:t>
      </w:r>
    </w:p>
    <w:p w14:paraId="40CE41BC">
      <w:pPr>
        <w:rPr>
          <w:color w:val="auto"/>
          <w:highlight w:val="none"/>
        </w:rPr>
      </w:pPr>
      <w:r>
        <w:rPr>
          <w:rFonts w:hint="eastAsia"/>
          <w:color w:val="auto"/>
          <w:highlight w:val="none"/>
          <w:lang w:val="en-US" w:eastAsia="zh-CN"/>
        </w:rPr>
        <w:t>2</w:t>
      </w:r>
      <w:r>
        <w:rPr>
          <w:color w:val="auto"/>
          <w:highlight w:val="none"/>
        </w:rPr>
        <w:t>、</w:t>
      </w:r>
      <w:r>
        <w:rPr>
          <w:rFonts w:hint="eastAsia"/>
          <w:color w:val="auto"/>
          <w:highlight w:val="none"/>
          <w:lang w:val="en-US" w:eastAsia="zh-CN"/>
        </w:rPr>
        <w:t>打菜</w:t>
      </w:r>
      <w:r>
        <w:rPr>
          <w:color w:val="auto"/>
          <w:highlight w:val="none"/>
        </w:rPr>
        <w:t>服务要规范、得体、大方</w:t>
      </w:r>
      <w:r>
        <w:rPr>
          <w:rFonts w:hint="eastAsia"/>
          <w:color w:val="auto"/>
          <w:highlight w:val="none"/>
          <w:lang w:eastAsia="zh-CN"/>
        </w:rPr>
        <w:t>，</w:t>
      </w:r>
      <w:r>
        <w:rPr>
          <w:color w:val="auto"/>
          <w:highlight w:val="none"/>
        </w:rPr>
        <w:t>不得与就餐人员发生口角；</w:t>
      </w:r>
    </w:p>
    <w:p w14:paraId="3FA331E4">
      <w:pPr>
        <w:rPr>
          <w:color w:val="auto"/>
          <w:highlight w:val="none"/>
        </w:rPr>
      </w:pPr>
      <w:r>
        <w:rPr>
          <w:rFonts w:hint="eastAsia"/>
          <w:color w:val="auto"/>
          <w:highlight w:val="none"/>
          <w:lang w:val="en-US" w:eastAsia="zh-CN"/>
        </w:rPr>
        <w:t>3、做好后厨帮工工作，</w:t>
      </w:r>
      <w:r>
        <w:rPr>
          <w:color w:val="auto"/>
          <w:highlight w:val="none"/>
        </w:rPr>
        <w:t>搞好食堂卫生，爱护、使用好各种餐饮用具，要做到每餐消毒，预防各种疾病的传染；</w:t>
      </w:r>
    </w:p>
    <w:p w14:paraId="377A2084">
      <w:pPr>
        <w:rPr>
          <w:color w:val="auto"/>
          <w:highlight w:val="none"/>
        </w:rPr>
      </w:pPr>
      <w:r>
        <w:rPr>
          <w:rFonts w:hint="eastAsia"/>
          <w:color w:val="auto"/>
          <w:highlight w:val="none"/>
          <w:lang w:val="en-US" w:eastAsia="zh-CN"/>
        </w:rPr>
        <w:t>4</w:t>
      </w:r>
      <w:r>
        <w:rPr>
          <w:color w:val="auto"/>
          <w:highlight w:val="none"/>
        </w:rPr>
        <w:t>、要保持个人卫生、服装整洁，工作期间穿工作服，戴工作帽；</w:t>
      </w:r>
    </w:p>
    <w:p w14:paraId="1B08E469">
      <w:pPr>
        <w:rPr>
          <w:color w:val="auto"/>
          <w:highlight w:val="none"/>
        </w:rPr>
      </w:pPr>
      <w:r>
        <w:rPr>
          <w:rFonts w:hint="eastAsia"/>
          <w:color w:val="auto"/>
          <w:highlight w:val="none"/>
          <w:lang w:val="en-US" w:eastAsia="zh-CN"/>
        </w:rPr>
        <w:t>5</w:t>
      </w:r>
      <w:r>
        <w:rPr>
          <w:color w:val="auto"/>
          <w:highlight w:val="none"/>
        </w:rPr>
        <w:t>、服从领导，遵守纪律，按时上下班，不迟到，不早退，有事请销假；</w:t>
      </w:r>
    </w:p>
    <w:p w14:paraId="046274C5">
      <w:pPr>
        <w:rPr>
          <w:color w:val="auto"/>
          <w:highlight w:val="none"/>
        </w:rPr>
      </w:pPr>
      <w:r>
        <w:rPr>
          <w:rFonts w:hint="eastAsia"/>
          <w:color w:val="auto"/>
          <w:highlight w:val="none"/>
          <w:lang w:val="en-US" w:eastAsia="zh-CN"/>
        </w:rPr>
        <w:t>6</w:t>
      </w:r>
      <w:r>
        <w:rPr>
          <w:color w:val="auto"/>
          <w:highlight w:val="none"/>
        </w:rPr>
        <w:t>、工作期间要坚守岗位，按照分工做好本职工作，上岗期间不干私活，不乱串岗位，不私自外出。</w:t>
      </w:r>
    </w:p>
    <w:p w14:paraId="61464257">
      <w:pPr>
        <w:rPr>
          <w:color w:val="auto"/>
          <w:highlight w:val="none"/>
        </w:rPr>
      </w:pPr>
      <w:r>
        <w:rPr>
          <w:rFonts w:hint="eastAsia"/>
          <w:color w:val="auto"/>
          <w:highlight w:val="none"/>
          <w:lang w:val="en-US" w:eastAsia="zh-CN"/>
        </w:rPr>
        <w:t>7</w:t>
      </w:r>
      <w:r>
        <w:rPr>
          <w:rFonts w:hint="eastAsia"/>
          <w:color w:val="auto"/>
          <w:highlight w:val="none"/>
        </w:rPr>
        <w:t>、遇重大活动开展时，乙方需无条件配合甲方搞好各项</w:t>
      </w:r>
      <w:r>
        <w:rPr>
          <w:rFonts w:hint="eastAsia"/>
          <w:color w:val="auto"/>
          <w:highlight w:val="none"/>
          <w:lang w:val="en-US" w:eastAsia="zh-CN"/>
        </w:rPr>
        <w:t>食堂服务</w:t>
      </w:r>
      <w:r>
        <w:rPr>
          <w:rFonts w:hint="eastAsia"/>
          <w:color w:val="auto"/>
          <w:highlight w:val="none"/>
        </w:rPr>
        <w:t>工作。</w:t>
      </w:r>
    </w:p>
    <w:p w14:paraId="2EB693D2">
      <w:pPr>
        <w:rPr>
          <w:color w:val="auto"/>
          <w:highlight w:val="none"/>
        </w:rPr>
      </w:pPr>
      <w:r>
        <w:rPr>
          <w:rFonts w:hint="eastAsia"/>
          <w:color w:val="auto"/>
          <w:highlight w:val="none"/>
          <w:lang w:val="en-US" w:eastAsia="zh-CN"/>
        </w:rPr>
        <w:t>五</w:t>
      </w:r>
      <w:r>
        <w:rPr>
          <w:rFonts w:hint="eastAsia"/>
          <w:color w:val="auto"/>
          <w:highlight w:val="none"/>
        </w:rPr>
        <w:t>、其他约定事项</w:t>
      </w:r>
    </w:p>
    <w:p w14:paraId="7BD20693">
      <w:pPr>
        <w:rPr>
          <w:color w:val="auto"/>
          <w:highlight w:val="none"/>
        </w:rPr>
      </w:pPr>
      <w:r>
        <w:rPr>
          <w:color w:val="auto"/>
          <w:highlight w:val="none"/>
        </w:rPr>
        <w:t>1</w:t>
      </w:r>
      <w:r>
        <w:rPr>
          <w:rFonts w:hint="eastAsia"/>
          <w:color w:val="auto"/>
          <w:highlight w:val="none"/>
        </w:rPr>
        <w:t>、每月不定期由采购人、物业公司双方一起进行考勤抽检，确认到岗人数和到岗时间。中标人所配人员均需培训上岗，具备从事该工作的专业资质和相关证件。安保人员的值勤装备中对讲机、防暴装备等由物业公司提供。</w:t>
      </w:r>
    </w:p>
    <w:p w14:paraId="6AC9A318">
      <w:pPr>
        <w:rPr>
          <w:color w:val="auto"/>
          <w:highlight w:val="none"/>
        </w:rPr>
      </w:pPr>
      <w:r>
        <w:rPr>
          <w:color w:val="auto"/>
          <w:highlight w:val="none"/>
        </w:rPr>
        <w:t>2</w:t>
      </w:r>
      <w:r>
        <w:rPr>
          <w:rFonts w:hint="eastAsia"/>
          <w:color w:val="auto"/>
          <w:highlight w:val="none"/>
        </w:rPr>
        <w:t>、①物业公司负责安保和保洁等人员的招聘、使用、管理、调配和辞退。若有违反采购人相关纪律，对工作不负责的安保和保洁人员，采购人有权进行辞退处理。②采购人可对物业公司的管理工作提出意见和建议。③在处理特殊事件和紧急、突发事故时，采购人对物业公司派驻的员工有直接指挥权。若因采购人指挥失误产生的经济损失、人员伤亡等后果，由采购人承担相应责任。</w:t>
      </w:r>
    </w:p>
    <w:p w14:paraId="4A5A2C00">
      <w:pPr>
        <w:rPr>
          <w:color w:val="auto"/>
          <w:highlight w:val="none"/>
        </w:rPr>
      </w:pPr>
      <w:r>
        <w:rPr>
          <w:color w:val="auto"/>
          <w:highlight w:val="none"/>
        </w:rPr>
        <w:t>3</w:t>
      </w:r>
      <w:r>
        <w:rPr>
          <w:rFonts w:hint="eastAsia"/>
          <w:color w:val="auto"/>
          <w:highlight w:val="none"/>
        </w:rPr>
        <w:t>、对安全防火的要求：物业公司严格管理，确保全年无一例安全火灾事件，因物业公司管理不善，或工作人员失误造成的损失全部由物业公司承担。</w:t>
      </w:r>
    </w:p>
    <w:p w14:paraId="43A2B2CC">
      <w:pPr>
        <w:rPr>
          <w:color w:val="auto"/>
          <w:highlight w:val="none"/>
        </w:rPr>
      </w:pPr>
      <w:r>
        <w:rPr>
          <w:color w:val="auto"/>
          <w:highlight w:val="none"/>
        </w:rPr>
        <w:t>4</w:t>
      </w:r>
      <w:r>
        <w:rPr>
          <w:rFonts w:hint="eastAsia"/>
          <w:color w:val="auto"/>
          <w:highlight w:val="none"/>
        </w:rPr>
        <w:t>、物业公司必须严格按照国家、省、市的相关劳动法规和保险条例，为其员工办理人员流动及必要的劳动保险、医疗保险、人员意外伤害保险、死亡保险等，相关费用由物业公司自行承担，同时须采用浙江省人力资源和社会保障厅印制的浙江省职工劳动合同版本与员工签订用工合同。</w:t>
      </w:r>
      <w:r>
        <w:rPr>
          <w:color w:val="auto"/>
          <w:highlight w:val="none"/>
        </w:rPr>
        <w:t xml:space="preserve"> </w:t>
      </w:r>
    </w:p>
    <w:p w14:paraId="4B8BBD17">
      <w:pPr>
        <w:rPr>
          <w:color w:val="auto"/>
          <w:highlight w:val="none"/>
        </w:rPr>
      </w:pPr>
      <w:r>
        <w:rPr>
          <w:color w:val="auto"/>
          <w:highlight w:val="none"/>
        </w:rPr>
        <w:t>5</w:t>
      </w:r>
      <w:r>
        <w:rPr>
          <w:rFonts w:hint="eastAsia"/>
          <w:color w:val="auto"/>
          <w:highlight w:val="none"/>
        </w:rPr>
        <w:t>、①物业公司在日常管理中须建立交接班、请（休）假等登记制度，采购人有权查阅记录。如因值班员的休请假、撤换或辞退造成值班人数的空缺，物业公司应在</w:t>
      </w:r>
      <w:r>
        <w:rPr>
          <w:color w:val="auto"/>
          <w:highlight w:val="none"/>
        </w:rPr>
        <w:t>24</w:t>
      </w:r>
      <w:r>
        <w:rPr>
          <w:rFonts w:hint="eastAsia"/>
          <w:color w:val="auto"/>
          <w:highlight w:val="none"/>
        </w:rPr>
        <w:t>小时内予以补充；②采购人有权提出更换不符合要求或损害采购人利益的服务人员。采购人提出更换要求物业公司应在</w:t>
      </w:r>
      <w:r>
        <w:rPr>
          <w:color w:val="auto"/>
          <w:highlight w:val="none"/>
        </w:rPr>
        <w:t xml:space="preserve"> 3</w:t>
      </w:r>
      <w:r>
        <w:rPr>
          <w:rFonts w:hint="eastAsia"/>
          <w:color w:val="auto"/>
          <w:highlight w:val="none"/>
        </w:rPr>
        <w:t>个工作日内予以更换。</w:t>
      </w:r>
      <w:r>
        <w:rPr>
          <w:color w:val="auto"/>
          <w:highlight w:val="none"/>
        </w:rPr>
        <w:t xml:space="preserve"> </w:t>
      </w:r>
    </w:p>
    <w:p w14:paraId="0BE58ACE">
      <w:pPr>
        <w:rPr>
          <w:color w:val="auto"/>
          <w:highlight w:val="none"/>
        </w:rPr>
      </w:pPr>
      <w:r>
        <w:rPr>
          <w:color w:val="auto"/>
          <w:highlight w:val="none"/>
        </w:rPr>
        <w:t>6</w:t>
      </w:r>
      <w:r>
        <w:rPr>
          <w:rFonts w:hint="eastAsia"/>
          <w:color w:val="auto"/>
          <w:highlight w:val="none"/>
        </w:rPr>
        <w:t>、物业公司在承包期内与外界发生的一切债权、债务等纠纷均与采购人无关。</w:t>
      </w:r>
    </w:p>
    <w:p w14:paraId="0EA69803">
      <w:pPr>
        <w:rPr>
          <w:color w:val="auto"/>
          <w:highlight w:val="none"/>
        </w:rPr>
      </w:pPr>
      <w:r>
        <w:rPr>
          <w:color w:val="auto"/>
          <w:highlight w:val="none"/>
        </w:rPr>
        <w:t>7</w:t>
      </w:r>
      <w:r>
        <w:rPr>
          <w:rFonts w:hint="eastAsia"/>
          <w:color w:val="auto"/>
          <w:highlight w:val="none"/>
        </w:rPr>
        <w:t>、物业公司应制定严格的保密措施，防止泄密事故发生；所有安全管理工作必须健全记录。</w:t>
      </w:r>
    </w:p>
    <w:p w14:paraId="1B74902B">
      <w:pPr>
        <w:rPr>
          <w:color w:val="auto"/>
          <w:highlight w:val="none"/>
        </w:rPr>
      </w:pPr>
      <w:r>
        <w:rPr>
          <w:color w:val="auto"/>
          <w:highlight w:val="none"/>
        </w:rPr>
        <w:t>8</w:t>
      </w:r>
      <w:r>
        <w:rPr>
          <w:rFonts w:hint="eastAsia"/>
          <w:color w:val="auto"/>
          <w:highlight w:val="none"/>
        </w:rPr>
        <w:t>、本服务项目由物业公司进行总承包，不得</w:t>
      </w:r>
      <w:r>
        <w:rPr>
          <w:rFonts w:hint="eastAsia"/>
          <w:color w:val="auto"/>
          <w:highlight w:val="none"/>
          <w:lang w:val="en-US" w:eastAsia="zh-CN"/>
        </w:rPr>
        <w:t>整体</w:t>
      </w:r>
      <w:r>
        <w:rPr>
          <w:rFonts w:hint="eastAsia"/>
          <w:color w:val="auto"/>
          <w:highlight w:val="none"/>
        </w:rPr>
        <w:t>转包，一旦发现转包，采购人有权终止承包合同。</w:t>
      </w:r>
    </w:p>
    <w:p w14:paraId="611265DF">
      <w:pPr>
        <w:rPr>
          <w:color w:val="auto"/>
          <w:highlight w:val="none"/>
        </w:rPr>
      </w:pPr>
      <w:r>
        <w:rPr>
          <w:color w:val="auto"/>
          <w:highlight w:val="none"/>
        </w:rPr>
        <w:t>9</w:t>
      </w:r>
      <w:r>
        <w:rPr>
          <w:rFonts w:hint="eastAsia"/>
          <w:color w:val="auto"/>
          <w:highlight w:val="none"/>
        </w:rPr>
        <w:t>、物业管理用房的提供情况：采购人提供物业管理用房。</w:t>
      </w:r>
    </w:p>
    <w:p w14:paraId="137009B2">
      <w:pPr>
        <w:rPr>
          <w:color w:val="auto"/>
          <w:highlight w:val="none"/>
        </w:rPr>
      </w:pPr>
      <w:r>
        <w:rPr>
          <w:color w:val="auto"/>
          <w:highlight w:val="none"/>
        </w:rPr>
        <w:t>10</w:t>
      </w:r>
      <w:r>
        <w:rPr>
          <w:rFonts w:hint="eastAsia"/>
          <w:color w:val="auto"/>
          <w:highlight w:val="none"/>
        </w:rPr>
        <w:t>、完成采购人交办的其他任务。</w:t>
      </w:r>
    </w:p>
    <w:p w14:paraId="43AE6CA1">
      <w:pPr>
        <w:rPr>
          <w:color w:val="auto"/>
          <w:highlight w:val="none"/>
        </w:rPr>
      </w:pPr>
      <w:r>
        <w:rPr>
          <w:rFonts w:hint="eastAsia"/>
          <w:color w:val="auto"/>
          <w:highlight w:val="none"/>
          <w:lang w:val="en-US" w:eastAsia="zh-CN"/>
        </w:rPr>
        <w:t>六</w:t>
      </w:r>
      <w:r>
        <w:rPr>
          <w:rFonts w:hint="eastAsia"/>
          <w:color w:val="auto"/>
          <w:highlight w:val="none"/>
        </w:rPr>
        <w:t>、项目特别说明</w:t>
      </w:r>
    </w:p>
    <w:p w14:paraId="3A17FFB0">
      <w:pPr>
        <w:rPr>
          <w:color w:val="auto"/>
          <w:highlight w:val="none"/>
        </w:rPr>
      </w:pPr>
      <w:r>
        <w:rPr>
          <w:color w:val="auto"/>
          <w:highlight w:val="none"/>
        </w:rPr>
        <w:t xml:space="preserve">1. </w:t>
      </w:r>
      <w:r>
        <w:rPr>
          <w:rFonts w:hint="eastAsia"/>
          <w:color w:val="auto"/>
          <w:highlight w:val="none"/>
        </w:rPr>
        <w:t>实施地点：杭州市上城区梅花碑</w:t>
      </w:r>
      <w:r>
        <w:rPr>
          <w:color w:val="auto"/>
          <w:highlight w:val="none"/>
        </w:rPr>
        <w:t>4</w:t>
      </w:r>
      <w:r>
        <w:rPr>
          <w:rFonts w:hint="eastAsia"/>
          <w:color w:val="auto"/>
          <w:highlight w:val="none"/>
        </w:rPr>
        <w:t>号</w:t>
      </w:r>
    </w:p>
    <w:p w14:paraId="0D4A4228">
      <w:pPr>
        <w:rPr>
          <w:color w:val="auto"/>
          <w:highlight w:val="none"/>
        </w:rPr>
      </w:pPr>
      <w:r>
        <w:rPr>
          <w:color w:val="auto"/>
          <w:highlight w:val="none"/>
        </w:rPr>
        <w:t xml:space="preserve">2. </w:t>
      </w:r>
      <w:r>
        <w:rPr>
          <w:rFonts w:hint="eastAsia"/>
          <w:color w:val="auto"/>
          <w:highlight w:val="none"/>
        </w:rPr>
        <w:t>结算方法</w:t>
      </w:r>
    </w:p>
    <w:p w14:paraId="66D6B02C">
      <w:pPr>
        <w:rPr>
          <w:color w:val="auto"/>
          <w:highlight w:val="none"/>
        </w:rPr>
      </w:pPr>
      <w:r>
        <w:rPr>
          <w:color w:val="auto"/>
          <w:highlight w:val="none"/>
        </w:rPr>
        <w:t xml:space="preserve">2.1 </w:t>
      </w:r>
      <w:r>
        <w:rPr>
          <w:rFonts w:hint="eastAsia"/>
          <w:color w:val="auto"/>
          <w:highlight w:val="none"/>
        </w:rPr>
        <w:t>付款人：</w:t>
      </w:r>
    </w:p>
    <w:p w14:paraId="01CCF3EA">
      <w:pPr>
        <w:rPr>
          <w:color w:val="auto"/>
          <w:highlight w:val="none"/>
        </w:rPr>
      </w:pPr>
      <w:r>
        <w:rPr>
          <w:color w:val="auto"/>
          <w:highlight w:val="none"/>
        </w:rPr>
        <w:t xml:space="preserve">2.2 </w:t>
      </w:r>
      <w:r>
        <w:rPr>
          <w:rFonts w:hint="eastAsia"/>
          <w:color w:val="auto"/>
          <w:highlight w:val="none"/>
        </w:rPr>
        <w:t>付款方式：合同签订后，服务费按季度支付。乙方完成当季度工作，并经甲方考核合格后，由甲方在次季度首月的</w:t>
      </w:r>
      <w:r>
        <w:rPr>
          <w:color w:val="auto"/>
          <w:highlight w:val="none"/>
        </w:rPr>
        <w:t>15</w:t>
      </w:r>
      <w:r>
        <w:rPr>
          <w:rFonts w:hint="eastAsia"/>
          <w:color w:val="auto"/>
          <w:highlight w:val="none"/>
        </w:rPr>
        <w:t>个工作日内支付上季度费用。</w:t>
      </w:r>
    </w:p>
    <w:p w14:paraId="58EDA2E6">
      <w:pPr>
        <w:rPr>
          <w:color w:val="auto"/>
          <w:highlight w:val="none"/>
        </w:rPr>
      </w:pPr>
      <w:r>
        <w:rPr>
          <w:color w:val="auto"/>
          <w:highlight w:val="none"/>
        </w:rPr>
        <w:t xml:space="preserve">2.3 </w:t>
      </w:r>
      <w:r>
        <w:rPr>
          <w:rFonts w:hint="eastAsia"/>
          <w:color w:val="auto"/>
          <w:highlight w:val="none"/>
        </w:rPr>
        <w:t>如乙方发生违约行为造成甲方经济损失的，则甲方有权从其服务费及</w:t>
      </w:r>
      <w:r>
        <w:rPr>
          <w:color w:val="auto"/>
          <w:highlight w:val="none"/>
        </w:rPr>
        <w:t>/</w:t>
      </w:r>
      <w:r>
        <w:rPr>
          <w:rFonts w:hint="eastAsia"/>
          <w:color w:val="auto"/>
          <w:highlight w:val="none"/>
        </w:rPr>
        <w:t>或履约保证金中扣除相应的款项。</w:t>
      </w:r>
    </w:p>
    <w:p w14:paraId="0C81DF93">
      <w:pPr>
        <w:rPr>
          <w:color w:val="auto"/>
          <w:highlight w:val="none"/>
        </w:rPr>
      </w:pPr>
      <w:r>
        <w:rPr>
          <w:color w:val="auto"/>
          <w:highlight w:val="none"/>
        </w:rPr>
        <w:t xml:space="preserve">3. </w:t>
      </w:r>
      <w:r>
        <w:rPr>
          <w:rFonts w:hint="eastAsia"/>
          <w:color w:val="auto"/>
          <w:highlight w:val="none"/>
        </w:rPr>
        <w:t>本项目采用费用包干方式。</w:t>
      </w:r>
    </w:p>
    <w:p w14:paraId="1EFE69E5">
      <w:pPr>
        <w:rPr>
          <w:color w:val="auto"/>
          <w:highlight w:val="none"/>
        </w:rPr>
      </w:pPr>
      <w:r>
        <w:rPr>
          <w:rFonts w:hint="eastAsia"/>
          <w:color w:val="auto"/>
          <w:highlight w:val="none"/>
        </w:rPr>
        <w:t>（</w:t>
      </w:r>
      <w:r>
        <w:rPr>
          <w:color w:val="auto"/>
          <w:highlight w:val="none"/>
        </w:rPr>
        <w:t>1</w:t>
      </w:r>
      <w:r>
        <w:rPr>
          <w:rFonts w:hint="eastAsia"/>
          <w:color w:val="auto"/>
          <w:highlight w:val="none"/>
        </w:rPr>
        <w:t>）采购人免费为物业公司提供物业服务的办公场地。日常清洁用品消耗由采购人提供。另本项目涉及服务范围内洗涤清洁</w:t>
      </w:r>
      <w:r>
        <w:rPr>
          <w:rFonts w:hint="eastAsia"/>
          <w:color w:val="auto"/>
          <w:highlight w:val="none"/>
          <w:lang w:eastAsia="zh-CN"/>
        </w:rPr>
        <w:t>设备</w:t>
      </w:r>
      <w:r>
        <w:rPr>
          <w:rFonts w:hint="eastAsia"/>
          <w:color w:val="auto"/>
          <w:highlight w:val="none"/>
        </w:rPr>
        <w:t>由物业公司承担。</w:t>
      </w:r>
    </w:p>
    <w:p w14:paraId="5391B074">
      <w:pPr>
        <w:rPr>
          <w:color w:val="auto"/>
          <w:highlight w:val="none"/>
        </w:rPr>
      </w:pPr>
      <w:r>
        <w:rPr>
          <w:rFonts w:hint="eastAsia"/>
          <w:color w:val="auto"/>
          <w:highlight w:val="none"/>
        </w:rPr>
        <w:t>（</w:t>
      </w:r>
      <w:r>
        <w:rPr>
          <w:color w:val="auto"/>
          <w:highlight w:val="none"/>
        </w:rPr>
        <w:t>2</w:t>
      </w:r>
      <w:r>
        <w:rPr>
          <w:rFonts w:hint="eastAsia"/>
          <w:color w:val="auto"/>
          <w:highlight w:val="none"/>
        </w:rPr>
        <w:t>）大楼各单项设备设施的维修材料单价在</w:t>
      </w:r>
      <w:r>
        <w:rPr>
          <w:color w:val="auto"/>
          <w:highlight w:val="none"/>
        </w:rPr>
        <w:t>100</w:t>
      </w:r>
      <w:r>
        <w:rPr>
          <w:rFonts w:hint="eastAsia"/>
          <w:color w:val="auto"/>
          <w:highlight w:val="none"/>
        </w:rPr>
        <w:t>元以下的由物业公司承担。</w:t>
      </w:r>
    </w:p>
    <w:p w14:paraId="7010FE4F">
      <w:pPr>
        <w:rPr>
          <w:color w:val="auto"/>
          <w:highlight w:val="none"/>
        </w:rPr>
      </w:pPr>
      <w:r>
        <w:rPr>
          <w:rFonts w:hint="eastAsia"/>
          <w:color w:val="auto"/>
          <w:highlight w:val="none"/>
        </w:rPr>
        <w:t>（</w:t>
      </w:r>
      <w:r>
        <w:rPr>
          <w:color w:val="auto"/>
          <w:highlight w:val="none"/>
        </w:rPr>
        <w:t>3</w:t>
      </w:r>
      <w:r>
        <w:rPr>
          <w:rFonts w:hint="eastAsia"/>
          <w:color w:val="auto"/>
          <w:highlight w:val="none"/>
        </w:rPr>
        <w:t>）物业公司自行承担所有人员的服装费用，但服装样式需经过采购人认可。</w:t>
      </w:r>
    </w:p>
    <w:p w14:paraId="2A23C187">
      <w:pPr>
        <w:rPr>
          <w:color w:val="auto"/>
          <w:highlight w:val="none"/>
        </w:rPr>
      </w:pPr>
      <w:r>
        <w:rPr>
          <w:rFonts w:hint="eastAsia"/>
          <w:color w:val="auto"/>
          <w:highlight w:val="none"/>
        </w:rPr>
        <w:t>（</w:t>
      </w:r>
      <w:r>
        <w:rPr>
          <w:color w:val="auto"/>
          <w:highlight w:val="none"/>
        </w:rPr>
        <w:t>4</w:t>
      </w:r>
      <w:r>
        <w:rPr>
          <w:rFonts w:hint="eastAsia"/>
          <w:color w:val="auto"/>
          <w:highlight w:val="none"/>
        </w:rPr>
        <w:t>）物业公司应严格按要求配备相关服务人员，更换空缺人员在</w:t>
      </w:r>
      <w:r>
        <w:rPr>
          <w:color w:val="auto"/>
          <w:highlight w:val="none"/>
        </w:rPr>
        <w:t>3</w:t>
      </w:r>
      <w:r>
        <w:rPr>
          <w:rFonts w:hint="eastAsia"/>
          <w:color w:val="auto"/>
          <w:highlight w:val="none"/>
        </w:rPr>
        <w:t>个工作日内完成，逾期的，每日</w:t>
      </w:r>
      <w:r>
        <w:rPr>
          <w:color w:val="auto"/>
          <w:highlight w:val="none"/>
        </w:rPr>
        <w:t>100</w:t>
      </w:r>
      <w:r>
        <w:rPr>
          <w:rFonts w:hint="eastAsia"/>
          <w:color w:val="auto"/>
          <w:highlight w:val="none"/>
        </w:rPr>
        <w:t>元</w:t>
      </w:r>
      <w:r>
        <w:rPr>
          <w:color w:val="auto"/>
          <w:highlight w:val="none"/>
        </w:rPr>
        <w:t>/</w:t>
      </w:r>
      <w:r>
        <w:rPr>
          <w:rFonts w:hint="eastAsia"/>
          <w:color w:val="auto"/>
          <w:highlight w:val="none"/>
        </w:rPr>
        <w:t>人的处罚直接从服务费中扣除。</w:t>
      </w:r>
    </w:p>
    <w:p w14:paraId="2752382E">
      <w:pPr>
        <w:rPr>
          <w:color w:val="auto"/>
          <w:highlight w:val="none"/>
        </w:rPr>
      </w:pPr>
      <w:r>
        <w:rPr>
          <w:rFonts w:hint="eastAsia"/>
          <w:color w:val="auto"/>
          <w:highlight w:val="none"/>
        </w:rPr>
        <w:t>（</w:t>
      </w:r>
      <w:r>
        <w:rPr>
          <w:color w:val="auto"/>
          <w:highlight w:val="none"/>
        </w:rPr>
        <w:t>5</w:t>
      </w:r>
      <w:r>
        <w:rPr>
          <w:rFonts w:hint="eastAsia"/>
          <w:color w:val="auto"/>
          <w:highlight w:val="none"/>
        </w:rPr>
        <w:t>）物业公司员工工作执行不力或不作为的，采购人有权责令其更换人员，物业公司应当在</w:t>
      </w:r>
      <w:r>
        <w:rPr>
          <w:color w:val="auto"/>
          <w:highlight w:val="none"/>
        </w:rPr>
        <w:t>3</w:t>
      </w:r>
      <w:r>
        <w:rPr>
          <w:rFonts w:hint="eastAsia"/>
          <w:color w:val="auto"/>
          <w:highlight w:val="none"/>
        </w:rPr>
        <w:t>个工作日内处理；逾期未更换的，采购人有权直接从服务费中扣除金额：具体为</w:t>
      </w:r>
      <w:r>
        <w:rPr>
          <w:color w:val="auto"/>
          <w:highlight w:val="none"/>
        </w:rPr>
        <w:t>200</w:t>
      </w:r>
      <w:r>
        <w:rPr>
          <w:rFonts w:hint="eastAsia"/>
          <w:color w:val="auto"/>
          <w:highlight w:val="none"/>
        </w:rPr>
        <w:t>元</w:t>
      </w:r>
      <w:r>
        <w:rPr>
          <w:color w:val="auto"/>
          <w:highlight w:val="none"/>
        </w:rPr>
        <w:t>/</w:t>
      </w:r>
      <w:r>
        <w:rPr>
          <w:rFonts w:hint="eastAsia"/>
          <w:color w:val="auto"/>
          <w:highlight w:val="none"/>
        </w:rPr>
        <w:t>天。</w:t>
      </w:r>
    </w:p>
    <w:p w14:paraId="6F351894">
      <w:pPr>
        <w:rPr>
          <w:color w:val="auto"/>
          <w:highlight w:val="none"/>
        </w:rPr>
      </w:pPr>
      <w:r>
        <w:rPr>
          <w:rFonts w:hint="eastAsia"/>
          <w:color w:val="auto"/>
          <w:highlight w:val="none"/>
        </w:rPr>
        <w:t>（</w:t>
      </w:r>
      <w:r>
        <w:rPr>
          <w:color w:val="auto"/>
          <w:highlight w:val="none"/>
        </w:rPr>
        <w:t>6</w:t>
      </w:r>
      <w:r>
        <w:rPr>
          <w:rFonts w:hint="eastAsia"/>
          <w:color w:val="auto"/>
          <w:highlight w:val="none"/>
        </w:rPr>
        <w:t>）物业公司须对其员工严格管理，如发现服务人员有赌博、滋事、扰乱治安、偷盗物资、拿一次性消耗品回家等情况，发现一次则扣罚当月服务费的</w:t>
      </w:r>
      <w:r>
        <w:rPr>
          <w:color w:val="auto"/>
          <w:highlight w:val="none"/>
        </w:rPr>
        <w:t>10%</w:t>
      </w:r>
      <w:r>
        <w:rPr>
          <w:rFonts w:hint="eastAsia"/>
          <w:color w:val="auto"/>
          <w:highlight w:val="none"/>
        </w:rPr>
        <w:t>。</w:t>
      </w:r>
    </w:p>
    <w:p w14:paraId="5D829A63">
      <w:pPr>
        <w:rPr>
          <w:color w:val="auto"/>
          <w:highlight w:val="none"/>
        </w:rPr>
      </w:pPr>
      <w:r>
        <w:rPr>
          <w:color w:val="auto"/>
          <w:highlight w:val="none"/>
        </w:rPr>
        <w:t>4.</w:t>
      </w:r>
      <w:r>
        <w:rPr>
          <w:rFonts w:hint="eastAsia"/>
          <w:color w:val="auto"/>
          <w:highlight w:val="none"/>
        </w:rPr>
        <w:t>委托管理期限</w:t>
      </w:r>
      <w:r>
        <w:rPr>
          <w:color w:val="auto"/>
          <w:highlight w:val="none"/>
        </w:rPr>
        <w:t xml:space="preserve">: </w:t>
      </w:r>
      <w:r>
        <w:rPr>
          <w:rFonts w:hint="eastAsia"/>
          <w:color w:val="auto"/>
          <w:highlight w:val="none"/>
        </w:rPr>
        <w:t>按季度支付；服务费为全年费用，最终按进场日期按实结算，成交供应商需配合采购人资金支付计划。</w:t>
      </w:r>
    </w:p>
    <w:p w14:paraId="15A2C49C">
      <w:pPr>
        <w:rPr>
          <w:color w:val="auto"/>
          <w:highlight w:val="none"/>
        </w:rPr>
      </w:pPr>
      <w:r>
        <w:rPr>
          <w:rFonts w:hint="eastAsia"/>
          <w:color w:val="auto"/>
          <w:highlight w:val="none"/>
        </w:rPr>
        <w:t>。</w:t>
      </w:r>
    </w:p>
    <w:p w14:paraId="7E9161FD">
      <w:pPr>
        <w:rPr>
          <w:color w:val="auto"/>
          <w:highlight w:val="none"/>
        </w:rPr>
      </w:pPr>
      <w:r>
        <w:rPr>
          <w:color w:val="auto"/>
          <w:highlight w:val="none"/>
        </w:rPr>
        <w:t>5</w:t>
      </w:r>
      <w:r>
        <w:rPr>
          <w:rFonts w:hint="eastAsia"/>
          <w:color w:val="auto"/>
          <w:highlight w:val="none"/>
        </w:rPr>
        <w:t>、服务人员配置数量及要求：</w:t>
      </w:r>
    </w:p>
    <w:p w14:paraId="74C57C2D">
      <w:pPr>
        <w:rPr>
          <w:color w:val="auto"/>
          <w:highlight w:val="none"/>
        </w:rPr>
      </w:pPr>
      <w:r>
        <w:rPr>
          <w:rFonts w:hint="eastAsia"/>
          <w:color w:val="auto"/>
          <w:highlight w:val="none"/>
        </w:rPr>
        <w:t>（</w:t>
      </w:r>
      <w:r>
        <w:rPr>
          <w:color w:val="auto"/>
          <w:highlight w:val="none"/>
        </w:rPr>
        <w:t>1</w:t>
      </w:r>
      <w:r>
        <w:rPr>
          <w:rFonts w:hint="eastAsia"/>
          <w:color w:val="auto"/>
          <w:highlight w:val="none"/>
        </w:rPr>
        <w:t>）人员数量基本要求</w:t>
      </w:r>
    </w:p>
    <w:tbl>
      <w:tblPr>
        <w:tblStyle w:val="59"/>
        <w:tblpPr w:leftFromText="180" w:rightFromText="180" w:vertAnchor="text" w:horzAnchor="page" w:tblpX="1048" w:tblpY="388"/>
        <w:tblOverlap w:val="never"/>
        <w:tblW w:w="52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933"/>
        <w:gridCol w:w="1195"/>
        <w:gridCol w:w="2494"/>
        <w:gridCol w:w="3776"/>
      </w:tblGrid>
      <w:tr w14:paraId="49A7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noWrap w:val="0"/>
            <w:vAlign w:val="center"/>
          </w:tcPr>
          <w:p w14:paraId="38040B2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序号</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5E4811A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岗位</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6B19C94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数量</w:t>
            </w:r>
          </w:p>
        </w:tc>
        <w:tc>
          <w:tcPr>
            <w:tcW w:w="1380" w:type="pct"/>
            <w:tcBorders>
              <w:top w:val="single" w:color="auto" w:sz="4" w:space="0"/>
              <w:left w:val="single" w:color="auto" w:sz="4" w:space="0"/>
              <w:bottom w:val="single" w:color="auto" w:sz="4" w:space="0"/>
              <w:right w:val="single" w:color="auto" w:sz="4" w:space="0"/>
            </w:tcBorders>
            <w:noWrap w:val="0"/>
            <w:vAlign w:val="center"/>
          </w:tcPr>
          <w:p w14:paraId="54EE620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工作描述</w:t>
            </w:r>
          </w:p>
        </w:tc>
        <w:tc>
          <w:tcPr>
            <w:tcW w:w="2089" w:type="pct"/>
            <w:tcBorders>
              <w:top w:val="single" w:color="auto" w:sz="4" w:space="0"/>
              <w:left w:val="single" w:color="auto" w:sz="4" w:space="0"/>
              <w:bottom w:val="single" w:color="auto" w:sz="4" w:space="0"/>
              <w:right w:val="single" w:color="auto" w:sz="4" w:space="0"/>
            </w:tcBorders>
            <w:noWrap w:val="0"/>
            <w:vAlign w:val="center"/>
          </w:tcPr>
          <w:p w14:paraId="7C068B4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备注</w:t>
            </w:r>
          </w:p>
        </w:tc>
      </w:tr>
      <w:tr w14:paraId="42D4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 w:type="pct"/>
            <w:tcBorders>
              <w:top w:val="single" w:color="auto" w:sz="4" w:space="0"/>
              <w:left w:val="single" w:color="auto" w:sz="4" w:space="0"/>
              <w:bottom w:val="single" w:color="auto" w:sz="4" w:space="0"/>
              <w:right w:val="single" w:color="auto" w:sz="4" w:space="0"/>
            </w:tcBorders>
            <w:noWrap w:val="0"/>
            <w:vAlign w:val="center"/>
          </w:tcPr>
          <w:p w14:paraId="6D466829">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1</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556FD87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驻场项目负责人</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0DD60D62">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1</w:t>
            </w:r>
            <w:r>
              <w:rPr>
                <w:rFonts w:hint="eastAsia"/>
                <w:color w:val="auto"/>
                <w:highlight w:val="none"/>
              </w:rPr>
              <w:t>名</w:t>
            </w:r>
          </w:p>
        </w:tc>
        <w:tc>
          <w:tcPr>
            <w:tcW w:w="1380" w:type="pct"/>
            <w:tcBorders>
              <w:top w:val="single" w:color="auto" w:sz="4" w:space="0"/>
              <w:left w:val="single" w:color="auto" w:sz="4" w:space="0"/>
              <w:bottom w:val="single" w:color="auto" w:sz="4" w:space="0"/>
              <w:right w:val="single" w:color="auto" w:sz="4" w:space="0"/>
            </w:tcBorders>
            <w:noWrap w:val="0"/>
            <w:vAlign w:val="center"/>
          </w:tcPr>
          <w:p w14:paraId="14E0D96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负责项目内整体工作统筹、项目服务团队培训，以及协调甲方临时性其他服务。</w:t>
            </w:r>
          </w:p>
        </w:tc>
        <w:tc>
          <w:tcPr>
            <w:tcW w:w="2089" w:type="pct"/>
            <w:tcBorders>
              <w:top w:val="single" w:color="auto" w:sz="4" w:space="0"/>
              <w:left w:val="single" w:color="auto" w:sz="4" w:space="0"/>
              <w:bottom w:val="single" w:color="auto" w:sz="4" w:space="0"/>
              <w:right w:val="single" w:color="auto" w:sz="4" w:space="0"/>
            </w:tcBorders>
            <w:noWrap w:val="0"/>
            <w:vAlign w:val="center"/>
          </w:tcPr>
          <w:p w14:paraId="6C96CE31">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1.年龄</w:t>
            </w:r>
            <w:r>
              <w:rPr>
                <w:rFonts w:hint="eastAsia" w:eastAsia="宋体" w:cs="Times New Roman"/>
                <w:color w:val="auto"/>
                <w:highlight w:val="none"/>
                <w:lang w:val="en-US" w:eastAsia="zh-CN"/>
              </w:rPr>
              <w:t>45</w:t>
            </w:r>
            <w:r>
              <w:rPr>
                <w:rFonts w:hint="eastAsia" w:eastAsia="宋体" w:cs="Times New Roman"/>
                <w:color w:val="auto"/>
                <w:highlight w:val="none"/>
              </w:rPr>
              <w:t>周岁（含）以下,</w:t>
            </w:r>
            <w:r>
              <w:rPr>
                <w:rFonts w:hint="eastAsia" w:eastAsia="宋体" w:cs="Times New Roman"/>
                <w:color w:val="auto"/>
                <w:highlight w:val="none"/>
                <w:lang w:val="en-US" w:eastAsia="zh-CN"/>
              </w:rPr>
              <w:t>大专</w:t>
            </w:r>
            <w:r>
              <w:rPr>
                <w:rFonts w:hint="eastAsia" w:eastAsia="宋体" w:cs="Times New Roman"/>
                <w:color w:val="auto"/>
                <w:highlight w:val="none"/>
              </w:rPr>
              <w:t>及以上学历，符合的得1分；</w:t>
            </w:r>
          </w:p>
          <w:p w14:paraId="01D5A628">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2.取得人力资源社会保障局颁发的</w:t>
            </w:r>
            <w:r>
              <w:rPr>
                <w:rFonts w:hint="eastAsia" w:eastAsia="宋体" w:cs="Times New Roman"/>
                <w:color w:val="auto"/>
                <w:highlight w:val="none"/>
                <w:lang w:val="en-US" w:eastAsia="zh-CN"/>
              </w:rPr>
              <w:t>中级职称</w:t>
            </w:r>
            <w:r>
              <w:rPr>
                <w:rFonts w:hint="eastAsia" w:eastAsia="宋体" w:cs="Times New Roman"/>
                <w:color w:val="auto"/>
                <w:highlight w:val="none"/>
              </w:rPr>
              <w:t>及以上证书的得3分；</w:t>
            </w:r>
          </w:p>
          <w:p w14:paraId="0FA334C3">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3.取得类似办公大楼项目3年以上项目负责人工作经历的得1分；（需提供业主证明并盖章，证明中需体现该人员姓名、职务及物业管理项目主管工作年限，否则不得分）；</w:t>
            </w:r>
          </w:p>
          <w:p w14:paraId="2EB0603B">
            <w:pPr>
              <w:keepNext w:val="0"/>
              <w:keepLines w:val="0"/>
              <w:suppressLineNumbers w:val="0"/>
              <w:spacing w:before="0" w:beforeAutospacing="0" w:after="0" w:afterAutospacing="0"/>
              <w:ind w:left="0" w:right="0"/>
              <w:rPr>
                <w:rFonts w:hint="default"/>
                <w:color w:val="auto"/>
                <w:highlight w:val="none"/>
              </w:rPr>
            </w:pPr>
            <w:r>
              <w:rPr>
                <w:rFonts w:hint="eastAsia" w:eastAsia="宋体" w:cs="Times New Roman"/>
                <w:color w:val="auto"/>
                <w:highlight w:val="none"/>
              </w:rPr>
              <w:t>（注：须提供相关证书复印件及投标截止前一个月社保证明，未提供不得分。）</w:t>
            </w:r>
          </w:p>
        </w:tc>
      </w:tr>
      <w:tr w14:paraId="51E0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51" w:type="pct"/>
            <w:tcBorders>
              <w:top w:val="single" w:color="auto" w:sz="4" w:space="0"/>
              <w:left w:val="single" w:color="auto" w:sz="4" w:space="0"/>
              <w:bottom w:val="single" w:color="auto" w:sz="4" w:space="0"/>
              <w:right w:val="single" w:color="auto" w:sz="4" w:space="0"/>
            </w:tcBorders>
            <w:noWrap w:val="0"/>
            <w:vAlign w:val="center"/>
          </w:tcPr>
          <w:p w14:paraId="39B8461C">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2</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3D4FE7A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安保人员</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067456C3">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1</w:t>
            </w:r>
            <w:r>
              <w:rPr>
                <w:rFonts w:hint="eastAsia"/>
                <w:color w:val="auto"/>
                <w:highlight w:val="none"/>
                <w:lang w:val="en-US" w:eastAsia="zh-CN"/>
              </w:rPr>
              <w:t>1</w:t>
            </w:r>
            <w:r>
              <w:rPr>
                <w:rFonts w:hint="eastAsia"/>
                <w:color w:val="auto"/>
                <w:highlight w:val="none"/>
              </w:rPr>
              <w:t>名</w:t>
            </w:r>
          </w:p>
        </w:tc>
        <w:tc>
          <w:tcPr>
            <w:tcW w:w="1380" w:type="pct"/>
            <w:tcBorders>
              <w:top w:val="single" w:color="auto" w:sz="4" w:space="0"/>
              <w:left w:val="single" w:color="auto" w:sz="4" w:space="0"/>
              <w:bottom w:val="single" w:color="auto" w:sz="4" w:space="0"/>
              <w:right w:val="single" w:color="auto" w:sz="4" w:space="0"/>
            </w:tcBorders>
            <w:noWrap w:val="0"/>
            <w:vAlign w:val="center"/>
          </w:tcPr>
          <w:p w14:paraId="5B40F9A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负责项目内安全保卫、消监控、车辆管理等工作，安保人员</w:t>
            </w:r>
            <w:r>
              <w:rPr>
                <w:rFonts w:hint="eastAsia"/>
                <w:color w:val="auto"/>
                <w:highlight w:val="none"/>
                <w:lang w:val="en-US" w:eastAsia="zh-CN"/>
              </w:rPr>
              <w:t>50</w:t>
            </w:r>
            <w:r>
              <w:rPr>
                <w:rFonts w:hint="eastAsia"/>
                <w:color w:val="auto"/>
                <w:highlight w:val="none"/>
              </w:rPr>
              <w:t>岁以下，持证上岗</w:t>
            </w:r>
          </w:p>
        </w:tc>
        <w:tc>
          <w:tcPr>
            <w:tcW w:w="2089" w:type="pct"/>
            <w:tcBorders>
              <w:top w:val="single" w:color="auto" w:sz="4" w:space="0"/>
              <w:left w:val="single" w:color="auto" w:sz="4" w:space="0"/>
              <w:bottom w:val="single" w:color="auto" w:sz="4" w:space="0"/>
              <w:right w:val="single" w:color="auto" w:sz="4" w:space="0"/>
            </w:tcBorders>
            <w:noWrap w:val="0"/>
            <w:vAlign w:val="center"/>
          </w:tcPr>
          <w:p w14:paraId="4B6E824A">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安保队长</w:t>
            </w:r>
          </w:p>
          <w:p w14:paraId="40D581CF">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1.年龄</w:t>
            </w:r>
            <w:r>
              <w:rPr>
                <w:rFonts w:hint="eastAsia" w:eastAsia="宋体" w:cs="Times New Roman"/>
                <w:color w:val="auto"/>
                <w:highlight w:val="none"/>
                <w:lang w:val="en-US" w:eastAsia="zh-CN"/>
              </w:rPr>
              <w:t>50</w:t>
            </w:r>
            <w:r>
              <w:rPr>
                <w:rFonts w:hint="eastAsia" w:eastAsia="宋体" w:cs="Times New Roman"/>
                <w:color w:val="auto"/>
                <w:highlight w:val="none"/>
              </w:rPr>
              <w:t>周岁（含）以下、男性、</w:t>
            </w:r>
            <w:r>
              <w:rPr>
                <w:rFonts w:hint="eastAsia" w:eastAsia="宋体" w:cs="Times New Roman"/>
                <w:color w:val="auto"/>
                <w:highlight w:val="none"/>
                <w:lang w:val="en-US" w:eastAsia="zh-CN"/>
              </w:rPr>
              <w:t>大专</w:t>
            </w:r>
            <w:r>
              <w:rPr>
                <w:rFonts w:hint="eastAsia" w:eastAsia="宋体" w:cs="Times New Roman"/>
                <w:color w:val="auto"/>
                <w:highlight w:val="none"/>
              </w:rPr>
              <w:t>及以上学历得1分；</w:t>
            </w:r>
          </w:p>
          <w:p w14:paraId="5E2575F9">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2.</w:t>
            </w:r>
            <w:r>
              <w:rPr>
                <w:rFonts w:hint="eastAsia" w:eastAsia="宋体" w:cs="Times New Roman"/>
                <w:color w:val="auto"/>
                <w:highlight w:val="none"/>
                <w:lang w:eastAsia="zh-CN"/>
              </w:rPr>
              <w:t>同时</w:t>
            </w:r>
            <w:r>
              <w:rPr>
                <w:rFonts w:hint="eastAsia" w:eastAsia="宋体" w:cs="Times New Roman"/>
                <w:color w:val="auto"/>
                <w:highlight w:val="none"/>
                <w:lang w:val="en-US" w:eastAsia="zh-CN"/>
              </w:rPr>
              <w:t>取得保安上岗证及消防设施操作员证书（2019年前为建(构)筑物消防员证）的，</w:t>
            </w:r>
            <w:r>
              <w:rPr>
                <w:rFonts w:hint="eastAsia" w:eastAsia="宋体" w:cs="Times New Roman"/>
                <w:color w:val="auto"/>
                <w:highlight w:val="none"/>
              </w:rPr>
              <w:t>得2分；</w:t>
            </w:r>
          </w:p>
          <w:p w14:paraId="69E5A30D">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（注：须提供相关证书复印件及投标截止前一个月社保证明，未提供不得分。）</w:t>
            </w:r>
          </w:p>
          <w:p w14:paraId="3A97E1CF">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3.3年及以上物业管理服务安保队长工作经历的得1分（需提供业主证明，证明中需体现该人员姓名、职务及物业管理服务安保队长工作年限，否则不得分）；</w:t>
            </w:r>
          </w:p>
          <w:p w14:paraId="25E209E6">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安保人员</w:t>
            </w:r>
          </w:p>
          <w:p w14:paraId="2D98BE05">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1.持有人社部门或消防部门或应急管理部门颁发的建构筑物消防员或消防设施操作员证</w:t>
            </w:r>
            <w:r>
              <w:rPr>
                <w:rFonts w:hint="eastAsia" w:eastAsia="宋体" w:cs="Times New Roman"/>
                <w:color w:val="auto"/>
                <w:highlight w:val="none"/>
                <w:lang w:val="en-US" w:eastAsia="zh-CN"/>
              </w:rPr>
              <w:t>，每提供1人得0.5分（一人多证不重复得分），此项共2</w:t>
            </w:r>
            <w:r>
              <w:rPr>
                <w:rFonts w:hint="eastAsia" w:eastAsia="宋体" w:cs="Times New Roman"/>
                <w:color w:val="auto"/>
                <w:highlight w:val="none"/>
              </w:rPr>
              <w:t>分；</w:t>
            </w:r>
          </w:p>
          <w:p w14:paraId="7286355D">
            <w:pPr>
              <w:keepNext w:val="0"/>
              <w:keepLines w:val="0"/>
              <w:suppressLineNumbers w:val="0"/>
              <w:spacing w:before="0" w:beforeAutospacing="0" w:after="0" w:afterAutospacing="0"/>
              <w:ind w:left="0" w:right="0"/>
              <w:rPr>
                <w:rFonts w:hint="eastAsia" w:eastAsia="宋体" w:cs="Times New Roman"/>
                <w:color w:val="auto"/>
                <w:highlight w:val="none"/>
              </w:rPr>
            </w:pPr>
            <w:r>
              <w:rPr>
                <w:rFonts w:hint="eastAsia" w:eastAsia="宋体" w:cs="Times New Roman"/>
                <w:color w:val="auto"/>
                <w:highlight w:val="none"/>
              </w:rPr>
              <w:t>（注：须提供相关证书复印件及投标截止前一个月社保证明，未提供不得分。）</w:t>
            </w:r>
          </w:p>
          <w:p w14:paraId="2A66B963">
            <w:pPr>
              <w:keepNext w:val="0"/>
              <w:keepLines w:val="0"/>
              <w:suppressLineNumbers w:val="0"/>
              <w:spacing w:before="0" w:beforeAutospacing="0" w:after="0" w:afterAutospacing="0"/>
              <w:ind w:left="0" w:right="0"/>
              <w:rPr>
                <w:rFonts w:hint="eastAsia" w:eastAsia="宋体" w:cs="Times New Roman"/>
                <w:color w:val="auto"/>
                <w:highlight w:val="none"/>
                <w:lang w:eastAsia="zh-CN"/>
              </w:rPr>
            </w:pPr>
            <w:r>
              <w:rPr>
                <w:rFonts w:hint="eastAsia" w:eastAsia="宋体" w:cs="Times New Roman"/>
                <w:color w:val="auto"/>
                <w:highlight w:val="none"/>
                <w:lang w:val="en-US" w:eastAsia="zh-CN"/>
              </w:rPr>
              <w:t>2.承诺所有安保人员为</w:t>
            </w:r>
            <w:r>
              <w:rPr>
                <w:rFonts w:hint="eastAsia" w:eastAsia="宋体" w:cs="Times New Roman"/>
                <w:color w:val="auto"/>
                <w:highlight w:val="none"/>
              </w:rPr>
              <w:t>18至</w:t>
            </w:r>
            <w:r>
              <w:rPr>
                <w:rFonts w:hint="eastAsia" w:eastAsia="宋体" w:cs="Times New Roman"/>
                <w:color w:val="auto"/>
                <w:highlight w:val="none"/>
                <w:lang w:val="en-US" w:eastAsia="zh-CN"/>
              </w:rPr>
              <w:t>50</w:t>
            </w:r>
            <w:r>
              <w:rPr>
                <w:rFonts w:hint="eastAsia" w:eastAsia="宋体" w:cs="Times New Roman"/>
                <w:color w:val="auto"/>
                <w:highlight w:val="none"/>
              </w:rPr>
              <w:t>周岁</w:t>
            </w:r>
            <w:r>
              <w:rPr>
                <w:rFonts w:hint="eastAsia" w:eastAsia="宋体" w:cs="Times New Roman"/>
                <w:color w:val="auto"/>
                <w:highlight w:val="none"/>
                <w:lang w:val="en-US" w:eastAsia="zh-CN"/>
              </w:rPr>
              <w:t>内</w:t>
            </w:r>
            <w:r>
              <w:rPr>
                <w:rFonts w:hint="eastAsia" w:eastAsia="宋体" w:cs="Times New Roman"/>
                <w:color w:val="auto"/>
                <w:highlight w:val="none"/>
              </w:rPr>
              <w:t>的中国公民</w:t>
            </w:r>
            <w:r>
              <w:rPr>
                <w:rFonts w:hint="eastAsia" w:eastAsia="宋体" w:cs="Times New Roman"/>
                <w:color w:val="auto"/>
                <w:highlight w:val="none"/>
                <w:lang w:eastAsia="zh-CN"/>
              </w:rPr>
              <w:t>并</w:t>
            </w:r>
            <w:r>
              <w:rPr>
                <w:rFonts w:hint="eastAsia" w:eastAsia="宋体" w:cs="Times New Roman"/>
                <w:color w:val="auto"/>
                <w:highlight w:val="none"/>
              </w:rPr>
              <w:t>取得安保员</w:t>
            </w:r>
            <w:r>
              <w:rPr>
                <w:rFonts w:hint="eastAsia" w:eastAsia="宋体" w:cs="Times New Roman"/>
                <w:color w:val="auto"/>
                <w:highlight w:val="none"/>
                <w:lang w:val="en-US" w:eastAsia="zh-CN"/>
              </w:rPr>
              <w:t>上岗</w:t>
            </w:r>
            <w:r>
              <w:rPr>
                <w:rFonts w:hint="eastAsia" w:eastAsia="宋体" w:cs="Times New Roman"/>
                <w:color w:val="auto"/>
                <w:highlight w:val="none"/>
              </w:rPr>
              <w:t>证得1分</w:t>
            </w:r>
            <w:r>
              <w:rPr>
                <w:rFonts w:hint="eastAsia" w:eastAsia="宋体" w:cs="Times New Roman"/>
                <w:color w:val="auto"/>
                <w:highlight w:val="none"/>
                <w:lang w:eastAsia="zh-CN"/>
              </w:rPr>
              <w:t>，</w:t>
            </w:r>
            <w:r>
              <w:rPr>
                <w:rFonts w:hint="eastAsia" w:eastAsia="宋体" w:cs="Times New Roman"/>
                <w:color w:val="auto"/>
                <w:highlight w:val="none"/>
                <w:lang w:val="en-US" w:eastAsia="zh-CN"/>
              </w:rPr>
              <w:t>提供承诺函</w:t>
            </w:r>
            <w:r>
              <w:rPr>
                <w:rFonts w:hint="eastAsia" w:eastAsia="宋体" w:cs="Times New Roman"/>
                <w:color w:val="auto"/>
                <w:highlight w:val="none"/>
                <w:lang w:eastAsia="zh-CN"/>
              </w:rPr>
              <w:t>。</w:t>
            </w:r>
          </w:p>
        </w:tc>
      </w:tr>
      <w:tr w14:paraId="7E7B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51" w:type="pct"/>
            <w:tcBorders>
              <w:top w:val="single" w:color="auto" w:sz="4" w:space="0"/>
              <w:left w:val="single" w:color="auto" w:sz="4" w:space="0"/>
              <w:bottom w:val="single" w:color="auto" w:sz="4" w:space="0"/>
              <w:right w:val="single" w:color="auto" w:sz="4" w:space="0"/>
            </w:tcBorders>
            <w:noWrap w:val="0"/>
            <w:vAlign w:val="center"/>
          </w:tcPr>
          <w:p w14:paraId="0BBE8FCE">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3</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7E58F6E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保洁人员</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36C88894">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1</w:t>
            </w:r>
            <w:r>
              <w:rPr>
                <w:rFonts w:hint="eastAsia"/>
                <w:color w:val="auto"/>
                <w:highlight w:val="none"/>
                <w:lang w:val="en-US" w:eastAsia="zh-CN"/>
              </w:rPr>
              <w:t>3</w:t>
            </w:r>
            <w:r>
              <w:rPr>
                <w:rFonts w:hint="eastAsia"/>
                <w:color w:val="auto"/>
                <w:highlight w:val="none"/>
              </w:rPr>
              <w:t>名</w:t>
            </w:r>
          </w:p>
        </w:tc>
        <w:tc>
          <w:tcPr>
            <w:tcW w:w="1380" w:type="pct"/>
            <w:tcBorders>
              <w:top w:val="single" w:color="auto" w:sz="4" w:space="0"/>
              <w:left w:val="single" w:color="auto" w:sz="4" w:space="0"/>
              <w:bottom w:val="single" w:color="auto" w:sz="4" w:space="0"/>
              <w:right w:val="single" w:color="auto" w:sz="4" w:space="0"/>
            </w:tcBorders>
            <w:noWrap w:val="0"/>
            <w:vAlign w:val="center"/>
          </w:tcPr>
          <w:p w14:paraId="66327F3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负责项目各大楼、各楼层区域，服务内容包括楼层走道、公共卫生间等公共区域的保洁服务。</w:t>
            </w:r>
          </w:p>
        </w:tc>
        <w:tc>
          <w:tcPr>
            <w:tcW w:w="2089" w:type="pct"/>
            <w:tcBorders>
              <w:top w:val="single" w:color="auto" w:sz="4" w:space="0"/>
              <w:left w:val="single" w:color="auto" w:sz="4" w:space="0"/>
              <w:bottom w:val="single" w:color="auto" w:sz="4" w:space="0"/>
              <w:right w:val="single" w:color="auto" w:sz="4" w:space="0"/>
            </w:tcBorders>
            <w:noWrap w:val="0"/>
            <w:vAlign w:val="center"/>
          </w:tcPr>
          <w:p w14:paraId="4BD74DE0">
            <w:pPr>
              <w:keepNext w:val="0"/>
              <w:keepLines w:val="0"/>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eastAsia="宋体" w:cs="Times New Roman"/>
                <w:color w:val="auto"/>
                <w:highlight w:val="none"/>
                <w:lang w:val="en-US" w:eastAsia="zh-CN"/>
              </w:rPr>
              <w:t>保洁主管：</w:t>
            </w:r>
          </w:p>
          <w:p w14:paraId="0DF77AEF">
            <w:pPr>
              <w:keepNext w:val="0"/>
              <w:keepLines w:val="0"/>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eastAsia="宋体" w:cs="Times New Roman"/>
                <w:color w:val="auto"/>
                <w:highlight w:val="none"/>
                <w:lang w:val="en-US" w:eastAsia="zh-CN"/>
              </w:rPr>
              <w:t>1.年龄45周岁以下，大专及以上学历，得1分；</w:t>
            </w:r>
          </w:p>
          <w:p w14:paraId="0D5C1A7C">
            <w:pPr>
              <w:keepNext w:val="0"/>
              <w:keepLines w:val="0"/>
              <w:suppressLineNumbers w:val="0"/>
              <w:spacing w:before="0" w:beforeAutospacing="0" w:after="0" w:afterAutospacing="0"/>
              <w:ind w:left="0" w:right="0"/>
              <w:rPr>
                <w:rFonts w:hint="eastAsia"/>
                <w:color w:val="auto"/>
                <w:highlight w:val="none"/>
              </w:rPr>
            </w:pPr>
            <w:r>
              <w:rPr>
                <w:rFonts w:hint="eastAsia" w:eastAsia="宋体" w:cs="Times New Roman"/>
                <w:color w:val="auto"/>
                <w:highlight w:val="none"/>
                <w:lang w:val="en-US" w:eastAsia="zh-CN"/>
              </w:rPr>
              <w:t>2.从事保洁管理相关服务工作5年以上得1分，（需提供业主证明并盖章，证明中需体现该人员姓名、工作内容及从事保洁管理相关服务工作年限）</w:t>
            </w:r>
          </w:p>
        </w:tc>
      </w:tr>
      <w:tr w14:paraId="359A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noWrap w:val="0"/>
            <w:vAlign w:val="center"/>
          </w:tcPr>
          <w:p w14:paraId="7672F9FD">
            <w:pPr>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color w:val="auto"/>
                <w:highlight w:val="none"/>
                <w:lang w:val="en-US" w:eastAsia="zh-CN"/>
              </w:rPr>
              <w:t>4</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076FBF0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工程高配</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678793FB">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4</w:t>
            </w:r>
            <w:r>
              <w:rPr>
                <w:rFonts w:hint="eastAsia"/>
                <w:color w:val="auto"/>
                <w:highlight w:val="none"/>
              </w:rPr>
              <w:t>名</w:t>
            </w:r>
          </w:p>
        </w:tc>
        <w:tc>
          <w:tcPr>
            <w:tcW w:w="1380" w:type="pct"/>
            <w:tcBorders>
              <w:top w:val="single" w:color="auto" w:sz="4" w:space="0"/>
              <w:left w:val="single" w:color="auto" w:sz="4" w:space="0"/>
              <w:bottom w:val="single" w:color="auto" w:sz="4" w:space="0"/>
              <w:right w:val="single" w:color="auto" w:sz="4" w:space="0"/>
            </w:tcBorders>
            <w:noWrap w:val="0"/>
            <w:vAlign w:val="center"/>
          </w:tcPr>
          <w:p w14:paraId="5FEE49C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负责项目内高配值班工作，做好相关记录</w:t>
            </w:r>
          </w:p>
        </w:tc>
        <w:tc>
          <w:tcPr>
            <w:tcW w:w="2089" w:type="pct"/>
            <w:tcBorders>
              <w:top w:val="single" w:color="auto" w:sz="4" w:space="0"/>
              <w:left w:val="single" w:color="auto" w:sz="4" w:space="0"/>
              <w:bottom w:val="single" w:color="auto" w:sz="4" w:space="0"/>
              <w:right w:val="single" w:color="auto" w:sz="4" w:space="0"/>
            </w:tcBorders>
            <w:noWrap w:val="0"/>
            <w:vAlign w:val="center"/>
          </w:tcPr>
          <w:p w14:paraId="4F2AF043">
            <w:pPr>
              <w:keepNext w:val="0"/>
              <w:keepLines w:val="0"/>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eastAsia="宋体" w:cs="Times New Roman"/>
                <w:color w:val="auto"/>
                <w:highlight w:val="none"/>
                <w:lang w:val="en-US" w:eastAsia="zh-CN"/>
              </w:rPr>
              <w:t>1.工程高配操作人员同时持高、低压电工作业证上岗每提供1人得0.5分，此项共2分。</w:t>
            </w:r>
          </w:p>
          <w:p w14:paraId="0FE4A154">
            <w:pPr>
              <w:keepNext w:val="0"/>
              <w:keepLines w:val="0"/>
              <w:suppressLineNumbers w:val="0"/>
              <w:spacing w:before="0" w:beforeAutospacing="0" w:after="0" w:afterAutospacing="0"/>
              <w:ind w:left="0" w:right="0"/>
              <w:rPr>
                <w:rFonts w:hint="default"/>
                <w:color w:val="auto"/>
                <w:highlight w:val="none"/>
              </w:rPr>
            </w:pPr>
            <w:r>
              <w:rPr>
                <w:rFonts w:hint="eastAsia" w:eastAsia="宋体" w:cs="Times New Roman"/>
                <w:color w:val="auto"/>
                <w:highlight w:val="none"/>
                <w:lang w:val="en-US" w:eastAsia="zh-CN"/>
              </w:rPr>
              <w:t>（注：须提供相关证书复印件及投标截止前一个月社保证明，未提供不得分。）</w:t>
            </w:r>
          </w:p>
        </w:tc>
      </w:tr>
      <w:tr w14:paraId="105D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Borders>
              <w:top w:val="single" w:color="auto" w:sz="4" w:space="0"/>
              <w:left w:val="single" w:color="auto" w:sz="4" w:space="0"/>
              <w:bottom w:val="single" w:color="auto" w:sz="4" w:space="0"/>
              <w:right w:val="single" w:color="auto" w:sz="4" w:space="0"/>
            </w:tcBorders>
            <w:noWrap w:val="0"/>
            <w:vAlign w:val="center"/>
          </w:tcPr>
          <w:p w14:paraId="438B0012">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5</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7F4D6BDB">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食堂服务人员</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43A4DAA1">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6名</w:t>
            </w:r>
          </w:p>
        </w:tc>
        <w:tc>
          <w:tcPr>
            <w:tcW w:w="1380" w:type="pct"/>
            <w:tcBorders>
              <w:top w:val="single" w:color="auto" w:sz="4" w:space="0"/>
              <w:left w:val="single" w:color="auto" w:sz="4" w:space="0"/>
              <w:bottom w:val="single" w:color="auto" w:sz="4" w:space="0"/>
              <w:right w:val="single" w:color="auto" w:sz="4" w:space="0"/>
            </w:tcBorders>
            <w:noWrap w:val="0"/>
            <w:vAlign w:val="center"/>
          </w:tcPr>
          <w:p w14:paraId="16A3C6BC">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负责项目内食堂内的各项日常服务工作，服从食堂领导各项安排。</w:t>
            </w:r>
          </w:p>
        </w:tc>
        <w:tc>
          <w:tcPr>
            <w:tcW w:w="2089" w:type="pct"/>
            <w:tcBorders>
              <w:top w:val="single" w:color="auto" w:sz="4" w:space="0"/>
              <w:left w:val="single" w:color="auto" w:sz="4" w:space="0"/>
              <w:bottom w:val="single" w:color="auto" w:sz="4" w:space="0"/>
              <w:right w:val="single" w:color="auto" w:sz="4" w:space="0"/>
            </w:tcBorders>
            <w:noWrap w:val="0"/>
            <w:vAlign w:val="center"/>
          </w:tcPr>
          <w:p w14:paraId="0E4D2B83">
            <w:pPr>
              <w:keepNext w:val="0"/>
              <w:keepLines w:val="0"/>
              <w:suppressLineNumbers w:val="0"/>
              <w:spacing w:before="0" w:beforeAutospacing="0" w:after="0" w:afterAutospacing="0"/>
              <w:ind w:left="0" w:right="0"/>
              <w:rPr>
                <w:rFonts w:hint="default" w:eastAsia="宋体" w:cs="Times New Roman"/>
                <w:color w:val="auto"/>
                <w:highlight w:val="none"/>
                <w:lang w:val="en-US" w:eastAsia="zh-CN"/>
              </w:rPr>
            </w:pPr>
            <w:r>
              <w:rPr>
                <w:rFonts w:hint="eastAsia" w:eastAsia="宋体" w:cs="Times New Roman"/>
                <w:color w:val="auto"/>
                <w:highlight w:val="none"/>
                <w:lang w:val="en-US" w:eastAsia="zh-CN"/>
              </w:rPr>
              <w:t>所有服务人员要求身体健康，年龄在50岁以内，全员持健康证上岗，此项共2分。</w:t>
            </w:r>
          </w:p>
          <w:p w14:paraId="23D3B803">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eastAsia="宋体" w:cs="Times New Roman"/>
                <w:color w:val="auto"/>
                <w:highlight w:val="none"/>
                <w:lang w:val="en-US" w:eastAsia="zh-CN"/>
              </w:rPr>
              <w:t>（注：须提供相关证书复印件及投标截止前一个月社保证明，未提供不得分。）</w:t>
            </w:r>
          </w:p>
        </w:tc>
      </w:tr>
      <w:tr w14:paraId="0AD0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51" w:type="pct"/>
            <w:tcBorders>
              <w:top w:val="single" w:color="auto" w:sz="4" w:space="0"/>
              <w:left w:val="single" w:color="auto" w:sz="4" w:space="0"/>
              <w:bottom w:val="single" w:color="auto" w:sz="4" w:space="0"/>
              <w:right w:val="single" w:color="auto" w:sz="4" w:space="0"/>
            </w:tcBorders>
            <w:noWrap w:val="0"/>
            <w:vAlign w:val="center"/>
          </w:tcPr>
          <w:p w14:paraId="753B290A">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6</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2805D647">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其他</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0418D77D">
            <w:pPr>
              <w:keepNext w:val="0"/>
              <w:keepLines w:val="0"/>
              <w:suppressLineNumbers w:val="0"/>
              <w:spacing w:before="0" w:beforeAutospacing="0" w:after="0" w:afterAutospacing="0"/>
              <w:ind w:left="0" w:right="0"/>
              <w:rPr>
                <w:rFonts w:hint="eastAsia"/>
                <w:color w:val="auto"/>
                <w:highlight w:val="none"/>
                <w:lang w:val="en-US" w:eastAsia="zh-CN"/>
              </w:rPr>
            </w:pPr>
          </w:p>
        </w:tc>
        <w:tc>
          <w:tcPr>
            <w:tcW w:w="1380" w:type="pct"/>
            <w:tcBorders>
              <w:top w:val="single" w:color="auto" w:sz="4" w:space="0"/>
              <w:left w:val="single" w:color="auto" w:sz="4" w:space="0"/>
              <w:bottom w:val="single" w:color="auto" w:sz="4" w:space="0"/>
              <w:right w:val="single" w:color="auto" w:sz="4" w:space="0"/>
            </w:tcBorders>
            <w:noWrap w:val="0"/>
            <w:vAlign w:val="center"/>
          </w:tcPr>
          <w:p w14:paraId="07769C48">
            <w:pPr>
              <w:keepNext w:val="0"/>
              <w:keepLines w:val="0"/>
              <w:suppressLineNumbers w:val="0"/>
              <w:spacing w:before="0" w:beforeAutospacing="0" w:after="0" w:afterAutospacing="0"/>
              <w:ind w:left="0" w:right="0"/>
              <w:rPr>
                <w:rFonts w:hint="eastAsia"/>
                <w:color w:val="auto"/>
                <w:highlight w:val="none"/>
                <w:lang w:val="en-US" w:eastAsia="zh-CN"/>
              </w:rPr>
            </w:pPr>
          </w:p>
        </w:tc>
        <w:tc>
          <w:tcPr>
            <w:tcW w:w="2089" w:type="pct"/>
            <w:tcBorders>
              <w:top w:val="single" w:color="auto" w:sz="4" w:space="0"/>
              <w:left w:val="single" w:color="auto" w:sz="4" w:space="0"/>
              <w:bottom w:val="single" w:color="auto" w:sz="4" w:space="0"/>
              <w:right w:val="single" w:color="auto" w:sz="4" w:space="0"/>
            </w:tcBorders>
            <w:noWrap w:val="0"/>
            <w:vAlign w:val="center"/>
          </w:tcPr>
          <w:p w14:paraId="3C9E0B0F">
            <w:pPr>
              <w:keepNext w:val="0"/>
              <w:keepLines w:val="0"/>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eastAsia="宋体" w:cs="Times New Roman"/>
                <w:color w:val="auto"/>
                <w:highlight w:val="none"/>
                <w:lang w:val="en-US" w:eastAsia="zh-CN"/>
              </w:rPr>
              <w:t>承诺上述所有人员（男60岁以内，女50岁以内）为其缴纳社保，全员购买人身意外险，提供承诺函得1分。</w:t>
            </w:r>
          </w:p>
        </w:tc>
      </w:tr>
    </w:tbl>
    <w:p w14:paraId="7D379D64">
      <w:pPr>
        <w:rPr>
          <w:color w:val="auto"/>
          <w:highlight w:val="none"/>
        </w:rPr>
      </w:pPr>
      <w:r>
        <w:rPr>
          <w:rFonts w:hint="eastAsia"/>
          <w:color w:val="auto"/>
          <w:highlight w:val="none"/>
        </w:rPr>
        <w:t>（</w:t>
      </w:r>
      <w:r>
        <w:rPr>
          <w:color w:val="auto"/>
          <w:highlight w:val="none"/>
        </w:rPr>
        <w:t>2</w:t>
      </w:r>
      <w:r>
        <w:rPr>
          <w:rFonts w:hint="eastAsia"/>
          <w:color w:val="auto"/>
          <w:highlight w:val="none"/>
        </w:rPr>
        <w:t>）工作时间要求：</w:t>
      </w:r>
    </w:p>
    <w:p w14:paraId="7764E6E9">
      <w:pPr>
        <w:rPr>
          <w:color w:val="auto"/>
          <w:highlight w:val="none"/>
        </w:rPr>
      </w:pPr>
      <w:r>
        <w:rPr>
          <w:rFonts w:hint="eastAsia"/>
          <w:color w:val="auto"/>
          <w:highlight w:val="none"/>
        </w:rPr>
        <w:t>高低配工作时间：</w:t>
      </w:r>
      <w:r>
        <w:rPr>
          <w:color w:val="auto"/>
          <w:highlight w:val="none"/>
        </w:rPr>
        <w:t>24</w:t>
      </w:r>
      <w:r>
        <w:rPr>
          <w:rFonts w:hint="eastAsia"/>
          <w:color w:val="auto"/>
          <w:highlight w:val="none"/>
        </w:rPr>
        <w:t>小时值班制。</w:t>
      </w:r>
    </w:p>
    <w:p w14:paraId="6101E4DA">
      <w:pPr>
        <w:rPr>
          <w:color w:val="auto"/>
          <w:highlight w:val="none"/>
        </w:rPr>
      </w:pPr>
      <w:r>
        <w:rPr>
          <w:rFonts w:hint="eastAsia"/>
          <w:color w:val="auto"/>
          <w:highlight w:val="none"/>
        </w:rPr>
        <w:t>消监控工作时间：</w:t>
      </w:r>
      <w:bookmarkStart w:id="31" w:name="_Hlk156895028"/>
      <w:r>
        <w:rPr>
          <w:color w:val="auto"/>
          <w:highlight w:val="none"/>
        </w:rPr>
        <w:t>24</w:t>
      </w:r>
      <w:r>
        <w:rPr>
          <w:rFonts w:hint="eastAsia"/>
          <w:color w:val="auto"/>
          <w:highlight w:val="none"/>
        </w:rPr>
        <w:t>小时值班制</w:t>
      </w:r>
      <w:bookmarkEnd w:id="31"/>
      <w:r>
        <w:rPr>
          <w:rFonts w:hint="eastAsia"/>
          <w:color w:val="auto"/>
          <w:highlight w:val="none"/>
        </w:rPr>
        <w:t>，工作日（</w:t>
      </w:r>
      <w:r>
        <w:rPr>
          <w:color w:val="auto"/>
          <w:highlight w:val="none"/>
        </w:rPr>
        <w:t>8:30--17:00</w:t>
      </w:r>
      <w:r>
        <w:rPr>
          <w:rFonts w:hint="eastAsia"/>
          <w:color w:val="auto"/>
          <w:highlight w:val="none"/>
        </w:rPr>
        <w:t>）由采购人派出人员值守，其余时间段配置三人轮转值班。</w:t>
      </w:r>
    </w:p>
    <w:p w14:paraId="1FA02061">
      <w:pPr>
        <w:rPr>
          <w:color w:val="auto"/>
          <w:highlight w:val="none"/>
        </w:rPr>
      </w:pPr>
      <w:r>
        <w:rPr>
          <w:rFonts w:hint="eastAsia"/>
          <w:color w:val="auto"/>
          <w:highlight w:val="none"/>
        </w:rPr>
        <w:t>所有工作人员上班时间前，保洁每天上班提前</w:t>
      </w:r>
      <w:r>
        <w:rPr>
          <w:color w:val="auto"/>
          <w:highlight w:val="none"/>
        </w:rPr>
        <w:t>2</w:t>
      </w:r>
      <w:r>
        <w:rPr>
          <w:rFonts w:hint="eastAsia"/>
          <w:color w:val="auto"/>
          <w:highlight w:val="none"/>
        </w:rPr>
        <w:t>小时。休息日需保证值班人员。如有抗台等特殊时期，</w:t>
      </w:r>
      <w:r>
        <w:rPr>
          <w:color w:val="auto"/>
          <w:highlight w:val="none"/>
        </w:rPr>
        <w:t xml:space="preserve">24 </w:t>
      </w:r>
      <w:r>
        <w:rPr>
          <w:rFonts w:hint="eastAsia"/>
          <w:color w:val="auto"/>
          <w:highlight w:val="none"/>
        </w:rPr>
        <w:t>小时到场服务。</w:t>
      </w:r>
    </w:p>
    <w:p w14:paraId="232407E7">
      <w:pPr>
        <w:rPr>
          <w:color w:val="auto"/>
          <w:highlight w:val="none"/>
        </w:rPr>
      </w:pPr>
      <w:r>
        <w:rPr>
          <w:rFonts w:hint="eastAsia"/>
          <w:color w:val="auto"/>
          <w:highlight w:val="none"/>
        </w:rPr>
        <w:t>（</w:t>
      </w:r>
      <w:r>
        <w:rPr>
          <w:color w:val="auto"/>
          <w:highlight w:val="none"/>
        </w:rPr>
        <w:t>3</w:t>
      </w:r>
      <w:r>
        <w:rPr>
          <w:rFonts w:hint="eastAsia"/>
          <w:color w:val="auto"/>
          <w:highlight w:val="none"/>
        </w:rPr>
        <w:t>）所有相关人员的配备如需获得相关主管部门认证的，均需持证上岗，高低配值班人员须①持有有效期内浙江省应急管理厅颁发的《高压电工作业》特种作业操作证。②具有电工专业基础知识，熟悉变、配电设施的操作与管理能力，熟知安全规范和操作规范；消监控值班人员须①持有消防安全管理人或建（构）筑消防员中级以上证。②熟悉消监控设施的操作与管理能力，熟知安全规范和操作规范。</w:t>
      </w:r>
      <w:r>
        <w:rPr>
          <w:color w:val="auto"/>
          <w:highlight w:val="none"/>
        </w:rPr>
        <w:t xml:space="preserve"> </w:t>
      </w:r>
    </w:p>
    <w:p w14:paraId="572C97B8">
      <w:pPr>
        <w:rPr>
          <w:color w:val="auto"/>
          <w:highlight w:val="none"/>
        </w:rPr>
      </w:pPr>
      <w:r>
        <w:rPr>
          <w:rFonts w:hint="eastAsia"/>
          <w:color w:val="auto"/>
          <w:highlight w:val="none"/>
        </w:rPr>
        <w:t>（</w:t>
      </w:r>
      <w:r>
        <w:rPr>
          <w:color w:val="auto"/>
          <w:highlight w:val="none"/>
        </w:rPr>
        <w:t>4</w:t>
      </w:r>
      <w:r>
        <w:rPr>
          <w:rFonts w:hint="eastAsia"/>
          <w:color w:val="auto"/>
          <w:highlight w:val="none"/>
        </w:rPr>
        <w:t>）所有相关人员要求政治上可靠，身体素质好。要求各投标单位承诺中标进场后提供健康证</w:t>
      </w:r>
      <w:r>
        <w:rPr>
          <w:color w:val="auto"/>
          <w:highlight w:val="none"/>
        </w:rPr>
        <w:t>,</w:t>
      </w:r>
      <w:r>
        <w:rPr>
          <w:rFonts w:hint="eastAsia"/>
          <w:color w:val="auto"/>
          <w:highlight w:val="none"/>
        </w:rPr>
        <w:t>无不良行为记录</w:t>
      </w:r>
      <w:r>
        <w:rPr>
          <w:color w:val="auto"/>
          <w:highlight w:val="none"/>
        </w:rPr>
        <w:t>(</w:t>
      </w:r>
      <w:r>
        <w:rPr>
          <w:rFonts w:hint="eastAsia"/>
          <w:color w:val="auto"/>
          <w:highlight w:val="none"/>
        </w:rPr>
        <w:t>包括无犯罪记录</w:t>
      </w:r>
      <w:r>
        <w:rPr>
          <w:color w:val="auto"/>
          <w:highlight w:val="none"/>
        </w:rPr>
        <w:t>)</w:t>
      </w:r>
      <w:r>
        <w:rPr>
          <w:rFonts w:hint="eastAsia"/>
          <w:color w:val="auto"/>
          <w:highlight w:val="none"/>
        </w:rPr>
        <w:t>。</w:t>
      </w:r>
    </w:p>
    <w:p w14:paraId="61E7D04F">
      <w:pPr>
        <w:rPr>
          <w:color w:val="auto"/>
          <w:highlight w:val="none"/>
        </w:rPr>
      </w:pPr>
      <w:r>
        <w:rPr>
          <w:rFonts w:hint="eastAsia"/>
          <w:color w:val="auto"/>
          <w:highlight w:val="none"/>
        </w:rPr>
        <w:t>（</w:t>
      </w:r>
      <w:r>
        <w:rPr>
          <w:color w:val="auto"/>
          <w:highlight w:val="none"/>
        </w:rPr>
        <w:t>5</w:t>
      </w:r>
      <w:r>
        <w:rPr>
          <w:rFonts w:hint="eastAsia"/>
          <w:color w:val="auto"/>
          <w:highlight w:val="none"/>
        </w:rPr>
        <w:t>）为提高物业管理服务水平，所有物业人员除物业公司对服务人员的培训外，还需接受采购人对服务人员的集中宾馆礼仪培训。</w:t>
      </w:r>
    </w:p>
    <w:p w14:paraId="42CCC177">
      <w:pPr>
        <w:rPr>
          <w:color w:val="auto"/>
          <w:highlight w:val="none"/>
        </w:rPr>
      </w:pPr>
      <w:r>
        <w:rPr>
          <w:rFonts w:hint="eastAsia"/>
          <w:color w:val="auto"/>
          <w:highlight w:val="none"/>
        </w:rPr>
        <w:t>（</w:t>
      </w:r>
      <w:r>
        <w:rPr>
          <w:color w:val="auto"/>
          <w:highlight w:val="none"/>
        </w:rPr>
        <w:t>6</w:t>
      </w:r>
      <w:r>
        <w:rPr>
          <w:rFonts w:hint="eastAsia"/>
          <w:color w:val="auto"/>
          <w:highlight w:val="none"/>
        </w:rPr>
        <w:t>）采购人将对前期进场人员进行考核，如在培训、熟悉环境过程中发现其不能胜任的，采购人可要求更换，直至胜任为止。</w:t>
      </w:r>
    </w:p>
    <w:p w14:paraId="7690C94B">
      <w:pPr>
        <w:rPr>
          <w:color w:val="auto"/>
          <w:highlight w:val="none"/>
        </w:rPr>
      </w:pPr>
      <w:r>
        <w:rPr>
          <w:rFonts w:hint="eastAsia"/>
          <w:color w:val="auto"/>
          <w:highlight w:val="none"/>
        </w:rPr>
        <w:t>（</w:t>
      </w:r>
      <w:r>
        <w:rPr>
          <w:color w:val="auto"/>
          <w:highlight w:val="none"/>
        </w:rPr>
        <w:t>7</w:t>
      </w:r>
      <w:r>
        <w:rPr>
          <w:rFonts w:hint="eastAsia"/>
          <w:color w:val="auto"/>
          <w:highlight w:val="none"/>
        </w:rPr>
        <w:t>）投标人提供做好管理工作的交接以及对项目的合理化建议和做法。</w:t>
      </w:r>
    </w:p>
    <w:p w14:paraId="05D9A3D4">
      <w:pPr>
        <w:rPr>
          <w:color w:val="auto"/>
          <w:highlight w:val="none"/>
        </w:rPr>
      </w:pPr>
      <w:r>
        <w:rPr>
          <w:rFonts w:hint="eastAsia"/>
          <w:color w:val="auto"/>
          <w:highlight w:val="none"/>
        </w:rPr>
        <w:t>（</w:t>
      </w:r>
      <w:r>
        <w:rPr>
          <w:color w:val="auto"/>
          <w:highlight w:val="none"/>
        </w:rPr>
        <w:t>8</w:t>
      </w:r>
      <w:r>
        <w:rPr>
          <w:rFonts w:hint="eastAsia"/>
          <w:color w:val="auto"/>
          <w:highlight w:val="none"/>
        </w:rPr>
        <w:t>）投标人拥有软件或者</w:t>
      </w:r>
      <w:r>
        <w:rPr>
          <w:color w:val="auto"/>
          <w:highlight w:val="none"/>
        </w:rPr>
        <w:t>APP</w:t>
      </w:r>
      <w:r>
        <w:rPr>
          <w:rFonts w:hint="eastAsia"/>
          <w:color w:val="auto"/>
          <w:highlight w:val="none"/>
        </w:rPr>
        <w:t>等智能物业服务平台。能实现线上报修、投诉、建议；满足业主方、员工方、后台管理需要。</w:t>
      </w:r>
    </w:p>
    <w:p w14:paraId="322C5041">
      <w:pPr>
        <w:rPr>
          <w:color w:val="auto"/>
          <w:highlight w:val="none"/>
        </w:rPr>
      </w:pPr>
      <w:r>
        <w:rPr>
          <w:rFonts w:hint="eastAsia"/>
          <w:color w:val="auto"/>
          <w:highlight w:val="none"/>
        </w:rPr>
        <w:t>（</w:t>
      </w:r>
      <w:r>
        <w:rPr>
          <w:color w:val="auto"/>
          <w:highlight w:val="none"/>
        </w:rPr>
        <w:t>9</w:t>
      </w:r>
      <w:r>
        <w:rPr>
          <w:rFonts w:hint="eastAsia"/>
          <w:color w:val="auto"/>
          <w:highlight w:val="none"/>
        </w:rPr>
        <w:t>）投标人应制定针对本项目人员培训（包含但不仅限于岗前培训和在岗培训，管理人员培训方案等内容</w:t>
      </w:r>
      <w:r>
        <w:rPr>
          <w:color w:val="auto"/>
          <w:highlight w:val="none"/>
        </w:rPr>
        <w:t>)</w:t>
      </w:r>
      <w:r>
        <w:rPr>
          <w:rFonts w:hint="eastAsia"/>
          <w:color w:val="auto"/>
          <w:highlight w:val="none"/>
        </w:rPr>
        <w:t>和安全培训（包括但不仅限于：消防、治安等培训相关方案。投标人承诺根据甲方反馈情况，为本项目员工制定优秀评级及奖励措施，确保员工福利，保障员工稳定性。</w:t>
      </w:r>
    </w:p>
    <w:p w14:paraId="4FD3A815">
      <w:pPr>
        <w:rPr>
          <w:color w:val="auto"/>
          <w:highlight w:val="none"/>
        </w:rPr>
      </w:pPr>
      <w:r>
        <w:rPr>
          <w:rFonts w:hint="eastAsia"/>
          <w:color w:val="auto"/>
          <w:highlight w:val="none"/>
        </w:rPr>
        <w:t>（</w:t>
      </w:r>
      <w:r>
        <w:rPr>
          <w:color w:val="auto"/>
          <w:highlight w:val="none"/>
        </w:rPr>
        <w:t>10</w:t>
      </w:r>
      <w:r>
        <w:rPr>
          <w:rFonts w:hint="eastAsia"/>
          <w:color w:val="auto"/>
          <w:highlight w:val="none"/>
        </w:rPr>
        <w:t>）根据项目需要投标人针对本项目投入相关设施设备，包括但不仅限于：提供完成本项目日常物业工作所需设施设备清单包括但不限于：①吸尘器；②人字梯；③垃圾清运车；④高压水枪；⑤吸水机；⑥晶面机；⑦微型消防站；⑧对讲机等其他相关设备。</w:t>
      </w:r>
    </w:p>
    <w:p w14:paraId="1553449A">
      <w:pPr>
        <w:rPr>
          <w:color w:val="auto"/>
          <w:highlight w:val="none"/>
        </w:rPr>
      </w:pPr>
      <w:r>
        <w:rPr>
          <w:rFonts w:hint="eastAsia"/>
          <w:color w:val="auto"/>
          <w:highlight w:val="none"/>
        </w:rPr>
        <w:t>（</w:t>
      </w:r>
      <w:r>
        <w:rPr>
          <w:color w:val="auto"/>
          <w:highlight w:val="none"/>
        </w:rPr>
        <w:t>11</w:t>
      </w:r>
      <w:r>
        <w:rPr>
          <w:rFonts w:hint="eastAsia"/>
          <w:color w:val="auto"/>
          <w:highlight w:val="none"/>
        </w:rPr>
        <w:t>）考核管理</w:t>
      </w:r>
    </w:p>
    <w:p w14:paraId="6BDC0C49">
      <w:pPr>
        <w:rPr>
          <w:color w:val="auto"/>
          <w:highlight w:val="none"/>
        </w:rPr>
      </w:pPr>
      <w:r>
        <w:rPr>
          <w:color w:val="auto"/>
          <w:highlight w:val="none"/>
        </w:rPr>
        <w:t xml:space="preserve"> </w:t>
      </w:r>
      <w:r>
        <w:rPr>
          <w:rFonts w:hint="eastAsia"/>
          <w:color w:val="auto"/>
          <w:highlight w:val="none"/>
        </w:rPr>
        <w:t>甲方每月不定期对物业公司提供的物业服务质量进行抽查考核。</w:t>
      </w:r>
    </w:p>
    <w:p w14:paraId="74E99090">
      <w:pPr>
        <w:rPr>
          <w:color w:val="auto"/>
          <w:highlight w:val="none"/>
        </w:rPr>
      </w:pPr>
      <w:r>
        <w:rPr>
          <w:color w:val="auto"/>
          <w:highlight w:val="none"/>
        </w:rPr>
        <w:t xml:space="preserve"> </w:t>
      </w:r>
      <w:r>
        <w:rPr>
          <w:rFonts w:hint="eastAsia"/>
          <w:color w:val="auto"/>
          <w:highlight w:val="none"/>
        </w:rPr>
        <w:t>物业服务考核满分为</w:t>
      </w:r>
      <w:r>
        <w:rPr>
          <w:color w:val="auto"/>
          <w:highlight w:val="none"/>
        </w:rPr>
        <w:t>100</w:t>
      </w:r>
      <w:r>
        <w:rPr>
          <w:rFonts w:hint="eastAsia"/>
          <w:color w:val="auto"/>
          <w:highlight w:val="none"/>
        </w:rPr>
        <w:t>分，每次考核得分</w:t>
      </w:r>
      <w:r>
        <w:rPr>
          <w:color w:val="auto"/>
          <w:highlight w:val="none"/>
        </w:rPr>
        <w:t>80</w:t>
      </w:r>
      <w:r>
        <w:rPr>
          <w:rFonts w:hint="eastAsia"/>
          <w:color w:val="auto"/>
          <w:highlight w:val="none"/>
        </w:rPr>
        <w:t>分（含）以上的为合格。低于</w:t>
      </w:r>
      <w:r>
        <w:rPr>
          <w:color w:val="auto"/>
          <w:highlight w:val="none"/>
        </w:rPr>
        <w:t>80</w:t>
      </w:r>
      <w:r>
        <w:rPr>
          <w:rFonts w:hint="eastAsia"/>
          <w:color w:val="auto"/>
          <w:highlight w:val="none"/>
        </w:rPr>
        <w:t>分（不合格）的，核减当月结算额的</w:t>
      </w:r>
      <w:r>
        <w:rPr>
          <w:color w:val="auto"/>
          <w:highlight w:val="none"/>
        </w:rPr>
        <w:t>1.5%</w:t>
      </w:r>
      <w:r>
        <w:rPr>
          <w:rFonts w:hint="eastAsia"/>
          <w:color w:val="auto"/>
          <w:highlight w:val="none"/>
        </w:rPr>
        <w:t>，核减费用累计在当季度服务费中扣除。</w:t>
      </w:r>
    </w:p>
    <w:p w14:paraId="7FCF00FB">
      <w:pPr>
        <w:rPr>
          <w:color w:val="auto"/>
          <w:highlight w:val="none"/>
        </w:rPr>
      </w:pPr>
      <w:r>
        <w:rPr>
          <w:color w:val="auto"/>
          <w:highlight w:val="none"/>
        </w:rPr>
        <w:t xml:space="preserve"> </w:t>
      </w:r>
      <w:r>
        <w:rPr>
          <w:rFonts w:hint="eastAsia"/>
          <w:color w:val="auto"/>
          <w:highlight w:val="none"/>
        </w:rPr>
        <w:t>因物业公司在半年内超过两次物业服务综合考核结果不合格的、采购人报财政厅采监处审核批准后，终止合同。</w:t>
      </w:r>
    </w:p>
    <w:tbl>
      <w:tblPr>
        <w:tblStyle w:val="59"/>
        <w:tblW w:w="5000" w:type="pct"/>
        <w:jc w:val="center"/>
        <w:tblLayout w:type="autofit"/>
        <w:tblCellMar>
          <w:top w:w="0" w:type="dxa"/>
          <w:left w:w="108" w:type="dxa"/>
          <w:bottom w:w="0" w:type="dxa"/>
          <w:right w:w="108" w:type="dxa"/>
        </w:tblCellMar>
      </w:tblPr>
      <w:tblGrid>
        <w:gridCol w:w="728"/>
        <w:gridCol w:w="3888"/>
        <w:gridCol w:w="493"/>
        <w:gridCol w:w="2119"/>
        <w:gridCol w:w="578"/>
        <w:gridCol w:w="716"/>
      </w:tblGrid>
      <w:tr w14:paraId="460D4B70">
        <w:tblPrEx>
          <w:tblCellMar>
            <w:top w:w="0" w:type="dxa"/>
            <w:left w:w="108" w:type="dxa"/>
            <w:bottom w:w="0" w:type="dxa"/>
            <w:right w:w="108" w:type="dxa"/>
          </w:tblCellMar>
        </w:tblPrEx>
        <w:trPr>
          <w:trHeight w:val="577" w:hRule="atLeast"/>
          <w:jc w:val="center"/>
        </w:trPr>
        <w:tc>
          <w:tcPr>
            <w:tcW w:w="5000" w:type="pct"/>
            <w:gridSpan w:val="6"/>
            <w:tcBorders>
              <w:top w:val="nil"/>
              <w:left w:val="nil"/>
              <w:bottom w:val="single" w:color="auto" w:sz="4" w:space="0"/>
              <w:right w:val="nil"/>
            </w:tcBorders>
            <w:noWrap w:val="0"/>
            <w:vAlign w:val="center"/>
          </w:tcPr>
          <w:p w14:paraId="58A12ED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物业管理检查考核表</w:t>
            </w:r>
          </w:p>
        </w:tc>
      </w:tr>
      <w:tr w14:paraId="08F97A48">
        <w:tblPrEx>
          <w:tblCellMar>
            <w:top w:w="0" w:type="dxa"/>
            <w:left w:w="108" w:type="dxa"/>
            <w:bottom w:w="0" w:type="dxa"/>
            <w:right w:w="108" w:type="dxa"/>
          </w:tblCellMar>
        </w:tblPrEx>
        <w:trPr>
          <w:trHeight w:val="70"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14:paraId="2E9EE1D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项目</w:t>
            </w:r>
          </w:p>
        </w:tc>
        <w:tc>
          <w:tcPr>
            <w:tcW w:w="2281" w:type="pct"/>
            <w:tcBorders>
              <w:top w:val="single" w:color="auto" w:sz="4" w:space="0"/>
              <w:left w:val="nil"/>
              <w:bottom w:val="single" w:color="auto" w:sz="4" w:space="0"/>
              <w:right w:val="single" w:color="auto" w:sz="4" w:space="0"/>
            </w:tcBorders>
            <w:noWrap w:val="0"/>
            <w:vAlign w:val="center"/>
          </w:tcPr>
          <w:p w14:paraId="2DC0FCC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内容</w:t>
            </w:r>
          </w:p>
        </w:tc>
        <w:tc>
          <w:tcPr>
            <w:tcW w:w="289" w:type="pct"/>
            <w:tcBorders>
              <w:top w:val="single" w:color="auto" w:sz="4" w:space="0"/>
              <w:left w:val="nil"/>
              <w:bottom w:val="single" w:color="auto" w:sz="4" w:space="0"/>
              <w:right w:val="single" w:color="auto" w:sz="4" w:space="0"/>
            </w:tcBorders>
            <w:noWrap w:val="0"/>
            <w:vAlign w:val="center"/>
          </w:tcPr>
          <w:p w14:paraId="138DEE2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分值</w:t>
            </w:r>
          </w:p>
        </w:tc>
        <w:tc>
          <w:tcPr>
            <w:tcW w:w="1243" w:type="pct"/>
            <w:tcBorders>
              <w:top w:val="single" w:color="auto" w:sz="4" w:space="0"/>
              <w:left w:val="nil"/>
              <w:bottom w:val="single" w:color="auto" w:sz="4" w:space="0"/>
              <w:right w:val="single" w:color="auto" w:sz="4" w:space="0"/>
            </w:tcBorders>
            <w:noWrap w:val="0"/>
            <w:vAlign w:val="center"/>
          </w:tcPr>
          <w:p w14:paraId="69E8704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扣分标准</w:t>
            </w:r>
          </w:p>
        </w:tc>
        <w:tc>
          <w:tcPr>
            <w:tcW w:w="339" w:type="pct"/>
            <w:tcBorders>
              <w:top w:val="single" w:color="auto" w:sz="4" w:space="0"/>
              <w:left w:val="nil"/>
              <w:bottom w:val="single" w:color="auto" w:sz="4" w:space="0"/>
              <w:right w:val="single" w:color="auto" w:sz="4" w:space="0"/>
            </w:tcBorders>
            <w:noWrap w:val="0"/>
            <w:vAlign w:val="center"/>
          </w:tcPr>
          <w:p w14:paraId="211AABF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得分</w:t>
            </w:r>
          </w:p>
        </w:tc>
        <w:tc>
          <w:tcPr>
            <w:tcW w:w="417" w:type="pct"/>
            <w:tcBorders>
              <w:top w:val="single" w:color="auto" w:sz="4" w:space="0"/>
              <w:left w:val="nil"/>
              <w:bottom w:val="single" w:color="auto" w:sz="4" w:space="0"/>
              <w:right w:val="single" w:color="auto" w:sz="4" w:space="0"/>
            </w:tcBorders>
            <w:noWrap w:val="0"/>
            <w:vAlign w:val="center"/>
          </w:tcPr>
          <w:p w14:paraId="25CB4DE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扣分</w:t>
            </w:r>
          </w:p>
          <w:p w14:paraId="24D611F0">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原因</w:t>
            </w:r>
          </w:p>
        </w:tc>
      </w:tr>
      <w:tr w14:paraId="1E3C97B6">
        <w:tblPrEx>
          <w:tblCellMar>
            <w:top w:w="0" w:type="dxa"/>
            <w:left w:w="108" w:type="dxa"/>
            <w:bottom w:w="0" w:type="dxa"/>
            <w:right w:w="108" w:type="dxa"/>
          </w:tblCellMar>
        </w:tblPrEx>
        <w:trPr>
          <w:trHeight w:val="1474" w:hRule="atLeast"/>
          <w:jc w:val="center"/>
        </w:trPr>
        <w:tc>
          <w:tcPr>
            <w:tcW w:w="428" w:type="pct"/>
            <w:vMerge w:val="restart"/>
            <w:tcBorders>
              <w:top w:val="single" w:color="auto" w:sz="4" w:space="0"/>
              <w:left w:val="single" w:color="auto" w:sz="4" w:space="0"/>
              <w:bottom w:val="single" w:color="auto" w:sz="4" w:space="0"/>
              <w:right w:val="single" w:color="auto" w:sz="4" w:space="0"/>
            </w:tcBorders>
            <w:noWrap w:val="0"/>
            <w:vAlign w:val="center"/>
          </w:tcPr>
          <w:p w14:paraId="6C372604">
            <w:pPr>
              <w:keepNext w:val="0"/>
              <w:keepLines w:val="0"/>
              <w:suppressLineNumbers w:val="0"/>
              <w:spacing w:before="0" w:beforeAutospacing="0" w:after="0" w:afterAutospacing="0"/>
              <w:ind w:left="0" w:right="0"/>
              <w:rPr>
                <w:rFonts w:hint="default"/>
                <w:color w:val="auto"/>
                <w:highlight w:val="none"/>
              </w:rPr>
            </w:pPr>
          </w:p>
          <w:p w14:paraId="79E11BC0">
            <w:pPr>
              <w:keepNext w:val="0"/>
              <w:keepLines w:val="0"/>
              <w:suppressLineNumbers w:val="0"/>
              <w:spacing w:before="0" w:beforeAutospacing="0" w:after="0" w:afterAutospacing="0"/>
              <w:ind w:left="0" w:right="0"/>
              <w:rPr>
                <w:rFonts w:hint="default"/>
                <w:color w:val="auto"/>
                <w:highlight w:val="none"/>
              </w:rPr>
            </w:pPr>
          </w:p>
          <w:p w14:paraId="2D1E0AC2">
            <w:pPr>
              <w:keepNext w:val="0"/>
              <w:keepLines w:val="0"/>
              <w:suppressLineNumbers w:val="0"/>
              <w:spacing w:before="0" w:beforeAutospacing="0" w:after="0" w:afterAutospacing="0"/>
              <w:ind w:left="0" w:right="0"/>
              <w:rPr>
                <w:rFonts w:hint="default"/>
                <w:color w:val="auto"/>
                <w:highlight w:val="none"/>
              </w:rPr>
            </w:pPr>
          </w:p>
          <w:p w14:paraId="0594A74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综合管理（</w:t>
            </w:r>
            <w:r>
              <w:rPr>
                <w:rFonts w:hint="default"/>
                <w:color w:val="auto"/>
                <w:highlight w:val="none"/>
              </w:rPr>
              <w:t>25</w:t>
            </w:r>
            <w:r>
              <w:rPr>
                <w:rFonts w:hint="eastAsia"/>
                <w:color w:val="auto"/>
                <w:highlight w:val="none"/>
              </w:rPr>
              <w:t>分）</w:t>
            </w:r>
          </w:p>
          <w:p w14:paraId="27410575">
            <w:pPr>
              <w:keepNext w:val="0"/>
              <w:keepLines w:val="0"/>
              <w:suppressLineNumbers w:val="0"/>
              <w:spacing w:before="0" w:beforeAutospacing="0" w:after="0" w:afterAutospacing="0"/>
              <w:ind w:left="0" w:right="0"/>
              <w:rPr>
                <w:rFonts w:hint="default"/>
                <w:color w:val="auto"/>
                <w:highlight w:val="none"/>
              </w:rPr>
            </w:pPr>
          </w:p>
          <w:p w14:paraId="7441841D">
            <w:pPr>
              <w:keepNext w:val="0"/>
              <w:keepLines w:val="0"/>
              <w:suppressLineNumbers w:val="0"/>
              <w:spacing w:before="0" w:beforeAutospacing="0" w:after="0" w:afterAutospacing="0"/>
              <w:ind w:left="0" w:right="0"/>
              <w:rPr>
                <w:rFonts w:hint="default"/>
                <w:color w:val="auto"/>
                <w:highlight w:val="none"/>
              </w:rPr>
            </w:pPr>
          </w:p>
          <w:p w14:paraId="67EDE5EE">
            <w:pPr>
              <w:keepNext w:val="0"/>
              <w:keepLines w:val="0"/>
              <w:suppressLineNumbers w:val="0"/>
              <w:spacing w:before="0" w:beforeAutospacing="0" w:after="0" w:afterAutospacing="0"/>
              <w:ind w:left="0" w:right="0"/>
              <w:rPr>
                <w:rFonts w:hint="default"/>
                <w:color w:val="auto"/>
                <w:highlight w:val="none"/>
              </w:rPr>
            </w:pPr>
          </w:p>
          <w:p w14:paraId="71C251F0">
            <w:pPr>
              <w:keepNext w:val="0"/>
              <w:keepLines w:val="0"/>
              <w:suppressLineNumbers w:val="0"/>
              <w:spacing w:before="0" w:beforeAutospacing="0" w:after="0" w:afterAutospacing="0"/>
              <w:ind w:left="0" w:right="0"/>
              <w:rPr>
                <w:rFonts w:hint="default"/>
                <w:color w:val="auto"/>
                <w:highlight w:val="none"/>
              </w:rPr>
            </w:pPr>
          </w:p>
          <w:p w14:paraId="5057780C">
            <w:pPr>
              <w:keepNext w:val="0"/>
              <w:keepLines w:val="0"/>
              <w:suppressLineNumbers w:val="0"/>
              <w:spacing w:before="0" w:beforeAutospacing="0" w:after="0" w:afterAutospacing="0"/>
              <w:ind w:left="0" w:right="0"/>
              <w:rPr>
                <w:rFonts w:hint="default"/>
                <w:color w:val="auto"/>
                <w:highlight w:val="none"/>
              </w:rPr>
            </w:pPr>
          </w:p>
          <w:p w14:paraId="439C4430">
            <w:pPr>
              <w:keepNext w:val="0"/>
              <w:keepLines w:val="0"/>
              <w:suppressLineNumbers w:val="0"/>
              <w:spacing w:before="0" w:beforeAutospacing="0" w:after="0" w:afterAutospacing="0"/>
              <w:ind w:left="0" w:right="0"/>
              <w:rPr>
                <w:rFonts w:hint="default"/>
                <w:color w:val="auto"/>
                <w:highlight w:val="none"/>
              </w:rPr>
            </w:pPr>
          </w:p>
          <w:p w14:paraId="5BFC93E6">
            <w:pPr>
              <w:keepNext w:val="0"/>
              <w:keepLines w:val="0"/>
              <w:suppressLineNumbers w:val="0"/>
              <w:spacing w:before="0" w:beforeAutospacing="0" w:after="0" w:afterAutospacing="0"/>
              <w:ind w:left="0" w:right="0"/>
              <w:rPr>
                <w:rFonts w:hint="default"/>
                <w:color w:val="auto"/>
                <w:highlight w:val="none"/>
              </w:rPr>
            </w:pPr>
          </w:p>
          <w:p w14:paraId="03057D5C">
            <w:pPr>
              <w:keepNext w:val="0"/>
              <w:keepLines w:val="0"/>
              <w:suppressLineNumbers w:val="0"/>
              <w:spacing w:before="0" w:beforeAutospacing="0" w:after="0" w:afterAutospacing="0"/>
              <w:ind w:left="0" w:right="0"/>
              <w:rPr>
                <w:rFonts w:hint="default"/>
                <w:color w:val="auto"/>
                <w:highlight w:val="none"/>
              </w:rPr>
            </w:pPr>
          </w:p>
          <w:p w14:paraId="2F3EAFF6">
            <w:pPr>
              <w:keepNext w:val="0"/>
              <w:keepLines w:val="0"/>
              <w:suppressLineNumbers w:val="0"/>
              <w:spacing w:before="0" w:beforeAutospacing="0" w:after="0" w:afterAutospacing="0"/>
              <w:ind w:left="0" w:right="0"/>
              <w:rPr>
                <w:rFonts w:hint="default"/>
                <w:color w:val="auto"/>
                <w:highlight w:val="none"/>
              </w:rPr>
            </w:pPr>
          </w:p>
          <w:p w14:paraId="021E1A04">
            <w:pPr>
              <w:keepNext w:val="0"/>
              <w:keepLines w:val="0"/>
              <w:suppressLineNumbers w:val="0"/>
              <w:spacing w:before="0" w:beforeAutospacing="0" w:after="0" w:afterAutospacing="0"/>
              <w:ind w:left="0" w:right="0"/>
              <w:rPr>
                <w:rFonts w:hint="default"/>
                <w:color w:val="auto"/>
                <w:highlight w:val="none"/>
              </w:rPr>
            </w:pPr>
          </w:p>
          <w:p w14:paraId="133D6752">
            <w:pPr>
              <w:keepNext w:val="0"/>
              <w:keepLines w:val="0"/>
              <w:suppressLineNumbers w:val="0"/>
              <w:spacing w:before="0" w:beforeAutospacing="0" w:after="0" w:afterAutospacing="0"/>
              <w:ind w:left="0" w:right="0"/>
              <w:rPr>
                <w:rFonts w:hint="default"/>
                <w:color w:val="auto"/>
                <w:highlight w:val="none"/>
              </w:rPr>
            </w:pPr>
          </w:p>
        </w:tc>
        <w:tc>
          <w:tcPr>
            <w:tcW w:w="2281" w:type="pct"/>
            <w:tcBorders>
              <w:top w:val="single" w:color="auto" w:sz="4" w:space="0"/>
              <w:left w:val="nil"/>
              <w:bottom w:val="single" w:color="auto" w:sz="4" w:space="0"/>
              <w:right w:val="single" w:color="auto" w:sz="4" w:space="0"/>
            </w:tcBorders>
            <w:noWrap w:val="0"/>
            <w:vAlign w:val="center"/>
          </w:tcPr>
          <w:p w14:paraId="3E71015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统一着装，保持仪表端庄、精神饱满；服务主动热情、讲文明懂礼貌；上班时间不做与工作无关的事情</w:t>
            </w:r>
            <w:r>
              <w:rPr>
                <w:rFonts w:hint="default"/>
                <w:color w:val="auto"/>
                <w:highlight w:val="none"/>
              </w:rPr>
              <w:t>(</w:t>
            </w:r>
            <w:r>
              <w:rPr>
                <w:rFonts w:hint="eastAsia"/>
                <w:color w:val="auto"/>
                <w:highlight w:val="none"/>
              </w:rPr>
              <w:t>如：玩手机、游戏、聊天等</w:t>
            </w:r>
            <w:r>
              <w:rPr>
                <w:rFonts w:hint="default"/>
                <w:color w:val="auto"/>
                <w:highlight w:val="none"/>
              </w:rPr>
              <w:t>)</w:t>
            </w:r>
            <w:r>
              <w:rPr>
                <w:rFonts w:hint="eastAsia"/>
                <w:color w:val="auto"/>
                <w:highlight w:val="none"/>
              </w:rPr>
              <w:t>。</w:t>
            </w:r>
          </w:p>
        </w:tc>
        <w:tc>
          <w:tcPr>
            <w:tcW w:w="289" w:type="pct"/>
            <w:tcBorders>
              <w:top w:val="single" w:color="auto" w:sz="4" w:space="0"/>
              <w:left w:val="nil"/>
              <w:bottom w:val="single" w:color="auto" w:sz="4" w:space="0"/>
              <w:right w:val="single" w:color="auto" w:sz="4" w:space="0"/>
            </w:tcBorders>
            <w:noWrap w:val="0"/>
            <w:vAlign w:val="center"/>
          </w:tcPr>
          <w:p w14:paraId="592202D6">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3</w:t>
            </w:r>
          </w:p>
        </w:tc>
        <w:tc>
          <w:tcPr>
            <w:tcW w:w="1243" w:type="pct"/>
            <w:tcBorders>
              <w:top w:val="single" w:color="auto" w:sz="4" w:space="0"/>
              <w:left w:val="nil"/>
              <w:bottom w:val="single" w:color="auto" w:sz="4" w:space="0"/>
              <w:right w:val="single" w:color="auto" w:sz="4" w:space="0"/>
            </w:tcBorders>
            <w:noWrap w:val="0"/>
            <w:vAlign w:val="center"/>
          </w:tcPr>
          <w:p w14:paraId="539FD8F8">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1</w:t>
            </w:r>
            <w:r>
              <w:rPr>
                <w:rFonts w:hint="eastAsia"/>
                <w:color w:val="auto"/>
                <w:highlight w:val="none"/>
              </w:rPr>
              <w:t>项不符扣</w:t>
            </w:r>
            <w:r>
              <w:rPr>
                <w:rFonts w:hint="default"/>
                <w:color w:val="auto"/>
                <w:highlight w:val="none"/>
              </w:rPr>
              <w:t>1</w:t>
            </w:r>
            <w:r>
              <w:rPr>
                <w:rFonts w:hint="eastAsia"/>
                <w:color w:val="auto"/>
                <w:highlight w:val="none"/>
              </w:rPr>
              <w:t>分</w:t>
            </w:r>
          </w:p>
        </w:tc>
        <w:tc>
          <w:tcPr>
            <w:tcW w:w="339" w:type="pct"/>
            <w:tcBorders>
              <w:top w:val="single" w:color="auto" w:sz="4" w:space="0"/>
              <w:left w:val="nil"/>
              <w:bottom w:val="single" w:color="auto" w:sz="4" w:space="0"/>
              <w:right w:val="single" w:color="auto" w:sz="4" w:space="0"/>
            </w:tcBorders>
            <w:noWrap w:val="0"/>
            <w:vAlign w:val="center"/>
          </w:tcPr>
          <w:p w14:paraId="381A8BC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c>
          <w:tcPr>
            <w:tcW w:w="417" w:type="pct"/>
            <w:tcBorders>
              <w:top w:val="single" w:color="auto" w:sz="4" w:space="0"/>
              <w:left w:val="nil"/>
              <w:bottom w:val="single" w:color="auto" w:sz="4" w:space="0"/>
              <w:right w:val="single" w:color="auto" w:sz="4" w:space="0"/>
            </w:tcBorders>
            <w:noWrap w:val="0"/>
            <w:vAlign w:val="center"/>
          </w:tcPr>
          <w:p w14:paraId="0B33F80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r>
      <w:tr w14:paraId="0D2C0DA8">
        <w:tblPrEx>
          <w:tblCellMar>
            <w:top w:w="0" w:type="dxa"/>
            <w:left w:w="108" w:type="dxa"/>
            <w:bottom w:w="0" w:type="dxa"/>
            <w:right w:w="108" w:type="dxa"/>
          </w:tblCellMar>
        </w:tblPrEx>
        <w:trPr>
          <w:trHeight w:val="57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0D55DE">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nil"/>
              <w:bottom w:val="single" w:color="auto" w:sz="4" w:space="0"/>
              <w:right w:val="single" w:color="auto" w:sz="4" w:space="0"/>
            </w:tcBorders>
            <w:noWrap w:val="0"/>
            <w:vAlign w:val="center"/>
          </w:tcPr>
          <w:p w14:paraId="3238F75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各岗位人员培训。</w:t>
            </w:r>
          </w:p>
        </w:tc>
        <w:tc>
          <w:tcPr>
            <w:tcW w:w="289" w:type="pct"/>
            <w:tcBorders>
              <w:top w:val="nil"/>
              <w:left w:val="nil"/>
              <w:bottom w:val="single" w:color="auto" w:sz="4" w:space="0"/>
              <w:right w:val="single" w:color="auto" w:sz="4" w:space="0"/>
            </w:tcBorders>
            <w:noWrap w:val="0"/>
            <w:vAlign w:val="center"/>
          </w:tcPr>
          <w:p w14:paraId="54D0F426">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2</w:t>
            </w:r>
          </w:p>
        </w:tc>
        <w:tc>
          <w:tcPr>
            <w:tcW w:w="1243" w:type="pct"/>
            <w:tcBorders>
              <w:top w:val="nil"/>
              <w:left w:val="nil"/>
              <w:bottom w:val="single" w:color="auto" w:sz="4" w:space="0"/>
              <w:right w:val="single" w:color="auto" w:sz="4" w:space="0"/>
            </w:tcBorders>
            <w:noWrap w:val="0"/>
            <w:vAlign w:val="center"/>
          </w:tcPr>
          <w:p w14:paraId="75A8C23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培训</w:t>
            </w:r>
            <w:r>
              <w:rPr>
                <w:rFonts w:hint="default"/>
                <w:color w:val="auto"/>
                <w:highlight w:val="none"/>
              </w:rPr>
              <w:t>1</w:t>
            </w:r>
            <w:r>
              <w:rPr>
                <w:rFonts w:hint="eastAsia"/>
                <w:color w:val="auto"/>
                <w:highlight w:val="none"/>
              </w:rPr>
              <w:t>次得</w:t>
            </w:r>
            <w:r>
              <w:rPr>
                <w:rFonts w:hint="default"/>
                <w:color w:val="auto"/>
                <w:highlight w:val="none"/>
              </w:rPr>
              <w:t>1</w:t>
            </w:r>
            <w:r>
              <w:rPr>
                <w:rFonts w:hint="eastAsia"/>
                <w:color w:val="auto"/>
                <w:highlight w:val="none"/>
              </w:rPr>
              <w:t>分</w:t>
            </w:r>
          </w:p>
        </w:tc>
        <w:tc>
          <w:tcPr>
            <w:tcW w:w="339" w:type="pct"/>
            <w:tcBorders>
              <w:top w:val="nil"/>
              <w:left w:val="nil"/>
              <w:bottom w:val="single" w:color="auto" w:sz="4" w:space="0"/>
              <w:right w:val="single" w:color="auto" w:sz="4" w:space="0"/>
            </w:tcBorders>
            <w:noWrap w:val="0"/>
            <w:vAlign w:val="center"/>
          </w:tcPr>
          <w:p w14:paraId="51C3534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c>
          <w:tcPr>
            <w:tcW w:w="417" w:type="pct"/>
            <w:tcBorders>
              <w:top w:val="nil"/>
              <w:left w:val="nil"/>
              <w:bottom w:val="single" w:color="auto" w:sz="4" w:space="0"/>
              <w:right w:val="single" w:color="auto" w:sz="4" w:space="0"/>
            </w:tcBorders>
            <w:noWrap w:val="0"/>
            <w:vAlign w:val="center"/>
          </w:tcPr>
          <w:p w14:paraId="74853E0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r>
      <w:tr w14:paraId="2DE6C3F2">
        <w:tblPrEx>
          <w:tblCellMar>
            <w:top w:w="0" w:type="dxa"/>
            <w:left w:w="108" w:type="dxa"/>
            <w:bottom w:w="0" w:type="dxa"/>
            <w:right w:w="108" w:type="dxa"/>
          </w:tblCellMar>
        </w:tblPrEx>
        <w:trPr>
          <w:trHeight w:val="99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BB9AB6">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nil"/>
              <w:bottom w:val="single" w:color="auto" w:sz="4" w:space="0"/>
              <w:right w:val="single" w:color="auto" w:sz="4" w:space="0"/>
            </w:tcBorders>
            <w:noWrap w:val="0"/>
            <w:vAlign w:val="center"/>
          </w:tcPr>
          <w:p w14:paraId="10DC6E7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工作人员持证上岗，技能娴熟，设备操作熟练。</w:t>
            </w:r>
          </w:p>
        </w:tc>
        <w:tc>
          <w:tcPr>
            <w:tcW w:w="289" w:type="pct"/>
            <w:tcBorders>
              <w:top w:val="nil"/>
              <w:left w:val="nil"/>
              <w:bottom w:val="single" w:color="auto" w:sz="4" w:space="0"/>
              <w:right w:val="single" w:color="auto" w:sz="4" w:space="0"/>
            </w:tcBorders>
            <w:noWrap w:val="0"/>
            <w:vAlign w:val="center"/>
          </w:tcPr>
          <w:p w14:paraId="7A4BB9E8">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3</w:t>
            </w:r>
          </w:p>
        </w:tc>
        <w:tc>
          <w:tcPr>
            <w:tcW w:w="1243" w:type="pct"/>
            <w:tcBorders>
              <w:top w:val="nil"/>
              <w:left w:val="nil"/>
              <w:bottom w:val="single" w:color="auto" w:sz="4" w:space="0"/>
              <w:right w:val="single" w:color="auto" w:sz="4" w:space="0"/>
            </w:tcBorders>
            <w:noWrap w:val="0"/>
            <w:vAlign w:val="center"/>
          </w:tcPr>
          <w:p w14:paraId="7E724BF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技能娴熟、操作熟练得满分、一般得</w:t>
            </w:r>
            <w:r>
              <w:rPr>
                <w:rFonts w:hint="default"/>
                <w:color w:val="auto"/>
                <w:highlight w:val="none"/>
              </w:rPr>
              <w:t>2</w:t>
            </w:r>
            <w:r>
              <w:rPr>
                <w:rFonts w:hint="eastAsia"/>
                <w:color w:val="auto"/>
                <w:highlight w:val="none"/>
              </w:rPr>
              <w:t>分、不熟练不得分</w:t>
            </w:r>
          </w:p>
        </w:tc>
        <w:tc>
          <w:tcPr>
            <w:tcW w:w="339" w:type="pct"/>
            <w:tcBorders>
              <w:top w:val="nil"/>
              <w:left w:val="nil"/>
              <w:bottom w:val="single" w:color="auto" w:sz="4" w:space="0"/>
              <w:right w:val="single" w:color="auto" w:sz="4" w:space="0"/>
            </w:tcBorders>
            <w:noWrap w:val="0"/>
            <w:vAlign w:val="center"/>
          </w:tcPr>
          <w:p w14:paraId="48E78DC6">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14DD4F64">
            <w:pPr>
              <w:keepNext w:val="0"/>
              <w:keepLines w:val="0"/>
              <w:suppressLineNumbers w:val="0"/>
              <w:spacing w:before="0" w:beforeAutospacing="0" w:after="0" w:afterAutospacing="0"/>
              <w:ind w:left="0" w:right="0"/>
              <w:rPr>
                <w:rFonts w:hint="default"/>
                <w:color w:val="auto"/>
                <w:highlight w:val="none"/>
              </w:rPr>
            </w:pPr>
          </w:p>
        </w:tc>
      </w:tr>
      <w:tr w14:paraId="7EABCFCA">
        <w:tblPrEx>
          <w:tblCellMar>
            <w:top w:w="0" w:type="dxa"/>
            <w:left w:w="108" w:type="dxa"/>
            <w:bottom w:w="0" w:type="dxa"/>
            <w:right w:w="108" w:type="dxa"/>
          </w:tblCellMar>
        </w:tblPrEx>
        <w:trPr>
          <w:trHeight w:val="106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644032">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nil"/>
              <w:bottom w:val="single" w:color="auto" w:sz="4" w:space="0"/>
              <w:right w:val="single" w:color="auto" w:sz="4" w:space="0"/>
            </w:tcBorders>
            <w:noWrap w:val="0"/>
            <w:vAlign w:val="center"/>
          </w:tcPr>
          <w:p w14:paraId="6FC6429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项目负责人对本物业的设施设备每天至少巡查一次，并制定养护计划及运行记录；发现问题及时处理。</w:t>
            </w:r>
          </w:p>
        </w:tc>
        <w:tc>
          <w:tcPr>
            <w:tcW w:w="289" w:type="pct"/>
            <w:tcBorders>
              <w:top w:val="nil"/>
              <w:left w:val="nil"/>
              <w:bottom w:val="single" w:color="auto" w:sz="4" w:space="0"/>
              <w:right w:val="single" w:color="auto" w:sz="4" w:space="0"/>
            </w:tcBorders>
            <w:noWrap w:val="0"/>
            <w:vAlign w:val="center"/>
          </w:tcPr>
          <w:p w14:paraId="583DE81C">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2</w:t>
            </w:r>
          </w:p>
        </w:tc>
        <w:tc>
          <w:tcPr>
            <w:tcW w:w="1243" w:type="pct"/>
            <w:tcBorders>
              <w:top w:val="nil"/>
              <w:left w:val="nil"/>
              <w:bottom w:val="single" w:color="auto" w:sz="4" w:space="0"/>
              <w:right w:val="single" w:color="auto" w:sz="4" w:space="0"/>
            </w:tcBorders>
            <w:noWrap w:val="0"/>
            <w:vAlign w:val="center"/>
          </w:tcPr>
          <w:p w14:paraId="5461D6C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没有巡查、没有记录不得分，有记录但不清楚的扣</w:t>
            </w:r>
            <w:r>
              <w:rPr>
                <w:rFonts w:hint="default"/>
                <w:color w:val="auto"/>
                <w:highlight w:val="none"/>
              </w:rPr>
              <w:t>1</w:t>
            </w:r>
            <w:r>
              <w:rPr>
                <w:rFonts w:hint="eastAsia"/>
                <w:color w:val="auto"/>
                <w:highlight w:val="none"/>
              </w:rPr>
              <w:t>分</w:t>
            </w:r>
          </w:p>
        </w:tc>
        <w:tc>
          <w:tcPr>
            <w:tcW w:w="339" w:type="pct"/>
            <w:tcBorders>
              <w:top w:val="nil"/>
              <w:left w:val="nil"/>
              <w:bottom w:val="single" w:color="auto" w:sz="4" w:space="0"/>
              <w:right w:val="single" w:color="auto" w:sz="4" w:space="0"/>
            </w:tcBorders>
            <w:noWrap w:val="0"/>
            <w:vAlign w:val="center"/>
          </w:tcPr>
          <w:p w14:paraId="7113685E">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7BE10F75">
            <w:pPr>
              <w:keepNext w:val="0"/>
              <w:keepLines w:val="0"/>
              <w:suppressLineNumbers w:val="0"/>
              <w:spacing w:before="0" w:beforeAutospacing="0" w:after="0" w:afterAutospacing="0"/>
              <w:ind w:left="0" w:right="0"/>
              <w:rPr>
                <w:rFonts w:hint="default"/>
                <w:color w:val="auto"/>
                <w:highlight w:val="none"/>
              </w:rPr>
            </w:pPr>
          </w:p>
        </w:tc>
      </w:tr>
      <w:tr w14:paraId="263F6E87">
        <w:tblPrEx>
          <w:tblCellMar>
            <w:top w:w="0" w:type="dxa"/>
            <w:left w:w="108" w:type="dxa"/>
            <w:bottom w:w="0" w:type="dxa"/>
            <w:right w:w="108" w:type="dxa"/>
          </w:tblCellMar>
        </w:tblPrEx>
        <w:trPr>
          <w:trHeight w:val="82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BC4378C">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single" w:color="auto" w:sz="4" w:space="0"/>
              <w:left w:val="single" w:color="auto" w:sz="4" w:space="0"/>
              <w:bottom w:val="single" w:color="auto" w:sz="4" w:space="0"/>
              <w:right w:val="single" w:color="auto" w:sz="4" w:space="0"/>
            </w:tcBorders>
            <w:noWrap w:val="0"/>
            <w:vAlign w:val="center"/>
          </w:tcPr>
          <w:p w14:paraId="46A42F9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日常工作中发现基础设施及设备故障，应及时报修并积极处理；</w:t>
            </w:r>
          </w:p>
        </w:tc>
        <w:tc>
          <w:tcPr>
            <w:tcW w:w="289" w:type="pct"/>
            <w:tcBorders>
              <w:top w:val="single" w:color="auto" w:sz="4" w:space="0"/>
              <w:left w:val="nil"/>
              <w:bottom w:val="single" w:color="auto" w:sz="4" w:space="0"/>
              <w:right w:val="single" w:color="auto" w:sz="4" w:space="0"/>
            </w:tcBorders>
            <w:noWrap w:val="0"/>
            <w:vAlign w:val="center"/>
          </w:tcPr>
          <w:p w14:paraId="7945546B">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2</w:t>
            </w:r>
          </w:p>
        </w:tc>
        <w:tc>
          <w:tcPr>
            <w:tcW w:w="1243" w:type="pct"/>
            <w:tcBorders>
              <w:top w:val="single" w:color="auto" w:sz="4" w:space="0"/>
              <w:left w:val="nil"/>
              <w:bottom w:val="single" w:color="auto" w:sz="4" w:space="0"/>
              <w:right w:val="single" w:color="auto" w:sz="4" w:space="0"/>
            </w:tcBorders>
            <w:noWrap w:val="0"/>
            <w:vAlign w:val="center"/>
          </w:tcPr>
          <w:p w14:paraId="4BC0D35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当日发生当日完成得满分，每延迟一天扣</w:t>
            </w:r>
            <w:r>
              <w:rPr>
                <w:rFonts w:hint="default"/>
                <w:color w:val="auto"/>
                <w:highlight w:val="none"/>
              </w:rPr>
              <w:t>1</w:t>
            </w:r>
            <w:r>
              <w:rPr>
                <w:rFonts w:hint="eastAsia"/>
                <w:color w:val="auto"/>
                <w:highlight w:val="none"/>
              </w:rPr>
              <w:t>分</w:t>
            </w:r>
          </w:p>
        </w:tc>
        <w:tc>
          <w:tcPr>
            <w:tcW w:w="339" w:type="pct"/>
            <w:tcBorders>
              <w:top w:val="single" w:color="auto" w:sz="4" w:space="0"/>
              <w:left w:val="nil"/>
              <w:bottom w:val="single" w:color="auto" w:sz="4" w:space="0"/>
              <w:right w:val="single" w:color="auto" w:sz="4" w:space="0"/>
            </w:tcBorders>
            <w:noWrap w:val="0"/>
            <w:vAlign w:val="center"/>
          </w:tcPr>
          <w:p w14:paraId="1478A431">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single" w:color="auto" w:sz="4" w:space="0"/>
              <w:left w:val="nil"/>
              <w:bottom w:val="single" w:color="auto" w:sz="4" w:space="0"/>
              <w:right w:val="single" w:color="auto" w:sz="4" w:space="0"/>
            </w:tcBorders>
            <w:noWrap w:val="0"/>
            <w:vAlign w:val="center"/>
          </w:tcPr>
          <w:p w14:paraId="6347BF8E">
            <w:pPr>
              <w:keepNext w:val="0"/>
              <w:keepLines w:val="0"/>
              <w:suppressLineNumbers w:val="0"/>
              <w:spacing w:before="0" w:beforeAutospacing="0" w:after="0" w:afterAutospacing="0"/>
              <w:ind w:left="0" w:right="0"/>
              <w:rPr>
                <w:rFonts w:hint="default"/>
                <w:color w:val="auto"/>
                <w:highlight w:val="none"/>
              </w:rPr>
            </w:pPr>
          </w:p>
        </w:tc>
      </w:tr>
      <w:tr w14:paraId="4C9802FF">
        <w:tblPrEx>
          <w:tblCellMar>
            <w:top w:w="0" w:type="dxa"/>
            <w:left w:w="108" w:type="dxa"/>
            <w:bottom w:w="0" w:type="dxa"/>
            <w:right w:w="108" w:type="dxa"/>
          </w:tblCellMar>
        </w:tblPrEx>
        <w:trPr>
          <w:trHeight w:val="7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13C325">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single" w:color="auto" w:sz="4" w:space="0"/>
              <w:bottom w:val="single" w:color="auto" w:sz="4" w:space="0"/>
              <w:right w:val="single" w:color="auto" w:sz="4" w:space="0"/>
            </w:tcBorders>
            <w:noWrap w:val="0"/>
            <w:vAlign w:val="center"/>
          </w:tcPr>
          <w:p w14:paraId="7A9130E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各种记录完整。工作安排记录、设备检查记录、日常检查记录。</w:t>
            </w:r>
          </w:p>
        </w:tc>
        <w:tc>
          <w:tcPr>
            <w:tcW w:w="289" w:type="pct"/>
            <w:tcBorders>
              <w:top w:val="nil"/>
              <w:left w:val="nil"/>
              <w:bottom w:val="single" w:color="auto" w:sz="4" w:space="0"/>
              <w:right w:val="single" w:color="auto" w:sz="4" w:space="0"/>
            </w:tcBorders>
            <w:noWrap w:val="0"/>
            <w:vAlign w:val="center"/>
          </w:tcPr>
          <w:p w14:paraId="4947CE83">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3</w:t>
            </w:r>
          </w:p>
        </w:tc>
        <w:tc>
          <w:tcPr>
            <w:tcW w:w="1243" w:type="pct"/>
            <w:tcBorders>
              <w:top w:val="nil"/>
              <w:left w:val="nil"/>
              <w:bottom w:val="single" w:color="auto" w:sz="4" w:space="0"/>
              <w:right w:val="single" w:color="auto" w:sz="4" w:space="0"/>
            </w:tcBorders>
            <w:noWrap w:val="0"/>
            <w:vAlign w:val="center"/>
          </w:tcPr>
          <w:p w14:paraId="2749011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缺</w:t>
            </w:r>
            <w:r>
              <w:rPr>
                <w:rFonts w:hint="default"/>
                <w:color w:val="auto"/>
                <w:highlight w:val="none"/>
              </w:rPr>
              <w:t>1</w:t>
            </w:r>
            <w:r>
              <w:rPr>
                <w:rFonts w:hint="eastAsia"/>
                <w:color w:val="auto"/>
                <w:highlight w:val="none"/>
              </w:rPr>
              <w:t>项扣</w:t>
            </w:r>
            <w:r>
              <w:rPr>
                <w:rFonts w:hint="default"/>
                <w:color w:val="auto"/>
                <w:highlight w:val="none"/>
              </w:rPr>
              <w:t>1</w:t>
            </w:r>
            <w:r>
              <w:rPr>
                <w:rFonts w:hint="eastAsia"/>
                <w:color w:val="auto"/>
                <w:highlight w:val="none"/>
              </w:rPr>
              <w:t>分</w:t>
            </w:r>
          </w:p>
        </w:tc>
        <w:tc>
          <w:tcPr>
            <w:tcW w:w="339" w:type="pct"/>
            <w:tcBorders>
              <w:top w:val="nil"/>
              <w:left w:val="nil"/>
              <w:bottom w:val="single" w:color="auto" w:sz="4" w:space="0"/>
              <w:right w:val="single" w:color="auto" w:sz="4" w:space="0"/>
            </w:tcBorders>
            <w:noWrap w:val="0"/>
            <w:vAlign w:val="center"/>
          </w:tcPr>
          <w:p w14:paraId="5631B565">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5E947587">
            <w:pPr>
              <w:keepNext w:val="0"/>
              <w:keepLines w:val="0"/>
              <w:suppressLineNumbers w:val="0"/>
              <w:spacing w:before="0" w:beforeAutospacing="0" w:after="0" w:afterAutospacing="0"/>
              <w:ind w:left="0" w:right="0"/>
              <w:rPr>
                <w:rFonts w:hint="default"/>
                <w:color w:val="auto"/>
                <w:highlight w:val="none"/>
              </w:rPr>
            </w:pPr>
          </w:p>
        </w:tc>
      </w:tr>
      <w:tr w14:paraId="06D0EEEF">
        <w:tblPrEx>
          <w:tblCellMar>
            <w:top w:w="0" w:type="dxa"/>
            <w:left w:w="108" w:type="dxa"/>
            <w:bottom w:w="0" w:type="dxa"/>
            <w:right w:w="108" w:type="dxa"/>
          </w:tblCellMar>
        </w:tblPrEx>
        <w:trPr>
          <w:trHeight w:val="51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84144A">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single" w:color="auto" w:sz="4" w:space="0"/>
              <w:left w:val="single" w:color="auto" w:sz="4" w:space="0"/>
              <w:bottom w:val="single" w:color="auto" w:sz="4" w:space="0"/>
              <w:right w:val="single" w:color="auto" w:sz="4" w:space="0"/>
            </w:tcBorders>
            <w:noWrap w:val="0"/>
            <w:vAlign w:val="center"/>
          </w:tcPr>
          <w:p w14:paraId="3567A2B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存在问题的落实整改情况。</w:t>
            </w:r>
          </w:p>
        </w:tc>
        <w:tc>
          <w:tcPr>
            <w:tcW w:w="289" w:type="pct"/>
            <w:tcBorders>
              <w:top w:val="nil"/>
              <w:left w:val="nil"/>
              <w:bottom w:val="single" w:color="auto" w:sz="4" w:space="0"/>
              <w:right w:val="single" w:color="auto" w:sz="4" w:space="0"/>
            </w:tcBorders>
            <w:noWrap w:val="0"/>
            <w:vAlign w:val="center"/>
          </w:tcPr>
          <w:p w14:paraId="0B925BCD">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5</w:t>
            </w:r>
          </w:p>
        </w:tc>
        <w:tc>
          <w:tcPr>
            <w:tcW w:w="1243" w:type="pct"/>
            <w:tcBorders>
              <w:top w:val="nil"/>
              <w:left w:val="nil"/>
              <w:bottom w:val="single" w:color="auto" w:sz="4" w:space="0"/>
              <w:right w:val="single" w:color="auto" w:sz="4" w:space="0"/>
            </w:tcBorders>
            <w:noWrap w:val="0"/>
            <w:vAlign w:val="center"/>
          </w:tcPr>
          <w:p w14:paraId="2FB02EA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整改不及时的不得分</w:t>
            </w:r>
          </w:p>
        </w:tc>
        <w:tc>
          <w:tcPr>
            <w:tcW w:w="339" w:type="pct"/>
            <w:tcBorders>
              <w:top w:val="nil"/>
              <w:left w:val="nil"/>
              <w:bottom w:val="single" w:color="auto" w:sz="4" w:space="0"/>
              <w:right w:val="single" w:color="auto" w:sz="4" w:space="0"/>
            </w:tcBorders>
            <w:noWrap w:val="0"/>
            <w:vAlign w:val="center"/>
          </w:tcPr>
          <w:p w14:paraId="1FFD83AB">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629FB6D7">
            <w:pPr>
              <w:keepNext w:val="0"/>
              <w:keepLines w:val="0"/>
              <w:suppressLineNumbers w:val="0"/>
              <w:spacing w:before="0" w:beforeAutospacing="0" w:after="0" w:afterAutospacing="0"/>
              <w:ind w:left="0" w:right="0"/>
              <w:rPr>
                <w:rFonts w:hint="default"/>
                <w:color w:val="auto"/>
                <w:highlight w:val="none"/>
              </w:rPr>
            </w:pPr>
          </w:p>
        </w:tc>
      </w:tr>
      <w:tr w14:paraId="6DFC41E4">
        <w:tblPrEx>
          <w:tblCellMar>
            <w:top w:w="0" w:type="dxa"/>
            <w:left w:w="108" w:type="dxa"/>
            <w:bottom w:w="0" w:type="dxa"/>
            <w:right w:w="108" w:type="dxa"/>
          </w:tblCellMar>
        </w:tblPrEx>
        <w:trPr>
          <w:trHeight w:val="11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ADD8D6">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single" w:color="auto" w:sz="4" w:space="0"/>
              <w:bottom w:val="single" w:color="auto" w:sz="4" w:space="0"/>
              <w:right w:val="single" w:color="auto" w:sz="4" w:space="0"/>
            </w:tcBorders>
            <w:noWrap w:val="0"/>
            <w:vAlign w:val="center"/>
          </w:tcPr>
          <w:p w14:paraId="70190D5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物业人员到位情况</w:t>
            </w:r>
            <w:r>
              <w:rPr>
                <w:rFonts w:hint="default"/>
                <w:color w:val="auto"/>
                <w:highlight w:val="none"/>
              </w:rPr>
              <w:t>:</w:t>
            </w:r>
          </w:p>
          <w:p w14:paraId="0F0C7216">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1.</w:t>
            </w:r>
            <w:r>
              <w:rPr>
                <w:rFonts w:hint="eastAsia"/>
                <w:color w:val="auto"/>
                <w:highlight w:val="none"/>
              </w:rPr>
              <w:t>不出现缺岗及脱岗情况；</w:t>
            </w:r>
          </w:p>
          <w:p w14:paraId="1E20A1CB">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2.</w:t>
            </w:r>
            <w:r>
              <w:rPr>
                <w:rFonts w:hint="eastAsia"/>
                <w:color w:val="auto"/>
                <w:highlight w:val="none"/>
              </w:rPr>
              <w:t>每月不能超过两名人员离职。</w:t>
            </w:r>
          </w:p>
        </w:tc>
        <w:tc>
          <w:tcPr>
            <w:tcW w:w="289" w:type="pct"/>
            <w:tcBorders>
              <w:top w:val="nil"/>
              <w:left w:val="nil"/>
              <w:bottom w:val="single" w:color="auto" w:sz="4" w:space="0"/>
              <w:right w:val="single" w:color="auto" w:sz="4" w:space="0"/>
            </w:tcBorders>
            <w:noWrap w:val="0"/>
            <w:vAlign w:val="center"/>
          </w:tcPr>
          <w:p w14:paraId="2E825752">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5</w:t>
            </w:r>
          </w:p>
        </w:tc>
        <w:tc>
          <w:tcPr>
            <w:tcW w:w="1243" w:type="pct"/>
            <w:tcBorders>
              <w:top w:val="nil"/>
              <w:left w:val="nil"/>
              <w:bottom w:val="single" w:color="auto" w:sz="4" w:space="0"/>
              <w:right w:val="single" w:color="auto" w:sz="4" w:space="0"/>
            </w:tcBorders>
            <w:noWrap w:val="0"/>
            <w:vAlign w:val="center"/>
          </w:tcPr>
          <w:p w14:paraId="18DD178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任何一项不符合不得分</w:t>
            </w:r>
          </w:p>
        </w:tc>
        <w:tc>
          <w:tcPr>
            <w:tcW w:w="339" w:type="pct"/>
            <w:tcBorders>
              <w:top w:val="nil"/>
              <w:left w:val="nil"/>
              <w:bottom w:val="single" w:color="auto" w:sz="4" w:space="0"/>
              <w:right w:val="single" w:color="auto" w:sz="4" w:space="0"/>
            </w:tcBorders>
            <w:noWrap w:val="0"/>
            <w:vAlign w:val="center"/>
          </w:tcPr>
          <w:p w14:paraId="6FA82CB9">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37595C10">
            <w:pPr>
              <w:keepNext w:val="0"/>
              <w:keepLines w:val="0"/>
              <w:suppressLineNumbers w:val="0"/>
              <w:spacing w:before="0" w:beforeAutospacing="0" w:after="0" w:afterAutospacing="0"/>
              <w:ind w:left="0" w:right="0"/>
              <w:rPr>
                <w:rFonts w:hint="default"/>
                <w:color w:val="auto"/>
                <w:highlight w:val="none"/>
              </w:rPr>
            </w:pPr>
          </w:p>
        </w:tc>
      </w:tr>
      <w:tr w14:paraId="7D0F6003">
        <w:tblPrEx>
          <w:tblCellMar>
            <w:top w:w="0" w:type="dxa"/>
            <w:left w:w="108" w:type="dxa"/>
            <w:bottom w:w="0" w:type="dxa"/>
            <w:right w:w="108" w:type="dxa"/>
          </w:tblCellMar>
        </w:tblPrEx>
        <w:trPr>
          <w:trHeight w:val="993" w:hRule="atLeast"/>
          <w:jc w:val="center"/>
        </w:trPr>
        <w:tc>
          <w:tcPr>
            <w:tcW w:w="428" w:type="pct"/>
            <w:vMerge w:val="restart"/>
            <w:tcBorders>
              <w:top w:val="single" w:color="auto" w:sz="4" w:space="0"/>
              <w:left w:val="single" w:color="auto" w:sz="4" w:space="0"/>
              <w:bottom w:val="single" w:color="auto" w:sz="4" w:space="0"/>
              <w:right w:val="single" w:color="auto" w:sz="4" w:space="0"/>
            </w:tcBorders>
            <w:noWrap w:val="0"/>
            <w:vAlign w:val="center"/>
          </w:tcPr>
          <w:p w14:paraId="4AC6EEB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安保管理（</w:t>
            </w:r>
            <w:r>
              <w:rPr>
                <w:rFonts w:hint="default"/>
                <w:color w:val="auto"/>
                <w:highlight w:val="none"/>
              </w:rPr>
              <w:t>25</w:t>
            </w:r>
            <w:r>
              <w:rPr>
                <w:rFonts w:hint="eastAsia"/>
                <w:color w:val="auto"/>
                <w:highlight w:val="none"/>
              </w:rPr>
              <w:t>分）</w:t>
            </w:r>
          </w:p>
        </w:tc>
        <w:tc>
          <w:tcPr>
            <w:tcW w:w="2281" w:type="pct"/>
            <w:tcBorders>
              <w:top w:val="single" w:color="auto" w:sz="4" w:space="0"/>
              <w:left w:val="nil"/>
              <w:bottom w:val="single" w:color="auto" w:sz="4" w:space="0"/>
              <w:right w:val="single" w:color="auto" w:sz="4" w:space="0"/>
            </w:tcBorders>
            <w:noWrap w:val="0"/>
            <w:vAlign w:val="center"/>
          </w:tcPr>
          <w:p w14:paraId="3A1A78B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值班室（岗亭）物品摆放整齐；卫生干净整洁。</w:t>
            </w:r>
          </w:p>
        </w:tc>
        <w:tc>
          <w:tcPr>
            <w:tcW w:w="289" w:type="pct"/>
            <w:tcBorders>
              <w:top w:val="single" w:color="auto" w:sz="4" w:space="0"/>
              <w:left w:val="nil"/>
              <w:bottom w:val="single" w:color="auto" w:sz="4" w:space="0"/>
              <w:right w:val="single" w:color="auto" w:sz="4" w:space="0"/>
            </w:tcBorders>
            <w:noWrap w:val="0"/>
            <w:vAlign w:val="center"/>
          </w:tcPr>
          <w:p w14:paraId="658989F2">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2</w:t>
            </w:r>
          </w:p>
        </w:tc>
        <w:tc>
          <w:tcPr>
            <w:tcW w:w="1243" w:type="pct"/>
            <w:tcBorders>
              <w:top w:val="single" w:color="auto" w:sz="4" w:space="0"/>
              <w:left w:val="nil"/>
              <w:bottom w:val="single" w:color="auto" w:sz="4" w:space="0"/>
              <w:right w:val="single" w:color="auto" w:sz="4" w:space="0"/>
            </w:tcBorders>
            <w:noWrap w:val="0"/>
            <w:vAlign w:val="center"/>
          </w:tcPr>
          <w:p w14:paraId="67E872D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一项不符合扣</w:t>
            </w:r>
            <w:r>
              <w:rPr>
                <w:rFonts w:hint="default"/>
                <w:color w:val="auto"/>
                <w:highlight w:val="none"/>
              </w:rPr>
              <w:t>1</w:t>
            </w:r>
            <w:r>
              <w:rPr>
                <w:rFonts w:hint="eastAsia"/>
                <w:color w:val="auto"/>
                <w:highlight w:val="none"/>
              </w:rPr>
              <w:t>分</w:t>
            </w:r>
          </w:p>
        </w:tc>
        <w:tc>
          <w:tcPr>
            <w:tcW w:w="339" w:type="pct"/>
            <w:tcBorders>
              <w:top w:val="single" w:color="auto" w:sz="4" w:space="0"/>
              <w:left w:val="nil"/>
              <w:bottom w:val="single" w:color="auto" w:sz="4" w:space="0"/>
              <w:right w:val="single" w:color="auto" w:sz="4" w:space="0"/>
            </w:tcBorders>
            <w:noWrap w:val="0"/>
            <w:vAlign w:val="center"/>
          </w:tcPr>
          <w:p w14:paraId="7602612D">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single" w:color="auto" w:sz="4" w:space="0"/>
              <w:left w:val="nil"/>
              <w:bottom w:val="single" w:color="auto" w:sz="4" w:space="0"/>
              <w:right w:val="single" w:color="auto" w:sz="4" w:space="0"/>
            </w:tcBorders>
            <w:noWrap w:val="0"/>
            <w:vAlign w:val="center"/>
          </w:tcPr>
          <w:p w14:paraId="2A41D7A1">
            <w:pPr>
              <w:keepNext w:val="0"/>
              <w:keepLines w:val="0"/>
              <w:suppressLineNumbers w:val="0"/>
              <w:spacing w:before="0" w:beforeAutospacing="0" w:after="0" w:afterAutospacing="0"/>
              <w:ind w:left="0" w:right="0"/>
              <w:rPr>
                <w:rFonts w:hint="default"/>
                <w:color w:val="auto"/>
                <w:highlight w:val="none"/>
              </w:rPr>
            </w:pPr>
          </w:p>
        </w:tc>
      </w:tr>
      <w:tr w14:paraId="21AA8C79">
        <w:tblPrEx>
          <w:tblCellMar>
            <w:top w:w="0" w:type="dxa"/>
            <w:left w:w="108" w:type="dxa"/>
            <w:bottom w:w="0" w:type="dxa"/>
            <w:right w:w="108" w:type="dxa"/>
          </w:tblCellMar>
        </w:tblPrEx>
        <w:trPr>
          <w:trHeight w:val="54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41D9438">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nil"/>
              <w:bottom w:val="single" w:color="auto" w:sz="4" w:space="0"/>
              <w:right w:val="single" w:color="auto" w:sz="4" w:space="0"/>
            </w:tcBorders>
            <w:noWrap w:val="0"/>
            <w:vAlign w:val="center"/>
          </w:tcPr>
          <w:p w14:paraId="4728729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严格门岗出入管理，按制度检查登记。</w:t>
            </w:r>
          </w:p>
        </w:tc>
        <w:tc>
          <w:tcPr>
            <w:tcW w:w="289" w:type="pct"/>
            <w:tcBorders>
              <w:top w:val="nil"/>
              <w:left w:val="nil"/>
              <w:bottom w:val="single" w:color="auto" w:sz="4" w:space="0"/>
              <w:right w:val="single" w:color="auto" w:sz="4" w:space="0"/>
            </w:tcBorders>
            <w:noWrap w:val="0"/>
            <w:vAlign w:val="center"/>
          </w:tcPr>
          <w:p w14:paraId="72FF5DC7">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5</w:t>
            </w:r>
          </w:p>
        </w:tc>
        <w:tc>
          <w:tcPr>
            <w:tcW w:w="1243" w:type="pct"/>
            <w:tcBorders>
              <w:top w:val="nil"/>
              <w:left w:val="nil"/>
              <w:bottom w:val="single" w:color="auto" w:sz="4" w:space="0"/>
              <w:right w:val="single" w:color="auto" w:sz="4" w:space="0"/>
            </w:tcBorders>
            <w:noWrap w:val="0"/>
            <w:vAlign w:val="center"/>
          </w:tcPr>
          <w:p w14:paraId="327A5163">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不符合不得分</w:t>
            </w:r>
          </w:p>
        </w:tc>
        <w:tc>
          <w:tcPr>
            <w:tcW w:w="339" w:type="pct"/>
            <w:tcBorders>
              <w:top w:val="nil"/>
              <w:left w:val="nil"/>
              <w:bottom w:val="single" w:color="auto" w:sz="4" w:space="0"/>
              <w:right w:val="single" w:color="auto" w:sz="4" w:space="0"/>
            </w:tcBorders>
            <w:noWrap w:val="0"/>
            <w:vAlign w:val="center"/>
          </w:tcPr>
          <w:p w14:paraId="3E8A459C">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2D3B5B4F">
            <w:pPr>
              <w:keepNext w:val="0"/>
              <w:keepLines w:val="0"/>
              <w:suppressLineNumbers w:val="0"/>
              <w:spacing w:before="0" w:beforeAutospacing="0" w:after="0" w:afterAutospacing="0"/>
              <w:ind w:left="0" w:right="0"/>
              <w:rPr>
                <w:rFonts w:hint="default"/>
                <w:color w:val="auto"/>
                <w:highlight w:val="none"/>
              </w:rPr>
            </w:pPr>
          </w:p>
        </w:tc>
      </w:tr>
      <w:tr w14:paraId="77CD4FF0">
        <w:tblPrEx>
          <w:tblCellMar>
            <w:top w:w="0" w:type="dxa"/>
            <w:left w:w="108" w:type="dxa"/>
            <w:bottom w:w="0" w:type="dxa"/>
            <w:right w:w="108" w:type="dxa"/>
          </w:tblCellMar>
        </w:tblPrEx>
        <w:trPr>
          <w:trHeight w:val="60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E62AEE">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nil"/>
              <w:bottom w:val="single" w:color="auto" w:sz="4" w:space="0"/>
              <w:right w:val="single" w:color="auto" w:sz="4" w:space="0"/>
            </w:tcBorders>
            <w:noWrap w:val="0"/>
            <w:vAlign w:val="center"/>
          </w:tcPr>
          <w:p w14:paraId="611E69D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按要求做好停车场及车辆管理。</w:t>
            </w:r>
          </w:p>
        </w:tc>
        <w:tc>
          <w:tcPr>
            <w:tcW w:w="289" w:type="pct"/>
            <w:tcBorders>
              <w:top w:val="nil"/>
              <w:left w:val="nil"/>
              <w:bottom w:val="single" w:color="auto" w:sz="4" w:space="0"/>
              <w:right w:val="single" w:color="auto" w:sz="4" w:space="0"/>
            </w:tcBorders>
            <w:noWrap w:val="0"/>
            <w:vAlign w:val="center"/>
          </w:tcPr>
          <w:p w14:paraId="4F8B5AE8">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3</w:t>
            </w:r>
          </w:p>
        </w:tc>
        <w:tc>
          <w:tcPr>
            <w:tcW w:w="1243" w:type="pct"/>
            <w:tcBorders>
              <w:top w:val="nil"/>
              <w:left w:val="nil"/>
              <w:bottom w:val="single" w:color="auto" w:sz="4" w:space="0"/>
              <w:right w:val="single" w:color="auto" w:sz="4" w:space="0"/>
            </w:tcBorders>
            <w:noWrap w:val="0"/>
            <w:vAlign w:val="center"/>
          </w:tcPr>
          <w:p w14:paraId="400EB12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较好的满分；一般得</w:t>
            </w:r>
            <w:r>
              <w:rPr>
                <w:rFonts w:hint="default"/>
                <w:color w:val="auto"/>
                <w:highlight w:val="none"/>
              </w:rPr>
              <w:t>2</w:t>
            </w:r>
            <w:r>
              <w:rPr>
                <w:rFonts w:hint="eastAsia"/>
                <w:color w:val="auto"/>
                <w:highlight w:val="none"/>
              </w:rPr>
              <w:t>分；较差不得分。</w:t>
            </w:r>
          </w:p>
        </w:tc>
        <w:tc>
          <w:tcPr>
            <w:tcW w:w="339" w:type="pct"/>
            <w:tcBorders>
              <w:top w:val="nil"/>
              <w:left w:val="nil"/>
              <w:bottom w:val="single" w:color="auto" w:sz="4" w:space="0"/>
              <w:right w:val="single" w:color="auto" w:sz="4" w:space="0"/>
            </w:tcBorders>
            <w:noWrap w:val="0"/>
            <w:vAlign w:val="center"/>
          </w:tcPr>
          <w:p w14:paraId="76CFF6FF">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3D37E012">
            <w:pPr>
              <w:keepNext w:val="0"/>
              <w:keepLines w:val="0"/>
              <w:suppressLineNumbers w:val="0"/>
              <w:spacing w:before="0" w:beforeAutospacing="0" w:after="0" w:afterAutospacing="0"/>
              <w:ind w:left="0" w:right="0"/>
              <w:rPr>
                <w:rFonts w:hint="default"/>
                <w:color w:val="auto"/>
                <w:highlight w:val="none"/>
              </w:rPr>
            </w:pPr>
          </w:p>
        </w:tc>
      </w:tr>
      <w:tr w14:paraId="0A52741D">
        <w:tblPrEx>
          <w:tblCellMar>
            <w:top w:w="0" w:type="dxa"/>
            <w:left w:w="108" w:type="dxa"/>
            <w:bottom w:w="0" w:type="dxa"/>
            <w:right w:w="108" w:type="dxa"/>
          </w:tblCellMar>
        </w:tblPrEx>
        <w:trPr>
          <w:trHeight w:val="4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BC5595">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nil"/>
              <w:bottom w:val="single" w:color="auto" w:sz="4" w:space="0"/>
              <w:right w:val="single" w:color="auto" w:sz="4" w:space="0"/>
            </w:tcBorders>
            <w:noWrap w:val="0"/>
            <w:vAlign w:val="center"/>
          </w:tcPr>
          <w:p w14:paraId="409844C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值班记录及巡查记录完整、清楚，无漏记错记。</w:t>
            </w:r>
          </w:p>
        </w:tc>
        <w:tc>
          <w:tcPr>
            <w:tcW w:w="289" w:type="pct"/>
            <w:tcBorders>
              <w:top w:val="nil"/>
              <w:left w:val="nil"/>
              <w:bottom w:val="single" w:color="auto" w:sz="4" w:space="0"/>
              <w:right w:val="single" w:color="auto" w:sz="4" w:space="0"/>
            </w:tcBorders>
            <w:noWrap w:val="0"/>
            <w:vAlign w:val="center"/>
          </w:tcPr>
          <w:p w14:paraId="15601627">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4</w:t>
            </w:r>
          </w:p>
        </w:tc>
        <w:tc>
          <w:tcPr>
            <w:tcW w:w="1243" w:type="pct"/>
            <w:tcBorders>
              <w:top w:val="nil"/>
              <w:left w:val="nil"/>
              <w:bottom w:val="single" w:color="auto" w:sz="4" w:space="0"/>
              <w:right w:val="single" w:color="auto" w:sz="4" w:space="0"/>
            </w:tcBorders>
            <w:noWrap w:val="0"/>
            <w:vAlign w:val="center"/>
          </w:tcPr>
          <w:p w14:paraId="156DACE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一项不符合扣</w:t>
            </w:r>
            <w:r>
              <w:rPr>
                <w:rFonts w:hint="default"/>
                <w:color w:val="auto"/>
                <w:highlight w:val="none"/>
              </w:rPr>
              <w:t>2</w:t>
            </w:r>
            <w:r>
              <w:rPr>
                <w:rFonts w:hint="eastAsia"/>
                <w:color w:val="auto"/>
                <w:highlight w:val="none"/>
              </w:rPr>
              <w:t>分</w:t>
            </w:r>
          </w:p>
        </w:tc>
        <w:tc>
          <w:tcPr>
            <w:tcW w:w="339" w:type="pct"/>
            <w:tcBorders>
              <w:top w:val="nil"/>
              <w:left w:val="nil"/>
              <w:bottom w:val="single" w:color="auto" w:sz="4" w:space="0"/>
              <w:right w:val="single" w:color="auto" w:sz="4" w:space="0"/>
            </w:tcBorders>
            <w:noWrap w:val="0"/>
            <w:vAlign w:val="center"/>
          </w:tcPr>
          <w:p w14:paraId="25329D09">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2F9369F2">
            <w:pPr>
              <w:keepNext w:val="0"/>
              <w:keepLines w:val="0"/>
              <w:suppressLineNumbers w:val="0"/>
              <w:spacing w:before="0" w:beforeAutospacing="0" w:after="0" w:afterAutospacing="0"/>
              <w:ind w:left="0" w:right="0"/>
              <w:rPr>
                <w:rFonts w:hint="default"/>
                <w:color w:val="auto"/>
                <w:highlight w:val="none"/>
              </w:rPr>
            </w:pPr>
          </w:p>
        </w:tc>
      </w:tr>
      <w:tr w14:paraId="151B0C6D">
        <w:tblPrEx>
          <w:tblCellMar>
            <w:top w:w="0" w:type="dxa"/>
            <w:left w:w="108" w:type="dxa"/>
            <w:bottom w:w="0" w:type="dxa"/>
            <w:right w:w="108" w:type="dxa"/>
          </w:tblCellMar>
        </w:tblPrEx>
        <w:trPr>
          <w:trHeight w:val="4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08D71BA">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nil"/>
              <w:bottom w:val="single" w:color="auto" w:sz="4" w:space="0"/>
              <w:right w:val="single" w:color="auto" w:sz="4" w:space="0"/>
            </w:tcBorders>
            <w:noWrap w:val="0"/>
            <w:vAlign w:val="center"/>
          </w:tcPr>
          <w:p w14:paraId="2E60297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交接班手续完备，记录清楚，交接事项清楚。</w:t>
            </w:r>
          </w:p>
        </w:tc>
        <w:tc>
          <w:tcPr>
            <w:tcW w:w="289" w:type="pct"/>
            <w:tcBorders>
              <w:top w:val="nil"/>
              <w:left w:val="nil"/>
              <w:bottom w:val="single" w:color="auto" w:sz="4" w:space="0"/>
              <w:right w:val="single" w:color="auto" w:sz="4" w:space="0"/>
            </w:tcBorders>
            <w:noWrap w:val="0"/>
            <w:vAlign w:val="center"/>
          </w:tcPr>
          <w:p w14:paraId="39E65202">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3</w:t>
            </w:r>
          </w:p>
        </w:tc>
        <w:tc>
          <w:tcPr>
            <w:tcW w:w="1243" w:type="pct"/>
            <w:tcBorders>
              <w:top w:val="nil"/>
              <w:left w:val="nil"/>
              <w:bottom w:val="single" w:color="auto" w:sz="4" w:space="0"/>
              <w:right w:val="single" w:color="auto" w:sz="4" w:space="0"/>
            </w:tcBorders>
            <w:noWrap w:val="0"/>
            <w:vAlign w:val="center"/>
          </w:tcPr>
          <w:p w14:paraId="71A03FE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不符合不得分</w:t>
            </w:r>
          </w:p>
        </w:tc>
        <w:tc>
          <w:tcPr>
            <w:tcW w:w="339" w:type="pct"/>
            <w:tcBorders>
              <w:top w:val="nil"/>
              <w:left w:val="nil"/>
              <w:bottom w:val="single" w:color="auto" w:sz="4" w:space="0"/>
              <w:right w:val="single" w:color="auto" w:sz="4" w:space="0"/>
            </w:tcBorders>
            <w:noWrap w:val="0"/>
            <w:vAlign w:val="center"/>
          </w:tcPr>
          <w:p w14:paraId="2271BCC8">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16E039CD">
            <w:pPr>
              <w:keepNext w:val="0"/>
              <w:keepLines w:val="0"/>
              <w:suppressLineNumbers w:val="0"/>
              <w:spacing w:before="0" w:beforeAutospacing="0" w:after="0" w:afterAutospacing="0"/>
              <w:ind w:left="0" w:right="0"/>
              <w:rPr>
                <w:rFonts w:hint="default"/>
                <w:color w:val="auto"/>
                <w:highlight w:val="none"/>
              </w:rPr>
            </w:pPr>
          </w:p>
        </w:tc>
      </w:tr>
      <w:tr w14:paraId="1149CC04">
        <w:tblPrEx>
          <w:tblCellMar>
            <w:top w:w="0" w:type="dxa"/>
            <w:left w:w="108" w:type="dxa"/>
            <w:bottom w:w="0" w:type="dxa"/>
            <w:right w:w="108" w:type="dxa"/>
          </w:tblCellMar>
        </w:tblPrEx>
        <w:trPr>
          <w:trHeight w:val="61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794F97D">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nil"/>
              <w:bottom w:val="single" w:color="auto" w:sz="4" w:space="0"/>
              <w:right w:val="single" w:color="auto" w:sz="4" w:space="0"/>
            </w:tcBorders>
            <w:noWrap w:val="0"/>
            <w:vAlign w:val="center"/>
          </w:tcPr>
          <w:p w14:paraId="586172A5">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警用器械完好、齐全。</w:t>
            </w:r>
          </w:p>
        </w:tc>
        <w:tc>
          <w:tcPr>
            <w:tcW w:w="289" w:type="pct"/>
            <w:tcBorders>
              <w:top w:val="nil"/>
              <w:left w:val="nil"/>
              <w:bottom w:val="single" w:color="auto" w:sz="4" w:space="0"/>
              <w:right w:val="single" w:color="auto" w:sz="4" w:space="0"/>
            </w:tcBorders>
            <w:noWrap w:val="0"/>
            <w:vAlign w:val="center"/>
          </w:tcPr>
          <w:p w14:paraId="617C5F78">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3</w:t>
            </w:r>
          </w:p>
        </w:tc>
        <w:tc>
          <w:tcPr>
            <w:tcW w:w="1243" w:type="pct"/>
            <w:tcBorders>
              <w:top w:val="nil"/>
              <w:left w:val="nil"/>
              <w:bottom w:val="single" w:color="auto" w:sz="4" w:space="0"/>
              <w:right w:val="single" w:color="auto" w:sz="4" w:space="0"/>
            </w:tcBorders>
            <w:noWrap w:val="0"/>
            <w:vAlign w:val="center"/>
          </w:tcPr>
          <w:p w14:paraId="4054DBA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不符合不得分</w:t>
            </w:r>
          </w:p>
        </w:tc>
        <w:tc>
          <w:tcPr>
            <w:tcW w:w="339" w:type="pct"/>
            <w:tcBorders>
              <w:top w:val="nil"/>
              <w:left w:val="nil"/>
              <w:bottom w:val="single" w:color="auto" w:sz="4" w:space="0"/>
              <w:right w:val="single" w:color="auto" w:sz="4" w:space="0"/>
            </w:tcBorders>
            <w:noWrap w:val="0"/>
            <w:vAlign w:val="center"/>
          </w:tcPr>
          <w:p w14:paraId="6A4A3D98">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nil"/>
              <w:left w:val="nil"/>
              <w:bottom w:val="single" w:color="auto" w:sz="4" w:space="0"/>
              <w:right w:val="single" w:color="auto" w:sz="4" w:space="0"/>
            </w:tcBorders>
            <w:noWrap w:val="0"/>
            <w:vAlign w:val="center"/>
          </w:tcPr>
          <w:p w14:paraId="457BE330">
            <w:pPr>
              <w:keepNext w:val="0"/>
              <w:keepLines w:val="0"/>
              <w:suppressLineNumbers w:val="0"/>
              <w:spacing w:before="0" w:beforeAutospacing="0" w:after="0" w:afterAutospacing="0"/>
              <w:ind w:left="0" w:right="0"/>
              <w:rPr>
                <w:rFonts w:hint="default"/>
                <w:color w:val="auto"/>
                <w:highlight w:val="none"/>
              </w:rPr>
            </w:pPr>
          </w:p>
        </w:tc>
      </w:tr>
      <w:tr w14:paraId="22F0365C">
        <w:tblPrEx>
          <w:tblCellMar>
            <w:top w:w="0" w:type="dxa"/>
            <w:left w:w="108" w:type="dxa"/>
            <w:bottom w:w="0" w:type="dxa"/>
            <w:right w:w="108" w:type="dxa"/>
          </w:tblCellMar>
        </w:tblPrEx>
        <w:trPr>
          <w:trHeight w:val="75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912E7E">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single" w:color="auto" w:sz="4" w:space="0"/>
              <w:left w:val="single" w:color="auto" w:sz="4" w:space="0"/>
              <w:bottom w:val="single" w:color="auto" w:sz="4" w:space="0"/>
              <w:right w:val="single" w:color="auto" w:sz="4" w:space="0"/>
            </w:tcBorders>
            <w:noWrap w:val="0"/>
            <w:vAlign w:val="center"/>
          </w:tcPr>
          <w:p w14:paraId="248DA9CB">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发生紧急情况能积极应对（及时报告、处理得当）。</w:t>
            </w:r>
          </w:p>
        </w:tc>
        <w:tc>
          <w:tcPr>
            <w:tcW w:w="289" w:type="pct"/>
            <w:tcBorders>
              <w:top w:val="single" w:color="auto" w:sz="4" w:space="0"/>
              <w:left w:val="nil"/>
              <w:bottom w:val="single" w:color="auto" w:sz="4" w:space="0"/>
              <w:right w:val="single" w:color="auto" w:sz="4" w:space="0"/>
            </w:tcBorders>
            <w:noWrap w:val="0"/>
            <w:vAlign w:val="center"/>
          </w:tcPr>
          <w:p w14:paraId="4FD1EDD5">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5</w:t>
            </w:r>
          </w:p>
        </w:tc>
        <w:tc>
          <w:tcPr>
            <w:tcW w:w="1243" w:type="pct"/>
            <w:tcBorders>
              <w:top w:val="single" w:color="auto" w:sz="4" w:space="0"/>
              <w:left w:val="nil"/>
              <w:bottom w:val="single" w:color="auto" w:sz="4" w:space="0"/>
              <w:right w:val="single" w:color="auto" w:sz="4" w:space="0"/>
            </w:tcBorders>
            <w:noWrap w:val="0"/>
            <w:vAlign w:val="center"/>
          </w:tcPr>
          <w:p w14:paraId="16D53E9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应对不及时、处理不当不得分。</w:t>
            </w:r>
          </w:p>
        </w:tc>
        <w:tc>
          <w:tcPr>
            <w:tcW w:w="339" w:type="pct"/>
            <w:tcBorders>
              <w:top w:val="single" w:color="auto" w:sz="4" w:space="0"/>
              <w:left w:val="nil"/>
              <w:bottom w:val="single" w:color="auto" w:sz="4" w:space="0"/>
              <w:right w:val="single" w:color="auto" w:sz="4" w:space="0"/>
            </w:tcBorders>
            <w:noWrap w:val="0"/>
            <w:vAlign w:val="center"/>
          </w:tcPr>
          <w:p w14:paraId="6DCB3737">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single" w:color="auto" w:sz="4" w:space="0"/>
              <w:left w:val="nil"/>
              <w:bottom w:val="single" w:color="auto" w:sz="4" w:space="0"/>
              <w:right w:val="single" w:color="auto" w:sz="4" w:space="0"/>
            </w:tcBorders>
            <w:noWrap w:val="0"/>
            <w:vAlign w:val="center"/>
          </w:tcPr>
          <w:p w14:paraId="2DF685A3">
            <w:pPr>
              <w:keepNext w:val="0"/>
              <w:keepLines w:val="0"/>
              <w:suppressLineNumbers w:val="0"/>
              <w:spacing w:before="0" w:beforeAutospacing="0" w:after="0" w:afterAutospacing="0"/>
              <w:ind w:left="0" w:right="0"/>
              <w:rPr>
                <w:rFonts w:hint="default"/>
                <w:color w:val="auto"/>
                <w:highlight w:val="none"/>
              </w:rPr>
            </w:pPr>
          </w:p>
        </w:tc>
      </w:tr>
      <w:tr w14:paraId="3BD671B0">
        <w:tblPrEx>
          <w:tblCellMar>
            <w:top w:w="0" w:type="dxa"/>
            <w:left w:w="108" w:type="dxa"/>
            <w:bottom w:w="0" w:type="dxa"/>
            <w:right w:w="108" w:type="dxa"/>
          </w:tblCellMar>
        </w:tblPrEx>
        <w:trPr>
          <w:trHeight w:val="435" w:hRule="atLeast"/>
          <w:jc w:val="center"/>
        </w:trPr>
        <w:tc>
          <w:tcPr>
            <w:tcW w:w="428" w:type="pct"/>
            <w:vMerge w:val="restart"/>
            <w:tcBorders>
              <w:top w:val="single" w:color="auto" w:sz="4" w:space="0"/>
              <w:left w:val="single" w:color="auto" w:sz="4" w:space="0"/>
              <w:bottom w:val="single" w:color="auto" w:sz="4" w:space="0"/>
              <w:right w:val="single" w:color="auto" w:sz="4" w:space="0"/>
            </w:tcBorders>
            <w:noWrap w:val="0"/>
            <w:vAlign w:val="center"/>
          </w:tcPr>
          <w:p w14:paraId="5303ED9C">
            <w:pPr>
              <w:keepNext w:val="0"/>
              <w:keepLines w:val="0"/>
              <w:suppressLineNumbers w:val="0"/>
              <w:spacing w:before="0" w:beforeAutospacing="0" w:after="0" w:afterAutospacing="0"/>
              <w:ind w:left="0" w:right="0"/>
              <w:rPr>
                <w:rFonts w:hint="default"/>
                <w:color w:val="auto"/>
                <w:highlight w:val="none"/>
              </w:rPr>
            </w:pPr>
          </w:p>
          <w:p w14:paraId="0B816B63">
            <w:pPr>
              <w:keepNext w:val="0"/>
              <w:keepLines w:val="0"/>
              <w:suppressLineNumbers w:val="0"/>
              <w:spacing w:before="0" w:beforeAutospacing="0" w:after="0" w:afterAutospacing="0"/>
              <w:ind w:left="0" w:right="0"/>
              <w:rPr>
                <w:rFonts w:hint="default"/>
                <w:color w:val="auto"/>
                <w:highlight w:val="none"/>
              </w:rPr>
            </w:pPr>
          </w:p>
          <w:p w14:paraId="1480824B">
            <w:pPr>
              <w:keepNext w:val="0"/>
              <w:keepLines w:val="0"/>
              <w:suppressLineNumbers w:val="0"/>
              <w:spacing w:before="0" w:beforeAutospacing="0" w:after="0" w:afterAutospacing="0"/>
              <w:ind w:left="0" w:right="0"/>
              <w:rPr>
                <w:rFonts w:hint="default"/>
                <w:color w:val="auto"/>
                <w:highlight w:val="none"/>
              </w:rPr>
            </w:pPr>
          </w:p>
          <w:p w14:paraId="288B0624">
            <w:pPr>
              <w:keepNext w:val="0"/>
              <w:keepLines w:val="0"/>
              <w:suppressLineNumbers w:val="0"/>
              <w:spacing w:before="0" w:beforeAutospacing="0" w:after="0" w:afterAutospacing="0"/>
              <w:ind w:left="0" w:right="0"/>
              <w:rPr>
                <w:rFonts w:hint="default"/>
                <w:color w:val="auto"/>
                <w:highlight w:val="none"/>
              </w:rPr>
            </w:pPr>
          </w:p>
          <w:p w14:paraId="43DB933A">
            <w:pPr>
              <w:keepNext w:val="0"/>
              <w:keepLines w:val="0"/>
              <w:suppressLineNumbers w:val="0"/>
              <w:spacing w:before="0" w:beforeAutospacing="0" w:after="0" w:afterAutospacing="0"/>
              <w:ind w:left="0" w:right="0"/>
              <w:rPr>
                <w:rFonts w:hint="default"/>
                <w:color w:val="auto"/>
                <w:highlight w:val="none"/>
              </w:rPr>
            </w:pPr>
          </w:p>
          <w:p w14:paraId="3EA6702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保洁管理（</w:t>
            </w:r>
            <w:r>
              <w:rPr>
                <w:rFonts w:hint="default"/>
                <w:color w:val="auto"/>
                <w:highlight w:val="none"/>
              </w:rPr>
              <w:t>30</w:t>
            </w:r>
            <w:r>
              <w:rPr>
                <w:rFonts w:hint="eastAsia"/>
                <w:color w:val="auto"/>
                <w:highlight w:val="none"/>
              </w:rPr>
              <w:t>分）</w:t>
            </w:r>
          </w:p>
          <w:p w14:paraId="7D8677A3">
            <w:pPr>
              <w:keepNext w:val="0"/>
              <w:keepLines w:val="0"/>
              <w:suppressLineNumbers w:val="0"/>
              <w:spacing w:before="0" w:beforeAutospacing="0" w:after="0" w:afterAutospacing="0"/>
              <w:ind w:left="0" w:right="0"/>
              <w:rPr>
                <w:rFonts w:hint="default"/>
                <w:color w:val="auto"/>
                <w:highlight w:val="none"/>
              </w:rPr>
            </w:pPr>
          </w:p>
          <w:p w14:paraId="7F10D583">
            <w:pPr>
              <w:keepNext w:val="0"/>
              <w:keepLines w:val="0"/>
              <w:suppressLineNumbers w:val="0"/>
              <w:spacing w:before="0" w:beforeAutospacing="0" w:after="0" w:afterAutospacing="0"/>
              <w:ind w:left="0" w:right="0"/>
              <w:rPr>
                <w:rFonts w:hint="default"/>
                <w:color w:val="auto"/>
                <w:highlight w:val="none"/>
              </w:rPr>
            </w:pPr>
          </w:p>
          <w:p w14:paraId="50310595">
            <w:pPr>
              <w:keepNext w:val="0"/>
              <w:keepLines w:val="0"/>
              <w:suppressLineNumbers w:val="0"/>
              <w:spacing w:before="0" w:beforeAutospacing="0" w:after="0" w:afterAutospacing="0"/>
              <w:ind w:left="0" w:right="0"/>
              <w:rPr>
                <w:rFonts w:hint="default"/>
                <w:color w:val="auto"/>
                <w:highlight w:val="none"/>
              </w:rPr>
            </w:pPr>
          </w:p>
          <w:p w14:paraId="45C39E4B">
            <w:pPr>
              <w:keepNext w:val="0"/>
              <w:keepLines w:val="0"/>
              <w:suppressLineNumbers w:val="0"/>
              <w:spacing w:before="0" w:beforeAutospacing="0" w:after="0" w:afterAutospacing="0"/>
              <w:ind w:left="0" w:right="0"/>
              <w:rPr>
                <w:rFonts w:hint="default"/>
                <w:color w:val="auto"/>
                <w:highlight w:val="none"/>
              </w:rPr>
            </w:pPr>
          </w:p>
          <w:p w14:paraId="5BB25701">
            <w:pPr>
              <w:keepNext w:val="0"/>
              <w:keepLines w:val="0"/>
              <w:suppressLineNumbers w:val="0"/>
              <w:spacing w:before="0" w:beforeAutospacing="0" w:after="0" w:afterAutospacing="0"/>
              <w:ind w:left="0" w:right="0"/>
              <w:rPr>
                <w:rFonts w:hint="default"/>
                <w:color w:val="auto"/>
                <w:highlight w:val="none"/>
              </w:rPr>
            </w:pPr>
          </w:p>
          <w:p w14:paraId="507256C5">
            <w:pPr>
              <w:keepNext w:val="0"/>
              <w:keepLines w:val="0"/>
              <w:suppressLineNumbers w:val="0"/>
              <w:spacing w:before="0" w:beforeAutospacing="0" w:after="0" w:afterAutospacing="0"/>
              <w:ind w:left="0" w:right="0"/>
              <w:rPr>
                <w:rFonts w:hint="default"/>
                <w:color w:val="auto"/>
                <w:highlight w:val="none"/>
              </w:rPr>
            </w:pPr>
          </w:p>
          <w:p w14:paraId="64C2CF5C">
            <w:pPr>
              <w:keepNext w:val="0"/>
              <w:keepLines w:val="0"/>
              <w:suppressLineNumbers w:val="0"/>
              <w:spacing w:before="0" w:beforeAutospacing="0" w:after="0" w:afterAutospacing="0"/>
              <w:ind w:left="0" w:right="0"/>
              <w:rPr>
                <w:rFonts w:hint="default"/>
                <w:color w:val="auto"/>
                <w:highlight w:val="none"/>
              </w:rPr>
            </w:pPr>
          </w:p>
          <w:p w14:paraId="292794E4">
            <w:pPr>
              <w:keepNext w:val="0"/>
              <w:keepLines w:val="0"/>
              <w:suppressLineNumbers w:val="0"/>
              <w:spacing w:before="0" w:beforeAutospacing="0" w:after="0" w:afterAutospacing="0"/>
              <w:ind w:left="0" w:right="0"/>
              <w:rPr>
                <w:rFonts w:hint="default"/>
                <w:color w:val="auto"/>
                <w:highlight w:val="none"/>
              </w:rPr>
            </w:pPr>
          </w:p>
          <w:p w14:paraId="2AB3BD24">
            <w:pPr>
              <w:keepNext w:val="0"/>
              <w:keepLines w:val="0"/>
              <w:suppressLineNumbers w:val="0"/>
              <w:spacing w:before="0" w:beforeAutospacing="0" w:after="0" w:afterAutospacing="0"/>
              <w:ind w:left="0" w:right="0"/>
              <w:rPr>
                <w:rFonts w:hint="default"/>
                <w:color w:val="auto"/>
                <w:highlight w:val="none"/>
              </w:rPr>
            </w:pPr>
          </w:p>
          <w:p w14:paraId="3540A385">
            <w:pPr>
              <w:keepNext w:val="0"/>
              <w:keepLines w:val="0"/>
              <w:suppressLineNumbers w:val="0"/>
              <w:spacing w:before="0" w:beforeAutospacing="0" w:after="0" w:afterAutospacing="0"/>
              <w:ind w:left="0" w:right="0"/>
              <w:rPr>
                <w:rFonts w:hint="default"/>
                <w:color w:val="auto"/>
                <w:highlight w:val="none"/>
              </w:rPr>
            </w:pPr>
          </w:p>
          <w:p w14:paraId="24E1999C">
            <w:pPr>
              <w:keepNext w:val="0"/>
              <w:keepLines w:val="0"/>
              <w:suppressLineNumbers w:val="0"/>
              <w:spacing w:before="0" w:beforeAutospacing="0" w:after="0" w:afterAutospacing="0"/>
              <w:ind w:left="0" w:right="0"/>
              <w:rPr>
                <w:rFonts w:hint="default"/>
                <w:color w:val="auto"/>
                <w:highlight w:val="none"/>
              </w:rPr>
            </w:pPr>
          </w:p>
          <w:p w14:paraId="28822D77">
            <w:pPr>
              <w:keepNext w:val="0"/>
              <w:keepLines w:val="0"/>
              <w:suppressLineNumbers w:val="0"/>
              <w:spacing w:before="0" w:beforeAutospacing="0" w:after="0" w:afterAutospacing="0"/>
              <w:ind w:left="0" w:right="0"/>
              <w:rPr>
                <w:rFonts w:hint="default"/>
                <w:color w:val="auto"/>
                <w:highlight w:val="none"/>
              </w:rPr>
            </w:pPr>
          </w:p>
        </w:tc>
        <w:tc>
          <w:tcPr>
            <w:tcW w:w="2281" w:type="pct"/>
            <w:tcBorders>
              <w:top w:val="single" w:color="auto" w:sz="4" w:space="0"/>
              <w:left w:val="single" w:color="auto" w:sz="4" w:space="0"/>
              <w:bottom w:val="single" w:color="auto" w:sz="4" w:space="0"/>
              <w:right w:val="single" w:color="auto" w:sz="4" w:space="0"/>
            </w:tcBorders>
            <w:noWrap w:val="0"/>
            <w:vAlign w:val="center"/>
          </w:tcPr>
          <w:p w14:paraId="4F85F31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环卫设施齐全，摆放合理。</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71E76472">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2</w:t>
            </w:r>
          </w:p>
        </w:tc>
        <w:tc>
          <w:tcPr>
            <w:tcW w:w="1243" w:type="pct"/>
            <w:tcBorders>
              <w:top w:val="single" w:color="auto" w:sz="4" w:space="0"/>
              <w:left w:val="nil"/>
              <w:bottom w:val="single" w:color="auto" w:sz="4" w:space="0"/>
              <w:right w:val="single" w:color="auto" w:sz="4" w:space="0"/>
            </w:tcBorders>
            <w:noWrap w:val="0"/>
            <w:vAlign w:val="center"/>
          </w:tcPr>
          <w:p w14:paraId="22DD079B">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1</w:t>
            </w:r>
            <w:r>
              <w:rPr>
                <w:rFonts w:hint="eastAsia"/>
                <w:color w:val="auto"/>
                <w:highlight w:val="none"/>
              </w:rPr>
              <w:t>项不符扣</w:t>
            </w:r>
            <w:r>
              <w:rPr>
                <w:rFonts w:hint="default"/>
                <w:color w:val="auto"/>
                <w:highlight w:val="none"/>
              </w:rPr>
              <w:t>1</w:t>
            </w:r>
            <w:r>
              <w:rPr>
                <w:rFonts w:hint="eastAsia"/>
                <w:color w:val="auto"/>
                <w:highlight w:val="none"/>
              </w:rPr>
              <w:t>分</w:t>
            </w:r>
          </w:p>
        </w:tc>
        <w:tc>
          <w:tcPr>
            <w:tcW w:w="339" w:type="pct"/>
            <w:tcBorders>
              <w:top w:val="single" w:color="auto" w:sz="4" w:space="0"/>
              <w:left w:val="nil"/>
              <w:bottom w:val="single" w:color="auto" w:sz="4" w:space="0"/>
              <w:right w:val="single" w:color="auto" w:sz="4" w:space="0"/>
            </w:tcBorders>
            <w:noWrap w:val="0"/>
            <w:vAlign w:val="center"/>
          </w:tcPr>
          <w:p w14:paraId="001832BA">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c>
          <w:tcPr>
            <w:tcW w:w="417" w:type="pct"/>
            <w:tcBorders>
              <w:top w:val="single" w:color="auto" w:sz="4" w:space="0"/>
              <w:left w:val="nil"/>
              <w:bottom w:val="single" w:color="auto" w:sz="4" w:space="0"/>
              <w:right w:val="single" w:color="auto" w:sz="4" w:space="0"/>
            </w:tcBorders>
            <w:noWrap w:val="0"/>
            <w:vAlign w:val="center"/>
          </w:tcPr>
          <w:p w14:paraId="7D62A78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r>
      <w:tr w14:paraId="622EA6C6">
        <w:tblPrEx>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0575004">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single" w:color="auto" w:sz="4" w:space="0"/>
              <w:left w:val="nil"/>
              <w:bottom w:val="single" w:color="auto" w:sz="4" w:space="0"/>
              <w:right w:val="single" w:color="auto" w:sz="4" w:space="0"/>
            </w:tcBorders>
            <w:noWrap w:val="0"/>
            <w:vAlign w:val="center"/>
          </w:tcPr>
          <w:p w14:paraId="498A6CEC">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室外区域：路面、屋顶、露台、凉亭、花坛、指示牌、草皮灯、消防栓、道闸、绿化带等，每天至少打扫、清理</w:t>
            </w:r>
            <w:r>
              <w:rPr>
                <w:rFonts w:hint="default"/>
                <w:color w:val="auto"/>
                <w:highlight w:val="none"/>
              </w:rPr>
              <w:t>1</w:t>
            </w:r>
            <w:r>
              <w:rPr>
                <w:rFonts w:hint="eastAsia"/>
                <w:color w:val="auto"/>
                <w:highlight w:val="none"/>
              </w:rPr>
              <w:t>次，保持无污渍、水渍，无明显灰尘、蛛网，无纸屑、烟头、等废弃物。天沟、井道、排水沟保持畅通。</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7D353923">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6</w:t>
            </w:r>
          </w:p>
        </w:tc>
        <w:tc>
          <w:tcPr>
            <w:tcW w:w="1243" w:type="pct"/>
            <w:tcBorders>
              <w:top w:val="single" w:color="auto" w:sz="4" w:space="0"/>
              <w:left w:val="nil"/>
              <w:bottom w:val="single" w:color="auto" w:sz="4" w:space="0"/>
              <w:right w:val="single" w:color="auto" w:sz="4" w:space="0"/>
            </w:tcBorders>
            <w:noWrap w:val="0"/>
            <w:vAlign w:val="center"/>
          </w:tcPr>
          <w:p w14:paraId="3D137BA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每发现</w:t>
            </w:r>
            <w:r>
              <w:rPr>
                <w:rFonts w:hint="default"/>
                <w:color w:val="auto"/>
                <w:highlight w:val="none"/>
              </w:rPr>
              <w:t>1</w:t>
            </w:r>
            <w:r>
              <w:rPr>
                <w:rFonts w:hint="eastAsia"/>
                <w:color w:val="auto"/>
                <w:highlight w:val="none"/>
              </w:rPr>
              <w:t>项不符扣</w:t>
            </w:r>
            <w:r>
              <w:rPr>
                <w:rFonts w:hint="default"/>
                <w:color w:val="auto"/>
                <w:highlight w:val="none"/>
              </w:rPr>
              <w:t>1</w:t>
            </w:r>
            <w:r>
              <w:rPr>
                <w:rFonts w:hint="eastAsia"/>
                <w:color w:val="auto"/>
                <w:highlight w:val="none"/>
              </w:rPr>
              <w:t>分，扣完为止。</w:t>
            </w:r>
          </w:p>
        </w:tc>
        <w:tc>
          <w:tcPr>
            <w:tcW w:w="339" w:type="pct"/>
            <w:tcBorders>
              <w:top w:val="single" w:color="auto" w:sz="4" w:space="0"/>
              <w:left w:val="nil"/>
              <w:bottom w:val="single" w:color="auto" w:sz="4" w:space="0"/>
              <w:right w:val="single" w:color="auto" w:sz="4" w:space="0"/>
            </w:tcBorders>
            <w:noWrap w:val="0"/>
            <w:vAlign w:val="center"/>
          </w:tcPr>
          <w:p w14:paraId="7854BA0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c>
          <w:tcPr>
            <w:tcW w:w="417" w:type="pct"/>
            <w:tcBorders>
              <w:top w:val="single" w:color="auto" w:sz="4" w:space="0"/>
              <w:left w:val="nil"/>
              <w:bottom w:val="single" w:color="auto" w:sz="4" w:space="0"/>
              <w:right w:val="single" w:color="auto" w:sz="4" w:space="0"/>
            </w:tcBorders>
            <w:noWrap w:val="0"/>
            <w:vAlign w:val="center"/>
          </w:tcPr>
          <w:p w14:paraId="18DDCE66">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r>
      <w:tr w14:paraId="7257D5B5">
        <w:tblPrEx>
          <w:tblCellMar>
            <w:top w:w="0" w:type="dxa"/>
            <w:left w:w="108" w:type="dxa"/>
            <w:bottom w:w="0" w:type="dxa"/>
            <w:right w:w="108" w:type="dxa"/>
          </w:tblCellMar>
        </w:tblPrEx>
        <w:trPr>
          <w:trHeight w:val="143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A07FA8">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nil"/>
              <w:bottom w:val="single" w:color="auto" w:sz="4" w:space="0"/>
              <w:right w:val="single" w:color="auto" w:sz="4" w:space="0"/>
            </w:tcBorders>
            <w:noWrap w:val="0"/>
            <w:vAlign w:val="center"/>
          </w:tcPr>
          <w:p w14:paraId="2D8E3AD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室内区域：墙地面、天花顶、楼梯扶手（栏杆）、门窗、灯具、开关、消防栓、各类机柜等无污渍、水渍，无灰尘、无蜘蛛网等</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2A13A484">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6</w:t>
            </w:r>
          </w:p>
        </w:tc>
        <w:tc>
          <w:tcPr>
            <w:tcW w:w="1243" w:type="pct"/>
            <w:tcBorders>
              <w:top w:val="nil"/>
              <w:left w:val="nil"/>
              <w:bottom w:val="single" w:color="auto" w:sz="4" w:space="0"/>
              <w:right w:val="single" w:color="auto" w:sz="4" w:space="0"/>
            </w:tcBorders>
            <w:noWrap w:val="0"/>
            <w:vAlign w:val="center"/>
          </w:tcPr>
          <w:p w14:paraId="6251788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每发现</w:t>
            </w:r>
            <w:r>
              <w:rPr>
                <w:rFonts w:hint="default"/>
                <w:color w:val="auto"/>
                <w:highlight w:val="none"/>
              </w:rPr>
              <w:t>1</w:t>
            </w:r>
            <w:r>
              <w:rPr>
                <w:rFonts w:hint="eastAsia"/>
                <w:color w:val="auto"/>
                <w:highlight w:val="none"/>
              </w:rPr>
              <w:t>项不符扣</w:t>
            </w:r>
            <w:r>
              <w:rPr>
                <w:rFonts w:hint="default"/>
                <w:color w:val="auto"/>
                <w:highlight w:val="none"/>
              </w:rPr>
              <w:t>1</w:t>
            </w:r>
            <w:r>
              <w:rPr>
                <w:rFonts w:hint="eastAsia"/>
                <w:color w:val="auto"/>
                <w:highlight w:val="none"/>
              </w:rPr>
              <w:t>分，扣完为止。</w:t>
            </w:r>
          </w:p>
        </w:tc>
        <w:tc>
          <w:tcPr>
            <w:tcW w:w="339" w:type="pct"/>
            <w:tcBorders>
              <w:top w:val="nil"/>
              <w:left w:val="nil"/>
              <w:bottom w:val="single" w:color="auto" w:sz="4" w:space="0"/>
              <w:right w:val="single" w:color="auto" w:sz="4" w:space="0"/>
            </w:tcBorders>
            <w:noWrap w:val="0"/>
            <w:vAlign w:val="center"/>
          </w:tcPr>
          <w:p w14:paraId="1AD84DA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c>
          <w:tcPr>
            <w:tcW w:w="417" w:type="pct"/>
            <w:tcBorders>
              <w:top w:val="nil"/>
              <w:left w:val="nil"/>
              <w:bottom w:val="single" w:color="auto" w:sz="4" w:space="0"/>
              <w:right w:val="single" w:color="auto" w:sz="4" w:space="0"/>
            </w:tcBorders>
            <w:noWrap w:val="0"/>
            <w:vAlign w:val="center"/>
          </w:tcPr>
          <w:p w14:paraId="4AD49BD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r>
      <w:tr w14:paraId="180F39F6">
        <w:tblPrEx>
          <w:tblCellMar>
            <w:top w:w="0" w:type="dxa"/>
            <w:left w:w="108" w:type="dxa"/>
            <w:bottom w:w="0" w:type="dxa"/>
            <w:right w:w="108" w:type="dxa"/>
          </w:tblCellMar>
        </w:tblPrEx>
        <w:trPr>
          <w:trHeight w:val="43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C36F4A">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single" w:color="auto" w:sz="4" w:space="0"/>
              <w:left w:val="nil"/>
              <w:bottom w:val="single" w:color="auto" w:sz="4" w:space="0"/>
              <w:right w:val="single" w:color="auto" w:sz="4" w:space="0"/>
            </w:tcBorders>
            <w:noWrap w:val="0"/>
            <w:vAlign w:val="center"/>
          </w:tcPr>
          <w:p w14:paraId="53AA2B8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卫生间：墙地面、窗台、门窗、吊顶、隔板、小便池、坐厕</w:t>
            </w:r>
            <w:r>
              <w:rPr>
                <w:rFonts w:hint="default"/>
                <w:color w:val="auto"/>
                <w:highlight w:val="none"/>
              </w:rPr>
              <w:t>(</w:t>
            </w:r>
            <w:r>
              <w:rPr>
                <w:rFonts w:hint="eastAsia"/>
                <w:color w:val="auto"/>
                <w:highlight w:val="none"/>
              </w:rPr>
              <w:t>蹲坑</w:t>
            </w:r>
            <w:r>
              <w:rPr>
                <w:rFonts w:hint="default"/>
                <w:color w:val="auto"/>
                <w:highlight w:val="none"/>
              </w:rPr>
              <w:t>)</w:t>
            </w:r>
            <w:r>
              <w:rPr>
                <w:rFonts w:hint="eastAsia"/>
                <w:color w:val="auto"/>
                <w:highlight w:val="none"/>
              </w:rPr>
              <w:t>、台盆台面、镜子、灯具开关、龙头、开水炉等，保持清洁、无异味，无污渍、水渍，无灰尘、蛛网等</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7EE25642">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5</w:t>
            </w:r>
          </w:p>
        </w:tc>
        <w:tc>
          <w:tcPr>
            <w:tcW w:w="1243" w:type="pct"/>
            <w:tcBorders>
              <w:top w:val="single" w:color="auto" w:sz="4" w:space="0"/>
              <w:left w:val="nil"/>
              <w:bottom w:val="single" w:color="auto" w:sz="4" w:space="0"/>
              <w:right w:val="single" w:color="auto" w:sz="4" w:space="0"/>
            </w:tcBorders>
            <w:noWrap w:val="0"/>
            <w:vAlign w:val="center"/>
          </w:tcPr>
          <w:p w14:paraId="128B9E4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每发现</w:t>
            </w:r>
            <w:r>
              <w:rPr>
                <w:rFonts w:hint="default"/>
                <w:color w:val="auto"/>
                <w:highlight w:val="none"/>
              </w:rPr>
              <w:t>1</w:t>
            </w:r>
            <w:r>
              <w:rPr>
                <w:rFonts w:hint="eastAsia"/>
                <w:color w:val="auto"/>
                <w:highlight w:val="none"/>
              </w:rPr>
              <w:t>项不符扣</w:t>
            </w:r>
            <w:r>
              <w:rPr>
                <w:rFonts w:hint="default"/>
                <w:color w:val="auto"/>
                <w:highlight w:val="none"/>
              </w:rPr>
              <w:t>1</w:t>
            </w:r>
            <w:r>
              <w:rPr>
                <w:rFonts w:hint="eastAsia"/>
                <w:color w:val="auto"/>
                <w:highlight w:val="none"/>
              </w:rPr>
              <w:t>分，</w:t>
            </w:r>
            <w:r>
              <w:rPr>
                <w:rFonts w:hint="default"/>
                <w:color w:val="auto"/>
                <w:highlight w:val="none"/>
              </w:rPr>
              <w:t>5</w:t>
            </w:r>
            <w:r>
              <w:rPr>
                <w:rFonts w:hint="eastAsia"/>
                <w:color w:val="auto"/>
                <w:highlight w:val="none"/>
              </w:rPr>
              <w:t>分扣完为止。</w:t>
            </w:r>
          </w:p>
        </w:tc>
        <w:tc>
          <w:tcPr>
            <w:tcW w:w="339" w:type="pct"/>
            <w:tcBorders>
              <w:top w:val="single" w:color="auto" w:sz="4" w:space="0"/>
              <w:left w:val="nil"/>
              <w:bottom w:val="single" w:color="auto" w:sz="4" w:space="0"/>
              <w:right w:val="single" w:color="auto" w:sz="4" w:space="0"/>
            </w:tcBorders>
            <w:noWrap w:val="0"/>
            <w:vAlign w:val="center"/>
          </w:tcPr>
          <w:p w14:paraId="13D76F1E">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c>
          <w:tcPr>
            <w:tcW w:w="417" w:type="pct"/>
            <w:tcBorders>
              <w:top w:val="single" w:color="auto" w:sz="4" w:space="0"/>
              <w:left w:val="nil"/>
              <w:bottom w:val="single" w:color="auto" w:sz="4" w:space="0"/>
              <w:right w:val="single" w:color="auto" w:sz="4" w:space="0"/>
            </w:tcBorders>
            <w:noWrap w:val="0"/>
            <w:vAlign w:val="center"/>
          </w:tcPr>
          <w:p w14:paraId="4789BDA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r>
      <w:tr w14:paraId="72CF6D57">
        <w:tblPrEx>
          <w:tblCellMar>
            <w:top w:w="0" w:type="dxa"/>
            <w:left w:w="108" w:type="dxa"/>
            <w:bottom w:w="0" w:type="dxa"/>
            <w:right w:w="108" w:type="dxa"/>
          </w:tblCellMar>
        </w:tblPrEx>
        <w:trPr>
          <w:trHeight w:val="124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EDC360">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single" w:color="auto" w:sz="4" w:space="0"/>
              <w:left w:val="single" w:color="auto" w:sz="4" w:space="0"/>
              <w:bottom w:val="single" w:color="auto" w:sz="4" w:space="0"/>
              <w:right w:val="single" w:color="auto" w:sz="4" w:space="0"/>
            </w:tcBorders>
            <w:noWrap w:val="0"/>
            <w:vAlign w:val="center"/>
          </w:tcPr>
          <w:p w14:paraId="5ED2582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电梯：轿厢门、轿厢壁面、灯具、按键面板保持清洁，无粉尘、无污渍、无手印；轿厢顶、地面保持清洁，无污渍、无水渍、无灰尘。</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489774B3">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3</w:t>
            </w:r>
          </w:p>
        </w:tc>
        <w:tc>
          <w:tcPr>
            <w:tcW w:w="1243" w:type="pct"/>
            <w:tcBorders>
              <w:top w:val="single" w:color="auto" w:sz="4" w:space="0"/>
              <w:left w:val="nil"/>
              <w:bottom w:val="single" w:color="auto" w:sz="4" w:space="0"/>
              <w:right w:val="single" w:color="auto" w:sz="4" w:space="0"/>
            </w:tcBorders>
            <w:noWrap w:val="0"/>
            <w:vAlign w:val="center"/>
          </w:tcPr>
          <w:p w14:paraId="63D5EAF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每发现</w:t>
            </w:r>
            <w:r>
              <w:rPr>
                <w:rFonts w:hint="default"/>
                <w:color w:val="auto"/>
                <w:highlight w:val="none"/>
              </w:rPr>
              <w:t>1</w:t>
            </w:r>
            <w:r>
              <w:rPr>
                <w:rFonts w:hint="eastAsia"/>
                <w:color w:val="auto"/>
                <w:highlight w:val="none"/>
              </w:rPr>
              <w:t>项不符扣</w:t>
            </w:r>
            <w:r>
              <w:rPr>
                <w:rFonts w:hint="default"/>
                <w:color w:val="auto"/>
                <w:highlight w:val="none"/>
              </w:rPr>
              <w:t>1</w:t>
            </w:r>
            <w:r>
              <w:rPr>
                <w:rFonts w:hint="eastAsia"/>
                <w:color w:val="auto"/>
                <w:highlight w:val="none"/>
              </w:rPr>
              <w:t>分，</w:t>
            </w:r>
            <w:r>
              <w:rPr>
                <w:rFonts w:hint="default"/>
                <w:color w:val="auto"/>
                <w:highlight w:val="none"/>
              </w:rPr>
              <w:t>3</w:t>
            </w:r>
            <w:r>
              <w:rPr>
                <w:rFonts w:hint="eastAsia"/>
                <w:color w:val="auto"/>
                <w:highlight w:val="none"/>
              </w:rPr>
              <w:t>分扣完为止。</w:t>
            </w:r>
          </w:p>
        </w:tc>
        <w:tc>
          <w:tcPr>
            <w:tcW w:w="339" w:type="pct"/>
            <w:tcBorders>
              <w:top w:val="single" w:color="auto" w:sz="4" w:space="0"/>
              <w:left w:val="nil"/>
              <w:bottom w:val="single" w:color="auto" w:sz="4" w:space="0"/>
              <w:right w:val="single" w:color="auto" w:sz="4" w:space="0"/>
            </w:tcBorders>
            <w:noWrap w:val="0"/>
            <w:vAlign w:val="center"/>
          </w:tcPr>
          <w:p w14:paraId="45B0898E">
            <w:pPr>
              <w:keepNext w:val="0"/>
              <w:keepLines w:val="0"/>
              <w:suppressLineNumbers w:val="0"/>
              <w:spacing w:before="0" w:beforeAutospacing="0" w:after="0" w:afterAutospacing="0"/>
              <w:ind w:left="0" w:right="0"/>
              <w:rPr>
                <w:rFonts w:hint="default"/>
                <w:color w:val="auto"/>
                <w:highlight w:val="none"/>
              </w:rPr>
            </w:pPr>
          </w:p>
        </w:tc>
        <w:tc>
          <w:tcPr>
            <w:tcW w:w="417" w:type="pct"/>
            <w:tcBorders>
              <w:top w:val="single" w:color="auto" w:sz="4" w:space="0"/>
              <w:left w:val="nil"/>
              <w:bottom w:val="single" w:color="auto" w:sz="4" w:space="0"/>
              <w:right w:val="single" w:color="auto" w:sz="4" w:space="0"/>
            </w:tcBorders>
            <w:noWrap w:val="0"/>
            <w:vAlign w:val="center"/>
          </w:tcPr>
          <w:p w14:paraId="3846A92C">
            <w:pPr>
              <w:keepNext w:val="0"/>
              <w:keepLines w:val="0"/>
              <w:suppressLineNumbers w:val="0"/>
              <w:spacing w:before="0" w:beforeAutospacing="0" w:after="0" w:afterAutospacing="0"/>
              <w:ind w:left="0" w:right="0"/>
              <w:rPr>
                <w:rFonts w:hint="default"/>
                <w:color w:val="auto"/>
                <w:highlight w:val="none"/>
              </w:rPr>
            </w:pPr>
          </w:p>
        </w:tc>
      </w:tr>
      <w:tr w14:paraId="3113AB36">
        <w:tblPrEx>
          <w:tblCellMar>
            <w:top w:w="0" w:type="dxa"/>
            <w:left w:w="108" w:type="dxa"/>
            <w:bottom w:w="0" w:type="dxa"/>
            <w:right w:w="108" w:type="dxa"/>
          </w:tblCellMar>
        </w:tblPrEx>
        <w:trPr>
          <w:trHeight w:val="111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BEA3EA">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nil"/>
              <w:left w:val="single" w:color="auto" w:sz="4" w:space="0"/>
              <w:bottom w:val="single" w:color="auto" w:sz="4" w:space="0"/>
              <w:right w:val="single" w:color="auto" w:sz="4" w:space="0"/>
            </w:tcBorders>
            <w:noWrap w:val="0"/>
            <w:vAlign w:val="center"/>
          </w:tcPr>
          <w:p w14:paraId="7DC3D798">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垃圾处理：按要求分类及时清理；垃圾桶不外溢；做到垃圾日产日清；保持垃圾房及垃圾桶整洁。</w:t>
            </w:r>
          </w:p>
        </w:tc>
        <w:tc>
          <w:tcPr>
            <w:tcW w:w="289" w:type="pct"/>
            <w:tcBorders>
              <w:top w:val="nil"/>
              <w:left w:val="single" w:color="auto" w:sz="4" w:space="0"/>
              <w:bottom w:val="single" w:color="auto" w:sz="4" w:space="0"/>
              <w:right w:val="single" w:color="auto" w:sz="4" w:space="0"/>
            </w:tcBorders>
            <w:noWrap w:val="0"/>
            <w:vAlign w:val="center"/>
          </w:tcPr>
          <w:p w14:paraId="1EEFC26C">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6</w:t>
            </w:r>
          </w:p>
        </w:tc>
        <w:tc>
          <w:tcPr>
            <w:tcW w:w="1243" w:type="pct"/>
            <w:tcBorders>
              <w:top w:val="nil"/>
              <w:left w:val="nil"/>
              <w:bottom w:val="single" w:color="auto" w:sz="4" w:space="0"/>
              <w:right w:val="single" w:color="auto" w:sz="4" w:space="0"/>
            </w:tcBorders>
            <w:noWrap w:val="0"/>
            <w:vAlign w:val="center"/>
          </w:tcPr>
          <w:p w14:paraId="6FC5783F">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每</w:t>
            </w:r>
            <w:r>
              <w:rPr>
                <w:rFonts w:hint="default"/>
                <w:color w:val="auto"/>
                <w:highlight w:val="none"/>
              </w:rPr>
              <w:t>1</w:t>
            </w:r>
            <w:r>
              <w:rPr>
                <w:rFonts w:hint="eastAsia"/>
                <w:color w:val="auto"/>
                <w:highlight w:val="none"/>
              </w:rPr>
              <w:t>项不符扣</w:t>
            </w:r>
            <w:r>
              <w:rPr>
                <w:rFonts w:hint="default"/>
                <w:color w:val="auto"/>
                <w:highlight w:val="none"/>
              </w:rPr>
              <w:t>2</w:t>
            </w:r>
            <w:r>
              <w:rPr>
                <w:rFonts w:hint="eastAsia"/>
                <w:color w:val="auto"/>
                <w:highlight w:val="none"/>
              </w:rPr>
              <w:t>分</w:t>
            </w:r>
          </w:p>
        </w:tc>
        <w:tc>
          <w:tcPr>
            <w:tcW w:w="339" w:type="pct"/>
            <w:tcBorders>
              <w:top w:val="nil"/>
              <w:left w:val="nil"/>
              <w:bottom w:val="single" w:color="auto" w:sz="4" w:space="0"/>
              <w:right w:val="single" w:color="auto" w:sz="4" w:space="0"/>
            </w:tcBorders>
            <w:noWrap w:val="0"/>
            <w:vAlign w:val="center"/>
          </w:tcPr>
          <w:p w14:paraId="1DC25C07">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c>
          <w:tcPr>
            <w:tcW w:w="417" w:type="pct"/>
            <w:tcBorders>
              <w:top w:val="nil"/>
              <w:left w:val="nil"/>
              <w:bottom w:val="single" w:color="auto" w:sz="4" w:space="0"/>
              <w:right w:val="single" w:color="auto" w:sz="4" w:space="0"/>
            </w:tcBorders>
            <w:noWrap w:val="0"/>
            <w:vAlign w:val="center"/>
          </w:tcPr>
          <w:p w14:paraId="02A87B5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r>
      <w:tr w14:paraId="57FEF857">
        <w:tblPrEx>
          <w:tblCellMar>
            <w:top w:w="0" w:type="dxa"/>
            <w:left w:w="108" w:type="dxa"/>
            <w:bottom w:w="0" w:type="dxa"/>
            <w:right w:w="108" w:type="dxa"/>
          </w:tblCellMar>
        </w:tblPrEx>
        <w:trPr>
          <w:trHeight w:val="4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0F6B07">
            <w:pPr>
              <w:keepNext w:val="0"/>
              <w:keepLines w:val="0"/>
              <w:widowControl/>
              <w:suppressLineNumbers w:val="0"/>
              <w:spacing w:before="0" w:beforeAutospacing="0" w:after="0" w:afterAutospacing="0"/>
              <w:ind w:left="0" w:right="0"/>
              <w:jc w:val="left"/>
              <w:rPr>
                <w:rFonts w:hint="default"/>
                <w:color w:val="auto"/>
                <w:highlight w:val="none"/>
              </w:rPr>
            </w:pPr>
          </w:p>
        </w:tc>
        <w:tc>
          <w:tcPr>
            <w:tcW w:w="2281" w:type="pct"/>
            <w:tcBorders>
              <w:top w:val="single" w:color="auto" w:sz="4" w:space="0"/>
              <w:left w:val="nil"/>
              <w:bottom w:val="single" w:color="auto" w:sz="4" w:space="0"/>
              <w:right w:val="single" w:color="auto" w:sz="4" w:space="0"/>
            </w:tcBorders>
            <w:noWrap w:val="0"/>
            <w:vAlign w:val="center"/>
          </w:tcPr>
          <w:p w14:paraId="0E5EBB64">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做好本物业的消杀工作。</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7DAFD40A">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2</w:t>
            </w:r>
          </w:p>
        </w:tc>
        <w:tc>
          <w:tcPr>
            <w:tcW w:w="1243" w:type="pct"/>
            <w:tcBorders>
              <w:top w:val="single" w:color="auto" w:sz="4" w:space="0"/>
              <w:left w:val="nil"/>
              <w:bottom w:val="single" w:color="auto" w:sz="4" w:space="0"/>
              <w:right w:val="single" w:color="auto" w:sz="4" w:space="0"/>
            </w:tcBorders>
            <w:noWrap w:val="0"/>
            <w:vAlign w:val="center"/>
          </w:tcPr>
          <w:p w14:paraId="70175299">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不符合不得分</w:t>
            </w:r>
          </w:p>
        </w:tc>
        <w:tc>
          <w:tcPr>
            <w:tcW w:w="339" w:type="pct"/>
            <w:tcBorders>
              <w:top w:val="single" w:color="auto" w:sz="4" w:space="0"/>
              <w:left w:val="nil"/>
              <w:bottom w:val="single" w:color="auto" w:sz="4" w:space="0"/>
              <w:right w:val="single" w:color="auto" w:sz="4" w:space="0"/>
            </w:tcBorders>
            <w:noWrap w:val="0"/>
            <w:vAlign w:val="center"/>
          </w:tcPr>
          <w:p w14:paraId="59C63952">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c>
          <w:tcPr>
            <w:tcW w:w="417" w:type="pct"/>
            <w:tcBorders>
              <w:top w:val="single" w:color="auto" w:sz="4" w:space="0"/>
              <w:left w:val="nil"/>
              <w:bottom w:val="single" w:color="auto" w:sz="4" w:space="0"/>
              <w:right w:val="single" w:color="auto" w:sz="4" w:space="0"/>
            </w:tcBorders>
            <w:noWrap w:val="0"/>
            <w:vAlign w:val="center"/>
          </w:tcPr>
          <w:p w14:paraId="51F245CD">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　</w:t>
            </w:r>
          </w:p>
        </w:tc>
      </w:tr>
    </w:tbl>
    <w:p w14:paraId="3DA07825">
      <w:pPr>
        <w:spacing w:line="360" w:lineRule="auto"/>
        <w:rPr>
          <w:rFonts w:ascii="仿宋" w:hAnsi="仿宋" w:eastAsia="仿宋"/>
          <w:b/>
          <w:bCs/>
          <w:color w:val="000000"/>
          <w:sz w:val="28"/>
          <w:szCs w:val="28"/>
        </w:rPr>
      </w:pPr>
    </w:p>
    <w:p w14:paraId="61156CFF">
      <w:pPr>
        <w:spacing w:line="360" w:lineRule="auto"/>
        <w:rPr>
          <w:rFonts w:hint="eastAsia" w:ascii="仿宋" w:hAnsi="仿宋" w:eastAsia="仿宋"/>
          <w:b/>
          <w:bCs/>
          <w:color w:val="000000"/>
          <w:sz w:val="28"/>
          <w:szCs w:val="28"/>
        </w:rPr>
      </w:pPr>
    </w:p>
    <w:p w14:paraId="2EE30F2D">
      <w:pPr>
        <w:spacing w:line="360" w:lineRule="auto"/>
        <w:rPr>
          <w:rFonts w:hint="eastAsia" w:ascii="仿宋" w:hAnsi="仿宋" w:eastAsia="仿宋"/>
          <w:b/>
          <w:bCs/>
          <w:color w:val="000000"/>
          <w:sz w:val="28"/>
          <w:szCs w:val="28"/>
        </w:rPr>
      </w:pPr>
    </w:p>
    <w:p w14:paraId="1B63ECB5">
      <w:pPr>
        <w:spacing w:line="360" w:lineRule="auto"/>
        <w:rPr>
          <w:rFonts w:ascii="仿宋" w:hAnsi="仿宋" w:eastAsia="仿宋"/>
          <w:b/>
          <w:bCs/>
          <w:color w:val="000000"/>
          <w:sz w:val="28"/>
          <w:szCs w:val="28"/>
        </w:rPr>
      </w:pPr>
      <w:r>
        <w:rPr>
          <w:rFonts w:hint="eastAsia" w:ascii="仿宋" w:hAnsi="仿宋" w:eastAsia="仿宋"/>
          <w:b/>
          <w:bCs/>
          <w:color w:val="000000"/>
          <w:sz w:val="28"/>
          <w:szCs w:val="28"/>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2A9F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3782E8E2">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ACA29E5">
            <w:pPr>
              <w:keepNext w:val="0"/>
              <w:keepLines w:val="0"/>
              <w:suppressLineNumbers w:val="0"/>
              <w:spacing w:before="0" w:beforeAutospacing="0" w:after="0" w:afterAutospacing="0"/>
              <w:ind w:left="0" w:right="0"/>
              <w:rPr>
                <w:rFonts w:hint="default" w:ascii="仿宋" w:hAnsi="仿宋" w:eastAsia="仿宋"/>
                <w:b/>
                <w:bCs/>
                <w:color w:val="000000"/>
                <w:sz w:val="28"/>
                <w:szCs w:val="28"/>
              </w:rPr>
            </w:pPr>
            <w:r>
              <w:rPr>
                <w:rFonts w:hint="eastAsia" w:ascii="仿宋" w:hAnsi="仿宋" w:eastAsia="仿宋"/>
                <w:b/>
                <w:bCs/>
                <w:color w:val="000000"/>
                <w:sz w:val="28"/>
                <w:szCs w:val="28"/>
              </w:rPr>
              <w:t>工期全年，最终按进场日期按实结算，成交供应商需配合采购人资金支付计划。</w:t>
            </w:r>
          </w:p>
          <w:p w14:paraId="405D5BB4">
            <w:pPr>
              <w:keepNext w:val="0"/>
              <w:keepLines w:val="0"/>
              <w:suppressLineNumbers w:val="0"/>
              <w:spacing w:before="0" w:beforeAutospacing="0" w:after="0" w:afterAutospacing="0"/>
              <w:ind w:left="0" w:right="0"/>
              <w:rPr>
                <w:rFonts w:hint="default" w:ascii="仿宋" w:hAnsi="仿宋" w:eastAsia="仿宋"/>
                <w:color w:val="000000"/>
                <w:sz w:val="28"/>
                <w:szCs w:val="28"/>
              </w:rPr>
            </w:pPr>
            <w:r>
              <w:rPr>
                <w:rFonts w:hint="eastAsia" w:ascii="仿宋" w:hAnsi="仿宋" w:eastAsia="仿宋"/>
                <w:b/>
                <w:bCs/>
                <w:color w:val="000000"/>
                <w:sz w:val="28"/>
                <w:szCs w:val="28"/>
              </w:rPr>
              <w:t>地点</w:t>
            </w:r>
            <w:r>
              <w:rPr>
                <w:rFonts w:hint="eastAsia" w:ascii="仿宋" w:hAnsi="仿宋" w:eastAsia="仿宋"/>
                <w:b/>
                <w:bCs/>
                <w:color w:val="000000"/>
                <w:sz w:val="28"/>
                <w:szCs w:val="28"/>
                <w:lang w:eastAsia="zh-CN"/>
              </w:rPr>
              <w:t>：</w:t>
            </w:r>
            <w:r>
              <w:rPr>
                <w:rFonts w:hint="eastAsia" w:ascii="仿宋" w:hAnsi="仿宋" w:eastAsia="仿宋"/>
                <w:b/>
                <w:bCs/>
                <w:color w:val="000000"/>
                <w:sz w:val="28"/>
                <w:szCs w:val="28"/>
              </w:rPr>
              <w:t>浙江省交通运输宣传与保障中心，上城区佑圣观路梅花碑</w:t>
            </w:r>
            <w:r>
              <w:rPr>
                <w:rFonts w:hint="default" w:ascii="仿宋" w:hAnsi="仿宋" w:eastAsia="仿宋"/>
                <w:b/>
                <w:bCs/>
                <w:color w:val="000000"/>
                <w:sz w:val="28"/>
                <w:szCs w:val="28"/>
              </w:rPr>
              <w:t>4</w:t>
            </w:r>
            <w:r>
              <w:rPr>
                <w:rFonts w:hint="eastAsia" w:ascii="仿宋" w:hAnsi="仿宋" w:eastAsia="仿宋"/>
                <w:b/>
                <w:bCs/>
                <w:color w:val="000000"/>
                <w:sz w:val="28"/>
                <w:szCs w:val="28"/>
              </w:rPr>
              <w:t>号</w:t>
            </w:r>
          </w:p>
        </w:tc>
      </w:tr>
      <w:tr w14:paraId="65E0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292D65D9">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18D2716">
            <w:pPr>
              <w:keepNext w:val="0"/>
              <w:keepLines w:val="0"/>
              <w:suppressLineNumbers w:val="0"/>
              <w:adjustRightInd w:val="0"/>
              <w:spacing w:before="0" w:beforeAutospacing="0" w:after="0" w:afterAutospacing="0" w:line="360" w:lineRule="auto"/>
              <w:ind w:left="0" w:right="0"/>
              <w:textAlignment w:val="baseline"/>
              <w:rPr>
                <w:rFonts w:hint="eastAsia" w:ascii="仿宋" w:hAnsi="仿宋" w:eastAsia="仿宋" w:cs="仿宋"/>
                <w:b/>
                <w:color w:val="000000"/>
                <w:sz w:val="24"/>
              </w:rPr>
            </w:pPr>
            <w:r>
              <w:rPr>
                <w:rFonts w:hint="eastAsia" w:ascii="仿宋" w:hAnsi="仿宋" w:eastAsia="仿宋" w:cs="仿宋"/>
                <w:b/>
                <w:color w:val="000000"/>
                <w:sz w:val="24"/>
              </w:rPr>
              <w:t>付款方式：合同签订后，服务费按季度支付。乙方完成当季度工作，并经甲方考核合格后，由甲方在次季度首月的15个工作日内支付上季度费用。</w:t>
            </w:r>
          </w:p>
          <w:p w14:paraId="45AE994E">
            <w:pPr>
              <w:keepNext w:val="0"/>
              <w:keepLines w:val="0"/>
              <w:suppressLineNumbers w:val="0"/>
              <w:spacing w:before="0" w:beforeAutospacing="0" w:after="0" w:afterAutospacing="0"/>
              <w:ind w:left="0" w:right="0"/>
              <w:rPr>
                <w:rFonts w:hint="eastAsia" w:ascii="仿宋" w:hAnsi="仿宋" w:eastAsia="仿宋"/>
                <w:b/>
                <w:color w:val="000000"/>
                <w:sz w:val="28"/>
                <w:szCs w:val="28"/>
                <w:lang w:eastAsia="zh-CN"/>
              </w:rPr>
            </w:pPr>
            <w:r>
              <w:rPr>
                <w:rFonts w:hint="eastAsia" w:ascii="仿宋" w:hAnsi="仿宋" w:eastAsia="仿宋" w:cs="仿宋"/>
                <w:b/>
                <w:color w:val="000000"/>
                <w:sz w:val="24"/>
              </w:rPr>
              <w:t>不需要履约保证金</w:t>
            </w:r>
            <w:r>
              <w:rPr>
                <w:rFonts w:hint="eastAsia" w:ascii="仿宋" w:hAnsi="仿宋" w:eastAsia="仿宋" w:cs="仿宋"/>
                <w:b/>
                <w:color w:val="000000"/>
                <w:sz w:val="24"/>
                <w:lang w:eastAsia="zh-CN"/>
              </w:rPr>
              <w:t>。</w:t>
            </w:r>
          </w:p>
        </w:tc>
      </w:tr>
      <w:tr w14:paraId="45A5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6C0AAC64">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EB762CE">
            <w:pPr>
              <w:keepNext w:val="0"/>
              <w:keepLines w:val="0"/>
              <w:suppressLineNumbers w:val="0"/>
              <w:spacing w:before="0" w:beforeAutospacing="0" w:after="0" w:afterAutospacing="0"/>
              <w:ind w:left="0" w:right="0"/>
              <w:rPr>
                <w:rFonts w:hint="default" w:ascii="仿宋" w:hAnsi="仿宋" w:eastAsia="仿宋"/>
                <w:color w:val="000000"/>
                <w:sz w:val="28"/>
                <w:szCs w:val="28"/>
              </w:rPr>
            </w:pPr>
            <w:r>
              <w:rPr>
                <w:rFonts w:hint="eastAsia" w:ascii="仿宋" w:hAnsi="仿宋" w:eastAsia="仿宋"/>
                <w:color w:val="000000"/>
                <w:sz w:val="28"/>
                <w:szCs w:val="28"/>
              </w:rPr>
              <w:t>无特别说明，按“第五章  浙江省政府采购合同主要条款指引”相关违约责任及争议解决方式内容。</w:t>
            </w:r>
          </w:p>
        </w:tc>
      </w:tr>
      <w:tr w14:paraId="6803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FAC427E">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售</w:t>
            </w:r>
          </w:p>
          <w:p w14:paraId="2924130A">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后</w:t>
            </w:r>
          </w:p>
          <w:p w14:paraId="502DD916">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F5B51E5">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9B882C6">
            <w:pPr>
              <w:keepNext w:val="0"/>
              <w:keepLines w:val="0"/>
              <w:suppressLineNumbers w:val="0"/>
              <w:spacing w:before="0" w:beforeAutospacing="0" w:after="0" w:afterAutospacing="0"/>
              <w:ind w:left="0" w:right="0"/>
              <w:rPr>
                <w:rFonts w:hint="default" w:ascii="仿宋" w:hAnsi="仿宋" w:eastAsia="仿宋" w:cs="仿宋_GB2312"/>
                <w:color w:val="000000"/>
                <w:sz w:val="28"/>
                <w:szCs w:val="28"/>
              </w:rPr>
            </w:pPr>
            <w:r>
              <w:rPr>
                <w:rFonts w:hint="eastAsia" w:ascii="仿宋" w:hAnsi="仿宋" w:eastAsia="仿宋" w:cs="仿宋_GB2312"/>
                <w:color w:val="000000"/>
                <w:sz w:val="28"/>
                <w:szCs w:val="28"/>
              </w:rPr>
              <w:t>物业员工应身体健康，发现员工因身体健康原因不能承担工作任务，要及时向采购人报告并更换，不得隐瞒员工身体情况，以免工作期间发生意外。</w:t>
            </w:r>
          </w:p>
        </w:tc>
      </w:tr>
      <w:tr w14:paraId="253F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4247F919">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4BA04FE">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D69DED3">
            <w:pPr>
              <w:keepNext w:val="0"/>
              <w:keepLines w:val="0"/>
              <w:suppressLineNumbers w:val="0"/>
              <w:spacing w:before="0" w:beforeAutospacing="0" w:after="0" w:afterAutospacing="0" w:line="360" w:lineRule="auto"/>
              <w:ind w:left="0" w:right="0"/>
              <w:rPr>
                <w:rFonts w:hint="default" w:ascii="仿宋" w:hAnsi="仿宋" w:eastAsia="仿宋"/>
                <w:color w:val="000000"/>
                <w:sz w:val="28"/>
                <w:szCs w:val="28"/>
              </w:rPr>
            </w:pPr>
            <w:r>
              <w:rPr>
                <w:rFonts w:hint="eastAsia" w:ascii="仿宋" w:hAnsi="仿宋" w:eastAsia="仿宋"/>
                <w:color w:val="000000"/>
                <w:sz w:val="28"/>
                <w:szCs w:val="28"/>
                <w:lang w:val="en"/>
              </w:rPr>
              <w:t>具备24小时提供服务的能力。</w:t>
            </w:r>
          </w:p>
        </w:tc>
      </w:tr>
      <w:tr w14:paraId="167D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0C9D917D">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95100D9">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6C5083E">
            <w:pPr>
              <w:keepNext w:val="0"/>
              <w:keepLines w:val="0"/>
              <w:suppressLineNumbers w:val="0"/>
              <w:spacing w:before="0" w:beforeAutospacing="0" w:after="0" w:afterAutospacing="0"/>
              <w:ind w:left="0" w:right="0"/>
              <w:rPr>
                <w:rFonts w:hint="default" w:ascii="仿宋" w:hAnsi="仿宋" w:eastAsia="仿宋"/>
                <w:color w:val="000000"/>
                <w:sz w:val="28"/>
                <w:szCs w:val="28"/>
              </w:rPr>
            </w:pPr>
            <w:r>
              <w:rPr>
                <w:rFonts w:hint="eastAsia" w:ascii="仿宋" w:hAnsi="仿宋" w:eastAsia="仿宋"/>
                <w:color w:val="000000"/>
                <w:sz w:val="28"/>
                <w:szCs w:val="28"/>
              </w:rPr>
              <w:t>全部物业人员应受过专业培训，业务熟练，统一着装，标识鲜明，礼仪规范。</w:t>
            </w:r>
          </w:p>
        </w:tc>
      </w:tr>
      <w:tr w14:paraId="1FAC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6C4FA09">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9440C09">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959A114">
            <w:pPr>
              <w:keepNext w:val="0"/>
              <w:keepLines w:val="0"/>
              <w:suppressLineNumbers w:val="0"/>
              <w:snapToGrid w:val="0"/>
              <w:spacing w:before="0" w:beforeAutospacing="0" w:after="0" w:afterAutospacing="0"/>
              <w:ind w:left="0" w:right="0"/>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投标人具有有效的:</w:t>
            </w:r>
          </w:p>
          <w:p w14:paraId="696FF06F">
            <w:pPr>
              <w:keepNext w:val="0"/>
              <w:keepLines w:val="0"/>
              <w:suppressLineNumbers w:val="0"/>
              <w:snapToGrid w:val="0"/>
              <w:spacing w:before="0" w:beforeAutospacing="0" w:after="0" w:afterAutospacing="0"/>
              <w:ind w:left="0" w:right="0"/>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质量管理体系认证证书（1分）；</w:t>
            </w:r>
          </w:p>
          <w:p w14:paraId="78FDD3DB">
            <w:pPr>
              <w:keepNext w:val="0"/>
              <w:keepLines w:val="0"/>
              <w:suppressLineNumbers w:val="0"/>
              <w:snapToGrid w:val="0"/>
              <w:spacing w:before="0" w:beforeAutospacing="0" w:after="0" w:afterAutospacing="0"/>
              <w:ind w:left="0" w:right="0"/>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环境管理体系认证证书（1分）；</w:t>
            </w:r>
          </w:p>
          <w:p w14:paraId="435BEEC3">
            <w:pPr>
              <w:keepNext w:val="0"/>
              <w:keepLines w:val="0"/>
              <w:suppressLineNumbers w:val="0"/>
              <w:snapToGrid w:val="0"/>
              <w:spacing w:before="0" w:beforeAutospacing="0" w:after="0" w:afterAutospacing="0"/>
              <w:ind w:left="0" w:right="0"/>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职业健康安全管理体系认证证书（1分）；</w:t>
            </w:r>
          </w:p>
          <w:p w14:paraId="44C4241C">
            <w:pPr>
              <w:keepNext w:val="0"/>
              <w:keepLines w:val="0"/>
              <w:suppressLineNumbers w:val="0"/>
              <w:snapToGrid w:val="0"/>
              <w:spacing w:before="0" w:beforeAutospacing="0" w:after="0" w:afterAutospacing="0"/>
              <w:ind w:left="0" w:right="0"/>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信息安全体系认证证书（1分）；</w:t>
            </w:r>
          </w:p>
          <w:p w14:paraId="64581CB4">
            <w:pPr>
              <w:keepNext w:val="0"/>
              <w:keepLines w:val="0"/>
              <w:suppressLineNumbers w:val="0"/>
              <w:snapToGrid w:val="0"/>
              <w:spacing w:before="0" w:beforeAutospacing="0" w:after="0" w:afterAutospacing="0"/>
              <w:ind w:left="0" w:right="0"/>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能源管理体系认证证书（1分）；</w:t>
            </w:r>
          </w:p>
          <w:p w14:paraId="3CDA7E71">
            <w:pPr>
              <w:keepNext w:val="0"/>
              <w:keepLines w:val="0"/>
              <w:suppressLineNumbers w:val="0"/>
              <w:snapToGrid w:val="0"/>
              <w:spacing w:before="0" w:beforeAutospacing="0" w:after="0" w:afterAutospacing="0"/>
              <w:ind w:left="0" w:right="0"/>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生活垃圾分类认证证书（1分）；</w:t>
            </w:r>
          </w:p>
          <w:p w14:paraId="22B5EDA8">
            <w:pPr>
              <w:keepNext w:val="0"/>
              <w:keepLines w:val="0"/>
              <w:suppressLineNumbers w:val="0"/>
              <w:snapToGrid w:val="0"/>
              <w:spacing w:before="0" w:beforeAutospacing="0" w:after="0" w:afterAutospacing="0"/>
              <w:ind w:left="0" w:right="0"/>
              <w:rPr>
                <w:rFonts w:hint="default" w:ascii="仿宋" w:hAnsi="仿宋" w:eastAsia="仿宋" w:cs="仿宋_GB2312"/>
                <w:color w:val="000000"/>
                <w:sz w:val="28"/>
                <w:szCs w:val="28"/>
              </w:rPr>
            </w:pPr>
            <w:r>
              <w:rPr>
                <w:rFonts w:hint="eastAsia" w:ascii="仿宋" w:hAnsi="仿宋" w:eastAsia="仿宋" w:cs="仿宋_GB2312"/>
                <w:color w:val="000000"/>
                <w:sz w:val="28"/>
                <w:szCs w:val="28"/>
              </w:rPr>
              <w:t>（需提供有效的相关证书及全国认证认可信息公共服务平台（http://cx.cnca.cn/CertECloud/result/skipResultList）查询截图并加盖公章作为评分依据，未提供不得分。）</w:t>
            </w:r>
          </w:p>
        </w:tc>
      </w:tr>
      <w:tr w14:paraId="2B08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46B4598A">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19EB37D">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sz w:val="28"/>
                <w:szCs w:val="28"/>
              </w:rPr>
            </w:pPr>
            <w:r>
              <w:rPr>
                <w:rFonts w:hint="eastAsia" w:ascii="仿宋" w:hAnsi="仿宋" w:eastAsia="仿宋" w:cs="仿宋_GB2312"/>
                <w:b/>
                <w:color w:val="000000"/>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8D1B412">
            <w:pPr>
              <w:keepNext w:val="0"/>
              <w:keepLines w:val="0"/>
              <w:suppressLineNumbers w:val="0"/>
              <w:snapToGrid w:val="0"/>
              <w:spacing w:before="0" w:beforeAutospacing="0" w:after="0" w:afterAutospacing="0"/>
              <w:ind w:left="0" w:right="0"/>
              <w:rPr>
                <w:rFonts w:hint="default" w:ascii="仿宋" w:hAnsi="仿宋" w:eastAsia="仿宋" w:cs="仿宋_GB2312"/>
                <w:color w:val="000000"/>
                <w:sz w:val="28"/>
                <w:szCs w:val="28"/>
              </w:rPr>
            </w:pPr>
            <w:r>
              <w:rPr>
                <w:rFonts w:hint="eastAsia" w:ascii="仿宋" w:hAnsi="仿宋" w:eastAsia="仿宋" w:cs="仿宋_GB2312"/>
                <w:color w:val="000000"/>
                <w:sz w:val="28"/>
                <w:szCs w:val="28"/>
              </w:rPr>
              <w:t>提供自2021年1月1日以来同类项目业绩，每提供一个业绩得0.5分，最高得1分。</w:t>
            </w:r>
          </w:p>
          <w:p w14:paraId="5442FD06">
            <w:pPr>
              <w:keepNext w:val="0"/>
              <w:keepLines w:val="0"/>
              <w:suppressLineNumbers w:val="0"/>
              <w:snapToGrid w:val="0"/>
              <w:spacing w:before="0" w:beforeAutospacing="0" w:after="0" w:afterAutospacing="0"/>
              <w:ind w:left="0" w:right="0"/>
              <w:rPr>
                <w:rFonts w:hint="default" w:ascii="仿宋" w:hAnsi="仿宋" w:eastAsia="仿宋" w:cs="仿宋_GB2312"/>
                <w:color w:val="000000"/>
                <w:sz w:val="28"/>
                <w:szCs w:val="28"/>
              </w:rPr>
            </w:pPr>
            <w:r>
              <w:rPr>
                <w:rFonts w:hint="eastAsia" w:ascii="仿宋" w:hAnsi="仿宋" w:eastAsia="仿宋" w:cs="仿宋_GB2312"/>
                <w:color w:val="000000"/>
                <w:sz w:val="28"/>
                <w:szCs w:val="28"/>
              </w:rPr>
              <w:t>注：提供合同复印件或中标通知书复印件。</w:t>
            </w:r>
          </w:p>
        </w:tc>
      </w:tr>
    </w:tbl>
    <w:p w14:paraId="396995BE">
      <w:pPr>
        <w:widowControl/>
        <w:jc w:val="left"/>
        <w:rPr>
          <w:rFonts w:ascii="仿宋" w:hAnsi="仿宋" w:eastAsia="仿宋" w:cs="仿宋"/>
          <w:b/>
          <w:bCs/>
          <w:color w:val="000000" w:themeColor="text1"/>
          <w:spacing w:val="30"/>
          <w:sz w:val="28"/>
          <w:szCs w:val="28"/>
          <w14:textFill>
            <w14:solidFill>
              <w14:schemeClr w14:val="tx1"/>
            </w14:solidFill>
          </w14:textFill>
        </w:rPr>
      </w:pPr>
      <w:bookmarkStart w:id="32" w:name="PO_TDCUS_ITEM_PB_REQ_TABLE_1_1_0"/>
      <w:bookmarkEnd w:id="32"/>
      <w:bookmarkStart w:id="33" w:name="_Toc496796639"/>
      <w:r>
        <w:rPr>
          <w:rFonts w:ascii="仿宋" w:hAnsi="仿宋" w:eastAsia="仿宋" w:cs="仿宋"/>
          <w:b/>
          <w:bCs/>
          <w:color w:val="000000" w:themeColor="text1"/>
          <w:spacing w:val="30"/>
          <w:sz w:val="28"/>
          <w:szCs w:val="28"/>
          <w14:textFill>
            <w14:solidFill>
              <w14:schemeClr w14:val="tx1"/>
            </w14:solidFill>
          </w14:textFill>
        </w:rPr>
        <w:br w:type="page"/>
      </w:r>
    </w:p>
    <w:p w14:paraId="7DA1F11D">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34" w:name="_Toc26308"/>
      <w:r>
        <w:rPr>
          <w:rFonts w:hint="eastAsia" w:hAnsi="宋体"/>
          <w:b/>
          <w:color w:val="000000" w:themeColor="text1"/>
          <w:sz w:val="36"/>
          <w:szCs w:val="36"/>
          <w14:textFill>
            <w14:solidFill>
              <w14:schemeClr w14:val="tx1"/>
            </w14:solidFill>
          </w14:textFill>
        </w:rPr>
        <w:t>第五章浙江省政府采购合同主要条款指引</w:t>
      </w:r>
      <w:bookmarkEnd w:id="33"/>
      <w:bookmarkEnd w:id="34"/>
    </w:p>
    <w:p w14:paraId="32B34D85">
      <w:pPr>
        <w:rPr>
          <w:color w:val="000000" w:themeColor="text1"/>
          <w14:textFill>
            <w14:solidFill>
              <w14:schemeClr w14:val="tx1"/>
            </w14:solidFill>
          </w14:textFill>
        </w:rPr>
      </w:pPr>
    </w:p>
    <w:p w14:paraId="0BBC3009">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68B6D25B">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7443B696">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22FF341F">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429B2084">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2BE8C8DA">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47FC30A4">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645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5E3C86EE">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16A97F8E">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623583E1">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1C2BC400">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F3B8B83">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3857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047949E9">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6C9CBEB8">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4A3298BD">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27AA040">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631D3A83">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718F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41623C4D">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6FC73389">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462E3EA">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05AA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217DD690">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135B4FEF">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76C3892D">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08550C93">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582F2F0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0360B02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51D727A">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6A717D91">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116004CF">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73098B1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0D5040F9">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328A1DD4">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307069C9">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1EAC994D">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5650CCC">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10146DE4">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0F888011">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1C2747E9">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633BE3B7">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55E64EFE">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00B6A765">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19DAA466">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06B96B15">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4FBF6357">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1366B149">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3B52F8C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6BC8581E">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3849398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7DA0EA2">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1628FB5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77DA4E9">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392DA95E">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4FDEED74">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4643B8EE">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9CA2E58">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6AF2D80">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F684B29">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6DFEBF9A">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425A979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C5A5F8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14439D9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4309D8F4">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54F5FFE7">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23980615">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50AA5DE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39C2BEE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018C24D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5C18C877">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672A8CC">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7BBAEBAE">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03B85F22">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25D40FC1">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0992A00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614640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2F8A16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5BCBA90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F08BFF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F46874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3A48F1C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6552348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3F0F402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2512EE0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4369ECB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62581A50">
      <w:pPr>
        <w:rPr>
          <w:color w:val="000000" w:themeColor="text1"/>
          <w:szCs w:val="30"/>
          <w14:textFill>
            <w14:solidFill>
              <w14:schemeClr w14:val="tx1"/>
            </w14:solidFill>
          </w14:textFill>
        </w:rPr>
      </w:pPr>
    </w:p>
    <w:p w14:paraId="0DE37169">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5" w:name="_Toc22013"/>
      <w:r>
        <w:rPr>
          <w:rFonts w:hint="eastAsia" w:hAnsi="宋体"/>
          <w:b/>
          <w:color w:val="000000" w:themeColor="text1"/>
          <w:sz w:val="36"/>
          <w:szCs w:val="36"/>
          <w14:textFill>
            <w14:solidFill>
              <w14:schemeClr w14:val="tx1"/>
            </w14:solidFill>
          </w14:textFill>
        </w:rPr>
        <w:t>第六章投标文件格式附件</w:t>
      </w:r>
      <w:bookmarkEnd w:id="35"/>
    </w:p>
    <w:p w14:paraId="19D97825">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3C5C43C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ADBA24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4D82FD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9B9F6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59AC0E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CDFABB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4FC0FD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A3301D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17779C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F6DFF4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C7A81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C91348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0A137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5D3FB2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2609C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5EB3DD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701E30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9E8FD4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336A8C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E5A257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E04048">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795AE833">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6"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浙江省交通运输宣传与保障中心2025年机关大院物业管理服务项目</w:t>
      </w:r>
      <w:bookmarkEnd w:id="36"/>
    </w:p>
    <w:p w14:paraId="419FDDBA">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7" w:name="PO_15528_PM001_2"/>
      <w:r>
        <w:rPr>
          <w:rFonts w:hint="eastAsia" w:ascii="仿宋" w:hAnsi="仿宋" w:eastAsia="仿宋"/>
          <w:color w:val="000000" w:themeColor="text1"/>
          <w:sz w:val="36"/>
          <w:szCs w:val="36"/>
          <w:lang w:eastAsia="zh-CN"/>
          <w14:textFill>
            <w14:solidFill>
              <w14:schemeClr w14:val="tx1"/>
            </w14:solidFill>
          </w14:textFill>
        </w:rPr>
        <w:t>ZZCG2024P-GK-160</w:t>
      </w:r>
      <w:bookmarkEnd w:id="37"/>
      <w:r>
        <w:rPr>
          <w:rFonts w:hint="eastAsia" w:ascii="仿宋" w:hAnsi="仿宋" w:eastAsia="仿宋"/>
          <w:color w:val="000000" w:themeColor="text1"/>
          <w:sz w:val="36"/>
          <w:szCs w:val="36"/>
          <w14:textFill>
            <w14:solidFill>
              <w14:schemeClr w14:val="tx1"/>
            </w14:solidFill>
          </w14:textFill>
        </w:rPr>
        <w:t>（标项  ）</w:t>
      </w:r>
    </w:p>
    <w:p w14:paraId="44F1F260">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p>
    <w:p w14:paraId="006D7FD8">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63AA9EFC">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2BCA0284">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7D14527">
      <w:pPr>
        <w:spacing w:after="100" w:afterAutospacing="1" w:line="240" w:lineRule="auto"/>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FC82470">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5E1FB5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782F0A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339C050">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2463A31A">
      <w:pPr>
        <w:snapToGrid w:val="0"/>
        <w:spacing w:before="50" w:after="50"/>
        <w:rPr>
          <w:rFonts w:ascii="仿宋" w:hAnsi="仿宋" w:eastAsia="仿宋"/>
          <w:sz w:val="30"/>
          <w:szCs w:val="30"/>
        </w:rPr>
      </w:pPr>
    </w:p>
    <w:p w14:paraId="487B077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462E934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2B3D88C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02CC249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3FDF5BA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598D4E5">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72F272E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43145EE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46F94DD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20C520FE">
      <w:pPr>
        <w:pStyle w:val="34"/>
        <w:snapToGrid w:val="0"/>
        <w:spacing w:after="120" w:line="460" w:lineRule="exact"/>
        <w:ind w:left="5250" w:firstLine="600" w:firstLineChars="200"/>
        <w:rPr>
          <w:rFonts w:ascii="仿宋" w:hAnsi="仿宋" w:eastAsia="仿宋"/>
          <w:sz w:val="30"/>
          <w:szCs w:val="30"/>
        </w:rPr>
      </w:pPr>
    </w:p>
    <w:p w14:paraId="0D7974E1">
      <w:pPr>
        <w:snapToGrid w:val="0"/>
        <w:spacing w:line="460" w:lineRule="exact"/>
        <w:ind w:firstLine="588" w:firstLineChars="196"/>
        <w:jc w:val="left"/>
        <w:rPr>
          <w:rFonts w:ascii="仿宋" w:hAnsi="仿宋" w:eastAsia="仿宋"/>
          <w:sz w:val="30"/>
          <w:szCs w:val="30"/>
        </w:rPr>
      </w:pPr>
    </w:p>
    <w:p w14:paraId="0BFA7BDC">
      <w:pPr>
        <w:widowControl/>
        <w:jc w:val="left"/>
        <w:rPr>
          <w:rFonts w:ascii="仿宋" w:hAnsi="仿宋" w:eastAsia="仿宋"/>
          <w:bCs/>
          <w:sz w:val="28"/>
          <w:szCs w:val="28"/>
        </w:rPr>
      </w:pPr>
      <w:r>
        <w:rPr>
          <w:rFonts w:ascii="仿宋" w:hAnsi="仿宋" w:eastAsia="仿宋"/>
          <w:bCs/>
          <w:sz w:val="28"/>
          <w:szCs w:val="28"/>
        </w:rPr>
        <w:br w:type="page"/>
      </w:r>
    </w:p>
    <w:p w14:paraId="1513CBF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326021D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6CF174B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40D3831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2D14F416">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51FDEC6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8F031E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4CD7130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5E2DEC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4A6861A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634A377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4C07567D">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17B62B8A">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3FFDD64F">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07CB241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4AA6AE6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3EBA60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FB48E2B">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76DAF5C9">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481B30A8">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5E42FF53">
      <w:pPr>
        <w:pStyle w:val="31"/>
        <w:snapToGrid w:val="0"/>
        <w:spacing w:before="156" w:after="156" w:line="240" w:lineRule="auto"/>
        <w:rPr>
          <w:rFonts w:ascii="仿宋" w:hAnsi="仿宋" w:eastAsia="仿宋"/>
          <w:sz w:val="30"/>
          <w:szCs w:val="30"/>
        </w:rPr>
      </w:pPr>
    </w:p>
    <w:p w14:paraId="0766055D">
      <w:pPr>
        <w:pStyle w:val="31"/>
        <w:snapToGrid w:val="0"/>
        <w:spacing w:before="156" w:after="156" w:line="240" w:lineRule="auto"/>
        <w:rPr>
          <w:rFonts w:ascii="仿宋" w:hAnsi="仿宋" w:eastAsia="仿宋"/>
          <w:sz w:val="30"/>
          <w:szCs w:val="30"/>
        </w:rPr>
      </w:pPr>
    </w:p>
    <w:p w14:paraId="0AE85E56">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691FED05">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36F5A4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C8DEF1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8" w:name="PO_3000002632_PM002"/>
      <w:r>
        <w:rPr>
          <w:rFonts w:hint="eastAsia" w:ascii="仿宋" w:hAnsi="仿宋" w:eastAsia="仿宋"/>
          <w:b/>
          <w:sz w:val="30"/>
          <w:szCs w:val="30"/>
          <w:u w:val="single"/>
          <w:lang w:eastAsia="zh-CN"/>
        </w:rPr>
        <w:t>浙江省交通运输宣传与保障中心2025年机关大院物业管理服务项目</w:t>
      </w:r>
      <w:bookmarkEnd w:id="38"/>
      <w:r>
        <w:rPr>
          <w:rFonts w:hint="eastAsia" w:ascii="仿宋" w:hAnsi="仿宋" w:eastAsia="仿宋"/>
          <w:sz w:val="30"/>
          <w:szCs w:val="30"/>
          <w:u w:val="single"/>
        </w:rPr>
        <w:t>（编号为</w:t>
      </w:r>
      <w:bookmarkStart w:id="39" w:name="PO_15528_PM001_3"/>
      <w:r>
        <w:rPr>
          <w:rFonts w:hint="eastAsia" w:ascii="仿宋" w:hAnsi="仿宋" w:eastAsia="仿宋"/>
          <w:sz w:val="30"/>
          <w:szCs w:val="30"/>
          <w:u w:val="single"/>
          <w:lang w:eastAsia="zh-CN"/>
        </w:rPr>
        <w:t>ZZCG2024P-GK-160</w:t>
      </w:r>
      <w:bookmarkEnd w:id="3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04F1EA1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176708C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264BF24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5964F26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22D92BB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220CEA4D">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2557A0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5EDACA4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11D2C38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22C443C9">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3B46F439">
      <w:pPr>
        <w:snapToGrid w:val="0"/>
        <w:spacing w:before="156" w:beforeLines="50" w:after="50" w:line="460" w:lineRule="exact"/>
        <w:ind w:right="600" w:firstLine="150" w:firstLineChars="50"/>
        <w:rPr>
          <w:rFonts w:ascii="仿宋" w:hAnsi="仿宋" w:eastAsia="仿宋"/>
          <w:sz w:val="30"/>
          <w:szCs w:val="30"/>
        </w:rPr>
      </w:pPr>
    </w:p>
    <w:p w14:paraId="77DFE562">
      <w:pPr>
        <w:snapToGrid w:val="0"/>
        <w:spacing w:before="156" w:beforeLines="50" w:after="50" w:line="460" w:lineRule="exact"/>
        <w:ind w:right="600" w:firstLine="150" w:firstLineChars="50"/>
        <w:rPr>
          <w:rFonts w:ascii="仿宋" w:hAnsi="仿宋" w:eastAsia="仿宋"/>
          <w:sz w:val="30"/>
          <w:szCs w:val="30"/>
        </w:rPr>
      </w:pPr>
    </w:p>
    <w:p w14:paraId="04DAF122">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2C7D86D">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5D588D56">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78BFC3B">
      <w:pPr>
        <w:snapToGrid w:val="0"/>
        <w:spacing w:before="156" w:beforeLines="50" w:after="50"/>
        <w:jc w:val="center"/>
        <w:rPr>
          <w:rFonts w:ascii="仿宋" w:hAnsi="仿宋" w:eastAsia="仿宋"/>
          <w:b/>
          <w:sz w:val="30"/>
          <w:szCs w:val="30"/>
        </w:rPr>
      </w:pPr>
    </w:p>
    <w:p w14:paraId="5A220698">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BC9222F">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0" w:name="PO_3000002632_PM002_1"/>
      <w:r>
        <w:rPr>
          <w:rFonts w:hint="eastAsia" w:ascii="仿宋" w:hAnsi="仿宋" w:eastAsia="仿宋"/>
          <w:b/>
          <w:sz w:val="30"/>
          <w:szCs w:val="30"/>
          <w:u w:val="single"/>
          <w:lang w:eastAsia="zh-CN"/>
        </w:rPr>
        <w:t>浙江省交通运输宣传与保障中心2025年机关大院物业管理服务项目</w:t>
      </w:r>
      <w:bookmarkEnd w:id="40"/>
      <w:r>
        <w:rPr>
          <w:rFonts w:hint="eastAsia" w:ascii="仿宋" w:hAnsi="仿宋" w:eastAsia="仿宋"/>
          <w:sz w:val="30"/>
          <w:szCs w:val="30"/>
        </w:rPr>
        <w:t xml:space="preserve"> 项目编号：</w:t>
      </w:r>
      <w:bookmarkStart w:id="41" w:name="PO_3000002632_PM001"/>
      <w:r>
        <w:rPr>
          <w:rFonts w:hint="eastAsia" w:ascii="仿宋" w:hAnsi="仿宋" w:eastAsia="仿宋"/>
          <w:b/>
          <w:sz w:val="30"/>
          <w:szCs w:val="30"/>
          <w:u w:val="single"/>
          <w:lang w:eastAsia="zh-CN"/>
        </w:rPr>
        <w:t>ZZCG2024P-GK-160</w:t>
      </w:r>
      <w:bookmarkEnd w:id="4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9BF0E5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B2C284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22E9283">
      <w:pPr>
        <w:snapToGrid w:val="0"/>
        <w:spacing w:before="156" w:beforeLines="50" w:after="50" w:line="460" w:lineRule="exact"/>
        <w:ind w:firstLine="480"/>
        <w:rPr>
          <w:rFonts w:ascii="仿宋" w:hAnsi="仿宋" w:eastAsia="仿宋"/>
          <w:sz w:val="30"/>
          <w:szCs w:val="30"/>
        </w:rPr>
      </w:pPr>
    </w:p>
    <w:p w14:paraId="544AA88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9DC642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2E3983D">
      <w:pPr>
        <w:snapToGrid w:val="0"/>
        <w:spacing w:before="156" w:beforeLines="50" w:after="50" w:line="460" w:lineRule="exact"/>
        <w:rPr>
          <w:rFonts w:ascii="仿宋" w:hAnsi="仿宋" w:eastAsia="仿宋"/>
          <w:sz w:val="30"/>
          <w:szCs w:val="30"/>
        </w:rPr>
      </w:pPr>
    </w:p>
    <w:p w14:paraId="00636E19">
      <w:pPr>
        <w:snapToGrid w:val="0"/>
        <w:spacing w:before="156" w:beforeLines="50" w:after="50" w:line="460" w:lineRule="exact"/>
        <w:rPr>
          <w:rFonts w:ascii="仿宋" w:hAnsi="仿宋" w:eastAsia="仿宋"/>
          <w:sz w:val="30"/>
          <w:szCs w:val="30"/>
        </w:rPr>
      </w:pPr>
    </w:p>
    <w:p w14:paraId="179679D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AE3B40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98C1AD4">
      <w:pPr>
        <w:snapToGrid w:val="0"/>
        <w:spacing w:before="156" w:beforeLines="50" w:after="50" w:line="460" w:lineRule="exact"/>
        <w:ind w:firstLine="6150" w:firstLineChars="2050"/>
        <w:rPr>
          <w:rFonts w:ascii="仿宋" w:hAnsi="仿宋" w:eastAsia="仿宋"/>
          <w:sz w:val="30"/>
          <w:szCs w:val="30"/>
        </w:rPr>
      </w:pPr>
    </w:p>
    <w:p w14:paraId="672D68B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243E7D7">
      <w:pPr>
        <w:snapToGrid w:val="0"/>
        <w:spacing w:before="156" w:beforeLines="50" w:after="50" w:line="460" w:lineRule="exact"/>
        <w:rPr>
          <w:rFonts w:ascii="仿宋" w:hAnsi="仿宋" w:eastAsia="仿宋"/>
          <w:sz w:val="30"/>
          <w:szCs w:val="30"/>
        </w:rPr>
      </w:pPr>
    </w:p>
    <w:p w14:paraId="13F8DC1C">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37A04255">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61ED68D6">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685418E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6FEE095A">
      <w:pPr>
        <w:snapToGrid w:val="0"/>
        <w:spacing w:before="156" w:beforeLines="50" w:after="50" w:line="460" w:lineRule="exact"/>
        <w:rPr>
          <w:rFonts w:ascii="仿宋" w:hAnsi="仿宋" w:eastAsia="仿宋"/>
          <w:sz w:val="30"/>
          <w:szCs w:val="30"/>
        </w:rPr>
      </w:pPr>
    </w:p>
    <w:p w14:paraId="13A5A16B">
      <w:pPr>
        <w:snapToGrid w:val="0"/>
        <w:spacing w:before="156" w:beforeLines="50" w:after="50" w:line="460" w:lineRule="exact"/>
        <w:rPr>
          <w:rFonts w:ascii="仿宋" w:hAnsi="仿宋" w:eastAsia="仿宋"/>
          <w:sz w:val="30"/>
          <w:szCs w:val="30"/>
        </w:rPr>
      </w:pPr>
    </w:p>
    <w:p w14:paraId="7F3515DD">
      <w:pPr>
        <w:snapToGrid w:val="0"/>
        <w:spacing w:before="156" w:beforeLines="50" w:after="50" w:line="460" w:lineRule="exact"/>
        <w:rPr>
          <w:rFonts w:ascii="仿宋" w:hAnsi="仿宋" w:eastAsia="仿宋"/>
          <w:sz w:val="30"/>
          <w:szCs w:val="30"/>
        </w:rPr>
      </w:pPr>
    </w:p>
    <w:p w14:paraId="65B999AC">
      <w:pPr>
        <w:snapToGrid w:val="0"/>
        <w:spacing w:before="156" w:beforeLines="50" w:after="50" w:line="460" w:lineRule="exact"/>
        <w:rPr>
          <w:rFonts w:ascii="仿宋" w:hAnsi="仿宋" w:eastAsia="仿宋"/>
          <w:sz w:val="30"/>
          <w:szCs w:val="30"/>
        </w:rPr>
      </w:pPr>
    </w:p>
    <w:p w14:paraId="54127311">
      <w:pPr>
        <w:snapToGrid w:val="0"/>
        <w:spacing w:before="156" w:beforeLines="50" w:after="50" w:line="460" w:lineRule="exact"/>
        <w:rPr>
          <w:rFonts w:ascii="仿宋" w:hAnsi="仿宋" w:eastAsia="仿宋"/>
          <w:sz w:val="30"/>
          <w:szCs w:val="30"/>
        </w:rPr>
      </w:pPr>
    </w:p>
    <w:p w14:paraId="6CCB426C">
      <w:pPr>
        <w:snapToGrid w:val="0"/>
        <w:spacing w:before="156" w:beforeLines="50" w:after="50" w:line="460" w:lineRule="exact"/>
        <w:rPr>
          <w:rFonts w:ascii="仿宋" w:hAnsi="仿宋" w:eastAsia="仿宋"/>
          <w:sz w:val="30"/>
          <w:szCs w:val="30"/>
        </w:rPr>
      </w:pPr>
    </w:p>
    <w:p w14:paraId="103B87F7">
      <w:pPr>
        <w:snapToGrid w:val="0"/>
        <w:spacing w:before="156" w:beforeLines="50" w:after="50" w:line="460" w:lineRule="exact"/>
        <w:rPr>
          <w:rFonts w:ascii="仿宋" w:hAnsi="仿宋" w:eastAsia="仿宋"/>
          <w:sz w:val="30"/>
          <w:szCs w:val="30"/>
        </w:rPr>
      </w:pPr>
    </w:p>
    <w:p w14:paraId="34580429">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04FC4389">
      <w:pPr>
        <w:widowControl/>
        <w:jc w:val="left"/>
        <w:rPr>
          <w:rFonts w:hAnsi="宋体" w:cs="宋体"/>
          <w:bCs/>
          <w:sz w:val="24"/>
        </w:rPr>
      </w:pPr>
    </w:p>
    <w:p w14:paraId="52F8E157">
      <w:pPr>
        <w:widowControl/>
        <w:jc w:val="left"/>
        <w:rPr>
          <w:rFonts w:hAnsi="宋体" w:cs="宋体"/>
          <w:bCs/>
          <w:sz w:val="24"/>
        </w:rPr>
      </w:pPr>
    </w:p>
    <w:p w14:paraId="2CD8F53E">
      <w:pPr>
        <w:widowControl/>
        <w:jc w:val="left"/>
        <w:rPr>
          <w:rFonts w:hAnsi="宋体" w:cs="宋体"/>
          <w:bCs/>
          <w:sz w:val="24"/>
        </w:rPr>
      </w:pPr>
    </w:p>
    <w:p w14:paraId="10AE54BE">
      <w:pPr>
        <w:snapToGrid w:val="0"/>
        <w:spacing w:before="156" w:beforeLines="50" w:after="50" w:line="460" w:lineRule="exact"/>
        <w:rPr>
          <w:rFonts w:ascii="仿宋" w:hAnsi="仿宋" w:eastAsia="仿宋"/>
          <w:sz w:val="30"/>
          <w:szCs w:val="30"/>
        </w:rPr>
      </w:pPr>
    </w:p>
    <w:p w14:paraId="3E5154A2">
      <w:pPr>
        <w:snapToGrid w:val="0"/>
        <w:spacing w:before="156" w:beforeLines="50" w:after="50" w:line="460" w:lineRule="exact"/>
        <w:rPr>
          <w:rFonts w:ascii="仿宋" w:hAnsi="仿宋" w:eastAsia="仿宋"/>
          <w:sz w:val="30"/>
          <w:szCs w:val="30"/>
        </w:rPr>
      </w:pPr>
    </w:p>
    <w:p w14:paraId="672D6EFE">
      <w:pPr>
        <w:widowControl/>
        <w:jc w:val="left"/>
        <w:rPr>
          <w:rFonts w:hAnsi="宋体" w:cs="宋体"/>
          <w:bCs/>
          <w:sz w:val="24"/>
        </w:rPr>
      </w:pPr>
    </w:p>
    <w:p w14:paraId="3BC425DA">
      <w:pPr>
        <w:widowControl/>
        <w:jc w:val="left"/>
        <w:rPr>
          <w:rFonts w:hAnsi="宋体" w:cs="宋体"/>
          <w:bCs/>
          <w:sz w:val="24"/>
        </w:rPr>
      </w:pPr>
    </w:p>
    <w:p w14:paraId="795834C3">
      <w:pPr>
        <w:widowControl/>
        <w:jc w:val="left"/>
        <w:rPr>
          <w:rFonts w:hAnsi="宋体" w:cs="宋体"/>
          <w:bCs/>
          <w:sz w:val="24"/>
        </w:rPr>
      </w:pPr>
    </w:p>
    <w:p w14:paraId="56045338">
      <w:pPr>
        <w:widowControl/>
        <w:jc w:val="left"/>
        <w:rPr>
          <w:rFonts w:hAnsi="宋体" w:cs="宋体"/>
          <w:bCs/>
          <w:sz w:val="24"/>
        </w:rPr>
      </w:pPr>
    </w:p>
    <w:p w14:paraId="6E70DC9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93CF82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3942D6B">
      <w:pPr>
        <w:widowControl/>
        <w:jc w:val="left"/>
        <w:rPr>
          <w:rFonts w:hAnsi="宋体" w:cs="宋体"/>
          <w:bCs/>
          <w:sz w:val="24"/>
        </w:rPr>
      </w:pPr>
    </w:p>
    <w:p w14:paraId="22A4D9E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230FFE9">
      <w:pPr>
        <w:tabs>
          <w:tab w:val="left" w:pos="606"/>
        </w:tabs>
        <w:spacing w:line="360" w:lineRule="exact"/>
        <w:rPr>
          <w:rFonts w:hint="eastAsia" w:ascii="仿宋" w:hAnsi="仿宋" w:eastAsia="仿宋"/>
          <w:sz w:val="30"/>
          <w:szCs w:val="30"/>
        </w:rPr>
      </w:pPr>
    </w:p>
    <w:p w14:paraId="4F39D8F8">
      <w:pPr>
        <w:tabs>
          <w:tab w:val="left" w:pos="606"/>
        </w:tabs>
        <w:spacing w:line="360" w:lineRule="exact"/>
        <w:rPr>
          <w:rFonts w:hint="eastAsia" w:ascii="仿宋" w:hAnsi="仿宋" w:eastAsia="仿宋"/>
          <w:sz w:val="30"/>
          <w:szCs w:val="30"/>
        </w:rPr>
      </w:pPr>
    </w:p>
    <w:p w14:paraId="3CAE741D">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6C7F1810">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2709B55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69896D6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47DF661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38052AA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2" w:name="PO_3000002632_PM001_1"/>
      <w:r>
        <w:rPr>
          <w:rFonts w:hint="eastAsia" w:ascii="仿宋" w:hAnsi="仿宋" w:eastAsia="仿宋"/>
          <w:b/>
          <w:sz w:val="30"/>
          <w:szCs w:val="30"/>
          <w:u w:val="single"/>
          <w:lang w:eastAsia="zh-CN"/>
        </w:rPr>
        <w:t>ZZCG2024P-GK-160</w:t>
      </w:r>
      <w:bookmarkEnd w:id="42"/>
      <w:r>
        <w:rPr>
          <w:rFonts w:hint="eastAsia" w:ascii="仿宋" w:hAnsi="仿宋" w:eastAsia="仿宋"/>
          <w:sz w:val="30"/>
          <w:szCs w:val="30"/>
        </w:rPr>
        <w:t>的招标活动联合进行投标之事宜，达成如下协议：</w:t>
      </w:r>
    </w:p>
    <w:p w14:paraId="6873E24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37EBE30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497A73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400CB2A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64134E9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6192B57C">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3A74378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6D49518E">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48A786F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0982A2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727094BA">
        <w:tblPrEx>
          <w:tblCellMar>
            <w:top w:w="0" w:type="dxa"/>
            <w:left w:w="108" w:type="dxa"/>
            <w:bottom w:w="0" w:type="dxa"/>
            <w:right w:w="108" w:type="dxa"/>
          </w:tblCellMar>
        </w:tblPrEx>
        <w:trPr>
          <w:jc w:val="center"/>
        </w:trPr>
        <w:tc>
          <w:tcPr>
            <w:tcW w:w="4264" w:type="dxa"/>
          </w:tcPr>
          <w:p w14:paraId="221DD25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89567C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659B3B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651319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312D08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DCB2F3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AEDB0FC">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5CB486ED">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1EE94CE">
      <w:pPr>
        <w:pStyle w:val="17"/>
        <w:overflowPunct w:val="0"/>
        <w:spacing w:line="460" w:lineRule="exact"/>
        <w:rPr>
          <w:rFonts w:ascii="仿宋" w:hAnsi="仿宋" w:eastAsia="仿宋"/>
          <w:sz w:val="30"/>
          <w:szCs w:val="30"/>
        </w:rPr>
      </w:pPr>
    </w:p>
    <w:p w14:paraId="109D7996">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1AACB96">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DDBC95C">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1AD8B87">
      <w:pPr>
        <w:pStyle w:val="17"/>
        <w:overflowPunct w:val="0"/>
        <w:spacing w:line="460" w:lineRule="exact"/>
        <w:rPr>
          <w:rFonts w:ascii="仿宋" w:hAnsi="仿宋" w:eastAsia="仿宋"/>
          <w:sz w:val="30"/>
          <w:szCs w:val="30"/>
        </w:rPr>
      </w:pPr>
    </w:p>
    <w:p w14:paraId="1C697C1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860AC9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8D40520">
      <w:pPr>
        <w:tabs>
          <w:tab w:val="left" w:pos="606"/>
        </w:tabs>
        <w:spacing w:line="460" w:lineRule="exact"/>
        <w:rPr>
          <w:rFonts w:ascii="仿宋" w:hAnsi="仿宋" w:eastAsia="仿宋"/>
          <w:spacing w:val="20"/>
          <w:sz w:val="30"/>
          <w:szCs w:val="30"/>
        </w:rPr>
      </w:pPr>
    </w:p>
    <w:p w14:paraId="3D286883">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7B9CA7C9">
        <w:tblPrEx>
          <w:tblCellMar>
            <w:top w:w="0" w:type="dxa"/>
            <w:left w:w="108" w:type="dxa"/>
            <w:bottom w:w="0" w:type="dxa"/>
            <w:right w:w="108" w:type="dxa"/>
          </w:tblCellMar>
        </w:tblPrEx>
        <w:trPr>
          <w:jc w:val="center"/>
        </w:trPr>
        <w:tc>
          <w:tcPr>
            <w:tcW w:w="4264" w:type="dxa"/>
          </w:tcPr>
          <w:p w14:paraId="43BF96F1">
            <w:pPr>
              <w:pStyle w:val="17"/>
              <w:overflowPunct w:val="0"/>
              <w:spacing w:line="460" w:lineRule="exact"/>
              <w:ind w:firstLine="0"/>
              <w:rPr>
                <w:rFonts w:ascii="仿宋" w:hAnsi="仿宋" w:eastAsia="仿宋"/>
                <w:sz w:val="30"/>
                <w:szCs w:val="30"/>
              </w:rPr>
            </w:pPr>
          </w:p>
          <w:p w14:paraId="068DC0AA">
            <w:pPr>
              <w:pStyle w:val="17"/>
              <w:overflowPunct w:val="0"/>
              <w:spacing w:line="460" w:lineRule="exact"/>
              <w:ind w:firstLine="0"/>
              <w:rPr>
                <w:rFonts w:ascii="仿宋" w:hAnsi="仿宋" w:eastAsia="仿宋"/>
                <w:sz w:val="30"/>
                <w:szCs w:val="30"/>
              </w:rPr>
            </w:pPr>
          </w:p>
          <w:p w14:paraId="6546B66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BBF2EA9">
            <w:pPr>
              <w:pStyle w:val="17"/>
              <w:overflowPunct w:val="0"/>
              <w:spacing w:line="460" w:lineRule="exact"/>
              <w:ind w:firstLine="0"/>
              <w:rPr>
                <w:rFonts w:ascii="仿宋" w:hAnsi="仿宋" w:eastAsia="仿宋"/>
                <w:sz w:val="30"/>
                <w:szCs w:val="30"/>
              </w:rPr>
            </w:pPr>
          </w:p>
          <w:p w14:paraId="7EC616BD">
            <w:pPr>
              <w:pStyle w:val="17"/>
              <w:overflowPunct w:val="0"/>
              <w:spacing w:line="460" w:lineRule="exact"/>
              <w:ind w:firstLine="0"/>
              <w:rPr>
                <w:rFonts w:ascii="仿宋" w:hAnsi="仿宋" w:eastAsia="仿宋"/>
                <w:sz w:val="30"/>
                <w:szCs w:val="30"/>
              </w:rPr>
            </w:pPr>
          </w:p>
          <w:p w14:paraId="5B62DB8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1EE91C9">
            <w:pPr>
              <w:pStyle w:val="17"/>
              <w:overflowPunct w:val="0"/>
              <w:spacing w:line="460" w:lineRule="exact"/>
              <w:ind w:firstLine="0"/>
              <w:rPr>
                <w:rFonts w:ascii="仿宋" w:hAnsi="仿宋" w:eastAsia="仿宋"/>
                <w:sz w:val="30"/>
                <w:szCs w:val="30"/>
              </w:rPr>
            </w:pPr>
          </w:p>
          <w:p w14:paraId="330F5491">
            <w:pPr>
              <w:pStyle w:val="17"/>
              <w:overflowPunct w:val="0"/>
              <w:spacing w:line="460" w:lineRule="exact"/>
              <w:ind w:firstLine="0"/>
              <w:rPr>
                <w:rFonts w:ascii="仿宋" w:hAnsi="仿宋" w:eastAsia="仿宋"/>
                <w:sz w:val="30"/>
                <w:szCs w:val="30"/>
              </w:rPr>
            </w:pPr>
          </w:p>
          <w:p w14:paraId="1FC0603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1268120">
            <w:pPr>
              <w:pStyle w:val="17"/>
              <w:overflowPunct w:val="0"/>
              <w:spacing w:line="460" w:lineRule="exact"/>
              <w:ind w:firstLine="0"/>
              <w:rPr>
                <w:rFonts w:ascii="仿宋" w:hAnsi="仿宋" w:eastAsia="仿宋"/>
                <w:sz w:val="30"/>
                <w:szCs w:val="30"/>
              </w:rPr>
            </w:pPr>
          </w:p>
          <w:p w14:paraId="327268EB">
            <w:pPr>
              <w:pStyle w:val="17"/>
              <w:overflowPunct w:val="0"/>
              <w:spacing w:line="460" w:lineRule="exact"/>
              <w:ind w:firstLine="0"/>
              <w:rPr>
                <w:rFonts w:ascii="仿宋" w:hAnsi="仿宋" w:eastAsia="仿宋"/>
                <w:sz w:val="30"/>
                <w:szCs w:val="30"/>
              </w:rPr>
            </w:pPr>
          </w:p>
          <w:p w14:paraId="404BD1E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2CC4BB8">
            <w:pPr>
              <w:pStyle w:val="17"/>
              <w:overflowPunct w:val="0"/>
              <w:spacing w:line="460" w:lineRule="exact"/>
              <w:ind w:firstLine="0"/>
              <w:rPr>
                <w:rFonts w:ascii="仿宋" w:hAnsi="仿宋" w:eastAsia="仿宋"/>
                <w:sz w:val="30"/>
                <w:szCs w:val="30"/>
              </w:rPr>
            </w:pPr>
          </w:p>
          <w:p w14:paraId="4A008B17">
            <w:pPr>
              <w:pStyle w:val="17"/>
              <w:overflowPunct w:val="0"/>
              <w:spacing w:line="460" w:lineRule="exact"/>
              <w:ind w:firstLine="0"/>
              <w:rPr>
                <w:rFonts w:ascii="仿宋" w:hAnsi="仿宋" w:eastAsia="仿宋"/>
                <w:sz w:val="30"/>
                <w:szCs w:val="30"/>
              </w:rPr>
            </w:pPr>
          </w:p>
          <w:p w14:paraId="4E67567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993C7FB">
            <w:pPr>
              <w:pStyle w:val="17"/>
              <w:overflowPunct w:val="0"/>
              <w:spacing w:line="460" w:lineRule="exact"/>
              <w:ind w:firstLine="0"/>
              <w:rPr>
                <w:rFonts w:ascii="仿宋" w:hAnsi="仿宋" w:eastAsia="仿宋"/>
                <w:sz w:val="30"/>
                <w:szCs w:val="30"/>
              </w:rPr>
            </w:pPr>
          </w:p>
          <w:p w14:paraId="3A39CD87">
            <w:pPr>
              <w:pStyle w:val="17"/>
              <w:overflowPunct w:val="0"/>
              <w:spacing w:line="460" w:lineRule="exact"/>
              <w:ind w:firstLine="0"/>
              <w:rPr>
                <w:rFonts w:ascii="仿宋" w:hAnsi="仿宋" w:eastAsia="仿宋"/>
                <w:sz w:val="30"/>
                <w:szCs w:val="30"/>
              </w:rPr>
            </w:pPr>
          </w:p>
          <w:p w14:paraId="6D18B60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4E79E0E">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E914DF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A7E790E">
      <w:pPr>
        <w:pStyle w:val="58"/>
        <w:spacing w:before="156" w:after="156" w:line="400" w:lineRule="exact"/>
      </w:pPr>
    </w:p>
    <w:p w14:paraId="4B29D3F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E72014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149BFCD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6FE23B1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5CD5F8C2">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67B19A76">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19372438">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299AA46">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9FB264A">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9C8BE6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2C0307EE">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364E64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1126767B">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D9D77D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478D1225">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3E0918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05C32A2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AC5838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52BC0B3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4FBB78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99F079C">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551C33B3">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5D381D9">
      <w:pPr>
        <w:snapToGrid w:val="0"/>
        <w:spacing w:before="50" w:after="50"/>
        <w:jc w:val="left"/>
        <w:rPr>
          <w:rFonts w:hint="eastAsia" w:ascii="仿宋" w:hAnsi="仿宋" w:eastAsia="仿宋"/>
          <w:sz w:val="30"/>
          <w:szCs w:val="30"/>
        </w:rPr>
      </w:pPr>
      <w:r>
        <w:rPr>
          <w:rFonts w:hint="eastAsia" w:ascii="仿宋" w:hAnsi="仿宋" w:eastAsia="仿宋"/>
          <w:sz w:val="30"/>
          <w:szCs w:val="30"/>
        </w:rPr>
        <w:t>附件7：</w:t>
      </w:r>
    </w:p>
    <w:p w14:paraId="3E3DC3D1">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75EF380E">
      <w:pPr>
        <w:snapToGrid w:val="0"/>
        <w:spacing w:line="312" w:lineRule="auto"/>
        <w:ind w:firstLine="560" w:firstLineChars="200"/>
        <w:rPr>
          <w:rFonts w:ascii="仿宋" w:hAnsi="仿宋" w:eastAsia="仿宋"/>
          <w:sz w:val="28"/>
          <w:szCs w:val="28"/>
        </w:rPr>
      </w:pPr>
    </w:p>
    <w:p w14:paraId="06CC8D5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FF4261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969787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01E54CE">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37A9065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5D745546">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3606CABD">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4F030086">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8A85AA2">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4750B36">
      <w:pPr>
        <w:widowControl/>
        <w:jc w:val="left"/>
        <w:rPr>
          <w:rFonts w:ascii="仿宋" w:hAnsi="仿宋" w:eastAsia="仿宋"/>
          <w:sz w:val="28"/>
          <w:szCs w:val="28"/>
        </w:rPr>
      </w:pPr>
      <w:r>
        <w:rPr>
          <w:rFonts w:ascii="仿宋" w:hAnsi="仿宋" w:eastAsia="仿宋"/>
          <w:sz w:val="28"/>
          <w:szCs w:val="28"/>
        </w:rPr>
        <w:br w:type="page"/>
      </w:r>
    </w:p>
    <w:p w14:paraId="42896A65">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2000E67B">
      <w:pPr>
        <w:jc w:val="left"/>
        <w:rPr>
          <w:rFonts w:ascii="仿宋" w:hAnsi="仿宋" w:eastAsia="仿宋"/>
        </w:rPr>
      </w:pPr>
      <w:r>
        <w:rPr>
          <w:rFonts w:hint="eastAsia" w:ascii="仿宋" w:hAnsi="仿宋" w:eastAsia="仿宋"/>
          <w:sz w:val="30"/>
          <w:szCs w:val="30"/>
        </w:rPr>
        <w:t>附件8：</w:t>
      </w:r>
    </w:p>
    <w:p w14:paraId="422184EA">
      <w:pPr>
        <w:rPr>
          <w:rFonts w:ascii="仿宋" w:hAnsi="仿宋" w:eastAsia="仿宋"/>
        </w:rPr>
      </w:pPr>
    </w:p>
    <w:p w14:paraId="577C2CE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EAD17A8">
      <w:pPr>
        <w:spacing w:line="588" w:lineRule="exact"/>
        <w:rPr>
          <w:rFonts w:ascii="仿宋_GB2312" w:eastAsia="仿宋_GB2312"/>
          <w:b/>
          <w:spacing w:val="6"/>
          <w:sz w:val="30"/>
          <w:szCs w:val="30"/>
        </w:rPr>
      </w:pPr>
    </w:p>
    <w:p w14:paraId="7288346B">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44FEC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892F4B9">
      <w:pPr>
        <w:snapToGrid w:val="0"/>
        <w:spacing w:line="360" w:lineRule="auto"/>
        <w:ind w:firstLine="560" w:firstLineChars="200"/>
        <w:rPr>
          <w:rFonts w:ascii="仿宋" w:hAnsi="仿宋" w:eastAsia="仿宋"/>
          <w:sz w:val="28"/>
          <w:szCs w:val="28"/>
        </w:rPr>
      </w:pPr>
    </w:p>
    <w:p w14:paraId="4A41C2A3">
      <w:pPr>
        <w:spacing w:line="588" w:lineRule="exact"/>
        <w:ind w:firstLine="624" w:firstLineChars="200"/>
        <w:rPr>
          <w:rFonts w:ascii="仿宋_GB2312" w:eastAsia="仿宋_GB2312"/>
          <w:spacing w:val="6"/>
          <w:sz w:val="30"/>
          <w:szCs w:val="30"/>
        </w:rPr>
      </w:pPr>
    </w:p>
    <w:p w14:paraId="6799D298">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280CEB73">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5FAA361F">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17AD6F95">
      <w:pPr>
        <w:rPr>
          <w:color w:val="000000" w:themeColor="text1"/>
          <w14:textFill>
            <w14:solidFill>
              <w14:schemeClr w14:val="tx1"/>
            </w14:solidFill>
          </w14:textFill>
        </w:rPr>
      </w:pPr>
    </w:p>
    <w:p w14:paraId="6A6BB47C">
      <w:pPr>
        <w:rPr>
          <w:color w:val="000000" w:themeColor="text1"/>
          <w14:textFill>
            <w14:solidFill>
              <w14:schemeClr w14:val="tx1"/>
            </w14:solidFill>
          </w14:textFill>
        </w:rPr>
      </w:pPr>
    </w:p>
    <w:p w14:paraId="795CCA73">
      <w:pPr>
        <w:widowControl/>
        <w:jc w:val="left"/>
        <w:rPr>
          <w:rFonts w:ascii="仿宋" w:hAnsi="仿宋" w:eastAsia="仿宋"/>
          <w:color w:val="000000" w:themeColor="text1"/>
          <w:sz w:val="30"/>
          <w:szCs w:val="30"/>
          <w14:textFill>
            <w14:solidFill>
              <w14:schemeClr w14:val="tx1"/>
            </w14:solidFill>
          </w14:textFill>
        </w:rPr>
      </w:pPr>
    </w:p>
    <w:p w14:paraId="2D313201">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B519BA2">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33A87F10">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3"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浙江省交通运输宣传与保障中心2025年机关大院物业管理服务项目</w:t>
      </w:r>
      <w:bookmarkEnd w:id="43"/>
    </w:p>
    <w:p w14:paraId="13DC1FD0">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4" w:name="PO_15528_PM001_4"/>
      <w:r>
        <w:rPr>
          <w:rFonts w:hint="eastAsia" w:ascii="仿宋" w:hAnsi="仿宋" w:eastAsia="仿宋"/>
          <w:color w:val="000000" w:themeColor="text1"/>
          <w:sz w:val="36"/>
          <w:szCs w:val="36"/>
          <w:lang w:eastAsia="zh-CN"/>
          <w14:textFill>
            <w14:solidFill>
              <w14:schemeClr w14:val="tx1"/>
            </w14:solidFill>
          </w14:textFill>
        </w:rPr>
        <w:t>ZZCG2024P-GK-160</w:t>
      </w:r>
      <w:bookmarkEnd w:id="44"/>
      <w:r>
        <w:rPr>
          <w:rFonts w:hint="eastAsia" w:ascii="仿宋" w:hAnsi="仿宋" w:eastAsia="仿宋"/>
          <w:color w:val="000000" w:themeColor="text1"/>
          <w:sz w:val="36"/>
          <w:szCs w:val="36"/>
          <w14:textFill>
            <w14:solidFill>
              <w14:schemeClr w14:val="tx1"/>
            </w14:solidFill>
          </w14:textFill>
        </w:rPr>
        <w:t>（标项  ）</w:t>
      </w:r>
    </w:p>
    <w:p w14:paraId="4188917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08512F1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0B4087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6C9C2F7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1F4006D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9F1893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7D3DFB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ECC665C">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B81E9C4">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D1DB7A7">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60B8982">
      <w:pPr>
        <w:snapToGrid w:val="0"/>
        <w:spacing w:before="50" w:after="50"/>
        <w:rPr>
          <w:rFonts w:ascii="仿宋" w:hAnsi="仿宋" w:eastAsia="仿宋"/>
          <w:color w:val="000000" w:themeColor="text1"/>
          <w:sz w:val="30"/>
          <w:szCs w:val="30"/>
          <w14:textFill>
            <w14:solidFill>
              <w14:schemeClr w14:val="tx1"/>
            </w14:solidFill>
          </w14:textFill>
        </w:rPr>
      </w:pPr>
    </w:p>
    <w:p w14:paraId="39AC9346">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4BF94FB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3C58E9A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7523876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6CE1065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1C1AF6E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7AF1F71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667B3A7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1C02F73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2869FCD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37C2394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066EC5B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01DF34C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306CCDC7">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1A34A61D">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67568ED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38A96EDD">
      <w:pPr>
        <w:snapToGrid w:val="0"/>
        <w:spacing w:before="50"/>
        <w:jc w:val="center"/>
        <w:rPr>
          <w:rFonts w:ascii="仿宋" w:hAnsi="仿宋" w:eastAsia="仿宋"/>
          <w:b/>
          <w:color w:val="000000" w:themeColor="text1"/>
          <w:sz w:val="32"/>
          <w:szCs w:val="32"/>
          <w14:textFill>
            <w14:solidFill>
              <w14:schemeClr w14:val="tx1"/>
            </w14:solidFill>
          </w14:textFill>
        </w:rPr>
      </w:pPr>
    </w:p>
    <w:p w14:paraId="3EF44415">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144F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24BB4BB2">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6B13F0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F1DB7E4">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24391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A3638B1">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C94619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BA458C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99B5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B7F66A2">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291FD3F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E590CEA">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C36A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9A35183">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015430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9A91E7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A018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60949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18DBF4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9FFE961">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19A4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74AD2F4">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D4E9C8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C5D38E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71EC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B5D761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6EA994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CBA75C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C412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9081E4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5A7F9C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D793C69">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E739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DEDB6D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237C7E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8A45BE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46F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B5EA0B3">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62BCDC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FB3B262">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5224C472">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B132D65">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3150227B">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31235C00">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01923CA8">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57CBAB44">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5A7B4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BB29E5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5A6651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02E4F44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0DD367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76F5528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606A3A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2C6BB74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0773EE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74D534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37493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25821A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2E86BA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0C4E84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7D70CF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69B70A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9BAB3E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E9E488F">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09BC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6EFC5F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F02974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D6A5F1A">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41D227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4C47D4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BFC093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4313CBE">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FFAE25F">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5621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60E0B2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E5C6D8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FAFBDB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DB2995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31EF4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8399B6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EDEF3C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4FBA1C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9621A16">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E3F3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0D3D7B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53460B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EBEB94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55040DF1">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132B85BC">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3D4149A4">
      <w:pPr>
        <w:snapToGrid w:val="0"/>
        <w:spacing w:before="120" w:beforeLines="50"/>
        <w:rPr>
          <w:rFonts w:ascii="仿宋" w:hAnsi="仿宋" w:eastAsia="仿宋"/>
          <w:color w:val="000000" w:themeColor="text1"/>
          <w:sz w:val="30"/>
          <w:szCs w:val="30"/>
          <w14:textFill>
            <w14:solidFill>
              <w14:schemeClr w14:val="tx1"/>
            </w14:solidFill>
          </w14:textFill>
        </w:rPr>
      </w:pPr>
    </w:p>
    <w:p w14:paraId="444B75FC">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8CF5682">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0E9F907A">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099792BD">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01018A6D">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360E068">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6106E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49A5B770">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22D7FF30">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13710322">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3717A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6A55AB5">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6E4A8D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27DCCB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BCEC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8074F4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4A6A106">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DF71DA4">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3D9B2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3C76CEA">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6C29A5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8A5FDED">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296D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79F3D5BE">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FF0A30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3DD0FF9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C823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7E44F7C">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7FC1404">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2CFF42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4F07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A75328F">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EDA7F1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7C23E2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010BE7BC">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3D880E9">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86A3AC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00297823">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5FFD2BF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4DA863BE">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5395A8E">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23C0AC52">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1237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803AF60">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0D1A9B">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47B75B3">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6A1BAB2C">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C4CF434">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371A290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617DC90">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F3E77AC">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015B4A9C">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0219C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7289BD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3F54A3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BEF8B2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081666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8C81FC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FE4B0E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1C8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E22AC4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7C87B0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8E92C2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56E63F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88FE4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192FEF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1B39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7CC8D4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9FF7E0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E14887B">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2222C5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CB94D8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7A8876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CFE4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0B26D8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3FAF4E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890F4B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779D67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E2066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887497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CA63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EF5DF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BE1262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2F3597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EEF6BC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096F43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71C0EF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CF41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6D59A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A549E9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F0EE31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0219D6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5E7782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FC90A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BB14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9C87D8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638FF6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A33E97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80632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C8AC3B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98D0C7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6263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80EE35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26831B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4137A0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6B27AD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B557C2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A41C6A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5930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5A9DF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2CE894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76BEA9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91B0B7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46DAFA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785549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2868B17F">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69710B7C">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4DE166BC">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3B2EE7C">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179DEFB4">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74849EE6">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607B6AED">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4F87782">
      <w:pPr>
        <w:snapToGrid w:val="0"/>
        <w:spacing w:before="50"/>
        <w:jc w:val="center"/>
        <w:rPr>
          <w:rFonts w:ascii="仿宋" w:hAnsi="仿宋" w:eastAsia="仿宋"/>
          <w:b/>
          <w:color w:val="000000" w:themeColor="text1"/>
          <w:sz w:val="32"/>
          <w:szCs w:val="32"/>
          <w14:textFill>
            <w14:solidFill>
              <w14:schemeClr w14:val="tx1"/>
            </w14:solidFill>
          </w14:textFill>
        </w:rPr>
      </w:pPr>
    </w:p>
    <w:p w14:paraId="265866D3">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0E249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E60521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16AD0F9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10F1F8CD">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4C76D48D">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2D892FA">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1EB94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0279870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085F61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4B10C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3FB31B7">
            <w:pPr>
              <w:snapToGrid w:val="0"/>
              <w:jc w:val="left"/>
              <w:rPr>
                <w:rFonts w:ascii="仿宋" w:hAnsi="仿宋" w:eastAsia="仿宋"/>
                <w:color w:val="000000" w:themeColor="text1"/>
                <w:sz w:val="28"/>
                <w:szCs w:val="28"/>
                <w14:textFill>
                  <w14:solidFill>
                    <w14:schemeClr w14:val="tx1"/>
                  </w14:solidFill>
                </w14:textFill>
              </w:rPr>
            </w:pPr>
          </w:p>
        </w:tc>
      </w:tr>
      <w:tr w14:paraId="0CFF2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2F1DE7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6A6E1B7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65599F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CFACDBC">
            <w:pPr>
              <w:snapToGrid w:val="0"/>
              <w:jc w:val="left"/>
              <w:rPr>
                <w:rFonts w:ascii="仿宋" w:hAnsi="仿宋" w:eastAsia="仿宋"/>
                <w:color w:val="000000" w:themeColor="text1"/>
                <w:sz w:val="28"/>
                <w:szCs w:val="28"/>
                <w14:textFill>
                  <w14:solidFill>
                    <w14:schemeClr w14:val="tx1"/>
                  </w14:solidFill>
                </w14:textFill>
              </w:rPr>
            </w:pPr>
          </w:p>
        </w:tc>
      </w:tr>
      <w:tr w14:paraId="3B45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FFD396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50336F3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75C27F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9A8F9C4">
            <w:pPr>
              <w:snapToGrid w:val="0"/>
              <w:jc w:val="left"/>
              <w:rPr>
                <w:rFonts w:ascii="仿宋" w:hAnsi="仿宋" w:eastAsia="仿宋"/>
                <w:color w:val="000000" w:themeColor="text1"/>
                <w:sz w:val="28"/>
                <w:szCs w:val="28"/>
                <w14:textFill>
                  <w14:solidFill>
                    <w14:schemeClr w14:val="tx1"/>
                  </w14:solidFill>
                </w14:textFill>
              </w:rPr>
            </w:pPr>
          </w:p>
        </w:tc>
      </w:tr>
      <w:tr w14:paraId="4A3E3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B06A83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638F162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6C5371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53B5544">
            <w:pPr>
              <w:snapToGrid w:val="0"/>
              <w:jc w:val="left"/>
              <w:rPr>
                <w:rFonts w:ascii="仿宋" w:hAnsi="仿宋" w:eastAsia="仿宋"/>
                <w:color w:val="000000" w:themeColor="text1"/>
                <w:sz w:val="28"/>
                <w:szCs w:val="28"/>
                <w14:textFill>
                  <w14:solidFill>
                    <w14:schemeClr w14:val="tx1"/>
                  </w14:solidFill>
                </w14:textFill>
              </w:rPr>
            </w:pPr>
          </w:p>
        </w:tc>
      </w:tr>
      <w:tr w14:paraId="5B823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052F4CF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28D1C6A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E19848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1A17D37">
            <w:pPr>
              <w:snapToGrid w:val="0"/>
              <w:jc w:val="left"/>
              <w:rPr>
                <w:rFonts w:ascii="仿宋" w:hAnsi="仿宋" w:eastAsia="仿宋"/>
                <w:color w:val="000000" w:themeColor="text1"/>
                <w:sz w:val="28"/>
                <w:szCs w:val="28"/>
                <w14:textFill>
                  <w14:solidFill>
                    <w14:schemeClr w14:val="tx1"/>
                  </w14:solidFill>
                </w14:textFill>
              </w:rPr>
            </w:pPr>
          </w:p>
        </w:tc>
      </w:tr>
      <w:tr w14:paraId="2681F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A68DB1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49E2E07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0D950B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9DFFE0D">
            <w:pPr>
              <w:snapToGrid w:val="0"/>
              <w:jc w:val="left"/>
              <w:rPr>
                <w:rFonts w:ascii="仿宋" w:hAnsi="仿宋" w:eastAsia="仿宋"/>
                <w:color w:val="000000" w:themeColor="text1"/>
                <w:sz w:val="28"/>
                <w:szCs w:val="28"/>
                <w14:textFill>
                  <w14:solidFill>
                    <w14:schemeClr w14:val="tx1"/>
                  </w14:solidFill>
                </w14:textFill>
              </w:rPr>
            </w:pPr>
          </w:p>
        </w:tc>
      </w:tr>
      <w:tr w14:paraId="41DA6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ED44C2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2C86DB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166835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CBBBD2F">
            <w:pPr>
              <w:snapToGrid w:val="0"/>
              <w:jc w:val="left"/>
              <w:rPr>
                <w:rFonts w:ascii="仿宋" w:hAnsi="仿宋" w:eastAsia="仿宋"/>
                <w:color w:val="000000" w:themeColor="text1"/>
                <w:sz w:val="28"/>
                <w:szCs w:val="28"/>
                <w14:textFill>
                  <w14:solidFill>
                    <w14:schemeClr w14:val="tx1"/>
                  </w14:solidFill>
                </w14:textFill>
              </w:rPr>
            </w:pPr>
          </w:p>
        </w:tc>
      </w:tr>
      <w:tr w14:paraId="1EB2A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FFE9E1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0F40F4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45E8A4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C07B9CA">
            <w:pPr>
              <w:snapToGrid w:val="0"/>
              <w:jc w:val="left"/>
              <w:rPr>
                <w:rFonts w:ascii="仿宋" w:hAnsi="仿宋" w:eastAsia="仿宋"/>
                <w:color w:val="000000" w:themeColor="text1"/>
                <w:sz w:val="28"/>
                <w:szCs w:val="28"/>
                <w14:textFill>
                  <w14:solidFill>
                    <w14:schemeClr w14:val="tx1"/>
                  </w14:solidFill>
                </w14:textFill>
              </w:rPr>
            </w:pPr>
          </w:p>
        </w:tc>
      </w:tr>
      <w:tr w14:paraId="59B99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15105A0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488BE5F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A69C0C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3F841A9">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57948B70">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6BECFBC">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02FA89AD">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7FF7F20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7838C948">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31EE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B0F355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D10B73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A94B6B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7CE17AC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15D8E4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D2DA28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46A381E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3819CA4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084342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42E6E0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76E1F34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1296F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7672B16">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76D03759">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1EEAE2B">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A736AE7">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F367391">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9A6BCF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615C11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579B718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281B03F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2D18B33">
            <w:pPr>
              <w:widowControl/>
              <w:jc w:val="left"/>
              <w:rPr>
                <w:rFonts w:ascii="仿宋" w:hAnsi="仿宋" w:eastAsia="仿宋"/>
                <w:color w:val="000000" w:themeColor="text1"/>
                <w:sz w:val="30"/>
                <w:szCs w:val="30"/>
                <w14:textFill>
                  <w14:solidFill>
                    <w14:schemeClr w14:val="tx1"/>
                  </w14:solidFill>
                </w14:textFill>
              </w:rPr>
            </w:pPr>
          </w:p>
        </w:tc>
      </w:tr>
      <w:tr w14:paraId="1861A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8B3F34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48A025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F0ED6D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F7395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F77ED1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4CE5AC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C770E3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B78E93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1AFF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BACB36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030814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F42349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307E3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C3DD93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6958E1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EF3011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4795D1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CECF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3C372A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4483E5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029277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674D9A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612A6A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CBD9AB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69473A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CD5F05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B6AB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F896E1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228871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388053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CAD964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FE36F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A0111E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F9FB45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636A87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F575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FFEBC1D">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2795533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0D1CE6A2">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27B5E770">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6826E737">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5A55C710">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5"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浙江省交通运输宣传与保障中心2025年机关大院物业管理服务项目</w:t>
      </w:r>
      <w:bookmarkEnd w:id="45"/>
    </w:p>
    <w:p w14:paraId="7E65A408">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000000445_PM001"/>
      <w:r>
        <w:rPr>
          <w:rFonts w:hint="eastAsia" w:ascii="仿宋" w:hAnsi="仿宋" w:eastAsia="仿宋"/>
          <w:b/>
          <w:color w:val="000000" w:themeColor="text1"/>
          <w:sz w:val="36"/>
          <w:szCs w:val="36"/>
          <w:lang w:eastAsia="zh-CN"/>
          <w14:textFill>
            <w14:solidFill>
              <w14:schemeClr w14:val="tx1"/>
            </w14:solidFill>
          </w14:textFill>
        </w:rPr>
        <w:t>ZZCG2024P-GK-160</w:t>
      </w:r>
      <w:bookmarkEnd w:id="46"/>
      <w:r>
        <w:rPr>
          <w:rFonts w:hint="eastAsia" w:ascii="仿宋" w:hAnsi="仿宋" w:eastAsia="仿宋"/>
          <w:color w:val="000000" w:themeColor="text1"/>
          <w:sz w:val="36"/>
          <w:szCs w:val="36"/>
          <w14:textFill>
            <w14:solidFill>
              <w14:schemeClr w14:val="tx1"/>
            </w14:solidFill>
          </w14:textFill>
        </w:rPr>
        <w:t>（标项  ）</w:t>
      </w:r>
    </w:p>
    <w:p w14:paraId="480BEF5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4D9141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27719D84">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0B18B5FB">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F2ED829">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B41162A">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2234D4E2">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4B531C0">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5FE7544">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F315E79">
      <w:pPr>
        <w:snapToGrid w:val="0"/>
        <w:spacing w:before="50" w:after="50"/>
        <w:rPr>
          <w:rFonts w:ascii="仿宋" w:hAnsi="仿宋" w:eastAsia="仿宋"/>
          <w:color w:val="000000" w:themeColor="text1"/>
          <w:sz w:val="30"/>
          <w:szCs w:val="30"/>
          <w14:textFill>
            <w14:solidFill>
              <w14:schemeClr w14:val="tx1"/>
            </w14:solidFill>
          </w14:textFill>
        </w:rPr>
      </w:pPr>
    </w:p>
    <w:p w14:paraId="2D4C9854">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640531E5">
      <w:pPr>
        <w:rPr>
          <w:rFonts w:ascii="仿宋" w:hAnsi="仿宋" w:eastAsia="仿宋"/>
          <w:color w:val="000000" w:themeColor="text1"/>
          <w14:textFill>
            <w14:solidFill>
              <w14:schemeClr w14:val="tx1"/>
            </w14:solidFill>
          </w14:textFill>
        </w:rPr>
      </w:pPr>
    </w:p>
    <w:p w14:paraId="7CF085E1">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0D41AE75">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75B70C5D">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4391F087">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552BF7C">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D1C7C5D">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FF7C6C3">
      <w:pPr>
        <w:snapToGrid w:val="0"/>
        <w:rPr>
          <w:rFonts w:ascii="仿宋" w:hAnsi="仿宋" w:eastAsia="仿宋"/>
          <w:color w:val="000000" w:themeColor="text1"/>
          <w:sz w:val="28"/>
          <w:szCs w:val="28"/>
          <w14:textFill>
            <w14:solidFill>
              <w14:schemeClr w14:val="tx1"/>
            </w14:solidFill>
          </w14:textFill>
        </w:rPr>
      </w:pPr>
    </w:p>
    <w:p w14:paraId="749FC79B">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D6026EF">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34624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770EA59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0C23B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43F5CD0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0592C77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2F42256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4EBBF10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15F318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4304729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34FC7B8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43693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1D7370F4">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31DFEC28">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20FAFDAF">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455C2A7A">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7EC9CF78">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5131DEFE">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5868B13F">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0CA4ECD9">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6A39C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991A0D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1287D61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186D800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6E8423C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53FDFC8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752E654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412E590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160C40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3CBB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7DF6376A">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21A3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ED0AF9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6DEB141C">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6842CE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58A36F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85E0788">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EA110F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547FC1F">
      <w:pPr>
        <w:snapToGrid w:val="0"/>
        <w:spacing w:line="360" w:lineRule="auto"/>
        <w:rPr>
          <w:rFonts w:ascii="仿宋" w:hAnsi="仿宋" w:eastAsia="仿宋"/>
          <w:color w:val="000000" w:themeColor="text1"/>
          <w:sz w:val="30"/>
          <w:szCs w:val="30"/>
          <w14:textFill>
            <w14:solidFill>
              <w14:schemeClr w14:val="tx1"/>
            </w14:solidFill>
          </w14:textFill>
        </w:rPr>
      </w:pPr>
    </w:p>
    <w:p w14:paraId="0D18CECE">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4825B89D">
      <w:pPr>
        <w:snapToGrid w:val="0"/>
        <w:spacing w:line="360" w:lineRule="auto"/>
        <w:rPr>
          <w:color w:val="000000" w:themeColor="text1"/>
          <w14:textFill>
            <w14:solidFill>
              <w14:schemeClr w14:val="tx1"/>
            </w14:solidFill>
          </w14:textFill>
        </w:rPr>
      </w:pPr>
    </w:p>
    <w:p w14:paraId="5E9C9001">
      <w:pPr>
        <w:snapToGrid w:val="0"/>
        <w:spacing w:line="360" w:lineRule="auto"/>
        <w:rPr>
          <w:rFonts w:ascii="仿宋" w:hAnsi="仿宋" w:eastAsia="仿宋"/>
          <w:color w:val="000000" w:themeColor="text1"/>
          <w:sz w:val="30"/>
          <w:szCs w:val="30"/>
          <w14:textFill>
            <w14:solidFill>
              <w14:schemeClr w14:val="tx1"/>
            </w14:solidFill>
          </w14:textFill>
        </w:rPr>
      </w:pPr>
    </w:p>
    <w:p w14:paraId="5FED33E7">
      <w:pPr>
        <w:snapToGrid w:val="0"/>
        <w:spacing w:line="360" w:lineRule="auto"/>
        <w:rPr>
          <w:rFonts w:ascii="仿宋" w:hAnsi="仿宋" w:eastAsia="仿宋"/>
          <w:color w:val="000000" w:themeColor="text1"/>
          <w:sz w:val="30"/>
          <w:szCs w:val="30"/>
          <w14:textFill>
            <w14:solidFill>
              <w14:schemeClr w14:val="tx1"/>
            </w14:solidFill>
          </w14:textFill>
        </w:rPr>
      </w:pPr>
    </w:p>
    <w:p w14:paraId="2C66DDED">
      <w:pPr>
        <w:snapToGrid w:val="0"/>
        <w:spacing w:line="360" w:lineRule="auto"/>
        <w:rPr>
          <w:rFonts w:ascii="仿宋" w:hAnsi="仿宋" w:eastAsia="仿宋"/>
          <w:color w:val="000000" w:themeColor="text1"/>
          <w:sz w:val="30"/>
          <w:szCs w:val="30"/>
          <w14:textFill>
            <w14:solidFill>
              <w14:schemeClr w14:val="tx1"/>
            </w14:solidFill>
          </w14:textFill>
        </w:rPr>
      </w:pPr>
    </w:p>
    <w:p w14:paraId="3788DBDE"/>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58870">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E51DB">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AE51DB">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4021">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5D26FB05">
    <w:pPr>
      <w:pStyle w:val="38"/>
      <w:ind w:right="720" w:firstLine="180" w:firstLineChars="100"/>
      <w:jc w:val="center"/>
    </w:pPr>
  </w:p>
  <w:p w14:paraId="4A0DAD3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2FD4">
    <w:pPr>
      <w:pStyle w:val="38"/>
      <w:framePr w:wrap="around" w:vAnchor="text" w:hAnchor="margin" w:xAlign="outside" w:y="1"/>
      <w:rPr>
        <w:rStyle w:val="66"/>
      </w:rPr>
    </w:pPr>
    <w:r>
      <w:fldChar w:fldCharType="begin"/>
    </w:r>
    <w:r>
      <w:rPr>
        <w:rStyle w:val="66"/>
      </w:rPr>
      <w:instrText xml:space="preserve">PAGE  </w:instrText>
    </w:r>
    <w:r>
      <w:fldChar w:fldCharType="end"/>
    </w:r>
  </w:p>
  <w:p w14:paraId="088A9F73">
    <w:pPr>
      <w:pStyle w:val="38"/>
      <w:ind w:right="360" w:firstLine="360"/>
    </w:pPr>
  </w:p>
  <w:p w14:paraId="42568A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3EBB">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6741">
    <w:pPr>
      <w:pStyle w:val="282"/>
    </w:pPr>
  </w:p>
  <w:p w14:paraId="53B0A7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5ED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97E6267"/>
    <w:rsid w:val="226F30E0"/>
    <w:rsid w:val="6A1C7B83"/>
    <w:rsid w:val="6B6B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qFormat="1"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uiPriority="99"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9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9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9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ascii="Times New Roman" w:hAnsi="Times New Roman"/>
      <w:szCs w:val="20"/>
    </w:rPr>
  </w:style>
  <w:style w:type="paragraph" w:styleId="12">
    <w:name w:val="toc 7"/>
    <w:basedOn w:val="1"/>
    <w:next w:val="1"/>
    <w:qFormat/>
    <w:uiPriority w:val="99"/>
    <w:pPr>
      <w:ind w:left="1260"/>
      <w:jc w:val="left"/>
    </w:pPr>
    <w:rPr>
      <w:rFonts w:ascii="Times New Roman" w:hAnsi="Times New Roman"/>
      <w:sz w:val="18"/>
      <w:szCs w:val="18"/>
    </w:rPr>
  </w:style>
  <w:style w:type="paragraph" w:styleId="13">
    <w:name w:val="List Number 2"/>
    <w:basedOn w:val="1"/>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99"/>
    <w:pPr>
      <w:numPr>
        <w:ilvl w:val="0"/>
        <w:numId w:val="1"/>
      </w:numPr>
      <w:ind w:left="200" w:leftChars="200"/>
    </w:pPr>
    <w:rPr>
      <w:rFonts w:ascii="Times New Roman" w:hAnsi="Times New Roman"/>
      <w:sz w:val="18"/>
      <w:szCs w:val="24"/>
    </w:rPr>
  </w:style>
  <w:style w:type="paragraph" w:styleId="15">
    <w:name w:val="List Bullet 4"/>
    <w:basedOn w:val="1"/>
    <w:qFormat/>
    <w:uiPriority w:val="99"/>
    <w:pPr>
      <w:numPr>
        <w:ilvl w:val="0"/>
        <w:numId w:val="2"/>
      </w:numPr>
    </w:pPr>
    <w:rPr>
      <w:rFonts w:ascii="Times New Roman" w:hAnsi="Times New Roman"/>
      <w:szCs w:val="24"/>
    </w:rPr>
  </w:style>
  <w:style w:type="paragraph" w:styleId="16">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99"/>
    <w:rPr>
      <w:rFonts w:ascii="宋体"/>
      <w:sz w:val="18"/>
      <w:szCs w:val="18"/>
    </w:rPr>
  </w:style>
  <w:style w:type="paragraph" w:styleId="21">
    <w:name w:val="annotation text"/>
    <w:basedOn w:val="1"/>
    <w:link w:val="82"/>
    <w:qFormat/>
    <w:uiPriority w:val="99"/>
    <w:pPr>
      <w:jc w:val="left"/>
    </w:pPr>
  </w:style>
  <w:style w:type="paragraph" w:styleId="22">
    <w:name w:val="Salutation"/>
    <w:basedOn w:val="1"/>
    <w:next w:val="1"/>
    <w:link w:val="83"/>
    <w:qFormat/>
    <w:uiPriority w:val="99"/>
    <w:rPr>
      <w:rFonts w:ascii="宋体" w:hAnsi="Times New Roman"/>
      <w:b/>
      <w:sz w:val="28"/>
      <w:szCs w:val="20"/>
    </w:rPr>
  </w:style>
  <w:style w:type="paragraph" w:styleId="23">
    <w:name w:val="Body Text 3"/>
    <w:basedOn w:val="1"/>
    <w:link w:val="84"/>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qFormat/>
    <w:uiPriority w:val="99"/>
    <w:pPr>
      <w:spacing w:after="120"/>
    </w:pPr>
    <w:rPr>
      <w:sz w:val="28"/>
      <w:szCs w:val="24"/>
    </w:rPr>
  </w:style>
  <w:style w:type="paragraph" w:styleId="25">
    <w:name w:val="Body Text Indent"/>
    <w:basedOn w:val="1"/>
    <w:link w:val="86"/>
    <w:qFormat/>
    <w:uiPriority w:val="99"/>
    <w:pPr>
      <w:spacing w:line="200" w:lineRule="exact"/>
      <w:ind w:firstLine="301"/>
    </w:pPr>
    <w:rPr>
      <w:rFonts w:ascii="宋体" w:hAnsi="Courier New"/>
      <w:spacing w:val="-4"/>
      <w:sz w:val="18"/>
      <w:szCs w:val="20"/>
    </w:rPr>
  </w:style>
  <w:style w:type="paragraph" w:styleId="26">
    <w:name w:val="List Number 3"/>
    <w:basedOn w:val="1"/>
    <w:qFormat/>
    <w:uiPriority w:val="99"/>
    <w:pPr>
      <w:numPr>
        <w:ilvl w:val="0"/>
        <w:numId w:val="3"/>
      </w:numPr>
    </w:pPr>
    <w:rPr>
      <w:rFonts w:ascii="Times New Roman" w:hAnsi="Times New Roman"/>
      <w:szCs w:val="24"/>
    </w:rPr>
  </w:style>
  <w:style w:type="paragraph" w:styleId="27">
    <w:name w:val="List 2"/>
    <w:basedOn w:val="1"/>
    <w:qFormat/>
    <w:uiPriority w:val="99"/>
    <w:pPr>
      <w:ind w:left="100" w:leftChars="200" w:hanging="200" w:hangingChars="200"/>
    </w:pPr>
    <w:rPr>
      <w:rFonts w:ascii="Times New Roman" w:hAnsi="Times New Roman"/>
      <w:sz w:val="28"/>
      <w:szCs w:val="24"/>
    </w:rPr>
  </w:style>
  <w:style w:type="paragraph" w:styleId="28">
    <w:name w:val="List Bullet 2"/>
    <w:basedOn w:val="1"/>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9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99"/>
    <w:pPr>
      <w:ind w:left="840" w:leftChars="400"/>
    </w:pPr>
  </w:style>
  <w:style w:type="paragraph" w:styleId="31">
    <w:name w:val="Plain Text"/>
    <w:basedOn w:val="1"/>
    <w:link w:val="87"/>
    <w:qFormat/>
    <w:uiPriority w:val="99"/>
    <w:pPr>
      <w:spacing w:beforeLines="50" w:afterLines="50" w:line="400" w:lineRule="exact"/>
    </w:pPr>
    <w:rPr>
      <w:rFonts w:ascii="宋体" w:hAnsi="Courier New"/>
      <w:sz w:val="24"/>
      <w:szCs w:val="24"/>
    </w:rPr>
  </w:style>
  <w:style w:type="paragraph" w:styleId="32">
    <w:name w:val="List Bullet 5"/>
    <w:basedOn w:val="1"/>
    <w:qFormat/>
    <w:uiPriority w:val="99"/>
    <w:pPr>
      <w:numPr>
        <w:ilvl w:val="0"/>
        <w:numId w:val="4"/>
      </w:numPr>
    </w:pPr>
    <w:rPr>
      <w:rFonts w:ascii="Times New Roman" w:hAnsi="Times New Roman"/>
      <w:szCs w:val="24"/>
    </w:rPr>
  </w:style>
  <w:style w:type="paragraph" w:styleId="33">
    <w:name w:val="toc 8"/>
    <w:basedOn w:val="1"/>
    <w:next w:val="1"/>
    <w:qFormat/>
    <w:uiPriority w:val="99"/>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99"/>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9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99"/>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99"/>
    <w:pPr>
      <w:ind w:left="1050"/>
      <w:jc w:val="left"/>
    </w:pPr>
    <w:rPr>
      <w:rFonts w:ascii="Times New Roman" w:hAnsi="Times New Roman"/>
      <w:sz w:val="18"/>
      <w:szCs w:val="18"/>
    </w:rPr>
  </w:style>
  <w:style w:type="paragraph" w:styleId="46">
    <w:name w:val="Body Text Indent 3"/>
    <w:basedOn w:val="1"/>
    <w:link w:val="96"/>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9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99"/>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99"/>
    <w:rPr>
      <w:rFonts w:ascii="Times New Roman" w:hAnsi="Times New Roman"/>
      <w:szCs w:val="20"/>
    </w:rPr>
  </w:style>
  <w:style w:type="paragraph" w:styleId="55">
    <w:name w:val="Title"/>
    <w:basedOn w:val="1"/>
    <w:link w:val="99"/>
    <w:qFormat/>
    <w:uiPriority w:val="99"/>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99"/>
    <w:rPr>
      <w:b/>
      <w:bCs/>
    </w:rPr>
  </w:style>
  <w:style w:type="paragraph" w:styleId="57">
    <w:name w:val="Body Text First Indent"/>
    <w:basedOn w:val="24"/>
    <w:link w:val="992"/>
    <w:qFormat/>
    <w:uiPriority w:val="99"/>
    <w:pPr>
      <w:ind w:firstLine="420" w:firstLineChars="100"/>
    </w:pPr>
    <w:rPr>
      <w:sz w:val="21"/>
      <w:szCs w:val="22"/>
    </w:rPr>
  </w:style>
  <w:style w:type="paragraph" w:styleId="58">
    <w:name w:val="Body Text First Indent 2"/>
    <w:basedOn w:val="25"/>
    <w:link w:val="995"/>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qFormat/>
    <w:uiPriority w:val="0"/>
  </w:style>
  <w:style w:type="paragraph" w:styleId="182">
    <w:name w:val="List Paragraph"/>
    <w:basedOn w:val="1"/>
    <w:link w:val="993"/>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next w:val="1"/>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文本首行缩进 字符"/>
    <w:basedOn w:val="85"/>
    <w:link w:val="57"/>
    <w:qFormat/>
    <w:uiPriority w:val="99"/>
    <w:rPr>
      <w:rFonts w:ascii="Calibri" w:hAnsi="Calibri" w:eastAsia="宋体" w:cs="Times New Roman"/>
      <w:sz w:val="28"/>
      <w:szCs w:val="24"/>
    </w:rPr>
  </w:style>
  <w:style w:type="character" w:customStyle="1" w:styleId="993">
    <w:name w:val="列表段落 字符1"/>
    <w:link w:val="182"/>
    <w:qFormat/>
    <w:uiPriority w:val="0"/>
    <w:rPr>
      <w:rFonts w:asciiTheme="minorHAnsi" w:hAnsiTheme="minorHAnsi" w:eastAsiaTheme="minorEastAsia" w:cstheme="minorBidi"/>
    </w:rPr>
  </w:style>
  <w:style w:type="paragraph" w:customStyle="1" w:styleId="994">
    <w:name w:val="列表段落2"/>
    <w:basedOn w:val="1"/>
    <w:qFormat/>
    <w:uiPriority w:val="99"/>
    <w:pPr>
      <w:ind w:firstLine="420" w:firstLineChars="200"/>
    </w:pPr>
    <w:rPr>
      <w:rFonts w:eastAsia="宋体" w:cs="Times New Roman"/>
    </w:rPr>
  </w:style>
  <w:style w:type="character" w:customStyle="1" w:styleId="995">
    <w:name w:val="正文文本首行缩进 2 字符"/>
    <w:basedOn w:val="86"/>
    <w:link w:val="58"/>
    <w:qFormat/>
    <w:uiPriority w:val="99"/>
    <w:rPr>
      <w:rFonts w:ascii="Times New Roman" w:hAnsi="Times New Roman" w:eastAsia="宋体" w:cs="Times New Roman"/>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23869</Words>
  <Characters>25149</Characters>
  <Lines>1280</Lines>
  <Paragraphs>1000</Paragraphs>
  <TotalTime>6</TotalTime>
  <ScaleCrop>false</ScaleCrop>
  <LinksUpToDate>false</LinksUpToDate>
  <CharactersWithSpaces>25257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2024-12-23T09:22:14Z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A435A8055EDA46DD874638270DFD3C8E_12</vt:lpwstr>
  </property>
</Properties>
</file>