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EE664">
      <w:pPr>
        <w:spacing w:before="312" w:beforeLines="100" w:line="360" w:lineRule="auto"/>
        <w:jc w:val="center"/>
        <w:rPr>
          <w:rFonts w:hint="eastAsia" w:ascii="宋体" w:hAnsi="宋体" w:eastAsia="宋体" w:cs="Times New Roman"/>
          <w:b/>
          <w:bCs/>
          <w:color w:val="000000"/>
          <w:sz w:val="52"/>
          <w:szCs w:val="52"/>
          <w:lang w:eastAsia="zh-CN"/>
        </w:rPr>
      </w:pPr>
      <w:r>
        <w:rPr>
          <w:rFonts w:hint="eastAsia" w:ascii="宋体" w:hAnsi="宋体" w:eastAsia="宋体" w:cs="Times New Roman"/>
          <w:b/>
          <w:bCs/>
          <w:color w:val="000000"/>
          <w:sz w:val="52"/>
          <w:szCs w:val="52"/>
          <w:lang w:eastAsia="zh-CN"/>
        </w:rPr>
        <w:t>浙江科技大学“浙科智学”数字化教学综合平台</w:t>
      </w:r>
    </w:p>
    <w:p w14:paraId="118E6C1F">
      <w:pPr>
        <w:spacing w:before="312" w:beforeLines="100" w:line="360" w:lineRule="auto"/>
        <w:jc w:val="center"/>
        <w:rPr>
          <w:rFonts w:hint="eastAsia" w:ascii="宋体" w:hAnsi="宋体" w:eastAsia="宋体" w:cs="Times New Roman"/>
          <w:color w:val="000000"/>
          <w:sz w:val="36"/>
          <w:szCs w:val="36"/>
          <w:lang w:eastAsia="zh-CN"/>
        </w:rPr>
      </w:pPr>
      <w:r>
        <w:rPr>
          <w:rFonts w:hint="eastAsia" w:ascii="宋体" w:hAnsi="宋体" w:eastAsia="宋体" w:cs="Times New Roman"/>
          <w:color w:val="000000"/>
          <w:sz w:val="36"/>
          <w:szCs w:val="36"/>
        </w:rPr>
        <w:t>项目编号：</w:t>
      </w:r>
      <w:r>
        <w:rPr>
          <w:rFonts w:hint="eastAsia" w:ascii="宋体" w:hAnsi="宋体" w:eastAsia="宋体" w:cs="Times New Roman"/>
          <w:color w:val="000000"/>
          <w:sz w:val="36"/>
          <w:szCs w:val="36"/>
          <w:lang w:eastAsia="zh-CN"/>
        </w:rPr>
        <w:t>ZZCG2025X-GK-125</w:t>
      </w:r>
    </w:p>
    <w:p w14:paraId="31A53F15">
      <w:pPr>
        <w:widowControl w:val="0"/>
        <w:spacing w:after="120"/>
        <w:jc w:val="both"/>
        <w:rPr>
          <w:rFonts w:hint="eastAsia" w:ascii="Calibri" w:hAnsi="Calibri" w:eastAsia="宋体" w:cs="Times New Roman"/>
          <w:kern w:val="2"/>
          <w:sz w:val="28"/>
          <w:szCs w:val="24"/>
          <w:lang w:val="en-US" w:eastAsia="zh-CN" w:bidi="ar-SA"/>
        </w:rPr>
      </w:pPr>
    </w:p>
    <w:p w14:paraId="7E1E014B">
      <w:pPr>
        <w:spacing w:before="312" w:beforeLines="100" w:after="100" w:afterAutospacing="1" w:line="800" w:lineRule="exact"/>
        <w:jc w:val="center"/>
        <w:rPr>
          <w:rFonts w:ascii="宋体" w:hAnsi="宋体" w:eastAsia="宋体" w:cs="Times New Roman"/>
          <w:b/>
          <w:color w:val="000000"/>
          <w:spacing w:val="40"/>
          <w:sz w:val="84"/>
          <w:szCs w:val="84"/>
        </w:rPr>
      </w:pPr>
      <w:r>
        <w:rPr>
          <w:rFonts w:hint="eastAsia" w:ascii="宋体" w:hAnsi="宋体" w:eastAsia="宋体" w:cs="Times New Roman"/>
          <w:b/>
          <w:color w:val="000000"/>
          <w:spacing w:val="40"/>
          <w:sz w:val="84"/>
          <w:szCs w:val="84"/>
        </w:rPr>
        <w:t>公</w:t>
      </w:r>
    </w:p>
    <w:p w14:paraId="4C0F5258">
      <w:pPr>
        <w:spacing w:after="100" w:afterAutospacing="1" w:line="800" w:lineRule="exact"/>
        <w:ind w:right="-108"/>
        <w:jc w:val="center"/>
        <w:rPr>
          <w:rFonts w:ascii="宋体" w:hAnsi="宋体" w:eastAsia="宋体" w:cs="Times New Roman"/>
          <w:b/>
          <w:color w:val="000000"/>
          <w:spacing w:val="40"/>
          <w:sz w:val="84"/>
          <w:szCs w:val="84"/>
        </w:rPr>
      </w:pPr>
      <w:r>
        <w:rPr>
          <w:rFonts w:hint="eastAsia" w:ascii="宋体" w:hAnsi="宋体" w:eastAsia="宋体" w:cs="Times New Roman"/>
          <w:b/>
          <w:color w:val="000000"/>
          <w:spacing w:val="40"/>
          <w:sz w:val="84"/>
          <w:szCs w:val="84"/>
        </w:rPr>
        <w:t>开</w:t>
      </w:r>
    </w:p>
    <w:p w14:paraId="1538F7E8">
      <w:pPr>
        <w:spacing w:after="100" w:afterAutospacing="1" w:line="800" w:lineRule="exact"/>
        <w:ind w:right="-108"/>
        <w:jc w:val="center"/>
        <w:rPr>
          <w:rFonts w:ascii="宋体" w:hAnsi="宋体" w:eastAsia="宋体" w:cs="Times New Roman"/>
          <w:b/>
          <w:color w:val="000000"/>
          <w:spacing w:val="40"/>
          <w:sz w:val="84"/>
          <w:szCs w:val="84"/>
        </w:rPr>
      </w:pPr>
      <w:r>
        <w:rPr>
          <w:rFonts w:hint="eastAsia" w:ascii="宋体" w:hAnsi="宋体" w:eastAsia="宋体" w:cs="Times New Roman"/>
          <w:b/>
          <w:color w:val="000000"/>
          <w:spacing w:val="40"/>
          <w:sz w:val="84"/>
          <w:szCs w:val="84"/>
        </w:rPr>
        <w:t xml:space="preserve">招 </w:t>
      </w:r>
    </w:p>
    <w:p w14:paraId="2A80AED5">
      <w:pPr>
        <w:spacing w:after="100" w:afterAutospacing="1" w:line="800" w:lineRule="exact"/>
        <w:ind w:right="-108"/>
        <w:jc w:val="center"/>
        <w:rPr>
          <w:rFonts w:ascii="宋体" w:hAnsi="宋体" w:eastAsia="宋体" w:cs="Times New Roman"/>
          <w:b/>
          <w:color w:val="000000"/>
          <w:spacing w:val="40"/>
          <w:sz w:val="84"/>
          <w:szCs w:val="84"/>
        </w:rPr>
      </w:pPr>
      <w:r>
        <w:rPr>
          <w:rFonts w:hint="eastAsia" w:ascii="宋体" w:hAnsi="宋体" w:eastAsia="宋体" w:cs="Times New Roman"/>
          <w:b/>
          <w:color w:val="000000"/>
          <w:spacing w:val="40"/>
          <w:sz w:val="84"/>
          <w:szCs w:val="84"/>
        </w:rPr>
        <w:t>标</w:t>
      </w:r>
    </w:p>
    <w:p w14:paraId="6C141271">
      <w:pPr>
        <w:spacing w:after="100" w:afterAutospacing="1" w:line="800" w:lineRule="exact"/>
        <w:ind w:right="-108"/>
        <w:jc w:val="center"/>
        <w:rPr>
          <w:rFonts w:ascii="宋体" w:hAnsi="宋体" w:eastAsia="宋体" w:cs="Times New Roman"/>
          <w:b/>
          <w:color w:val="000000"/>
          <w:spacing w:val="40"/>
          <w:sz w:val="84"/>
          <w:szCs w:val="84"/>
        </w:rPr>
      </w:pPr>
      <w:r>
        <w:rPr>
          <w:rFonts w:hint="eastAsia" w:ascii="宋体" w:hAnsi="宋体" w:eastAsia="宋体" w:cs="Times New Roman"/>
          <w:b/>
          <w:color w:val="000000"/>
          <w:spacing w:val="40"/>
          <w:sz w:val="84"/>
          <w:szCs w:val="84"/>
        </w:rPr>
        <w:t>文</w:t>
      </w:r>
    </w:p>
    <w:p w14:paraId="0D7D310C">
      <w:pPr>
        <w:spacing w:after="100" w:afterAutospacing="1" w:line="800" w:lineRule="exact"/>
        <w:ind w:right="-108"/>
        <w:jc w:val="center"/>
        <w:rPr>
          <w:rFonts w:ascii="宋体" w:hAnsi="宋体" w:eastAsia="宋体" w:cs="Times New Roman"/>
          <w:color w:val="000000"/>
          <w:sz w:val="32"/>
          <w:szCs w:val="32"/>
        </w:rPr>
      </w:pPr>
      <w:r>
        <w:rPr>
          <w:rFonts w:hint="eastAsia" w:ascii="宋体" w:hAnsi="宋体" w:eastAsia="宋体" w:cs="Times New Roman"/>
          <w:b/>
          <w:color w:val="000000"/>
          <w:spacing w:val="40"/>
          <w:sz w:val="84"/>
          <w:szCs w:val="84"/>
        </w:rPr>
        <w:t>件</w:t>
      </w:r>
    </w:p>
    <w:p w14:paraId="68C9CF04">
      <w:pPr>
        <w:ind w:right="-110"/>
        <w:rPr>
          <w:rFonts w:ascii="宋体" w:hAnsi="宋体" w:eastAsia="宋体" w:cs="Times New Roman"/>
          <w:color w:val="000000"/>
          <w:sz w:val="32"/>
          <w:szCs w:val="32"/>
        </w:rPr>
      </w:pPr>
    </w:p>
    <w:p w14:paraId="2896F813">
      <w:pPr>
        <w:spacing w:line="500" w:lineRule="exact"/>
        <w:ind w:right="532"/>
        <w:jc w:val="center"/>
        <w:rPr>
          <w:rFonts w:ascii="宋体" w:hAnsi="宋体" w:eastAsia="宋体" w:cs="Times New Roman"/>
          <w:color w:val="000000"/>
          <w:sz w:val="36"/>
          <w:szCs w:val="36"/>
        </w:rPr>
      </w:pPr>
      <w:r>
        <w:rPr>
          <w:rFonts w:hint="eastAsia" w:ascii="宋体" w:hAnsi="宋体" w:eastAsia="宋体" w:cs="Times New Roman"/>
          <w:color w:val="000000"/>
          <w:sz w:val="36"/>
          <w:szCs w:val="36"/>
        </w:rPr>
        <w:t>浙 江 省 政 府 采 购 中 心</w:t>
      </w:r>
    </w:p>
    <w:p w14:paraId="5CD05589">
      <w:pPr>
        <w:spacing w:line="500" w:lineRule="exact"/>
        <w:ind w:right="532"/>
        <w:jc w:val="center"/>
        <w:rPr>
          <w:rFonts w:ascii="宋体" w:hAnsi="宋体" w:eastAsia="宋体" w:cs="Times New Roman"/>
          <w:color w:val="000000"/>
          <w:sz w:val="36"/>
          <w:szCs w:val="36"/>
        </w:rPr>
      </w:pPr>
    </w:p>
    <w:p w14:paraId="24760D8B">
      <w:pPr>
        <w:wordWrap w:val="0"/>
        <w:spacing w:line="500" w:lineRule="exact"/>
        <w:ind w:right="-108"/>
        <w:jc w:val="center"/>
        <w:rPr>
          <w:rFonts w:hAnsi="宋体" w:eastAsia="宋体" w:cs="Times New Roman"/>
          <w:b/>
          <w:color w:val="000000"/>
          <w:sz w:val="36"/>
          <w:szCs w:val="36"/>
        </w:rPr>
      </w:pPr>
      <w:r>
        <w:rPr>
          <w:rFonts w:hint="eastAsia" w:ascii="宋体" w:hAnsi="宋体" w:eastAsia="宋体" w:cs="Times New Roman"/>
          <w:color w:val="000000"/>
          <w:sz w:val="36"/>
          <w:szCs w:val="36"/>
        </w:rPr>
        <w:t>地    址：杭州市西湖区宝石一路3号</w:t>
      </w:r>
    </w:p>
    <w:p w14:paraId="4E0616C0">
      <w:pPr>
        <w:spacing w:line="500" w:lineRule="exact"/>
        <w:ind w:right="-108" w:firstLine="3072" w:firstLineChars="850"/>
        <w:rPr>
          <w:rFonts w:hAnsi="宋体" w:eastAsia="宋体" w:cs="Times New Roman"/>
          <w:b/>
          <w:color w:val="000000"/>
          <w:sz w:val="36"/>
          <w:szCs w:val="36"/>
        </w:rPr>
      </w:pPr>
    </w:p>
    <w:p w14:paraId="15CA46C1">
      <w:pPr>
        <w:spacing w:line="500" w:lineRule="exact"/>
        <w:ind w:right="-108" w:firstLine="3072" w:firstLineChars="850"/>
        <w:rPr>
          <w:rFonts w:hAnsi="宋体" w:eastAsia="宋体" w:cs="Times New Roman"/>
          <w:b/>
          <w:color w:val="000000"/>
          <w:sz w:val="36"/>
          <w:szCs w:val="36"/>
        </w:rPr>
      </w:pPr>
    </w:p>
    <w:p w14:paraId="5D609099">
      <w:pPr>
        <w:spacing w:line="500" w:lineRule="exact"/>
        <w:ind w:right="-108" w:firstLine="3072" w:firstLineChars="850"/>
        <w:rPr>
          <w:rFonts w:hAnsi="宋体" w:eastAsia="宋体" w:cs="Times New Roman"/>
          <w:b/>
          <w:color w:val="000000"/>
          <w:sz w:val="36"/>
          <w:szCs w:val="36"/>
        </w:rPr>
      </w:pPr>
    </w:p>
    <w:p w14:paraId="58EA044E">
      <w:pPr>
        <w:spacing w:line="500" w:lineRule="exact"/>
        <w:ind w:right="-108" w:firstLine="3072" w:firstLineChars="850"/>
        <w:rPr>
          <w:rFonts w:hAnsi="宋体" w:eastAsia="宋体" w:cs="Times New Roman"/>
          <w:b/>
          <w:color w:val="000000"/>
          <w:sz w:val="36"/>
          <w:szCs w:val="36"/>
        </w:rPr>
      </w:pPr>
    </w:p>
    <w:p w14:paraId="205526BD">
      <w:pPr>
        <w:spacing w:line="500" w:lineRule="exact"/>
        <w:ind w:right="-108"/>
        <w:jc w:val="center"/>
        <w:rPr>
          <w:rFonts w:hAnsi="宋体" w:eastAsia="宋体" w:cs="Times New Roman"/>
          <w:b/>
          <w:color w:val="000000"/>
          <w:sz w:val="36"/>
          <w:szCs w:val="36"/>
        </w:rPr>
      </w:pPr>
      <w:r>
        <w:rPr>
          <w:rFonts w:hint="eastAsia" w:hAnsi="宋体" w:eastAsia="宋体" w:cs="Times New Roman"/>
          <w:b/>
          <w:color w:val="000000"/>
          <w:sz w:val="36"/>
          <w:szCs w:val="36"/>
        </w:rPr>
        <w:t>目</w:t>
      </w:r>
      <w:r>
        <w:rPr>
          <w:rFonts w:hAnsi="宋体" w:eastAsia="宋体" w:cs="Times New Roman"/>
          <w:b/>
          <w:color w:val="000000"/>
          <w:sz w:val="36"/>
          <w:szCs w:val="36"/>
        </w:rPr>
        <w:t xml:space="preserve">     </w:t>
      </w:r>
      <w:r>
        <w:rPr>
          <w:rFonts w:hint="eastAsia" w:hAnsi="宋体" w:eastAsia="宋体" w:cs="Times New Roman"/>
          <w:b/>
          <w:color w:val="000000"/>
          <w:sz w:val="36"/>
          <w:szCs w:val="36"/>
        </w:rPr>
        <w:t>录</w:t>
      </w:r>
    </w:p>
    <w:p w14:paraId="0727816F">
      <w:pPr>
        <w:widowControl w:val="0"/>
        <w:spacing w:before="156" w:beforeLines="50" w:after="156" w:afterLines="50" w:line="360" w:lineRule="auto"/>
        <w:jc w:val="center"/>
        <w:rPr>
          <w:rFonts w:ascii="宋体" w:hAnsi="宋体" w:eastAsia="仿宋_GB2312" w:cs="Times New Roman"/>
          <w:color w:val="000000"/>
          <w:kern w:val="2"/>
          <w:sz w:val="32"/>
          <w:szCs w:val="32"/>
          <w:lang w:val="en-US" w:eastAsia="zh-CN" w:bidi="ar-SA"/>
        </w:rPr>
      </w:pPr>
    </w:p>
    <w:p w14:paraId="37C50E2A">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hint="eastAsia" w:ascii="宋体" w:hAnsi="宋体" w:eastAsia="仿宋_GB2312" w:cs="Times New Roman"/>
          <w:color w:val="000000"/>
          <w:kern w:val="2"/>
          <w:sz w:val="30"/>
          <w:szCs w:val="30"/>
          <w:lang w:val="en-US" w:eastAsia="zh-CN" w:bidi="ar-SA"/>
        </w:rPr>
        <w:fldChar w:fldCharType="begin"/>
      </w:r>
      <w:r>
        <w:rPr>
          <w:rFonts w:hint="eastAsia" w:ascii="宋体" w:hAnsi="宋体" w:eastAsia="仿宋_GB2312" w:cs="Times New Roman"/>
          <w:color w:val="000000"/>
          <w:kern w:val="2"/>
          <w:sz w:val="30"/>
          <w:szCs w:val="30"/>
          <w:lang w:val="en-US" w:eastAsia="zh-CN" w:bidi="ar-SA"/>
        </w:rPr>
        <w:instrText xml:space="preserve"> TOC \o "1-1" \h \z \u </w:instrText>
      </w:r>
      <w:r>
        <w:rPr>
          <w:rFonts w:hint="eastAsia" w:ascii="宋体" w:hAnsi="宋体" w:eastAsia="仿宋_GB2312" w:cs="Times New Roman"/>
          <w:color w:val="000000"/>
          <w:kern w:val="2"/>
          <w:sz w:val="30"/>
          <w:szCs w:val="30"/>
          <w:lang w:val="en-US" w:eastAsia="zh-CN" w:bidi="ar-SA"/>
        </w:rPr>
        <w:fldChar w:fldCharType="separate"/>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"_Toc2371"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第一章公开招标采购公告</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_Toc2371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3</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37D5609E">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"_Toc29498" </w:instrText>
      </w:r>
      <w:r>
        <w:rPr>
          <w:rFonts w:ascii="Times New Roman" w:hAnsi="Times New Roman" w:eastAsia="仿宋" w:cs="Times New Roman"/>
          <w:kern w:val="2"/>
          <w:sz w:val="36"/>
          <w:szCs w:val="24"/>
          <w:lang w:val="en-US" w:eastAsia="zh-CN" w:bidi="ar-SA"/>
        </w:rPr>
        <w:fldChar w:fldCharType="separate"/>
      </w:r>
      <w:r>
        <w:rPr>
          <w:rFonts w:hint="eastAsia" w:ascii="仿宋" w:hAnsi="仿宋" w:eastAsia="仿宋" w:cs="Times New Roman"/>
          <w:kern w:val="2"/>
          <w:sz w:val="36"/>
          <w:szCs w:val="36"/>
          <w:lang w:val="en-US" w:eastAsia="zh-CN" w:bidi="ar-SA"/>
        </w:rPr>
        <w:t>第二章投标人须知</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_Toc29498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7</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33BE3DBA">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"_Toc2834"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第三章评标办法及评分标准</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_Toc2834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29</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2ECE7D4D">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"_Toc24960"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第四章招标需求</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_Toc24960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33</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4B23FEB9">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"_Toc26308"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第五章浙江省政府采购合同主要条款指引</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_Toc26308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34</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573AC849">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"_Toc22013"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第六章投标文件格式附件</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_Toc22013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46</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50E91C83">
      <w:pPr>
        <w:spacing w:before="156" w:beforeLines="50" w:line="480" w:lineRule="exact"/>
        <w:ind w:left="165"/>
        <w:rPr>
          <w:rFonts w:ascii="宋体" w:hAnsi="宋体" w:eastAsia="仿宋_GB2312" w:cs="Times New Roman"/>
          <w:color w:val="000000"/>
          <w:sz w:val="30"/>
          <w:szCs w:val="30"/>
        </w:rPr>
      </w:pPr>
      <w:r>
        <w:rPr>
          <w:rFonts w:hint="eastAsia" w:ascii="宋体" w:hAnsi="宋体" w:eastAsia="仿宋_GB2312" w:cs="Times New Roman"/>
          <w:color w:val="000000"/>
          <w:szCs w:val="30"/>
        </w:rPr>
        <w:fldChar w:fldCharType="end"/>
      </w:r>
    </w:p>
    <w:p w14:paraId="29A017F0">
      <w:pPr>
        <w:widowControl w:val="0"/>
        <w:spacing w:before="156" w:beforeLines="50" w:after="156" w:afterLines="50" w:line="360" w:lineRule="auto"/>
        <w:ind w:firstLine="640"/>
        <w:jc w:val="center"/>
        <w:outlineLvl w:val="0"/>
        <w:rPr>
          <w:rFonts w:ascii="宋体" w:hAnsi="宋体" w:eastAsia="宋体" w:cs="Times New Roman"/>
          <w:b/>
          <w:color w:val="000000"/>
          <w:kern w:val="2"/>
          <w:sz w:val="36"/>
          <w:szCs w:val="36"/>
          <w:lang w:val="en-US" w:eastAsia="zh-CN" w:bidi="ar-SA"/>
        </w:rPr>
      </w:pPr>
      <w:r>
        <w:rPr>
          <w:rFonts w:hint="eastAsia" w:ascii="宋体" w:hAnsi="宋体" w:eastAsia="仿宋_GB2312" w:cs="Times New Roman"/>
          <w:color w:val="000000"/>
          <w:kern w:val="0"/>
          <w:sz w:val="32"/>
          <w:szCs w:val="32"/>
          <w:lang w:val="en-US" w:eastAsia="zh-CN" w:bidi="ar-SA"/>
        </w:rPr>
        <w:br w:type="page"/>
      </w:r>
      <w:bookmarkStart w:id="0" w:name="_Toc2371"/>
      <w:r>
        <w:rPr>
          <w:rFonts w:hint="eastAsia" w:ascii="宋体" w:hAnsi="宋体" w:eastAsia="宋体" w:cs="Times New Roman"/>
          <w:b/>
          <w:color w:val="000000"/>
          <w:kern w:val="2"/>
          <w:sz w:val="36"/>
          <w:szCs w:val="36"/>
          <w:lang w:val="en-US" w:eastAsia="zh-CN" w:bidi="ar-SA"/>
        </w:rPr>
        <w:t>第一章 公开招标采购公告</w:t>
      </w:r>
      <w:bookmarkEnd w:id="0"/>
    </w:p>
    <w:p w14:paraId="089A8960">
      <w:pPr>
        <w:widowControl w:val="0"/>
        <w:snapToGrid w:val="0"/>
        <w:spacing w:after="156" w:afterLines="50" w:line="460" w:lineRule="exact"/>
        <w:ind w:firstLine="560" w:firstLineChars="200"/>
        <w:jc w:val="both"/>
        <w:rPr>
          <w:rFonts w:ascii="仿宋" w:hAnsi="仿宋" w:eastAsia="仿宋" w:cs="Times New Roman"/>
          <w:color w:val="000000"/>
          <w:kern w:val="0"/>
          <w:sz w:val="30"/>
          <w:szCs w:val="30"/>
          <w:lang w:val="en-US" w:eastAsia="zh-CN" w:bidi="ar-SA"/>
        </w:rPr>
      </w:pPr>
      <w:r>
        <w:rPr>
          <w:rFonts w:hint="eastAsia" w:ascii="仿宋" w:hAnsi="仿宋" w:eastAsia="仿宋" w:cs="Times New Roman"/>
          <w:color w:val="000000"/>
          <w:kern w:val="0"/>
          <w:sz w:val="28"/>
          <w:szCs w:val="28"/>
          <w:lang w:val="en-US" w:eastAsia="zh-CN" w:bidi="ar-SA"/>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Times New Roman"/>
          <w:color w:val="000000"/>
          <w:kern w:val="0"/>
          <w:sz w:val="30"/>
          <w:szCs w:val="30"/>
          <w:lang w:val="en-US" w:eastAsia="zh-CN" w:bidi="ar-SA"/>
        </w:rPr>
        <w:t>：</w:t>
      </w:r>
    </w:p>
    <w:p w14:paraId="50B8B39A">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r>
        <w:rPr>
          <w:rFonts w:hint="eastAsia" w:ascii="仿宋" w:hAnsi="仿宋" w:eastAsia="仿宋" w:cs="Arial"/>
          <w:b/>
          <w:bCs/>
          <w:color w:val="000000"/>
          <w:sz w:val="30"/>
          <w:szCs w:val="30"/>
          <w:lang w:eastAsia="zh-CN"/>
        </w:rPr>
        <w:t>ZZCG2025X-GK-125</w:t>
      </w:r>
    </w:p>
    <w:p w14:paraId="634B9EA8">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1353C897">
      <w:pPr>
        <w:snapToGrid w:val="0"/>
        <w:spacing w:after="156"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1" w:name="PO_15528_PM004"/>
      <w:r>
        <w:rPr>
          <w:rFonts w:hint="eastAsia" w:ascii="仿宋" w:hAnsi="仿宋" w:eastAsia="仿宋" w:cs="Arial"/>
          <w:b/>
          <w:color w:val="000000"/>
          <w:sz w:val="28"/>
          <w:szCs w:val="28"/>
          <w:lang w:eastAsia="zh-CN"/>
        </w:rPr>
        <w:t xml:space="preserve"> </w:t>
      </w:r>
    </w:p>
    <w:tbl>
      <w:tblPr>
        <w:tblStyle w:val="6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3133"/>
        <w:gridCol w:w="703"/>
        <w:gridCol w:w="688"/>
        <w:gridCol w:w="1578"/>
        <w:gridCol w:w="1576"/>
        <w:gridCol w:w="1208"/>
      </w:tblGrid>
      <w:tr w14:paraId="4077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tcPr>
          <w:p w14:paraId="712F5B83">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标项序号</w:t>
            </w:r>
          </w:p>
        </w:tc>
        <w:tc>
          <w:tcPr>
            <w:tcW w:w="1626" w:type="pct"/>
          </w:tcPr>
          <w:p w14:paraId="28E1C53C">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标项名称</w:t>
            </w:r>
          </w:p>
        </w:tc>
        <w:tc>
          <w:tcPr>
            <w:tcW w:w="365" w:type="pct"/>
          </w:tcPr>
          <w:p w14:paraId="52A29E63">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数量</w:t>
            </w:r>
          </w:p>
        </w:tc>
        <w:tc>
          <w:tcPr>
            <w:tcW w:w="357" w:type="pct"/>
          </w:tcPr>
          <w:p w14:paraId="4DC4EEA4">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单位</w:t>
            </w:r>
          </w:p>
        </w:tc>
        <w:tc>
          <w:tcPr>
            <w:tcW w:w="819" w:type="pct"/>
          </w:tcPr>
          <w:p w14:paraId="5F0FAAE0">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预算金额(万元)</w:t>
            </w:r>
          </w:p>
        </w:tc>
        <w:tc>
          <w:tcPr>
            <w:tcW w:w="818" w:type="pct"/>
          </w:tcPr>
          <w:p w14:paraId="5134B37B">
            <w:pPr>
              <w:snapToGrid w:val="0"/>
              <w:spacing w:after="156" w:afterLines="50" w:line="460" w:lineRule="exact"/>
              <w:rPr>
                <w:rFonts w:hint="default" w:ascii="仿宋" w:hAnsi="仿宋" w:eastAsia="仿宋" w:cs="Arial"/>
                <w:b/>
                <w:color w:val="000000"/>
                <w:sz w:val="28"/>
                <w:szCs w:val="28"/>
                <w:vertAlign w:val="baseline"/>
                <w:lang w:val="en-US" w:eastAsia="zh-CN"/>
              </w:rPr>
            </w:pPr>
            <w:r>
              <w:rPr>
                <w:rFonts w:hint="eastAsia" w:ascii="仿宋" w:hAnsi="仿宋" w:eastAsia="仿宋" w:cs="Arial"/>
                <w:b/>
                <w:color w:val="000000"/>
                <w:sz w:val="28"/>
                <w:szCs w:val="28"/>
                <w:vertAlign w:val="baseline"/>
                <w:lang w:val="en-US" w:eastAsia="zh-CN"/>
              </w:rPr>
              <w:t>最高限价（万元）</w:t>
            </w:r>
          </w:p>
        </w:tc>
        <w:tc>
          <w:tcPr>
            <w:tcW w:w="627" w:type="pct"/>
          </w:tcPr>
          <w:p w14:paraId="32E9EB3F">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简要规格描述或标项基本概况介绍</w:t>
            </w:r>
          </w:p>
        </w:tc>
      </w:tr>
      <w:tr w14:paraId="409A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vAlign w:val="top"/>
          </w:tcPr>
          <w:p w14:paraId="4676F471">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1626" w:type="pct"/>
            <w:vAlign w:val="top"/>
          </w:tcPr>
          <w:p w14:paraId="19D81E53">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浙江科技大学“浙科智学”数字化教学综合平台</w:t>
            </w:r>
          </w:p>
        </w:tc>
        <w:tc>
          <w:tcPr>
            <w:tcW w:w="365" w:type="pct"/>
            <w:vAlign w:val="top"/>
          </w:tcPr>
          <w:p w14:paraId="550CF9C6">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357" w:type="pct"/>
            <w:vAlign w:val="top"/>
          </w:tcPr>
          <w:p w14:paraId="2B839490">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批</w:t>
            </w:r>
          </w:p>
        </w:tc>
        <w:tc>
          <w:tcPr>
            <w:tcW w:w="819" w:type="pct"/>
            <w:vAlign w:val="top"/>
          </w:tcPr>
          <w:p w14:paraId="3729539C">
            <w:pPr>
              <w:snapToGrid w:val="0"/>
              <w:spacing w:after="156" w:afterLines="50" w:line="460" w:lineRule="exact"/>
              <w:rPr>
                <w:rFonts w:hint="default" w:ascii="仿宋" w:hAnsi="仿宋" w:eastAsia="仿宋" w:cs="Arial"/>
                <w:b/>
                <w:color w:val="000000"/>
                <w:sz w:val="28"/>
                <w:szCs w:val="28"/>
                <w:vertAlign w:val="baseline"/>
                <w:lang w:val="en-US" w:eastAsia="zh-CN"/>
              </w:rPr>
            </w:pPr>
            <w:r>
              <w:rPr>
                <w:rFonts w:hint="eastAsia" w:ascii="仿宋" w:hAnsi="仿宋" w:eastAsia="仿宋" w:cs="Arial"/>
                <w:b/>
                <w:color w:val="000000"/>
                <w:sz w:val="28"/>
                <w:szCs w:val="28"/>
                <w:vertAlign w:val="baseline"/>
                <w:lang w:eastAsia="zh-CN"/>
              </w:rPr>
              <w:t>5</w:t>
            </w:r>
            <w:r>
              <w:rPr>
                <w:rFonts w:hint="eastAsia" w:ascii="仿宋" w:hAnsi="仿宋" w:eastAsia="仿宋" w:cs="Arial"/>
                <w:b/>
                <w:color w:val="000000"/>
                <w:sz w:val="28"/>
                <w:szCs w:val="28"/>
                <w:vertAlign w:val="baseline"/>
                <w:lang w:val="en-US" w:eastAsia="zh-CN"/>
              </w:rPr>
              <w:t>50</w:t>
            </w:r>
          </w:p>
        </w:tc>
        <w:tc>
          <w:tcPr>
            <w:tcW w:w="818" w:type="pct"/>
          </w:tcPr>
          <w:p w14:paraId="2D309998">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5</w:t>
            </w:r>
            <w:r>
              <w:rPr>
                <w:rFonts w:hint="eastAsia" w:ascii="仿宋" w:hAnsi="仿宋" w:eastAsia="仿宋" w:cs="Arial"/>
                <w:b/>
                <w:color w:val="000000"/>
                <w:sz w:val="28"/>
                <w:szCs w:val="28"/>
                <w:vertAlign w:val="baseline"/>
                <w:lang w:val="en-US" w:eastAsia="zh-CN"/>
              </w:rPr>
              <w:t>36</w:t>
            </w:r>
          </w:p>
        </w:tc>
        <w:tc>
          <w:tcPr>
            <w:tcW w:w="627" w:type="pct"/>
          </w:tcPr>
          <w:p w14:paraId="1FF84C34">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详见采购文件</w:t>
            </w:r>
          </w:p>
        </w:tc>
      </w:tr>
    </w:tbl>
    <w:p w14:paraId="054A5830">
      <w:pPr>
        <w:snapToGrid w:val="0"/>
        <w:spacing w:after="156" w:afterLines="50" w:line="460" w:lineRule="exact"/>
        <w:ind w:firstLine="562" w:firstLineChars="200"/>
        <w:rPr>
          <w:rFonts w:hint="eastAsia" w:ascii="仿宋" w:hAnsi="仿宋" w:eastAsia="仿宋" w:cs="Arial"/>
          <w:b/>
          <w:color w:val="000000"/>
          <w:sz w:val="28"/>
          <w:szCs w:val="28"/>
          <w:lang w:eastAsia="zh-CN"/>
        </w:rPr>
      </w:pPr>
      <w:r>
        <w:rPr>
          <w:rFonts w:hint="eastAsia" w:ascii="仿宋" w:hAnsi="仿宋" w:eastAsia="仿宋" w:cs="Arial"/>
          <w:b/>
          <w:color w:val="000000"/>
          <w:sz w:val="28"/>
          <w:szCs w:val="28"/>
          <w:lang w:eastAsia="zh-CN"/>
        </w:rPr>
        <w:t xml:space="preserve"> </w:t>
      </w:r>
      <w:bookmarkEnd w:id="1"/>
    </w:p>
    <w:p w14:paraId="3BF72652">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33054358">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s="Times New Roman"/>
          <w:color w:val="000000"/>
          <w:sz w:val="28"/>
          <w:szCs w:val="28"/>
        </w:rPr>
        <w:t>“信用中国”（www.creditchina.gov.cn）、中国政府采购网（www.ccgp.gov.cn）列入失信被执行人、重大税收违法案件当事人名单（重大税收违法失信主体）、政府采购严重违法失信行为记录名单。</w:t>
      </w:r>
    </w:p>
    <w:p w14:paraId="126BE1A1">
      <w:pPr>
        <w:snapToGrid w:val="0"/>
        <w:spacing w:line="50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lang w:val="en-US" w:eastAsia="zh-CN"/>
        </w:rPr>
        <w:t>投</w:t>
      </w:r>
      <w:r>
        <w:rPr>
          <w:rFonts w:hint="eastAsia" w:ascii="仿宋" w:hAnsi="仿宋" w:eastAsia="仿宋" w:cs="Arial"/>
          <w:b/>
          <w:bCs/>
          <w:color w:val="000000"/>
          <w:sz w:val="30"/>
          <w:szCs w:val="30"/>
        </w:rPr>
        <w:t>标人的特定条件：</w:t>
      </w:r>
    </w:p>
    <w:p w14:paraId="20172B45">
      <w:pPr>
        <w:snapToGrid w:val="0"/>
        <w:spacing w:line="500" w:lineRule="exact"/>
        <w:ind w:firstLine="602" w:firstLineChars="200"/>
        <w:rPr>
          <w:rFonts w:hint="eastAsia" w:ascii="仿宋" w:hAnsi="仿宋" w:eastAsia="仿宋" w:cs="Arial"/>
          <w:b/>
          <w:bCs/>
          <w:color w:val="000000"/>
          <w:sz w:val="30"/>
          <w:szCs w:val="30"/>
          <w:lang w:val="en-US" w:eastAsia="zh-CN"/>
        </w:rPr>
      </w:pPr>
      <w:r>
        <w:rPr>
          <w:rFonts w:hint="eastAsia" w:ascii="仿宋" w:hAnsi="仿宋" w:eastAsia="仿宋" w:cs="Arial"/>
          <w:b/>
          <w:bCs/>
          <w:color w:val="FF0000"/>
          <w:sz w:val="30"/>
          <w:szCs w:val="30"/>
        </w:rPr>
        <w:t>本项目专门面向中小企业，请单独上传《中小企业声明函》。</w:t>
      </w:r>
    </w:p>
    <w:p w14:paraId="22837F67">
      <w:pPr>
        <w:snapToGrid w:val="0"/>
        <w:spacing w:line="500" w:lineRule="exact"/>
        <w:ind w:firstLine="562" w:firstLineChars="200"/>
        <w:rPr>
          <w:rFonts w:hint="eastAsia" w:ascii="宋体" w:hAnsi="宋体" w:eastAsia="宋体" w:cs="Arial"/>
          <w:b/>
          <w:bCs/>
          <w:color w:val="000000"/>
          <w:sz w:val="28"/>
          <w:szCs w:val="28"/>
          <w:lang w:val="en-US" w:eastAsia="zh-CN"/>
        </w:rPr>
      </w:pPr>
      <w:r>
        <w:rPr>
          <w:rFonts w:hint="eastAsia" w:ascii="宋体" w:hAnsi="宋体" w:eastAsia="宋体" w:cs="仿宋"/>
          <w:b/>
          <w:bCs/>
          <w:color w:val="000000"/>
          <w:kern w:val="0"/>
          <w:sz w:val="28"/>
          <w:szCs w:val="28"/>
          <w:lang w:val="zh-CN"/>
        </w:rPr>
        <w:t>五、获取</w:t>
      </w:r>
      <w:r>
        <w:rPr>
          <w:rFonts w:hint="eastAsia" w:ascii="宋体" w:hAnsi="宋体" w:eastAsia="宋体" w:cs="仿宋"/>
          <w:b/>
          <w:bCs/>
          <w:color w:val="000000"/>
          <w:kern w:val="0"/>
          <w:sz w:val="28"/>
          <w:szCs w:val="28"/>
          <w:lang w:val="en-US" w:eastAsia="zh-CN"/>
        </w:rPr>
        <w:t>招标文件</w:t>
      </w:r>
    </w:p>
    <w:p w14:paraId="4D056324">
      <w:pPr>
        <w:snapToGrid w:val="0"/>
        <w:spacing w:line="500" w:lineRule="exact"/>
        <w:ind w:firstLine="560" w:firstLineChars="200"/>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1.获取时间：</w:t>
      </w:r>
      <w:r>
        <w:rPr>
          <w:rFonts w:hint="eastAsia" w:ascii="仿宋" w:hAnsi="仿宋" w:eastAsia="仿宋" w:cs="Times New Roman"/>
          <w:color w:val="000000"/>
          <w:kern w:val="0"/>
          <w:sz w:val="30"/>
          <w:szCs w:val="30"/>
        </w:rPr>
        <w:t xml:space="preserve">[项目采购-报名开始日期] 至 </w:t>
      </w:r>
      <w:bookmarkStart w:id="2" w:name="PO_15528_PM009"/>
      <w:r>
        <w:rPr>
          <w:rFonts w:hint="eastAsia" w:ascii="仿宋" w:hAnsi="仿宋" w:eastAsia="仿宋" w:cs="Times New Roman"/>
          <w:color w:val="000000"/>
          <w:kern w:val="0"/>
          <w:sz w:val="30"/>
          <w:szCs w:val="30"/>
          <w:lang w:eastAsia="zh-CN"/>
        </w:rPr>
        <w:t>2025-07-11 09:00:00</w:t>
      </w:r>
      <w:bookmarkEnd w:id="2"/>
      <w:r>
        <w:rPr>
          <w:rFonts w:hint="eastAsia" w:ascii="宋体" w:hAnsi="宋体" w:eastAsia="宋体" w:cs="Times New Roman"/>
          <w:color w:val="000000"/>
          <w:kern w:val="0"/>
          <w:sz w:val="28"/>
          <w:szCs w:val="28"/>
        </w:rPr>
        <w:t>。</w:t>
      </w:r>
    </w:p>
    <w:p w14:paraId="38EF0126">
      <w:pPr>
        <w:autoSpaceDE w:val="0"/>
        <w:autoSpaceDN w:val="0"/>
        <w:adjustRightInd w:val="0"/>
        <w:snapToGrid w:val="0"/>
        <w:spacing w:line="500" w:lineRule="exact"/>
        <w:ind w:firstLine="600"/>
        <w:rPr>
          <w:rFonts w:ascii="宋体" w:hAnsi="宋体" w:eastAsia="宋体" w:cs="仿宋"/>
          <w:color w:val="000000"/>
          <w:kern w:val="0"/>
          <w:sz w:val="28"/>
          <w:szCs w:val="28"/>
          <w:lang w:val="zh-CN"/>
        </w:rPr>
      </w:pPr>
      <w:r>
        <w:rPr>
          <w:rFonts w:hint="eastAsia" w:ascii="宋体" w:hAnsi="宋体" w:eastAsia="宋体" w:cs="仿宋"/>
          <w:color w:val="000000"/>
          <w:kern w:val="0"/>
          <w:sz w:val="28"/>
          <w:szCs w:val="28"/>
          <w:lang w:val="zh-CN"/>
        </w:rPr>
        <w:t>2.获取方式：本项目招标文件实行网上获取。供应商登录浙江政府采购网（</w:t>
      </w:r>
      <w:r>
        <w:rPr>
          <w:rFonts w:eastAsia="宋体" w:cs="Times New Roman"/>
        </w:rPr>
        <w:fldChar w:fldCharType="begin"/>
      </w:r>
      <w:r>
        <w:rPr>
          <w:rFonts w:eastAsia="宋体" w:cs="Times New Roman"/>
        </w:rPr>
        <w:instrText xml:space="preserve"> HYPERLINK "http://zfcg.czt.zj.gov.cn/" </w:instrText>
      </w:r>
      <w:r>
        <w:rPr>
          <w:rFonts w:eastAsia="宋体" w:cs="Times New Roman"/>
        </w:rPr>
        <w:fldChar w:fldCharType="separate"/>
      </w:r>
      <w:r>
        <w:rPr>
          <w:rFonts w:eastAsia="宋体" w:cs="Times New Roman"/>
          <w:color w:val="000000"/>
          <w:sz w:val="28"/>
          <w:szCs w:val="28"/>
          <w:u w:val="single"/>
        </w:rPr>
        <w:t>http://zfcg.czt.zj.gov.cn/</w:t>
      </w:r>
      <w:r>
        <w:rPr>
          <w:rFonts w:eastAsia="宋体" w:cs="Times New Roman"/>
          <w:color w:val="000000"/>
          <w:sz w:val="28"/>
          <w:szCs w:val="28"/>
          <w:u w:val="single"/>
        </w:rPr>
        <w:fldChar w:fldCharType="end"/>
      </w:r>
      <w:r>
        <w:rPr>
          <w:rFonts w:hint="eastAsia" w:ascii="宋体" w:hAnsi="宋体" w:eastAsia="宋体" w:cs="仿宋"/>
          <w:color w:val="000000"/>
          <w:kern w:val="0"/>
          <w:sz w:val="28"/>
          <w:szCs w:val="28"/>
          <w:lang w:val="zh-CN"/>
        </w:rPr>
        <w:t>）进入政采云系统“项目采购”模块“获取采购文件”菜单，进行网上获取招标文件。</w:t>
      </w:r>
    </w:p>
    <w:p w14:paraId="38980517">
      <w:pPr>
        <w:autoSpaceDE w:val="0"/>
        <w:autoSpaceDN w:val="0"/>
        <w:adjustRightInd w:val="0"/>
        <w:snapToGrid w:val="0"/>
        <w:spacing w:line="500" w:lineRule="exact"/>
        <w:ind w:firstLine="560"/>
        <w:rPr>
          <w:rFonts w:ascii="宋体" w:hAnsi="宋体" w:eastAsia="宋体" w:cs="仿宋"/>
          <w:color w:val="000000"/>
          <w:kern w:val="0"/>
          <w:sz w:val="28"/>
          <w:szCs w:val="28"/>
          <w:lang w:val="zh-CN"/>
        </w:rPr>
      </w:pPr>
      <w:r>
        <w:rPr>
          <w:rFonts w:hint="eastAsia" w:ascii="宋体" w:hAnsi="宋体" w:eastAsia="宋体" w:cs="仿宋"/>
          <w:color w:val="000000"/>
          <w:kern w:val="0"/>
          <w:sz w:val="28"/>
          <w:szCs w:val="28"/>
          <w:lang w:val="zh-CN"/>
        </w:rPr>
        <w:t>3.招标文件免费获取。</w:t>
      </w:r>
    </w:p>
    <w:p w14:paraId="13771258">
      <w:pPr>
        <w:snapToGrid w:val="0"/>
        <w:spacing w:line="500" w:lineRule="exact"/>
        <w:ind w:firstLine="562" w:firstLineChars="200"/>
        <w:rPr>
          <w:rFonts w:ascii="宋体" w:hAnsi="宋体" w:eastAsia="宋体" w:cs="Times New Roman"/>
          <w:b/>
          <w:color w:val="000000"/>
          <w:kern w:val="0"/>
          <w:sz w:val="28"/>
          <w:szCs w:val="28"/>
        </w:rPr>
      </w:pPr>
      <w:r>
        <w:rPr>
          <w:rFonts w:hint="eastAsia" w:ascii="宋体" w:hAnsi="宋体" w:eastAsia="宋体" w:cs="Arial"/>
          <w:b/>
          <w:bCs/>
          <w:color w:val="000000"/>
          <w:sz w:val="28"/>
          <w:szCs w:val="28"/>
        </w:rPr>
        <w:t>六、投标截止时间、地点和形式</w:t>
      </w:r>
    </w:p>
    <w:p w14:paraId="5F1A8B9B">
      <w:pPr>
        <w:widowControl w:val="0"/>
        <w:adjustRightInd w:val="0"/>
        <w:snapToGrid w:val="0"/>
        <w:spacing w:before="156" w:beforeLines="50" w:after="156" w:afterLines="50" w:line="500" w:lineRule="exact"/>
        <w:ind w:firstLine="565" w:firstLineChars="201"/>
        <w:jc w:val="both"/>
        <w:rPr>
          <w:rFonts w:ascii="宋体" w:hAnsi="宋体" w:eastAsia="宋体" w:cs="Times New Roman"/>
          <w:color w:val="000000"/>
          <w:kern w:val="0"/>
          <w:sz w:val="28"/>
          <w:szCs w:val="28"/>
          <w:lang w:val="en-US" w:eastAsia="zh-CN" w:bidi="ar-SA"/>
        </w:rPr>
      </w:pPr>
      <w:r>
        <w:rPr>
          <w:rFonts w:hint="eastAsia" w:ascii="宋体" w:hAnsi="宋体" w:eastAsia="宋体" w:cs="Times New Roman"/>
          <w:b/>
          <w:color w:val="000000"/>
          <w:kern w:val="0"/>
          <w:sz w:val="28"/>
          <w:szCs w:val="28"/>
          <w:lang w:val="en-US" w:eastAsia="zh-CN" w:bidi="ar-SA"/>
        </w:rPr>
        <w:t>投标截止时间：</w:t>
      </w:r>
      <w:bookmarkStart w:id="3" w:name="PO_15528_PM015"/>
      <w:r>
        <w:rPr>
          <w:rFonts w:hint="eastAsia" w:ascii="仿宋" w:hAnsi="仿宋" w:eastAsia="仿宋" w:cs="Arial"/>
          <w:color w:val="000000"/>
          <w:kern w:val="2"/>
          <w:sz w:val="30"/>
          <w:szCs w:val="30"/>
          <w:lang w:val="en-US" w:eastAsia="zh-CN" w:bidi="ar-SA"/>
        </w:rPr>
        <w:t>2025-07-11 09:00:00</w:t>
      </w:r>
      <w:bookmarkEnd w:id="3"/>
      <w:r>
        <w:rPr>
          <w:rFonts w:hint="eastAsia" w:ascii="宋体" w:hAnsi="宋体" w:eastAsia="宋体" w:cs="Times New Roman"/>
          <w:b/>
          <w:color w:val="000000"/>
          <w:kern w:val="0"/>
          <w:sz w:val="28"/>
          <w:szCs w:val="28"/>
          <w:lang w:val="en-US" w:eastAsia="zh-CN" w:bidi="ar-SA"/>
        </w:rPr>
        <w:t>。</w:t>
      </w:r>
    </w:p>
    <w:p w14:paraId="67874EBD">
      <w:pPr>
        <w:spacing w:line="360" w:lineRule="auto"/>
        <w:ind w:firstLine="560" w:firstLineChars="200"/>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1CDD268C">
      <w:pPr>
        <w:adjustRightInd w:val="0"/>
        <w:snapToGrid w:val="0"/>
        <w:spacing w:before="120" w:beforeLines="50" w:after="120" w:afterLines="50" w:line="500" w:lineRule="exact"/>
        <w:ind w:firstLine="565" w:firstLineChars="201"/>
        <w:rPr>
          <w:rFonts w:ascii="宋体" w:hAnsi="宋体" w:eastAsia="宋体" w:cs="Times New Roman"/>
          <w:b/>
          <w:bCs/>
          <w:color w:val="C00000"/>
          <w:kern w:val="0"/>
          <w:sz w:val="28"/>
          <w:szCs w:val="28"/>
        </w:rPr>
      </w:pPr>
      <w:r>
        <w:rPr>
          <w:rFonts w:hint="eastAsia" w:ascii="宋体" w:hAnsi="宋体" w:eastAsia="宋体" w:cs="Times New Roman"/>
          <w:b/>
          <w:bCs/>
          <w:color w:val="C00000"/>
          <w:kern w:val="0"/>
          <w:sz w:val="28"/>
          <w:szCs w:val="28"/>
        </w:rPr>
        <w:t>演示文件请于投标截止时间前，通过邮寄方式送达指定地点，逾期送达或未密封将被拒收，请合理安排好邮寄时间。</w:t>
      </w:r>
    </w:p>
    <w:p w14:paraId="367BC296">
      <w:pPr>
        <w:adjustRightInd w:val="0"/>
        <w:snapToGrid w:val="0"/>
        <w:spacing w:before="120" w:beforeLines="50" w:after="120" w:afterLines="50" w:line="500" w:lineRule="exact"/>
        <w:ind w:firstLine="565" w:firstLineChars="201"/>
        <w:rPr>
          <w:rFonts w:hint="eastAsia" w:ascii="宋体" w:hAnsi="宋体" w:eastAsia="宋体" w:cs="Times New Roman"/>
          <w:color w:val="000000"/>
          <w:kern w:val="0"/>
          <w:sz w:val="28"/>
          <w:szCs w:val="28"/>
        </w:rPr>
      </w:pPr>
      <w:r>
        <w:rPr>
          <w:rFonts w:hint="eastAsia" w:ascii="宋体" w:hAnsi="宋体" w:eastAsia="宋体" w:cs="Times New Roman"/>
          <w:b/>
          <w:bCs/>
          <w:color w:val="C00000"/>
          <w:kern w:val="0"/>
          <w:sz w:val="28"/>
          <w:szCs w:val="28"/>
        </w:rPr>
        <w:t>演示U盘应当密封包装并在包装上标注演示U盘、项目名称、标项、</w:t>
      </w:r>
      <w:r>
        <w:rPr>
          <w:rFonts w:hint="eastAsia" w:ascii="宋体" w:hAnsi="宋体" w:eastAsia="宋体" w:cs="Times New Roman"/>
          <w:b/>
          <w:bCs/>
          <w:color w:val="C00000"/>
          <w:kern w:val="0"/>
          <w:sz w:val="28"/>
          <w:szCs w:val="28"/>
          <w:lang w:val="en-US" w:eastAsia="zh-CN"/>
        </w:rPr>
        <w:t>投标人</w:t>
      </w:r>
      <w:r>
        <w:rPr>
          <w:rFonts w:hint="eastAsia" w:ascii="宋体" w:hAnsi="宋体" w:eastAsia="宋体" w:cs="Times New Roman"/>
          <w:b/>
          <w:bCs/>
          <w:color w:val="C00000"/>
          <w:kern w:val="0"/>
          <w:sz w:val="28"/>
          <w:szCs w:val="28"/>
        </w:rPr>
        <w:t>名称并加盖公章。未按文件要求提供演示U盘造成评审专家无法正常评审的风险由</w:t>
      </w:r>
      <w:r>
        <w:rPr>
          <w:rFonts w:hint="eastAsia" w:ascii="宋体" w:hAnsi="宋体" w:eastAsia="宋体" w:cs="Times New Roman"/>
          <w:b/>
          <w:bCs/>
          <w:color w:val="C00000"/>
          <w:kern w:val="0"/>
          <w:sz w:val="28"/>
          <w:szCs w:val="28"/>
          <w:lang w:val="en-US" w:eastAsia="zh-CN"/>
        </w:rPr>
        <w:t>投标人</w:t>
      </w:r>
      <w:r>
        <w:rPr>
          <w:rFonts w:hint="eastAsia" w:ascii="宋体" w:hAnsi="宋体" w:eastAsia="宋体" w:cs="Times New Roman"/>
          <w:b/>
          <w:bCs/>
          <w:color w:val="C00000"/>
          <w:kern w:val="0"/>
          <w:sz w:val="28"/>
          <w:szCs w:val="28"/>
        </w:rPr>
        <w:t>自行承担。（演示U盘请单独封装）</w:t>
      </w:r>
    </w:p>
    <w:p w14:paraId="3A46AEB6">
      <w:pPr>
        <w:spacing w:line="360" w:lineRule="auto"/>
        <w:ind w:firstLine="560" w:firstLineChars="200"/>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14:paraId="5952902E">
      <w:pPr>
        <w:spacing w:line="360" w:lineRule="auto"/>
        <w:ind w:firstLine="562" w:firstLineChars="200"/>
        <w:rPr>
          <w:rFonts w:hint="eastAsia" w:ascii="宋体" w:hAnsi="宋体" w:eastAsia="宋体" w:cs="Times New Roman"/>
          <w:color w:val="000000"/>
          <w:kern w:val="0"/>
          <w:sz w:val="28"/>
          <w:szCs w:val="28"/>
        </w:rPr>
      </w:pPr>
      <w:r>
        <w:rPr>
          <w:rFonts w:hint="eastAsia" w:ascii="宋体" w:hAnsi="宋体" w:eastAsia="宋体" w:cs="Times New Roman"/>
          <w:b/>
          <w:bCs/>
          <w:color w:val="C00000"/>
          <w:kern w:val="0"/>
          <w:sz w:val="28"/>
          <w:szCs w:val="28"/>
        </w:rPr>
        <w:t>演示文件、</w:t>
      </w:r>
      <w:r>
        <w:rPr>
          <w:rFonts w:hint="eastAsia" w:ascii="宋体" w:hAnsi="宋体" w:eastAsia="宋体" w:cs="Times New Roman"/>
          <w:color w:val="000000"/>
          <w:kern w:val="0"/>
          <w:sz w:val="28"/>
          <w:szCs w:val="28"/>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7D0B0622">
      <w:pPr>
        <w:widowControl w:val="0"/>
        <w:adjustRightInd w:val="0"/>
        <w:snapToGrid w:val="0"/>
        <w:spacing w:before="156" w:beforeLines="50" w:after="156" w:afterLines="50" w:line="500" w:lineRule="exact"/>
        <w:ind w:firstLine="565" w:firstLineChars="201"/>
        <w:jc w:val="both"/>
        <w:rPr>
          <w:rFonts w:ascii="宋体" w:hAnsi="宋体" w:eastAsia="宋体" w:cs="Times New Roman"/>
          <w:b/>
          <w:color w:val="000000"/>
          <w:kern w:val="0"/>
          <w:sz w:val="28"/>
          <w:szCs w:val="28"/>
          <w:lang w:val="en-US" w:eastAsia="zh-CN" w:bidi="ar-SA"/>
        </w:rPr>
      </w:pPr>
      <w:r>
        <w:rPr>
          <w:rFonts w:hint="eastAsia" w:ascii="宋体" w:hAnsi="宋体" w:eastAsia="宋体" w:cs="Times New Roman"/>
          <w:b/>
          <w:color w:val="000000"/>
          <w:kern w:val="0"/>
          <w:sz w:val="28"/>
          <w:szCs w:val="28"/>
          <w:lang w:val="en-US" w:eastAsia="zh-CN" w:bidi="ar-SA"/>
        </w:rPr>
        <w:t>本项目拒绝接受纸质投标文件。</w:t>
      </w:r>
    </w:p>
    <w:p w14:paraId="5723C206">
      <w:pPr>
        <w:snapToGrid w:val="0"/>
        <w:spacing w:line="500" w:lineRule="exact"/>
        <w:ind w:firstLine="562" w:firstLineChars="200"/>
        <w:rPr>
          <w:rFonts w:ascii="宋体" w:hAnsi="宋体" w:eastAsia="宋体" w:cs="Arial"/>
          <w:b/>
          <w:bCs/>
          <w:color w:val="000000"/>
          <w:sz w:val="28"/>
          <w:szCs w:val="28"/>
        </w:rPr>
      </w:pPr>
      <w:r>
        <w:rPr>
          <w:rFonts w:hint="eastAsia" w:ascii="宋体" w:hAnsi="宋体" w:eastAsia="宋体" w:cs="Arial"/>
          <w:b/>
          <w:bCs/>
          <w:color w:val="000000"/>
          <w:sz w:val="28"/>
          <w:szCs w:val="28"/>
        </w:rPr>
        <w:t>七、开标时间及地点：</w:t>
      </w:r>
    </w:p>
    <w:p w14:paraId="3B3DD84D">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本次招标将于</w:t>
      </w:r>
      <w:bookmarkStart w:id="4" w:name="PO_15528_PM015_1"/>
      <w:r>
        <w:rPr>
          <w:rFonts w:hint="eastAsia" w:ascii="宋体" w:hAnsi="宋体" w:cs="Arial"/>
          <w:b/>
          <w:color w:val="000000"/>
          <w:sz w:val="28"/>
          <w:szCs w:val="28"/>
          <w:lang w:eastAsia="zh-CN"/>
        </w:rPr>
        <w:t>2025-07-11 09:00:00</w:t>
      </w:r>
      <w:bookmarkEnd w:id="4"/>
      <w:r>
        <w:rPr>
          <w:rFonts w:hint="eastAsia" w:ascii="宋体" w:hAnsi="宋体" w:eastAsia="宋体" w:cs="Arial"/>
          <w:b/>
          <w:color w:val="000000"/>
          <w:sz w:val="28"/>
          <w:szCs w:val="28"/>
        </w:rPr>
        <w:t>时整在</w:t>
      </w:r>
      <w:bookmarkStart w:id="44" w:name="_GoBack"/>
      <w:bookmarkEnd w:id="44"/>
      <w:bookmarkStart w:id="5" w:name="PO_15528_PM016_1"/>
      <w:r>
        <w:rPr>
          <w:rFonts w:hint="eastAsia" w:ascii="宋体" w:hAnsi="宋体" w:cs="Arial"/>
          <w:b/>
          <w:color w:val="000000"/>
          <w:sz w:val="28"/>
          <w:szCs w:val="28"/>
          <w:lang w:eastAsia="zh-CN"/>
        </w:rPr>
        <w:t>浙江省杭州市西湖区宝石一路3号203开标室</w:t>
      </w:r>
      <w:bookmarkEnd w:id="5"/>
      <w:r>
        <w:rPr>
          <w:rFonts w:hint="eastAsia" w:ascii="宋体" w:hAnsi="宋体" w:eastAsia="宋体" w:cs="Arial"/>
          <w:b/>
          <w:color w:val="000000"/>
          <w:sz w:val="28"/>
          <w:szCs w:val="28"/>
        </w:rPr>
        <w:t>开标。</w:t>
      </w:r>
    </w:p>
    <w:p w14:paraId="0F9D6D80">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3442"/>
        <w:gridCol w:w="3443"/>
      </w:tblGrid>
      <w:tr w14:paraId="4DB5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1B41FCC8">
            <w:pPr>
              <w:rPr>
                <w:rFonts w:ascii="宋体" w:hAnsi="宋体" w:eastAsia="宋体" w:cs="宋体"/>
                <w:color w:val="000000"/>
                <w:kern w:val="0"/>
                <w:sz w:val="28"/>
                <w:szCs w:val="28"/>
              </w:rPr>
            </w:pPr>
            <w:r>
              <w:rPr>
                <w:rFonts w:hint="eastAsia" w:ascii="宋体" w:hAnsi="宋体" w:eastAsia="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278C71E5">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开标室：</w:t>
            </w:r>
          </w:p>
          <w:p w14:paraId="1980238B">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0571-8890</w:t>
            </w:r>
            <w:r>
              <w:rPr>
                <w:rFonts w:ascii="宋体" w:hAnsi="宋体" w:eastAsia="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2A294524">
            <w:pPr>
              <w:adjustRightInd w:val="0"/>
              <w:snapToGrid w:val="0"/>
              <w:spacing w:line="360" w:lineRule="auto"/>
              <w:rPr>
                <w:rFonts w:ascii="宋体" w:hAnsi="宋体" w:eastAsia="宋体" w:cs="宋体"/>
                <w:color w:val="000000"/>
                <w:kern w:val="0"/>
                <w:sz w:val="28"/>
                <w:szCs w:val="28"/>
              </w:rPr>
            </w:pPr>
            <w:r>
              <w:rPr>
                <w:rFonts w:hint="eastAsia" w:ascii="宋体" w:hAnsi="宋体" w:cs="宋体"/>
                <w:color w:val="000000"/>
                <w:kern w:val="0"/>
                <w:sz w:val="28"/>
                <w:szCs w:val="28"/>
                <w:lang w:val="en-US" w:eastAsia="zh-CN"/>
              </w:rPr>
              <w:t>拼标</w:t>
            </w:r>
            <w:r>
              <w:rPr>
                <w:rFonts w:hint="eastAsia" w:ascii="宋体" w:hAnsi="宋体" w:eastAsia="宋体" w:cs="宋体"/>
                <w:color w:val="000000"/>
                <w:kern w:val="0"/>
                <w:sz w:val="28"/>
                <w:szCs w:val="28"/>
              </w:rPr>
              <w:t>室：</w:t>
            </w:r>
          </w:p>
          <w:p w14:paraId="089F4163">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0571-889077</w:t>
            </w:r>
            <w:r>
              <w:rPr>
                <w:rFonts w:ascii="宋体" w:hAnsi="宋体" w:eastAsia="宋体" w:cs="宋体"/>
                <w:color w:val="000000"/>
                <w:kern w:val="0"/>
                <w:sz w:val="28"/>
                <w:szCs w:val="28"/>
              </w:rPr>
              <w:t>92</w:t>
            </w:r>
          </w:p>
        </w:tc>
      </w:tr>
    </w:tbl>
    <w:p w14:paraId="1A81F2D8">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八、电子交易平台的网络地址和登录方法</w:t>
      </w:r>
    </w:p>
    <w:p w14:paraId="1E808402">
      <w:pPr>
        <w:snapToGrid w:val="0"/>
        <w:spacing w:line="500" w:lineRule="exact"/>
        <w:ind w:firstLine="562" w:firstLineChars="200"/>
        <w:rPr>
          <w:rFonts w:eastAsia="宋体" w:cs="Times New Roman"/>
          <w:color w:val="000000"/>
          <w:sz w:val="28"/>
          <w:szCs w:val="28"/>
        </w:rPr>
      </w:pPr>
      <w:r>
        <w:rPr>
          <w:rFonts w:hint="eastAsia" w:ascii="宋体" w:hAnsi="宋体" w:eastAsia="宋体" w:cs="Arial"/>
          <w:b/>
          <w:color w:val="000000"/>
          <w:sz w:val="28"/>
          <w:szCs w:val="28"/>
        </w:rPr>
        <w:t>（一）网络地址：</w:t>
      </w:r>
      <w:r>
        <w:rPr>
          <w:rFonts w:hint="eastAsia" w:ascii="宋体" w:hAnsi="宋体" w:eastAsia="宋体" w:cs="仿宋"/>
          <w:color w:val="000000"/>
          <w:sz w:val="28"/>
          <w:szCs w:val="28"/>
        </w:rPr>
        <w:t xml:space="preserve">浙江政府采购网 </w:t>
      </w:r>
      <w:r>
        <w:rPr>
          <w:rFonts w:eastAsia="宋体" w:cs="Times New Roman"/>
        </w:rPr>
        <w:fldChar w:fldCharType="begin"/>
      </w:r>
      <w:r>
        <w:rPr>
          <w:rFonts w:eastAsia="宋体" w:cs="Times New Roman"/>
        </w:rPr>
        <w:instrText xml:space="preserve"> HYPERLINK "http://zfcg.czt.zj.gov.cn/" </w:instrText>
      </w:r>
      <w:r>
        <w:rPr>
          <w:rFonts w:eastAsia="宋体" w:cs="Times New Roman"/>
        </w:rPr>
        <w:fldChar w:fldCharType="separate"/>
      </w:r>
      <w:r>
        <w:rPr>
          <w:rFonts w:eastAsia="宋体" w:cs="Times New Roman"/>
          <w:color w:val="000000"/>
          <w:sz w:val="28"/>
          <w:szCs w:val="28"/>
          <w:u w:val="single"/>
        </w:rPr>
        <w:t>http://zfcg.czt.zj.gov.cn/</w:t>
      </w:r>
      <w:r>
        <w:rPr>
          <w:rFonts w:eastAsia="宋体" w:cs="Times New Roman"/>
          <w:color w:val="000000"/>
          <w:sz w:val="28"/>
          <w:szCs w:val="28"/>
          <w:u w:val="single"/>
        </w:rPr>
        <w:fldChar w:fldCharType="end"/>
      </w:r>
    </w:p>
    <w:p w14:paraId="4031B0B1">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（二）登录方法：</w:t>
      </w:r>
      <w:r>
        <w:rPr>
          <w:rFonts w:hint="eastAsia" w:ascii="宋体" w:hAnsi="宋体" w:eastAsia="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1CFD18DB">
      <w:pPr>
        <w:snapToGrid w:val="0"/>
        <w:spacing w:line="500" w:lineRule="exact"/>
        <w:ind w:left="562"/>
        <w:rPr>
          <w:rFonts w:ascii="宋体" w:hAnsi="宋体" w:eastAsia="宋体" w:cs="Arial"/>
          <w:b/>
          <w:bCs/>
          <w:color w:val="000000"/>
          <w:sz w:val="28"/>
          <w:szCs w:val="28"/>
        </w:rPr>
      </w:pPr>
      <w:r>
        <w:rPr>
          <w:rFonts w:hint="eastAsia" w:ascii="宋体" w:hAnsi="宋体" w:eastAsia="宋体" w:cs="Arial"/>
          <w:b/>
          <w:bCs/>
          <w:color w:val="000000"/>
          <w:sz w:val="28"/>
          <w:szCs w:val="28"/>
        </w:rPr>
        <w:t>九、其他：</w:t>
      </w:r>
    </w:p>
    <w:p w14:paraId="058AD84F">
      <w:pPr>
        <w:snapToGrid w:val="0"/>
        <w:spacing w:line="44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（一）本项目采用“电子交易/不见面开评标”，供应商可进入电子卖场服务中心采云学院</w:t>
      </w:r>
    </w:p>
    <w:p w14:paraId="724A8B6A">
      <w:pPr>
        <w:snapToGrid w:val="0"/>
        <w:spacing w:line="440" w:lineRule="exact"/>
        <w:ind w:firstLine="562" w:firstLineChars="200"/>
        <w:rPr>
          <w:rFonts w:ascii="仿宋" w:hAnsi="仿宋" w:eastAsia="仿宋" w:cs="Times New Roman"/>
          <w:color w:val="000000"/>
          <w:sz w:val="28"/>
          <w:szCs w:val="28"/>
        </w:rPr>
      </w:pPr>
      <w:r>
        <w:rPr>
          <w:rFonts w:hint="eastAsia" w:ascii="宋体" w:hAnsi="宋体" w:eastAsia="宋体" w:cs="Arial"/>
          <w:b/>
          <w:color w:val="000000"/>
          <w:sz w:val="28"/>
          <w:szCs w:val="28"/>
        </w:rPr>
        <w:t>（https://edu.zcygov.cn/live?utm=a0018.2ef5001f.0.0.1939d340e5db11ea867fb57c149ddb61）自行提前学习</w:t>
      </w:r>
      <w:r>
        <w:rPr>
          <w:rFonts w:hint="eastAsia" w:ascii="宋体" w:hAnsi="宋体" w:eastAsia="宋体" w:cs="Arial"/>
          <w:color w:val="000000"/>
          <w:sz w:val="28"/>
          <w:szCs w:val="28"/>
        </w:rPr>
        <w:t>。</w:t>
      </w:r>
    </w:p>
    <w:p w14:paraId="727A14BF">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60"/>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2ECA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B47E59F">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0E2E3125">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241C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45D0E0D0">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B2EC437">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3E81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E7B2046">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AE30CA5">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63EE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18F147F">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14:paraId="3D6CF15A">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14:paraId="6F3796C4">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14:paraId="5E083003">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传真</w:t>
            </w:r>
          </w:p>
        </w:tc>
        <w:tc>
          <w:tcPr>
            <w:tcW w:w="2645" w:type="dxa"/>
            <w:tcBorders>
              <w:top w:val="single" w:color="auto" w:sz="4" w:space="0"/>
              <w:left w:val="single" w:color="auto" w:sz="4" w:space="0"/>
              <w:bottom w:val="single" w:color="auto" w:sz="4" w:space="0"/>
              <w:right w:val="single" w:color="auto" w:sz="4" w:space="0"/>
            </w:tcBorders>
          </w:tcPr>
          <w:p w14:paraId="36EFA721">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备注</w:t>
            </w:r>
          </w:p>
        </w:tc>
      </w:tr>
      <w:tr w14:paraId="1712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AE769C7">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项目联系人</w:t>
            </w:r>
          </w:p>
          <w:p w14:paraId="2E16E36C">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5AEE9198">
            <w:pPr>
              <w:spacing w:line="480" w:lineRule="exact"/>
              <w:jc w:val="center"/>
              <w:rPr>
                <w:rFonts w:hint="eastAsia" w:ascii="仿宋" w:hAnsi="仿宋" w:eastAsia="仿宋" w:cs="仿宋"/>
                <w:color w:val="000000"/>
                <w:sz w:val="28"/>
                <w:szCs w:val="28"/>
              </w:rPr>
            </w:pPr>
            <w:bookmarkStart w:id="6" w:name="PO_15528_PM032"/>
            <w:r>
              <w:rPr>
                <w:rFonts w:hint="eastAsia" w:ascii="仿宋" w:hAnsi="仿宋" w:eastAsia="仿宋" w:cs="仿宋"/>
                <w:color w:val="000000"/>
                <w:sz w:val="28"/>
                <w:szCs w:val="28"/>
              </w:rPr>
              <w:t>柯</w:t>
            </w:r>
            <w:bookmarkEnd w:id="6"/>
            <w:r>
              <w:rPr>
                <w:rFonts w:hint="eastAsia" w:ascii="仿宋" w:hAnsi="仿宋" w:eastAsia="仿宋" w:cs="仿宋"/>
                <w:color w:val="000000"/>
                <w:sz w:val="28"/>
                <w:szCs w:val="28"/>
              </w:rPr>
              <w:t>女士</w:t>
            </w:r>
          </w:p>
        </w:tc>
        <w:tc>
          <w:tcPr>
            <w:tcW w:w="2089" w:type="dxa"/>
            <w:tcBorders>
              <w:top w:val="single" w:color="auto" w:sz="4" w:space="0"/>
              <w:left w:val="single" w:color="auto" w:sz="4" w:space="0"/>
              <w:bottom w:val="single" w:color="auto" w:sz="4" w:space="0"/>
              <w:right w:val="single" w:color="auto" w:sz="4" w:space="0"/>
            </w:tcBorders>
            <w:vAlign w:val="center"/>
          </w:tcPr>
          <w:p w14:paraId="1D4D461E">
            <w:pPr>
              <w:spacing w:line="480" w:lineRule="exact"/>
              <w:jc w:val="center"/>
              <w:rPr>
                <w:rFonts w:hint="eastAsia" w:ascii="仿宋" w:hAnsi="仿宋" w:eastAsia="仿宋" w:cs="仿宋"/>
                <w:color w:val="000000"/>
                <w:sz w:val="28"/>
                <w:szCs w:val="28"/>
              </w:rPr>
            </w:pPr>
            <w:bookmarkStart w:id="7" w:name="PO_15528_PM033"/>
            <w:r>
              <w:rPr>
                <w:rFonts w:hint="eastAsia" w:ascii="仿宋" w:hAnsi="仿宋" w:eastAsia="仿宋" w:cs="仿宋"/>
                <w:color w:val="000000"/>
                <w:sz w:val="28"/>
                <w:szCs w:val="28"/>
              </w:rPr>
              <w:t>0571-88901833</w:t>
            </w:r>
            <w:bookmarkEnd w:id="7"/>
          </w:p>
        </w:tc>
        <w:tc>
          <w:tcPr>
            <w:tcW w:w="2066" w:type="dxa"/>
            <w:tcBorders>
              <w:top w:val="single" w:color="auto" w:sz="4" w:space="0"/>
              <w:left w:val="single" w:color="auto" w:sz="4" w:space="0"/>
              <w:bottom w:val="single" w:color="auto" w:sz="4" w:space="0"/>
              <w:right w:val="single" w:color="auto" w:sz="4" w:space="0"/>
            </w:tcBorders>
            <w:vAlign w:val="center"/>
          </w:tcPr>
          <w:p w14:paraId="30DEF8DB">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restart"/>
            <w:tcBorders>
              <w:top w:val="single" w:color="auto" w:sz="4" w:space="0"/>
              <w:left w:val="single" w:color="auto" w:sz="4" w:space="0"/>
              <w:bottom w:val="single" w:color="auto" w:sz="4" w:space="0"/>
              <w:right w:val="single" w:color="auto" w:sz="4" w:space="0"/>
            </w:tcBorders>
          </w:tcPr>
          <w:p w14:paraId="368FBA6D">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四楼</w:t>
            </w:r>
            <w:bookmarkStart w:id="8" w:name="PO_409_PM001385"/>
            <w:r>
              <w:rPr>
                <w:rFonts w:hint="eastAsia" w:ascii="仿宋" w:hAnsi="仿宋" w:eastAsia="仿宋" w:cs="仿宋"/>
                <w:color w:val="000000"/>
                <w:sz w:val="28"/>
                <w:szCs w:val="28"/>
              </w:rPr>
              <w:t>采购二部</w:t>
            </w:r>
            <w:bookmarkEnd w:id="8"/>
          </w:p>
        </w:tc>
      </w:tr>
      <w:tr w14:paraId="7053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6" w:type="dxa"/>
            <w:tcBorders>
              <w:top w:val="single" w:color="auto" w:sz="4" w:space="0"/>
              <w:left w:val="single" w:color="auto" w:sz="4" w:space="0"/>
              <w:bottom w:val="single" w:color="auto" w:sz="4" w:space="0"/>
              <w:right w:val="single" w:color="auto" w:sz="4" w:space="0"/>
            </w:tcBorders>
            <w:vAlign w:val="center"/>
          </w:tcPr>
          <w:p w14:paraId="702CFAB5">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项目协办人</w:t>
            </w:r>
          </w:p>
          <w:p w14:paraId="522CA090">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544150D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0372DAA1">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023612A3">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5A7A78F">
            <w:pPr>
              <w:widowControl/>
              <w:jc w:val="left"/>
              <w:rPr>
                <w:rFonts w:hint="eastAsia" w:ascii="仿宋" w:hAnsi="仿宋" w:eastAsia="仿宋" w:cs="仿宋"/>
                <w:color w:val="000000"/>
                <w:sz w:val="28"/>
                <w:szCs w:val="28"/>
              </w:rPr>
            </w:pPr>
          </w:p>
        </w:tc>
      </w:tr>
      <w:tr w14:paraId="0F6C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B8AEAC2">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0F373C7">
            <w:pPr>
              <w:spacing w:line="3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54A789E4">
            <w:pPr>
              <w:spacing w:line="380" w:lineRule="exact"/>
              <w:jc w:val="center"/>
              <w:rPr>
                <w:rFonts w:hint="eastAsia" w:ascii="仿宋" w:hAnsi="仿宋" w:eastAsia="仿宋" w:cs="仿宋"/>
                <w:color w:val="000000"/>
                <w:sz w:val="28"/>
                <w:szCs w:val="28"/>
              </w:rPr>
            </w:pPr>
            <w:r>
              <w:rPr>
                <w:rFonts w:ascii="仿宋" w:hAnsi="仿宋" w:eastAsia="仿宋" w:cs="仿宋"/>
                <w:color w:val="000000"/>
                <w:sz w:val="28"/>
                <w:szCs w:val="28"/>
              </w:rPr>
              <w:t>0571-8890</w:t>
            </w:r>
            <w:r>
              <w:rPr>
                <w:rFonts w:hint="eastAsia" w:ascii="仿宋" w:hAnsi="仿宋" w:eastAsia="仿宋" w:cs="仿宋"/>
                <w:color w:val="000000"/>
                <w:sz w:val="28"/>
                <w:szCs w:val="28"/>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53B1BF6C">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5DD1849F">
            <w:pPr>
              <w:widowControl/>
              <w:jc w:val="left"/>
              <w:rPr>
                <w:rFonts w:hint="eastAsia" w:ascii="仿宋" w:hAnsi="仿宋" w:eastAsia="仿宋" w:cs="仿宋"/>
                <w:color w:val="000000"/>
                <w:sz w:val="28"/>
                <w:szCs w:val="28"/>
              </w:rPr>
            </w:pPr>
          </w:p>
        </w:tc>
      </w:tr>
      <w:tr w14:paraId="06C6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5D998FC">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16C8C29E">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7E0F45BB">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7B5A25E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1A0DF693">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四楼（采购监督部）</w:t>
            </w:r>
          </w:p>
        </w:tc>
      </w:tr>
      <w:tr w14:paraId="7611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0042B4A1">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02149D54">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07F90830">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5D0B7844">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2ACE27BC">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bl>
    <w:p w14:paraId="5E6033BA">
      <w:pPr>
        <w:snapToGrid w:val="0"/>
        <w:spacing w:line="440" w:lineRule="exact"/>
        <w:ind w:firstLine="602" w:firstLineChars="200"/>
        <w:rPr>
          <w:rFonts w:hint="eastAsia" w:ascii="仿宋" w:hAnsi="仿宋" w:eastAsia="仿宋" w:cs="Arial"/>
          <w:b/>
          <w:bCs/>
          <w:color w:val="000000"/>
          <w:sz w:val="30"/>
          <w:szCs w:val="30"/>
        </w:rPr>
      </w:pPr>
    </w:p>
    <w:p w14:paraId="0B75E700">
      <w:pPr>
        <w:snapToGrid w:val="0"/>
        <w:spacing w:line="360" w:lineRule="auto"/>
        <w:ind w:firstLine="602" w:firstLineChars="200"/>
        <w:rPr>
          <w:rFonts w:hint="eastAsia" w:ascii="仿宋_GB2312" w:hAnsi="仿宋" w:eastAsia="仿宋_GB2312" w:cs="Times New Roman"/>
          <w:color w:val="000000"/>
          <w:sz w:val="30"/>
          <w:szCs w:val="30"/>
          <w:vertAlign w:val="baseline"/>
          <w:lang w:eastAsia="zh-CN"/>
        </w:rPr>
      </w:pPr>
      <w:r>
        <w:rPr>
          <w:rFonts w:hint="eastAsia" w:ascii="仿宋" w:hAnsi="仿宋" w:eastAsia="仿宋" w:cs="Arial"/>
          <w:b/>
          <w:bCs/>
          <w:color w:val="000000"/>
          <w:sz w:val="30"/>
          <w:szCs w:val="30"/>
        </w:rPr>
        <w:t>十一、采购需求咨询</w:t>
      </w:r>
      <w:bookmarkStart w:id="9" w:name="PO_TDCUS_ITEM_PRC_TABLE_1_1_2"/>
      <w:r>
        <w:rPr>
          <w:rFonts w:hint="eastAsia" w:ascii="仿宋_GB2312" w:hAnsi="仿宋" w:eastAsia="仿宋_GB2312" w:cs="Times New Roman"/>
          <w:color w:val="000000"/>
          <w:sz w:val="30"/>
          <w:szCs w:val="30"/>
          <w:lang w:eastAsia="zh-CN"/>
        </w:rPr>
        <w:t xml:space="preserve">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2"/>
        <w:gridCol w:w="5666"/>
      </w:tblGrid>
      <w:tr w14:paraId="7C8E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57" w:type="pct"/>
          </w:tcPr>
          <w:p w14:paraId="3F836389">
            <w:pPr>
              <w:snapToGrid w:val="0"/>
              <w:spacing w:line="440" w:lineRule="exact"/>
              <w:jc w:val="center"/>
              <w:rPr>
                <w:rFonts w:hint="eastAsia" w:ascii="仿宋_GB2312" w:hAnsi="仿宋" w:eastAsia="仿宋_GB2312" w:cs="Times New Roman"/>
                <w:color w:val="000000"/>
                <w:sz w:val="30"/>
                <w:szCs w:val="30"/>
                <w:vertAlign w:val="baseline"/>
                <w:lang w:eastAsia="zh-CN"/>
              </w:rPr>
            </w:pPr>
            <w:r>
              <w:rPr>
                <w:rFonts w:hint="eastAsia" w:ascii="仿宋_GB2312" w:hAnsi="仿宋" w:eastAsia="仿宋_GB2312" w:cs="Times New Roman"/>
                <w:color w:val="000000"/>
                <w:sz w:val="30"/>
                <w:szCs w:val="30"/>
                <w:vertAlign w:val="baseline"/>
                <w:lang w:eastAsia="zh-CN"/>
              </w:rPr>
              <w:t>采购单位</w:t>
            </w:r>
          </w:p>
        </w:tc>
        <w:tc>
          <w:tcPr>
            <w:tcW w:w="5019" w:type="dxa"/>
            <w:vAlign w:val="top"/>
          </w:tcPr>
          <w:p w14:paraId="67A129D3">
            <w:pPr>
              <w:snapToGrid w:val="0"/>
              <w:spacing w:line="440" w:lineRule="exact"/>
              <w:jc w:val="center"/>
              <w:rPr>
                <w:rFonts w:hint="eastAsia" w:ascii="仿宋_GB2312" w:hAnsi="仿宋" w:eastAsia="仿宋_GB2312" w:cs="Times New Roman"/>
                <w:color w:val="000000"/>
                <w:sz w:val="30"/>
                <w:szCs w:val="30"/>
                <w:vertAlign w:val="baseline"/>
                <w:lang w:eastAsia="zh-CN"/>
              </w:rPr>
            </w:pPr>
            <w:r>
              <w:rPr>
                <w:rFonts w:hint="eastAsia" w:ascii="仿宋_GB2312" w:hAnsi="仿宋" w:eastAsia="仿宋_GB2312" w:cs="Times New Roman"/>
                <w:color w:val="000000"/>
                <w:sz w:val="30"/>
                <w:szCs w:val="30"/>
                <w:vertAlign w:val="baseline"/>
                <w:lang w:eastAsia="zh-CN"/>
              </w:rPr>
              <w:t>浙江科技大学</w:t>
            </w:r>
          </w:p>
        </w:tc>
      </w:tr>
      <w:tr w14:paraId="6AFF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14:paraId="704EED84">
            <w:pPr>
              <w:snapToGrid w:val="0"/>
              <w:spacing w:line="440" w:lineRule="exact"/>
              <w:jc w:val="center"/>
              <w:rPr>
                <w:rFonts w:hint="eastAsia" w:ascii="仿宋_GB2312" w:hAnsi="仿宋" w:eastAsia="仿宋_GB2312" w:cs="Times New Roman"/>
                <w:color w:val="000000"/>
                <w:sz w:val="30"/>
                <w:szCs w:val="30"/>
                <w:vertAlign w:val="baseline"/>
                <w:lang w:eastAsia="zh-CN"/>
              </w:rPr>
            </w:pPr>
            <w:r>
              <w:rPr>
                <w:rFonts w:hint="eastAsia" w:ascii="仿宋_GB2312" w:hAnsi="仿宋" w:eastAsia="仿宋_GB2312" w:cs="Times New Roman"/>
                <w:color w:val="000000"/>
                <w:sz w:val="30"/>
                <w:szCs w:val="30"/>
                <w:vertAlign w:val="baseline"/>
                <w:lang w:eastAsia="zh-CN"/>
              </w:rPr>
              <w:t>地址</w:t>
            </w:r>
          </w:p>
        </w:tc>
        <w:tc>
          <w:tcPr>
            <w:tcW w:w="5019" w:type="dxa"/>
            <w:vAlign w:val="top"/>
          </w:tcPr>
          <w:p w14:paraId="082C8B02">
            <w:pPr>
              <w:snapToGrid w:val="0"/>
              <w:spacing w:line="440" w:lineRule="exact"/>
              <w:jc w:val="center"/>
              <w:rPr>
                <w:rFonts w:hint="eastAsia" w:ascii="仿宋_GB2312" w:hAnsi="仿宋" w:eastAsia="仿宋_GB2312" w:cs="Times New Roman"/>
                <w:color w:val="000000"/>
                <w:sz w:val="30"/>
                <w:szCs w:val="30"/>
                <w:vertAlign w:val="baseline"/>
                <w:lang w:eastAsia="zh-CN"/>
              </w:rPr>
            </w:pPr>
            <w:r>
              <w:rPr>
                <w:rFonts w:hint="eastAsia" w:ascii="仿宋_GB2312" w:hAnsi="仿宋" w:eastAsia="仿宋_GB2312" w:cs="Times New Roman"/>
                <w:color w:val="000000"/>
                <w:sz w:val="30"/>
                <w:szCs w:val="30"/>
                <w:vertAlign w:val="baseline"/>
                <w:lang w:eastAsia="zh-CN"/>
              </w:rPr>
              <w:t>浙江省杭州市西湖区留和路318号</w:t>
            </w:r>
          </w:p>
        </w:tc>
      </w:tr>
      <w:tr w14:paraId="012D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14:paraId="536E5609">
            <w:pPr>
              <w:snapToGrid w:val="0"/>
              <w:spacing w:line="440" w:lineRule="exact"/>
              <w:jc w:val="center"/>
              <w:rPr>
                <w:rFonts w:hint="eastAsia" w:ascii="仿宋_GB2312" w:hAnsi="仿宋" w:eastAsia="仿宋_GB2312" w:cs="Times New Roman"/>
                <w:color w:val="000000"/>
                <w:sz w:val="30"/>
                <w:szCs w:val="30"/>
                <w:vertAlign w:val="baseline"/>
                <w:lang w:eastAsia="zh-CN"/>
              </w:rPr>
            </w:pPr>
            <w:r>
              <w:rPr>
                <w:rFonts w:hint="eastAsia" w:ascii="仿宋_GB2312" w:hAnsi="仿宋" w:eastAsia="仿宋_GB2312" w:cs="Times New Roman"/>
                <w:color w:val="000000"/>
                <w:sz w:val="30"/>
                <w:szCs w:val="30"/>
                <w:vertAlign w:val="baseline"/>
                <w:lang w:eastAsia="zh-CN"/>
              </w:rPr>
              <w:t>咨询事项</w:t>
            </w:r>
          </w:p>
        </w:tc>
        <w:tc>
          <w:tcPr>
            <w:tcW w:w="5019" w:type="dxa"/>
            <w:vAlign w:val="top"/>
          </w:tcPr>
          <w:p w14:paraId="4F2120E2">
            <w:pPr>
              <w:snapToGrid w:val="0"/>
              <w:spacing w:line="440" w:lineRule="exact"/>
              <w:jc w:val="center"/>
              <w:rPr>
                <w:rFonts w:hint="eastAsia" w:ascii="仿宋_GB2312" w:hAnsi="仿宋" w:eastAsia="仿宋_GB2312" w:cs="Times New Roman"/>
                <w:color w:val="000000"/>
                <w:sz w:val="30"/>
                <w:szCs w:val="30"/>
                <w:vertAlign w:val="baseline"/>
                <w:lang w:eastAsia="zh-CN"/>
              </w:rPr>
            </w:pPr>
            <w:r>
              <w:rPr>
                <w:rFonts w:hint="eastAsia" w:ascii="仿宋_GB2312" w:hAnsi="仿宋" w:eastAsia="仿宋_GB2312" w:cs="Times New Roman"/>
                <w:color w:val="000000"/>
                <w:sz w:val="30"/>
                <w:szCs w:val="30"/>
                <w:vertAlign w:val="baseline"/>
                <w:lang w:val="en-US" w:eastAsia="zh-CN"/>
              </w:rPr>
              <w:t>评分标准、</w:t>
            </w:r>
            <w:r>
              <w:rPr>
                <w:rFonts w:hint="eastAsia" w:ascii="仿宋_GB2312" w:hAnsi="仿宋" w:eastAsia="仿宋_GB2312" w:cs="Times New Roman"/>
                <w:color w:val="000000"/>
                <w:sz w:val="30"/>
                <w:szCs w:val="30"/>
                <w:vertAlign w:val="baseline"/>
                <w:lang w:eastAsia="zh-CN"/>
              </w:rPr>
              <w:t>采购需求等</w:t>
            </w:r>
          </w:p>
        </w:tc>
      </w:tr>
      <w:tr w14:paraId="46D0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14:paraId="44156905">
            <w:pPr>
              <w:snapToGrid w:val="0"/>
              <w:spacing w:line="440" w:lineRule="exact"/>
              <w:jc w:val="center"/>
              <w:rPr>
                <w:rFonts w:hint="eastAsia" w:ascii="仿宋_GB2312" w:hAnsi="仿宋" w:eastAsia="仿宋_GB2312" w:cs="Times New Roman"/>
                <w:color w:val="000000"/>
                <w:sz w:val="30"/>
                <w:szCs w:val="30"/>
                <w:vertAlign w:val="baseline"/>
                <w:lang w:eastAsia="zh-CN"/>
              </w:rPr>
            </w:pPr>
            <w:r>
              <w:rPr>
                <w:rFonts w:hint="eastAsia" w:ascii="仿宋_GB2312" w:hAnsi="仿宋" w:eastAsia="仿宋_GB2312" w:cs="Times New Roman"/>
                <w:color w:val="000000"/>
                <w:sz w:val="30"/>
                <w:szCs w:val="30"/>
                <w:vertAlign w:val="baseline"/>
                <w:lang w:eastAsia="zh-CN"/>
              </w:rPr>
              <w:t>联系人</w:t>
            </w:r>
          </w:p>
        </w:tc>
        <w:tc>
          <w:tcPr>
            <w:tcW w:w="5019" w:type="dxa"/>
            <w:vAlign w:val="top"/>
          </w:tcPr>
          <w:p w14:paraId="70D2A470">
            <w:pPr>
              <w:snapToGrid w:val="0"/>
              <w:spacing w:line="440" w:lineRule="exact"/>
              <w:jc w:val="center"/>
              <w:rPr>
                <w:rFonts w:hint="eastAsia" w:ascii="仿宋_GB2312" w:hAnsi="仿宋" w:eastAsia="仿宋_GB2312" w:cs="Times New Roman"/>
                <w:color w:val="000000"/>
                <w:sz w:val="30"/>
                <w:szCs w:val="30"/>
                <w:vertAlign w:val="baseline"/>
                <w:lang w:eastAsia="zh-CN"/>
              </w:rPr>
            </w:pPr>
            <w:r>
              <w:rPr>
                <w:rFonts w:hint="eastAsia" w:ascii="仿宋_GB2312" w:hAnsi="仿宋" w:eastAsia="仿宋_GB2312" w:cs="Times New Roman"/>
                <w:color w:val="000000"/>
                <w:sz w:val="30"/>
                <w:szCs w:val="30"/>
                <w:vertAlign w:val="baseline"/>
                <w:lang w:eastAsia="zh-CN"/>
              </w:rPr>
              <w:t>贾老师</w:t>
            </w:r>
          </w:p>
        </w:tc>
      </w:tr>
      <w:tr w14:paraId="1C65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14:paraId="1CCB17EB">
            <w:pPr>
              <w:snapToGrid w:val="0"/>
              <w:spacing w:line="440" w:lineRule="exact"/>
              <w:jc w:val="center"/>
              <w:rPr>
                <w:rFonts w:hint="eastAsia" w:ascii="仿宋_GB2312" w:hAnsi="仿宋" w:eastAsia="仿宋_GB2312" w:cs="Times New Roman"/>
                <w:color w:val="000000"/>
                <w:sz w:val="30"/>
                <w:szCs w:val="30"/>
                <w:vertAlign w:val="baseline"/>
                <w:lang w:eastAsia="zh-CN"/>
              </w:rPr>
            </w:pPr>
            <w:r>
              <w:rPr>
                <w:rFonts w:hint="eastAsia" w:ascii="仿宋_GB2312" w:hAnsi="仿宋" w:eastAsia="仿宋_GB2312" w:cs="Times New Roman"/>
                <w:color w:val="000000"/>
                <w:sz w:val="30"/>
                <w:szCs w:val="30"/>
                <w:vertAlign w:val="baseline"/>
                <w:lang w:eastAsia="zh-CN"/>
              </w:rPr>
              <w:t>联系方式</w:t>
            </w:r>
          </w:p>
        </w:tc>
        <w:tc>
          <w:tcPr>
            <w:tcW w:w="5019" w:type="dxa"/>
            <w:vAlign w:val="top"/>
          </w:tcPr>
          <w:p w14:paraId="2427E793">
            <w:pPr>
              <w:snapToGrid w:val="0"/>
              <w:spacing w:line="440" w:lineRule="exact"/>
              <w:jc w:val="center"/>
              <w:rPr>
                <w:rFonts w:hint="eastAsia" w:ascii="仿宋_GB2312" w:hAnsi="仿宋" w:eastAsia="仿宋_GB2312" w:cs="Times New Roman"/>
                <w:color w:val="000000"/>
                <w:sz w:val="30"/>
                <w:szCs w:val="30"/>
                <w:vertAlign w:val="baseline"/>
                <w:lang w:eastAsia="zh-CN"/>
              </w:rPr>
            </w:pPr>
            <w:r>
              <w:rPr>
                <w:rFonts w:hint="eastAsia" w:ascii="仿宋_GB2312" w:hAnsi="仿宋" w:eastAsia="仿宋_GB2312" w:cs="Times New Roman"/>
                <w:color w:val="000000"/>
                <w:sz w:val="30"/>
                <w:szCs w:val="30"/>
                <w:vertAlign w:val="baseline"/>
                <w:lang w:eastAsia="zh-CN"/>
              </w:rPr>
              <w:t>0571-85070233</w:t>
            </w:r>
          </w:p>
        </w:tc>
      </w:tr>
      <w:tr w14:paraId="03E2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shd w:val="clear" w:color="auto" w:fill="auto"/>
            <w:vAlign w:val="top"/>
          </w:tcPr>
          <w:p w14:paraId="041AB893">
            <w:pPr>
              <w:snapToGrid w:val="0"/>
              <w:spacing w:line="440" w:lineRule="exact"/>
              <w:jc w:val="center"/>
              <w:rPr>
                <w:rFonts w:hint="eastAsia" w:ascii="仿宋_GB2312" w:hAnsi="仿宋" w:eastAsia="仿宋_GB2312" w:cs="Times New Roman"/>
                <w:color w:val="000000"/>
                <w:kern w:val="2"/>
                <w:sz w:val="30"/>
                <w:szCs w:val="30"/>
                <w:lang w:val="en-US" w:eastAsia="zh-CN" w:bidi="ar-SA"/>
              </w:rPr>
            </w:pPr>
            <w:r>
              <w:rPr>
                <w:rFonts w:hint="eastAsia" w:ascii="仿宋_GB2312" w:hAnsi="仿宋" w:eastAsia="仿宋_GB2312" w:cs="Times New Roman"/>
                <w:color w:val="000000"/>
                <w:sz w:val="30"/>
                <w:szCs w:val="30"/>
              </w:rPr>
              <w:t>采购人质疑联系人</w:t>
            </w:r>
          </w:p>
        </w:tc>
        <w:tc>
          <w:tcPr>
            <w:tcW w:w="2942" w:type="pct"/>
            <w:shd w:val="clear" w:color="auto" w:fill="auto"/>
            <w:vAlign w:val="top"/>
          </w:tcPr>
          <w:p w14:paraId="6E5A5EB8">
            <w:pPr>
              <w:snapToGrid w:val="0"/>
              <w:spacing w:line="440" w:lineRule="exact"/>
              <w:jc w:val="center"/>
              <w:rPr>
                <w:rFonts w:hint="eastAsia" w:ascii="仿宋_GB2312" w:hAnsi="仿宋" w:eastAsia="仿宋_GB2312" w:cs="Times New Roman"/>
                <w:color w:val="000000"/>
                <w:kern w:val="2"/>
                <w:sz w:val="30"/>
                <w:szCs w:val="30"/>
                <w:lang w:val="en-US" w:eastAsia="zh-CN" w:bidi="ar-SA"/>
              </w:rPr>
            </w:pPr>
            <w:r>
              <w:rPr>
                <w:rFonts w:hint="eastAsia" w:ascii="仿宋_GB2312" w:hAnsi="仿宋" w:eastAsia="仿宋_GB2312" w:cs="Times New Roman"/>
                <w:color w:val="000000"/>
                <w:kern w:val="2"/>
                <w:sz w:val="30"/>
                <w:szCs w:val="30"/>
                <w:lang w:val="en-US" w:eastAsia="zh-CN" w:bidi="ar-SA"/>
              </w:rPr>
              <w:t>潘老师</w:t>
            </w:r>
          </w:p>
        </w:tc>
      </w:tr>
      <w:tr w14:paraId="34ED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shd w:val="clear" w:color="auto" w:fill="auto"/>
            <w:vAlign w:val="top"/>
          </w:tcPr>
          <w:p w14:paraId="44A8749C">
            <w:pPr>
              <w:snapToGrid w:val="0"/>
              <w:spacing w:line="440" w:lineRule="exact"/>
              <w:jc w:val="center"/>
              <w:rPr>
                <w:rFonts w:hint="eastAsia" w:ascii="仿宋_GB2312" w:hAnsi="仿宋" w:eastAsia="仿宋_GB2312" w:cs="Times New Roman"/>
                <w:color w:val="000000"/>
                <w:kern w:val="2"/>
                <w:sz w:val="30"/>
                <w:szCs w:val="30"/>
                <w:lang w:val="en-US" w:eastAsia="zh-CN" w:bidi="ar-SA"/>
              </w:rPr>
            </w:pPr>
            <w:r>
              <w:rPr>
                <w:rFonts w:hint="eastAsia" w:ascii="仿宋_GB2312" w:hAnsi="仿宋" w:eastAsia="仿宋_GB2312" w:cs="Times New Roman"/>
                <w:color w:val="000000"/>
                <w:sz w:val="30"/>
                <w:szCs w:val="30"/>
              </w:rPr>
              <w:t>采购人质疑联系电话</w:t>
            </w:r>
          </w:p>
        </w:tc>
        <w:tc>
          <w:tcPr>
            <w:tcW w:w="2942" w:type="pct"/>
            <w:shd w:val="clear" w:color="auto" w:fill="auto"/>
            <w:vAlign w:val="top"/>
          </w:tcPr>
          <w:p w14:paraId="4D850C68">
            <w:pPr>
              <w:snapToGrid w:val="0"/>
              <w:spacing w:line="440" w:lineRule="exact"/>
              <w:jc w:val="center"/>
              <w:rPr>
                <w:rFonts w:hint="eastAsia" w:ascii="仿宋_GB2312" w:hAnsi="仿宋" w:eastAsia="仿宋_GB2312" w:cs="Times New Roman"/>
                <w:color w:val="000000"/>
                <w:kern w:val="2"/>
                <w:sz w:val="30"/>
                <w:szCs w:val="30"/>
                <w:lang w:val="en-US" w:eastAsia="zh-CN" w:bidi="ar-SA"/>
              </w:rPr>
            </w:pPr>
            <w:r>
              <w:rPr>
                <w:rFonts w:hint="eastAsia" w:ascii="仿宋_GB2312" w:hAnsi="仿宋" w:eastAsia="仿宋_GB2312" w:cs="Times New Roman"/>
                <w:color w:val="000000"/>
                <w:kern w:val="2"/>
                <w:sz w:val="30"/>
                <w:szCs w:val="30"/>
                <w:lang w:val="en-US" w:eastAsia="zh-CN" w:bidi="ar-SA"/>
              </w:rPr>
              <w:t>0571-85070858</w:t>
            </w:r>
          </w:p>
        </w:tc>
      </w:tr>
    </w:tbl>
    <w:p w14:paraId="16990ADB">
      <w:pPr>
        <w:snapToGrid w:val="0"/>
        <w:spacing w:line="440" w:lineRule="exact"/>
        <w:ind w:firstLine="600" w:firstLineChars="200"/>
        <w:jc w:val="center"/>
        <w:rPr>
          <w:rFonts w:hint="eastAsia" w:ascii="仿宋_GB2312" w:hAnsi="仿宋" w:eastAsia="仿宋_GB2312" w:cs="Times New Roman"/>
          <w:color w:val="000000"/>
          <w:sz w:val="30"/>
          <w:szCs w:val="30"/>
          <w:lang w:eastAsia="zh-CN"/>
        </w:rPr>
      </w:pPr>
      <w:r>
        <w:rPr>
          <w:rFonts w:hint="eastAsia" w:ascii="仿宋_GB2312" w:hAnsi="仿宋" w:eastAsia="仿宋_GB2312" w:cs="Times New Roman"/>
          <w:color w:val="000000"/>
          <w:sz w:val="30"/>
          <w:szCs w:val="30"/>
          <w:lang w:eastAsia="zh-CN"/>
        </w:rPr>
        <w:t xml:space="preserve"> </w:t>
      </w:r>
      <w:bookmarkEnd w:id="9"/>
    </w:p>
    <w:p w14:paraId="51781168">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十二、同级政府采购监督管理部门</w:t>
      </w:r>
    </w:p>
    <w:p w14:paraId="5DB213AD">
      <w:pPr>
        <w:snapToGrid w:val="0"/>
        <w:spacing w:before="156" w:beforeLines="50" w:after="156"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名   称：浙江省政府采购行政裁决服务中心（杭州市上城区清泰街549号城建综合大楼11楼）</w:t>
      </w:r>
    </w:p>
    <w:p w14:paraId="7BAB7472">
      <w:pPr>
        <w:snapToGrid w:val="0"/>
        <w:spacing w:before="156" w:beforeLines="50" w:after="156" w:afterLines="50" w:line="46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 xml:space="preserve">地   址：杭州市上城区清泰街549号城建综合大楼11楼 </w:t>
      </w:r>
    </w:p>
    <w:p w14:paraId="72DE6F2E">
      <w:pPr>
        <w:snapToGrid w:val="0"/>
        <w:spacing w:before="156" w:beforeLines="50" w:after="156" w:afterLines="50" w:line="46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联系人：匡老师</w:t>
      </w:r>
    </w:p>
    <w:p w14:paraId="599C2A8E">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Times New Roman"/>
          <w:sz w:val="30"/>
          <w:szCs w:val="30"/>
        </w:rPr>
        <w:t>监督投诉电话：0571-87227986</w:t>
      </w:r>
    </w:p>
    <w:p w14:paraId="250F541D">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1A4D4206">
      <w:pPr>
        <w:snapToGrid w:val="0"/>
        <w:spacing w:before="156" w:beforeLines="50" w:after="156" w:afterLines="50" w:line="460" w:lineRule="exact"/>
        <w:ind w:firstLine="600" w:firstLineChars="200"/>
        <w:rPr>
          <w:rFonts w:hint="eastAsia" w:ascii="仿宋" w:hAnsi="仿宋" w:eastAsia="仿宋" w:cs="仿宋"/>
          <w:kern w:val="0"/>
          <w:sz w:val="30"/>
          <w:szCs w:val="30"/>
        </w:rPr>
      </w:pPr>
    </w:p>
    <w:p w14:paraId="3DED8860">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宋体" w:hAnsi="Courier New" w:eastAsia="宋体" w:cs="Times New Roman"/>
          <w:color w:val="000000"/>
          <w:kern w:val="2"/>
          <w:sz w:val="24"/>
          <w:szCs w:val="24"/>
          <w:lang w:val="en-US" w:eastAsia="zh-CN" w:bidi="ar-SA"/>
        </w:rPr>
        <w:br w:type="page"/>
      </w:r>
      <w:bookmarkStart w:id="10" w:name="_Toc29498"/>
      <w:bookmarkStart w:id="11" w:name="_Toc496796636"/>
      <w:r>
        <w:rPr>
          <w:rFonts w:hint="eastAsia" w:ascii="仿宋" w:hAnsi="仿宋" w:eastAsia="仿宋" w:cs="Times New Roman"/>
          <w:b/>
          <w:color w:val="000000"/>
          <w:kern w:val="2"/>
          <w:sz w:val="36"/>
          <w:szCs w:val="36"/>
          <w:lang w:val="en-US" w:eastAsia="zh-CN" w:bidi="ar-SA"/>
        </w:rPr>
        <w:t>第二章</w:t>
      </w:r>
      <w:bookmarkStart w:id="12" w:name="投标人须知"/>
      <w:r>
        <w:rPr>
          <w:rFonts w:hint="eastAsia" w:ascii="仿宋" w:hAnsi="仿宋" w:eastAsia="仿宋" w:cs="Times New Roman"/>
          <w:b/>
          <w:color w:val="000000"/>
          <w:kern w:val="2"/>
          <w:sz w:val="36"/>
          <w:szCs w:val="36"/>
          <w:lang w:val="en-US" w:eastAsia="zh-CN" w:bidi="ar-SA"/>
        </w:rPr>
        <w:t xml:space="preserve"> 投标人须知</w:t>
      </w:r>
      <w:bookmarkEnd w:id="10"/>
      <w:bookmarkEnd w:id="11"/>
      <w:bookmarkEnd w:id="12"/>
    </w:p>
    <w:p w14:paraId="29C58CC3">
      <w:pPr>
        <w:snapToGrid w:val="0"/>
        <w:rPr>
          <w:rFonts w:ascii="宋体" w:hAnsi="宋体" w:eastAsia="宋体" w:cs="Times New Roman"/>
          <w:color w:val="000000"/>
          <w:sz w:val="28"/>
          <w:szCs w:val="28"/>
        </w:rPr>
      </w:pPr>
      <w:r>
        <w:rPr>
          <w:rFonts w:hint="eastAsia" w:ascii="宋体" w:hAnsi="宋体" w:eastAsia="宋体" w:cs="Times New Roman"/>
          <w:color w:val="000000"/>
          <w:sz w:val="28"/>
          <w:szCs w:val="28"/>
        </w:rPr>
        <w:t>前附表</w:t>
      </w:r>
    </w:p>
    <w:tbl>
      <w:tblPr>
        <w:tblStyle w:val="60"/>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410"/>
        <w:gridCol w:w="7239"/>
      </w:tblGrid>
      <w:tr w14:paraId="21228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811" w:type="dxa"/>
            <w:tcBorders>
              <w:top w:val="single" w:color="auto" w:sz="4" w:space="0"/>
              <w:left w:val="single" w:color="auto" w:sz="4" w:space="0"/>
              <w:bottom w:val="single" w:color="auto" w:sz="4" w:space="0"/>
              <w:right w:val="single" w:color="auto" w:sz="4" w:space="0"/>
            </w:tcBorders>
            <w:vAlign w:val="center"/>
          </w:tcPr>
          <w:p w14:paraId="47341FC4">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lang w:val="en-US" w:eastAsia="zh-CN"/>
              </w:rPr>
              <w:t>序</w:t>
            </w:r>
            <w:r>
              <w:rPr>
                <w:rFonts w:hint="eastAsia" w:ascii="仿宋" w:hAnsi="仿宋" w:eastAsia="仿宋" w:cs="Times New Roman"/>
                <w:color w:val="000000"/>
                <w:sz w:val="24"/>
                <w:szCs w:val="24"/>
              </w:rPr>
              <w:t>号</w:t>
            </w:r>
          </w:p>
        </w:tc>
        <w:tc>
          <w:tcPr>
            <w:tcW w:w="1410" w:type="dxa"/>
            <w:tcBorders>
              <w:top w:val="single" w:color="auto" w:sz="4" w:space="0"/>
              <w:left w:val="single" w:color="auto" w:sz="4" w:space="0"/>
              <w:bottom w:val="single" w:color="auto" w:sz="4" w:space="0"/>
              <w:right w:val="single" w:color="auto" w:sz="4" w:space="0"/>
            </w:tcBorders>
            <w:vAlign w:val="center"/>
          </w:tcPr>
          <w:p w14:paraId="6F3521C8">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内  容</w:t>
            </w:r>
          </w:p>
        </w:tc>
        <w:tc>
          <w:tcPr>
            <w:tcW w:w="7239" w:type="dxa"/>
            <w:tcBorders>
              <w:top w:val="single" w:color="auto" w:sz="4" w:space="0"/>
              <w:left w:val="single" w:color="auto" w:sz="4" w:space="0"/>
              <w:bottom w:val="single" w:color="auto" w:sz="4" w:space="0"/>
              <w:right w:val="single" w:color="auto" w:sz="4" w:space="0"/>
            </w:tcBorders>
            <w:vAlign w:val="center"/>
          </w:tcPr>
          <w:p w14:paraId="5DD6F8AE">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要    求</w:t>
            </w:r>
          </w:p>
        </w:tc>
      </w:tr>
      <w:tr w14:paraId="58E79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1" w:type="dxa"/>
            <w:tcBorders>
              <w:top w:val="single" w:color="auto" w:sz="4" w:space="0"/>
              <w:left w:val="single" w:color="auto" w:sz="4" w:space="0"/>
              <w:bottom w:val="single" w:color="auto" w:sz="4" w:space="0"/>
              <w:right w:val="single" w:color="auto" w:sz="4" w:space="0"/>
            </w:tcBorders>
            <w:vAlign w:val="center"/>
          </w:tcPr>
          <w:p w14:paraId="2A1676C8">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p>
        </w:tc>
        <w:tc>
          <w:tcPr>
            <w:tcW w:w="1410" w:type="dxa"/>
            <w:tcBorders>
              <w:top w:val="single" w:color="auto" w:sz="4" w:space="0"/>
              <w:left w:val="single" w:color="auto" w:sz="4" w:space="0"/>
              <w:bottom w:val="single" w:color="auto" w:sz="4" w:space="0"/>
              <w:right w:val="single" w:color="auto" w:sz="4" w:space="0"/>
            </w:tcBorders>
            <w:vAlign w:val="center"/>
          </w:tcPr>
          <w:p w14:paraId="0C85A3F7">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项目名称及数量</w:t>
            </w:r>
          </w:p>
        </w:tc>
        <w:tc>
          <w:tcPr>
            <w:tcW w:w="7239" w:type="dxa"/>
            <w:tcBorders>
              <w:top w:val="single" w:color="auto" w:sz="4" w:space="0"/>
              <w:left w:val="single" w:color="auto" w:sz="4" w:space="0"/>
              <w:bottom w:val="single" w:color="auto" w:sz="4" w:space="0"/>
              <w:right w:val="single" w:color="auto" w:sz="4" w:space="0"/>
            </w:tcBorders>
            <w:vAlign w:val="center"/>
          </w:tcPr>
          <w:p w14:paraId="2CA32AF4">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详见《公开招标采购公告》三</w:t>
            </w:r>
          </w:p>
        </w:tc>
      </w:tr>
      <w:tr w14:paraId="5D140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1" w:type="dxa"/>
            <w:tcBorders>
              <w:top w:val="single" w:color="auto" w:sz="4" w:space="0"/>
              <w:left w:val="single" w:color="auto" w:sz="4" w:space="0"/>
              <w:bottom w:val="single" w:color="auto" w:sz="4" w:space="0"/>
              <w:right w:val="single" w:color="auto" w:sz="4" w:space="0"/>
            </w:tcBorders>
            <w:vAlign w:val="center"/>
          </w:tcPr>
          <w:p w14:paraId="5A69FDF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w:t>
            </w:r>
          </w:p>
        </w:tc>
        <w:tc>
          <w:tcPr>
            <w:tcW w:w="1410" w:type="dxa"/>
            <w:tcBorders>
              <w:top w:val="single" w:color="auto" w:sz="4" w:space="0"/>
              <w:left w:val="single" w:color="auto" w:sz="4" w:space="0"/>
              <w:bottom w:val="single" w:color="auto" w:sz="4" w:space="0"/>
              <w:right w:val="single" w:color="auto" w:sz="4" w:space="0"/>
            </w:tcBorders>
            <w:vAlign w:val="center"/>
          </w:tcPr>
          <w:p w14:paraId="0297A297">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信用记录</w:t>
            </w:r>
          </w:p>
        </w:tc>
        <w:tc>
          <w:tcPr>
            <w:tcW w:w="7239" w:type="dxa"/>
            <w:tcBorders>
              <w:top w:val="single" w:color="auto" w:sz="4" w:space="0"/>
              <w:left w:val="single" w:color="auto" w:sz="4" w:space="0"/>
              <w:bottom w:val="single" w:color="auto" w:sz="4" w:space="0"/>
              <w:right w:val="single" w:color="auto" w:sz="4" w:space="0"/>
            </w:tcBorders>
            <w:vAlign w:val="center"/>
          </w:tcPr>
          <w:p w14:paraId="28CB418A">
            <w:pPr>
              <w:snapToGrid w:val="0"/>
              <w:spacing w:line="460" w:lineRule="exact"/>
              <w:jc w:val="lef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196CC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1" w:type="dxa"/>
            <w:tcBorders>
              <w:top w:val="single" w:color="auto" w:sz="4" w:space="0"/>
              <w:left w:val="single" w:color="auto" w:sz="4" w:space="0"/>
              <w:bottom w:val="single" w:color="auto" w:sz="4" w:space="0"/>
              <w:right w:val="single" w:color="auto" w:sz="4" w:space="0"/>
            </w:tcBorders>
            <w:vAlign w:val="center"/>
          </w:tcPr>
          <w:p w14:paraId="2A8626DD">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w:t>
            </w:r>
          </w:p>
        </w:tc>
        <w:tc>
          <w:tcPr>
            <w:tcW w:w="1410" w:type="dxa"/>
            <w:tcBorders>
              <w:top w:val="single" w:color="auto" w:sz="4" w:space="0"/>
              <w:left w:val="single" w:color="auto" w:sz="4" w:space="0"/>
              <w:bottom w:val="single" w:color="auto" w:sz="4" w:space="0"/>
              <w:right w:val="single" w:color="auto" w:sz="4" w:space="0"/>
            </w:tcBorders>
            <w:vAlign w:val="center"/>
          </w:tcPr>
          <w:p w14:paraId="5DE5052A">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中小企业预留份额情况</w:t>
            </w:r>
          </w:p>
        </w:tc>
        <w:tc>
          <w:tcPr>
            <w:tcW w:w="7239" w:type="dxa"/>
            <w:tcBorders>
              <w:top w:val="single" w:color="auto" w:sz="4" w:space="0"/>
              <w:left w:val="single" w:color="auto" w:sz="4" w:space="0"/>
              <w:bottom w:val="single" w:color="auto" w:sz="4" w:space="0"/>
              <w:right w:val="single" w:color="auto" w:sz="4" w:space="0"/>
            </w:tcBorders>
            <w:vAlign w:val="center"/>
          </w:tcPr>
          <w:p w14:paraId="0B158ACA">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
                <w:bCs w:val="0"/>
                <w:color w:val="000000"/>
                <w:sz w:val="24"/>
              </w:rPr>
              <w:t>根据《政府采购促进中小企业发展管理办法》财库〔2020〕46号，《关于进一步加大政府采购支持中小企业力度的通知》财库〔2022〕19号文件的规定，本项目属于预留份额专门面向中小企业采购的项目。</w:t>
            </w:r>
          </w:p>
        </w:tc>
      </w:tr>
      <w:tr w14:paraId="6F3A6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1" w:type="dxa"/>
            <w:tcBorders>
              <w:top w:val="single" w:color="auto" w:sz="4" w:space="0"/>
              <w:left w:val="single" w:color="auto" w:sz="4" w:space="0"/>
              <w:bottom w:val="single" w:color="auto" w:sz="4" w:space="0"/>
              <w:right w:val="single" w:color="auto" w:sz="4" w:space="0"/>
            </w:tcBorders>
            <w:vAlign w:val="center"/>
          </w:tcPr>
          <w:p w14:paraId="18981084">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w:t>
            </w:r>
          </w:p>
        </w:tc>
        <w:tc>
          <w:tcPr>
            <w:tcW w:w="1410" w:type="dxa"/>
            <w:tcBorders>
              <w:top w:val="single" w:color="auto" w:sz="4" w:space="0"/>
              <w:left w:val="single" w:color="auto" w:sz="4" w:space="0"/>
              <w:bottom w:val="single" w:color="auto" w:sz="4" w:space="0"/>
              <w:right w:val="single" w:color="auto" w:sz="4" w:space="0"/>
            </w:tcBorders>
            <w:vAlign w:val="center"/>
          </w:tcPr>
          <w:p w14:paraId="6B84B9A1">
            <w:pPr>
              <w:snapToGrid w:val="0"/>
              <w:jc w:val="center"/>
              <w:rPr>
                <w:rFonts w:ascii="仿宋" w:hAnsi="仿宋" w:eastAsia="仿宋" w:cs="Times New Roman"/>
                <w:color w:val="000000"/>
                <w:sz w:val="28"/>
                <w:szCs w:val="28"/>
              </w:rPr>
            </w:pPr>
            <w:r>
              <w:rPr>
                <w:rFonts w:hint="eastAsia" w:ascii="仿宋_GB2312" w:hAnsi="仿宋" w:eastAsia="仿宋_GB2312" w:cs="Times New Roman"/>
                <w:bCs/>
                <w:color w:val="000000"/>
                <w:sz w:val="24"/>
              </w:rPr>
              <w:t>中小企业优惠措施</w:t>
            </w:r>
          </w:p>
        </w:tc>
        <w:tc>
          <w:tcPr>
            <w:tcW w:w="7239" w:type="dxa"/>
            <w:tcBorders>
              <w:top w:val="single" w:color="auto" w:sz="4" w:space="0"/>
              <w:left w:val="single" w:color="auto" w:sz="4" w:space="0"/>
              <w:bottom w:val="single" w:color="auto" w:sz="4" w:space="0"/>
              <w:right w:val="single" w:color="auto" w:sz="4" w:space="0"/>
            </w:tcBorders>
            <w:vAlign w:val="center"/>
          </w:tcPr>
          <w:p w14:paraId="06B848F8">
            <w:pPr>
              <w:widowControl w:val="0"/>
              <w:numPr>
                <w:ilvl w:val="0"/>
                <w:numId w:val="30"/>
              </w:numPr>
              <w:snapToGrid w:val="0"/>
              <w:spacing w:line="460" w:lineRule="exact"/>
              <w:ind w:left="960" w:hanging="360" w:firstLineChars="0"/>
              <w:jc w:val="both"/>
              <w:rPr>
                <w:rFonts w:ascii="仿宋" w:hAnsi="仿宋" w:eastAsia="仿宋" w:cs="Times New Roman"/>
                <w:b/>
                <w:color w:val="000000"/>
                <w:kern w:val="2"/>
                <w:sz w:val="24"/>
                <w:szCs w:val="24"/>
                <w:u w:val="single"/>
                <w:lang w:val="en-US" w:eastAsia="zh-CN" w:bidi="ar-SA"/>
              </w:rPr>
            </w:pPr>
            <w:r>
              <w:rPr>
                <w:rFonts w:hint="eastAsia" w:ascii="仿宋" w:hAnsi="仿宋" w:eastAsia="仿宋" w:cs="Times New Roman"/>
                <w:b/>
                <w:color w:val="000000"/>
                <w:kern w:val="2"/>
                <w:sz w:val="24"/>
                <w:szCs w:val="24"/>
                <w:lang w:val="en-US" w:eastAsia="zh-CN" w:bidi="ar-SA"/>
              </w:rPr>
              <w:t>项目属性（货物类）</w:t>
            </w:r>
          </w:p>
          <w:p w14:paraId="7FFB82D0">
            <w:pPr>
              <w:widowControl w:val="0"/>
              <w:numPr>
                <w:ilvl w:val="0"/>
                <w:numId w:val="30"/>
              </w:numPr>
              <w:snapToGrid w:val="0"/>
              <w:spacing w:line="460" w:lineRule="exact"/>
              <w:ind w:left="960" w:hanging="360" w:firstLineChars="0"/>
              <w:jc w:val="both"/>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中小企业划分标准所属行业（具体根据《中小企业划型标准规定》执行）</w:t>
            </w:r>
          </w:p>
          <w:p w14:paraId="588CF7E1">
            <w:pPr>
              <w:snapToGrid w:val="0"/>
              <w:spacing w:line="460" w:lineRule="exact"/>
              <w:ind w:left="600"/>
              <w:rPr>
                <w:rFonts w:hint="default"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rPr>
              <w:t>采购标的：</w:t>
            </w:r>
            <w:r>
              <w:rPr>
                <w:rFonts w:hint="eastAsia" w:ascii="仿宋" w:hAnsi="仿宋" w:eastAsia="仿宋" w:cs="Times New Roman"/>
                <w:b/>
                <w:color w:val="000000"/>
                <w:sz w:val="24"/>
                <w:szCs w:val="24"/>
                <w:lang w:val="en-US" w:eastAsia="zh-CN"/>
              </w:rPr>
              <w:t>详见采购清单</w:t>
            </w:r>
            <w:r>
              <w:rPr>
                <w:rFonts w:hint="eastAsia" w:ascii="仿宋" w:hAnsi="仿宋" w:eastAsia="仿宋" w:cs="Times New Roman"/>
                <w:b/>
                <w:color w:val="000000"/>
                <w:sz w:val="24"/>
                <w:szCs w:val="24"/>
              </w:rPr>
              <w:t>，所属行业：</w:t>
            </w:r>
            <w:r>
              <w:rPr>
                <w:rFonts w:hint="eastAsia" w:ascii="仿宋" w:hAnsi="仿宋" w:eastAsia="仿宋" w:cs="Times New Roman"/>
                <w:b/>
                <w:color w:val="000000"/>
                <w:sz w:val="24"/>
                <w:szCs w:val="24"/>
                <w:lang w:val="en-US" w:eastAsia="zh-CN"/>
              </w:rPr>
              <w:t>软件和信息技术服务业</w:t>
            </w:r>
          </w:p>
          <w:p w14:paraId="1BDFE4F6">
            <w:pPr>
              <w:snapToGrid w:val="0"/>
              <w:spacing w:line="460" w:lineRule="exact"/>
              <w:ind w:firstLine="600" w:firstLineChars="250"/>
              <w:rPr>
                <w:rFonts w:ascii="仿宋" w:hAnsi="仿宋" w:eastAsia="仿宋" w:cs="Times New Roman"/>
                <w:color w:val="000000"/>
                <w:sz w:val="24"/>
                <w:szCs w:val="24"/>
              </w:rPr>
            </w:pPr>
            <w:r>
              <w:rPr>
                <w:rFonts w:hint="eastAsia" w:ascii="仿宋" w:hAnsi="仿宋" w:eastAsia="仿宋" w:cs="Times New Roman"/>
                <w:color w:val="000000"/>
                <w:sz w:val="24"/>
                <w:szCs w:val="24"/>
                <w:lang w:val="en-US" w:eastAsia="zh-CN"/>
              </w:rPr>
              <w:t>3</w:t>
            </w:r>
            <w:r>
              <w:rPr>
                <w:rFonts w:hint="eastAsia" w:ascii="仿宋" w:hAnsi="仿宋" w:eastAsia="仿宋" w:cs="Times New Roman"/>
                <w:color w:val="000000"/>
                <w:sz w:val="24"/>
                <w:szCs w:val="24"/>
              </w:rPr>
              <w:t>.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7A2B5EDB">
            <w:pPr>
              <w:snapToGrid w:val="0"/>
              <w:spacing w:line="460" w:lineRule="exact"/>
              <w:ind w:firstLine="600" w:firstLineChars="250"/>
              <w:rPr>
                <w:rFonts w:ascii="仿宋" w:hAnsi="仿宋" w:eastAsia="仿宋" w:cs="Times New Roman"/>
                <w:b/>
                <w:bCs/>
                <w:color w:val="000000"/>
                <w:sz w:val="24"/>
                <w:szCs w:val="24"/>
              </w:rPr>
            </w:pPr>
            <w:r>
              <w:rPr>
                <w:rFonts w:hint="eastAsia" w:ascii="仿宋" w:hAnsi="仿宋" w:eastAsia="仿宋" w:cs="Times New Roman"/>
                <w:color w:val="000000"/>
                <w:sz w:val="24"/>
                <w:szCs w:val="24"/>
                <w:lang w:val="en-US" w:eastAsia="zh-CN"/>
              </w:rPr>
              <w:t>4</w:t>
            </w:r>
            <w:r>
              <w:rPr>
                <w:rFonts w:hint="eastAsia" w:ascii="仿宋" w:hAnsi="仿宋" w:eastAsia="仿宋" w:cs="Times New Roman"/>
                <w:color w:val="000000"/>
                <w:sz w:val="24"/>
                <w:szCs w:val="24"/>
              </w:rPr>
              <w:t>.根据财库[2014]68号的相关规定，在政府采购活动中，监狱企业视同小型、微型企业，并在投标文件中提供由省级以上监狱管理局、戒毒管理局（含新疆生产建设兵团）出具的属于监狱企业的证明文件（格式自拟）。”</w:t>
            </w:r>
          </w:p>
        </w:tc>
      </w:tr>
      <w:tr w14:paraId="37CE0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1" w:type="dxa"/>
            <w:tcBorders>
              <w:top w:val="single" w:color="auto" w:sz="4" w:space="0"/>
              <w:left w:val="single" w:color="auto" w:sz="4" w:space="0"/>
              <w:bottom w:val="single" w:color="auto" w:sz="4" w:space="0"/>
              <w:right w:val="single" w:color="auto" w:sz="4" w:space="0"/>
            </w:tcBorders>
            <w:vAlign w:val="center"/>
          </w:tcPr>
          <w:p w14:paraId="179FAA4C">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5</w:t>
            </w:r>
          </w:p>
        </w:tc>
        <w:tc>
          <w:tcPr>
            <w:tcW w:w="1410" w:type="dxa"/>
            <w:tcBorders>
              <w:top w:val="single" w:color="auto" w:sz="4" w:space="0"/>
              <w:left w:val="single" w:color="auto" w:sz="4" w:space="0"/>
              <w:bottom w:val="single" w:color="auto" w:sz="4" w:space="0"/>
              <w:right w:val="single" w:color="auto" w:sz="4" w:space="0"/>
            </w:tcBorders>
            <w:vAlign w:val="center"/>
          </w:tcPr>
          <w:p w14:paraId="0632B275">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政府采购节能环保产品</w:t>
            </w:r>
          </w:p>
        </w:tc>
        <w:tc>
          <w:tcPr>
            <w:tcW w:w="7239" w:type="dxa"/>
            <w:tcBorders>
              <w:top w:val="single" w:color="auto" w:sz="4" w:space="0"/>
              <w:left w:val="single" w:color="auto" w:sz="4" w:space="0"/>
              <w:bottom w:val="single" w:color="auto" w:sz="4" w:space="0"/>
              <w:right w:val="single" w:color="auto" w:sz="4" w:space="0"/>
            </w:tcBorders>
            <w:vAlign w:val="center"/>
          </w:tcPr>
          <w:p w14:paraId="49C41068">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A4A9207">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产品属于政府强制采购节能品目的（详见《关于印发节能产品政府采购品目清单的通知》财库〔2019〕19号），投标人须按上款要求提供节能产品认证证书或规定网站证书查询截图。</w:t>
            </w:r>
            <w:r>
              <w:rPr>
                <w:rFonts w:hint="eastAsia" w:ascii="仿宋_GB2312" w:hAnsi="仿宋" w:eastAsia="仿宋_GB2312" w:cs="Times New Roman"/>
                <w:b/>
                <w:bCs w:val="0"/>
                <w:color w:val="000000"/>
                <w:sz w:val="24"/>
              </w:rPr>
              <w:t>产品属于政府强制采购节能产品品目的，投标人未提供节能产品的，其投标将作无效标处理；本文件“第四章招标需求”另有规定的除外。</w:t>
            </w:r>
          </w:p>
        </w:tc>
      </w:tr>
      <w:tr w14:paraId="384D7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1" w:type="dxa"/>
            <w:tcBorders>
              <w:top w:val="single" w:color="auto" w:sz="4" w:space="0"/>
              <w:left w:val="single" w:color="auto" w:sz="4" w:space="0"/>
              <w:bottom w:val="single" w:color="auto" w:sz="4" w:space="0"/>
              <w:right w:val="single" w:color="auto" w:sz="4" w:space="0"/>
            </w:tcBorders>
            <w:vAlign w:val="center"/>
          </w:tcPr>
          <w:p w14:paraId="57004087">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6</w:t>
            </w:r>
          </w:p>
        </w:tc>
        <w:tc>
          <w:tcPr>
            <w:tcW w:w="1410" w:type="dxa"/>
            <w:tcBorders>
              <w:top w:val="single" w:color="auto" w:sz="4" w:space="0"/>
              <w:left w:val="single" w:color="auto" w:sz="4" w:space="0"/>
              <w:bottom w:val="single" w:color="auto" w:sz="4" w:space="0"/>
              <w:right w:val="single" w:color="auto" w:sz="4" w:space="0"/>
            </w:tcBorders>
            <w:vAlign w:val="center"/>
          </w:tcPr>
          <w:p w14:paraId="52EC4118">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促进绿色发展有关政策</w:t>
            </w:r>
          </w:p>
        </w:tc>
        <w:tc>
          <w:tcPr>
            <w:tcW w:w="7239" w:type="dxa"/>
            <w:tcBorders>
              <w:top w:val="single" w:color="auto" w:sz="4" w:space="0"/>
              <w:left w:val="single" w:color="auto" w:sz="4" w:space="0"/>
              <w:bottom w:val="single" w:color="auto" w:sz="4" w:space="0"/>
              <w:right w:val="single" w:color="auto" w:sz="4" w:space="0"/>
            </w:tcBorders>
            <w:vAlign w:val="center"/>
          </w:tcPr>
          <w:p w14:paraId="50492F20">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14:paraId="0CFA8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1" w:type="dxa"/>
            <w:tcBorders>
              <w:top w:val="single" w:color="auto" w:sz="4" w:space="0"/>
              <w:left w:val="single" w:color="auto" w:sz="4" w:space="0"/>
              <w:bottom w:val="single" w:color="auto" w:sz="4" w:space="0"/>
              <w:right w:val="single" w:color="auto" w:sz="4" w:space="0"/>
            </w:tcBorders>
            <w:vAlign w:val="center"/>
          </w:tcPr>
          <w:p w14:paraId="5E6D1865">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7</w:t>
            </w:r>
          </w:p>
        </w:tc>
        <w:tc>
          <w:tcPr>
            <w:tcW w:w="1410" w:type="dxa"/>
            <w:tcBorders>
              <w:top w:val="single" w:color="auto" w:sz="4" w:space="0"/>
              <w:left w:val="single" w:color="auto" w:sz="4" w:space="0"/>
              <w:bottom w:val="single" w:color="auto" w:sz="4" w:space="0"/>
              <w:right w:val="single" w:color="auto" w:sz="4" w:space="0"/>
            </w:tcBorders>
            <w:vAlign w:val="center"/>
          </w:tcPr>
          <w:p w14:paraId="51CF3CAB">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首台套政策</w:t>
            </w:r>
          </w:p>
        </w:tc>
        <w:tc>
          <w:tcPr>
            <w:tcW w:w="7239" w:type="dxa"/>
            <w:tcBorders>
              <w:top w:val="single" w:color="auto" w:sz="4" w:space="0"/>
              <w:left w:val="single" w:color="auto" w:sz="4" w:space="0"/>
              <w:bottom w:val="single" w:color="auto" w:sz="4" w:space="0"/>
              <w:right w:val="single" w:color="auto" w:sz="4" w:space="0"/>
            </w:tcBorders>
            <w:vAlign w:val="center"/>
          </w:tcPr>
          <w:p w14:paraId="0AE00D94">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首台套产品被纳入《首台套产品推广应用指导目录》之日起3年内，视同已具备相应销售业绩，参加政府采购活动时业绩分值为满分。</w:t>
            </w:r>
          </w:p>
        </w:tc>
      </w:tr>
      <w:tr w14:paraId="12767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1" w:type="dxa"/>
            <w:tcBorders>
              <w:top w:val="single" w:color="auto" w:sz="4" w:space="0"/>
              <w:left w:val="single" w:color="auto" w:sz="4" w:space="0"/>
              <w:bottom w:val="single" w:color="auto" w:sz="4" w:space="0"/>
              <w:right w:val="single" w:color="auto" w:sz="4" w:space="0"/>
            </w:tcBorders>
            <w:vAlign w:val="center"/>
          </w:tcPr>
          <w:p w14:paraId="74400733">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8</w:t>
            </w:r>
          </w:p>
        </w:tc>
        <w:tc>
          <w:tcPr>
            <w:tcW w:w="1410" w:type="dxa"/>
            <w:tcBorders>
              <w:top w:val="single" w:color="auto" w:sz="4" w:space="0"/>
              <w:left w:val="single" w:color="auto" w:sz="4" w:space="0"/>
              <w:bottom w:val="single" w:color="auto" w:sz="4" w:space="0"/>
              <w:right w:val="single" w:color="auto" w:sz="4" w:space="0"/>
            </w:tcBorders>
            <w:vAlign w:val="center"/>
          </w:tcPr>
          <w:p w14:paraId="5E608D19">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lang w:val="en-US" w:eastAsia="zh-CN"/>
              </w:rPr>
              <w:t>询问和</w:t>
            </w:r>
            <w:r>
              <w:rPr>
                <w:rFonts w:hint="eastAsia" w:ascii="仿宋" w:hAnsi="仿宋" w:eastAsia="仿宋" w:cs="Times New Roman"/>
                <w:color w:val="000000"/>
                <w:sz w:val="24"/>
                <w:szCs w:val="24"/>
              </w:rPr>
              <w:t>质疑</w:t>
            </w:r>
          </w:p>
        </w:tc>
        <w:tc>
          <w:tcPr>
            <w:tcW w:w="7239" w:type="dxa"/>
            <w:tcBorders>
              <w:top w:val="single" w:color="auto" w:sz="4" w:space="0"/>
              <w:left w:val="single" w:color="auto" w:sz="4" w:space="0"/>
              <w:bottom w:val="single" w:color="auto" w:sz="4" w:space="0"/>
              <w:right w:val="single" w:color="auto" w:sz="4" w:space="0"/>
            </w:tcBorders>
            <w:vAlign w:val="center"/>
          </w:tcPr>
          <w:p w14:paraId="01069C0C">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_GB2312" w:hAnsi="仿宋" w:eastAsia="仿宋_GB2312" w:cs="Times New Roman"/>
                <w:bCs/>
                <w:color w:val="000000"/>
                <w:sz w:val="24"/>
                <w:lang w:val="en-US" w:eastAsia="zh-CN"/>
              </w:rPr>
              <w:t>询问和</w:t>
            </w:r>
            <w:r>
              <w:rPr>
                <w:rFonts w:hint="eastAsia" w:ascii="仿宋_GB2312" w:hAnsi="仿宋" w:eastAsia="仿宋_GB2312" w:cs="Times New Roman"/>
                <w:bCs/>
                <w:color w:val="000000"/>
                <w:sz w:val="24"/>
              </w:rPr>
              <w:t>质疑。</w:t>
            </w:r>
          </w:p>
        </w:tc>
      </w:tr>
      <w:tr w14:paraId="69C8D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1" w:type="dxa"/>
            <w:tcBorders>
              <w:top w:val="single" w:color="auto" w:sz="4" w:space="0"/>
              <w:left w:val="single" w:color="auto" w:sz="4" w:space="0"/>
              <w:bottom w:val="single" w:color="auto" w:sz="4" w:space="0"/>
              <w:right w:val="single" w:color="auto" w:sz="4" w:space="0"/>
            </w:tcBorders>
            <w:vAlign w:val="center"/>
          </w:tcPr>
          <w:p w14:paraId="19CAF3F0">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9</w:t>
            </w:r>
          </w:p>
        </w:tc>
        <w:tc>
          <w:tcPr>
            <w:tcW w:w="1410" w:type="dxa"/>
            <w:tcBorders>
              <w:top w:val="single" w:color="auto" w:sz="4" w:space="0"/>
              <w:left w:val="single" w:color="auto" w:sz="4" w:space="0"/>
              <w:bottom w:val="single" w:color="auto" w:sz="4" w:space="0"/>
              <w:right w:val="single" w:color="auto" w:sz="4" w:space="0"/>
            </w:tcBorders>
            <w:vAlign w:val="center"/>
          </w:tcPr>
          <w:p w14:paraId="556A5C0C">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是否允许采购进口产品</w:t>
            </w:r>
          </w:p>
        </w:tc>
        <w:tc>
          <w:tcPr>
            <w:tcW w:w="7239" w:type="dxa"/>
            <w:tcBorders>
              <w:top w:val="single" w:color="auto" w:sz="4" w:space="0"/>
              <w:left w:val="single" w:color="auto" w:sz="4" w:space="0"/>
              <w:bottom w:val="single" w:color="auto" w:sz="4" w:space="0"/>
              <w:right w:val="single" w:color="auto" w:sz="4" w:space="0"/>
            </w:tcBorders>
            <w:vAlign w:val="center"/>
          </w:tcPr>
          <w:p w14:paraId="63D0D5D2">
            <w:pPr>
              <w:snapToGrid w:val="0"/>
              <w:spacing w:line="460" w:lineRule="exact"/>
              <w:rPr>
                <w:rFonts w:hint="eastAsia" w:ascii="仿宋_GB2312" w:hAnsi="仿宋" w:eastAsia="仿宋_GB2312" w:cs="Times New Roman"/>
                <w:bCs/>
                <w:color w:val="000000"/>
                <w:sz w:val="24"/>
              </w:rPr>
            </w:pPr>
            <w:bookmarkStart w:id="13" w:name="PO_15528_PM042"/>
            <w:r>
              <w:rPr>
                <w:rFonts w:hint="eastAsia" w:ascii="仿宋_GB2312" w:hAnsi="仿宋" w:eastAsia="仿宋_GB2312" w:cs="Times New Roman"/>
                <w:bCs/>
                <w:color w:val="000000"/>
                <w:sz w:val="24"/>
                <w:lang w:eastAsia="zh-CN"/>
              </w:rPr>
              <w:t>不允许进口产品</w:t>
            </w:r>
            <w:bookmarkEnd w:id="13"/>
            <w:r>
              <w:rPr>
                <w:rFonts w:hint="eastAsia" w:ascii="仿宋_GB2312" w:hAnsi="仿宋" w:eastAsia="仿宋_GB2312" w:cs="Times New Roman"/>
                <w:bCs/>
                <w:color w:val="000000"/>
                <w:sz w:val="24"/>
              </w:rPr>
              <w:t>。</w:t>
            </w:r>
          </w:p>
        </w:tc>
      </w:tr>
      <w:tr w14:paraId="0043A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1" w:type="dxa"/>
            <w:tcBorders>
              <w:top w:val="single" w:color="auto" w:sz="4" w:space="0"/>
              <w:left w:val="single" w:color="auto" w:sz="4" w:space="0"/>
              <w:bottom w:val="single" w:color="auto" w:sz="4" w:space="0"/>
              <w:right w:val="single" w:color="auto" w:sz="4" w:space="0"/>
            </w:tcBorders>
            <w:vAlign w:val="center"/>
          </w:tcPr>
          <w:p w14:paraId="235F9EB1">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10</w:t>
            </w:r>
          </w:p>
        </w:tc>
        <w:tc>
          <w:tcPr>
            <w:tcW w:w="1410" w:type="dxa"/>
            <w:tcBorders>
              <w:top w:val="single" w:color="auto" w:sz="4" w:space="0"/>
              <w:left w:val="single" w:color="auto" w:sz="4" w:space="0"/>
              <w:bottom w:val="single" w:color="auto" w:sz="4" w:space="0"/>
              <w:right w:val="single" w:color="auto" w:sz="4" w:space="0"/>
            </w:tcBorders>
            <w:vAlign w:val="center"/>
          </w:tcPr>
          <w:p w14:paraId="0E82E55E">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是否允许转包与分包</w:t>
            </w:r>
          </w:p>
        </w:tc>
        <w:tc>
          <w:tcPr>
            <w:tcW w:w="7239" w:type="dxa"/>
            <w:tcBorders>
              <w:top w:val="single" w:color="auto" w:sz="4" w:space="0"/>
              <w:left w:val="single" w:color="auto" w:sz="4" w:space="0"/>
              <w:bottom w:val="single" w:color="auto" w:sz="4" w:space="0"/>
              <w:right w:val="single" w:color="auto" w:sz="4" w:space="0"/>
            </w:tcBorders>
            <w:vAlign w:val="center"/>
          </w:tcPr>
          <w:p w14:paraId="7F75F3A3">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转包：否</w:t>
            </w:r>
          </w:p>
          <w:p w14:paraId="4566A812">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分包：</w:t>
            </w:r>
            <w:bookmarkStart w:id="14" w:name="PO_15528_PM044"/>
            <w:r>
              <w:rPr>
                <w:rFonts w:hint="eastAsia" w:ascii="仿宋_GB2312" w:hAnsi="仿宋" w:eastAsia="仿宋_GB2312" w:cs="Times New Roman"/>
                <w:bCs/>
                <w:color w:val="000000"/>
                <w:sz w:val="24"/>
                <w:lang w:eastAsia="zh-CN"/>
              </w:rPr>
              <w:t>允许分包</w:t>
            </w:r>
            <w:bookmarkEnd w:id="14"/>
            <w:r>
              <w:rPr>
                <w:rFonts w:hint="eastAsia" w:ascii="仿宋_GB2312" w:hAnsi="仿宋" w:eastAsia="仿宋_GB2312" w:cs="Times New Roman"/>
                <w:bCs/>
                <w:color w:val="000000"/>
                <w:sz w:val="24"/>
              </w:rPr>
              <w:t>；非主体、非关键性工作允许分包。</w:t>
            </w:r>
          </w:p>
          <w:p w14:paraId="4BCA029E">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7A6F3B7F">
            <w:pPr>
              <w:snapToGrid w:val="0"/>
              <w:spacing w:line="460" w:lineRule="exact"/>
              <w:rPr>
                <w:rFonts w:hint="eastAsia" w:ascii="仿宋_GB2312" w:hAnsi="仿宋" w:eastAsia="仿宋_GB2312" w:cs="Times New Roman"/>
                <w:bCs/>
                <w:color w:val="000000"/>
                <w:sz w:val="24"/>
                <w:lang w:eastAsia="zh-CN"/>
              </w:rPr>
            </w:pPr>
            <w:r>
              <w:rPr>
                <w:rFonts w:hint="eastAsia" w:ascii="仿宋_GB2312" w:hAnsi="仿宋" w:eastAsia="仿宋_GB2312" w:cs="Times New Roman"/>
                <w:bCs/>
                <w:color w:val="000000"/>
                <w:sz w:val="24"/>
              </w:rPr>
              <w:t>依据政府采购促进中小企业发展管理办法规定享受扶持政策获得政府采购合同的，小微企业不得将合同分包给大中型企业，中型企业不得将合同分包给大型企业</w:t>
            </w:r>
            <w:r>
              <w:rPr>
                <w:rFonts w:hint="eastAsia" w:ascii="仿宋_GB2312" w:hAnsi="仿宋" w:eastAsia="仿宋_GB2312" w:cs="Times New Roman"/>
                <w:bCs/>
                <w:color w:val="000000"/>
                <w:sz w:val="24"/>
                <w:lang w:eastAsia="zh-CN"/>
              </w:rPr>
              <w:t>。</w:t>
            </w:r>
          </w:p>
        </w:tc>
      </w:tr>
      <w:tr w14:paraId="30145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1" w:type="dxa"/>
            <w:tcBorders>
              <w:top w:val="single" w:color="auto" w:sz="4" w:space="0"/>
              <w:left w:val="single" w:color="auto" w:sz="4" w:space="0"/>
              <w:bottom w:val="single" w:color="auto" w:sz="4" w:space="0"/>
              <w:right w:val="single" w:color="auto" w:sz="4" w:space="0"/>
            </w:tcBorders>
            <w:vAlign w:val="center"/>
          </w:tcPr>
          <w:p w14:paraId="59C9EF6A">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11</w:t>
            </w:r>
          </w:p>
        </w:tc>
        <w:tc>
          <w:tcPr>
            <w:tcW w:w="1410" w:type="dxa"/>
            <w:tcBorders>
              <w:top w:val="single" w:color="auto" w:sz="4" w:space="0"/>
              <w:left w:val="single" w:color="auto" w:sz="4" w:space="0"/>
              <w:bottom w:val="single" w:color="auto" w:sz="4" w:space="0"/>
              <w:right w:val="single" w:color="auto" w:sz="4" w:space="0"/>
            </w:tcBorders>
            <w:vAlign w:val="center"/>
          </w:tcPr>
          <w:p w14:paraId="5F64F74F">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联合体投标</w:t>
            </w:r>
          </w:p>
        </w:tc>
        <w:tc>
          <w:tcPr>
            <w:tcW w:w="7239" w:type="dxa"/>
            <w:tcBorders>
              <w:top w:val="single" w:color="auto" w:sz="4" w:space="0"/>
              <w:left w:val="single" w:color="auto" w:sz="4" w:space="0"/>
              <w:bottom w:val="single" w:color="auto" w:sz="4" w:space="0"/>
              <w:right w:val="single" w:color="auto" w:sz="4" w:space="0"/>
            </w:tcBorders>
            <w:vAlign w:val="center"/>
          </w:tcPr>
          <w:p w14:paraId="6EC9CDC4">
            <w:pPr>
              <w:snapToGrid w:val="0"/>
              <w:spacing w:line="460" w:lineRule="exact"/>
              <w:rPr>
                <w:rFonts w:hint="eastAsia" w:ascii="仿宋_GB2312" w:hAnsi="仿宋" w:eastAsia="仿宋_GB2312" w:cs="Times New Roman"/>
                <w:bCs/>
                <w:color w:val="000000"/>
                <w:sz w:val="24"/>
              </w:rPr>
            </w:pPr>
            <w:bookmarkStart w:id="15" w:name="PO_15528_PM007_1"/>
            <w:r>
              <w:rPr>
                <w:rFonts w:hint="eastAsia" w:ascii="仿宋_GB2312" w:hAnsi="仿宋" w:eastAsia="仿宋_GB2312" w:cs="Times New Roman"/>
                <w:bCs/>
                <w:color w:val="000000"/>
                <w:sz w:val="24"/>
                <w:lang w:eastAsia="zh-CN"/>
              </w:rPr>
              <w:t>允许联合体投标</w:t>
            </w:r>
            <w:bookmarkEnd w:id="15"/>
            <w:r>
              <w:rPr>
                <w:rFonts w:hint="eastAsia" w:ascii="仿宋_GB2312" w:hAnsi="仿宋" w:eastAsia="仿宋_GB2312" w:cs="Times New Roman"/>
                <w:bCs/>
                <w:color w:val="000000"/>
                <w:sz w:val="24"/>
              </w:rPr>
              <w:t>。</w:t>
            </w:r>
          </w:p>
          <w:p w14:paraId="45338D55">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1.业绩证明材料</w:t>
            </w:r>
          </w:p>
          <w:p w14:paraId="793D55B6">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联合体投标的，按联合体协议约定的分工内容出具相应的业绩证明材料。承担相同工作的各方或工作内容存在部分相同的，业绩数量</w:t>
            </w:r>
            <w:r>
              <w:rPr>
                <w:rFonts w:hint="eastAsia" w:ascii="仿宋_GB2312" w:hAnsi="仿宋" w:eastAsia="仿宋_GB2312" w:cs="Times New Roman"/>
                <w:bCs/>
                <w:color w:val="000000"/>
                <w:sz w:val="24"/>
                <w:lang w:val="en-US" w:eastAsia="zh-CN"/>
              </w:rPr>
              <w:t>以</w:t>
            </w:r>
            <w:r>
              <w:rPr>
                <w:rFonts w:hint="eastAsia" w:ascii="仿宋_GB2312" w:hAnsi="仿宋" w:eastAsia="仿宋_GB2312" w:cs="Times New Roman"/>
                <w:bCs/>
                <w:color w:val="000000"/>
                <w:sz w:val="24"/>
              </w:rPr>
              <w:t>主办人为准。</w:t>
            </w:r>
          </w:p>
          <w:p w14:paraId="1699BD3E">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2.其他证明材料</w:t>
            </w:r>
          </w:p>
          <w:p w14:paraId="53B85526">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联合体投标的，需按招标文件第三章评标标准要求提供证明文件的，证明材料</w:t>
            </w:r>
            <w:r>
              <w:rPr>
                <w:rFonts w:hint="eastAsia" w:ascii="仿宋_GB2312" w:hAnsi="仿宋" w:eastAsia="仿宋_GB2312" w:cs="Times New Roman"/>
                <w:bCs/>
                <w:color w:val="000000"/>
                <w:sz w:val="24"/>
                <w:lang w:val="en-US" w:eastAsia="zh-CN"/>
              </w:rPr>
              <w:t>以</w:t>
            </w:r>
            <w:r>
              <w:rPr>
                <w:rFonts w:hint="eastAsia" w:ascii="仿宋_GB2312" w:hAnsi="仿宋" w:eastAsia="仿宋_GB2312" w:cs="Times New Roman"/>
                <w:bCs/>
                <w:color w:val="000000"/>
                <w:sz w:val="24"/>
              </w:rPr>
              <w:t>主办人为准。</w:t>
            </w:r>
          </w:p>
        </w:tc>
      </w:tr>
      <w:tr w14:paraId="3FB23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11" w:type="dxa"/>
            <w:tcBorders>
              <w:top w:val="single" w:color="auto" w:sz="4" w:space="0"/>
              <w:left w:val="single" w:color="auto" w:sz="4" w:space="0"/>
              <w:bottom w:val="single" w:color="auto" w:sz="4" w:space="0"/>
              <w:right w:val="single" w:color="auto" w:sz="4" w:space="0"/>
            </w:tcBorders>
            <w:vAlign w:val="center"/>
          </w:tcPr>
          <w:p w14:paraId="706D7660">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r>
              <w:rPr>
                <w:rFonts w:ascii="仿宋" w:hAnsi="仿宋" w:eastAsia="仿宋" w:cs="Times New Roman"/>
                <w:color w:val="000000"/>
                <w:sz w:val="24"/>
                <w:szCs w:val="24"/>
              </w:rPr>
              <w:t>2</w:t>
            </w:r>
          </w:p>
        </w:tc>
        <w:tc>
          <w:tcPr>
            <w:tcW w:w="1410" w:type="dxa"/>
            <w:tcBorders>
              <w:top w:val="single" w:color="auto" w:sz="4" w:space="0"/>
              <w:left w:val="single" w:color="auto" w:sz="4" w:space="0"/>
              <w:bottom w:val="single" w:color="auto" w:sz="4" w:space="0"/>
              <w:right w:val="single" w:color="auto" w:sz="4" w:space="0"/>
            </w:tcBorders>
            <w:vAlign w:val="center"/>
          </w:tcPr>
          <w:p w14:paraId="63FCA0E8">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是否现场踏勘</w:t>
            </w:r>
          </w:p>
        </w:tc>
        <w:tc>
          <w:tcPr>
            <w:tcW w:w="7239" w:type="dxa"/>
            <w:tcBorders>
              <w:top w:val="single" w:color="auto" w:sz="4" w:space="0"/>
              <w:left w:val="single" w:color="auto" w:sz="4" w:space="0"/>
              <w:bottom w:val="single" w:color="auto" w:sz="4" w:space="0"/>
              <w:right w:val="single" w:color="auto" w:sz="4" w:space="0"/>
            </w:tcBorders>
            <w:vAlign w:val="center"/>
          </w:tcPr>
          <w:p w14:paraId="1C39BD2B">
            <w:pPr>
              <w:snapToGrid w:val="0"/>
              <w:spacing w:line="460" w:lineRule="exact"/>
              <w:rPr>
                <w:rFonts w:hint="eastAsia" w:ascii="仿宋_GB2312" w:hAnsi="仿宋" w:eastAsia="仿宋_GB2312" w:cs="Times New Roman"/>
                <w:bCs/>
                <w:color w:val="000000"/>
                <w:sz w:val="24"/>
                <w:lang w:eastAsia="zh-CN"/>
              </w:rPr>
            </w:pPr>
            <w:bookmarkStart w:id="16" w:name="PO_15528_PM040"/>
            <w:r>
              <w:rPr>
                <w:rFonts w:hint="eastAsia" w:ascii="仿宋_GB2312" w:hAnsi="仿宋" w:eastAsia="仿宋_GB2312" w:cs="Times New Roman"/>
                <w:bCs/>
                <w:color w:val="000000"/>
                <w:sz w:val="24"/>
                <w:lang w:val="en-US" w:eastAsia="zh-CN"/>
              </w:rPr>
              <w:t>统一</w:t>
            </w:r>
            <w:r>
              <w:rPr>
                <w:rFonts w:hint="eastAsia" w:ascii="仿宋_GB2312" w:hAnsi="仿宋" w:eastAsia="仿宋_GB2312" w:cs="Times New Roman"/>
                <w:bCs/>
                <w:color w:val="000000"/>
                <w:sz w:val="24"/>
                <w:lang w:eastAsia="zh-CN"/>
              </w:rPr>
              <w:t>组织现场踏勘：</w:t>
            </w:r>
          </w:p>
          <w:p w14:paraId="417FF683">
            <w:pPr>
              <w:snapToGrid w:val="0"/>
              <w:spacing w:line="460" w:lineRule="exact"/>
              <w:rPr>
                <w:rFonts w:hint="default" w:ascii="仿宋_GB2312" w:hAnsi="仿宋" w:eastAsia="仿宋_GB2312" w:cs="Times New Roman"/>
                <w:bCs/>
                <w:color w:val="000000"/>
                <w:sz w:val="24"/>
                <w:lang w:val="en-US" w:eastAsia="zh-CN"/>
              </w:rPr>
            </w:pPr>
            <w:r>
              <w:rPr>
                <w:rFonts w:hint="default" w:ascii="仿宋_GB2312" w:hAnsi="仿宋" w:eastAsia="仿宋_GB2312" w:cs="Times New Roman"/>
                <w:bCs/>
                <w:color w:val="000000"/>
                <w:sz w:val="24"/>
                <w:lang w:val="en-US" w:eastAsia="zh-CN"/>
              </w:rPr>
              <w:t>踏勘时间：2025年6月</w:t>
            </w:r>
            <w:r>
              <w:rPr>
                <w:rFonts w:hint="eastAsia" w:ascii="仿宋_GB2312" w:hAnsi="仿宋" w:eastAsia="仿宋_GB2312" w:cs="Times New Roman"/>
                <w:bCs/>
                <w:color w:val="000000"/>
                <w:sz w:val="24"/>
                <w:lang w:val="en-US" w:eastAsia="zh-CN"/>
              </w:rPr>
              <w:t>30</w:t>
            </w:r>
            <w:r>
              <w:rPr>
                <w:rFonts w:hint="default" w:ascii="仿宋_GB2312" w:hAnsi="仿宋" w:eastAsia="仿宋_GB2312" w:cs="Times New Roman"/>
                <w:bCs/>
                <w:color w:val="000000"/>
                <w:sz w:val="24"/>
                <w:lang w:val="en-US" w:eastAsia="zh-CN"/>
              </w:rPr>
              <w:t>日上午8点</w:t>
            </w:r>
          </w:p>
          <w:p w14:paraId="18A636D1">
            <w:pPr>
              <w:snapToGrid w:val="0"/>
              <w:spacing w:line="460" w:lineRule="exact"/>
              <w:rPr>
                <w:rFonts w:hint="default" w:ascii="仿宋_GB2312" w:hAnsi="仿宋" w:eastAsia="仿宋_GB2312" w:cs="Times New Roman"/>
                <w:bCs/>
                <w:color w:val="000000"/>
                <w:sz w:val="24"/>
                <w:lang w:val="en-US" w:eastAsia="zh-CN"/>
              </w:rPr>
            </w:pPr>
            <w:r>
              <w:rPr>
                <w:rFonts w:hint="default" w:ascii="仿宋_GB2312" w:hAnsi="仿宋" w:eastAsia="仿宋_GB2312" w:cs="Times New Roman"/>
                <w:bCs/>
                <w:color w:val="000000"/>
                <w:sz w:val="24"/>
                <w:lang w:val="en-US" w:eastAsia="zh-CN"/>
              </w:rPr>
              <w:t>地点：浙江科技大学小和山校区</w:t>
            </w:r>
          </w:p>
          <w:p w14:paraId="7C2F1C15">
            <w:pPr>
              <w:snapToGrid w:val="0"/>
              <w:spacing w:line="460" w:lineRule="exact"/>
              <w:rPr>
                <w:rFonts w:hint="eastAsia" w:ascii="仿宋_GB2312" w:hAnsi="仿宋" w:eastAsia="仿宋_GB2312" w:cs="Times New Roman"/>
                <w:bCs/>
                <w:color w:val="000000"/>
                <w:sz w:val="24"/>
              </w:rPr>
            </w:pPr>
            <w:r>
              <w:rPr>
                <w:rFonts w:hint="default" w:ascii="仿宋_GB2312" w:hAnsi="仿宋" w:eastAsia="仿宋_GB2312" w:cs="Times New Roman"/>
                <w:bCs/>
                <w:color w:val="000000"/>
                <w:sz w:val="24"/>
                <w:lang w:val="en-US" w:eastAsia="zh-CN"/>
              </w:rPr>
              <w:t>联系人：常老师，联系方式：0571-85070233</w:t>
            </w:r>
            <w:bookmarkEnd w:id="16"/>
          </w:p>
        </w:tc>
      </w:tr>
      <w:tr w14:paraId="4F520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811" w:type="dxa"/>
            <w:tcBorders>
              <w:top w:val="single" w:color="auto" w:sz="4" w:space="0"/>
              <w:left w:val="single" w:color="auto" w:sz="4" w:space="0"/>
              <w:bottom w:val="single" w:color="auto" w:sz="4" w:space="0"/>
              <w:right w:val="single" w:color="auto" w:sz="4" w:space="0"/>
            </w:tcBorders>
            <w:vAlign w:val="center"/>
          </w:tcPr>
          <w:p w14:paraId="387E86D8">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r>
              <w:rPr>
                <w:rFonts w:ascii="仿宋" w:hAnsi="仿宋" w:eastAsia="仿宋" w:cs="Times New Roman"/>
                <w:color w:val="000000"/>
                <w:sz w:val="24"/>
                <w:szCs w:val="24"/>
              </w:rPr>
              <w:t>3</w:t>
            </w:r>
          </w:p>
        </w:tc>
        <w:tc>
          <w:tcPr>
            <w:tcW w:w="1410" w:type="dxa"/>
            <w:tcBorders>
              <w:top w:val="single" w:color="auto" w:sz="4" w:space="0"/>
              <w:left w:val="single" w:color="auto" w:sz="4" w:space="0"/>
              <w:bottom w:val="single" w:color="auto" w:sz="4" w:space="0"/>
              <w:right w:val="single" w:color="auto" w:sz="4" w:space="0"/>
            </w:tcBorders>
            <w:vAlign w:val="center"/>
          </w:tcPr>
          <w:p w14:paraId="7C7A7DCE">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是否提供演示</w:t>
            </w:r>
          </w:p>
        </w:tc>
        <w:tc>
          <w:tcPr>
            <w:tcW w:w="7239" w:type="dxa"/>
            <w:tcBorders>
              <w:top w:val="single" w:color="auto" w:sz="4" w:space="0"/>
              <w:left w:val="single" w:color="auto" w:sz="4" w:space="0"/>
              <w:bottom w:val="single" w:color="auto" w:sz="4" w:space="0"/>
              <w:right w:val="single" w:color="auto" w:sz="4" w:space="0"/>
            </w:tcBorders>
            <w:vAlign w:val="center"/>
          </w:tcPr>
          <w:p w14:paraId="4D9A9607">
            <w:pPr>
              <w:snapToGrid w:val="0"/>
              <w:spacing w:line="460" w:lineRule="exact"/>
              <w:rPr>
                <w:rFonts w:hint="eastAsia" w:ascii="仿宋_GB2312" w:hAnsi="仿宋" w:eastAsia="仿宋_GB2312" w:cs="Times New Roman"/>
                <w:bCs/>
                <w:color w:val="000000"/>
                <w:sz w:val="24"/>
              </w:rPr>
            </w:pPr>
            <w:bookmarkStart w:id="17" w:name="PO_1000000445_PM041"/>
            <w:r>
              <w:rPr>
                <w:rFonts w:hint="eastAsia" w:ascii="仿宋" w:hAnsi="仿宋" w:eastAsia="仿宋" w:cs="Times New Roman"/>
                <w:color w:val="000000"/>
                <w:sz w:val="24"/>
                <w:szCs w:val="24"/>
                <w:lang w:eastAsia="zh-CN"/>
              </w:rPr>
              <w:t>进行演示,</w:t>
            </w:r>
            <w:bookmarkEnd w:id="17"/>
            <w:r>
              <w:rPr>
                <w:rFonts w:hint="eastAsia" w:ascii="仿宋_GB2312" w:hAnsi="仿宋" w:eastAsia="仿宋_GB2312" w:cs="Times New Roman"/>
                <w:bCs/>
                <w:color w:val="000000"/>
                <w:sz w:val="24"/>
              </w:rPr>
              <w:t xml:space="preserve"> 演示顺序原则上按投标文件“解密时间从早到晚”顺序，演示要求详见招标需求。</w:t>
            </w:r>
          </w:p>
        </w:tc>
      </w:tr>
      <w:tr w14:paraId="27A81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811" w:type="dxa"/>
            <w:tcBorders>
              <w:top w:val="single" w:color="auto" w:sz="4" w:space="0"/>
              <w:left w:val="single" w:color="auto" w:sz="4" w:space="0"/>
              <w:bottom w:val="single" w:color="auto" w:sz="4" w:space="0"/>
              <w:right w:val="single" w:color="auto" w:sz="4" w:space="0"/>
            </w:tcBorders>
            <w:vAlign w:val="center"/>
          </w:tcPr>
          <w:p w14:paraId="384A6518">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r>
              <w:rPr>
                <w:rFonts w:ascii="仿宋" w:hAnsi="仿宋" w:eastAsia="仿宋" w:cs="Times New Roman"/>
                <w:color w:val="000000"/>
                <w:sz w:val="24"/>
                <w:szCs w:val="24"/>
              </w:rPr>
              <w:t>4</w:t>
            </w:r>
          </w:p>
        </w:tc>
        <w:tc>
          <w:tcPr>
            <w:tcW w:w="1410" w:type="dxa"/>
            <w:tcBorders>
              <w:top w:val="single" w:color="auto" w:sz="4" w:space="0"/>
              <w:left w:val="single" w:color="auto" w:sz="4" w:space="0"/>
              <w:bottom w:val="single" w:color="auto" w:sz="4" w:space="0"/>
              <w:right w:val="single" w:color="auto" w:sz="4" w:space="0"/>
            </w:tcBorders>
            <w:vAlign w:val="center"/>
          </w:tcPr>
          <w:p w14:paraId="3CED0B50">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是否提供样品</w:t>
            </w:r>
          </w:p>
        </w:tc>
        <w:tc>
          <w:tcPr>
            <w:tcW w:w="7239" w:type="dxa"/>
            <w:tcBorders>
              <w:top w:val="single" w:color="auto" w:sz="4" w:space="0"/>
              <w:left w:val="single" w:color="auto" w:sz="4" w:space="0"/>
              <w:bottom w:val="single" w:color="auto" w:sz="4" w:space="0"/>
              <w:right w:val="single" w:color="auto" w:sz="4" w:space="0"/>
            </w:tcBorders>
            <w:vAlign w:val="center"/>
          </w:tcPr>
          <w:p w14:paraId="24045568">
            <w:pPr>
              <w:snapToGrid w:val="0"/>
              <w:spacing w:line="460" w:lineRule="exact"/>
              <w:rPr>
                <w:rFonts w:hint="default" w:ascii="仿宋_GB2312" w:hAnsi="仿宋" w:eastAsia="仿宋_GB2312" w:cs="Times New Roman"/>
                <w:bCs/>
                <w:color w:val="000000"/>
                <w:sz w:val="24"/>
                <w:lang w:val="en-US" w:eastAsia="zh-CN"/>
              </w:rPr>
            </w:pPr>
            <w:bookmarkStart w:id="18" w:name="PO_1000000445_PM043"/>
            <w:r>
              <w:rPr>
                <w:rFonts w:hint="eastAsia" w:ascii="仿宋_GB2312" w:hAnsi="仿宋" w:eastAsia="仿宋_GB2312" w:cs="Times New Roman"/>
                <w:bCs/>
                <w:color w:val="000000"/>
                <w:sz w:val="24"/>
                <w:lang w:eastAsia="zh-CN"/>
              </w:rPr>
              <w:t>不要求提供样品</w:t>
            </w:r>
            <w:bookmarkEnd w:id="18"/>
            <w:r>
              <w:rPr>
                <w:rFonts w:hint="eastAsia" w:ascii="仿宋_GB2312" w:hAnsi="仿宋" w:eastAsia="仿宋_GB2312" w:cs="Times New Roman"/>
                <w:bCs/>
                <w:color w:val="000000"/>
                <w:sz w:val="24"/>
              </w:rPr>
              <w:t>。</w:t>
            </w:r>
          </w:p>
        </w:tc>
      </w:tr>
      <w:tr w14:paraId="36C33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11" w:type="dxa"/>
            <w:tcBorders>
              <w:top w:val="single" w:color="auto" w:sz="4" w:space="0"/>
              <w:left w:val="single" w:color="auto" w:sz="4" w:space="0"/>
              <w:bottom w:val="single" w:color="auto" w:sz="4" w:space="0"/>
              <w:right w:val="single" w:color="auto" w:sz="4" w:space="0"/>
            </w:tcBorders>
            <w:vAlign w:val="center"/>
          </w:tcPr>
          <w:p w14:paraId="13719E43">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r>
              <w:rPr>
                <w:rFonts w:ascii="仿宋" w:hAnsi="仿宋" w:eastAsia="仿宋" w:cs="Times New Roman"/>
                <w:color w:val="000000"/>
                <w:sz w:val="24"/>
                <w:szCs w:val="24"/>
              </w:rPr>
              <w:t>5</w:t>
            </w:r>
          </w:p>
        </w:tc>
        <w:tc>
          <w:tcPr>
            <w:tcW w:w="1410" w:type="dxa"/>
            <w:tcBorders>
              <w:top w:val="single" w:color="auto" w:sz="4" w:space="0"/>
              <w:left w:val="single" w:color="auto" w:sz="4" w:space="0"/>
              <w:bottom w:val="single" w:color="auto" w:sz="4" w:space="0"/>
              <w:right w:val="single" w:color="auto" w:sz="4" w:space="0"/>
            </w:tcBorders>
            <w:vAlign w:val="center"/>
          </w:tcPr>
          <w:p w14:paraId="3922094B">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投标文件组成</w:t>
            </w:r>
          </w:p>
        </w:tc>
        <w:tc>
          <w:tcPr>
            <w:tcW w:w="7239" w:type="dxa"/>
            <w:tcBorders>
              <w:top w:val="single" w:color="auto" w:sz="4" w:space="0"/>
              <w:left w:val="single" w:color="auto" w:sz="4" w:space="0"/>
              <w:bottom w:val="single" w:color="auto" w:sz="4" w:space="0"/>
              <w:right w:val="single" w:color="auto" w:sz="4" w:space="0"/>
            </w:tcBorders>
            <w:vAlign w:val="center"/>
          </w:tcPr>
          <w:p w14:paraId="1E00528F">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投标文件均由资格文件、技术商务文件、报价文件组成。</w:t>
            </w:r>
          </w:p>
          <w:p w14:paraId="2BA2F97A">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投标人提供备份投标文件（正本）的，数量为1份。</w:t>
            </w:r>
          </w:p>
        </w:tc>
      </w:tr>
      <w:tr w14:paraId="5CCE0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11" w:type="dxa"/>
            <w:tcBorders>
              <w:top w:val="single" w:color="auto" w:sz="4" w:space="0"/>
              <w:left w:val="single" w:color="auto" w:sz="4" w:space="0"/>
              <w:bottom w:val="single" w:color="auto" w:sz="4" w:space="0"/>
              <w:right w:val="single" w:color="auto" w:sz="4" w:space="0"/>
            </w:tcBorders>
            <w:vAlign w:val="center"/>
          </w:tcPr>
          <w:p w14:paraId="0962E9B4">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r>
              <w:rPr>
                <w:rFonts w:ascii="仿宋" w:hAnsi="仿宋" w:eastAsia="仿宋" w:cs="Times New Roman"/>
                <w:color w:val="000000"/>
                <w:sz w:val="24"/>
                <w:szCs w:val="24"/>
              </w:rPr>
              <w:t>6</w:t>
            </w:r>
          </w:p>
        </w:tc>
        <w:tc>
          <w:tcPr>
            <w:tcW w:w="1410" w:type="dxa"/>
            <w:tcBorders>
              <w:top w:val="single" w:color="auto" w:sz="4" w:space="0"/>
              <w:left w:val="single" w:color="auto" w:sz="4" w:space="0"/>
              <w:bottom w:val="single" w:color="auto" w:sz="4" w:space="0"/>
              <w:right w:val="single" w:color="auto" w:sz="4" w:space="0"/>
            </w:tcBorders>
            <w:vAlign w:val="center"/>
          </w:tcPr>
          <w:p w14:paraId="66200712">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电子交易平台登录方法</w:t>
            </w:r>
          </w:p>
        </w:tc>
        <w:tc>
          <w:tcPr>
            <w:tcW w:w="7239" w:type="dxa"/>
            <w:tcBorders>
              <w:top w:val="single" w:color="auto" w:sz="4" w:space="0"/>
              <w:left w:val="single" w:color="auto" w:sz="4" w:space="0"/>
              <w:bottom w:val="single" w:color="auto" w:sz="4" w:space="0"/>
              <w:right w:val="single" w:color="auto" w:sz="4" w:space="0"/>
            </w:tcBorders>
            <w:vAlign w:val="center"/>
          </w:tcPr>
          <w:p w14:paraId="25857911">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第一步：供应商登记</w:t>
            </w:r>
          </w:p>
          <w:p w14:paraId="249F0DBA">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投标人应在投标前登记成为浙江政府采购网的正式供应商（注册网址：</w:t>
            </w:r>
            <w:r>
              <w:rPr>
                <w:rFonts w:hint="eastAsia" w:ascii="仿宋_GB2312" w:hAnsi="仿宋" w:eastAsia="仿宋_GB2312" w:cs="Times New Roman"/>
                <w:b/>
                <w:bCs w:val="0"/>
                <w:color w:val="000000"/>
                <w:sz w:val="24"/>
              </w:rPr>
              <w:fldChar w:fldCharType="begin"/>
            </w:r>
            <w:r>
              <w:rPr>
                <w:rFonts w:hint="eastAsia" w:ascii="仿宋_GB2312" w:hAnsi="仿宋" w:eastAsia="仿宋_GB2312" w:cs="Times New Roman"/>
                <w:b/>
                <w:bCs w:val="0"/>
                <w:color w:val="000000"/>
                <w:sz w:val="24"/>
              </w:rPr>
              <w:instrText xml:space="preserve"> HYPERLINK "https://middle.zcygov.cn/v-settle-front/registry" </w:instrText>
            </w:r>
            <w:r>
              <w:rPr>
                <w:rFonts w:hint="eastAsia" w:ascii="仿宋_GB2312" w:hAnsi="仿宋" w:eastAsia="仿宋_GB2312" w:cs="Times New Roman"/>
                <w:b/>
                <w:bCs w:val="0"/>
                <w:color w:val="000000"/>
                <w:sz w:val="24"/>
              </w:rPr>
              <w:fldChar w:fldCharType="separate"/>
            </w:r>
            <w:r>
              <w:rPr>
                <w:rFonts w:hint="eastAsia" w:ascii="仿宋_GB2312" w:hAnsi="仿宋" w:eastAsia="仿宋_GB2312" w:cs="Times New Roman"/>
                <w:b/>
                <w:bCs w:val="0"/>
                <w:color w:val="000000"/>
                <w:sz w:val="24"/>
              </w:rPr>
              <w:t>https://middle.zcygov.cn/v-settle-front/registry</w:t>
            </w:r>
            <w:r>
              <w:rPr>
                <w:rFonts w:hint="eastAsia" w:ascii="仿宋_GB2312" w:hAnsi="仿宋" w:eastAsia="仿宋_GB2312" w:cs="Times New Roman"/>
                <w:b/>
                <w:bCs w:val="0"/>
                <w:color w:val="000000"/>
                <w:sz w:val="24"/>
              </w:rPr>
              <w:fldChar w:fldCharType="end"/>
            </w:r>
            <w:r>
              <w:rPr>
                <w:rFonts w:hint="eastAsia" w:ascii="仿宋_GB2312" w:hAnsi="仿宋" w:eastAsia="仿宋_GB2312" w:cs="Times New Roman"/>
                <w:b/>
                <w:bCs w:val="0"/>
                <w:color w:val="000000"/>
                <w:sz w:val="24"/>
              </w:rPr>
              <w:t>）；</w:t>
            </w:r>
          </w:p>
          <w:p w14:paraId="555EC12B">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第二步：申请CA</w:t>
            </w:r>
          </w:p>
          <w:p w14:paraId="0B05DFF1">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投标人应在投标前完成CA数字证书办理（办理流程详见http://zfcg.czt.zj.gov.cn/bidClientTemplate/2019-05-27/12945.html）。完成CA数字证书办理预计一周左右，建议各投标人抓紧时间办理；</w:t>
            </w:r>
          </w:p>
          <w:p w14:paraId="0C4EFBAC">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第三步：下载客户端</w:t>
            </w:r>
          </w:p>
          <w:p w14:paraId="45674788">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投标人通过政采云电子交易客户端制作投标文件，请自行前往浙江政府采购网下载并安装（下载网址：</w:t>
            </w:r>
            <w:r>
              <w:rPr>
                <w:rFonts w:hint="eastAsia" w:ascii="仿宋_GB2312" w:hAnsi="仿宋" w:eastAsia="仿宋_GB2312" w:cs="Times New Roman"/>
                <w:b/>
                <w:bCs w:val="0"/>
                <w:color w:val="000000"/>
                <w:sz w:val="24"/>
              </w:rPr>
              <w:fldChar w:fldCharType="begin"/>
            </w:r>
            <w:r>
              <w:rPr>
                <w:rFonts w:hint="eastAsia" w:ascii="仿宋_GB2312" w:hAnsi="仿宋" w:eastAsia="仿宋_GB2312" w:cs="Times New Roman"/>
                <w:b/>
                <w:bCs w:val="0"/>
                <w:color w:val="000000"/>
                <w:sz w:val="24"/>
              </w:rPr>
              <w:instrText xml:space="preserve"> HYPERLINK "http://zfcg.czt.zj.gov.cn/bidClientTemplate/2019-09-24/12975.html" </w:instrText>
            </w:r>
            <w:r>
              <w:rPr>
                <w:rFonts w:hint="eastAsia" w:ascii="仿宋_GB2312" w:hAnsi="仿宋" w:eastAsia="仿宋_GB2312" w:cs="Times New Roman"/>
                <w:b/>
                <w:bCs w:val="0"/>
                <w:color w:val="000000"/>
                <w:sz w:val="24"/>
              </w:rPr>
              <w:fldChar w:fldCharType="separate"/>
            </w:r>
            <w:r>
              <w:rPr>
                <w:rFonts w:hint="eastAsia" w:ascii="仿宋_GB2312" w:hAnsi="仿宋" w:eastAsia="仿宋_GB2312" w:cs="Times New Roman"/>
                <w:b/>
                <w:bCs w:val="0"/>
                <w:color w:val="000000"/>
                <w:sz w:val="24"/>
              </w:rPr>
              <w:t>http://zfcg.czt.zj.gov.cn/bidClientTemplate/2019-09-24/12975.html</w:t>
            </w:r>
            <w:r>
              <w:rPr>
                <w:rFonts w:hint="eastAsia" w:ascii="仿宋_GB2312" w:hAnsi="仿宋" w:eastAsia="仿宋_GB2312" w:cs="Times New Roman"/>
                <w:b/>
                <w:bCs w:val="0"/>
                <w:color w:val="000000"/>
                <w:sz w:val="24"/>
              </w:rPr>
              <w:fldChar w:fldCharType="end"/>
            </w:r>
            <w:r>
              <w:rPr>
                <w:rFonts w:hint="eastAsia" w:ascii="仿宋_GB2312" w:hAnsi="仿宋" w:eastAsia="仿宋_GB2312" w:cs="Times New Roman"/>
                <w:b/>
                <w:bCs w:val="0"/>
                <w:color w:val="000000"/>
                <w:sz w:val="24"/>
              </w:rPr>
              <w:t>）；</w:t>
            </w:r>
          </w:p>
          <w:p w14:paraId="221A68CE">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第四步：具体流程</w:t>
            </w:r>
          </w:p>
          <w:p w14:paraId="21490ABA">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详见浙江省“电子交易/不见面开评标”学习专题（网址</w:t>
            </w:r>
            <w:r>
              <w:rPr>
                <w:rFonts w:hint="eastAsia" w:ascii="仿宋_GB2312" w:hAnsi="仿宋" w:eastAsia="仿宋_GB2312" w:cs="Times New Roman"/>
                <w:b/>
                <w:bCs w:val="0"/>
                <w:color w:val="000000"/>
                <w:sz w:val="24"/>
              </w:rPr>
              <w:fldChar w:fldCharType="begin"/>
            </w:r>
            <w:r>
              <w:rPr>
                <w:rFonts w:hint="eastAsia" w:ascii="仿宋_GB2312" w:hAnsi="仿宋" w:eastAsia="仿宋_GB2312" w:cs="Times New Roman"/>
                <w:b/>
                <w:bCs w:val="0"/>
                <w:color w:val="000000"/>
                <w:sz w:val="24"/>
              </w:rPr>
              <w:instrText xml:space="preserve"> HYPERLINK "https://edu.zcygov.cn/luban/e-biding" </w:instrText>
            </w:r>
            <w:r>
              <w:rPr>
                <w:rFonts w:hint="eastAsia" w:ascii="仿宋_GB2312" w:hAnsi="仿宋" w:eastAsia="仿宋_GB2312" w:cs="Times New Roman"/>
                <w:b/>
                <w:bCs w:val="0"/>
                <w:color w:val="000000"/>
                <w:sz w:val="24"/>
              </w:rPr>
              <w:fldChar w:fldCharType="separate"/>
            </w:r>
            <w:r>
              <w:rPr>
                <w:rFonts w:hint="eastAsia" w:ascii="仿宋_GB2312" w:hAnsi="仿宋" w:eastAsia="仿宋_GB2312" w:cs="Times New Roman"/>
                <w:b/>
                <w:bCs w:val="0"/>
                <w:color w:val="000000"/>
                <w:sz w:val="24"/>
              </w:rPr>
              <w:t>https://edu.zcygov.cn/luban/e-biding</w:t>
            </w:r>
            <w:r>
              <w:rPr>
                <w:rFonts w:hint="eastAsia" w:ascii="仿宋_GB2312" w:hAnsi="仿宋" w:eastAsia="仿宋_GB2312" w:cs="Times New Roman"/>
                <w:b/>
                <w:bCs w:val="0"/>
                <w:color w:val="000000"/>
                <w:sz w:val="24"/>
              </w:rPr>
              <w:fldChar w:fldCharType="end"/>
            </w:r>
            <w:r>
              <w:rPr>
                <w:rFonts w:hint="eastAsia" w:ascii="仿宋_GB2312" w:hAnsi="仿宋" w:eastAsia="仿宋_GB2312" w:cs="Times New Roman"/>
                <w:b/>
                <w:bCs w:val="0"/>
                <w:color w:val="000000"/>
                <w:sz w:val="24"/>
              </w:rPr>
              <w:t>）</w:t>
            </w:r>
          </w:p>
          <w:p w14:paraId="2EC146D3">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提醒：</w:t>
            </w:r>
          </w:p>
          <w:p w14:paraId="03B7F7B3">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1.请各投标人合理安排时间，尽快完成第一、二、三步骤，避免影响投标。</w:t>
            </w:r>
          </w:p>
          <w:p w14:paraId="75B5AB26">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2.为避免页面存在兼容性等问题，投标人须使用谷歌Chrome浏览器或360浏览器极速模式，涉及视频会议等功能的，还应安装摄像头和麦克风。</w:t>
            </w:r>
          </w:p>
        </w:tc>
      </w:tr>
      <w:tr w14:paraId="48851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11" w:type="dxa"/>
            <w:tcBorders>
              <w:top w:val="single" w:color="auto" w:sz="4" w:space="0"/>
              <w:left w:val="single" w:color="auto" w:sz="4" w:space="0"/>
              <w:bottom w:val="single" w:color="auto" w:sz="4" w:space="0"/>
              <w:right w:val="single" w:color="auto" w:sz="4" w:space="0"/>
            </w:tcBorders>
            <w:vAlign w:val="center"/>
          </w:tcPr>
          <w:p w14:paraId="34E3E47A">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r>
              <w:rPr>
                <w:rFonts w:ascii="仿宋" w:hAnsi="仿宋" w:eastAsia="仿宋" w:cs="Times New Roman"/>
                <w:color w:val="000000"/>
                <w:sz w:val="24"/>
                <w:szCs w:val="24"/>
              </w:rPr>
              <w:t>7</w:t>
            </w:r>
          </w:p>
        </w:tc>
        <w:tc>
          <w:tcPr>
            <w:tcW w:w="1410" w:type="dxa"/>
            <w:tcBorders>
              <w:top w:val="single" w:color="auto" w:sz="4" w:space="0"/>
              <w:left w:val="single" w:color="auto" w:sz="4" w:space="0"/>
              <w:bottom w:val="single" w:color="auto" w:sz="4" w:space="0"/>
              <w:right w:val="single" w:color="auto" w:sz="4" w:space="0"/>
            </w:tcBorders>
            <w:vAlign w:val="center"/>
          </w:tcPr>
          <w:p w14:paraId="484E862A">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投标文件的递交与接收</w:t>
            </w:r>
          </w:p>
        </w:tc>
        <w:tc>
          <w:tcPr>
            <w:tcW w:w="7239" w:type="dxa"/>
            <w:tcBorders>
              <w:top w:val="single" w:color="auto" w:sz="4" w:space="0"/>
              <w:left w:val="single" w:color="auto" w:sz="4" w:space="0"/>
              <w:bottom w:val="single" w:color="auto" w:sz="4" w:space="0"/>
              <w:right w:val="single" w:color="auto" w:sz="4" w:space="0"/>
            </w:tcBorders>
            <w:vAlign w:val="center"/>
          </w:tcPr>
          <w:p w14:paraId="6442ED8A">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45743FD6">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投标文件的接收以本项目公告要求的时间、地点和“第二章”的“投标文件的编制”等要求为准。</w:t>
            </w:r>
          </w:p>
          <w:p w14:paraId="54F2991B">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投标人递交备份投标文件，出现下列情况之一的，将被拒收：</w:t>
            </w:r>
          </w:p>
          <w:p w14:paraId="1CCAC5A3">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1</w:t>
            </w:r>
            <w:r>
              <w:rPr>
                <w:rFonts w:hint="eastAsia" w:ascii="仿宋_GB2312" w:hAnsi="仿宋" w:eastAsia="仿宋_GB2312" w:cs="Times New Roman"/>
                <w:b/>
                <w:bCs w:val="0"/>
                <w:color w:val="000000"/>
                <w:sz w:val="24"/>
                <w:lang w:val="en-US" w:eastAsia="zh-CN"/>
              </w:rPr>
              <w:t>.</w:t>
            </w:r>
            <w:r>
              <w:rPr>
                <w:rFonts w:hint="eastAsia" w:ascii="仿宋_GB2312" w:hAnsi="仿宋" w:eastAsia="仿宋_GB2312" w:cs="Times New Roman"/>
                <w:b/>
                <w:bCs w:val="0"/>
                <w:color w:val="000000"/>
                <w:sz w:val="24"/>
              </w:rPr>
              <w:t>未按规定密封或标记的；</w:t>
            </w:r>
          </w:p>
          <w:p w14:paraId="08D3C8E2">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2</w:t>
            </w:r>
            <w:r>
              <w:rPr>
                <w:rFonts w:hint="eastAsia" w:ascii="仿宋_GB2312" w:hAnsi="仿宋" w:eastAsia="仿宋_GB2312" w:cs="Times New Roman"/>
                <w:b/>
                <w:bCs w:val="0"/>
                <w:color w:val="000000"/>
                <w:sz w:val="24"/>
                <w:lang w:val="en-US" w:eastAsia="zh-CN"/>
              </w:rPr>
              <w:t>.</w:t>
            </w:r>
            <w:r>
              <w:rPr>
                <w:rFonts w:hint="eastAsia" w:ascii="仿宋_GB2312" w:hAnsi="仿宋" w:eastAsia="仿宋_GB2312" w:cs="Times New Roman"/>
                <w:b/>
                <w:bCs w:val="0"/>
                <w:color w:val="000000"/>
                <w:sz w:val="24"/>
              </w:rPr>
              <w:t>由于包装不妥，在送交途中严重破损或失散的；</w:t>
            </w:r>
          </w:p>
          <w:p w14:paraId="6BE07F96">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3</w:t>
            </w:r>
            <w:r>
              <w:rPr>
                <w:rFonts w:hint="eastAsia" w:ascii="仿宋_GB2312" w:hAnsi="仿宋" w:eastAsia="仿宋_GB2312" w:cs="Times New Roman"/>
                <w:b/>
                <w:bCs w:val="0"/>
                <w:color w:val="000000"/>
                <w:sz w:val="24"/>
                <w:lang w:val="en-US" w:eastAsia="zh-CN"/>
              </w:rPr>
              <w:t>.</w:t>
            </w:r>
            <w:r>
              <w:rPr>
                <w:rFonts w:hint="eastAsia" w:ascii="仿宋_GB2312" w:hAnsi="仿宋" w:eastAsia="仿宋_GB2312" w:cs="Times New Roman"/>
                <w:b/>
                <w:bCs w:val="0"/>
                <w:color w:val="000000"/>
                <w:sz w:val="24"/>
              </w:rPr>
              <w:t>超过投标截止时间送达的。</w:t>
            </w:r>
          </w:p>
        </w:tc>
      </w:tr>
      <w:tr w14:paraId="73C3C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11" w:type="dxa"/>
            <w:tcBorders>
              <w:top w:val="single" w:color="auto" w:sz="4" w:space="0"/>
              <w:left w:val="single" w:color="auto" w:sz="4" w:space="0"/>
              <w:bottom w:val="single" w:color="auto" w:sz="4" w:space="0"/>
              <w:right w:val="single" w:color="auto" w:sz="4" w:space="0"/>
            </w:tcBorders>
            <w:vAlign w:val="center"/>
          </w:tcPr>
          <w:p w14:paraId="02499D6A">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r>
              <w:rPr>
                <w:rFonts w:ascii="仿宋" w:hAnsi="仿宋" w:eastAsia="仿宋" w:cs="Times New Roman"/>
                <w:color w:val="000000"/>
                <w:sz w:val="24"/>
                <w:szCs w:val="24"/>
              </w:rPr>
              <w:t>8</w:t>
            </w:r>
          </w:p>
        </w:tc>
        <w:tc>
          <w:tcPr>
            <w:tcW w:w="1410" w:type="dxa"/>
            <w:tcBorders>
              <w:top w:val="single" w:color="auto" w:sz="4" w:space="0"/>
              <w:left w:val="single" w:color="auto" w:sz="4" w:space="0"/>
              <w:bottom w:val="single" w:color="auto" w:sz="4" w:space="0"/>
              <w:right w:val="single" w:color="auto" w:sz="4" w:space="0"/>
            </w:tcBorders>
            <w:vAlign w:val="center"/>
          </w:tcPr>
          <w:p w14:paraId="43BB6663">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投标撤销（撤回）</w:t>
            </w:r>
          </w:p>
        </w:tc>
        <w:tc>
          <w:tcPr>
            <w:tcW w:w="7239" w:type="dxa"/>
            <w:tcBorders>
              <w:top w:val="single" w:color="auto" w:sz="4" w:space="0"/>
              <w:left w:val="single" w:color="auto" w:sz="4" w:space="0"/>
              <w:bottom w:val="single" w:color="auto" w:sz="4" w:space="0"/>
              <w:right w:val="single" w:color="auto" w:sz="4" w:space="0"/>
            </w:tcBorders>
            <w:vAlign w:val="center"/>
          </w:tcPr>
          <w:p w14:paraId="3DE11B2C">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1.在投标截止时间起至投标有效期届满，供应商投标文件不可撤销。</w:t>
            </w:r>
          </w:p>
          <w:p w14:paraId="42229FFF">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2.供应商撤销（撤回）投标不得损害国家利益、社会公共利益、采购人利益、代理机构利益、其他供应商利益，否则，供应商撤销（撤回）投标无效。</w:t>
            </w:r>
          </w:p>
        </w:tc>
      </w:tr>
      <w:tr w14:paraId="2E6DB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811" w:type="dxa"/>
            <w:tcBorders>
              <w:top w:val="single" w:color="auto" w:sz="4" w:space="0"/>
              <w:left w:val="single" w:color="auto" w:sz="4" w:space="0"/>
              <w:bottom w:val="single" w:color="auto" w:sz="4" w:space="0"/>
              <w:right w:val="single" w:color="auto" w:sz="4" w:space="0"/>
            </w:tcBorders>
            <w:vAlign w:val="center"/>
          </w:tcPr>
          <w:p w14:paraId="455AD74A">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r>
              <w:rPr>
                <w:rFonts w:ascii="仿宋" w:hAnsi="仿宋" w:eastAsia="仿宋" w:cs="Times New Roman"/>
                <w:color w:val="000000"/>
                <w:sz w:val="24"/>
                <w:szCs w:val="24"/>
              </w:rPr>
              <w:t>9</w:t>
            </w:r>
          </w:p>
        </w:tc>
        <w:tc>
          <w:tcPr>
            <w:tcW w:w="1410" w:type="dxa"/>
            <w:tcBorders>
              <w:top w:val="single" w:color="auto" w:sz="4" w:space="0"/>
              <w:left w:val="single" w:color="auto" w:sz="4" w:space="0"/>
              <w:bottom w:val="single" w:color="auto" w:sz="4" w:space="0"/>
              <w:right w:val="single" w:color="auto" w:sz="4" w:space="0"/>
            </w:tcBorders>
            <w:vAlign w:val="center"/>
          </w:tcPr>
          <w:p w14:paraId="7375467A">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中标结果公告</w:t>
            </w:r>
          </w:p>
        </w:tc>
        <w:tc>
          <w:tcPr>
            <w:tcW w:w="7239" w:type="dxa"/>
            <w:tcBorders>
              <w:top w:val="single" w:color="auto" w:sz="4" w:space="0"/>
              <w:left w:val="single" w:color="auto" w:sz="4" w:space="0"/>
              <w:bottom w:val="single" w:color="auto" w:sz="4" w:space="0"/>
              <w:right w:val="single" w:color="auto" w:sz="4" w:space="0"/>
            </w:tcBorders>
            <w:vAlign w:val="center"/>
          </w:tcPr>
          <w:p w14:paraId="4E12F7DD">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中标供应商确定之日起2个工作日内，将在浙江省政府采购网(</w:t>
            </w:r>
            <w:r>
              <w:rPr>
                <w:rFonts w:hint="eastAsia" w:ascii="仿宋_GB2312" w:hAnsi="仿宋" w:eastAsia="仿宋_GB2312" w:cs="Times New Roman"/>
                <w:bCs/>
                <w:color w:val="000000"/>
                <w:sz w:val="24"/>
              </w:rPr>
              <w:fldChar w:fldCharType="begin"/>
            </w:r>
            <w:r>
              <w:rPr>
                <w:rFonts w:hint="eastAsia" w:ascii="仿宋_GB2312" w:hAnsi="仿宋" w:eastAsia="仿宋_GB2312" w:cs="Times New Roman"/>
                <w:bCs/>
                <w:color w:val="000000"/>
                <w:sz w:val="24"/>
              </w:rPr>
              <w:instrText xml:space="preserve"> HYPERLINK "http://www.zjzfcg.gov.cn/new" </w:instrText>
            </w:r>
            <w:r>
              <w:rPr>
                <w:rFonts w:hint="eastAsia" w:ascii="仿宋_GB2312" w:hAnsi="仿宋" w:eastAsia="仿宋_GB2312" w:cs="Times New Roman"/>
                <w:bCs/>
                <w:color w:val="000000"/>
                <w:sz w:val="24"/>
              </w:rPr>
              <w:fldChar w:fldCharType="separate"/>
            </w:r>
            <w:r>
              <w:rPr>
                <w:rFonts w:hint="eastAsia" w:ascii="仿宋_GB2312" w:hAnsi="仿宋" w:eastAsia="仿宋_GB2312" w:cs="Times New Roman"/>
                <w:bCs/>
                <w:color w:val="000000"/>
                <w:sz w:val="24"/>
              </w:rPr>
              <w:t>http://www.zjzfcg.gov.cn</w:t>
            </w:r>
            <w:r>
              <w:rPr>
                <w:rFonts w:hint="eastAsia" w:ascii="仿宋_GB2312" w:hAnsi="仿宋" w:eastAsia="仿宋_GB2312" w:cs="Times New Roman"/>
                <w:bCs/>
                <w:color w:val="000000"/>
                <w:sz w:val="24"/>
              </w:rPr>
              <w:fldChar w:fldCharType="end"/>
            </w:r>
            <w:r>
              <w:rPr>
                <w:rFonts w:hint="eastAsia" w:ascii="仿宋_GB2312" w:hAnsi="仿宋" w:eastAsia="仿宋_GB2312" w:cs="Times New Roman"/>
                <w:bCs/>
                <w:color w:val="000000"/>
                <w:sz w:val="24"/>
              </w:rPr>
              <w:t>)发布中标公告</w:t>
            </w:r>
            <w:r>
              <w:rPr>
                <w:rFonts w:hint="eastAsia" w:ascii="仿宋_GB2312" w:hAnsi="仿宋" w:eastAsia="仿宋_GB2312" w:cs="Times New Roman"/>
                <w:b/>
                <w:bCs w:val="0"/>
                <w:color w:val="000000"/>
                <w:sz w:val="24"/>
              </w:rPr>
              <w:t>（中标人为中小企业的，其声明函将随中标结果同时公告）</w:t>
            </w:r>
            <w:r>
              <w:rPr>
                <w:rFonts w:hint="eastAsia" w:ascii="仿宋_GB2312" w:hAnsi="仿宋" w:eastAsia="仿宋_GB2312" w:cs="Times New Roman"/>
                <w:bCs/>
                <w:color w:val="000000"/>
                <w:sz w:val="24"/>
              </w:rPr>
              <w:t>，公告期限为1个工作日。</w:t>
            </w:r>
          </w:p>
        </w:tc>
      </w:tr>
      <w:tr w14:paraId="57268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811" w:type="dxa"/>
            <w:tcBorders>
              <w:top w:val="single" w:color="auto" w:sz="4" w:space="0"/>
              <w:left w:val="single" w:color="auto" w:sz="4" w:space="0"/>
              <w:bottom w:val="single" w:color="auto" w:sz="4" w:space="0"/>
              <w:right w:val="single" w:color="auto" w:sz="4" w:space="0"/>
            </w:tcBorders>
            <w:vAlign w:val="center"/>
          </w:tcPr>
          <w:p w14:paraId="7FF35140">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w:t>
            </w:r>
            <w:r>
              <w:rPr>
                <w:rFonts w:ascii="仿宋" w:hAnsi="仿宋" w:eastAsia="仿宋" w:cs="Times New Roman"/>
                <w:color w:val="000000"/>
                <w:sz w:val="24"/>
                <w:szCs w:val="24"/>
              </w:rPr>
              <w:t>0</w:t>
            </w:r>
          </w:p>
        </w:tc>
        <w:tc>
          <w:tcPr>
            <w:tcW w:w="1410" w:type="dxa"/>
            <w:tcBorders>
              <w:top w:val="single" w:color="auto" w:sz="4" w:space="0"/>
              <w:left w:val="single" w:color="auto" w:sz="4" w:space="0"/>
              <w:bottom w:val="single" w:color="auto" w:sz="4" w:space="0"/>
              <w:right w:val="single" w:color="auto" w:sz="4" w:space="0"/>
            </w:tcBorders>
            <w:vAlign w:val="center"/>
          </w:tcPr>
          <w:p w14:paraId="2A740A6A">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中标供应商放弃中标赔偿责任</w:t>
            </w:r>
          </w:p>
        </w:tc>
        <w:tc>
          <w:tcPr>
            <w:tcW w:w="7239" w:type="dxa"/>
            <w:tcBorders>
              <w:top w:val="single" w:color="auto" w:sz="4" w:space="0"/>
              <w:left w:val="single" w:color="auto" w:sz="4" w:space="0"/>
              <w:bottom w:val="single" w:color="auto" w:sz="4" w:space="0"/>
              <w:right w:val="single" w:color="auto" w:sz="4" w:space="0"/>
            </w:tcBorders>
            <w:vAlign w:val="center"/>
          </w:tcPr>
          <w:p w14:paraId="4CE323BC">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中标供应商放弃中标资格导致重新采购的，应当承担支付专家评审费等费用在内的赔偿责任（不可抗力除外）。</w:t>
            </w:r>
          </w:p>
        </w:tc>
      </w:tr>
      <w:tr w14:paraId="795D5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811" w:type="dxa"/>
            <w:tcBorders>
              <w:top w:val="single" w:color="auto" w:sz="4" w:space="0"/>
              <w:left w:val="single" w:color="auto" w:sz="4" w:space="0"/>
              <w:bottom w:val="single" w:color="auto" w:sz="4" w:space="0"/>
              <w:right w:val="single" w:color="auto" w:sz="4" w:space="0"/>
            </w:tcBorders>
            <w:vAlign w:val="center"/>
          </w:tcPr>
          <w:p w14:paraId="48EAAC0B">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21</w:t>
            </w:r>
          </w:p>
        </w:tc>
        <w:tc>
          <w:tcPr>
            <w:tcW w:w="1410" w:type="dxa"/>
            <w:tcBorders>
              <w:top w:val="single" w:color="auto" w:sz="4" w:space="0"/>
              <w:left w:val="single" w:color="auto" w:sz="4" w:space="0"/>
              <w:bottom w:val="single" w:color="auto" w:sz="4" w:space="0"/>
              <w:right w:val="single" w:color="auto" w:sz="4" w:space="0"/>
            </w:tcBorders>
            <w:vAlign w:val="center"/>
          </w:tcPr>
          <w:p w14:paraId="47D5B545">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履约保证金</w:t>
            </w:r>
          </w:p>
        </w:tc>
        <w:tc>
          <w:tcPr>
            <w:tcW w:w="7239" w:type="dxa"/>
            <w:tcBorders>
              <w:top w:val="single" w:color="auto" w:sz="4" w:space="0"/>
              <w:left w:val="single" w:color="auto" w:sz="4" w:space="0"/>
              <w:bottom w:val="single" w:color="auto" w:sz="4" w:space="0"/>
              <w:right w:val="single" w:color="auto" w:sz="4" w:space="0"/>
            </w:tcBorders>
            <w:vAlign w:val="center"/>
          </w:tcPr>
          <w:p w14:paraId="035E0E89">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25405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811" w:type="dxa"/>
            <w:tcBorders>
              <w:top w:val="single" w:color="auto" w:sz="4" w:space="0"/>
              <w:left w:val="single" w:color="auto" w:sz="4" w:space="0"/>
              <w:bottom w:val="single" w:color="auto" w:sz="4" w:space="0"/>
              <w:right w:val="single" w:color="auto" w:sz="4" w:space="0"/>
            </w:tcBorders>
            <w:vAlign w:val="center"/>
          </w:tcPr>
          <w:p w14:paraId="743D9F18">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22</w:t>
            </w:r>
          </w:p>
        </w:tc>
        <w:tc>
          <w:tcPr>
            <w:tcW w:w="1410" w:type="dxa"/>
            <w:tcBorders>
              <w:top w:val="single" w:color="auto" w:sz="4" w:space="0"/>
              <w:left w:val="single" w:color="auto" w:sz="4" w:space="0"/>
              <w:bottom w:val="single" w:color="auto" w:sz="4" w:space="0"/>
              <w:right w:val="single" w:color="auto" w:sz="4" w:space="0"/>
            </w:tcBorders>
            <w:vAlign w:val="center"/>
          </w:tcPr>
          <w:p w14:paraId="4F048C3E">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付款方式</w:t>
            </w:r>
          </w:p>
        </w:tc>
        <w:tc>
          <w:tcPr>
            <w:tcW w:w="7239" w:type="dxa"/>
            <w:tcBorders>
              <w:top w:val="single" w:color="auto" w:sz="4" w:space="0"/>
              <w:left w:val="single" w:color="auto" w:sz="4" w:space="0"/>
              <w:bottom w:val="single" w:color="auto" w:sz="4" w:space="0"/>
              <w:right w:val="single" w:color="auto" w:sz="4" w:space="0"/>
            </w:tcBorders>
            <w:vAlign w:val="center"/>
          </w:tcPr>
          <w:p w14:paraId="33652FF4">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国库集中支付（采购人自行支付）详见各标项的商务要求表。</w:t>
            </w:r>
          </w:p>
          <w:p w14:paraId="3BBA17C6">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712A7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1" w:type="dxa"/>
            <w:tcBorders>
              <w:top w:val="single" w:color="auto" w:sz="4" w:space="0"/>
              <w:left w:val="single" w:color="auto" w:sz="4" w:space="0"/>
              <w:bottom w:val="single" w:color="auto" w:sz="4" w:space="0"/>
              <w:right w:val="single" w:color="auto" w:sz="4" w:space="0"/>
            </w:tcBorders>
            <w:vAlign w:val="center"/>
          </w:tcPr>
          <w:p w14:paraId="14BEB287">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23</w:t>
            </w:r>
          </w:p>
        </w:tc>
        <w:tc>
          <w:tcPr>
            <w:tcW w:w="1410" w:type="dxa"/>
            <w:tcBorders>
              <w:top w:val="single" w:color="auto" w:sz="4" w:space="0"/>
              <w:left w:val="single" w:color="auto" w:sz="4" w:space="0"/>
              <w:bottom w:val="single" w:color="auto" w:sz="4" w:space="0"/>
              <w:right w:val="single" w:color="auto" w:sz="4" w:space="0"/>
            </w:tcBorders>
            <w:vAlign w:val="center"/>
          </w:tcPr>
          <w:p w14:paraId="31C2D0E0">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投标文件有效期</w:t>
            </w:r>
          </w:p>
        </w:tc>
        <w:tc>
          <w:tcPr>
            <w:tcW w:w="7239" w:type="dxa"/>
            <w:tcBorders>
              <w:top w:val="single" w:color="auto" w:sz="4" w:space="0"/>
              <w:left w:val="single" w:color="auto" w:sz="4" w:space="0"/>
              <w:bottom w:val="single" w:color="auto" w:sz="4" w:space="0"/>
              <w:right w:val="single" w:color="auto" w:sz="4" w:space="0"/>
            </w:tcBorders>
            <w:vAlign w:val="center"/>
          </w:tcPr>
          <w:p w14:paraId="4C6419CC">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90天</w:t>
            </w:r>
          </w:p>
        </w:tc>
      </w:tr>
      <w:tr w14:paraId="3689F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1" w:type="dxa"/>
            <w:tcBorders>
              <w:top w:val="single" w:color="auto" w:sz="4" w:space="0"/>
              <w:left w:val="single" w:color="auto" w:sz="4" w:space="0"/>
              <w:bottom w:val="single" w:color="auto" w:sz="4" w:space="0"/>
              <w:right w:val="single" w:color="auto" w:sz="4" w:space="0"/>
            </w:tcBorders>
            <w:vAlign w:val="center"/>
          </w:tcPr>
          <w:p w14:paraId="34C53402">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w:t>
            </w:r>
            <w:r>
              <w:rPr>
                <w:rFonts w:ascii="仿宋" w:hAnsi="仿宋" w:eastAsia="仿宋" w:cs="Times New Roman"/>
                <w:color w:val="000000"/>
                <w:sz w:val="24"/>
                <w:szCs w:val="24"/>
              </w:rPr>
              <w:t>4</w:t>
            </w:r>
          </w:p>
        </w:tc>
        <w:tc>
          <w:tcPr>
            <w:tcW w:w="1410" w:type="dxa"/>
            <w:tcBorders>
              <w:top w:val="single" w:color="auto" w:sz="4" w:space="0"/>
              <w:left w:val="single" w:color="auto" w:sz="4" w:space="0"/>
              <w:bottom w:val="single" w:color="auto" w:sz="4" w:space="0"/>
              <w:right w:val="single" w:color="auto" w:sz="4" w:space="0"/>
            </w:tcBorders>
            <w:vAlign w:val="center"/>
          </w:tcPr>
          <w:p w14:paraId="09BC2D09">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合同签订时间</w:t>
            </w:r>
          </w:p>
        </w:tc>
        <w:tc>
          <w:tcPr>
            <w:tcW w:w="7239" w:type="dxa"/>
            <w:tcBorders>
              <w:top w:val="single" w:color="auto" w:sz="4" w:space="0"/>
              <w:left w:val="single" w:color="auto" w:sz="4" w:space="0"/>
              <w:bottom w:val="single" w:color="auto" w:sz="4" w:space="0"/>
              <w:right w:val="single" w:color="auto" w:sz="4" w:space="0"/>
            </w:tcBorders>
            <w:vAlign w:val="center"/>
          </w:tcPr>
          <w:p w14:paraId="0A05AEBF">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中标通知书发出</w:t>
            </w:r>
            <w:r>
              <w:rPr>
                <w:rFonts w:hint="eastAsia" w:ascii="仿宋_GB2312" w:hAnsi="仿宋" w:eastAsia="仿宋_GB2312" w:cs="Times New Roman"/>
                <w:bCs/>
                <w:color w:val="000000"/>
                <w:sz w:val="24"/>
                <w:lang w:val="en-US" w:eastAsia="zh-CN"/>
              </w:rPr>
              <w:t>之日起</w:t>
            </w:r>
            <w:r>
              <w:rPr>
                <w:rFonts w:hint="eastAsia" w:ascii="仿宋_GB2312" w:hAnsi="仿宋" w:eastAsia="仿宋_GB2312" w:cs="Times New Roman"/>
                <w:bCs/>
                <w:color w:val="000000"/>
                <w:sz w:val="24"/>
              </w:rPr>
              <w:t>30日内。</w:t>
            </w:r>
          </w:p>
        </w:tc>
      </w:tr>
      <w:tr w14:paraId="79A2E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11" w:type="dxa"/>
            <w:tcBorders>
              <w:top w:val="single" w:color="auto" w:sz="4" w:space="0"/>
              <w:left w:val="single" w:color="auto" w:sz="4" w:space="0"/>
              <w:bottom w:val="single" w:color="auto" w:sz="4" w:space="0"/>
              <w:right w:val="single" w:color="auto" w:sz="4" w:space="0"/>
            </w:tcBorders>
            <w:vAlign w:val="center"/>
          </w:tcPr>
          <w:p w14:paraId="013A9281">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w:t>
            </w:r>
            <w:r>
              <w:rPr>
                <w:rFonts w:ascii="仿宋" w:hAnsi="仿宋" w:eastAsia="仿宋" w:cs="Times New Roman"/>
                <w:color w:val="000000"/>
                <w:sz w:val="24"/>
                <w:szCs w:val="24"/>
              </w:rPr>
              <w:t>5</w:t>
            </w:r>
          </w:p>
        </w:tc>
        <w:tc>
          <w:tcPr>
            <w:tcW w:w="1410" w:type="dxa"/>
            <w:tcBorders>
              <w:top w:val="single" w:color="auto" w:sz="4" w:space="0"/>
              <w:left w:val="single" w:color="auto" w:sz="4" w:space="0"/>
              <w:bottom w:val="single" w:color="auto" w:sz="4" w:space="0"/>
              <w:right w:val="single" w:color="auto" w:sz="4" w:space="0"/>
            </w:tcBorders>
            <w:vAlign w:val="center"/>
          </w:tcPr>
          <w:p w14:paraId="053FEA05">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招标方代理费用</w:t>
            </w:r>
          </w:p>
        </w:tc>
        <w:tc>
          <w:tcPr>
            <w:tcW w:w="7239" w:type="dxa"/>
            <w:tcBorders>
              <w:top w:val="single" w:color="auto" w:sz="4" w:space="0"/>
              <w:left w:val="single" w:color="auto" w:sz="4" w:space="0"/>
              <w:bottom w:val="single" w:color="auto" w:sz="4" w:space="0"/>
              <w:right w:val="single" w:color="auto" w:sz="4" w:space="0"/>
            </w:tcBorders>
            <w:vAlign w:val="center"/>
          </w:tcPr>
          <w:p w14:paraId="479C0897">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0元</w:t>
            </w:r>
          </w:p>
        </w:tc>
      </w:tr>
      <w:tr w14:paraId="7DD1C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811" w:type="dxa"/>
            <w:tcBorders>
              <w:top w:val="single" w:color="auto" w:sz="4" w:space="0"/>
              <w:left w:val="single" w:color="auto" w:sz="4" w:space="0"/>
              <w:bottom w:val="single" w:color="auto" w:sz="4" w:space="0"/>
              <w:right w:val="single" w:color="auto" w:sz="4" w:space="0"/>
            </w:tcBorders>
            <w:vAlign w:val="center"/>
          </w:tcPr>
          <w:p w14:paraId="22CD7B3E">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w:t>
            </w:r>
            <w:r>
              <w:rPr>
                <w:rFonts w:ascii="仿宋" w:hAnsi="仿宋" w:eastAsia="仿宋" w:cs="Times New Roman"/>
                <w:color w:val="000000"/>
                <w:sz w:val="24"/>
                <w:szCs w:val="24"/>
              </w:rPr>
              <w:t>6</w:t>
            </w:r>
          </w:p>
        </w:tc>
        <w:tc>
          <w:tcPr>
            <w:tcW w:w="1410" w:type="dxa"/>
            <w:tcBorders>
              <w:top w:val="single" w:color="auto" w:sz="4" w:space="0"/>
              <w:left w:val="single" w:color="auto" w:sz="4" w:space="0"/>
              <w:bottom w:val="single" w:color="auto" w:sz="4" w:space="0"/>
              <w:right w:val="single" w:color="auto" w:sz="4" w:space="0"/>
            </w:tcBorders>
            <w:vAlign w:val="center"/>
          </w:tcPr>
          <w:p w14:paraId="28421F36">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解释权</w:t>
            </w:r>
          </w:p>
        </w:tc>
        <w:tc>
          <w:tcPr>
            <w:tcW w:w="7239" w:type="dxa"/>
            <w:tcBorders>
              <w:top w:val="single" w:color="auto" w:sz="4" w:space="0"/>
              <w:left w:val="single" w:color="auto" w:sz="4" w:space="0"/>
              <w:bottom w:val="single" w:color="auto" w:sz="4" w:space="0"/>
              <w:right w:val="single" w:color="auto" w:sz="4" w:space="0"/>
            </w:tcBorders>
            <w:vAlign w:val="center"/>
          </w:tcPr>
          <w:p w14:paraId="1A2EF1A9">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本招标文件的解释权属于浙江省政府采购中心。</w:t>
            </w:r>
          </w:p>
        </w:tc>
      </w:tr>
    </w:tbl>
    <w:p w14:paraId="4F226686">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0"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_GB2312" w:cs="Times New Roman"/>
          <w:color w:val="000000"/>
          <w:kern w:val="0"/>
          <w:sz w:val="30"/>
          <w:szCs w:val="30"/>
          <w:lang w:val="en-US" w:eastAsia="zh-CN" w:bidi="ar-SA"/>
        </w:rPr>
        <w:br w:type="page"/>
      </w:r>
      <w:r>
        <w:rPr>
          <w:rFonts w:hint="eastAsia" w:ascii="仿宋" w:hAnsi="仿宋" w:eastAsia="仿宋" w:cs="Times New Roman"/>
          <w:b/>
          <w:bCs/>
          <w:color w:val="000000"/>
          <w:kern w:val="2"/>
          <w:sz w:val="28"/>
          <w:szCs w:val="28"/>
          <w:lang w:val="en-US" w:eastAsia="zh-CN" w:bidi="ar-SA"/>
        </w:rPr>
        <w:t>一、总  则</w:t>
      </w:r>
    </w:p>
    <w:p w14:paraId="4CA70561">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（一）适用范围</w:t>
      </w:r>
    </w:p>
    <w:p w14:paraId="3E314602">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仅适用于本次招标文件中采购项目的招标、投标、评标、定标、验收、合同履约、付款等行为（法律、法规另有规定的，从其规定）。</w:t>
      </w:r>
    </w:p>
    <w:p w14:paraId="74966D6F">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 xml:space="preserve">（二）定义 </w:t>
      </w:r>
    </w:p>
    <w:p w14:paraId="67D2960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1.招标方：指组织本项目采购的浙江省政府采购中心。</w:t>
      </w:r>
    </w:p>
    <w:p w14:paraId="2A5AE0F3">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2.投标人：指响应招标、参加投标竞争的法人、其他组织或者自然人。</w:t>
      </w:r>
    </w:p>
    <w:p w14:paraId="79235136">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3.采购人：指委托招标方采购本次货物、服务项目的国家机关、事业单位和团体组织。</w:t>
      </w:r>
    </w:p>
    <w:p w14:paraId="53E28003">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4.货物：指招标文件规定投标人须向采购人提供的一切材料、设备、机械、仪器仪表、工具及其它有关技术资料和文字材料。</w:t>
      </w:r>
    </w:p>
    <w:p w14:paraId="4853C37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5.服务：指招标文件规定投标人须承担的劳务以及其他类似的义务。</w:t>
      </w:r>
    </w:p>
    <w:p w14:paraId="0AB8BEEA">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6.项目：指投标人按招标文件规定向采购人提供的需求总称。</w:t>
      </w:r>
    </w:p>
    <w:p w14:paraId="6CD23D8D">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7.电子交易平台:指政府采购项目电子交易平台，即政采云平台。</w:t>
      </w:r>
    </w:p>
    <w:p w14:paraId="3C5F6E11">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185592E0">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5848C2F5">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（三）投标人及委托有关说明</w:t>
      </w:r>
    </w:p>
    <w:p w14:paraId="1460C9EE">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1.如授权代表不是法定代表人，须有法定代表人出具的授权委托书</w:t>
      </w:r>
      <w:r>
        <w:rPr>
          <w:rFonts w:hint="eastAsia" w:ascii="仿宋" w:hAnsi="仿宋" w:eastAsia="仿宋" w:cs="Times New Roman"/>
          <w:b/>
          <w:bCs/>
          <w:color w:val="000000"/>
          <w:sz w:val="28"/>
          <w:szCs w:val="28"/>
        </w:rPr>
        <w:t>（格式见附件）。</w:t>
      </w:r>
      <w:r>
        <w:rPr>
          <w:rFonts w:hint="eastAsia" w:ascii="仿宋" w:hAnsi="仿宋" w:eastAsia="仿宋" w:cs="Times New Roman"/>
          <w:bCs/>
          <w:color w:val="000000"/>
          <w:sz w:val="28"/>
          <w:szCs w:val="28"/>
        </w:rPr>
        <w:t>投标人委派不在本单位缴纳社保的人员作为授权代表的，应当在投标文件中，说明具体原因、授权代表缴纳社保的单位，并附列该授权代表缴纳社保清单。</w:t>
      </w:r>
    </w:p>
    <w:p w14:paraId="7D2DB6C5">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2.投标人投标所使用的资格、信誉、荣誉、业绩与企业认证必须为本法人所拥有。投标人投标所使用的采购项目实施人员必须为投标人员工（或投标人控股公司正式员工）。</w:t>
      </w:r>
    </w:p>
    <w:p w14:paraId="1F52BC5A">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3.单位负责人为同一人或者存在直接控股、管理关系的不同供应商，不得参加同一合同项下的政府采购活动。</w:t>
      </w:r>
    </w:p>
    <w:p w14:paraId="0D4551CD">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4.投标人应仔细阅读招标文件的所有内容，</w:t>
      </w:r>
      <w:r>
        <w:rPr>
          <w:rFonts w:hint="eastAsia" w:ascii="仿宋" w:hAnsi="仿宋" w:eastAsia="仿宋" w:cs="Times New Roman"/>
          <w:bCs/>
          <w:i w:val="0"/>
          <w:iCs w:val="0"/>
          <w:caps w:val="0"/>
          <w:color w:val="000000"/>
          <w:spacing w:val="0"/>
          <w:kern w:val="2"/>
          <w:sz w:val="28"/>
          <w:szCs w:val="28"/>
          <w:lang w:val="en-US" w:eastAsia="zh-CN" w:bidi="ar-SA"/>
        </w:rPr>
        <w:t>遵循诚实信用原则在投标文件中提供真实材料，</w:t>
      </w:r>
      <w:r>
        <w:rPr>
          <w:rFonts w:hint="eastAsia" w:ascii="仿宋" w:hAnsi="仿宋" w:eastAsia="仿宋" w:cs="Times New Roman"/>
          <w:bCs/>
          <w:color w:val="000000"/>
          <w:kern w:val="2"/>
          <w:sz w:val="28"/>
          <w:szCs w:val="28"/>
          <w:lang w:val="en-US" w:eastAsia="zh-CN" w:bidi="ar-SA"/>
        </w:rPr>
        <w:t>按照招标文件的要求提交投标文件，并对所提供的全部资料的真实性承担法律责任。投标人</w:t>
      </w:r>
      <w:r>
        <w:rPr>
          <w:rFonts w:hint="eastAsia" w:ascii="仿宋" w:hAnsi="仿宋" w:eastAsia="仿宋" w:cs="Times New Roman"/>
          <w:bCs/>
          <w:i w:val="0"/>
          <w:iCs w:val="0"/>
          <w:caps w:val="0"/>
          <w:color w:val="000000"/>
          <w:spacing w:val="0"/>
          <w:kern w:val="2"/>
          <w:sz w:val="28"/>
          <w:szCs w:val="28"/>
          <w:lang w:val="en-US" w:eastAsia="zh-CN" w:bidi="ar-SA"/>
        </w:rPr>
        <w:t>可事先在公开官网查询、核对相关证书和报告内容，确保投标文件资料准确无误。</w:t>
      </w:r>
    </w:p>
    <w:p w14:paraId="634CC3D3">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（四）投标费用</w:t>
      </w:r>
    </w:p>
    <w:p w14:paraId="2803A951">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不论投标结果如何，投标人均应自行承担所有与投标有关的全部费用（招标文件有其他相反规定除外）。</w:t>
      </w:r>
    </w:p>
    <w:p w14:paraId="5229AABE">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color w:val="000000"/>
          <w:sz w:val="28"/>
          <w:szCs w:val="28"/>
        </w:rPr>
      </w:pPr>
      <w:r>
        <w:rPr>
          <w:rFonts w:hint="eastAsia" w:ascii="仿宋" w:hAnsi="仿宋" w:eastAsia="仿宋" w:cs="Times New Roman"/>
          <w:bCs/>
          <w:color w:val="000000"/>
          <w:sz w:val="28"/>
          <w:szCs w:val="28"/>
        </w:rPr>
        <w:t>（五）</w:t>
      </w:r>
      <w:r>
        <w:rPr>
          <w:rFonts w:hint="eastAsia" w:ascii="仿宋" w:hAnsi="仿宋" w:eastAsia="仿宋" w:cs="Times New Roman"/>
          <w:bCs/>
          <w:color w:val="000000"/>
          <w:sz w:val="28"/>
          <w:szCs w:val="28"/>
          <w:lang w:val="en-US" w:eastAsia="zh-CN"/>
        </w:rPr>
        <w:t>询问和</w:t>
      </w:r>
      <w:r>
        <w:rPr>
          <w:rFonts w:hint="eastAsia" w:ascii="仿宋" w:hAnsi="仿宋" w:eastAsia="仿宋" w:cs="Times New Roman"/>
          <w:bCs/>
          <w:color w:val="000000"/>
          <w:sz w:val="28"/>
          <w:szCs w:val="28"/>
        </w:rPr>
        <w:t>质疑</w:t>
      </w:r>
    </w:p>
    <w:p w14:paraId="52467FDE">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lang w:val="en-US" w:eastAsia="zh-CN"/>
        </w:rPr>
        <w:t>1.</w:t>
      </w:r>
      <w:r>
        <w:rPr>
          <w:rFonts w:hint="eastAsia" w:ascii="仿宋" w:hAnsi="仿宋" w:eastAsia="仿宋" w:cs="Times New Roman"/>
          <w:bCs/>
          <w:color w:val="000000"/>
          <w:sz w:val="28"/>
          <w:szCs w:val="28"/>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9E0B9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color w:val="000000"/>
          <w:sz w:val="28"/>
          <w:szCs w:val="28"/>
          <w:lang w:val="en-US" w:eastAsia="zh-CN"/>
        </w:rPr>
      </w:pPr>
      <w:r>
        <w:rPr>
          <w:rFonts w:hint="eastAsia" w:ascii="仿宋" w:hAnsi="仿宋" w:eastAsia="仿宋" w:cs="Times New Roman"/>
          <w:bCs/>
          <w:color w:val="000000"/>
          <w:sz w:val="28"/>
          <w:szCs w:val="28"/>
        </w:rPr>
        <w:t>2</w:t>
      </w:r>
      <w:r>
        <w:rPr>
          <w:rFonts w:ascii="仿宋" w:hAnsi="仿宋" w:eastAsia="仿宋" w:cs="Times New Roman"/>
          <w:bCs/>
          <w:color w:val="000000"/>
          <w:sz w:val="28"/>
          <w:szCs w:val="28"/>
        </w:rPr>
        <w:t>.</w:t>
      </w:r>
      <w:r>
        <w:rPr>
          <w:rFonts w:hint="eastAsia" w:ascii="仿宋" w:hAnsi="仿宋" w:eastAsia="仿宋" w:cs="Times New Roman"/>
          <w:bCs/>
          <w:color w:val="000000"/>
          <w:sz w:val="28"/>
          <w:szCs w:val="28"/>
          <w:lang w:val="en-US" w:eastAsia="zh-CN"/>
        </w:rPr>
        <w:t>投标人的询问</w:t>
      </w:r>
    </w:p>
    <w:p w14:paraId="2499E736">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lang w:val="en-US" w:eastAsia="zh-CN"/>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25C08D21">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default" w:ascii="仿宋" w:hAnsi="仿宋" w:eastAsia="仿宋" w:cs="Times New Roman"/>
          <w:bCs/>
          <w:color w:val="000000"/>
          <w:sz w:val="28"/>
          <w:szCs w:val="28"/>
          <w:lang w:val="en-US" w:eastAsia="zh-CN"/>
        </w:rPr>
      </w:pPr>
      <w:r>
        <w:rPr>
          <w:rFonts w:ascii="仿宋" w:hAnsi="仿宋" w:eastAsia="仿宋" w:cs="Times New Roman"/>
          <w:bCs/>
          <w:color w:val="000000"/>
          <w:sz w:val="28"/>
          <w:szCs w:val="28"/>
        </w:rPr>
        <w:t>3</w:t>
      </w:r>
      <w:r>
        <w:rPr>
          <w:rFonts w:hint="eastAsia" w:ascii="仿宋" w:hAnsi="仿宋" w:eastAsia="仿宋" w:cs="Times New Roman"/>
          <w:bCs/>
          <w:color w:val="000000"/>
          <w:sz w:val="28"/>
          <w:szCs w:val="28"/>
        </w:rPr>
        <w:t>.</w:t>
      </w:r>
      <w:r>
        <w:rPr>
          <w:rFonts w:hint="eastAsia" w:ascii="仿宋" w:hAnsi="仿宋" w:eastAsia="仿宋" w:cs="Times New Roman"/>
          <w:bCs/>
          <w:color w:val="000000"/>
          <w:sz w:val="28"/>
          <w:szCs w:val="28"/>
          <w:lang w:val="en-US" w:eastAsia="zh-CN"/>
        </w:rPr>
        <w:t>投标人的质疑</w:t>
      </w:r>
    </w:p>
    <w:p w14:paraId="0FE446E4">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hint="eastAsia" w:ascii="仿宋" w:hAnsi="仿宋" w:eastAsia="仿宋" w:cs="Times New Roman"/>
          <w:bCs/>
          <w:color w:val="000000"/>
          <w:sz w:val="28"/>
          <w:szCs w:val="28"/>
        </w:rPr>
      </w:pPr>
      <w:r>
        <w:rPr>
          <w:rFonts w:hint="eastAsia" w:ascii="仿宋" w:hAnsi="仿宋" w:eastAsia="仿宋" w:cs="Times New Roman"/>
          <w:bCs/>
          <w:color w:val="000000"/>
          <w:sz w:val="28"/>
          <w:szCs w:val="28"/>
          <w:lang w:val="en-US" w:eastAsia="zh-CN"/>
        </w:rPr>
        <w:t>3.</w:t>
      </w:r>
      <w:r>
        <w:rPr>
          <w:rFonts w:hint="eastAsia" w:ascii="仿宋" w:hAnsi="仿宋" w:eastAsia="仿宋" w:cs="Times New Roman"/>
          <w:bCs/>
          <w:color w:val="000000"/>
          <w:sz w:val="28"/>
          <w:szCs w:val="28"/>
        </w:rPr>
        <w:t>1.投标人认为</w:t>
      </w:r>
      <w:r>
        <w:rPr>
          <w:rFonts w:hint="eastAsia" w:ascii="仿宋" w:hAnsi="仿宋" w:eastAsia="仿宋" w:cs="Times New Roman"/>
          <w:bCs/>
          <w:color w:val="000000"/>
          <w:sz w:val="28"/>
          <w:szCs w:val="28"/>
          <w:lang w:val="en-US" w:eastAsia="zh-CN"/>
        </w:rPr>
        <w:t>招标</w:t>
      </w:r>
      <w:r>
        <w:rPr>
          <w:rFonts w:hint="eastAsia" w:ascii="仿宋" w:hAnsi="仿宋" w:eastAsia="仿宋" w:cs="Times New Roman"/>
          <w:bCs/>
          <w:color w:val="000000"/>
          <w:sz w:val="28"/>
          <w:szCs w:val="28"/>
        </w:rPr>
        <w:t>文件使自己的权益受到损害的，可以自获取</w:t>
      </w:r>
      <w:r>
        <w:rPr>
          <w:rFonts w:hint="eastAsia" w:ascii="仿宋" w:hAnsi="仿宋" w:eastAsia="仿宋" w:cs="Times New Roman"/>
          <w:bCs/>
          <w:color w:val="000000"/>
          <w:sz w:val="28"/>
          <w:szCs w:val="28"/>
          <w:lang w:val="en-US" w:eastAsia="zh-CN"/>
        </w:rPr>
        <w:t>招标</w:t>
      </w:r>
      <w:r>
        <w:rPr>
          <w:rFonts w:hint="eastAsia" w:ascii="仿宋" w:hAnsi="仿宋" w:eastAsia="仿宋" w:cs="Times New Roman"/>
          <w:bCs/>
          <w:color w:val="000000"/>
          <w:sz w:val="28"/>
          <w:szCs w:val="28"/>
        </w:rPr>
        <w:t>文件之日或者采购公告期限届满之日（公告期限届满后获取</w:t>
      </w:r>
      <w:r>
        <w:rPr>
          <w:rFonts w:hint="eastAsia" w:ascii="仿宋" w:hAnsi="仿宋" w:eastAsia="仿宋" w:cs="Times New Roman"/>
          <w:bCs/>
          <w:color w:val="000000"/>
          <w:sz w:val="28"/>
          <w:szCs w:val="28"/>
          <w:lang w:val="en-US" w:eastAsia="zh-CN"/>
        </w:rPr>
        <w:t>招标</w:t>
      </w:r>
      <w:r>
        <w:rPr>
          <w:rFonts w:hint="eastAsia" w:ascii="仿宋" w:hAnsi="仿宋" w:eastAsia="仿宋" w:cs="Times New Roman"/>
          <w:bCs/>
          <w:color w:val="000000"/>
          <w:sz w:val="28"/>
          <w:szCs w:val="28"/>
        </w:rPr>
        <w:t>文件的，以公告期限届满之日为准）起7个工作日内，对</w:t>
      </w:r>
      <w:r>
        <w:rPr>
          <w:rFonts w:hint="eastAsia" w:ascii="仿宋" w:hAnsi="仿宋" w:eastAsia="仿宋" w:cs="Times New Roman"/>
          <w:bCs/>
          <w:color w:val="000000"/>
          <w:sz w:val="28"/>
          <w:szCs w:val="28"/>
          <w:lang w:val="en-US" w:eastAsia="zh-CN"/>
        </w:rPr>
        <w:t>评分标准、招标</w:t>
      </w:r>
      <w:r>
        <w:rPr>
          <w:rFonts w:hint="eastAsia" w:ascii="仿宋" w:hAnsi="仿宋" w:eastAsia="仿宋" w:cs="Times New Roman"/>
          <w:bCs/>
          <w:color w:val="000000"/>
          <w:sz w:val="28"/>
          <w:szCs w:val="28"/>
        </w:rPr>
        <w:t>文件需求的以书面形式向采购人提出质疑，对其他内容的以书面形式向采购人和招标方提出质疑。</w:t>
      </w:r>
    </w:p>
    <w:p w14:paraId="799F89EE">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hint="eastAsia" w:ascii="仿宋" w:hAnsi="仿宋" w:eastAsia="仿宋" w:cs="Times New Roman"/>
          <w:bCs/>
          <w:color w:val="000000"/>
          <w:sz w:val="28"/>
          <w:szCs w:val="28"/>
        </w:rPr>
      </w:pPr>
      <w:r>
        <w:rPr>
          <w:rFonts w:hint="eastAsia" w:ascii="仿宋" w:hAnsi="仿宋" w:eastAsia="仿宋" w:cs="Times New Roman"/>
          <w:bCs/>
          <w:color w:val="000000"/>
          <w:sz w:val="28"/>
          <w:szCs w:val="28"/>
          <w:lang w:val="en-US" w:eastAsia="zh-CN"/>
        </w:rPr>
        <w:t>3.</w:t>
      </w:r>
      <w:r>
        <w:rPr>
          <w:rFonts w:hint="eastAsia" w:ascii="仿宋" w:hAnsi="仿宋" w:eastAsia="仿宋" w:cs="Times New Roman"/>
          <w:bCs/>
          <w:color w:val="000000"/>
          <w:sz w:val="28"/>
          <w:szCs w:val="28"/>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6B74BFB4">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3.3.质疑应当以书面形式提出，格式见《政府采购质疑和投诉办法》（财政部令第94号）附件范本，下载网址：浙江政府采购网(</w:t>
      </w:r>
      <w:r>
        <w:rPr>
          <w:rFonts w:hint="eastAsia" w:ascii="仿宋" w:hAnsi="仿宋" w:eastAsia="仿宋" w:cs="Times New Roman"/>
          <w:bCs/>
          <w:color w:val="000000"/>
          <w:kern w:val="2"/>
          <w:sz w:val="28"/>
          <w:szCs w:val="28"/>
          <w:lang w:val="en-US" w:eastAsia="zh-CN" w:bidi="ar-SA"/>
        </w:rPr>
        <w:fldChar w:fldCharType="begin"/>
      </w:r>
      <w:r>
        <w:rPr>
          <w:rFonts w:hint="eastAsia" w:ascii="仿宋" w:hAnsi="仿宋" w:eastAsia="仿宋" w:cs="Times New Roman"/>
          <w:bCs/>
          <w:color w:val="000000"/>
          <w:kern w:val="2"/>
          <w:sz w:val="28"/>
          <w:szCs w:val="28"/>
          <w:lang w:val="en-US" w:eastAsia="zh-CN" w:bidi="ar-SA"/>
        </w:rPr>
        <w:instrText xml:space="preserve"> HYPERLINK "http://zfcg.czt.zj.gov.cn/" </w:instrText>
      </w:r>
      <w:r>
        <w:rPr>
          <w:rFonts w:hint="eastAsia" w:ascii="仿宋" w:hAnsi="仿宋" w:eastAsia="仿宋" w:cs="Times New Roman"/>
          <w:bCs/>
          <w:color w:val="000000"/>
          <w:kern w:val="2"/>
          <w:sz w:val="28"/>
          <w:szCs w:val="28"/>
          <w:lang w:val="en-US" w:eastAsia="zh-CN" w:bidi="ar-SA"/>
        </w:rPr>
        <w:fldChar w:fldCharType="separate"/>
      </w:r>
      <w:r>
        <w:rPr>
          <w:rFonts w:hint="eastAsia" w:ascii="仿宋" w:hAnsi="仿宋" w:eastAsia="仿宋" w:cs="Times New Roman"/>
          <w:bCs/>
          <w:color w:val="000000"/>
          <w:kern w:val="2"/>
          <w:sz w:val="28"/>
          <w:szCs w:val="28"/>
          <w:lang w:val="en-US" w:eastAsia="zh-CN" w:bidi="ar-SA"/>
        </w:rPr>
        <w:t>http://zfcg.czt.zj.gov.cn/</w:t>
      </w:r>
      <w:r>
        <w:rPr>
          <w:rFonts w:hint="eastAsia" w:ascii="仿宋" w:hAnsi="仿宋" w:eastAsia="仿宋" w:cs="Times New Roman"/>
          <w:bCs/>
          <w:color w:val="000000"/>
          <w:kern w:val="2"/>
          <w:sz w:val="28"/>
          <w:szCs w:val="28"/>
          <w:lang w:val="en-US" w:eastAsia="zh-CN" w:bidi="ar-SA"/>
        </w:rPr>
        <w:fldChar w:fldCharType="end"/>
      </w:r>
      <w:r>
        <w:rPr>
          <w:rFonts w:hint="eastAsia" w:ascii="仿宋" w:hAnsi="仿宋" w:eastAsia="仿宋" w:cs="Times New Roman"/>
          <w:bCs/>
          <w:color w:val="000000"/>
          <w:kern w:val="2"/>
          <w:sz w:val="28"/>
          <w:szCs w:val="28"/>
          <w:lang w:val="en-US" w:eastAsia="zh-CN" w:bidi="ar-SA"/>
        </w:rPr>
        <w:t>)，位置：“首页-下载专区-质疑投诉模板”。供应商提出质疑应当提交质疑函和必要的证明材料。供应商应当在法定质疑期内一次性提出针对同一采购程序环节的质疑。</w:t>
      </w:r>
    </w:p>
    <w:p w14:paraId="48A729E2">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质疑函应当包括下列内容：</w:t>
      </w:r>
    </w:p>
    <w:p w14:paraId="44C04D88">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a.供应商的姓名或者名称、地址、邮编、联系人及联系电话；</w:t>
      </w:r>
    </w:p>
    <w:p w14:paraId="612E908F">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b.质疑项目的名称、编号；</w:t>
      </w:r>
    </w:p>
    <w:p w14:paraId="6FA5BD7C">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c.具体、明确的质疑事项和与质疑事项相关的请求；</w:t>
      </w:r>
    </w:p>
    <w:p w14:paraId="4513DC7E">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d.事实依据；</w:t>
      </w:r>
    </w:p>
    <w:p w14:paraId="2C1B2468">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e.必要的法律依据；</w:t>
      </w:r>
    </w:p>
    <w:p w14:paraId="448B593B">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f.提出质疑的日期。</w:t>
      </w:r>
    </w:p>
    <w:p w14:paraId="03A980A6">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05528BA3">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 xml:space="preserve">（六）招标文件的澄清与修改 </w:t>
      </w:r>
    </w:p>
    <w:p w14:paraId="7F956E1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Times New Roman"/>
          <w:b/>
          <w:bCs/>
          <w:color w:val="000000"/>
          <w:kern w:val="2"/>
          <w:sz w:val="28"/>
          <w:szCs w:val="28"/>
          <w:lang w:val="en-US" w:eastAsia="zh-CN" w:bidi="ar-SA"/>
        </w:rPr>
        <w:t>逾期提出招标方将不予受理。</w:t>
      </w:r>
    </w:p>
    <w:p w14:paraId="6A2DDD9B">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2.招标方主动进行的澄清、修改：招标方无论出于何种原因，均可主动对招标文件中的相关事项，用补充文件等方式进行澄清和修改。</w:t>
      </w:r>
    </w:p>
    <w:p w14:paraId="0156A1F5">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3.招标文件澄清、答复、修改、补充的内容为招标文件的组成部分。当招标文件与招标文件的答复、澄清、修改、补充通知就同一内容的表述不一致时，以最后发出的书面文件为准。</w:t>
      </w:r>
    </w:p>
    <w:p w14:paraId="41215D11">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二、投标文件的编制</w:t>
      </w:r>
    </w:p>
    <w:p w14:paraId="5B4D7635">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（一）投标文件编制工具</w:t>
      </w:r>
    </w:p>
    <w:p w14:paraId="5690B55E">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投标文件编制工具为政采云电子交易客户端，下载网址：</w:t>
      </w:r>
      <w:r>
        <w:rPr>
          <w:rFonts w:ascii="宋体" w:hAnsi="Courier New" w:eastAsia="宋体" w:cs="Times New Roman"/>
          <w:kern w:val="2"/>
          <w:sz w:val="24"/>
          <w:szCs w:val="24"/>
          <w:lang w:val="en-US" w:eastAsia="zh-CN" w:bidi="ar-SA"/>
        </w:rPr>
        <w:fldChar w:fldCharType="begin"/>
      </w:r>
      <w:r>
        <w:rPr>
          <w:rFonts w:ascii="宋体" w:hAnsi="Courier New" w:eastAsia="宋体" w:cs="Times New Roman"/>
          <w:kern w:val="2"/>
          <w:sz w:val="24"/>
          <w:szCs w:val="24"/>
          <w:lang w:val="en-US" w:eastAsia="zh-CN" w:bidi="ar-SA"/>
        </w:rPr>
        <w:instrText xml:space="preserve"> HYPERLINK "http://zfcg.czt.zj.gov.cn/bidClientTemplate/2019-09-24/12975.html" </w:instrText>
      </w:r>
      <w:r>
        <w:rPr>
          <w:rFonts w:ascii="宋体" w:hAnsi="Courier New" w:eastAsia="宋体" w:cs="Times New Roman"/>
          <w:kern w:val="2"/>
          <w:sz w:val="24"/>
          <w:szCs w:val="24"/>
          <w:lang w:val="en-US" w:eastAsia="zh-CN" w:bidi="ar-SA"/>
        </w:rPr>
        <w:fldChar w:fldCharType="separate"/>
      </w:r>
      <w:r>
        <w:rPr>
          <w:rFonts w:hint="eastAsia" w:ascii="仿宋" w:hAnsi="仿宋" w:eastAsia="仿宋" w:cs="Times New Roman"/>
          <w:b/>
          <w:bCs/>
          <w:color w:val="000000"/>
          <w:kern w:val="2"/>
          <w:sz w:val="28"/>
          <w:szCs w:val="28"/>
          <w:u w:val="single"/>
          <w:lang w:val="en-US" w:eastAsia="zh-CN" w:bidi="ar-SA"/>
        </w:rPr>
        <w:t>http://zfcg.czt.zj.gov.cn/bidClientTemplate/2019-09-24/12975.html</w:t>
      </w:r>
      <w:r>
        <w:rPr>
          <w:rFonts w:hint="eastAsia" w:ascii="仿宋" w:hAnsi="仿宋" w:eastAsia="仿宋" w:cs="Times New Roman"/>
          <w:b/>
          <w:bCs/>
          <w:color w:val="000000"/>
          <w:kern w:val="2"/>
          <w:sz w:val="28"/>
          <w:szCs w:val="28"/>
          <w:u w:val="single"/>
          <w:lang w:val="en-US" w:eastAsia="zh-CN" w:bidi="ar-SA"/>
        </w:rPr>
        <w:fldChar w:fldCharType="end"/>
      </w:r>
      <w:r>
        <w:rPr>
          <w:rFonts w:hint="eastAsia" w:ascii="仿宋" w:hAnsi="仿宋" w:eastAsia="仿宋" w:cs="Times New Roman"/>
          <w:b/>
          <w:bCs/>
          <w:color w:val="000000"/>
          <w:kern w:val="2"/>
          <w:sz w:val="28"/>
          <w:szCs w:val="28"/>
          <w:lang w:val="en-US" w:eastAsia="zh-CN" w:bidi="ar-SA"/>
        </w:rPr>
        <w:t>，请自行下载并安装。</w:t>
      </w:r>
    </w:p>
    <w:p w14:paraId="36390F4D">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（二）投标文件的组成</w:t>
      </w:r>
    </w:p>
    <w:p w14:paraId="23A3AF86">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本项目所称投标文件系指电子投标文件或备份投标文件。投标文件需按照本招标文件和电子交易平台的要求制作、加密并递交。</w:t>
      </w:r>
    </w:p>
    <w:p w14:paraId="1CD902EA">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D9C4FEA">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772B3781">
      <w:pPr>
        <w:keepNext w:val="0"/>
        <w:keepLines w:val="0"/>
        <w:pageBreakBefore w:val="0"/>
        <w:widowControl w:val="0"/>
        <w:kinsoku/>
        <w:wordWrap/>
        <w:overflowPunct/>
        <w:topLinePunct w:val="0"/>
        <w:autoSpaceDE/>
        <w:autoSpaceDN/>
        <w:bidi w:val="0"/>
        <w:snapToGrid w:val="0"/>
        <w:spacing w:before="50" w:after="156" w:afterLines="50" w:line="46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注：法定代表人授权委托书、投标声明书、开标一览表必须按招标文件格式要求正确签署并加盖投标人公章。投标文件中所须加盖公章部分均采用CA签章。</w:t>
      </w:r>
    </w:p>
    <w:p w14:paraId="4EB71E1F">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（三）投标文件的效力</w:t>
      </w:r>
    </w:p>
    <w:p w14:paraId="3EF0521C">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电子投标文件未按时解密，投标人提供了备份投标文件的，以备份投标文件作为依据，否则视为投标文件撤回。电子投标文件已按时解密的，备份投标文件自动失效。</w:t>
      </w:r>
    </w:p>
    <w:p w14:paraId="33C06F9F">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（四）投标文件的语言及计量</w:t>
      </w:r>
    </w:p>
    <w:p w14:paraId="18B809EE">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402F308C">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30EA22B3">
      <w:pPr>
        <w:keepNext w:val="0"/>
        <w:keepLines w:val="0"/>
        <w:pageBreakBefore w:val="0"/>
        <w:widowControl w:val="0"/>
        <w:numPr>
          <w:ilvl w:val="0"/>
          <w:numId w:val="0"/>
        </w:numPr>
        <w:tabs>
          <w:tab w:val="left" w:pos="720"/>
        </w:tabs>
        <w:kinsoku/>
        <w:wordWrap/>
        <w:overflowPunct/>
        <w:topLinePunct w:val="0"/>
        <w:autoSpaceDE/>
        <w:autoSpaceDN/>
        <w:bidi w:val="0"/>
        <w:snapToGrid w:val="0"/>
        <w:spacing w:before="156" w:beforeLines="50" w:after="156"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（五）投标文件的有效期</w:t>
      </w:r>
    </w:p>
    <w:p w14:paraId="192EE72B">
      <w:pPr>
        <w:keepNext w:val="0"/>
        <w:keepLines w:val="0"/>
        <w:pageBreakBefore w:val="0"/>
        <w:widowControl w:val="0"/>
        <w:numPr>
          <w:ilvl w:val="0"/>
          <w:numId w:val="0"/>
        </w:numPr>
        <w:tabs>
          <w:tab w:val="left" w:pos="720"/>
        </w:tabs>
        <w:kinsoku/>
        <w:wordWrap/>
        <w:overflowPunct/>
        <w:topLinePunct w:val="0"/>
        <w:autoSpaceDE/>
        <w:autoSpaceDN/>
        <w:bidi w:val="0"/>
        <w:snapToGrid w:val="0"/>
        <w:spacing w:before="156" w:beforeLines="50" w:after="156"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1.自投标截止日起90天内投标文件应保持有效。有效期不足的投标文件将作无效标处理。</w:t>
      </w:r>
    </w:p>
    <w:p w14:paraId="67B9FBF9">
      <w:pPr>
        <w:keepNext w:val="0"/>
        <w:keepLines w:val="0"/>
        <w:pageBreakBefore w:val="0"/>
        <w:widowControl w:val="0"/>
        <w:numPr>
          <w:ilvl w:val="0"/>
          <w:numId w:val="0"/>
        </w:numPr>
        <w:tabs>
          <w:tab w:val="left" w:pos="720"/>
        </w:tabs>
        <w:kinsoku/>
        <w:wordWrap/>
        <w:overflowPunct/>
        <w:topLinePunct w:val="0"/>
        <w:autoSpaceDE/>
        <w:autoSpaceDN/>
        <w:bidi w:val="0"/>
        <w:snapToGrid w:val="0"/>
        <w:spacing w:before="156" w:beforeLines="50" w:after="156"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2.中标供应商的投标文件自开标之日起至合同履行完毕止均应保持有效。</w:t>
      </w:r>
    </w:p>
    <w:p w14:paraId="0C5F6C19">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（六）投标文件的签署和包装</w:t>
      </w:r>
    </w:p>
    <w:p w14:paraId="7A07BD77">
      <w:pPr>
        <w:keepNext w:val="0"/>
        <w:keepLines w:val="0"/>
        <w:pageBreakBefore w:val="0"/>
        <w:widowControl w:val="0"/>
        <w:kinsoku/>
        <w:wordWrap/>
        <w:overflowPunct/>
        <w:topLinePunct w:val="0"/>
        <w:autoSpaceDE/>
        <w:autoSpaceDN/>
        <w:bidi w:val="0"/>
        <w:spacing w:line="46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 xml:space="preserve">1.电子投标文件部分： </w:t>
      </w:r>
    </w:p>
    <w:p w14:paraId="458D5EDC">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71D68B5">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（2）投标文件须由投标人在规定位置盖章并由法定代表人或法定代表人的授权委托人签署，投标人应写全称。</w:t>
      </w:r>
    </w:p>
    <w:p w14:paraId="42BC830A">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67677950">
      <w:pPr>
        <w:keepNext w:val="0"/>
        <w:keepLines w:val="0"/>
        <w:pageBreakBefore w:val="0"/>
        <w:widowControl w:val="0"/>
        <w:kinsoku/>
        <w:wordWrap/>
        <w:overflowPunct/>
        <w:topLinePunct w:val="0"/>
        <w:autoSpaceDE/>
        <w:autoSpaceDN/>
        <w:bidi w:val="0"/>
        <w:spacing w:line="46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2.投标人选择递交备份投标文件的，备份投标文件另须满足以下条件：</w:t>
      </w:r>
    </w:p>
    <w:p w14:paraId="18B31303">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 xml:space="preserve">（1）储存形式：U盘、DVD </w:t>
      </w:r>
    </w:p>
    <w:p w14:paraId="23CBB803">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密封要求：外包装封面上应注明投标人名称、投标人地址、投标人联系方式（授权代表手机）、投标文件名称（备份投标文件）、投标项目名称、项目编号、标项及“开标时启封”字样，并加盖投标人公章。</w:t>
      </w:r>
    </w:p>
    <w:p w14:paraId="7C5FDE48">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（七）投标报价</w:t>
      </w:r>
    </w:p>
    <w:p w14:paraId="14956762">
      <w:pPr>
        <w:keepNext w:val="0"/>
        <w:keepLines w:val="0"/>
        <w:pageBreakBefore w:val="0"/>
        <w:widowControl w:val="0"/>
        <w:tabs>
          <w:tab w:val="left" w:pos="525"/>
        </w:tabs>
        <w:kinsoku/>
        <w:wordWrap/>
        <w:overflowPunct/>
        <w:topLinePunct w:val="0"/>
        <w:autoSpaceDE/>
        <w:autoSpaceDN/>
        <w:bidi w:val="0"/>
        <w:snapToGrid w:val="0"/>
        <w:spacing w:line="460" w:lineRule="exact"/>
        <w:ind w:firstLine="560" w:firstLineChars="200"/>
        <w:jc w:val="left"/>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43236DE4">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投标报价应包含项目所需全部产品、服务，不得缺漏，是履行合同的最终价格（含货款、标准附件、备品备件、专用工具、包装、运输、装卸、保险、税金、货到就位以及安装、调试、培训、保修等一切税金和费用）。</w:t>
      </w:r>
    </w:p>
    <w:p w14:paraId="62CD02B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3.投标报价金额到分为止。</w:t>
      </w:r>
    </w:p>
    <w:p w14:paraId="3EC82F1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4.资格文件、技术商务文件中不得出现投标报价信息，否则按无效标处理。</w:t>
      </w:r>
    </w:p>
    <w:p w14:paraId="1CDDD1B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433A24EB">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i w:val="0"/>
          <w:iCs w:val="0"/>
          <w:caps w:val="0"/>
          <w:color w:val="000000"/>
          <w:spacing w:val="0"/>
          <w:kern w:val="2"/>
          <w:sz w:val="28"/>
          <w:szCs w:val="28"/>
          <w:shd w:val="clear"/>
          <w:vertAlign w:val="baseline"/>
          <w:lang w:val="en-US" w:eastAsia="zh-CN" w:bidi="ar-SA"/>
        </w:rPr>
      </w:pPr>
      <w:r>
        <w:rPr>
          <w:rFonts w:hint="eastAsia" w:ascii="仿宋" w:hAnsi="仿宋" w:eastAsia="仿宋" w:cs="Times New Roman"/>
          <w:bCs/>
          <w:color w:val="000000"/>
          <w:kern w:val="2"/>
          <w:sz w:val="28"/>
          <w:szCs w:val="28"/>
          <w:lang w:val="en-US" w:eastAsia="zh-CN" w:bidi="ar-SA"/>
        </w:rPr>
        <w:t>6.投标报价</w:t>
      </w:r>
      <w:r>
        <w:rPr>
          <w:rFonts w:hint="eastAsia" w:ascii="仿宋" w:hAnsi="仿宋" w:eastAsia="仿宋" w:cs="Times New Roman"/>
          <w:bCs/>
          <w:i w:val="0"/>
          <w:iCs w:val="0"/>
          <w:caps w:val="0"/>
          <w:color w:val="000000"/>
          <w:spacing w:val="0"/>
          <w:kern w:val="2"/>
          <w:sz w:val="28"/>
          <w:szCs w:val="28"/>
          <w:shd w:val="clear" w:fill="auto"/>
          <w:lang w:val="en-US" w:eastAsia="zh-CN" w:bidi="ar-SA"/>
        </w:rPr>
        <w:t>出现下列情形之一的，</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评标</w:t>
      </w:r>
      <w:r>
        <w:rPr>
          <w:rFonts w:hint="eastAsia" w:ascii="仿宋" w:hAnsi="仿宋" w:eastAsia="仿宋" w:cs="Times New Roman"/>
          <w:bCs/>
          <w:i w:val="0"/>
          <w:iCs w:val="0"/>
          <w:caps w:val="0"/>
          <w:color w:val="000000"/>
          <w:spacing w:val="0"/>
          <w:kern w:val="2"/>
          <w:sz w:val="28"/>
          <w:szCs w:val="28"/>
          <w:shd w:val="clear" w:fill="auto"/>
          <w:lang w:val="en-US" w:eastAsia="zh-CN" w:bidi="ar-SA"/>
        </w:rPr>
        <w:t>委员会将</w:t>
      </w:r>
      <w:r>
        <w:rPr>
          <w:rFonts w:hint="eastAsia" w:ascii="仿宋" w:hAnsi="仿宋" w:eastAsia="仿宋" w:cs="仿宋"/>
          <w:kern w:val="2"/>
          <w:sz w:val="28"/>
          <w:szCs w:val="28"/>
          <w:lang w:val="en-US" w:eastAsia="zh-CN" w:bidi="ar-SA"/>
        </w:rPr>
        <w:t>对相关供应商进行询标</w:t>
      </w:r>
      <w:r>
        <w:rPr>
          <w:rFonts w:hint="eastAsia" w:ascii="仿宋" w:hAnsi="仿宋" w:eastAsia="仿宋" w:cs="Times New Roman"/>
          <w:bCs/>
          <w:i w:val="0"/>
          <w:iCs w:val="0"/>
          <w:caps w:val="0"/>
          <w:color w:val="000000"/>
          <w:spacing w:val="0"/>
          <w:kern w:val="2"/>
          <w:sz w:val="28"/>
          <w:szCs w:val="28"/>
          <w:shd w:val="clear" w:fill="auto"/>
          <w:lang w:val="en-US" w:eastAsia="zh-CN" w:bidi="ar-SA"/>
        </w:rPr>
        <w:t>：</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评标</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委员会认为供应商报价过低，有可能影响产品质量或者不能诚信履约的情形。</w:t>
      </w:r>
    </w:p>
    <w:p w14:paraId="003368B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评</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标</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委员会发起询标后，</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投标人必须</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在评审现场合理的时间内提供书面说明及必要的证明材料，对投标价格作出解释。书面说明、证明材料主要是项目具体成本测算等与报价合理性相关的说明、材料。</w:t>
      </w:r>
    </w:p>
    <w:p w14:paraId="1AD5A653">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（八）串通投标认定</w:t>
      </w:r>
    </w:p>
    <w:p w14:paraId="1F36E80B">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有下列情形之一的，视为投标人串通投标，其投标无效：</w:t>
      </w:r>
    </w:p>
    <w:p w14:paraId="4C88F246">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1.不同投标人的投标文件由同一单位或者个人编制或同一I</w:t>
      </w:r>
      <w:r>
        <w:rPr>
          <w:rFonts w:ascii="仿宋" w:hAnsi="仿宋" w:eastAsia="仿宋" w:cs="Times New Roman"/>
          <w:bCs/>
          <w:color w:val="000000"/>
          <w:sz w:val="28"/>
          <w:szCs w:val="28"/>
        </w:rPr>
        <w:t>P</w:t>
      </w:r>
      <w:r>
        <w:rPr>
          <w:rFonts w:hint="eastAsia" w:ascii="仿宋" w:hAnsi="仿宋" w:eastAsia="仿宋" w:cs="Times New Roman"/>
          <w:bCs/>
          <w:color w:val="000000"/>
          <w:sz w:val="28"/>
          <w:szCs w:val="28"/>
        </w:rPr>
        <w:t>地址上传；</w:t>
      </w:r>
    </w:p>
    <w:p w14:paraId="37CC0BC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2.不同投标人委托同一单位或者个人办理投标事宜；</w:t>
      </w:r>
    </w:p>
    <w:p w14:paraId="0E85313A">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3.不同投标人的投标文件载明的项目管理成员或者联系人员为同一人；</w:t>
      </w:r>
    </w:p>
    <w:p w14:paraId="1E66FAFB">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4.不同投标人的投标文件异常一致或者投标报价呈规律性差异；</w:t>
      </w:r>
    </w:p>
    <w:p w14:paraId="7C0D0AB2">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5.不同投标人的投标文件相互混装；</w:t>
      </w:r>
    </w:p>
    <w:p w14:paraId="08083160">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（九）投标无效的情形</w:t>
      </w:r>
    </w:p>
    <w:p w14:paraId="045A431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在评审时，如发现下列情形之一的，投标文件将被视为无效：</w:t>
      </w:r>
    </w:p>
    <w:p w14:paraId="6F46F1C4">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1.投标人未能提供合格的资格文件、投标有效期不足的；</w:t>
      </w:r>
    </w:p>
    <w:p w14:paraId="3DD61FD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2.投标人被列入失信被执行人、重大税收违法案件当事人名单、政府采购严重违法失信行为记录名单的；</w:t>
      </w:r>
    </w:p>
    <w:p w14:paraId="68517CD3">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3.仅提供备份投标文件的；</w:t>
      </w:r>
    </w:p>
    <w:p w14:paraId="1A82AFD8">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4.电子投标文件解密失败，且未在规定时间内提交备份投标文件的；</w:t>
      </w:r>
    </w:p>
    <w:p w14:paraId="69773E20">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5.电子投标文件解密失败，虽然在规定时间内提交了备份投标文件，但是备份投标文件无法导入或者无法读取或者不符合本招标文件和电子交易平台要求的；</w:t>
      </w:r>
    </w:p>
    <w:p w14:paraId="683391CD">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6.投标文件未按招标文件要求签署、盖章的；</w:t>
      </w:r>
    </w:p>
    <w:p w14:paraId="1755FCB2">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7.与招标文件有重大偏离、未满足带“▲”号实质性指标的投标文件；</w:t>
      </w:r>
    </w:p>
    <w:p w14:paraId="470F64A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color w:val="000000"/>
          <w:sz w:val="28"/>
          <w:szCs w:val="28"/>
        </w:rPr>
      </w:pPr>
      <w:r>
        <w:rPr>
          <w:rFonts w:hint="eastAsia" w:ascii="仿宋" w:hAnsi="仿宋" w:eastAsia="仿宋" w:cs="Times New Roman"/>
          <w:bCs/>
          <w:color w:val="000000"/>
          <w:sz w:val="28"/>
          <w:szCs w:val="28"/>
        </w:rPr>
        <w:t>8.招标需求中要求提供的产品属于节能清单中政府强制采购节能产品品目的，投标人未提供该清单内产品的；</w:t>
      </w:r>
    </w:p>
    <w:p w14:paraId="3B67CAC4">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default" w:ascii="仿宋" w:hAnsi="仿宋" w:eastAsia="仿宋" w:cs="Times New Roman"/>
          <w:bCs/>
          <w:color w:val="000000"/>
          <w:sz w:val="28"/>
          <w:szCs w:val="28"/>
          <w:lang w:val="en-US" w:eastAsia="zh-CN"/>
        </w:rPr>
      </w:pPr>
      <w:r>
        <w:rPr>
          <w:rFonts w:hint="eastAsia" w:ascii="仿宋" w:hAnsi="仿宋" w:eastAsia="仿宋" w:cs="Times New Roman"/>
          <w:bCs/>
          <w:color w:val="000000"/>
          <w:sz w:val="28"/>
          <w:szCs w:val="28"/>
          <w:lang w:val="en-US" w:eastAsia="zh-CN"/>
        </w:rPr>
        <w:t>9.评标委员会根据本章“二、投标文件的编制”“（七）投标报价”第6点规定情形发起询标后，投标人不提供书面说明、证明材料，或者评标委员会认为其提供的书面说明、证明材料不能证明其报价合理性的；</w:t>
      </w:r>
    </w:p>
    <w:p w14:paraId="77561250">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lang w:val="en-US" w:eastAsia="zh-CN"/>
        </w:rPr>
        <w:t>10</w:t>
      </w:r>
      <w:r>
        <w:rPr>
          <w:rFonts w:ascii="仿宋" w:hAnsi="仿宋" w:eastAsia="仿宋" w:cs="Times New Roman"/>
          <w:bCs/>
          <w:color w:val="000000"/>
          <w:sz w:val="28"/>
          <w:szCs w:val="28"/>
        </w:rPr>
        <w:t>.</w:t>
      </w:r>
      <w:r>
        <w:rPr>
          <w:rFonts w:hint="eastAsia" w:ascii="仿宋" w:hAnsi="仿宋" w:eastAsia="仿宋" w:cs="Times New Roman"/>
          <w:bCs/>
          <w:color w:val="000000"/>
          <w:sz w:val="28"/>
          <w:szCs w:val="28"/>
        </w:rPr>
        <w:t>未提供样品或提供样品不满足采购需求实质性条件的；</w:t>
      </w:r>
    </w:p>
    <w:p w14:paraId="1341F99C">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ascii="仿宋" w:hAnsi="仿宋" w:eastAsia="仿宋" w:cs="Times New Roman"/>
          <w:bCs/>
          <w:color w:val="000000"/>
          <w:sz w:val="28"/>
          <w:szCs w:val="28"/>
        </w:rPr>
        <w:t>1</w:t>
      </w:r>
      <w:r>
        <w:rPr>
          <w:rFonts w:hint="eastAsia" w:ascii="仿宋" w:hAnsi="仿宋" w:eastAsia="仿宋" w:cs="Times New Roman"/>
          <w:bCs/>
          <w:color w:val="000000"/>
          <w:sz w:val="28"/>
          <w:szCs w:val="28"/>
          <w:lang w:val="en-US" w:eastAsia="zh-CN"/>
        </w:rPr>
        <w:t>1</w:t>
      </w:r>
      <w:r>
        <w:rPr>
          <w:rFonts w:hint="eastAsia" w:ascii="仿宋" w:hAnsi="仿宋" w:eastAsia="仿宋" w:cs="Times New Roman"/>
          <w:bCs/>
          <w:color w:val="000000"/>
          <w:sz w:val="28"/>
          <w:szCs w:val="28"/>
        </w:rPr>
        <w:t>.投标报价超出招标文件中规定的预算金额或者最高限价的；</w:t>
      </w:r>
    </w:p>
    <w:p w14:paraId="4778331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w:t>
      </w:r>
      <w:r>
        <w:rPr>
          <w:rFonts w:hint="eastAsia" w:ascii="仿宋" w:hAnsi="仿宋" w:eastAsia="仿宋" w:cs="Times New Roman"/>
          <w:bCs/>
          <w:color w:val="000000"/>
          <w:sz w:val="28"/>
          <w:szCs w:val="28"/>
          <w:lang w:val="en-US" w:eastAsia="zh-CN"/>
        </w:rPr>
        <w:t>2</w:t>
      </w:r>
      <w:r>
        <w:rPr>
          <w:rFonts w:hint="eastAsia" w:ascii="仿宋" w:hAnsi="仿宋" w:eastAsia="仿宋" w:cs="Times New Roman"/>
          <w:bCs/>
          <w:color w:val="000000"/>
          <w:sz w:val="28"/>
          <w:szCs w:val="28"/>
        </w:rPr>
        <w:t>.标项以赠送方式投标的、对一个标项提供两个投标方案或两个报价的；</w:t>
      </w:r>
    </w:p>
    <w:p w14:paraId="22B554A2">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w:t>
      </w:r>
      <w:r>
        <w:rPr>
          <w:rFonts w:hint="eastAsia" w:ascii="仿宋" w:hAnsi="仿宋" w:eastAsia="仿宋" w:cs="Times New Roman"/>
          <w:bCs/>
          <w:color w:val="000000"/>
          <w:sz w:val="28"/>
          <w:szCs w:val="28"/>
          <w:lang w:val="en-US" w:eastAsia="zh-CN"/>
        </w:rPr>
        <w:t>3</w:t>
      </w:r>
      <w:r>
        <w:rPr>
          <w:rFonts w:hint="eastAsia" w:ascii="仿宋" w:hAnsi="仿宋" w:eastAsia="仿宋" w:cs="Times New Roman"/>
          <w:bCs/>
          <w:color w:val="000000"/>
          <w:sz w:val="28"/>
          <w:szCs w:val="28"/>
        </w:rPr>
        <w:t>.评标委员会认为投标人的报价明显低于其他通过符合性审查投标人的报价，有可能影响产品质量或者不能诚信履约，且不能证明其报价合理性的；</w:t>
      </w:r>
    </w:p>
    <w:p w14:paraId="474E3ECE">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w:t>
      </w:r>
      <w:r>
        <w:rPr>
          <w:rFonts w:hint="eastAsia" w:ascii="仿宋" w:hAnsi="仿宋" w:eastAsia="仿宋" w:cs="Times New Roman"/>
          <w:bCs/>
          <w:color w:val="000000"/>
          <w:sz w:val="28"/>
          <w:szCs w:val="28"/>
          <w:lang w:val="en-US" w:eastAsia="zh-CN"/>
        </w:rPr>
        <w:t>4</w:t>
      </w:r>
      <w:r>
        <w:rPr>
          <w:rFonts w:hint="eastAsia" w:ascii="仿宋" w:hAnsi="仿宋" w:eastAsia="仿宋" w:cs="Times New Roman"/>
          <w:bCs/>
          <w:color w:val="000000"/>
          <w:sz w:val="28"/>
          <w:szCs w:val="28"/>
        </w:rPr>
        <w:t>.投标人不接受报价文件中修正后的报价的；</w:t>
      </w:r>
    </w:p>
    <w:p w14:paraId="3990A85D">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w:t>
      </w:r>
      <w:r>
        <w:rPr>
          <w:rFonts w:hint="eastAsia" w:ascii="仿宋" w:hAnsi="仿宋" w:eastAsia="仿宋" w:cs="Times New Roman"/>
          <w:bCs/>
          <w:color w:val="000000"/>
          <w:sz w:val="28"/>
          <w:szCs w:val="28"/>
          <w:lang w:val="en-US" w:eastAsia="zh-CN"/>
        </w:rPr>
        <w:t>5</w:t>
      </w:r>
      <w:r>
        <w:rPr>
          <w:rFonts w:hint="eastAsia" w:ascii="仿宋" w:hAnsi="仿宋" w:eastAsia="仿宋" w:cs="Times New Roman"/>
          <w:bCs/>
          <w:color w:val="000000"/>
          <w:sz w:val="28"/>
          <w:szCs w:val="28"/>
        </w:rPr>
        <w:t>.未按本章“二、投标文件的编制”第七点投标报价要求报价的；</w:t>
      </w:r>
    </w:p>
    <w:p w14:paraId="1FD9AF79">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w:t>
      </w:r>
      <w:r>
        <w:rPr>
          <w:rFonts w:hint="eastAsia" w:ascii="仿宋" w:hAnsi="仿宋" w:eastAsia="仿宋" w:cs="Times New Roman"/>
          <w:bCs/>
          <w:color w:val="000000"/>
          <w:sz w:val="28"/>
          <w:szCs w:val="28"/>
          <w:lang w:val="en-US" w:eastAsia="zh-CN"/>
        </w:rPr>
        <w:t>6</w:t>
      </w:r>
      <w:r>
        <w:rPr>
          <w:rFonts w:hint="eastAsia" w:ascii="仿宋" w:hAnsi="仿宋" w:eastAsia="仿宋" w:cs="Times New Roman"/>
          <w:bCs/>
          <w:color w:val="000000"/>
          <w:sz w:val="28"/>
          <w:szCs w:val="28"/>
        </w:rPr>
        <w:t>.投标文件含有采购人不能接受的附加条件的；</w:t>
      </w:r>
    </w:p>
    <w:p w14:paraId="2974A865">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w:t>
      </w:r>
      <w:r>
        <w:rPr>
          <w:rFonts w:hint="eastAsia" w:ascii="仿宋" w:hAnsi="仿宋" w:eastAsia="仿宋" w:cs="Times New Roman"/>
          <w:bCs/>
          <w:color w:val="000000"/>
          <w:sz w:val="28"/>
          <w:szCs w:val="28"/>
          <w:lang w:val="en-US" w:eastAsia="zh-CN"/>
        </w:rPr>
        <w:t>7</w:t>
      </w:r>
      <w:r>
        <w:rPr>
          <w:rFonts w:hint="eastAsia" w:ascii="仿宋" w:hAnsi="仿宋" w:eastAsia="仿宋" w:cs="Times New Roman"/>
          <w:bCs/>
          <w:color w:val="000000"/>
          <w:sz w:val="28"/>
          <w:szCs w:val="28"/>
        </w:rPr>
        <w:t>.投标人被视为串通投标的；</w:t>
      </w:r>
    </w:p>
    <w:p w14:paraId="29997BF3">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rPr>
        <w:t>1</w:t>
      </w:r>
      <w:r>
        <w:rPr>
          <w:rFonts w:hint="eastAsia" w:ascii="仿宋" w:hAnsi="仿宋" w:eastAsia="仿宋" w:cs="Times New Roman"/>
          <w:bCs/>
          <w:i w:val="0"/>
          <w:iCs w:val="0"/>
          <w:caps w:val="0"/>
          <w:color w:val="000000"/>
          <w:spacing w:val="0"/>
          <w:sz w:val="28"/>
          <w:szCs w:val="28"/>
          <w:lang w:val="en-US" w:eastAsia="zh-CN"/>
        </w:rPr>
        <w:t>8</w:t>
      </w:r>
      <w:r>
        <w:rPr>
          <w:rFonts w:hint="eastAsia" w:ascii="仿宋" w:hAnsi="仿宋" w:eastAsia="仿宋" w:cs="Times New Roman"/>
          <w:bCs/>
          <w:i w:val="0"/>
          <w:iCs w:val="0"/>
          <w:caps w:val="0"/>
          <w:color w:val="000000"/>
          <w:spacing w:val="0"/>
          <w:sz w:val="28"/>
          <w:szCs w:val="28"/>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27428FF9">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lang w:val="en-US" w:eastAsia="zh-CN"/>
        </w:rPr>
        <w:t>19</w:t>
      </w:r>
      <w:r>
        <w:rPr>
          <w:rFonts w:hint="eastAsia" w:ascii="仿宋" w:hAnsi="仿宋" w:eastAsia="仿宋" w:cs="Times New Roman"/>
          <w:bCs/>
          <w:i w:val="0"/>
          <w:iCs w:val="0"/>
          <w:caps w:val="0"/>
          <w:color w:val="000000"/>
          <w:spacing w:val="0"/>
          <w:sz w:val="28"/>
          <w:szCs w:val="28"/>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1534C280">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lang w:val="en-US" w:eastAsia="zh-CN"/>
        </w:rPr>
        <w:t>20</w:t>
      </w:r>
      <w:r>
        <w:rPr>
          <w:rFonts w:hint="eastAsia" w:ascii="仿宋" w:hAnsi="仿宋" w:eastAsia="仿宋" w:cs="Times New Roman"/>
          <w:bCs/>
          <w:i w:val="0"/>
          <w:iCs w:val="0"/>
          <w:caps w:val="0"/>
          <w:color w:val="000000"/>
          <w:spacing w:val="0"/>
          <w:sz w:val="28"/>
          <w:szCs w:val="28"/>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1C0768A2">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color w:val="000000"/>
          <w:sz w:val="28"/>
          <w:szCs w:val="28"/>
          <w:lang w:eastAsia="zh-CN"/>
        </w:rPr>
      </w:pPr>
      <w:r>
        <w:rPr>
          <w:rFonts w:hint="eastAsia" w:ascii="仿宋" w:hAnsi="仿宋" w:eastAsia="仿宋" w:cs="Times New Roman"/>
          <w:bCs/>
          <w:i w:val="0"/>
          <w:iCs w:val="0"/>
          <w:caps w:val="0"/>
          <w:color w:val="000000"/>
          <w:spacing w:val="0"/>
          <w:sz w:val="28"/>
          <w:szCs w:val="28"/>
          <w:lang w:val="en-US" w:eastAsia="zh-CN"/>
        </w:rPr>
        <w:t>21</w:t>
      </w:r>
      <w:r>
        <w:rPr>
          <w:rFonts w:hint="eastAsia" w:ascii="仿宋" w:hAnsi="仿宋" w:eastAsia="仿宋" w:cs="Times New Roman"/>
          <w:bCs/>
          <w:i w:val="0"/>
          <w:iCs w:val="0"/>
          <w:caps w:val="0"/>
          <w:color w:val="000000"/>
          <w:spacing w:val="0"/>
          <w:sz w:val="28"/>
          <w:szCs w:val="28"/>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lang w:eastAsia="zh-CN"/>
        </w:rPr>
        <w:t>；</w:t>
      </w:r>
    </w:p>
    <w:p w14:paraId="4CDCC909">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lang w:val="en-US" w:eastAsia="zh-CN"/>
        </w:rPr>
        <w:t>22</w:t>
      </w:r>
      <w:r>
        <w:rPr>
          <w:rFonts w:hint="eastAsia" w:ascii="仿宋" w:hAnsi="仿宋" w:eastAsia="仿宋" w:cs="Times New Roman"/>
          <w:bCs/>
          <w:color w:val="000000"/>
          <w:sz w:val="28"/>
          <w:szCs w:val="28"/>
        </w:rPr>
        <w:t>.不符合法律、法规和本招标文件规定的其他实质性要求的。</w:t>
      </w:r>
    </w:p>
    <w:p w14:paraId="39671FA9">
      <w:pPr>
        <w:keepNext w:val="0"/>
        <w:keepLines w:val="0"/>
        <w:pageBreakBefore w:val="0"/>
        <w:widowControl w:val="0"/>
        <w:kinsoku/>
        <w:wordWrap/>
        <w:overflowPunct/>
        <w:topLinePunct w:val="0"/>
        <w:autoSpaceDE/>
        <w:autoSpaceDN/>
        <w:bidi w:val="0"/>
        <w:snapToGrid w:val="0"/>
        <w:spacing w:beforeLines="0" w:after="156" w:afterLines="50" w:line="460" w:lineRule="exact"/>
        <w:ind w:left="479" w:leftChars="228"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（十）错误修正</w:t>
      </w:r>
    </w:p>
    <w:p w14:paraId="097A3A12">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电子交易平台客户端里开标一览表录入的投标报价信息与扫描上传的报价文件不一致的，以扫描上传的报价文件为准。</w:t>
      </w:r>
    </w:p>
    <w:p w14:paraId="3E47BD72">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投标文件报价出现前后不一致的，除招标文件另有规定外，按照下列规定修正：</w:t>
      </w:r>
    </w:p>
    <w:p w14:paraId="5DA77AA8">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1.投标文件中开标一览表内容与投标文件中相应内容不一致的，以开标一览表为准；</w:t>
      </w:r>
    </w:p>
    <w:p w14:paraId="24069276">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2.大写金额和小写金额不一致的，以大写金额为准；</w:t>
      </w:r>
    </w:p>
    <w:p w14:paraId="56E06999">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3.单价金额小数点或者百分比有明显错位的，以开标一览表的总价为准，并修改单价；</w:t>
      </w:r>
    </w:p>
    <w:p w14:paraId="16829D6C">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4.总价金额与按单价汇总金额不一致的，以单价金额计算结果为准。</w:t>
      </w:r>
    </w:p>
    <w:p w14:paraId="1A9F8C3C">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Times New Roman"/>
          <w:bCs/>
          <w:color w:val="000000"/>
          <w:sz w:val="28"/>
          <w:szCs w:val="28"/>
        </w:rPr>
      </w:pPr>
      <w:r>
        <w:rPr>
          <w:rFonts w:hint="eastAsia" w:ascii="仿宋" w:hAnsi="仿宋" w:eastAsia="仿宋" w:cs="Times New Roman"/>
          <w:b/>
          <w:bCs/>
          <w:color w:val="000000"/>
          <w:sz w:val="28"/>
          <w:szCs w:val="28"/>
        </w:rPr>
        <w:t>同时出现两种以上不一致的，按照前款规定的顺序修正。修正后的报价按照经投标人加盖公章后产生约束力，投标人不确认的，其投标无效。</w:t>
      </w:r>
    </w:p>
    <w:p w14:paraId="4F02144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（十一）采购过程中的异常情况及处理措施</w:t>
      </w:r>
    </w:p>
    <w:p w14:paraId="0D8242A3">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采购过程中出现以下情形，导致电子交易平台无法正常运行，或者无法保证电子交易的公平、公正和安全时，招标方可中止电子交易活动：</w:t>
      </w:r>
    </w:p>
    <w:p w14:paraId="12DBACD6">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1.电子交易平台发生故障而无法登录访问的；</w:t>
      </w:r>
    </w:p>
    <w:p w14:paraId="495F2AEF">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2.电子交易平台应用或数据库出现错误，不能进行正常操作的；</w:t>
      </w:r>
    </w:p>
    <w:p w14:paraId="5CEEA7B4">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3.电子交易平台发现严重安全漏洞，有潜在泄密危险的；</w:t>
      </w:r>
    </w:p>
    <w:p w14:paraId="7130D7F3">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4.病毒发作导致不能进行正常操作的；</w:t>
      </w:r>
    </w:p>
    <w:p w14:paraId="7DCDE472">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5.其他无法保证电子交易的公平、公正和安全的情况。</w:t>
      </w:r>
    </w:p>
    <w:p w14:paraId="04096A74">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Cs/>
          <w:color w:val="000000"/>
          <w:sz w:val="28"/>
          <w:szCs w:val="28"/>
        </w:rPr>
      </w:pPr>
      <w:r>
        <w:rPr>
          <w:rFonts w:hint="eastAsia" w:ascii="仿宋" w:hAnsi="仿宋" w:eastAsia="仿宋" w:cs="Times New Roman"/>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5BE21138">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三、开、评标程序及评标委员会的评审程序</w:t>
      </w:r>
    </w:p>
    <w:p w14:paraId="467281FC">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（一）组织开标</w:t>
      </w:r>
    </w:p>
    <w:p w14:paraId="1B9495D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招标方将按照招标文件规定的时间、地点和程序组织开标，各投标人授权代表及相关人员</w:t>
      </w:r>
      <w:r>
        <w:rPr>
          <w:rFonts w:hint="eastAsia" w:ascii="仿宋" w:hAnsi="仿宋" w:eastAsia="仿宋" w:cs="Times New Roman"/>
          <w:b/>
          <w:bCs/>
          <w:color w:val="000000"/>
          <w:kern w:val="2"/>
          <w:sz w:val="28"/>
          <w:szCs w:val="28"/>
          <w:lang w:val="en-US" w:eastAsia="zh-CN" w:bidi="ar-SA"/>
        </w:rPr>
        <w:t>均应当准时在线参加</w:t>
      </w:r>
      <w:r>
        <w:rPr>
          <w:rFonts w:hint="eastAsia" w:ascii="仿宋" w:hAnsi="仿宋" w:eastAsia="仿宋" w:cs="Times New Roman"/>
          <w:bCs/>
          <w:color w:val="000000"/>
          <w:kern w:val="2"/>
          <w:sz w:val="28"/>
          <w:szCs w:val="28"/>
          <w:lang w:val="en-US" w:eastAsia="zh-CN" w:bidi="ar-SA"/>
        </w:rPr>
        <w:t>，无关人员不得进入开标现场。</w:t>
      </w:r>
      <w:r>
        <w:rPr>
          <w:rFonts w:hint="eastAsia" w:ascii="仿宋" w:hAnsi="仿宋" w:eastAsia="仿宋" w:cs="Times New Roman"/>
          <w:b/>
          <w:bCs/>
          <w:color w:val="000000"/>
          <w:kern w:val="2"/>
          <w:sz w:val="28"/>
          <w:szCs w:val="28"/>
          <w:lang w:val="en-US" w:eastAsia="zh-CN" w:bidi="ar-SA"/>
        </w:rPr>
        <w:t>投标人如未准时在线参加的</w:t>
      </w:r>
      <w:r>
        <w:rPr>
          <w:rFonts w:hint="eastAsia" w:ascii="仿宋" w:hAnsi="仿宋" w:eastAsia="仿宋" w:cs="Times New Roman"/>
          <w:bCs/>
          <w:color w:val="000000"/>
          <w:kern w:val="2"/>
          <w:sz w:val="28"/>
          <w:szCs w:val="28"/>
          <w:lang w:val="en-US" w:eastAsia="zh-CN" w:bidi="ar-SA"/>
        </w:rPr>
        <w:t>，事后不得对采购相关人员、开标过程和开标结果提出异议。</w:t>
      </w:r>
    </w:p>
    <w:p w14:paraId="4106034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 落实工作场地、设施，检查录音录像采集设备运行情况，验证电子交易平台是否能正常登录，并开启直播（如直播信号出现问题，不影响项目开标程序）。</w:t>
      </w:r>
    </w:p>
    <w:p w14:paraId="0036BF0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 开标由招标方主持，主持人介绍开标现场的人员情况，宣读递交投标文件的投标人名单、递交备份投标文件的投标人名单、开标纪律、应当回避的情形等注意事项。</w:t>
      </w:r>
    </w:p>
    <w:p w14:paraId="7FEC4531">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3.投标截止时，电子交易平台自动提取所有电子投标文件。招标方点击[开始解密]按钮后，投标人可以在线解密，解密时限为30分钟。</w:t>
      </w:r>
    </w:p>
    <w:p w14:paraId="59E6C80B">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49059E59">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解密时限内未完成解密且按规定提供了备份投标文件的，招标方将在开标直播间拆封其备份投标文件，并导入电子交易平台。</w:t>
      </w:r>
    </w:p>
    <w:p w14:paraId="2403C2A2">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5.评标委员会在商务和技术评审结束后，主持人通过电子交易平台宣告商务和技术评审无效投标人名称及理由，有效投标人的商务和技术得分情况。</w:t>
      </w:r>
    </w:p>
    <w:p w14:paraId="7DF3F20C">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6.招标方在电子交易平台开启投标人的报价文件信息，投标人对报价信息进行确认。投标人对报价信息不予确认的不影响后续评标过程。</w:t>
      </w:r>
    </w:p>
    <w:p w14:paraId="4101108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6C3E7FFB">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8.在电子交易平台上公布评审结果。</w:t>
      </w:r>
    </w:p>
    <w:p w14:paraId="5953D9EF">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特别说明：政采云公司如对电子化开标及评审程序有调整的，按调整后的程序操作。</w:t>
      </w:r>
    </w:p>
    <w:p w14:paraId="685B1BE2">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（二）组织评标程序</w:t>
      </w:r>
    </w:p>
    <w:p w14:paraId="0697B40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招标方将按照招标文件规定的时间、地点和程序组织评标，各评审专家及相关人员应参加评审活动并接受核验、签到，无关人员不得进入评审现场。</w:t>
      </w:r>
    </w:p>
    <w:p w14:paraId="67982C9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1.开启开标场地录音录像采集设备，并确保正常运行。</w:t>
      </w:r>
    </w:p>
    <w:p w14:paraId="11154E8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2.按规定统一收缴、保存评标现场相关人员通讯工具。</w:t>
      </w:r>
    </w:p>
    <w:p w14:paraId="3BEA79C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3.介绍评审现场的人员情况，宣布评审工作纪律，告知评审人员应当回避情形；组织推选评标委员会组长。</w:t>
      </w:r>
    </w:p>
    <w:p w14:paraId="6B134B58">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4.宣读提交投标文件的供应商名单，组织评标委员会各位成员签订纸质形式的《政府采购评审人员廉洁自律承诺书》。</w:t>
      </w:r>
    </w:p>
    <w:p w14:paraId="44BCA7B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5.采购人可以在评标前说明项目背景和采购需求，说明内容不得含有歧视性、倾向性意见，不得超出招标文件所述范围。说明应当提交书面材料，并随招标文件一并存档。</w:t>
      </w:r>
    </w:p>
    <w:p w14:paraId="252AAD65">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1DF1A74">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7.采购人代表对投标人资格文件进行审查并</w:t>
      </w:r>
      <w:r>
        <w:rPr>
          <w:rFonts w:hint="eastAsia" w:ascii="仿宋" w:hAnsi="仿宋" w:eastAsia="仿宋" w:cs="Times New Roman"/>
          <w:color w:val="000000"/>
          <w:kern w:val="2"/>
          <w:sz w:val="28"/>
          <w:szCs w:val="28"/>
          <w:lang w:val="en-US" w:eastAsia="zh-CN" w:bidi="ar-SA"/>
        </w:rPr>
        <w:t>以开标当日为准</w:t>
      </w:r>
      <w:r>
        <w:rPr>
          <w:rFonts w:hint="eastAsia" w:ascii="仿宋" w:hAnsi="仿宋" w:eastAsia="仿宋" w:cs="Times New Roman"/>
          <w:bCs/>
          <w:color w:val="000000"/>
          <w:kern w:val="2"/>
          <w:sz w:val="28"/>
          <w:szCs w:val="28"/>
          <w:lang w:val="en-US" w:eastAsia="zh-CN" w:bidi="ar-SA"/>
        </w:rPr>
        <w:t>对投标人“信用中国”网站（www.creditchina.gov.cn）、中国政府采购网（www.ccgp.gov.cn）信用记录情况进行核实，资格不符合的，应组织相关投标人代表进行陈述、澄清或申辩。</w:t>
      </w:r>
    </w:p>
    <w:p w14:paraId="2225983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12EE78B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9.做好评审现场相关记录，协助评标委员会组长做好评审报告起草、有关内容电脑文字录入等工作，并要求评标委员会各成员签字确认。</w:t>
      </w:r>
    </w:p>
    <w:p w14:paraId="36844DC5">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10.评审结束后，招标方应对评标委员会各成员的专业水平、职业道德、遵纪守法等情况进行评价；同时按规定向评审专家发放评审费，并交还评审人员及其他现场相关人员的通讯工具。</w:t>
      </w:r>
    </w:p>
    <w:p w14:paraId="1782E60C">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11.招标方将在《中标公告》中，公开评标委员会对每个投标人的《评分明细》以及《得分汇总表》情况。</w:t>
      </w:r>
      <w:r>
        <w:rPr>
          <w:rFonts w:ascii="Calibri" w:hAnsi="Calibri" w:eastAsia="仿宋" w:cs="Calibri"/>
          <w:b/>
          <w:bCs/>
          <w:color w:val="000000"/>
          <w:kern w:val="2"/>
          <w:sz w:val="28"/>
          <w:szCs w:val="28"/>
          <w:lang w:val="en-US" w:eastAsia="zh-CN" w:bidi="ar-SA"/>
        </w:rPr>
        <w:t> </w:t>
      </w:r>
      <w:r>
        <w:rPr>
          <w:rFonts w:hint="eastAsia" w:ascii="仿宋" w:hAnsi="仿宋" w:eastAsia="仿宋" w:cs="Times New Roman"/>
          <w:b/>
          <w:bCs/>
          <w:color w:val="000000"/>
          <w:kern w:val="2"/>
          <w:sz w:val="28"/>
          <w:szCs w:val="28"/>
          <w:lang w:val="en-US" w:eastAsia="zh-CN" w:bidi="ar-SA"/>
        </w:rPr>
        <w:tab/>
      </w:r>
    </w:p>
    <w:p w14:paraId="06B0383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（三）评审程序</w:t>
      </w:r>
    </w:p>
    <w:p w14:paraId="72B878E8">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1.在评审专家中推选评标委员会组长。</w:t>
      </w:r>
    </w:p>
    <w:p w14:paraId="5842290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327BC1F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3.评审人员对各投标人投标文件的有效性、符合性、完整性和响应程度进行审查，确定是否对招标文件作出实质性响应。</w:t>
      </w:r>
    </w:p>
    <w:p w14:paraId="5F8CB62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4.评审人员按招标文件规定的评审方法和评审标准，依法独立对投标人投标文件进行评估、比较，并给予评价或打分，不受任何单位和个人的干预。</w:t>
      </w:r>
    </w:p>
    <w:p w14:paraId="7763919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752CBA4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9E9FF4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 xml:space="preserve">7.评标委员会根据评审汇总情况和招标文件规定确定中标候选供应商排序名单。 </w:t>
      </w:r>
    </w:p>
    <w:p w14:paraId="60F02F1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8.起草评审报告，所有评审人员须在评审报告上签字确认。</w:t>
      </w:r>
    </w:p>
    <w:p w14:paraId="53582673">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四、评审原则</w:t>
      </w:r>
    </w:p>
    <w:p w14:paraId="4CE7F53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C6075FB">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2CB0AFE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EB4A01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DF08A2">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非单一产品采购项目，采购人应当根据采购项目技术构成、产品价格比重等合理确定核心产品，并在招标文件中载明。多家投标人提供的核心产品品牌相同的，按前款规定处理。</w:t>
      </w:r>
    </w:p>
    <w:p w14:paraId="2BECEF3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D1B76">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五、确定中标供应商的原则</w:t>
      </w:r>
    </w:p>
    <w:p w14:paraId="55038A7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 1.项目由评标委员会根据第三章《评标办法与评分标准》规定提出中标候选人排序。</w:t>
      </w:r>
    </w:p>
    <w:p w14:paraId="5990CFA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
          <w:bCs/>
          <w:color w:val="FF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 xml:space="preserve"> </w:t>
      </w:r>
      <w:r>
        <w:rPr>
          <w:rFonts w:hint="eastAsia" w:ascii="仿宋" w:hAnsi="仿宋" w:eastAsia="仿宋" w:cs="Times New Roman"/>
          <w:color w:val="000000"/>
          <w:kern w:val="2"/>
          <w:sz w:val="28"/>
          <w:szCs w:val="28"/>
          <w:lang w:val="en-US" w:eastAsia="zh-CN" w:bidi="ar-SA"/>
        </w:rPr>
        <w:t>2.</w:t>
      </w:r>
      <w:r>
        <w:rPr>
          <w:rFonts w:hint="eastAsia" w:ascii="仿宋" w:hAnsi="仿宋" w:eastAsia="仿宋" w:cs="Times New Roman"/>
          <w:b/>
          <w:bCs/>
          <w:color w:val="FF0000"/>
          <w:kern w:val="2"/>
          <w:sz w:val="28"/>
          <w:szCs w:val="28"/>
          <w:lang w:val="en-US" w:eastAsia="zh-CN" w:bidi="ar-SA"/>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116F92F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kern w:val="2"/>
          <w:sz w:val="28"/>
          <w:szCs w:val="28"/>
          <w:lang w:val="en-US" w:eastAsia="zh-CN" w:bidi="ar-SA"/>
        </w:rPr>
        <w:t>。</w:t>
      </w:r>
    </w:p>
    <w:p w14:paraId="1885FBE4">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六、合同授予</w:t>
      </w:r>
    </w:p>
    <w:p w14:paraId="224C2079">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（一）签订合同</w:t>
      </w:r>
    </w:p>
    <w:p w14:paraId="62F1BDDE">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Times New Roman"/>
          <w:b/>
          <w:color w:val="000000"/>
          <w:sz w:val="28"/>
          <w:szCs w:val="28"/>
        </w:rPr>
      </w:pPr>
      <w:r>
        <w:rPr>
          <w:rFonts w:hint="eastAsia" w:ascii="仿宋" w:hAnsi="仿宋" w:eastAsia="仿宋" w:cs="Times New Roman"/>
          <w:b/>
          <w:color w:val="000000"/>
          <w:sz w:val="28"/>
          <w:szCs w:val="28"/>
        </w:rPr>
        <w:t>1.采购人与中标人应当在《中标通知书》发出之日起30日内签订政府采购合同。</w:t>
      </w:r>
    </w:p>
    <w:p w14:paraId="2F5B3675">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s="Times New Roman"/>
          <w:color w:val="000000"/>
          <w:sz w:val="28"/>
          <w:szCs w:val="28"/>
        </w:rPr>
      </w:pPr>
      <w:r>
        <w:rPr>
          <w:rFonts w:hint="eastAsia" w:ascii="仿宋" w:hAnsi="仿宋" w:eastAsia="仿宋" w:cs="Times New Roman"/>
          <w:color w:val="000000"/>
          <w:sz w:val="28"/>
          <w:szCs w:val="28"/>
        </w:rPr>
        <w:t>2.中标人拖延、拒签合同的,将被取消中标资格。</w:t>
      </w:r>
    </w:p>
    <w:p w14:paraId="2D25C792">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cs="Times New Roman"/>
          <w:b/>
          <w:color w:val="000000"/>
          <w:sz w:val="28"/>
          <w:szCs w:val="28"/>
        </w:rPr>
      </w:pPr>
      <w:r>
        <w:rPr>
          <w:rFonts w:hint="eastAsia" w:ascii="仿宋" w:hAnsi="仿宋" w:eastAsia="仿宋" w:cs="Times New Roman"/>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165FE52">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（二）履约保证金</w:t>
      </w:r>
    </w:p>
    <w:p w14:paraId="0634162A">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4A7F027">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2.按合同约定办理履约保证金退还手续。</w:t>
      </w:r>
    </w:p>
    <w:p w14:paraId="09B3DF67">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七、货款的结算</w:t>
      </w:r>
    </w:p>
    <w:p w14:paraId="0CCF89F8">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货款由采购人按</w:t>
      </w:r>
      <w:r>
        <w:rPr>
          <w:rFonts w:hint="eastAsia" w:ascii="仿宋" w:hAnsi="仿宋" w:eastAsia="仿宋" w:cs="Times New Roman"/>
          <w:bCs/>
          <w:color w:val="000000"/>
          <w:kern w:val="2"/>
          <w:sz w:val="28"/>
          <w:szCs w:val="28"/>
          <w:lang w:val="en-US" w:eastAsia="zh-CN" w:bidi="ar-SA"/>
        </w:rPr>
        <w:t>招标</w:t>
      </w:r>
      <w:r>
        <w:rPr>
          <w:rFonts w:hint="eastAsia" w:ascii="仿宋" w:hAnsi="仿宋" w:eastAsia="仿宋" w:cs="Times New Roman"/>
          <w:color w:val="000000"/>
          <w:kern w:val="2"/>
          <w:sz w:val="28"/>
          <w:szCs w:val="28"/>
          <w:lang w:val="en-US" w:eastAsia="zh-CN" w:bidi="ar-SA"/>
        </w:rPr>
        <w:t>文件规定的付款方式自行支付。纳入国库集中支付的，按照国库集中支付有关规定付款。</w:t>
      </w:r>
    </w:p>
    <w:p w14:paraId="3D99ED3A">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资金支付进度：采购人对于满足合同约定支付条件的，自收到发票后7个工作日内将资金支付到合同约定的供应商账户。迟延支付中小企业款项的，供应商可要求采购人支付逾期利息。</w:t>
      </w:r>
    </w:p>
    <w:p w14:paraId="492FBD35">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预付款：根据《中华人民共和国中小企业促进法》《保障中小企业款项支付条例》《浙江省财政厅关于进一步发挥政府采购政策功能全力推动经济稳进提质的通知》《</w:t>
      </w:r>
      <w:r>
        <w:rPr>
          <w:rFonts w:ascii="仿宋" w:hAnsi="仿宋" w:eastAsia="仿宋" w:cs="Times New Roman"/>
          <w:color w:val="000000"/>
          <w:kern w:val="2"/>
          <w:sz w:val="28"/>
          <w:szCs w:val="28"/>
          <w:lang w:val="en-US" w:eastAsia="zh-CN" w:bidi="ar-SA"/>
        </w:rPr>
        <w:t>浙江省财政厅关于进一步加大政府采购支持中小企业力度助力扎实稳住经济的通知</w:t>
      </w:r>
      <w:r>
        <w:rPr>
          <w:rFonts w:hint="eastAsia" w:ascii="仿宋" w:hAnsi="仿宋" w:eastAsia="仿宋" w:cs="Times New Roman"/>
          <w:color w:val="000000"/>
          <w:kern w:val="2"/>
          <w:sz w:val="28"/>
          <w:szCs w:val="28"/>
          <w:lang w:val="en-US" w:eastAsia="zh-CN" w:bidi="ar-SA"/>
        </w:rPr>
        <w:t>》等相关规范，对预付款支付要求如下：</w:t>
      </w:r>
    </w:p>
    <w:p w14:paraId="3C958A1E">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1.对中小企业合同预付款比例原则上不低于合同金额的40％，不高于合同金额的70%；</w:t>
      </w:r>
    </w:p>
    <w:p w14:paraId="180EA254">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2.项目分年安排预算的，每年预付款比例不低于项目年度计划支付资金额的40％，不高于年度计划支付资金额的70%；</w:t>
      </w:r>
    </w:p>
    <w:p w14:paraId="7C3DC057">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3.采购项目实施以人工投入为主的，可适当降低预付款比例，但不得低于20%。</w:t>
      </w:r>
    </w:p>
    <w:p w14:paraId="7DB97AF9">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4.对供应商为大型企业的项目或者以人工投入为主且实行按月定期结算支付款项的项目，预付款可低于上述比例或者不约定预付款。</w:t>
      </w:r>
    </w:p>
    <w:p w14:paraId="6C8E28FC">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备注：在签订合同时，供应商明确表示无需预付款或者主动要求降低预付款比例的，采购单位可不适用前述预付款比例的规定。</w:t>
      </w:r>
    </w:p>
    <w:p w14:paraId="2A213AF8">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0"/>
          <w:sz w:val="36"/>
          <w:szCs w:val="36"/>
          <w:lang w:val="en-US" w:eastAsia="zh-CN" w:bidi="ar-SA"/>
        </w:rPr>
        <w:br w:type="page"/>
      </w:r>
      <w:bookmarkStart w:id="19" w:name="_Toc2834"/>
      <w:bookmarkStart w:id="20" w:name="_Toc496796637"/>
      <w:r>
        <w:rPr>
          <w:rFonts w:hint="eastAsia" w:ascii="宋体" w:hAnsi="宋体" w:eastAsia="宋体" w:cs="Times New Roman"/>
          <w:b/>
          <w:color w:val="000000"/>
          <w:kern w:val="2"/>
          <w:sz w:val="36"/>
          <w:szCs w:val="36"/>
          <w:lang w:val="en-US" w:eastAsia="zh-CN" w:bidi="ar-SA"/>
        </w:rPr>
        <w:t>第三章</w:t>
      </w:r>
      <w:bookmarkStart w:id="21" w:name="评标办法及评分标准"/>
      <w:r>
        <w:rPr>
          <w:rFonts w:hint="eastAsia" w:ascii="宋体" w:hAnsi="宋体" w:eastAsia="宋体" w:cs="Times New Roman"/>
          <w:b/>
          <w:color w:val="000000"/>
          <w:kern w:val="2"/>
          <w:sz w:val="36"/>
          <w:szCs w:val="36"/>
          <w:lang w:val="en-US" w:eastAsia="zh-CN" w:bidi="ar-SA"/>
        </w:rPr>
        <w:t xml:space="preserve"> 评标办法及评分标准</w:t>
      </w:r>
      <w:bookmarkEnd w:id="19"/>
      <w:bookmarkEnd w:id="20"/>
      <w:bookmarkEnd w:id="21"/>
    </w:p>
    <w:p w14:paraId="77E1E503">
      <w:pPr>
        <w:spacing w:before="156" w:beforeLines="50" w:after="156" w:afterLines="50" w:line="46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根据《中华人民共和国政府采购法》等有关法律法规，结合本项目的实际需求，制定本办法。</w:t>
      </w:r>
    </w:p>
    <w:p w14:paraId="2480CA10">
      <w:pPr>
        <w:spacing w:before="156" w:beforeLines="50" w:after="156" w:afterLines="50" w:line="460" w:lineRule="exact"/>
        <w:ind w:firstLine="590" w:firstLineChars="196"/>
        <w:rPr>
          <w:rFonts w:ascii="仿宋" w:hAnsi="仿宋" w:eastAsia="仿宋" w:cs="Times New Roman"/>
          <w:b/>
          <w:color w:val="000000"/>
          <w:sz w:val="30"/>
          <w:szCs w:val="30"/>
        </w:rPr>
      </w:pPr>
      <w:r>
        <w:rPr>
          <w:rFonts w:hint="eastAsia" w:ascii="仿宋" w:hAnsi="仿宋" w:eastAsia="仿宋" w:cs="Times New Roman"/>
          <w:b/>
          <w:color w:val="000000"/>
          <w:sz w:val="30"/>
          <w:szCs w:val="30"/>
        </w:rPr>
        <w:t>一、总则</w:t>
      </w:r>
    </w:p>
    <w:p w14:paraId="0F068B74">
      <w:pPr>
        <w:spacing w:before="156" w:beforeLines="50" w:after="156" w:afterLines="50" w:line="460" w:lineRule="exact"/>
        <w:ind w:firstLine="600" w:firstLineChars="200"/>
        <w:rPr>
          <w:rFonts w:hint="eastAsia" w:ascii="仿宋" w:hAnsi="仿宋" w:eastAsia="仿宋" w:cs="Times New Roman"/>
          <w:color w:val="000000"/>
          <w:sz w:val="30"/>
          <w:szCs w:val="30"/>
        </w:rPr>
      </w:pPr>
      <w:r>
        <w:rPr>
          <w:rFonts w:hint="eastAsia" w:ascii="仿宋" w:hAnsi="仿宋" w:eastAsia="仿宋" w:cs="Times New Roman"/>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4C376B0C">
      <w:pPr>
        <w:spacing w:before="156" w:beforeLines="50" w:after="156" w:afterLines="50" w:line="460" w:lineRule="exact"/>
        <w:ind w:firstLine="602" w:firstLineChars="200"/>
        <w:rPr>
          <w:rFonts w:hint="default" w:ascii="仿宋" w:hAnsi="仿宋" w:eastAsia="仿宋" w:cs="Times New Roman"/>
          <w:b/>
          <w:bCs/>
          <w:color w:val="FF0000"/>
          <w:sz w:val="30"/>
          <w:szCs w:val="30"/>
          <w:u w:val="single"/>
          <w:lang w:val="en-US" w:eastAsia="zh-CN"/>
        </w:rPr>
      </w:pPr>
      <w:r>
        <w:rPr>
          <w:rFonts w:hint="eastAsia" w:ascii="仿宋" w:hAnsi="仿宋" w:eastAsia="仿宋" w:cs="Times New Roman"/>
          <w:b/>
          <w:bCs/>
          <w:color w:val="FF0000"/>
          <w:sz w:val="30"/>
          <w:szCs w:val="30"/>
          <w:u w:val="single"/>
          <w:lang w:val="en-US" w:eastAsia="zh-CN"/>
        </w:rPr>
        <w:t>中标候选人：总得分排名第一的投标人</w:t>
      </w:r>
    </w:p>
    <w:p w14:paraId="23D643EC">
      <w:pPr>
        <w:spacing w:before="156" w:beforeLines="50" w:after="156" w:afterLines="50" w:line="460" w:lineRule="exact"/>
        <w:ind w:firstLine="590" w:firstLineChars="196"/>
        <w:rPr>
          <w:rFonts w:ascii="仿宋" w:hAnsi="仿宋" w:eastAsia="仿宋" w:cs="Times New Roman"/>
          <w:b/>
          <w:bCs/>
          <w:color w:val="000000"/>
          <w:sz w:val="30"/>
          <w:szCs w:val="30"/>
        </w:rPr>
      </w:pPr>
      <w:r>
        <w:rPr>
          <w:rFonts w:hint="eastAsia" w:ascii="仿宋" w:hAnsi="仿宋" w:eastAsia="仿宋" w:cs="Times New Roman"/>
          <w:b/>
          <w:bCs/>
          <w:color w:val="000000"/>
          <w:sz w:val="30"/>
          <w:szCs w:val="30"/>
        </w:rPr>
        <w:t>二、分值的计算</w:t>
      </w:r>
    </w:p>
    <w:p w14:paraId="5B68E087">
      <w:pPr>
        <w:spacing w:before="156" w:beforeLines="50" w:after="156" w:afterLines="50" w:line="46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技术、资信、商务及其他分按照评标委员会成员的独立评分结果汇总后的算术平均分计算，计算公式为：</w:t>
      </w:r>
    </w:p>
    <w:p w14:paraId="588DA5F4">
      <w:pPr>
        <w:spacing w:before="156" w:beforeLines="50" w:after="156" w:afterLines="50" w:line="460" w:lineRule="exact"/>
        <w:ind w:firstLine="495"/>
        <w:rPr>
          <w:rFonts w:ascii="仿宋" w:hAnsi="仿宋" w:eastAsia="仿宋" w:cs="Times New Roman"/>
          <w:color w:val="000000"/>
          <w:sz w:val="30"/>
          <w:szCs w:val="30"/>
        </w:rPr>
      </w:pPr>
      <w:r>
        <w:rPr>
          <w:rFonts w:hint="eastAsia" w:ascii="仿宋" w:hAnsi="仿宋" w:eastAsia="仿宋" w:cs="Times New Roman"/>
          <w:color w:val="000000"/>
          <w:sz w:val="30"/>
          <w:szCs w:val="30"/>
        </w:rPr>
        <w:t>技术、资信商务及其他分=评标委员会所有成员评分合计数/评标委员会组成人员数</w:t>
      </w:r>
    </w:p>
    <w:p w14:paraId="68F711FF">
      <w:pPr>
        <w:spacing w:before="156" w:beforeLines="50" w:after="156" w:afterLines="50" w:line="460" w:lineRule="exact"/>
        <w:ind w:firstLine="600" w:firstLineChars="200"/>
        <w:rPr>
          <w:rFonts w:ascii="仿宋" w:hAnsi="仿宋" w:eastAsia="仿宋" w:cs="Times New Roman"/>
          <w:bCs/>
          <w:color w:val="000000"/>
          <w:sz w:val="30"/>
          <w:szCs w:val="30"/>
        </w:rPr>
      </w:pPr>
      <w:r>
        <w:rPr>
          <w:rFonts w:hint="eastAsia" w:ascii="仿宋" w:hAnsi="仿宋" w:eastAsia="仿宋" w:cs="Times New Roman"/>
          <w:color w:val="000000"/>
          <w:sz w:val="30"/>
          <w:szCs w:val="30"/>
        </w:rPr>
        <w:t>投标人评标</w:t>
      </w:r>
      <w:r>
        <w:rPr>
          <w:rFonts w:hint="eastAsia" w:ascii="仿宋" w:hAnsi="仿宋" w:eastAsia="仿宋" w:cs="Times New Roman"/>
          <w:bCs/>
          <w:color w:val="000000"/>
          <w:sz w:val="30"/>
          <w:szCs w:val="30"/>
          <w:lang w:val="en-US" w:eastAsia="zh-CN"/>
        </w:rPr>
        <w:t>总</w:t>
      </w:r>
      <w:r>
        <w:rPr>
          <w:rFonts w:hint="eastAsia" w:ascii="仿宋" w:hAnsi="仿宋" w:eastAsia="仿宋" w:cs="Times New Roman"/>
          <w:bCs/>
          <w:color w:val="000000"/>
          <w:sz w:val="30"/>
          <w:szCs w:val="30"/>
        </w:rPr>
        <w:t>得分=价格分+(技术分+资信商务及其他分)</w:t>
      </w:r>
    </w:p>
    <w:p w14:paraId="738F3DF5">
      <w:pPr>
        <w:spacing w:before="156" w:beforeLines="50" w:after="156" w:afterLines="50" w:line="460" w:lineRule="exact"/>
        <w:ind w:firstLine="602" w:firstLineChars="200"/>
        <w:rPr>
          <w:rFonts w:ascii="仿宋" w:hAnsi="仿宋" w:eastAsia="仿宋" w:cs="Times New Roman"/>
          <w:b/>
          <w:bCs/>
          <w:color w:val="000000"/>
          <w:sz w:val="30"/>
          <w:szCs w:val="30"/>
        </w:rPr>
      </w:pPr>
    </w:p>
    <w:p w14:paraId="7B05F05D">
      <w:pPr>
        <w:spacing w:before="156" w:beforeLines="50" w:after="156" w:afterLines="50" w:line="460" w:lineRule="exact"/>
        <w:ind w:firstLine="602" w:firstLineChars="200"/>
        <w:rPr>
          <w:rFonts w:ascii="仿宋" w:hAnsi="仿宋" w:eastAsia="仿宋" w:cs="Times New Roman"/>
          <w:bCs/>
          <w:color w:val="000000"/>
          <w:sz w:val="30"/>
          <w:szCs w:val="30"/>
        </w:rPr>
      </w:pPr>
      <w:r>
        <w:rPr>
          <w:rFonts w:hint="eastAsia" w:ascii="仿宋" w:hAnsi="仿宋" w:eastAsia="仿宋" w:cs="Times New Roman"/>
          <w:b/>
          <w:bCs/>
          <w:color w:val="000000"/>
          <w:sz w:val="30"/>
          <w:szCs w:val="30"/>
        </w:rPr>
        <w:t>特别提醒：</w:t>
      </w:r>
      <w:r>
        <w:rPr>
          <w:rFonts w:hint="eastAsia" w:ascii="仿宋" w:hAnsi="仿宋" w:eastAsia="仿宋" w:cs="Times New Roman"/>
          <w:bCs/>
          <w:color w:val="000000"/>
          <w:sz w:val="30"/>
          <w:szCs w:val="30"/>
        </w:rPr>
        <w:t>评标委员会对每个投标人的评分明细以及得分汇总表情况在中标公告中公布。</w:t>
      </w:r>
    </w:p>
    <w:p w14:paraId="7BD83C77">
      <w:pPr>
        <w:spacing w:before="156" w:beforeLines="50" w:after="156" w:afterLines="50" w:line="460" w:lineRule="exact"/>
        <w:rPr>
          <w:rFonts w:ascii="仿宋" w:hAnsi="仿宋" w:eastAsia="宋体" w:cs="Times New Roman"/>
          <w:bCs/>
          <w:color w:val="000000"/>
          <w:sz w:val="30"/>
          <w:szCs w:val="30"/>
        </w:rPr>
      </w:pPr>
    </w:p>
    <w:p w14:paraId="6867AF7D">
      <w:pPr>
        <w:spacing w:before="156" w:beforeLines="50" w:after="156" w:afterLines="50" w:line="340" w:lineRule="exact"/>
        <w:rPr>
          <w:rFonts w:hint="eastAsia" w:ascii="仿宋_GB2312" w:hAnsi="宋体" w:eastAsia="仿宋_GB2312" w:cs="Times New Roman"/>
          <w:b/>
          <w:color w:val="000000"/>
          <w:sz w:val="32"/>
          <w:szCs w:val="32"/>
          <w:vertAlign w:val="baseline"/>
          <w:lang w:eastAsia="zh-CN"/>
        </w:rPr>
      </w:pPr>
      <w:r>
        <w:rPr>
          <w:rFonts w:hint="eastAsia" w:ascii="仿宋" w:hAnsi="仿宋" w:eastAsia="仿宋_GB2312" w:cs="Times New Roman"/>
          <w:bCs/>
          <w:color w:val="000000"/>
          <w:kern w:val="0"/>
          <w:sz w:val="30"/>
          <w:szCs w:val="30"/>
        </w:rPr>
        <w:br w:type="page"/>
      </w:r>
      <w:r>
        <w:rPr>
          <w:rFonts w:hint="eastAsia" w:ascii="仿宋" w:hAnsi="仿宋" w:eastAsia="仿宋_GB2312" w:cs="Times New Roman"/>
          <w:b/>
          <w:color w:val="000000"/>
          <w:sz w:val="32"/>
          <w:szCs w:val="32"/>
        </w:rPr>
        <w:t>三、评标内容及标</w:t>
      </w:r>
      <w:r>
        <w:rPr>
          <w:rFonts w:hint="eastAsia" w:ascii="仿宋" w:hAnsi="仿宋" w:eastAsia="仿宋_GB2312" w:cs="Times New Roman"/>
          <w:b/>
          <w:color w:val="000000"/>
          <w:sz w:val="30"/>
          <w:szCs w:val="30"/>
        </w:rPr>
        <w:t>准</w:t>
      </w:r>
      <w:bookmarkStart w:id="22" w:name="_Toc496796638"/>
      <w:r>
        <w:rPr>
          <w:rFonts w:hint="eastAsia" w:ascii="仿宋_GB2312" w:hAnsi="宋体" w:eastAsia="仿宋_GB2312" w:cs="Times New Roman"/>
          <w:b/>
          <w:color w:val="000000"/>
          <w:sz w:val="32"/>
          <w:szCs w:val="32"/>
          <w:lang w:eastAsia="zh-CN"/>
        </w:rPr>
        <w:t xml:space="preserve"> </w:t>
      </w:r>
    </w:p>
    <w:tbl>
      <w:tblPr>
        <w:tblStyle w:val="6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90"/>
        <w:gridCol w:w="5199"/>
        <w:gridCol w:w="796"/>
        <w:gridCol w:w="1342"/>
      </w:tblGrid>
      <w:tr w14:paraId="447A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5CCF527A">
            <w:pPr>
              <w:widowControl/>
              <w:spacing w:before="156" w:beforeLines="50" w:after="156" w:afterLines="50"/>
              <w:rPr>
                <w:rFonts w:hint="eastAsia" w:ascii="仿宋" w:hAnsi="仿宋" w:eastAsia="仿宋" w:cs="宋体"/>
                <w:color w:val="000000"/>
                <w:sz w:val="24"/>
                <w:szCs w:val="24"/>
                <w:lang w:val="en-US" w:eastAsia="zh-CN"/>
              </w:rPr>
            </w:pPr>
            <w:bookmarkStart w:id="23" w:name="_Toc24960"/>
            <w:r>
              <w:rPr>
                <w:rFonts w:hint="eastAsia" w:ascii="仿宋" w:hAnsi="仿宋" w:eastAsia="仿宋" w:cs="宋体"/>
                <w:color w:val="000000"/>
                <w:sz w:val="24"/>
                <w:szCs w:val="24"/>
                <w:lang w:val="en-US" w:eastAsia="zh-CN"/>
              </w:rPr>
              <w:t>序号</w:t>
            </w:r>
          </w:p>
        </w:tc>
        <w:tc>
          <w:tcPr>
            <w:tcW w:w="722" w:type="pct"/>
          </w:tcPr>
          <w:p w14:paraId="5DD4B881">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评分类型</w:t>
            </w:r>
          </w:p>
        </w:tc>
        <w:tc>
          <w:tcPr>
            <w:tcW w:w="2703" w:type="pct"/>
          </w:tcPr>
          <w:p w14:paraId="7B3D8F73">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评分标准</w:t>
            </w:r>
          </w:p>
        </w:tc>
        <w:tc>
          <w:tcPr>
            <w:tcW w:w="413" w:type="pct"/>
          </w:tcPr>
          <w:p w14:paraId="67691CB0">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分值</w:t>
            </w:r>
          </w:p>
        </w:tc>
        <w:tc>
          <w:tcPr>
            <w:tcW w:w="697" w:type="pct"/>
          </w:tcPr>
          <w:p w14:paraId="0601A813">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打分方法</w:t>
            </w:r>
          </w:p>
        </w:tc>
      </w:tr>
      <w:tr w14:paraId="6830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7B171FA7">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w:t>
            </w:r>
          </w:p>
        </w:tc>
        <w:tc>
          <w:tcPr>
            <w:tcW w:w="722" w:type="pct"/>
          </w:tcPr>
          <w:p w14:paraId="541F77CF">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报价</w:t>
            </w:r>
          </w:p>
        </w:tc>
        <w:tc>
          <w:tcPr>
            <w:tcW w:w="2703" w:type="pct"/>
          </w:tcPr>
          <w:p w14:paraId="3F240ACC">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(评标基准价／有效投标报价)*最大分值</w:t>
            </w:r>
          </w:p>
        </w:tc>
        <w:tc>
          <w:tcPr>
            <w:tcW w:w="413" w:type="pct"/>
          </w:tcPr>
          <w:p w14:paraId="1F1EB9BD">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30</w:t>
            </w:r>
          </w:p>
        </w:tc>
        <w:tc>
          <w:tcPr>
            <w:tcW w:w="697" w:type="pct"/>
          </w:tcPr>
          <w:p w14:paraId="3D8A0846">
            <w:pPr>
              <w:widowControl/>
              <w:spacing w:before="156" w:beforeLines="50" w:after="156" w:afterLines="50"/>
              <w:rPr>
                <w:rFonts w:hint="default" w:ascii="仿宋" w:hAnsi="仿宋" w:eastAsia="仿宋" w:cs="宋体"/>
                <w:color w:val="000000"/>
                <w:sz w:val="24"/>
                <w:szCs w:val="24"/>
                <w:lang w:val="en-US" w:eastAsia="zh-CN"/>
              </w:rPr>
            </w:pPr>
          </w:p>
        </w:tc>
      </w:tr>
      <w:tr w14:paraId="3350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7C50071E">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w:t>
            </w:r>
          </w:p>
        </w:tc>
        <w:tc>
          <w:tcPr>
            <w:tcW w:w="722" w:type="pct"/>
          </w:tcPr>
          <w:p w14:paraId="6A87061C">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2CAAD8AB">
            <w:pPr>
              <w:spacing w:before="156" w:beforeLines="50" w:after="156" w:afterLines="50" w:line="340" w:lineRule="exact"/>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不符合（负偏离）参数要求中标注“▲”条款（不可偏离）的投标无效。</w:t>
            </w:r>
          </w:p>
          <w:p w14:paraId="2347CDA2">
            <w:pPr>
              <w:widowControl/>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标“▲”条款除外，符合明确指标参数得23分，允许偏离的指标参数低于招标需求（负偏离）或缺漏项的每项扣2分，扣完为止。</w:t>
            </w:r>
          </w:p>
          <w:p w14:paraId="3D7432FB">
            <w:pPr>
              <w:widowControl/>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rPr>
              <w:t>（详见“第四章 招标需求”的“第二部分、技术指标概况”和“第三部分、技术指标详情”）</w:t>
            </w:r>
          </w:p>
        </w:tc>
        <w:tc>
          <w:tcPr>
            <w:tcW w:w="413" w:type="pct"/>
          </w:tcPr>
          <w:p w14:paraId="62095123">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23</w:t>
            </w:r>
          </w:p>
        </w:tc>
        <w:tc>
          <w:tcPr>
            <w:tcW w:w="697" w:type="pct"/>
          </w:tcPr>
          <w:p w14:paraId="47454E8E">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客观分</w:t>
            </w:r>
          </w:p>
        </w:tc>
      </w:tr>
      <w:tr w14:paraId="7858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71222E22">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w:t>
            </w:r>
          </w:p>
        </w:tc>
        <w:tc>
          <w:tcPr>
            <w:tcW w:w="722" w:type="pct"/>
          </w:tcPr>
          <w:p w14:paraId="45CC07DF">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72289499">
            <w:pPr>
              <w:widowControl/>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环境标志产品、节能产品评审（2分）：</w:t>
            </w:r>
          </w:p>
          <w:p w14:paraId="727BC90E">
            <w:pPr>
              <w:widowControl/>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35B17D07">
            <w:pPr>
              <w:widowControl/>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413" w:type="pct"/>
          </w:tcPr>
          <w:p w14:paraId="02BF7312">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w:t>
            </w:r>
          </w:p>
        </w:tc>
        <w:tc>
          <w:tcPr>
            <w:tcW w:w="697" w:type="pct"/>
          </w:tcPr>
          <w:p w14:paraId="3828FC3E">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客观分</w:t>
            </w:r>
          </w:p>
        </w:tc>
      </w:tr>
      <w:tr w14:paraId="5CF2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4EC5F58">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w:t>
            </w:r>
          </w:p>
        </w:tc>
        <w:tc>
          <w:tcPr>
            <w:tcW w:w="722" w:type="pct"/>
          </w:tcPr>
          <w:p w14:paraId="402ED6ED">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6A012A7A">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技术方案</w:t>
            </w:r>
          </w:p>
        </w:tc>
        <w:tc>
          <w:tcPr>
            <w:tcW w:w="413" w:type="pct"/>
          </w:tcPr>
          <w:p w14:paraId="0005C02B">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w:t>
            </w:r>
          </w:p>
        </w:tc>
        <w:tc>
          <w:tcPr>
            <w:tcW w:w="697" w:type="pct"/>
          </w:tcPr>
          <w:p w14:paraId="2B2A2888">
            <w:pPr>
              <w:widowControl/>
              <w:spacing w:before="156" w:beforeLines="50" w:after="156" w:afterLines="50"/>
              <w:rPr>
                <w:rFonts w:hint="eastAsia" w:ascii="仿宋" w:hAnsi="仿宋" w:eastAsia="仿宋" w:cs="宋体"/>
                <w:color w:val="000000"/>
                <w:sz w:val="24"/>
                <w:szCs w:val="24"/>
                <w:lang w:val="en-US" w:eastAsia="zh-CN"/>
              </w:rPr>
            </w:pPr>
          </w:p>
        </w:tc>
      </w:tr>
      <w:tr w14:paraId="2CD6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3F384D21">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3.1</w:t>
            </w:r>
          </w:p>
        </w:tc>
        <w:tc>
          <w:tcPr>
            <w:tcW w:w="722" w:type="pct"/>
          </w:tcPr>
          <w:p w14:paraId="256F43DD">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11C4BD24">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投标人根据本项目需求，提供投标技术方案，根据投标人提供的各系统、设备投标方案的合理性，实用性、详细性等。（最高2分，评分范围：2，1，0.5，0）</w:t>
            </w:r>
          </w:p>
        </w:tc>
        <w:tc>
          <w:tcPr>
            <w:tcW w:w="413" w:type="pct"/>
          </w:tcPr>
          <w:p w14:paraId="3CADF130">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w:t>
            </w:r>
          </w:p>
        </w:tc>
        <w:tc>
          <w:tcPr>
            <w:tcW w:w="697" w:type="pct"/>
          </w:tcPr>
          <w:p w14:paraId="03E5D8F2">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1BD9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BF1E39C">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3.2</w:t>
            </w:r>
          </w:p>
        </w:tc>
        <w:tc>
          <w:tcPr>
            <w:tcW w:w="722" w:type="pct"/>
          </w:tcPr>
          <w:p w14:paraId="05D1AFEE">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78343231">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投标人针对系统设备与学校现行模式的兼容方案，充分考虑系统间、软硬件间兼容性，并承诺实施后可以实现互联互通、统一管理，使设备在现有平台当中能够调用、查看、采集数据。要求方案具备合理性、科学性、全面性以及对项目理解透彻，能够充分考虑已建项目资源的整合和利用。（最高2分，评分范围：2，1，0.5，0）</w:t>
            </w:r>
          </w:p>
        </w:tc>
        <w:tc>
          <w:tcPr>
            <w:tcW w:w="413" w:type="pct"/>
          </w:tcPr>
          <w:p w14:paraId="7F9AB076">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w:t>
            </w:r>
          </w:p>
        </w:tc>
        <w:tc>
          <w:tcPr>
            <w:tcW w:w="697" w:type="pct"/>
          </w:tcPr>
          <w:p w14:paraId="08CB6229">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2A42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77C99B21">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w:t>
            </w:r>
          </w:p>
        </w:tc>
        <w:tc>
          <w:tcPr>
            <w:tcW w:w="722" w:type="pct"/>
          </w:tcPr>
          <w:p w14:paraId="6EF86878">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6475CB31">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项目实施方案</w:t>
            </w:r>
          </w:p>
        </w:tc>
        <w:tc>
          <w:tcPr>
            <w:tcW w:w="413" w:type="pct"/>
          </w:tcPr>
          <w:p w14:paraId="223A17C7">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w:t>
            </w:r>
          </w:p>
        </w:tc>
        <w:tc>
          <w:tcPr>
            <w:tcW w:w="697" w:type="pct"/>
          </w:tcPr>
          <w:p w14:paraId="1C43A5BE">
            <w:pPr>
              <w:widowControl/>
              <w:spacing w:before="156" w:beforeLines="50" w:after="156" w:afterLines="50"/>
              <w:rPr>
                <w:rFonts w:hint="eastAsia" w:ascii="仿宋" w:hAnsi="仿宋" w:eastAsia="仿宋" w:cs="宋体"/>
                <w:color w:val="000000"/>
                <w:sz w:val="24"/>
                <w:szCs w:val="24"/>
                <w:lang w:val="en-US" w:eastAsia="zh-CN"/>
              </w:rPr>
            </w:pPr>
          </w:p>
        </w:tc>
      </w:tr>
      <w:tr w14:paraId="23CD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5F787DBE">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4.1</w:t>
            </w:r>
          </w:p>
        </w:tc>
        <w:tc>
          <w:tcPr>
            <w:tcW w:w="722" w:type="pct"/>
          </w:tcPr>
          <w:p w14:paraId="7E5CBB0E">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1421B863">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总体规划完整，含项目管理、开发设计等内容，具有保障项目顺利实施的必要举措、计划、策略等，对项目理解充分，项目质量、进度及风险把控到位，开发设计可明确交付预期效果。实施计划组织合理、内容详尽，具备科学性、完整性和针对性。科学划分项目阶段，制定详实的分阶段实施计划，确保后续按阶段开展项目验收，有效提高工作效率。组织管理完整详细，制定每周书面总结汇报实施进度等制度。交叉实施计划详细完整，保障项目实施进度。（最高4分，评分范围：4,3,2,1,0）</w:t>
            </w:r>
          </w:p>
        </w:tc>
        <w:tc>
          <w:tcPr>
            <w:tcW w:w="413" w:type="pct"/>
          </w:tcPr>
          <w:p w14:paraId="039DB30E">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w:t>
            </w:r>
          </w:p>
        </w:tc>
        <w:tc>
          <w:tcPr>
            <w:tcW w:w="697" w:type="pct"/>
          </w:tcPr>
          <w:p w14:paraId="745CDF2C">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2A45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C828B78">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4.2</w:t>
            </w:r>
          </w:p>
        </w:tc>
        <w:tc>
          <w:tcPr>
            <w:tcW w:w="722" w:type="pct"/>
          </w:tcPr>
          <w:p w14:paraId="11A606D9">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09A9F7C0">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投标人针对本次项目提出具体的环境设计方案。要求充分考虑与现有设施设备、系统的使用环境，整体建设环境风格统一，选用材料安全环保，提供8间智慧教室整体设计效果图，满足教室设施设备使用条件，设计安排合理、有利于项目实施。（最高2分，评分范围：2，1，0.5，0）</w:t>
            </w:r>
          </w:p>
        </w:tc>
        <w:tc>
          <w:tcPr>
            <w:tcW w:w="413" w:type="pct"/>
          </w:tcPr>
          <w:p w14:paraId="15D2276D">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w:t>
            </w:r>
          </w:p>
        </w:tc>
        <w:tc>
          <w:tcPr>
            <w:tcW w:w="697" w:type="pct"/>
          </w:tcPr>
          <w:p w14:paraId="56D333CB">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0FB6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0FB93F6">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5</w:t>
            </w:r>
          </w:p>
        </w:tc>
        <w:tc>
          <w:tcPr>
            <w:tcW w:w="722" w:type="pct"/>
          </w:tcPr>
          <w:p w14:paraId="722E1EC4">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49D9AB51">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项目团队</w:t>
            </w:r>
          </w:p>
        </w:tc>
        <w:tc>
          <w:tcPr>
            <w:tcW w:w="413" w:type="pct"/>
          </w:tcPr>
          <w:p w14:paraId="41AE0127">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w:t>
            </w:r>
          </w:p>
        </w:tc>
        <w:tc>
          <w:tcPr>
            <w:tcW w:w="697" w:type="pct"/>
          </w:tcPr>
          <w:p w14:paraId="7F5145B9">
            <w:pPr>
              <w:widowControl/>
              <w:spacing w:before="156" w:beforeLines="50" w:after="156" w:afterLines="50"/>
              <w:rPr>
                <w:rFonts w:hint="eastAsia" w:ascii="仿宋" w:hAnsi="仿宋" w:eastAsia="仿宋" w:cs="宋体"/>
                <w:color w:val="000000"/>
                <w:sz w:val="24"/>
                <w:szCs w:val="24"/>
                <w:lang w:val="en-US" w:eastAsia="zh-CN"/>
              </w:rPr>
            </w:pPr>
          </w:p>
        </w:tc>
      </w:tr>
      <w:tr w14:paraId="517D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2432CDA">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5.1</w:t>
            </w:r>
          </w:p>
        </w:tc>
        <w:tc>
          <w:tcPr>
            <w:tcW w:w="722" w:type="pct"/>
          </w:tcPr>
          <w:p w14:paraId="53E306E9">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18B92C25">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承诺提供技术人员按照每周5d*8h驻点服务，在招标文件要求的至少1人3年基础上，承诺每1人增加半年得0.5分，增加1年得1分。（该项最高得1分）</w:t>
            </w:r>
          </w:p>
        </w:tc>
        <w:tc>
          <w:tcPr>
            <w:tcW w:w="413" w:type="pct"/>
          </w:tcPr>
          <w:p w14:paraId="451DC29F">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w:t>
            </w:r>
          </w:p>
        </w:tc>
        <w:tc>
          <w:tcPr>
            <w:tcW w:w="697" w:type="pct"/>
          </w:tcPr>
          <w:p w14:paraId="108C22AB">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客观分</w:t>
            </w:r>
          </w:p>
        </w:tc>
      </w:tr>
      <w:tr w14:paraId="7058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24651505">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5.2</w:t>
            </w:r>
          </w:p>
        </w:tc>
        <w:tc>
          <w:tcPr>
            <w:tcW w:w="722" w:type="pct"/>
          </w:tcPr>
          <w:p w14:paraId="7C150F9B">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7D0A459B">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项目团队人员专业能力：项目组成员具有信息系统项目管理师、软件设计师、网络规划设计师、数据库系统工程师的，每个得0.5分，最多得1分（每人多本证书的只计1次；多人同类型证书的只计1次）。</w:t>
            </w:r>
          </w:p>
          <w:p w14:paraId="2CF3ACD5">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证明材料：提供项目团队人员相应证书扫描件及人员在职证明（如本单位社保缴纳证明、劳动合同）。</w:t>
            </w:r>
          </w:p>
        </w:tc>
        <w:tc>
          <w:tcPr>
            <w:tcW w:w="413" w:type="pct"/>
          </w:tcPr>
          <w:p w14:paraId="652D1E91">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w:t>
            </w:r>
          </w:p>
        </w:tc>
        <w:tc>
          <w:tcPr>
            <w:tcW w:w="697" w:type="pct"/>
          </w:tcPr>
          <w:p w14:paraId="5E4061AE">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客观分</w:t>
            </w:r>
          </w:p>
        </w:tc>
      </w:tr>
      <w:tr w14:paraId="185A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5161287A">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w:t>
            </w:r>
          </w:p>
        </w:tc>
        <w:tc>
          <w:tcPr>
            <w:tcW w:w="722" w:type="pct"/>
          </w:tcPr>
          <w:p w14:paraId="199DA812">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37CF6216">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演示要求：投标人需提供软件demo或类似真实平台的演示及讲解，整个演示时间不超过10分钟，未提供demo或类似项目真实平台演示，仅以PPT、图片格式等其他方式的演示每项最高得0.5分。</w:t>
            </w:r>
          </w:p>
        </w:tc>
        <w:tc>
          <w:tcPr>
            <w:tcW w:w="413" w:type="pct"/>
          </w:tcPr>
          <w:p w14:paraId="70B56982">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15</w:t>
            </w:r>
          </w:p>
        </w:tc>
        <w:tc>
          <w:tcPr>
            <w:tcW w:w="697" w:type="pct"/>
          </w:tcPr>
          <w:p w14:paraId="59408E4E">
            <w:pPr>
              <w:widowControl/>
              <w:spacing w:before="156" w:beforeLines="50" w:after="156" w:afterLines="50"/>
              <w:rPr>
                <w:rFonts w:hint="eastAsia" w:ascii="仿宋" w:hAnsi="仿宋" w:eastAsia="仿宋" w:cs="宋体"/>
                <w:color w:val="000000"/>
                <w:sz w:val="24"/>
                <w:szCs w:val="24"/>
                <w:lang w:val="en-US" w:eastAsia="zh-CN"/>
              </w:rPr>
            </w:pPr>
          </w:p>
        </w:tc>
      </w:tr>
      <w:tr w14:paraId="6ED3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72BD377">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6.1</w:t>
            </w:r>
          </w:p>
        </w:tc>
        <w:tc>
          <w:tcPr>
            <w:tcW w:w="722" w:type="pct"/>
          </w:tcPr>
          <w:p w14:paraId="7C801BEA">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74A0CC08">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支持知识图谱构建。以课程为基本单元，通过自动或半自动的方式，从教学资源中提取和整合分类及知识点，构建课程知识图谱。基于课堂语音字幕内容形式知识结构后一键同步至课程，形成课程知识图谱。学生易于获取和深入理解课程知识体系，增强学生的学习体验和知识掌握，提升教师教学效率。要求满足需求，界面友好，运行流畅、未卡顿。（最高1.5分，评分范围：1.5，0.5，0）</w:t>
            </w:r>
          </w:p>
        </w:tc>
        <w:tc>
          <w:tcPr>
            <w:tcW w:w="413" w:type="pct"/>
          </w:tcPr>
          <w:p w14:paraId="50B6C7B5">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1.5</w:t>
            </w:r>
          </w:p>
        </w:tc>
        <w:tc>
          <w:tcPr>
            <w:tcW w:w="697" w:type="pct"/>
          </w:tcPr>
          <w:p w14:paraId="57522908">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0144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0296985">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6.2</w:t>
            </w:r>
          </w:p>
        </w:tc>
        <w:tc>
          <w:tcPr>
            <w:tcW w:w="722" w:type="pct"/>
          </w:tcPr>
          <w:p w14:paraId="59608760">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0CF2BCA8">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支持AI工具广场。提供多元化的AI工具，辅助教师教学、学生学习。含AI课件制作、AI出题、AI批阅、AI公式识别、AI绘图、AI教案、AI学情分析、AI智能体自行搭建等智能化教师备课工具。AI学习资料翻译、AI文献阅读理解、AI视频转文字等智能化学习辅助工具。要求满足需求，界面友好，运行流畅、未卡顿。（最高1.5分，评分范围：1.5，0.5，0）</w:t>
            </w:r>
          </w:p>
        </w:tc>
        <w:tc>
          <w:tcPr>
            <w:tcW w:w="413" w:type="pct"/>
          </w:tcPr>
          <w:p w14:paraId="6136492F">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1.5</w:t>
            </w:r>
          </w:p>
        </w:tc>
        <w:tc>
          <w:tcPr>
            <w:tcW w:w="697" w:type="pct"/>
          </w:tcPr>
          <w:p w14:paraId="4B4B4A57">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5B03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34007B0F">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6.3</w:t>
            </w:r>
          </w:p>
        </w:tc>
        <w:tc>
          <w:tcPr>
            <w:tcW w:w="722" w:type="pct"/>
          </w:tcPr>
          <w:p w14:paraId="23A67069">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1E56FA62">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教师在使用智慧课程平台进行课程建设、备课、授课过程中随时可以搜索、引用、无缝插入备课资源库中的资源，全面辅助教师教学和学生学习。可以搜索相关电子书插入到课程，进行在线阅读，可以进行文字摘录。搜索相关学术视频。需要名校、名师的视频及讲座，可以在线进行播放。要求满足需求，界面友好，运行流畅、未卡顿。（最高1.5分，评分范围：1.5，0.5，0）</w:t>
            </w:r>
          </w:p>
        </w:tc>
        <w:tc>
          <w:tcPr>
            <w:tcW w:w="413" w:type="pct"/>
          </w:tcPr>
          <w:p w14:paraId="74AC386A">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1.5</w:t>
            </w:r>
          </w:p>
        </w:tc>
        <w:tc>
          <w:tcPr>
            <w:tcW w:w="697" w:type="pct"/>
          </w:tcPr>
          <w:p w14:paraId="5F942F62">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25F2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5307E18B">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6.4</w:t>
            </w:r>
          </w:p>
        </w:tc>
        <w:tc>
          <w:tcPr>
            <w:tcW w:w="722" w:type="pct"/>
          </w:tcPr>
          <w:p w14:paraId="3D38419F">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79846950">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支持使用示范教学包建课，示范教学包需整合各层次院校，各学科、专业的资源，教师可以在建课时引用示范教学包中的课程资源、课堂活动示例、题库等内容，同时可以根据教师自己课程的需要进行重新组合使用。要求满足需求，界面友好，运行流畅、未卡顿。（最高1.5分，评分范围：1.5，0.5，0）</w:t>
            </w:r>
          </w:p>
        </w:tc>
        <w:tc>
          <w:tcPr>
            <w:tcW w:w="413" w:type="pct"/>
          </w:tcPr>
          <w:p w14:paraId="0ADC831F">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1.5</w:t>
            </w:r>
          </w:p>
        </w:tc>
        <w:tc>
          <w:tcPr>
            <w:tcW w:w="697" w:type="pct"/>
          </w:tcPr>
          <w:p w14:paraId="240D2E03">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204E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182F114B">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6.5</w:t>
            </w:r>
          </w:p>
        </w:tc>
        <w:tc>
          <w:tcPr>
            <w:tcW w:w="722" w:type="pct"/>
          </w:tcPr>
          <w:p w14:paraId="7F7736C3">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78967FBC">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支持AI助教答疑。建设基于DeepSeek-R1-671b满血版等大模型，经课程知识资料强化训练的“课程AI助教”，实现24小时学生答疑、学习提醒与陪伴、学习资源推荐等。教师可对大模型知识库进行维护管理，可自行创建知识库，设置AI答疑助教形象等基本信息，学生可切换大模型进行提问。要求满足需求，界面友好，运行流畅、未卡顿。（最高1.5分，评分范围：1.5，0.5，0）</w:t>
            </w:r>
          </w:p>
        </w:tc>
        <w:tc>
          <w:tcPr>
            <w:tcW w:w="413" w:type="pct"/>
          </w:tcPr>
          <w:p w14:paraId="5D2E4337">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1.5</w:t>
            </w:r>
          </w:p>
        </w:tc>
        <w:tc>
          <w:tcPr>
            <w:tcW w:w="697" w:type="pct"/>
          </w:tcPr>
          <w:p w14:paraId="53523E30">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5CA6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6DFE4D0E">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6.6</w:t>
            </w:r>
          </w:p>
        </w:tc>
        <w:tc>
          <w:tcPr>
            <w:tcW w:w="722" w:type="pct"/>
          </w:tcPr>
          <w:p w14:paraId="64034E15">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2D65BAC1">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具备课堂PPT实时生成功能，直播与录播课程页面均可自动抓取授课画面中的PPT内容并支持小图预览（无需教师手动上传），学生可随时切换画面浏览当前ppt页面全貌；针对录播课程，提供PPT索引功能，点击任意PPT截图即可精准跳转至教师讲解该页内容的视频时间节点。要求满足需求，界面友好，运行流畅、未卡顿。（最高1.5分，评分范围：1.5，0.5，0）</w:t>
            </w:r>
          </w:p>
        </w:tc>
        <w:tc>
          <w:tcPr>
            <w:tcW w:w="413" w:type="pct"/>
          </w:tcPr>
          <w:p w14:paraId="13AB39F5">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1.5</w:t>
            </w:r>
          </w:p>
        </w:tc>
        <w:tc>
          <w:tcPr>
            <w:tcW w:w="697" w:type="pct"/>
          </w:tcPr>
          <w:p w14:paraId="1BDA68E9">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4CF2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767677D3">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6.7</w:t>
            </w:r>
          </w:p>
        </w:tc>
        <w:tc>
          <w:tcPr>
            <w:tcW w:w="722" w:type="pct"/>
          </w:tcPr>
          <w:p w14:paraId="58D5B07B">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6B6B14AB">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智慧督导平台：院级管理员可在权限范围内根据本院实际情况对学院综合评参数进行调整；可针对课程属性、课程是否参与评价、课程授课教师是否参与评价、老师教学异常情况记录、教师不参与评价原因记录等参数进行设置。要求满足需求，界面友好，运行流畅、未卡顿。（最高1.5分，评分范围：1.5，0.5，0）</w:t>
            </w:r>
          </w:p>
        </w:tc>
        <w:tc>
          <w:tcPr>
            <w:tcW w:w="413" w:type="pct"/>
          </w:tcPr>
          <w:p w14:paraId="18C63BF2">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1.5</w:t>
            </w:r>
          </w:p>
        </w:tc>
        <w:tc>
          <w:tcPr>
            <w:tcW w:w="697" w:type="pct"/>
          </w:tcPr>
          <w:p w14:paraId="683CE478">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2603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71261870">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6.8</w:t>
            </w:r>
          </w:p>
        </w:tc>
        <w:tc>
          <w:tcPr>
            <w:tcW w:w="722" w:type="pct"/>
          </w:tcPr>
          <w:p w14:paraId="4F355627">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0B9C6E4D">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开展专业需求数据分析，展示专业人才培养计划。支持对按地区、行业类型、企业类型查看专业需求信息，包括需求数量、能力要求等。以词云形式展示专业对应岗位的能力需求，并以列表形式对各项能力的需求占比进行排名。支持按专业溯源对应岗位的招聘信息。支持通过输入专业名称、院校名称、院系名称等关键词可查找对应人才培养方案，提供的人培方案文件包含985、211等高校。要求满足需求，界面友好，运行流畅、未卡顿。（最高1.5分，评分范围：1.5，0.5，0）</w:t>
            </w:r>
          </w:p>
        </w:tc>
        <w:tc>
          <w:tcPr>
            <w:tcW w:w="413" w:type="pct"/>
          </w:tcPr>
          <w:p w14:paraId="18E88F5B">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1.5</w:t>
            </w:r>
          </w:p>
        </w:tc>
        <w:tc>
          <w:tcPr>
            <w:tcW w:w="697" w:type="pct"/>
          </w:tcPr>
          <w:p w14:paraId="735D6EE4">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719C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581B0FDA">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6.9</w:t>
            </w:r>
          </w:p>
        </w:tc>
        <w:tc>
          <w:tcPr>
            <w:tcW w:w="722" w:type="pct"/>
          </w:tcPr>
          <w:p w14:paraId="5E1C57A4">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1C6EB6E1">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支持查看全校学生画像，查看学生个人画像，画像包含学生整体学习情况，通过雷达图展示学生学习能力。支持查看学生所参与课程的情况和学习轨迹，支持展示当前学生当天网络课程互动情况。支持ai学生成绩评价，根据学生学习数据进行学生成绩综合评价，分析学生学习优势及潜力，并提供挂科、签到旷课等异常行为预警。要求满足需求，界面友好，运行流畅、未卡顿。（最高1.5分，评分范围：1.5，0.5，0）</w:t>
            </w:r>
          </w:p>
        </w:tc>
        <w:tc>
          <w:tcPr>
            <w:tcW w:w="413" w:type="pct"/>
          </w:tcPr>
          <w:p w14:paraId="1886933B">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1.5</w:t>
            </w:r>
          </w:p>
        </w:tc>
        <w:tc>
          <w:tcPr>
            <w:tcW w:w="697" w:type="pct"/>
          </w:tcPr>
          <w:p w14:paraId="5921D630">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1E23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31D94C3E">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6.10</w:t>
            </w:r>
          </w:p>
        </w:tc>
        <w:tc>
          <w:tcPr>
            <w:tcW w:w="722" w:type="pct"/>
          </w:tcPr>
          <w:p w14:paraId="7F456093">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2703" w:type="pct"/>
          </w:tcPr>
          <w:p w14:paraId="67119E7C">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AI教务问答系统：任务流编辑支持设定功能节点，至少包含大模型、知识库、输入、输出、业务节点嵌入、文本处理等7种及以上功能节点。节点内可设置参数，大模型支持选择至少3个种以上通用大模型或教育垂类大模型，可自由拖拽排布任务流，设置完成后支持试运行查看效果。要求满足需求，界面友好，运行流畅、未卡顿。（最高1.5分，评分范围：1.5，0.5，0）</w:t>
            </w:r>
          </w:p>
        </w:tc>
        <w:tc>
          <w:tcPr>
            <w:tcW w:w="413" w:type="pct"/>
          </w:tcPr>
          <w:p w14:paraId="0E11E111">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1.5</w:t>
            </w:r>
          </w:p>
        </w:tc>
        <w:tc>
          <w:tcPr>
            <w:tcW w:w="697" w:type="pct"/>
          </w:tcPr>
          <w:p w14:paraId="514ECCBF">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0A60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shd w:val="clear" w:color="auto" w:fill="auto"/>
            <w:vAlign w:val="top"/>
          </w:tcPr>
          <w:p w14:paraId="484B7B8F">
            <w:pPr>
              <w:widowControl/>
              <w:spacing w:before="156" w:beforeLines="50" w:after="156" w:afterLines="50"/>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lang w:val="en-US" w:eastAsia="zh-CN"/>
              </w:rPr>
              <w:t>7</w:t>
            </w:r>
          </w:p>
        </w:tc>
        <w:tc>
          <w:tcPr>
            <w:tcW w:w="722" w:type="pct"/>
            <w:shd w:val="clear" w:color="auto" w:fill="auto"/>
            <w:vAlign w:val="top"/>
          </w:tcPr>
          <w:p w14:paraId="36CE5096">
            <w:pPr>
              <w:widowControl/>
              <w:spacing w:before="156" w:beforeLines="50" w:after="156" w:afterLines="50"/>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lang w:val="en-US" w:eastAsia="zh-CN"/>
              </w:rPr>
              <w:t>商务资信</w:t>
            </w:r>
          </w:p>
        </w:tc>
        <w:tc>
          <w:tcPr>
            <w:tcW w:w="2703" w:type="pct"/>
            <w:shd w:val="clear" w:color="auto" w:fill="auto"/>
            <w:vAlign w:val="top"/>
          </w:tcPr>
          <w:p w14:paraId="455AE2A4">
            <w:pPr>
              <w:widowControl/>
              <w:spacing w:before="156" w:beforeLines="50" w:after="156" w:afterLines="50"/>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lang w:val="en-US" w:eastAsia="zh-CN"/>
              </w:rPr>
              <w:t>售后服务（项目维护、对用户故障的响应、处理、定期巡检等情况）科学合理，符合项目特点和实际需要，投标人具有的备品备件满足实施要求。（最高2分，评分范围：2，1，0.5，0）</w:t>
            </w:r>
          </w:p>
        </w:tc>
        <w:tc>
          <w:tcPr>
            <w:tcW w:w="413" w:type="pct"/>
            <w:shd w:val="clear" w:color="auto" w:fill="auto"/>
            <w:vAlign w:val="top"/>
          </w:tcPr>
          <w:p w14:paraId="24013131">
            <w:pPr>
              <w:widowControl/>
              <w:spacing w:before="156" w:beforeLines="50" w:after="156" w:afterLines="50"/>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lang w:val="en-US" w:eastAsia="zh-CN"/>
              </w:rPr>
              <w:t>2</w:t>
            </w:r>
          </w:p>
        </w:tc>
        <w:tc>
          <w:tcPr>
            <w:tcW w:w="697" w:type="pct"/>
            <w:shd w:val="clear" w:color="auto" w:fill="auto"/>
            <w:vAlign w:val="top"/>
          </w:tcPr>
          <w:p w14:paraId="55AB12E9">
            <w:pPr>
              <w:widowControl/>
              <w:spacing w:before="156" w:beforeLines="50" w:after="156" w:afterLines="50"/>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lang w:val="en-US" w:eastAsia="zh-CN"/>
              </w:rPr>
              <w:t>主观分</w:t>
            </w:r>
          </w:p>
        </w:tc>
      </w:tr>
      <w:tr w14:paraId="442E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29C0669B">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8</w:t>
            </w:r>
          </w:p>
        </w:tc>
        <w:tc>
          <w:tcPr>
            <w:tcW w:w="722" w:type="pct"/>
          </w:tcPr>
          <w:p w14:paraId="3A9B59A8">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商务资信</w:t>
            </w:r>
          </w:p>
        </w:tc>
        <w:tc>
          <w:tcPr>
            <w:tcW w:w="2703" w:type="pct"/>
          </w:tcPr>
          <w:p w14:paraId="5F99309F">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投标人提供的项目培训方案（明确培训计划、培训流程、培训课程、授课人员、培训对象与人数、培训保障等）：要求培训方案详细完整，具有合理性及可行性。（最高2分，评分范围：2，1，0.5，0）</w:t>
            </w:r>
          </w:p>
        </w:tc>
        <w:tc>
          <w:tcPr>
            <w:tcW w:w="413" w:type="pct"/>
          </w:tcPr>
          <w:p w14:paraId="39B0F481">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w:t>
            </w:r>
          </w:p>
        </w:tc>
        <w:tc>
          <w:tcPr>
            <w:tcW w:w="697" w:type="pct"/>
          </w:tcPr>
          <w:p w14:paraId="2F42BE74">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5D6A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2A3A6AD3">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9</w:t>
            </w:r>
          </w:p>
        </w:tc>
        <w:tc>
          <w:tcPr>
            <w:tcW w:w="722" w:type="pct"/>
          </w:tcPr>
          <w:p w14:paraId="56F4A605">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商务资信</w:t>
            </w:r>
          </w:p>
        </w:tc>
        <w:tc>
          <w:tcPr>
            <w:tcW w:w="2703" w:type="pct"/>
          </w:tcPr>
          <w:p w14:paraId="60F07FA2">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对于建课过程中所引用的教参图书、学术期刊资源、教育视频资源必须解决版权问题，具有引用资源相关授权协议或版权，有效满足采购人建课需求。（最高5分，评分范围：5，4，3，2，1，0）</w:t>
            </w:r>
          </w:p>
        </w:tc>
        <w:tc>
          <w:tcPr>
            <w:tcW w:w="413" w:type="pct"/>
          </w:tcPr>
          <w:p w14:paraId="7890FD19">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5</w:t>
            </w:r>
          </w:p>
        </w:tc>
        <w:tc>
          <w:tcPr>
            <w:tcW w:w="697" w:type="pct"/>
          </w:tcPr>
          <w:p w14:paraId="4CBF9AD5">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主观分</w:t>
            </w:r>
          </w:p>
        </w:tc>
      </w:tr>
      <w:tr w14:paraId="1BC2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2453E21B">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10</w:t>
            </w:r>
          </w:p>
        </w:tc>
        <w:tc>
          <w:tcPr>
            <w:tcW w:w="722" w:type="pct"/>
          </w:tcPr>
          <w:p w14:paraId="172CD159">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商务资信</w:t>
            </w:r>
          </w:p>
        </w:tc>
        <w:tc>
          <w:tcPr>
            <w:tcW w:w="2703" w:type="pct"/>
          </w:tcPr>
          <w:p w14:paraId="7ADC79BF">
            <w:pPr>
              <w:widowControl/>
              <w:spacing w:before="156" w:beforeLines="50" w:after="156" w:afterLines="50"/>
              <w:jc w:val="left"/>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为保障学校后期教学质量与课程运营质量，供应商需拥有正常运营的开放课程平台，平台需具备推荐课程到国家高等教育智慧教育平台（https://higher.smartedu.cn/）的能力，已上线到国家高等教育智慧教育平台数量达300门以上得3分，150-300门得2分，150门以下得1分。</w:t>
            </w:r>
          </w:p>
          <w:p w14:paraId="299C242A">
            <w:pPr>
              <w:widowControl/>
              <w:spacing w:before="156" w:beforeLines="50" w:after="156" w:afterLines="50"/>
              <w:jc w:val="left"/>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证明材料：提供国家高等智慧教育平台课程上线截图证明材料，不提供不得分。</w:t>
            </w:r>
          </w:p>
        </w:tc>
        <w:tc>
          <w:tcPr>
            <w:tcW w:w="413" w:type="pct"/>
          </w:tcPr>
          <w:p w14:paraId="6894D359">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w:t>
            </w:r>
          </w:p>
        </w:tc>
        <w:tc>
          <w:tcPr>
            <w:tcW w:w="697" w:type="pct"/>
          </w:tcPr>
          <w:p w14:paraId="4AD0C0EA">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客观分</w:t>
            </w:r>
          </w:p>
        </w:tc>
      </w:tr>
      <w:tr w14:paraId="5A70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73EE6466">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11</w:t>
            </w:r>
          </w:p>
        </w:tc>
        <w:tc>
          <w:tcPr>
            <w:tcW w:w="722" w:type="pct"/>
          </w:tcPr>
          <w:p w14:paraId="05BBF9ED">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商务资信</w:t>
            </w:r>
          </w:p>
        </w:tc>
        <w:tc>
          <w:tcPr>
            <w:tcW w:w="2703" w:type="pct"/>
          </w:tcPr>
          <w:p w14:paraId="35372F68">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投标人技术力量情况</w:t>
            </w:r>
          </w:p>
        </w:tc>
        <w:tc>
          <w:tcPr>
            <w:tcW w:w="413" w:type="pct"/>
          </w:tcPr>
          <w:p w14:paraId="3681B03D">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w:t>
            </w:r>
          </w:p>
        </w:tc>
        <w:tc>
          <w:tcPr>
            <w:tcW w:w="697" w:type="pct"/>
          </w:tcPr>
          <w:p w14:paraId="213F95DD">
            <w:pPr>
              <w:widowControl/>
              <w:spacing w:before="156" w:beforeLines="50" w:after="156" w:afterLines="50"/>
              <w:rPr>
                <w:rFonts w:hint="eastAsia" w:ascii="仿宋" w:hAnsi="仿宋" w:eastAsia="仿宋" w:cs="宋体"/>
                <w:color w:val="000000"/>
                <w:sz w:val="24"/>
                <w:szCs w:val="24"/>
                <w:lang w:val="en-US" w:eastAsia="zh-CN"/>
              </w:rPr>
            </w:pPr>
          </w:p>
        </w:tc>
      </w:tr>
      <w:tr w14:paraId="531D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5206DA0A">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11.1</w:t>
            </w:r>
          </w:p>
        </w:tc>
        <w:tc>
          <w:tcPr>
            <w:tcW w:w="722" w:type="pct"/>
          </w:tcPr>
          <w:p w14:paraId="0611EC42">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商务资信</w:t>
            </w:r>
          </w:p>
        </w:tc>
        <w:tc>
          <w:tcPr>
            <w:tcW w:w="2703" w:type="pct"/>
          </w:tcPr>
          <w:p w14:paraId="2AC38217">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投标产品中与本项目相关软件，具有计算机软件著作权登记证书或软件购买合同（0.5分/项，最高得2分）：</w:t>
            </w:r>
          </w:p>
          <w:p w14:paraId="0101191B">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具有督导平台类型著作权登记证书或软件购买合同；</w:t>
            </w:r>
          </w:p>
          <w:p w14:paraId="333C9378">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具有远程教学类型系统著作权登记证书或软件购买合同；</w:t>
            </w:r>
          </w:p>
          <w:p w14:paraId="72ED5EC2">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具有门户管理平台类型著作权登记证书或软件购买合同；</w:t>
            </w:r>
          </w:p>
          <w:p w14:paraId="3C465E2F">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具有知识点打点类型推送系统著作权登记证书或软件购买合同；</w:t>
            </w:r>
          </w:p>
          <w:p w14:paraId="52EE8C6F">
            <w:pPr>
              <w:widowControl w:val="0"/>
              <w:spacing w:after="120" w:line="240" w:lineRule="auto"/>
              <w:ind w:left="0" w:leftChars="0" w:firstLine="0" w:firstLineChars="0"/>
              <w:jc w:val="both"/>
              <w:rPr>
                <w:rFonts w:hint="default" w:ascii="Times New Roman" w:hAnsi="Times New Roman" w:eastAsia="宋体" w:cs="Times New Roman"/>
                <w:spacing w:val="0"/>
                <w:kern w:val="2"/>
                <w:sz w:val="21"/>
                <w:szCs w:val="20"/>
                <w:lang w:val="en-US" w:eastAsia="zh-CN" w:bidi="ar-SA"/>
              </w:rPr>
            </w:pPr>
            <w:r>
              <w:rPr>
                <w:rFonts w:hint="eastAsia" w:ascii="仿宋" w:hAnsi="仿宋" w:eastAsia="仿宋" w:cs="宋体"/>
                <w:color w:val="000000"/>
                <w:spacing w:val="0"/>
                <w:kern w:val="2"/>
                <w:sz w:val="24"/>
                <w:szCs w:val="24"/>
                <w:lang w:val="en-US" w:eastAsia="zh-CN" w:bidi="ar-SA"/>
              </w:rPr>
              <w:t>证明材料：提供证书或软件购买合同扫描件。</w:t>
            </w:r>
          </w:p>
        </w:tc>
        <w:tc>
          <w:tcPr>
            <w:tcW w:w="413" w:type="pct"/>
          </w:tcPr>
          <w:p w14:paraId="210AAEAF">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w:t>
            </w:r>
          </w:p>
        </w:tc>
        <w:tc>
          <w:tcPr>
            <w:tcW w:w="697" w:type="pct"/>
          </w:tcPr>
          <w:p w14:paraId="02511449">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客观分</w:t>
            </w:r>
          </w:p>
        </w:tc>
      </w:tr>
      <w:tr w14:paraId="5DBF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016F100B">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11.2</w:t>
            </w:r>
          </w:p>
        </w:tc>
        <w:tc>
          <w:tcPr>
            <w:tcW w:w="722" w:type="pct"/>
          </w:tcPr>
          <w:p w14:paraId="1B7C035F">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商务资信</w:t>
            </w:r>
          </w:p>
        </w:tc>
        <w:tc>
          <w:tcPr>
            <w:tcW w:w="2703" w:type="pct"/>
          </w:tcPr>
          <w:p w14:paraId="66B19047">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投标人具有有效的质量管理体系认证证书的得1分。</w:t>
            </w:r>
          </w:p>
          <w:p w14:paraId="3CD55CAA">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证明材料：提供证书扫描件、国家认证认可监督管理委员会官网（http://www.cnca.gov.cn/）查询截图，不提供不得分。</w:t>
            </w:r>
          </w:p>
        </w:tc>
        <w:tc>
          <w:tcPr>
            <w:tcW w:w="413" w:type="pct"/>
          </w:tcPr>
          <w:p w14:paraId="611311F2">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w:t>
            </w:r>
          </w:p>
        </w:tc>
        <w:tc>
          <w:tcPr>
            <w:tcW w:w="697" w:type="pct"/>
          </w:tcPr>
          <w:p w14:paraId="3C4ED7B1">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客观分</w:t>
            </w:r>
          </w:p>
        </w:tc>
      </w:tr>
      <w:tr w14:paraId="3FD0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5707F836">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12</w:t>
            </w:r>
          </w:p>
        </w:tc>
        <w:tc>
          <w:tcPr>
            <w:tcW w:w="722" w:type="pct"/>
          </w:tcPr>
          <w:p w14:paraId="516E2E94">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商务资信</w:t>
            </w:r>
          </w:p>
        </w:tc>
        <w:tc>
          <w:tcPr>
            <w:tcW w:w="2703" w:type="pct"/>
          </w:tcPr>
          <w:p w14:paraId="633CEDD5">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投标人提供2023年1月1日起至投标截止时间止（以合同签订时间为准）同类合同业绩：每提供1份合同业绩得0.5分，最高得3分。</w:t>
            </w:r>
          </w:p>
          <w:p w14:paraId="3500D788">
            <w:pPr>
              <w:widowControl w:val="0"/>
              <w:spacing w:after="120" w:line="240" w:lineRule="auto"/>
              <w:ind w:left="0" w:leftChars="0" w:firstLine="0" w:firstLineChars="0"/>
              <w:jc w:val="both"/>
              <w:rPr>
                <w:rFonts w:hint="eastAsia" w:ascii="Times New Roman" w:hAnsi="Times New Roman" w:eastAsia="宋体" w:cs="Times New Roman"/>
                <w:spacing w:val="0"/>
                <w:kern w:val="2"/>
                <w:sz w:val="21"/>
                <w:szCs w:val="20"/>
                <w:lang w:val="en-US" w:eastAsia="zh-CN" w:bidi="ar-SA"/>
              </w:rPr>
            </w:pPr>
            <w:r>
              <w:rPr>
                <w:rFonts w:hint="eastAsia" w:ascii="仿宋" w:hAnsi="仿宋" w:eastAsia="仿宋" w:cs="宋体"/>
                <w:color w:val="000000"/>
                <w:spacing w:val="0"/>
                <w:kern w:val="2"/>
                <w:sz w:val="24"/>
                <w:szCs w:val="24"/>
                <w:lang w:val="en-US" w:eastAsia="zh-CN" w:bidi="ar-SA"/>
              </w:rPr>
              <w:t>证明材料：提供的合同扫描件</w:t>
            </w:r>
          </w:p>
        </w:tc>
        <w:tc>
          <w:tcPr>
            <w:tcW w:w="413" w:type="pct"/>
          </w:tcPr>
          <w:p w14:paraId="5089013C">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w:t>
            </w:r>
          </w:p>
        </w:tc>
        <w:tc>
          <w:tcPr>
            <w:tcW w:w="697" w:type="pct"/>
          </w:tcPr>
          <w:p w14:paraId="2B9AE124">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客观分</w:t>
            </w:r>
          </w:p>
        </w:tc>
      </w:tr>
    </w:tbl>
    <w:p w14:paraId="18DBDD64">
      <w:pPr>
        <w:spacing w:after="312" w:afterLines="100" w:line="340" w:lineRule="exact"/>
        <w:jc w:val="center"/>
        <w:outlineLvl w:val="0"/>
        <w:rPr>
          <w:rFonts w:hint="eastAsia" w:hAnsi="宋体" w:eastAsia="宋体" w:cs="Times New Roman"/>
          <w:b/>
          <w:color w:val="000000"/>
          <w:sz w:val="36"/>
          <w:szCs w:val="36"/>
        </w:rPr>
      </w:pPr>
    </w:p>
    <w:p w14:paraId="28B636E0">
      <w:pPr>
        <w:spacing w:after="312" w:afterLines="100" w:line="340" w:lineRule="exact"/>
        <w:jc w:val="center"/>
        <w:outlineLvl w:val="0"/>
        <w:rPr>
          <w:rFonts w:hint="eastAsia" w:hAnsi="宋体" w:eastAsia="宋体" w:cs="Times New Roman"/>
          <w:b/>
          <w:color w:val="000000"/>
          <w:sz w:val="36"/>
          <w:szCs w:val="36"/>
        </w:rPr>
      </w:pPr>
    </w:p>
    <w:p w14:paraId="17D99C47">
      <w:pPr>
        <w:spacing w:after="312" w:afterLines="100" w:line="340" w:lineRule="exact"/>
        <w:jc w:val="center"/>
        <w:outlineLvl w:val="0"/>
        <w:rPr>
          <w:rFonts w:hint="eastAsia" w:hAnsi="宋体" w:eastAsia="宋体" w:cs="Times New Roman"/>
          <w:b/>
          <w:color w:val="000000"/>
          <w:sz w:val="36"/>
          <w:szCs w:val="36"/>
        </w:rPr>
      </w:pPr>
    </w:p>
    <w:p w14:paraId="5394465D">
      <w:pPr>
        <w:spacing w:after="312" w:afterLines="100" w:line="340" w:lineRule="exact"/>
        <w:jc w:val="center"/>
        <w:outlineLvl w:val="0"/>
        <w:rPr>
          <w:rFonts w:hint="eastAsia" w:hAnsi="宋体" w:eastAsia="宋体" w:cs="Times New Roman"/>
          <w:b/>
          <w:color w:val="000000"/>
          <w:sz w:val="36"/>
          <w:szCs w:val="36"/>
        </w:rPr>
      </w:pPr>
    </w:p>
    <w:p w14:paraId="0CE9A369">
      <w:pPr>
        <w:spacing w:after="312" w:afterLines="100" w:line="340" w:lineRule="exact"/>
        <w:jc w:val="center"/>
        <w:outlineLvl w:val="0"/>
        <w:rPr>
          <w:rFonts w:hint="eastAsia" w:hAnsi="宋体" w:eastAsia="宋体" w:cs="Times New Roman"/>
          <w:b/>
          <w:color w:val="000000"/>
          <w:sz w:val="36"/>
          <w:szCs w:val="36"/>
        </w:rPr>
      </w:pPr>
    </w:p>
    <w:p w14:paraId="6EC74B09">
      <w:pPr>
        <w:spacing w:after="312" w:afterLines="100" w:line="340" w:lineRule="exact"/>
        <w:jc w:val="center"/>
        <w:outlineLvl w:val="0"/>
        <w:rPr>
          <w:rFonts w:hint="eastAsia" w:hAnsi="宋体" w:eastAsia="宋体" w:cs="Times New Roman"/>
          <w:b/>
          <w:color w:val="000000"/>
          <w:sz w:val="36"/>
          <w:szCs w:val="36"/>
        </w:rPr>
      </w:pPr>
    </w:p>
    <w:p w14:paraId="50E44460">
      <w:pPr>
        <w:spacing w:after="312" w:afterLines="100" w:line="340" w:lineRule="exact"/>
        <w:jc w:val="center"/>
        <w:outlineLvl w:val="0"/>
        <w:rPr>
          <w:rFonts w:hint="eastAsia" w:hAnsi="宋体" w:eastAsia="宋体" w:cs="Times New Roman"/>
          <w:b/>
          <w:color w:val="000000"/>
          <w:sz w:val="36"/>
          <w:szCs w:val="36"/>
        </w:rPr>
      </w:pPr>
    </w:p>
    <w:p w14:paraId="448EDD97">
      <w:pPr>
        <w:spacing w:after="312" w:afterLines="100" w:line="340" w:lineRule="exact"/>
        <w:jc w:val="center"/>
        <w:outlineLvl w:val="0"/>
        <w:rPr>
          <w:rFonts w:hint="eastAsia" w:hAnsi="宋体" w:eastAsia="宋体" w:cs="Times New Roman"/>
          <w:b/>
          <w:color w:val="000000"/>
          <w:sz w:val="36"/>
          <w:szCs w:val="36"/>
        </w:rPr>
      </w:pPr>
    </w:p>
    <w:p w14:paraId="401FCC94">
      <w:pPr>
        <w:spacing w:after="312" w:afterLines="100" w:line="340" w:lineRule="exact"/>
        <w:jc w:val="center"/>
        <w:outlineLvl w:val="0"/>
        <w:rPr>
          <w:rFonts w:hint="eastAsia" w:hAnsi="宋体" w:eastAsia="宋体" w:cs="Times New Roman"/>
          <w:b/>
          <w:color w:val="000000"/>
          <w:sz w:val="36"/>
          <w:szCs w:val="36"/>
        </w:rPr>
      </w:pPr>
    </w:p>
    <w:p w14:paraId="425ED348">
      <w:pPr>
        <w:spacing w:after="312" w:afterLines="100" w:line="340" w:lineRule="exact"/>
        <w:jc w:val="center"/>
        <w:outlineLvl w:val="0"/>
        <w:rPr>
          <w:rFonts w:hint="eastAsia" w:hAnsi="宋体" w:eastAsia="宋体" w:cs="Times New Roman"/>
          <w:b/>
          <w:color w:val="000000"/>
          <w:sz w:val="36"/>
          <w:szCs w:val="36"/>
        </w:rPr>
      </w:pPr>
    </w:p>
    <w:p w14:paraId="31A60812">
      <w:pPr>
        <w:spacing w:after="312" w:afterLines="100" w:line="340" w:lineRule="exact"/>
        <w:jc w:val="center"/>
        <w:outlineLvl w:val="0"/>
        <w:rPr>
          <w:rFonts w:hint="eastAsia" w:hAnsi="宋体" w:eastAsia="宋体" w:cs="Times New Roman"/>
          <w:b/>
          <w:color w:val="000000"/>
          <w:sz w:val="36"/>
          <w:szCs w:val="36"/>
        </w:rPr>
      </w:pPr>
    </w:p>
    <w:p w14:paraId="0703B99A">
      <w:pPr>
        <w:spacing w:after="312" w:afterLines="100" w:line="340" w:lineRule="exact"/>
        <w:jc w:val="center"/>
        <w:outlineLvl w:val="0"/>
        <w:rPr>
          <w:rFonts w:hint="eastAsia" w:hAnsi="宋体" w:eastAsia="宋体" w:cs="Times New Roman"/>
          <w:b/>
          <w:color w:val="000000"/>
          <w:sz w:val="36"/>
          <w:szCs w:val="36"/>
        </w:rPr>
      </w:pPr>
    </w:p>
    <w:p w14:paraId="31685EFF">
      <w:pPr>
        <w:spacing w:after="312" w:afterLines="100" w:line="340" w:lineRule="exact"/>
        <w:jc w:val="center"/>
        <w:outlineLvl w:val="0"/>
        <w:rPr>
          <w:rFonts w:hint="eastAsia" w:hAnsi="宋体" w:eastAsia="宋体" w:cs="Times New Roman"/>
          <w:b/>
          <w:color w:val="000000"/>
          <w:sz w:val="36"/>
          <w:szCs w:val="36"/>
        </w:rPr>
      </w:pPr>
    </w:p>
    <w:p w14:paraId="6492EFA5">
      <w:pPr>
        <w:spacing w:after="312" w:afterLines="100" w:line="340" w:lineRule="exact"/>
        <w:jc w:val="center"/>
        <w:outlineLvl w:val="0"/>
        <w:rPr>
          <w:rFonts w:hint="eastAsia" w:hAnsi="宋体" w:eastAsia="宋体" w:cs="Times New Roman"/>
          <w:b/>
          <w:color w:val="000000"/>
          <w:sz w:val="36"/>
          <w:szCs w:val="36"/>
        </w:rPr>
      </w:pPr>
    </w:p>
    <w:p w14:paraId="78B5A588">
      <w:pPr>
        <w:spacing w:after="312" w:afterLines="100" w:line="340" w:lineRule="exact"/>
        <w:jc w:val="center"/>
        <w:outlineLvl w:val="0"/>
        <w:rPr>
          <w:rFonts w:hint="eastAsia" w:hAnsi="宋体" w:eastAsia="宋体" w:cs="Times New Roman"/>
          <w:b/>
          <w:color w:val="000000"/>
          <w:sz w:val="36"/>
          <w:szCs w:val="36"/>
        </w:rPr>
      </w:pPr>
    </w:p>
    <w:p w14:paraId="3D791DF7">
      <w:pPr>
        <w:spacing w:after="312" w:afterLines="100" w:line="340" w:lineRule="exact"/>
        <w:jc w:val="center"/>
        <w:outlineLvl w:val="0"/>
        <w:rPr>
          <w:rFonts w:hint="eastAsia" w:hAnsi="宋体" w:eastAsia="宋体" w:cs="Times New Roman"/>
          <w:b/>
          <w:color w:val="000000"/>
          <w:sz w:val="36"/>
          <w:szCs w:val="36"/>
        </w:rPr>
      </w:pPr>
    </w:p>
    <w:p w14:paraId="2D862D45">
      <w:pPr>
        <w:spacing w:after="312" w:afterLines="100" w:line="340" w:lineRule="exact"/>
        <w:jc w:val="center"/>
        <w:outlineLvl w:val="0"/>
        <w:rPr>
          <w:rFonts w:hint="eastAsia" w:hAnsi="宋体" w:eastAsia="宋体" w:cs="Times New Roman"/>
          <w:b/>
          <w:color w:val="000000"/>
          <w:sz w:val="36"/>
          <w:szCs w:val="36"/>
        </w:rPr>
      </w:pPr>
    </w:p>
    <w:p w14:paraId="1537F270">
      <w:pPr>
        <w:spacing w:after="312" w:afterLines="100" w:line="340" w:lineRule="exact"/>
        <w:jc w:val="center"/>
        <w:outlineLvl w:val="0"/>
        <w:rPr>
          <w:rFonts w:hint="eastAsia" w:hAnsi="宋体" w:eastAsia="宋体" w:cs="Times New Roman"/>
          <w:b/>
          <w:color w:val="000000"/>
          <w:sz w:val="36"/>
          <w:szCs w:val="36"/>
        </w:rPr>
      </w:pPr>
    </w:p>
    <w:p w14:paraId="2A8EF372">
      <w:pPr>
        <w:spacing w:after="312" w:afterLines="100" w:line="340" w:lineRule="exact"/>
        <w:jc w:val="center"/>
        <w:outlineLvl w:val="0"/>
        <w:rPr>
          <w:rFonts w:hint="eastAsia" w:hAnsi="宋体" w:eastAsia="宋体" w:cs="Times New Roman"/>
          <w:b/>
          <w:color w:val="000000"/>
          <w:sz w:val="36"/>
          <w:szCs w:val="36"/>
        </w:rPr>
      </w:pPr>
    </w:p>
    <w:p w14:paraId="1F8281AB">
      <w:pPr>
        <w:spacing w:after="312" w:afterLines="100" w:line="340" w:lineRule="exact"/>
        <w:jc w:val="center"/>
        <w:outlineLvl w:val="0"/>
        <w:rPr>
          <w:rFonts w:hint="eastAsia" w:hAnsi="宋体" w:eastAsia="宋体" w:cs="Times New Roman"/>
          <w:b/>
          <w:color w:val="000000"/>
          <w:sz w:val="36"/>
          <w:szCs w:val="36"/>
        </w:rPr>
      </w:pPr>
    </w:p>
    <w:p w14:paraId="4369E5BB">
      <w:pPr>
        <w:spacing w:after="312" w:afterLines="100" w:line="340" w:lineRule="exact"/>
        <w:jc w:val="center"/>
        <w:outlineLvl w:val="0"/>
        <w:rPr>
          <w:rFonts w:hint="eastAsia" w:hAnsi="宋体" w:eastAsia="宋体" w:cs="Times New Roman"/>
          <w:b/>
          <w:color w:val="000000"/>
          <w:sz w:val="36"/>
          <w:szCs w:val="36"/>
        </w:rPr>
      </w:pPr>
    </w:p>
    <w:p w14:paraId="2CD08490">
      <w:pPr>
        <w:spacing w:after="312" w:afterLines="100" w:line="340" w:lineRule="exact"/>
        <w:jc w:val="center"/>
        <w:outlineLvl w:val="0"/>
        <w:rPr>
          <w:rFonts w:hint="eastAsia" w:hAnsi="宋体" w:eastAsia="宋体" w:cs="Times New Roman"/>
          <w:b/>
          <w:color w:val="000000"/>
          <w:sz w:val="36"/>
          <w:szCs w:val="36"/>
        </w:rPr>
      </w:pPr>
    </w:p>
    <w:p w14:paraId="489B26B0">
      <w:pPr>
        <w:spacing w:after="312" w:afterLines="100" w:line="340" w:lineRule="exact"/>
        <w:jc w:val="center"/>
        <w:outlineLvl w:val="0"/>
        <w:rPr>
          <w:rFonts w:hAnsi="宋体" w:eastAsia="宋体" w:cs="Times New Roman"/>
          <w:b/>
          <w:color w:val="000000"/>
          <w:sz w:val="36"/>
          <w:szCs w:val="36"/>
        </w:rPr>
      </w:pPr>
      <w:r>
        <w:rPr>
          <w:rFonts w:hint="eastAsia" w:hAnsi="宋体" w:eastAsia="宋体" w:cs="Times New Roman"/>
          <w:b/>
          <w:color w:val="000000"/>
          <w:sz w:val="36"/>
          <w:szCs w:val="36"/>
        </w:rPr>
        <w:t>第四章</w:t>
      </w:r>
      <w:r>
        <w:rPr>
          <w:rFonts w:hint="eastAsia" w:hAnsi="宋体" w:eastAsia="宋体" w:cs="Times New Roman"/>
          <w:b/>
          <w:color w:val="000000"/>
          <w:sz w:val="36"/>
          <w:szCs w:val="36"/>
          <w:lang w:val="en-US" w:eastAsia="zh-CN"/>
        </w:rPr>
        <w:t xml:space="preserve"> </w:t>
      </w:r>
      <w:r>
        <w:rPr>
          <w:rFonts w:hint="eastAsia" w:hAnsi="宋体" w:eastAsia="宋体" w:cs="Times New Roman"/>
          <w:b/>
          <w:color w:val="000000"/>
          <w:sz w:val="36"/>
          <w:szCs w:val="36"/>
        </w:rPr>
        <w:t>招标需求</w:t>
      </w:r>
      <w:bookmarkEnd w:id="22"/>
      <w:bookmarkEnd w:id="23"/>
    </w:p>
    <w:p w14:paraId="1B4E792D">
      <w:pPr>
        <w:snapToGrid w:val="0"/>
        <w:spacing w:before="156" w:beforeLines="50" w:after="156" w:afterLines="50"/>
        <w:rPr>
          <w:rFonts w:ascii="宋体" w:hAnsi="宋体" w:eastAsia="宋体" w:cs="Times New Roman"/>
          <w:b/>
          <w:color w:val="000000"/>
          <w:spacing w:val="40"/>
          <w:kern w:val="0"/>
          <w:sz w:val="36"/>
          <w:szCs w:val="36"/>
        </w:rPr>
      </w:pPr>
    </w:p>
    <w:p w14:paraId="225D155E">
      <w:pPr>
        <w:snapToGrid w:val="0"/>
        <w:spacing w:before="156" w:beforeLines="50" w:after="156" w:afterLines="50"/>
        <w:rPr>
          <w:rFonts w:ascii="仿宋" w:hAnsi="仿宋" w:eastAsia="仿宋" w:cs="Times New Roman"/>
          <w:b/>
          <w:color w:val="000000"/>
          <w:spacing w:val="40"/>
          <w:kern w:val="0"/>
          <w:sz w:val="28"/>
          <w:szCs w:val="28"/>
        </w:rPr>
      </w:pPr>
      <w:r>
        <w:rPr>
          <w:rFonts w:hint="eastAsia" w:ascii="仿宋" w:hAnsi="仿宋" w:eastAsia="仿宋" w:cs="Times New Roman"/>
          <w:b/>
          <w:color w:val="000000"/>
          <w:spacing w:val="40"/>
          <w:kern w:val="0"/>
          <w:sz w:val="28"/>
          <w:szCs w:val="28"/>
        </w:rPr>
        <w:t>特别说明：</w:t>
      </w:r>
    </w:p>
    <w:p w14:paraId="76AD9D77">
      <w:pPr>
        <w:spacing w:line="360" w:lineRule="auto"/>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1.需求中不允许偏离的实质性要求和条件，以“▲”号标明，如投标人未响应的，将被视为无效。</w:t>
      </w:r>
    </w:p>
    <w:p w14:paraId="63D38916">
      <w:pPr>
        <w:spacing w:line="360" w:lineRule="auto"/>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2.核心产品在各标项内容中明确，如出现同品牌情况的，评标委员会根据评审原则第4条规定执行</w:t>
      </w:r>
      <w:r>
        <w:rPr>
          <w:rFonts w:hint="eastAsia" w:ascii="仿宋" w:hAnsi="仿宋" w:eastAsia="仿宋_GB2312" w:cs="Times New Roman"/>
          <w:b/>
          <w:color w:val="000000"/>
          <w:sz w:val="30"/>
          <w:szCs w:val="30"/>
        </w:rPr>
        <w:t>。</w:t>
      </w:r>
    </w:p>
    <w:p w14:paraId="26F753DC">
      <w:pPr>
        <w:spacing w:line="360" w:lineRule="auto"/>
        <w:ind w:firstLine="562" w:firstLineChars="200"/>
        <w:rPr>
          <w:rFonts w:ascii="仿宋" w:hAnsi="仿宋" w:eastAsia="仿宋_GB2312" w:cs="Times New Roman"/>
          <w:b/>
          <w:color w:val="000000"/>
          <w:sz w:val="30"/>
          <w:szCs w:val="30"/>
        </w:rPr>
      </w:pPr>
      <w:r>
        <w:rPr>
          <w:rFonts w:hint="eastAsia" w:ascii="仿宋" w:hAnsi="仿宋" w:eastAsia="仿宋" w:cs="Times New Roman"/>
          <w:b/>
          <w:color w:val="000000"/>
          <w:sz w:val="28"/>
          <w:szCs w:val="28"/>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cs="Times New Roman"/>
          <w:b/>
          <w:color w:val="000000"/>
          <w:sz w:val="28"/>
          <w:szCs w:val="28"/>
          <w:lang w:eastAsia="zh-CN"/>
        </w:rPr>
        <w:t>。</w:t>
      </w:r>
    </w:p>
    <w:p w14:paraId="7146BABB">
      <w:pPr>
        <w:spacing w:line="360" w:lineRule="auto"/>
        <w:ind w:firstLine="562" w:firstLineChars="200"/>
        <w:rPr>
          <w:rFonts w:hint="eastAsia" w:ascii="仿宋" w:hAnsi="仿宋" w:eastAsia="仿宋" w:cs="Times New Roman"/>
          <w:b/>
          <w:color w:val="000000"/>
          <w:sz w:val="28"/>
          <w:szCs w:val="28"/>
        </w:rPr>
      </w:pPr>
      <w:r>
        <w:rPr>
          <w:rFonts w:hint="eastAsia" w:ascii="仿宋" w:hAnsi="仿宋" w:eastAsia="仿宋" w:cs="Times New Roman"/>
          <w:b/>
          <w:color w:val="000000"/>
          <w:sz w:val="28"/>
          <w:szCs w:val="28"/>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2274461E">
      <w:pPr>
        <w:spacing w:line="360" w:lineRule="auto"/>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lang w:val="en-US" w:eastAsia="zh-CN"/>
        </w:rPr>
        <w:t>5</w:t>
      </w:r>
      <w:r>
        <w:rPr>
          <w:rFonts w:ascii="仿宋" w:hAnsi="仿宋" w:eastAsia="仿宋" w:cs="Times New Roman"/>
          <w:b/>
          <w:color w:val="000000"/>
          <w:sz w:val="28"/>
          <w:szCs w:val="28"/>
        </w:rPr>
        <w:t>.</w:t>
      </w:r>
      <w:r>
        <w:rPr>
          <w:rFonts w:hint="eastAsia" w:ascii="仿宋" w:hAnsi="仿宋" w:eastAsia="仿宋" w:cs="Times New Roman"/>
          <w:b/>
          <w:color w:val="000000"/>
          <w:sz w:val="28"/>
          <w:szCs w:val="28"/>
        </w:rPr>
        <w:t>供应商承诺提供赠品、回扣、采购预算中本身不包含的其他商品或服务，视作无效承诺。</w:t>
      </w:r>
    </w:p>
    <w:p w14:paraId="279D51BB">
      <w:pPr>
        <w:widowControl w:val="0"/>
        <w:spacing w:before="156" w:beforeLines="50" w:after="156" w:afterLines="50" w:line="360" w:lineRule="auto"/>
        <w:jc w:val="both"/>
        <w:rPr>
          <w:rFonts w:ascii="仿宋" w:hAnsi="仿宋" w:eastAsia="仿宋" w:cs="Arial"/>
          <w:b/>
          <w:color w:val="000000"/>
          <w:kern w:val="2"/>
          <w:sz w:val="28"/>
          <w:szCs w:val="28"/>
          <w:lang w:val="en-US" w:eastAsia="zh-CN" w:bidi="ar-SA"/>
        </w:rPr>
      </w:pPr>
      <w:bookmarkStart w:id="24" w:name="_Toc496796639"/>
    </w:p>
    <w:p w14:paraId="1A7D42EF">
      <w:pPr>
        <w:jc w:val="center"/>
        <w:rPr>
          <w:rFonts w:hint="eastAsia" w:hAnsi="宋体" w:eastAsia="宋体" w:cs="Times New Roman"/>
          <w:b/>
          <w:color w:val="000000"/>
          <w:sz w:val="36"/>
          <w:szCs w:val="36"/>
          <w:lang w:eastAsia="zh-CN"/>
        </w:rPr>
      </w:pPr>
      <w:bookmarkStart w:id="25" w:name="PO_416_PM050"/>
      <w:r>
        <w:rPr>
          <w:rFonts w:hint="eastAsia" w:hAnsi="宋体" w:eastAsia="宋体" w:cs="Times New Roman"/>
          <w:b/>
          <w:color w:val="000000"/>
          <w:sz w:val="36"/>
          <w:szCs w:val="36"/>
          <w:lang w:eastAsia="zh-CN"/>
        </w:rPr>
        <w:t xml:space="preserve"> </w:t>
      </w:r>
      <w:bookmarkEnd w:id="25"/>
      <w:bookmarkStart w:id="26" w:name="PO_TDCUS_ITEM_PB_REQ_TITLE_0_0"/>
    </w:p>
    <w:p w14:paraId="04B21E5D">
      <w:pPr>
        <w:jc w:val="center"/>
        <w:rPr>
          <w:rFonts w:hint="eastAsia" w:hAnsi="宋体" w:eastAsia="宋体" w:cs="Times New Roman"/>
          <w:b/>
          <w:color w:val="000000"/>
          <w:sz w:val="36"/>
          <w:szCs w:val="36"/>
          <w:lang w:eastAsia="zh-CN"/>
        </w:rPr>
      </w:pPr>
    </w:p>
    <w:p w14:paraId="2DBB7435">
      <w:pPr>
        <w:jc w:val="both"/>
        <w:rPr>
          <w:rFonts w:hint="eastAsia" w:ascii="宋体" w:hAnsi="宋体" w:eastAsia="宋体" w:cs="Times New Roman"/>
          <w:b/>
          <w:bCs/>
          <w:color w:val="000000"/>
          <w:sz w:val="36"/>
          <w:szCs w:val="36"/>
          <w:lang w:eastAsia="zh-CN"/>
        </w:rPr>
      </w:pPr>
    </w:p>
    <w:p w14:paraId="2DD29AB8">
      <w:pPr>
        <w:jc w:val="center"/>
        <w:rPr>
          <w:rFonts w:hint="eastAsia" w:ascii="宋体" w:hAnsi="宋体" w:eastAsia="宋体" w:cs="Times New Roman"/>
          <w:b/>
          <w:bCs/>
          <w:color w:val="000000"/>
          <w:sz w:val="44"/>
          <w:szCs w:val="44"/>
          <w:lang w:eastAsia="zh-CN"/>
        </w:rPr>
      </w:pPr>
    </w:p>
    <w:p w14:paraId="08B92AFB">
      <w:pPr>
        <w:jc w:val="center"/>
        <w:rPr>
          <w:rFonts w:hint="eastAsia" w:ascii="宋体" w:hAnsi="宋体" w:eastAsia="宋体" w:cs="Times New Roman"/>
          <w:b/>
          <w:bCs/>
          <w:color w:val="000000"/>
          <w:sz w:val="44"/>
          <w:szCs w:val="44"/>
          <w:lang w:eastAsia="zh-CN"/>
        </w:rPr>
      </w:pPr>
    </w:p>
    <w:p w14:paraId="52D24423">
      <w:pPr>
        <w:jc w:val="center"/>
        <w:rPr>
          <w:rFonts w:hint="eastAsia" w:ascii="宋体" w:hAnsi="宋体" w:eastAsia="宋体" w:cs="Times New Roman"/>
          <w:b/>
          <w:bCs/>
          <w:color w:val="000000"/>
          <w:sz w:val="44"/>
          <w:szCs w:val="44"/>
          <w:lang w:eastAsia="zh-CN"/>
        </w:rPr>
      </w:pPr>
    </w:p>
    <w:p w14:paraId="6CCD8D26">
      <w:pPr>
        <w:jc w:val="both"/>
        <w:rPr>
          <w:rFonts w:hint="eastAsia" w:ascii="宋体" w:hAnsi="宋体" w:eastAsia="宋体" w:cs="Times New Roman"/>
          <w:b/>
          <w:bCs/>
          <w:color w:val="000000"/>
          <w:sz w:val="44"/>
          <w:szCs w:val="44"/>
          <w:lang w:eastAsia="zh-CN"/>
        </w:rPr>
      </w:pPr>
    </w:p>
    <w:p w14:paraId="7D45D925">
      <w:pPr>
        <w:jc w:val="center"/>
        <w:rPr>
          <w:rFonts w:hint="eastAsia" w:ascii="宋体" w:hAnsi="宋体" w:eastAsia="宋体" w:cs="Times New Roman"/>
          <w:b/>
          <w:bCs/>
          <w:color w:val="000000"/>
          <w:sz w:val="44"/>
          <w:szCs w:val="44"/>
          <w:lang w:eastAsia="zh-CN"/>
        </w:rPr>
      </w:pPr>
    </w:p>
    <w:p w14:paraId="6DDC45D5">
      <w:pPr>
        <w:jc w:val="center"/>
        <w:rPr>
          <w:rFonts w:eastAsia="宋体" w:cs="Times New Roman"/>
        </w:rPr>
      </w:pPr>
      <w:r>
        <w:rPr>
          <w:rFonts w:hint="eastAsia" w:ascii="宋体" w:hAnsi="宋体" w:eastAsia="宋体" w:cs="Times New Roman"/>
          <w:b/>
          <w:bCs/>
          <w:color w:val="000000"/>
          <w:sz w:val="44"/>
          <w:szCs w:val="44"/>
          <w:lang w:eastAsia="zh-CN"/>
        </w:rPr>
        <w:t>标项1</w:t>
      </w:r>
      <w:bookmarkEnd w:id="26"/>
      <w:bookmarkStart w:id="27" w:name="PO_TDCUS_ITEM_PB_REQ_FILE_1_1_0"/>
      <w:r>
        <w:rPr>
          <w:rFonts w:hint="eastAsia" w:ascii="宋体" w:hAnsi="宋体" w:eastAsia="宋体" w:cs="Times New Roman"/>
          <w:b/>
          <w:bCs/>
          <w:color w:val="000000"/>
          <w:sz w:val="44"/>
          <w:szCs w:val="44"/>
          <w:lang w:eastAsia="zh-CN"/>
        </w:rPr>
        <w:t>：</w:t>
      </w:r>
      <w:bookmarkEnd w:id="27"/>
      <w:bookmarkStart w:id="28" w:name="_Toc26308"/>
      <w:r>
        <w:rPr>
          <w:rFonts w:hint="eastAsia" w:ascii="宋体" w:hAnsi="宋体" w:eastAsia="宋体" w:cs="Times New Roman"/>
          <w:b/>
          <w:bCs/>
          <w:color w:val="000000"/>
          <w:sz w:val="44"/>
          <w:szCs w:val="44"/>
          <w:lang w:eastAsia="zh-CN"/>
        </w:rPr>
        <w:t>浙江科技大学“浙科智学”数字化教学综合平台</w:t>
      </w:r>
    </w:p>
    <w:p w14:paraId="7BB49FCC">
      <w:pPr>
        <w:jc w:val="center"/>
        <w:rPr>
          <w:rFonts w:eastAsia="宋体" w:cs="Times New Roman"/>
        </w:rPr>
      </w:pPr>
    </w:p>
    <w:p w14:paraId="43BA1BA5">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 w:hAnsi="仿宋" w:eastAsia="仿宋" w:cs="仿宋"/>
          <w:b/>
          <w:bCs/>
          <w:sz w:val="16"/>
          <w:szCs w:val="16"/>
          <w14:ligatures w14:val="standardContextual"/>
        </w:rPr>
      </w:pPr>
    </w:p>
    <w:p w14:paraId="32C96DF2">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lang w:val="en-US" w:eastAsia="zh-CN"/>
        </w:rPr>
        <w:t>一</w:t>
      </w:r>
      <w:r>
        <w:rPr>
          <w:rFonts w:hint="eastAsia" w:ascii="宋体" w:hAnsi="宋体" w:eastAsia="宋体" w:cs="Times New Roman"/>
          <w:b/>
          <w:szCs w:val="21"/>
        </w:rPr>
        <w:t>、技术要求</w:t>
      </w:r>
      <w:bookmarkStart w:id="29" w:name="_Hlk45005556"/>
    </w:p>
    <w:bookmarkEnd w:id="29"/>
    <w:p w14:paraId="44DC7895">
      <w:pPr>
        <w:adjustRightInd w:val="0"/>
        <w:snapToGrid w:val="0"/>
        <w:spacing w:line="288" w:lineRule="auto"/>
        <w:rPr>
          <w:rFonts w:ascii="宋体" w:hAnsi="宋体" w:eastAsia="宋体" w:cs="宋体"/>
          <w:b/>
          <w:bCs/>
          <w:szCs w:val="21"/>
        </w:rPr>
      </w:pPr>
      <w:bookmarkStart w:id="30" w:name="_Hlk92271413"/>
      <w:r>
        <w:rPr>
          <w:rFonts w:hint="eastAsia" w:ascii="宋体" w:hAnsi="宋体" w:eastAsia="宋体" w:cs="宋体"/>
          <w:b/>
          <w:bCs/>
          <w:szCs w:val="21"/>
        </w:rPr>
        <w:t>（一）需执行的国家相关标准、行业标准、地方标准或者其他标准、规范：</w:t>
      </w:r>
      <w:bookmarkStart w:id="31" w:name="_Hlk94018176"/>
      <w:r>
        <w:rPr>
          <w:rFonts w:hint="eastAsia" w:ascii="宋体" w:hAnsi="宋体" w:eastAsia="宋体" w:cs="宋体"/>
          <w:szCs w:val="21"/>
        </w:rPr>
        <w:t>如技术要求中未注明需执行的国家相关标准、行业标准、地方标准或者其他标准、规范的，执行最新标准、规范。</w:t>
      </w:r>
      <w:bookmarkEnd w:id="31"/>
      <w:r>
        <w:rPr>
          <w:rFonts w:hint="eastAsia" w:ascii="宋体" w:hAnsi="宋体" w:eastAsia="宋体" w:cs="宋体"/>
          <w:szCs w:val="21"/>
        </w:rPr>
        <w:t>符合相关质量管理标准。</w:t>
      </w:r>
    </w:p>
    <w:bookmarkEnd w:id="30"/>
    <w:p w14:paraId="73042078">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（二）需实现的目标：</w:t>
      </w:r>
    </w:p>
    <w:p w14:paraId="66942976">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我校“浙科智学”数字化教学综合平台，深度融合人工智能、大数据、云计算等前沿技术，构建集教学、管理与服务于一体的综合性教育信息化平台，通过“五维协同、双核驱动、一体保障”的创新架构，实现教学资源的高效整合与优化配置，为师生提供个性化、智能化的教学与学习体验，打造具有我校特色的智能化教育教学生态系统。在此基础上，为学校的教育教学改革与发展提供坚实的技术支撑与服务保障，推动教育教学质量的全面提升，助力学校教育现代化进程，并为培养适应新时代需求的创新型人才奠定坚实基础。具体建设内容包括教学软件体系构建、教室直录播环境提升、教学多媒体设备提升三大模块。</w:t>
      </w:r>
    </w:p>
    <w:p w14:paraId="08928C88">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项目最终实现：</w:t>
      </w:r>
    </w:p>
    <w:p w14:paraId="200E45EE">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以智促学。将小和山校区149间教室的线下授课过程，全部按照教学安排，同步实现线上高清直播、录播。学生点击课表就可以上直播课，课后还可以点播回看，大大方便学生的复习、重修、辅修。并且，使用多种AI技术辅助学习过程，促进知识点的掌握、开展精准知识推荐。提升学习体验的同时提高学习效率。学生学习方式由传统的静态学习转变为主动学、反复学、移动学习、陪伴式学习。实现高效学习与个性化学习，进而逐渐乐学爱学。</w:t>
      </w:r>
    </w:p>
    <w:p w14:paraId="481BB423">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以智促教。新兴技术将在辅助教师备课、辅助课堂教学互动等方面赋能。支持知识图谱建设、教师数字人创建、AI智能体搭建。满足AI课件制作、AI出题、AI批阅、AI教案等教师日常备课需求，最大程度助力教师教学创新。“看不见的服务”和“看不见的管理”使教师得以摆脱大量的事务性工作，从而有更多的时间提升自我、研究教学、指导学生，职业幸福感不断提升。</w:t>
      </w:r>
    </w:p>
    <w:p w14:paraId="07B64C5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以智促管。实现跨校区教学、远程教学、跨境教学。打破教学的时空限制，扩大教学的场景和范围，降低因时空障碍产生的教学成本。采集到课率、前排率、抬头率、学生课堂行为、教师教学氛围等教学数据，促进整体的教风学风建设和课堂教学质量。课堂教学大数据分析，辅助教学管理决策精准化、科学化。加强安全管理，语言识别课堂语言内容，开展课堂教学内容安全监测。</w:t>
      </w:r>
    </w:p>
    <w:p w14:paraId="00E3E5D4">
      <w:pPr>
        <w:spacing w:line="288" w:lineRule="auto"/>
        <w:ind w:firstLine="420" w:firstLineChars="200"/>
        <w:rPr>
          <w:rFonts w:ascii="宋体" w:hAnsi="宋体" w:eastAsia="宋体" w:cs="宋体"/>
          <w:szCs w:val="21"/>
        </w:rPr>
      </w:pPr>
      <w:r>
        <w:rPr>
          <w:rFonts w:hint="eastAsia" w:ascii="宋体" w:hAnsi="宋体" w:eastAsia="宋体" w:cs="宋体"/>
          <w:szCs w:val="21"/>
        </w:rPr>
        <w:t>“浙科智学”数字化教学综合平台项目包括教学软件体系构建、教室直录播环境提升、教学多媒体设备提升三大方面。</w:t>
      </w:r>
    </w:p>
    <w:p w14:paraId="3BA05B3D">
      <w:pPr>
        <w:spacing w:line="288" w:lineRule="auto"/>
        <w:rPr>
          <w:rFonts w:ascii="宋体" w:hAnsi="宋体" w:eastAsia="宋体" w:cs="宋体"/>
          <w:b/>
          <w:bCs/>
          <w:szCs w:val="21"/>
        </w:rPr>
      </w:pPr>
      <w:r>
        <w:rPr>
          <w:rFonts w:hint="eastAsia" w:ascii="宋体" w:hAnsi="宋体" w:eastAsia="宋体" w:cs="宋体"/>
          <w:b/>
          <w:bCs/>
          <w:szCs w:val="21"/>
        </w:rPr>
        <w:t>1.教学软件体系构建</w:t>
      </w:r>
    </w:p>
    <w:p w14:paraId="20F4B918">
      <w:pPr>
        <w:spacing w:line="288" w:lineRule="auto"/>
        <w:ind w:firstLine="420" w:firstLineChars="200"/>
        <w:rPr>
          <w:rFonts w:hint="eastAsia" w:eastAsia="宋体" w:cs="Times New Roman"/>
          <w:lang w:val="en-US" w:eastAsia="zh-CN"/>
        </w:rPr>
      </w:pPr>
      <w:r>
        <w:rPr>
          <w:rFonts w:hint="eastAsia" w:ascii="宋体" w:hAnsi="宋体" w:eastAsia="宋体" w:cs="宋体"/>
          <w:szCs w:val="21"/>
        </w:rPr>
        <w:t>我校“浙科智学”数字化教学综合平台，深度融合人工智能、大数据、云计算等前沿技术，构建集教学、管理与服务于一体的综合性教育信息化平台，通过“五维协同、双核驱动、一体保障”的创新架构，实现教学资源的高效整合与优化配置，为师生提供个性化、智能化的教学与学习体验，打造具有我校特色的智能化教育教学生态系统。主要包括：“浙科智学”智慧课程平台、“浙科智学”智慧课堂直录播平台、“浙科智学”教学质量保障子系统（智慧巡课督导）、“浙科智学”多维数据驾驶舱、“浙科智学”AI教务问答系统、“浙科智学”安全监测系统、“浙科智学”集中控制平台、定制化“浙科智学”数字化教学平台门户登录首页。在此基础上，为学校的教育教学改革与发展提供坚实的技术支撑与服务保障，推动教育教学质量的全面提升，助力学校教育现代化进程，并为培养适应新时代需求的创新型人才奠定坚实基础。</w:t>
      </w:r>
    </w:p>
    <w:p w14:paraId="14D2B5F1">
      <w:pPr>
        <w:spacing w:line="288" w:lineRule="auto"/>
        <w:rPr>
          <w:rFonts w:ascii="宋体" w:hAnsi="宋体" w:eastAsia="宋体" w:cs="宋体"/>
          <w:b/>
          <w:bCs/>
          <w:szCs w:val="21"/>
        </w:rPr>
      </w:pPr>
      <w:r>
        <w:rPr>
          <w:rFonts w:hint="eastAsia" w:ascii="宋体" w:hAnsi="宋体" w:eastAsia="宋体" w:cs="宋体"/>
          <w:b/>
          <w:bCs/>
          <w:szCs w:val="21"/>
        </w:rPr>
        <w:t>2.教室直录播环境提升</w:t>
      </w:r>
    </w:p>
    <w:p w14:paraId="21D47FB5">
      <w:pPr>
        <w:spacing w:line="288" w:lineRule="auto"/>
        <w:ind w:firstLine="420" w:firstLineChars="200"/>
        <w:rPr>
          <w:rFonts w:ascii="宋体" w:hAnsi="宋体" w:eastAsia="宋体" w:cs="宋体"/>
          <w:szCs w:val="21"/>
        </w:rPr>
      </w:pPr>
      <w:r>
        <w:rPr>
          <w:rFonts w:hint="eastAsia" w:ascii="宋体" w:hAnsi="宋体" w:eastAsia="宋体" w:cs="宋体"/>
          <w:kern w:val="0"/>
          <w:szCs w:val="21"/>
          <w:lang w:bidi="ar"/>
        </w:rPr>
        <w:t>将我校小和山校区149间教室纳入</w:t>
      </w:r>
      <w:r>
        <w:rPr>
          <w:rFonts w:hint="eastAsia" w:ascii="宋体" w:hAnsi="宋体" w:eastAsia="宋体" w:cs="宋体"/>
          <w:szCs w:val="21"/>
        </w:rPr>
        <w:t>“浙科智学”智慧课堂直录播平台，开展直录播硬件安装。其中8间教室原建成智慧教室已搭建直录播硬件系统，音视频信号接入即可。其余141间教室将加装教师摄像头、学生摄像头、拾音系统等，开展所需的网络及电路实施工作，最终实现课堂教学视频数字化留存、学生线上看课，督导在线巡课。</w:t>
      </w:r>
      <w:r>
        <w:rPr>
          <w:rFonts w:hint="eastAsia" w:ascii="宋体" w:hAnsi="宋体" w:eastAsia="宋体" w:cs="宋体"/>
          <w:b/>
          <w:bCs/>
          <w:szCs w:val="21"/>
        </w:rPr>
        <w:t>详见表1《浙江科技大学“浙科智学”项目-教室直录播提升方案》。</w:t>
      </w:r>
    </w:p>
    <w:p w14:paraId="58F92286">
      <w:pPr>
        <w:spacing w:line="288" w:lineRule="auto"/>
        <w:ind w:firstLine="420" w:firstLineChars="200"/>
        <w:rPr>
          <w:rFonts w:ascii="宋体" w:hAnsi="宋体" w:eastAsia="宋体" w:cs="宋体"/>
          <w:szCs w:val="21"/>
        </w:rPr>
      </w:pPr>
      <w:r>
        <w:rPr>
          <w:rFonts w:hint="eastAsia" w:ascii="宋体" w:hAnsi="宋体" w:eastAsia="宋体" w:cs="宋体"/>
          <w:szCs w:val="21"/>
        </w:rPr>
        <w:t>主要提升内容有：加装课堂直录播专用教师摄像机、学生摄像机、教室收音设备、教室录播主机等设备，组建一套完整的硬件支持系统。实现课堂教学音视频实时收录、处理、暂存，最终通过网络传输至学校中心服务器。提供存储服务器保证1年存储容量。</w:t>
      </w:r>
    </w:p>
    <w:p w14:paraId="4218F236">
      <w:pPr>
        <w:spacing w:line="288" w:lineRule="auto"/>
        <w:rPr>
          <w:rFonts w:ascii="宋体" w:hAnsi="宋体" w:eastAsia="宋体" w:cs="宋体"/>
          <w:b/>
          <w:bCs/>
          <w:szCs w:val="21"/>
        </w:rPr>
      </w:pPr>
      <w:r>
        <w:rPr>
          <w:rFonts w:hint="eastAsia" w:ascii="宋体" w:hAnsi="宋体" w:eastAsia="宋体" w:cs="宋体"/>
          <w:b/>
          <w:bCs/>
          <w:szCs w:val="21"/>
        </w:rPr>
        <w:t>3.教学多媒体设备提升</w:t>
      </w:r>
    </w:p>
    <w:p w14:paraId="3A1299BF">
      <w:pPr>
        <w:spacing w:line="288" w:lineRule="auto"/>
        <w:ind w:firstLine="420" w:firstLineChars="200"/>
        <w:rPr>
          <w:rFonts w:ascii="宋体" w:hAnsi="宋体" w:eastAsia="宋体" w:cs="宋体"/>
          <w:szCs w:val="21"/>
        </w:rPr>
      </w:pPr>
      <w:r>
        <w:rPr>
          <w:rFonts w:hint="eastAsia" w:ascii="宋体" w:hAnsi="宋体" w:eastAsia="宋体" w:cs="宋体"/>
          <w:kern w:val="0"/>
          <w:szCs w:val="21"/>
          <w:lang w:bidi="ar"/>
        </w:rPr>
        <w:t>“8+117”公共教室多媒体设备提质升级。</w:t>
      </w:r>
      <w:r>
        <w:rPr>
          <w:rFonts w:hint="eastAsia" w:ascii="宋体" w:hAnsi="宋体" w:eastAsia="宋体" w:cs="宋体"/>
          <w:szCs w:val="21"/>
        </w:rPr>
        <w:t>在经费有限情况下，以满足125间公共教室需要为出发点，</w:t>
      </w:r>
      <w:r>
        <w:rPr>
          <w:rFonts w:hint="eastAsia" w:ascii="宋体" w:hAnsi="宋体" w:eastAsia="宋体" w:cs="宋体"/>
          <w:b/>
          <w:bCs/>
          <w:szCs w:val="21"/>
        </w:rPr>
        <w:t>围绕教学必备的“一屏、一板、一桌”进行教学多媒体设备升级</w:t>
      </w:r>
      <w:r>
        <w:rPr>
          <w:rFonts w:hint="eastAsia" w:ascii="宋体" w:hAnsi="宋体" w:eastAsia="宋体" w:cs="宋体"/>
          <w:szCs w:val="21"/>
        </w:rPr>
        <w:t>。</w:t>
      </w:r>
    </w:p>
    <w:p w14:paraId="0F949B2E">
      <w:pPr>
        <w:spacing w:line="288" w:lineRule="auto"/>
        <w:ind w:firstLine="520"/>
        <w:rPr>
          <w:rFonts w:ascii="宋体" w:hAnsi="宋体" w:eastAsia="宋体" w:cs="宋体"/>
          <w:b/>
          <w:bCs/>
          <w:szCs w:val="21"/>
        </w:rPr>
      </w:pPr>
      <w:r>
        <w:rPr>
          <w:rFonts w:hint="eastAsia" w:ascii="宋体" w:hAnsi="宋体" w:eastAsia="宋体" w:cs="宋体"/>
          <w:szCs w:val="21"/>
        </w:rPr>
        <w:t>全面梳理我校小和山校区教室的教学设施情况，并按照教室面积、座位数，将我校小和山校区纳入直录播系统的149间排课教室大小进行分类。对不同大小的教室制定不同的多媒体设备提升方案。</w:t>
      </w:r>
      <w:r>
        <w:rPr>
          <w:rFonts w:hint="eastAsia" w:ascii="宋体" w:hAnsi="宋体" w:eastAsia="宋体" w:cs="宋体"/>
          <w:b/>
          <w:bCs/>
          <w:szCs w:val="21"/>
        </w:rPr>
        <w:t>详见表2《浙江科技大学“浙科智学”项目-多媒体设备升级提升方案》。</w:t>
      </w:r>
    </w:p>
    <w:p w14:paraId="1E8F78A6">
      <w:pPr>
        <w:spacing w:line="288" w:lineRule="auto"/>
        <w:rPr>
          <w:rFonts w:ascii="宋体" w:hAnsi="宋体" w:eastAsia="宋体" w:cs="宋体"/>
          <w:b/>
          <w:bCs/>
          <w:szCs w:val="21"/>
        </w:rPr>
      </w:pPr>
      <w:r>
        <w:rPr>
          <w:rFonts w:hint="eastAsia" w:ascii="宋体" w:hAnsi="宋体" w:eastAsia="宋体" w:cs="宋体"/>
          <w:b/>
          <w:bCs/>
          <w:szCs w:val="21"/>
        </w:rPr>
        <w:t>3.1 A区8间教室智慧化打造</w:t>
      </w:r>
    </w:p>
    <w:p w14:paraId="249BF43D">
      <w:pPr>
        <w:spacing w:line="288" w:lineRule="auto"/>
        <w:ind w:firstLine="420" w:firstLineChars="200"/>
        <w:rPr>
          <w:rFonts w:ascii="宋体" w:hAnsi="宋体" w:eastAsia="宋体" w:cs="宋体"/>
          <w:szCs w:val="21"/>
        </w:rPr>
      </w:pPr>
      <w:r>
        <w:rPr>
          <w:rFonts w:hint="eastAsia" w:ascii="宋体" w:hAnsi="宋体" w:eastAsia="宋体" w:cs="宋体"/>
          <w:szCs w:val="21"/>
        </w:rPr>
        <w:t>智慧教室除配备98寸触控大屏、无尘化书写白板、电动升降讲桌外，每间教室拟增设2个辅助显示屏、1套教师讲课手持麦克风及音响组合扩音套装、更换学生桌椅，进行教室背景墙的设计与美化，提升教室的无尘化、数字化、舒适化水平。8间精品教室将作为智慧教学示范教室为课堂创新提供支持。提供8间智慧教室整体设计效果图。</w:t>
      </w:r>
    </w:p>
    <w:p w14:paraId="3468EDB8">
      <w:pPr>
        <w:spacing w:line="288" w:lineRule="auto"/>
        <w:rPr>
          <w:rFonts w:ascii="宋体" w:hAnsi="宋体" w:eastAsia="宋体" w:cs="宋体"/>
          <w:b/>
          <w:bCs/>
          <w:szCs w:val="21"/>
        </w:rPr>
      </w:pPr>
      <w:r>
        <w:rPr>
          <w:rFonts w:hint="eastAsia" w:ascii="宋体" w:hAnsi="宋体" w:eastAsia="宋体" w:cs="宋体"/>
          <w:b/>
          <w:bCs/>
          <w:szCs w:val="21"/>
        </w:rPr>
        <w:t>3.2 其余117间教室多媒体设备升级</w:t>
      </w:r>
    </w:p>
    <w:p w14:paraId="795A4CE6">
      <w:pPr>
        <w:spacing w:line="288" w:lineRule="auto"/>
        <w:ind w:firstLine="420" w:firstLineChars="200"/>
        <w:rPr>
          <w:rFonts w:ascii="宋体" w:hAnsi="宋体" w:eastAsia="宋体" w:cs="宋体"/>
          <w:szCs w:val="21"/>
        </w:rPr>
      </w:pPr>
      <w:r>
        <w:rPr>
          <w:rFonts w:hint="eastAsia" w:ascii="宋体" w:hAnsi="宋体" w:eastAsia="宋体" w:cs="宋体"/>
          <w:szCs w:val="21"/>
        </w:rPr>
        <w:t>A教学区和B教学区共94间中教室、中小型教室、小型公共教室，拟更换原有黑板为86寸触控一体机大屏，大屏相应尺寸书写白板，更新讲桌，并更新投影设备为高清，尽可能利旧。采用大屏+投影的方式，方便后排学生观看。</w:t>
      </w:r>
    </w:p>
    <w:p w14:paraId="5907942F">
      <w:pPr>
        <w:widowControl/>
        <w:adjustRightInd w:val="0"/>
        <w:snapToGrid w:val="0"/>
        <w:spacing w:line="288" w:lineRule="auto"/>
        <w:ind w:firstLine="420" w:firstLineChars="200"/>
        <w:jc w:val="left"/>
        <w:rPr>
          <w:rFonts w:eastAsia="宋体" w:cs="Times New Roman"/>
        </w:rPr>
      </w:pPr>
      <w:r>
        <w:rPr>
          <w:rFonts w:hint="eastAsia" w:ascii="宋体" w:hAnsi="宋体" w:eastAsia="宋体" w:cs="宋体"/>
          <w:szCs w:val="21"/>
        </w:rPr>
        <w:t>20间大型教室和3间阶梯教室，不适合更换大屏，将采用双投影+书写白板上课方式，增加投影机和幕布数量，更换高清中控，更新讲桌。阶梯教室还将在每间教室增加2个辅助显示屏。</w:t>
      </w:r>
    </w:p>
    <w:tbl>
      <w:tblPr>
        <w:tblStyle w:val="60"/>
        <w:tblW w:w="5000" w:type="pct"/>
        <w:jc w:val="center"/>
        <w:tblLayout w:type="autofit"/>
        <w:tblCellMar>
          <w:top w:w="0" w:type="dxa"/>
          <w:left w:w="108" w:type="dxa"/>
          <w:bottom w:w="0" w:type="dxa"/>
          <w:right w:w="108" w:type="dxa"/>
        </w:tblCellMar>
      </w:tblPr>
      <w:tblGrid>
        <w:gridCol w:w="845"/>
        <w:gridCol w:w="2451"/>
        <w:gridCol w:w="1232"/>
        <w:gridCol w:w="5100"/>
      </w:tblGrid>
      <w:tr w14:paraId="12CC3B34">
        <w:tblPrEx>
          <w:tblCellMar>
            <w:top w:w="0" w:type="dxa"/>
            <w:left w:w="108" w:type="dxa"/>
            <w:bottom w:w="0" w:type="dxa"/>
            <w:right w:w="108" w:type="dxa"/>
          </w:tblCellMar>
        </w:tblPrEx>
        <w:trPr>
          <w:trHeight w:val="480" w:hRule="atLeast"/>
          <w:jc w:val="center"/>
        </w:trPr>
        <w:tc>
          <w:tcPr>
            <w:tcW w:w="5000" w:type="pct"/>
            <w:gridSpan w:val="4"/>
            <w:tcBorders>
              <w:top w:val="nil"/>
              <w:left w:val="nil"/>
              <w:bottom w:val="nil"/>
              <w:right w:val="nil"/>
            </w:tcBorders>
            <w:shd w:val="clear" w:color="auto" w:fill="auto"/>
            <w:noWrap/>
            <w:vAlign w:val="center"/>
          </w:tcPr>
          <w:p w14:paraId="270F4FF0">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表1  浙江科技大学“浙科智学”项目-教室直录播提升方案</w:t>
            </w:r>
          </w:p>
        </w:tc>
      </w:tr>
      <w:tr w14:paraId="495B7B38">
        <w:tblPrEx>
          <w:tblCellMar>
            <w:top w:w="0" w:type="dxa"/>
            <w:left w:w="108" w:type="dxa"/>
            <w:bottom w:w="0" w:type="dxa"/>
            <w:right w:w="108" w:type="dxa"/>
          </w:tblCellMar>
        </w:tblPrEx>
        <w:trPr>
          <w:trHeight w:val="460" w:hRule="atLeast"/>
          <w:jc w:val="center"/>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05F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8DA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CFC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c>
          <w:tcPr>
            <w:tcW w:w="2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45C6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教室直录播提升方案</w:t>
            </w:r>
          </w:p>
        </w:tc>
      </w:tr>
      <w:tr w14:paraId="2E963351">
        <w:tblPrEx>
          <w:tblCellMar>
            <w:top w:w="0" w:type="dxa"/>
            <w:left w:w="108" w:type="dxa"/>
            <w:bottom w:w="0" w:type="dxa"/>
            <w:right w:w="108" w:type="dxa"/>
          </w:tblCellMar>
        </w:tblPrEx>
        <w:trPr>
          <w:trHeight w:val="725" w:hRule="atLeast"/>
          <w:jc w:val="center"/>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F65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D62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精品智慧教室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4E2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8间</w:t>
            </w:r>
          </w:p>
        </w:tc>
        <w:tc>
          <w:tcPr>
            <w:tcW w:w="2646" w:type="pct"/>
            <w:tcBorders>
              <w:top w:val="single" w:color="000000" w:sz="4" w:space="0"/>
              <w:left w:val="single" w:color="000000" w:sz="4" w:space="0"/>
              <w:bottom w:val="single" w:color="auto" w:sz="4" w:space="0"/>
              <w:right w:val="single" w:color="000000" w:sz="4" w:space="0"/>
            </w:tcBorders>
            <w:shd w:val="clear" w:color="auto" w:fill="auto"/>
            <w:vAlign w:val="center"/>
          </w:tcPr>
          <w:p w14:paraId="0763A7F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1.高清录播主机或督导终端、巡课终端</w:t>
            </w:r>
          </w:p>
          <w:p w14:paraId="54A13CD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2.双目超清教师摄像机</w:t>
            </w:r>
          </w:p>
          <w:p w14:paraId="12F4352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3.双目超清学生摄像机</w:t>
            </w:r>
          </w:p>
          <w:p w14:paraId="7261320C">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kern w:val="0"/>
                <w:szCs w:val="21"/>
                <w:lang w:bidi="ar"/>
              </w:rPr>
              <w:t>拾音吊麦4支</w:t>
            </w:r>
          </w:p>
        </w:tc>
      </w:tr>
      <w:tr w14:paraId="68BB4A4F">
        <w:tblPrEx>
          <w:tblCellMar>
            <w:top w:w="0" w:type="dxa"/>
            <w:left w:w="108" w:type="dxa"/>
            <w:bottom w:w="0" w:type="dxa"/>
            <w:right w:w="108" w:type="dxa"/>
          </w:tblCellMar>
        </w:tblPrEx>
        <w:trPr>
          <w:trHeight w:val="318" w:hRule="atLeast"/>
          <w:jc w:val="center"/>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D912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DCCE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A08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58间</w:t>
            </w:r>
          </w:p>
        </w:tc>
        <w:tc>
          <w:tcPr>
            <w:tcW w:w="26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161CB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1.录播主机或督导终端、巡课终端</w:t>
            </w:r>
          </w:p>
          <w:p w14:paraId="02CCB91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2.教师云镜摄像</w:t>
            </w:r>
          </w:p>
          <w:p w14:paraId="0913BE7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3.学生云镜摄像</w:t>
            </w:r>
          </w:p>
          <w:p w14:paraId="613AD4F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4.8阵列麦克风</w:t>
            </w:r>
          </w:p>
        </w:tc>
      </w:tr>
      <w:tr w14:paraId="31D50F40">
        <w:tblPrEx>
          <w:tblCellMar>
            <w:top w:w="0" w:type="dxa"/>
            <w:left w:w="108" w:type="dxa"/>
            <w:bottom w:w="0" w:type="dxa"/>
            <w:right w:w="108" w:type="dxa"/>
          </w:tblCellMar>
        </w:tblPrEx>
        <w:trPr>
          <w:trHeight w:val="90" w:hRule="atLeast"/>
          <w:jc w:val="center"/>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0984C">
            <w:pPr>
              <w:jc w:val="center"/>
              <w:rPr>
                <w:rFonts w:ascii="宋体" w:hAnsi="宋体" w:eastAsia="宋体" w:cs="宋体"/>
                <w:color w:val="000000"/>
                <w:szCs w:val="21"/>
              </w:rPr>
            </w:pP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8C0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中小教室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DBE0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38间</w:t>
            </w:r>
          </w:p>
        </w:tc>
        <w:tc>
          <w:tcPr>
            <w:tcW w:w="26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77A02">
            <w:pPr>
              <w:jc w:val="center"/>
              <w:rPr>
                <w:rFonts w:ascii="宋体" w:hAnsi="宋体" w:eastAsia="宋体" w:cs="宋体"/>
                <w:color w:val="000000"/>
                <w:szCs w:val="21"/>
              </w:rPr>
            </w:pPr>
          </w:p>
        </w:tc>
      </w:tr>
      <w:tr w14:paraId="5B5EC792">
        <w:tblPrEx>
          <w:tblCellMar>
            <w:top w:w="0" w:type="dxa"/>
            <w:left w:w="108" w:type="dxa"/>
            <w:bottom w:w="0" w:type="dxa"/>
            <w:right w:w="108" w:type="dxa"/>
          </w:tblCellMar>
        </w:tblPrEx>
        <w:trPr>
          <w:trHeight w:val="450" w:hRule="atLeast"/>
          <w:jc w:val="center"/>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DB382">
            <w:pPr>
              <w:jc w:val="center"/>
              <w:rPr>
                <w:rFonts w:ascii="宋体" w:hAnsi="宋体" w:eastAsia="宋体" w:cs="宋体"/>
                <w:color w:val="000000"/>
                <w:szCs w:val="21"/>
              </w:rPr>
            </w:pP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A3276">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小教室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EACE">
            <w:pPr>
              <w:widowControl/>
              <w:jc w:val="center"/>
              <w:textAlignment w:val="center"/>
              <w:rPr>
                <w:rFonts w:ascii="宋体" w:hAnsi="宋体" w:eastAsia="宋体" w:cs="宋体"/>
                <w:szCs w:val="21"/>
              </w:rPr>
            </w:pPr>
            <w:r>
              <w:rPr>
                <w:rFonts w:hint="eastAsia" w:ascii="宋体" w:hAnsi="宋体" w:eastAsia="宋体" w:cs="宋体"/>
                <w:kern w:val="0"/>
                <w:szCs w:val="21"/>
                <w:lang w:bidi="ar"/>
              </w:rPr>
              <w:t>11间</w:t>
            </w:r>
          </w:p>
        </w:tc>
        <w:tc>
          <w:tcPr>
            <w:tcW w:w="26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3BDAB">
            <w:pPr>
              <w:widowControl/>
              <w:jc w:val="center"/>
              <w:textAlignment w:val="center"/>
              <w:rPr>
                <w:rFonts w:ascii="宋体" w:hAnsi="宋体" w:eastAsia="宋体" w:cs="宋体"/>
                <w:color w:val="FF0000"/>
                <w:szCs w:val="21"/>
              </w:rPr>
            </w:pPr>
          </w:p>
        </w:tc>
      </w:tr>
      <w:tr w14:paraId="140DA0B3">
        <w:tblPrEx>
          <w:tblCellMar>
            <w:top w:w="0" w:type="dxa"/>
            <w:left w:w="108" w:type="dxa"/>
            <w:bottom w:w="0" w:type="dxa"/>
            <w:right w:w="108" w:type="dxa"/>
          </w:tblCellMar>
        </w:tblPrEx>
        <w:trPr>
          <w:trHeight w:val="406" w:hRule="atLeast"/>
          <w:jc w:val="center"/>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1133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0E81">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阶梯教室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1352">
            <w:pPr>
              <w:widowControl/>
              <w:jc w:val="center"/>
              <w:textAlignment w:val="center"/>
              <w:rPr>
                <w:rFonts w:ascii="宋体" w:hAnsi="宋体" w:eastAsia="宋体" w:cs="宋体"/>
                <w:szCs w:val="21"/>
              </w:rPr>
            </w:pPr>
            <w:r>
              <w:rPr>
                <w:rFonts w:hint="eastAsia" w:ascii="宋体" w:hAnsi="宋体" w:eastAsia="宋体" w:cs="宋体"/>
                <w:kern w:val="0"/>
                <w:szCs w:val="21"/>
                <w:lang w:bidi="ar"/>
              </w:rPr>
              <w:t>3间</w:t>
            </w:r>
          </w:p>
        </w:tc>
        <w:tc>
          <w:tcPr>
            <w:tcW w:w="26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7CFC6">
            <w:pPr>
              <w:widowControl/>
              <w:jc w:val="center"/>
              <w:textAlignment w:val="center"/>
              <w:rPr>
                <w:rFonts w:ascii="宋体" w:hAnsi="宋体" w:eastAsia="宋体" w:cs="宋体"/>
                <w:color w:val="000000"/>
                <w:szCs w:val="21"/>
              </w:rPr>
            </w:pPr>
          </w:p>
        </w:tc>
      </w:tr>
      <w:tr w14:paraId="0B118BC2">
        <w:tblPrEx>
          <w:tblCellMar>
            <w:top w:w="0" w:type="dxa"/>
            <w:left w:w="108" w:type="dxa"/>
            <w:bottom w:w="0" w:type="dxa"/>
            <w:right w:w="108" w:type="dxa"/>
          </w:tblCellMar>
        </w:tblPrEx>
        <w:trPr>
          <w:trHeight w:val="90" w:hRule="atLeast"/>
          <w:jc w:val="center"/>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B56D5">
            <w:pPr>
              <w:jc w:val="center"/>
              <w:rPr>
                <w:rFonts w:ascii="宋体" w:hAnsi="宋体" w:eastAsia="宋体" w:cs="宋体"/>
                <w:color w:val="000000"/>
                <w:szCs w:val="21"/>
              </w:rPr>
            </w:pP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A995">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大教室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1065">
            <w:pPr>
              <w:widowControl/>
              <w:jc w:val="center"/>
              <w:textAlignment w:val="center"/>
              <w:rPr>
                <w:rFonts w:ascii="宋体" w:hAnsi="宋体" w:eastAsia="宋体" w:cs="宋体"/>
                <w:szCs w:val="21"/>
              </w:rPr>
            </w:pPr>
            <w:r>
              <w:rPr>
                <w:rFonts w:hint="eastAsia" w:ascii="宋体" w:hAnsi="宋体" w:eastAsia="宋体" w:cs="宋体"/>
                <w:kern w:val="0"/>
                <w:szCs w:val="21"/>
                <w:lang w:bidi="ar"/>
              </w:rPr>
              <w:t>20间</w:t>
            </w:r>
          </w:p>
        </w:tc>
        <w:tc>
          <w:tcPr>
            <w:tcW w:w="26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A78A69">
            <w:pPr>
              <w:jc w:val="center"/>
              <w:rPr>
                <w:rFonts w:ascii="宋体" w:hAnsi="宋体" w:eastAsia="宋体" w:cs="宋体"/>
                <w:color w:val="000000"/>
                <w:szCs w:val="21"/>
              </w:rPr>
            </w:pPr>
          </w:p>
        </w:tc>
      </w:tr>
      <w:tr w14:paraId="07B83441">
        <w:tblPrEx>
          <w:tblCellMar>
            <w:top w:w="0" w:type="dxa"/>
            <w:left w:w="108" w:type="dxa"/>
            <w:bottom w:w="0" w:type="dxa"/>
            <w:right w:w="108"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31B07">
            <w:pPr>
              <w:jc w:val="center"/>
              <w:rPr>
                <w:rFonts w:ascii="宋体" w:hAnsi="宋体" w:eastAsia="宋体" w:cs="宋体"/>
                <w:color w:val="000000"/>
                <w:szCs w:val="21"/>
              </w:rPr>
            </w:pPr>
            <w:r>
              <w:rPr>
                <w:rFonts w:hint="eastAsia" w:ascii="宋体" w:hAnsi="宋体" w:eastAsia="宋体" w:cs="宋体"/>
                <w:color w:val="000000"/>
                <w:szCs w:val="21"/>
              </w:rPr>
              <w:t>4</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A03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已有大屏教室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C57D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3间</w:t>
            </w:r>
          </w:p>
        </w:tc>
        <w:tc>
          <w:tcPr>
            <w:tcW w:w="26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73FF7">
            <w:pPr>
              <w:jc w:val="center"/>
              <w:rPr>
                <w:rFonts w:ascii="宋体" w:hAnsi="宋体" w:eastAsia="宋体" w:cs="宋体"/>
                <w:color w:val="000000"/>
                <w:szCs w:val="21"/>
              </w:rPr>
            </w:pPr>
          </w:p>
        </w:tc>
      </w:tr>
      <w:tr w14:paraId="0DD5E465">
        <w:trPr>
          <w:trHeight w:val="142" w:hRule="atLeast"/>
          <w:jc w:val="center"/>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1107">
            <w:pPr>
              <w:jc w:val="center"/>
              <w:rPr>
                <w:rFonts w:ascii="宋体" w:hAnsi="宋体" w:eastAsia="宋体" w:cs="宋体"/>
                <w:color w:val="000000"/>
                <w:szCs w:val="21"/>
              </w:rPr>
            </w:pPr>
            <w:r>
              <w:rPr>
                <w:rFonts w:hint="eastAsia" w:ascii="宋体" w:hAnsi="宋体" w:eastAsia="宋体" w:cs="宋体"/>
                <w:color w:val="000000"/>
                <w:szCs w:val="21"/>
              </w:rPr>
              <w:t>5</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818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已建成智慧教室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B73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8间</w:t>
            </w:r>
          </w:p>
        </w:tc>
        <w:tc>
          <w:tcPr>
            <w:tcW w:w="2646" w:type="pct"/>
            <w:tcBorders>
              <w:top w:val="single" w:color="auto" w:sz="4" w:space="0"/>
              <w:left w:val="single" w:color="auto" w:sz="4" w:space="0"/>
              <w:bottom w:val="single" w:color="auto" w:sz="4" w:space="0"/>
              <w:right w:val="single" w:color="auto" w:sz="4" w:space="0"/>
            </w:tcBorders>
            <w:shd w:val="clear" w:color="auto" w:fill="auto"/>
            <w:vAlign w:val="center"/>
          </w:tcPr>
          <w:p w14:paraId="02B25A9C">
            <w:pPr>
              <w:jc w:val="center"/>
              <w:rPr>
                <w:rFonts w:ascii="宋体" w:hAnsi="宋体" w:eastAsia="宋体" w:cs="宋体"/>
                <w:color w:val="000000"/>
                <w:szCs w:val="21"/>
              </w:rPr>
            </w:pPr>
            <w:r>
              <w:rPr>
                <w:rFonts w:hint="eastAsia" w:ascii="宋体" w:hAnsi="宋体" w:eastAsia="宋体" w:cs="宋体"/>
                <w:color w:val="000000"/>
                <w:szCs w:val="21"/>
              </w:rPr>
              <w:t>原音视频信号纳入直录播软件平台</w:t>
            </w:r>
          </w:p>
        </w:tc>
      </w:tr>
      <w:tr w14:paraId="22481865">
        <w:tblPrEx>
          <w:tblCellMar>
            <w:top w:w="0" w:type="dxa"/>
            <w:left w:w="108" w:type="dxa"/>
            <w:bottom w:w="0" w:type="dxa"/>
            <w:right w:w="108" w:type="dxa"/>
          </w:tblCellMar>
        </w:tblPrEx>
        <w:trPr>
          <w:trHeight w:val="90" w:hRule="atLeast"/>
          <w:jc w:val="center"/>
        </w:trPr>
        <w:tc>
          <w:tcPr>
            <w:tcW w:w="1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CB0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合计</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F78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149间 </w:t>
            </w:r>
          </w:p>
        </w:tc>
        <w:tc>
          <w:tcPr>
            <w:tcW w:w="2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0633">
            <w:pPr>
              <w:widowControl/>
              <w:jc w:val="left"/>
              <w:textAlignment w:val="center"/>
              <w:rPr>
                <w:rFonts w:ascii="宋体" w:hAnsi="宋体" w:eastAsia="宋体" w:cs="宋体"/>
                <w:color w:val="000000"/>
                <w:szCs w:val="21"/>
              </w:rPr>
            </w:pPr>
          </w:p>
        </w:tc>
      </w:tr>
    </w:tbl>
    <w:p w14:paraId="7D82940B">
      <w:pPr>
        <w:rPr>
          <w:rFonts w:ascii="等线" w:hAnsi="等线" w:eastAsia="等线" w:cs="Times New Roman"/>
        </w:rPr>
      </w:pPr>
      <w:r>
        <w:rPr>
          <w:rFonts w:ascii="等线" w:hAnsi="等线" w:eastAsia="等线" w:cs="Times New Roman"/>
        </w:rPr>
        <w:br w:type="page"/>
      </w:r>
    </w:p>
    <w:tbl>
      <w:tblPr>
        <w:tblStyle w:val="60"/>
        <w:tblW w:w="5000" w:type="pct"/>
        <w:jc w:val="center"/>
        <w:tblLayout w:type="autofit"/>
        <w:tblCellMar>
          <w:top w:w="0" w:type="dxa"/>
          <w:left w:w="108" w:type="dxa"/>
          <w:bottom w:w="0" w:type="dxa"/>
          <w:right w:w="108" w:type="dxa"/>
        </w:tblCellMar>
      </w:tblPr>
      <w:tblGrid>
        <w:gridCol w:w="682"/>
        <w:gridCol w:w="1810"/>
        <w:gridCol w:w="847"/>
        <w:gridCol w:w="6289"/>
      </w:tblGrid>
      <w:tr w14:paraId="1AE3A034">
        <w:tblPrEx>
          <w:tblCellMar>
            <w:top w:w="0" w:type="dxa"/>
            <w:left w:w="108" w:type="dxa"/>
            <w:bottom w:w="0" w:type="dxa"/>
            <w:right w:w="108" w:type="dxa"/>
          </w:tblCellMar>
        </w:tblPrEx>
        <w:trPr>
          <w:trHeight w:val="480" w:hRule="atLeast"/>
          <w:jc w:val="center"/>
        </w:trPr>
        <w:tc>
          <w:tcPr>
            <w:tcW w:w="5000" w:type="pct"/>
            <w:gridSpan w:val="4"/>
            <w:tcBorders>
              <w:top w:val="nil"/>
              <w:left w:val="nil"/>
              <w:bottom w:val="nil"/>
              <w:right w:val="nil"/>
            </w:tcBorders>
            <w:shd w:val="clear" w:color="auto" w:fill="auto"/>
            <w:noWrap/>
            <w:vAlign w:val="center"/>
          </w:tcPr>
          <w:p w14:paraId="75A8C660">
            <w:pPr>
              <w:jc w:val="center"/>
              <w:textAlignment w:val="center"/>
              <w:rPr>
                <w:rFonts w:ascii="宋体" w:hAnsi="宋体" w:eastAsia="宋体" w:cs="宋体"/>
                <w:b/>
                <w:bCs/>
                <w:szCs w:val="21"/>
              </w:rPr>
            </w:pPr>
            <w:r>
              <w:rPr>
                <w:rFonts w:hint="eastAsia" w:ascii="宋体" w:hAnsi="宋体" w:eastAsia="宋体" w:cs="宋体"/>
                <w:b/>
                <w:bCs/>
                <w:szCs w:val="21"/>
              </w:rPr>
              <w:br w:type="page"/>
            </w:r>
            <w:r>
              <w:rPr>
                <w:rFonts w:hint="eastAsia" w:ascii="宋体" w:hAnsi="宋体" w:eastAsia="宋体" w:cs="宋体"/>
                <w:b/>
                <w:bCs/>
                <w:kern w:val="0"/>
                <w:szCs w:val="21"/>
                <w:lang w:bidi="ar"/>
              </w:rPr>
              <w:t>表2  浙江科技大学“浙科智学”项目-多媒体设备升级方案</w:t>
            </w:r>
          </w:p>
        </w:tc>
      </w:tr>
      <w:tr w14:paraId="24F831DD">
        <w:tblPrEx>
          <w:tblCellMar>
            <w:top w:w="0" w:type="dxa"/>
            <w:left w:w="108" w:type="dxa"/>
            <w:bottom w:w="0" w:type="dxa"/>
            <w:right w:w="108" w:type="dxa"/>
          </w:tblCellMar>
        </w:tblPrEx>
        <w:trPr>
          <w:trHeight w:val="9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1AD9">
            <w:pPr>
              <w:widowControl/>
              <w:jc w:val="center"/>
              <w:textAlignment w:val="center"/>
              <w:rPr>
                <w:rFonts w:ascii="宋体" w:hAnsi="宋体" w:eastAsia="宋体" w:cs="宋体"/>
                <w:szCs w:val="21"/>
              </w:rPr>
            </w:pPr>
            <w:r>
              <w:rPr>
                <w:rFonts w:hint="eastAsia" w:ascii="宋体" w:hAnsi="宋体" w:eastAsia="宋体" w:cs="宋体"/>
                <w:kern w:val="0"/>
                <w:szCs w:val="21"/>
                <w:lang w:bidi="ar"/>
              </w:rPr>
              <w:t>序号</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A7C9">
            <w:pPr>
              <w:widowControl/>
              <w:jc w:val="center"/>
              <w:textAlignment w:val="center"/>
              <w:rPr>
                <w:rFonts w:ascii="宋体" w:hAnsi="宋体" w:eastAsia="宋体" w:cs="宋体"/>
                <w:szCs w:val="21"/>
              </w:rPr>
            </w:pPr>
            <w:r>
              <w:rPr>
                <w:rFonts w:hint="eastAsia" w:ascii="宋体" w:hAnsi="宋体" w:eastAsia="宋体" w:cs="宋体"/>
                <w:kern w:val="0"/>
                <w:szCs w:val="21"/>
                <w:lang w:bidi="ar"/>
              </w:rPr>
              <w:t>名称</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7E1C">
            <w:pPr>
              <w:widowControl/>
              <w:jc w:val="center"/>
              <w:textAlignment w:val="center"/>
              <w:rPr>
                <w:rFonts w:ascii="宋体" w:hAnsi="宋体" w:eastAsia="宋体" w:cs="宋体"/>
                <w:szCs w:val="21"/>
              </w:rPr>
            </w:pPr>
            <w:r>
              <w:rPr>
                <w:rFonts w:hint="eastAsia" w:ascii="宋体" w:hAnsi="宋体" w:eastAsia="宋体" w:cs="宋体"/>
                <w:kern w:val="0"/>
                <w:szCs w:val="21"/>
                <w:lang w:bidi="ar"/>
              </w:rPr>
              <w:t>数量</w:t>
            </w:r>
          </w:p>
        </w:tc>
        <w:tc>
          <w:tcPr>
            <w:tcW w:w="3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B244">
            <w:pPr>
              <w:widowControl/>
              <w:jc w:val="center"/>
              <w:textAlignment w:val="center"/>
              <w:rPr>
                <w:rFonts w:ascii="宋体" w:hAnsi="宋体" w:eastAsia="宋体" w:cs="宋体"/>
                <w:szCs w:val="21"/>
              </w:rPr>
            </w:pPr>
            <w:r>
              <w:rPr>
                <w:rFonts w:hint="eastAsia" w:ascii="宋体" w:hAnsi="宋体" w:eastAsia="宋体" w:cs="宋体"/>
                <w:kern w:val="0"/>
                <w:szCs w:val="21"/>
                <w:lang w:bidi="ar"/>
              </w:rPr>
              <w:t>多媒体设备升级方案</w:t>
            </w:r>
          </w:p>
        </w:tc>
      </w:tr>
      <w:tr w14:paraId="45852699">
        <w:tblPrEx>
          <w:tblCellMar>
            <w:top w:w="0" w:type="dxa"/>
            <w:left w:w="108" w:type="dxa"/>
            <w:bottom w:w="0" w:type="dxa"/>
            <w:right w:w="108" w:type="dxa"/>
          </w:tblCellMar>
        </w:tblPrEx>
        <w:trPr>
          <w:trHeight w:val="621"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EFE1">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7615">
            <w:pPr>
              <w:widowControl/>
              <w:jc w:val="center"/>
              <w:textAlignment w:val="center"/>
              <w:rPr>
                <w:rFonts w:ascii="宋体" w:hAnsi="宋体" w:eastAsia="宋体" w:cs="宋体"/>
                <w:szCs w:val="21"/>
              </w:rPr>
            </w:pPr>
            <w:r>
              <w:rPr>
                <w:rFonts w:hint="eastAsia" w:ascii="宋体" w:hAnsi="宋体" w:eastAsia="宋体" w:cs="宋体"/>
                <w:kern w:val="0"/>
                <w:szCs w:val="21"/>
                <w:lang w:bidi="ar"/>
              </w:rPr>
              <w:t>精品智慧教室</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77A1">
            <w:pPr>
              <w:widowControl/>
              <w:jc w:val="center"/>
              <w:textAlignment w:val="center"/>
              <w:rPr>
                <w:rFonts w:ascii="宋体" w:hAnsi="宋体" w:eastAsia="宋体" w:cs="宋体"/>
                <w:szCs w:val="21"/>
              </w:rPr>
            </w:pPr>
            <w:r>
              <w:rPr>
                <w:rFonts w:hint="eastAsia" w:ascii="宋体" w:hAnsi="宋体" w:eastAsia="宋体" w:cs="宋体"/>
                <w:kern w:val="0"/>
                <w:szCs w:val="21"/>
                <w:lang w:bidi="ar"/>
              </w:rPr>
              <w:t>8间</w:t>
            </w:r>
          </w:p>
        </w:tc>
        <w:tc>
          <w:tcPr>
            <w:tcW w:w="3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EBEA">
            <w:pPr>
              <w:widowControl/>
              <w:jc w:val="center"/>
              <w:textAlignment w:val="center"/>
              <w:rPr>
                <w:rFonts w:ascii="宋体" w:hAnsi="宋体" w:eastAsia="宋体" w:cs="宋体"/>
                <w:szCs w:val="21"/>
              </w:rPr>
            </w:pPr>
            <w:r>
              <w:rPr>
                <w:rFonts w:hint="eastAsia" w:ascii="宋体" w:hAnsi="宋体" w:eastAsia="宋体" w:cs="宋体"/>
                <w:kern w:val="0"/>
                <w:szCs w:val="21"/>
                <w:lang w:bidi="ar"/>
              </w:rPr>
              <w:t>98寸触控一体机+双辅助显示屏、书写白板、讲桌、扩音设备套装、学生桌椅、班牌、美化</w:t>
            </w:r>
          </w:p>
        </w:tc>
      </w:tr>
      <w:tr w14:paraId="3ADD97BB">
        <w:tblPrEx>
          <w:tblCellMar>
            <w:top w:w="0" w:type="dxa"/>
            <w:left w:w="108" w:type="dxa"/>
            <w:bottom w:w="0" w:type="dxa"/>
            <w:right w:w="108" w:type="dxa"/>
          </w:tblCellMar>
        </w:tblPrEx>
        <w:trPr>
          <w:trHeight w:val="299" w:hRule="atLeast"/>
          <w:jc w:val="center"/>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8AF58">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4D750">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中教室</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5795E">
            <w:pPr>
              <w:widowControl/>
              <w:jc w:val="center"/>
              <w:textAlignment w:val="center"/>
              <w:rPr>
                <w:rFonts w:ascii="宋体" w:hAnsi="宋体" w:eastAsia="宋体" w:cs="宋体"/>
                <w:szCs w:val="21"/>
              </w:rPr>
            </w:pPr>
            <w:r>
              <w:rPr>
                <w:rFonts w:hint="eastAsia" w:ascii="宋体" w:hAnsi="宋体" w:eastAsia="宋体" w:cs="宋体"/>
                <w:kern w:val="0"/>
                <w:szCs w:val="21"/>
                <w:lang w:bidi="ar"/>
              </w:rPr>
              <w:t>56间</w:t>
            </w:r>
          </w:p>
        </w:tc>
        <w:tc>
          <w:tcPr>
            <w:tcW w:w="3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0524E">
            <w:pPr>
              <w:widowControl/>
              <w:jc w:val="center"/>
              <w:textAlignment w:val="center"/>
              <w:rPr>
                <w:rFonts w:ascii="宋体" w:hAnsi="宋体" w:eastAsia="宋体" w:cs="宋体"/>
                <w:szCs w:val="21"/>
              </w:rPr>
            </w:pPr>
            <w:r>
              <w:rPr>
                <w:rFonts w:hint="eastAsia" w:ascii="宋体" w:hAnsi="宋体" w:eastAsia="宋体" w:cs="宋体"/>
                <w:kern w:val="0"/>
                <w:szCs w:val="21"/>
                <w:lang w:bidi="ar"/>
              </w:rPr>
              <w:t>86寸大屏+白板+高清投影</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讲桌</w:t>
            </w:r>
          </w:p>
        </w:tc>
      </w:tr>
      <w:tr w14:paraId="5DB1E8F2">
        <w:tblPrEx>
          <w:tblCellMar>
            <w:top w:w="0" w:type="dxa"/>
            <w:left w:w="108" w:type="dxa"/>
            <w:bottom w:w="0" w:type="dxa"/>
            <w:right w:w="108" w:type="dxa"/>
          </w:tblCellMar>
        </w:tblPrEx>
        <w:trPr>
          <w:trHeight w:val="241" w:hRule="atLeast"/>
          <w:jc w:val="center"/>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E9FAF">
            <w:pPr>
              <w:jc w:val="center"/>
              <w:rPr>
                <w:rFonts w:ascii="宋体" w:hAnsi="宋体" w:eastAsia="宋体" w:cs="宋体"/>
                <w:szCs w:val="21"/>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C0BA">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中小教室</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DDEA">
            <w:pPr>
              <w:widowControl/>
              <w:jc w:val="center"/>
              <w:textAlignment w:val="center"/>
              <w:rPr>
                <w:rFonts w:ascii="宋体" w:hAnsi="宋体" w:eastAsia="宋体" w:cs="宋体"/>
                <w:szCs w:val="21"/>
              </w:rPr>
            </w:pPr>
            <w:r>
              <w:rPr>
                <w:rFonts w:hint="eastAsia" w:ascii="宋体" w:hAnsi="宋体" w:eastAsia="宋体" w:cs="宋体"/>
                <w:kern w:val="0"/>
                <w:szCs w:val="21"/>
                <w:lang w:bidi="ar"/>
              </w:rPr>
              <w:t>31间</w:t>
            </w:r>
          </w:p>
        </w:tc>
        <w:tc>
          <w:tcPr>
            <w:tcW w:w="3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4069">
            <w:pPr>
              <w:jc w:val="center"/>
              <w:rPr>
                <w:rFonts w:ascii="宋体" w:hAnsi="宋体" w:eastAsia="宋体" w:cs="宋体"/>
                <w:szCs w:val="21"/>
              </w:rPr>
            </w:pPr>
          </w:p>
        </w:tc>
      </w:tr>
      <w:tr w14:paraId="2671CAC3">
        <w:tblPrEx>
          <w:tblCellMar>
            <w:top w:w="0" w:type="dxa"/>
            <w:left w:w="108" w:type="dxa"/>
            <w:bottom w:w="0" w:type="dxa"/>
            <w:right w:w="108" w:type="dxa"/>
          </w:tblCellMar>
        </w:tblPrEx>
        <w:trPr>
          <w:trHeight w:val="198" w:hRule="atLeast"/>
          <w:jc w:val="center"/>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14C41">
            <w:pPr>
              <w:jc w:val="center"/>
              <w:rPr>
                <w:rFonts w:ascii="宋体" w:hAnsi="宋体" w:eastAsia="宋体" w:cs="宋体"/>
                <w:szCs w:val="21"/>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30F93">
            <w:pPr>
              <w:widowControl/>
              <w:jc w:val="center"/>
              <w:textAlignment w:val="center"/>
              <w:rPr>
                <w:rFonts w:ascii="宋体" w:hAnsi="宋体" w:eastAsia="宋体" w:cs="宋体"/>
                <w:szCs w:val="21"/>
              </w:rPr>
            </w:pPr>
            <w:r>
              <w:rPr>
                <w:rFonts w:hint="eastAsia" w:ascii="宋体" w:hAnsi="宋体" w:eastAsia="宋体" w:cs="宋体"/>
                <w:kern w:val="0"/>
                <w:szCs w:val="21"/>
                <w:lang w:bidi="ar"/>
              </w:rPr>
              <w:t>小教室</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995E">
            <w:pPr>
              <w:widowControl/>
              <w:jc w:val="center"/>
              <w:textAlignment w:val="center"/>
              <w:rPr>
                <w:rFonts w:ascii="宋体" w:hAnsi="宋体" w:eastAsia="宋体" w:cs="宋体"/>
                <w:szCs w:val="21"/>
              </w:rPr>
            </w:pPr>
            <w:r>
              <w:rPr>
                <w:rFonts w:hint="eastAsia" w:ascii="宋体" w:hAnsi="宋体" w:eastAsia="宋体" w:cs="宋体"/>
                <w:kern w:val="0"/>
                <w:szCs w:val="21"/>
                <w:lang w:bidi="ar"/>
              </w:rPr>
              <w:t>7间</w:t>
            </w:r>
          </w:p>
        </w:tc>
        <w:tc>
          <w:tcPr>
            <w:tcW w:w="3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8356">
            <w:pPr>
              <w:widowControl/>
              <w:jc w:val="center"/>
              <w:textAlignment w:val="center"/>
              <w:rPr>
                <w:rFonts w:ascii="宋体" w:hAnsi="宋体" w:eastAsia="宋体" w:cs="宋体"/>
                <w:szCs w:val="21"/>
              </w:rPr>
            </w:pPr>
            <w:r>
              <w:rPr>
                <w:rFonts w:hint="eastAsia" w:ascii="宋体" w:hAnsi="宋体" w:eastAsia="宋体" w:cs="宋体"/>
                <w:kern w:val="0"/>
                <w:szCs w:val="21"/>
                <w:lang w:bidi="ar"/>
              </w:rPr>
              <w:t>86寸大屏+白板+高清投影（待定）</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讲桌</w:t>
            </w:r>
          </w:p>
        </w:tc>
      </w:tr>
      <w:tr w14:paraId="36A1DFEB">
        <w:tblPrEx>
          <w:tblCellMar>
            <w:top w:w="0" w:type="dxa"/>
            <w:left w:w="108" w:type="dxa"/>
            <w:bottom w:w="0" w:type="dxa"/>
            <w:right w:w="108" w:type="dxa"/>
          </w:tblCellMar>
        </w:tblPrEx>
        <w:trPr>
          <w:trHeight w:val="90" w:hRule="atLeast"/>
          <w:jc w:val="center"/>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E703C">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1488">
            <w:pPr>
              <w:widowControl/>
              <w:jc w:val="center"/>
              <w:textAlignment w:val="center"/>
              <w:rPr>
                <w:rFonts w:ascii="宋体" w:hAnsi="宋体" w:eastAsia="宋体" w:cs="宋体"/>
                <w:szCs w:val="21"/>
              </w:rPr>
            </w:pPr>
            <w:r>
              <w:rPr>
                <w:rFonts w:hint="eastAsia" w:ascii="宋体" w:hAnsi="宋体" w:eastAsia="宋体" w:cs="宋体"/>
                <w:kern w:val="0"/>
                <w:szCs w:val="21"/>
                <w:lang w:bidi="ar"/>
              </w:rPr>
              <w:t>阶梯教室</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7159">
            <w:pPr>
              <w:widowControl/>
              <w:jc w:val="center"/>
              <w:textAlignment w:val="center"/>
              <w:rPr>
                <w:rFonts w:ascii="宋体" w:hAnsi="宋体" w:eastAsia="宋体" w:cs="宋体"/>
                <w:szCs w:val="21"/>
              </w:rPr>
            </w:pPr>
            <w:r>
              <w:rPr>
                <w:rFonts w:hint="eastAsia" w:ascii="宋体" w:hAnsi="宋体" w:eastAsia="宋体" w:cs="宋体"/>
                <w:kern w:val="0"/>
                <w:szCs w:val="21"/>
                <w:lang w:bidi="ar"/>
              </w:rPr>
              <w:t>3间</w:t>
            </w:r>
          </w:p>
        </w:tc>
        <w:tc>
          <w:tcPr>
            <w:tcW w:w="3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14F5E">
            <w:pPr>
              <w:widowControl/>
              <w:jc w:val="center"/>
              <w:textAlignment w:val="center"/>
              <w:rPr>
                <w:rFonts w:ascii="宋体" w:hAnsi="宋体" w:eastAsia="宋体" w:cs="宋体"/>
                <w:szCs w:val="21"/>
              </w:rPr>
            </w:pPr>
            <w:r>
              <w:rPr>
                <w:rFonts w:hint="eastAsia" w:ascii="宋体" w:hAnsi="宋体" w:eastAsia="宋体" w:cs="宋体"/>
                <w:kern w:val="0"/>
                <w:szCs w:val="21"/>
                <w:lang w:bidi="ar"/>
              </w:rPr>
              <w:t>双投影+书写白板（增加120寸幕布40个、135寸幕布6个、辅助显示屏6台）</w:t>
            </w:r>
          </w:p>
        </w:tc>
      </w:tr>
      <w:tr w14:paraId="0B14178F">
        <w:tblPrEx>
          <w:tblCellMar>
            <w:top w:w="0" w:type="dxa"/>
            <w:left w:w="108" w:type="dxa"/>
            <w:bottom w:w="0" w:type="dxa"/>
            <w:right w:w="108" w:type="dxa"/>
          </w:tblCellMar>
        </w:tblPrEx>
        <w:trPr>
          <w:trHeight w:val="91" w:hRule="atLeast"/>
          <w:jc w:val="center"/>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82943">
            <w:pPr>
              <w:jc w:val="center"/>
              <w:rPr>
                <w:rFonts w:ascii="宋体" w:hAnsi="宋体" w:eastAsia="宋体" w:cs="宋体"/>
                <w:szCs w:val="21"/>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AAFC">
            <w:pPr>
              <w:widowControl/>
              <w:jc w:val="center"/>
              <w:textAlignment w:val="center"/>
              <w:rPr>
                <w:rFonts w:ascii="宋体" w:hAnsi="宋体" w:eastAsia="宋体" w:cs="宋体"/>
                <w:szCs w:val="21"/>
              </w:rPr>
            </w:pPr>
            <w:r>
              <w:rPr>
                <w:rFonts w:hint="eastAsia" w:ascii="宋体" w:hAnsi="宋体" w:eastAsia="宋体" w:cs="宋体"/>
                <w:kern w:val="0"/>
                <w:szCs w:val="21"/>
                <w:lang w:bidi="ar"/>
              </w:rPr>
              <w:t>大教室</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569D">
            <w:pPr>
              <w:widowControl/>
              <w:jc w:val="center"/>
              <w:textAlignment w:val="center"/>
              <w:rPr>
                <w:rFonts w:ascii="宋体" w:hAnsi="宋体" w:eastAsia="宋体" w:cs="宋体"/>
                <w:szCs w:val="21"/>
              </w:rPr>
            </w:pPr>
            <w:r>
              <w:rPr>
                <w:rFonts w:hint="eastAsia" w:ascii="宋体" w:hAnsi="宋体" w:eastAsia="宋体" w:cs="宋体"/>
                <w:kern w:val="0"/>
                <w:szCs w:val="21"/>
                <w:lang w:bidi="ar"/>
              </w:rPr>
              <w:t>20间</w:t>
            </w:r>
          </w:p>
        </w:tc>
        <w:tc>
          <w:tcPr>
            <w:tcW w:w="3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2373D">
            <w:pPr>
              <w:jc w:val="center"/>
              <w:rPr>
                <w:rFonts w:ascii="宋体" w:hAnsi="宋体" w:eastAsia="宋体" w:cs="宋体"/>
                <w:szCs w:val="21"/>
              </w:rPr>
            </w:pPr>
          </w:p>
        </w:tc>
      </w:tr>
      <w:tr w14:paraId="63827298">
        <w:tblPrEx>
          <w:tblCellMar>
            <w:top w:w="0" w:type="dxa"/>
            <w:left w:w="108" w:type="dxa"/>
            <w:bottom w:w="0" w:type="dxa"/>
            <w:right w:w="108" w:type="dxa"/>
          </w:tblCellMar>
        </w:tblPrEx>
        <w:trPr>
          <w:trHeight w:val="91" w:hRule="atLeast"/>
          <w:jc w:val="center"/>
        </w:trPr>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924BF">
            <w:pPr>
              <w:widowControl/>
              <w:jc w:val="center"/>
              <w:textAlignment w:val="center"/>
              <w:rPr>
                <w:rFonts w:ascii="宋体" w:hAnsi="宋体" w:eastAsia="宋体" w:cs="宋体"/>
                <w:szCs w:val="21"/>
              </w:rPr>
            </w:pPr>
            <w:r>
              <w:rPr>
                <w:rFonts w:hint="eastAsia" w:ascii="宋体" w:hAnsi="宋体" w:eastAsia="宋体" w:cs="宋体"/>
                <w:kern w:val="0"/>
                <w:szCs w:val="21"/>
                <w:lang w:bidi="ar"/>
              </w:rPr>
              <w:t>合计</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01D4">
            <w:pPr>
              <w:widowControl/>
              <w:jc w:val="center"/>
              <w:textAlignment w:val="center"/>
              <w:rPr>
                <w:rFonts w:ascii="宋体" w:hAnsi="宋体" w:eastAsia="宋体" w:cs="宋体"/>
                <w:szCs w:val="21"/>
              </w:rPr>
            </w:pPr>
            <w:r>
              <w:rPr>
                <w:rFonts w:hint="eastAsia" w:ascii="宋体" w:hAnsi="宋体" w:eastAsia="宋体" w:cs="宋体"/>
                <w:kern w:val="0"/>
                <w:szCs w:val="21"/>
                <w:lang w:bidi="ar"/>
              </w:rPr>
              <w:t xml:space="preserve">125间 </w:t>
            </w:r>
          </w:p>
        </w:tc>
        <w:tc>
          <w:tcPr>
            <w:tcW w:w="3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30A1F">
            <w:pPr>
              <w:jc w:val="left"/>
              <w:rPr>
                <w:rFonts w:ascii="宋体" w:hAnsi="宋体" w:eastAsia="宋体" w:cs="宋体"/>
                <w:szCs w:val="21"/>
              </w:rPr>
            </w:pPr>
            <w:r>
              <w:rPr>
                <w:rFonts w:hint="eastAsia" w:ascii="宋体" w:hAnsi="宋体" w:eastAsia="宋体" w:cs="宋体"/>
                <w:color w:val="auto"/>
                <w:sz w:val="21"/>
                <w:szCs w:val="21"/>
                <w:u w:val="none"/>
                <w:lang w:bidi="ar"/>
              </w:rPr>
              <w:t>在经费有限情况下，以满足公共教室需要为出发点，考虑如下提升方案，</w:t>
            </w:r>
            <w:r>
              <w:rPr>
                <w:rFonts w:hint="eastAsia" w:ascii="宋体" w:hAnsi="宋体" w:eastAsia="宋体" w:cs="宋体"/>
                <w:b/>
                <w:bCs/>
                <w:color w:val="auto"/>
                <w:sz w:val="21"/>
                <w:szCs w:val="21"/>
                <w:u w:val="none"/>
                <w:lang w:bidi="ar"/>
              </w:rPr>
              <w:t>围绕教学必备的“一屏、一板、一桌”进行教学设备升级</w:t>
            </w:r>
            <w:r>
              <w:rPr>
                <w:rFonts w:hint="eastAsia" w:ascii="宋体" w:hAnsi="宋体" w:eastAsia="宋体" w:cs="宋体"/>
                <w:color w:val="auto"/>
                <w:sz w:val="21"/>
                <w:szCs w:val="21"/>
                <w:u w:val="none"/>
                <w:lang w:bidi="ar"/>
              </w:rPr>
              <w:t>：</w:t>
            </w:r>
            <w:r>
              <w:rPr>
                <w:rFonts w:hint="eastAsia" w:ascii="宋体" w:hAnsi="宋体" w:eastAsia="宋体" w:cs="宋体"/>
                <w:color w:val="auto"/>
                <w:sz w:val="21"/>
                <w:szCs w:val="21"/>
                <w:u w:val="none"/>
                <w:lang w:bidi="ar"/>
              </w:rPr>
              <w:br w:type="textWrapping"/>
            </w:r>
            <w:r>
              <w:rPr>
                <w:rFonts w:hint="eastAsia" w:ascii="宋体" w:hAnsi="宋体" w:eastAsia="宋体" w:cs="宋体"/>
                <w:color w:val="auto"/>
                <w:sz w:val="21"/>
                <w:szCs w:val="21"/>
                <w:u w:val="none"/>
                <w:lang w:bidi="ar"/>
              </w:rPr>
              <w:t>1.8间教室打造精品智慧教室：配置触控一体大屏、辅助显示屏、书写白、电动讲桌等设备，作为智慧教学示范教室为课堂创新提供支持。</w:t>
            </w:r>
            <w:r>
              <w:rPr>
                <w:rFonts w:hint="eastAsia" w:ascii="宋体" w:hAnsi="宋体" w:eastAsia="宋体" w:cs="宋体"/>
                <w:color w:val="auto"/>
                <w:sz w:val="21"/>
                <w:szCs w:val="21"/>
                <w:u w:val="none"/>
                <w:lang w:bidi="ar"/>
              </w:rPr>
              <w:br w:type="textWrapping"/>
            </w:r>
            <w:r>
              <w:rPr>
                <w:rFonts w:hint="eastAsia" w:ascii="宋体" w:hAnsi="宋体" w:eastAsia="宋体" w:cs="宋体"/>
                <w:color w:val="auto"/>
                <w:sz w:val="21"/>
                <w:szCs w:val="21"/>
                <w:u w:val="none"/>
                <w:lang w:bidi="ar"/>
              </w:rPr>
              <w:t>2.56间中型教室和31间小型教室、更换原有黑板为86寸触控一体机大屏+书写白板，保留投影并更新投影设备为高清，更新讲桌。</w:t>
            </w:r>
            <w:r>
              <w:rPr>
                <w:rFonts w:hint="eastAsia" w:ascii="宋体" w:hAnsi="宋体" w:eastAsia="宋体" w:cs="宋体"/>
                <w:color w:val="auto"/>
                <w:sz w:val="21"/>
                <w:szCs w:val="21"/>
                <w:u w:val="none"/>
                <w:lang w:bidi="ar"/>
              </w:rPr>
              <w:br w:type="textWrapping"/>
            </w:r>
            <w:r>
              <w:rPr>
                <w:rFonts w:hint="eastAsia" w:ascii="宋体" w:hAnsi="宋体" w:eastAsia="宋体" w:cs="宋体"/>
                <w:color w:val="auto"/>
                <w:sz w:val="21"/>
                <w:szCs w:val="21"/>
                <w:u w:val="none"/>
                <w:lang w:bidi="ar"/>
              </w:rPr>
              <w:t>3.7间小教室，更换原有黑板为86寸触控一体机大屏+书写白板，更新讲桌，投影根据实际情况使用。</w:t>
            </w:r>
            <w:r>
              <w:rPr>
                <w:rFonts w:hint="eastAsia" w:ascii="宋体" w:hAnsi="宋体" w:eastAsia="宋体" w:cs="宋体"/>
                <w:color w:val="auto"/>
                <w:sz w:val="21"/>
                <w:szCs w:val="21"/>
                <w:u w:val="none"/>
                <w:lang w:bidi="ar"/>
              </w:rPr>
              <w:br w:type="textWrapping"/>
            </w:r>
            <w:r>
              <w:rPr>
                <w:rFonts w:hint="eastAsia" w:ascii="宋体" w:hAnsi="宋体" w:eastAsia="宋体" w:cs="宋体"/>
                <w:color w:val="auto"/>
                <w:sz w:val="21"/>
                <w:szCs w:val="21"/>
                <w:u w:val="none"/>
                <w:lang w:bidi="ar"/>
              </w:rPr>
              <w:t>4.23间大型教室，不适合更换大屏，采用双投影+书写白板方式进行教学，更新讲桌，增加高清幕布、更换白板。</w:t>
            </w:r>
          </w:p>
        </w:tc>
      </w:tr>
    </w:tbl>
    <w:p w14:paraId="1010798B">
      <w:pPr>
        <w:widowControl w:val="0"/>
        <w:spacing w:after="120"/>
        <w:jc w:val="both"/>
        <w:rPr>
          <w:rFonts w:hint="default" w:ascii="Calibri" w:hAnsi="Calibri" w:eastAsia="宋体" w:cs="Times New Roman"/>
          <w:kern w:val="2"/>
          <w:sz w:val="28"/>
          <w:szCs w:val="24"/>
          <w:lang w:val="en-US" w:eastAsia="zh-CN" w:bidi="ar-SA"/>
        </w:rPr>
      </w:pPr>
    </w:p>
    <w:p w14:paraId="2724C55F">
      <w:pPr>
        <w:adjustRightInd w:val="0"/>
        <w:snapToGrid w:val="0"/>
        <w:spacing w:line="288" w:lineRule="auto"/>
        <w:outlineLvl w:val="9"/>
        <w:rPr>
          <w:rFonts w:ascii="宋体" w:hAnsi="宋体" w:eastAsia="宋体" w:cs="宋体"/>
          <w:b/>
          <w:bCs/>
          <w:szCs w:val="21"/>
        </w:rPr>
      </w:pPr>
      <w:r>
        <w:rPr>
          <w:rFonts w:hint="eastAsia" w:ascii="宋体" w:hAnsi="宋体" w:eastAsia="宋体" w:cs="Times New Roman"/>
          <w:b/>
          <w:bCs/>
          <w:spacing w:val="-4"/>
          <w:szCs w:val="21"/>
        </w:rPr>
        <w:t>（三）需满足的质量、安全、技术规格、物理特性等要求</w:t>
      </w:r>
      <w:r>
        <w:rPr>
          <w:rFonts w:hint="eastAsia" w:ascii="宋体" w:hAnsi="宋体" w:eastAsia="宋体" w:cs="Times New Roman"/>
          <w:b/>
          <w:bCs/>
          <w:spacing w:val="-4"/>
          <w:szCs w:val="21"/>
          <w:lang w:eastAsia="zh-CN"/>
        </w:rPr>
        <w:t>：</w:t>
      </w:r>
    </w:p>
    <w:tbl>
      <w:tblPr>
        <w:tblStyle w:val="61"/>
        <w:tblW w:w="42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5026"/>
        <w:gridCol w:w="1153"/>
        <w:gridCol w:w="1133"/>
      </w:tblGrid>
      <w:tr w14:paraId="61D6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5E9976AC">
            <w:pPr>
              <w:spacing w:line="288" w:lineRule="auto"/>
              <w:jc w:val="center"/>
              <w:rPr>
                <w:rFonts w:hint="eastAsia" w:ascii="宋体" w:hAnsi="宋体" w:eastAsia="宋体" w:cs="宋体"/>
                <w:b/>
                <w:bCs/>
                <w:szCs w:val="21"/>
              </w:rPr>
            </w:pPr>
            <w:r>
              <w:rPr>
                <w:rFonts w:hint="eastAsia" w:ascii="宋体" w:hAnsi="宋体" w:eastAsia="宋体" w:cs="宋体"/>
                <w:b/>
                <w:bCs/>
                <w:szCs w:val="21"/>
              </w:rPr>
              <w:t>采购清单</w:t>
            </w:r>
          </w:p>
        </w:tc>
      </w:tr>
      <w:tr w14:paraId="4B59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466AC717">
            <w:pPr>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087" w:type="pct"/>
            <w:vAlign w:val="center"/>
          </w:tcPr>
          <w:p w14:paraId="262CD77B">
            <w:pPr>
              <w:spacing w:line="288" w:lineRule="auto"/>
              <w:jc w:val="center"/>
              <w:rPr>
                <w:rFonts w:ascii="宋体" w:hAnsi="宋体" w:eastAsia="宋体" w:cs="宋体"/>
                <w:b/>
                <w:bCs/>
                <w:szCs w:val="21"/>
              </w:rPr>
            </w:pPr>
            <w:r>
              <w:rPr>
                <w:rFonts w:hint="eastAsia" w:ascii="宋体" w:hAnsi="宋体" w:eastAsia="宋体" w:cs="宋体"/>
                <w:b/>
                <w:bCs/>
                <w:szCs w:val="21"/>
              </w:rPr>
              <w:t>标的名称</w:t>
            </w:r>
          </w:p>
        </w:tc>
        <w:tc>
          <w:tcPr>
            <w:tcW w:w="708" w:type="pct"/>
            <w:vAlign w:val="center"/>
          </w:tcPr>
          <w:p w14:paraId="7494090E">
            <w:pPr>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694" w:type="pct"/>
            <w:vAlign w:val="center"/>
          </w:tcPr>
          <w:p w14:paraId="214AA131">
            <w:pPr>
              <w:spacing w:line="288" w:lineRule="auto"/>
              <w:jc w:val="center"/>
              <w:rPr>
                <w:rFonts w:ascii="宋体" w:hAnsi="宋体" w:eastAsia="宋体" w:cs="宋体"/>
                <w:b/>
                <w:bCs/>
                <w:szCs w:val="21"/>
              </w:rPr>
            </w:pPr>
            <w:r>
              <w:rPr>
                <w:rFonts w:hint="eastAsia" w:ascii="宋体" w:hAnsi="宋体" w:eastAsia="宋体" w:cs="宋体"/>
                <w:b/>
                <w:bCs/>
                <w:szCs w:val="21"/>
              </w:rPr>
              <w:t>单位</w:t>
            </w:r>
          </w:p>
        </w:tc>
      </w:tr>
      <w:tr w14:paraId="3505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542B4686">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1</w:t>
            </w:r>
          </w:p>
        </w:tc>
        <w:tc>
          <w:tcPr>
            <w:tcW w:w="3087" w:type="pct"/>
            <w:shd w:val="clear" w:color="auto" w:fill="auto"/>
            <w:vAlign w:val="center"/>
          </w:tcPr>
          <w:p w14:paraId="592D77E7">
            <w:pPr>
              <w:spacing w:line="320" w:lineRule="exact"/>
              <w:jc w:val="center"/>
              <w:rPr>
                <w:rFonts w:ascii="宋体" w:hAnsi="宋体" w:eastAsia="宋体" w:cs="宋体"/>
                <w:szCs w:val="21"/>
              </w:rPr>
            </w:pPr>
            <w:r>
              <w:rPr>
                <w:rFonts w:hint="eastAsia" w:ascii="宋体" w:hAnsi="宋体" w:eastAsia="宋体" w:cs="宋体"/>
                <w:szCs w:val="21"/>
              </w:rPr>
              <w:t>“浙科智学”数字化教学综合平台（</w:t>
            </w:r>
            <w:r>
              <w:rPr>
                <w:rFonts w:hint="eastAsia" w:ascii="宋体" w:hAnsi="宋体" w:eastAsia="宋体" w:cs="宋体"/>
                <w:b/>
                <w:bCs/>
                <w:szCs w:val="21"/>
              </w:rPr>
              <w:t>含配套硬件设备及网络扩容、拆旧、提升、实施、服务等费用</w:t>
            </w:r>
            <w:r>
              <w:rPr>
                <w:rFonts w:hint="eastAsia" w:ascii="宋体" w:hAnsi="宋体" w:eastAsia="宋体" w:cs="宋体"/>
                <w:szCs w:val="21"/>
              </w:rPr>
              <w:t>）</w:t>
            </w:r>
          </w:p>
        </w:tc>
        <w:tc>
          <w:tcPr>
            <w:tcW w:w="708" w:type="pct"/>
            <w:shd w:val="clear" w:color="auto" w:fill="FFFFFF"/>
            <w:vAlign w:val="center"/>
          </w:tcPr>
          <w:p w14:paraId="0E2C6E23">
            <w:pPr>
              <w:spacing w:line="320" w:lineRule="exact"/>
              <w:jc w:val="center"/>
              <w:rPr>
                <w:rFonts w:ascii="宋体" w:hAnsi="宋体" w:eastAsia="宋体" w:cs="宋体"/>
                <w:szCs w:val="21"/>
              </w:rPr>
            </w:pPr>
            <w:r>
              <w:rPr>
                <w:rFonts w:hint="eastAsia" w:ascii="宋体" w:hAnsi="宋体" w:eastAsia="宋体" w:cs="宋体"/>
                <w:szCs w:val="21"/>
              </w:rPr>
              <w:t>1</w:t>
            </w:r>
          </w:p>
        </w:tc>
        <w:tc>
          <w:tcPr>
            <w:tcW w:w="694" w:type="pct"/>
            <w:shd w:val="clear" w:color="auto" w:fill="FFFFFF"/>
            <w:vAlign w:val="center"/>
          </w:tcPr>
          <w:p w14:paraId="01138C73">
            <w:pPr>
              <w:spacing w:line="320" w:lineRule="exact"/>
              <w:jc w:val="center"/>
              <w:rPr>
                <w:rFonts w:ascii="宋体" w:hAnsi="宋体" w:eastAsia="宋体" w:cs="宋体"/>
                <w:szCs w:val="21"/>
              </w:rPr>
            </w:pPr>
            <w:r>
              <w:rPr>
                <w:rFonts w:hint="eastAsia" w:ascii="宋体" w:hAnsi="宋体" w:eastAsia="宋体" w:cs="宋体"/>
                <w:szCs w:val="21"/>
              </w:rPr>
              <w:t>套</w:t>
            </w:r>
          </w:p>
        </w:tc>
      </w:tr>
      <w:tr w14:paraId="1176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02B08A2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w:t>
            </w:r>
          </w:p>
        </w:tc>
        <w:tc>
          <w:tcPr>
            <w:tcW w:w="3087" w:type="pct"/>
            <w:shd w:val="clear" w:color="auto" w:fill="auto"/>
            <w:vAlign w:val="center"/>
          </w:tcPr>
          <w:p w14:paraId="0BD14C65">
            <w:pPr>
              <w:spacing w:line="288" w:lineRule="auto"/>
              <w:jc w:val="center"/>
              <w:rPr>
                <w:rFonts w:ascii="宋体" w:hAnsi="宋体" w:eastAsia="宋体" w:cs="宋体"/>
                <w:szCs w:val="21"/>
              </w:rPr>
            </w:pPr>
            <w:r>
              <w:rPr>
                <w:rFonts w:hint="eastAsia" w:ascii="宋体" w:hAnsi="宋体" w:eastAsia="宋体" w:cs="宋体"/>
                <w:szCs w:val="21"/>
              </w:rPr>
              <w:t>“浙科智学”智慧课程平台</w:t>
            </w:r>
          </w:p>
        </w:tc>
        <w:tc>
          <w:tcPr>
            <w:tcW w:w="708" w:type="pct"/>
            <w:shd w:val="clear" w:color="auto" w:fill="FFFFFF"/>
            <w:vAlign w:val="center"/>
          </w:tcPr>
          <w:p w14:paraId="5D9B2ECA">
            <w:pPr>
              <w:spacing w:line="320" w:lineRule="exact"/>
              <w:jc w:val="center"/>
              <w:rPr>
                <w:rFonts w:ascii="宋体" w:hAnsi="宋体" w:eastAsia="宋体" w:cs="宋体"/>
                <w:szCs w:val="21"/>
              </w:rPr>
            </w:pPr>
            <w:r>
              <w:rPr>
                <w:rFonts w:hint="eastAsia" w:ascii="宋体" w:hAnsi="宋体" w:eastAsia="宋体" w:cs="宋体"/>
                <w:szCs w:val="21"/>
              </w:rPr>
              <w:t>1</w:t>
            </w:r>
          </w:p>
        </w:tc>
        <w:tc>
          <w:tcPr>
            <w:tcW w:w="694" w:type="pct"/>
            <w:shd w:val="clear" w:color="auto" w:fill="FFFFFF"/>
            <w:vAlign w:val="center"/>
          </w:tcPr>
          <w:p w14:paraId="7BFBAA76">
            <w:pPr>
              <w:spacing w:line="320" w:lineRule="exact"/>
              <w:jc w:val="center"/>
              <w:rPr>
                <w:rFonts w:ascii="宋体" w:hAnsi="宋体" w:eastAsia="宋体" w:cs="宋体"/>
                <w:szCs w:val="21"/>
              </w:rPr>
            </w:pPr>
            <w:r>
              <w:rPr>
                <w:rFonts w:hint="eastAsia" w:ascii="宋体" w:hAnsi="宋体" w:eastAsia="宋体" w:cs="宋体"/>
                <w:szCs w:val="21"/>
              </w:rPr>
              <w:t>套</w:t>
            </w:r>
          </w:p>
        </w:tc>
      </w:tr>
      <w:tr w14:paraId="01C2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4CA52E9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w:t>
            </w:r>
          </w:p>
        </w:tc>
        <w:tc>
          <w:tcPr>
            <w:tcW w:w="3087" w:type="pct"/>
            <w:shd w:val="clear" w:color="auto" w:fill="auto"/>
            <w:vAlign w:val="center"/>
          </w:tcPr>
          <w:p w14:paraId="163D65A8">
            <w:pPr>
              <w:spacing w:line="288" w:lineRule="auto"/>
              <w:jc w:val="center"/>
              <w:rPr>
                <w:rFonts w:ascii="宋体" w:hAnsi="宋体" w:eastAsia="宋体" w:cs="宋体"/>
                <w:szCs w:val="21"/>
              </w:rPr>
            </w:pPr>
            <w:r>
              <w:rPr>
                <w:rFonts w:hint="eastAsia" w:ascii="宋体" w:hAnsi="宋体" w:eastAsia="宋体" w:cs="宋体"/>
                <w:szCs w:val="21"/>
              </w:rPr>
              <w:t>“浙科智学”智慧课堂直录播平台</w:t>
            </w:r>
          </w:p>
        </w:tc>
        <w:tc>
          <w:tcPr>
            <w:tcW w:w="708" w:type="pct"/>
            <w:shd w:val="clear" w:color="auto" w:fill="FFFFFF"/>
            <w:vAlign w:val="center"/>
          </w:tcPr>
          <w:p w14:paraId="7190C781">
            <w:pPr>
              <w:spacing w:line="320" w:lineRule="exact"/>
              <w:jc w:val="center"/>
              <w:rPr>
                <w:rFonts w:ascii="宋体" w:hAnsi="宋体" w:eastAsia="宋体" w:cs="宋体"/>
                <w:szCs w:val="21"/>
              </w:rPr>
            </w:pPr>
            <w:r>
              <w:rPr>
                <w:rFonts w:hint="eastAsia" w:ascii="宋体" w:hAnsi="宋体" w:eastAsia="宋体" w:cs="宋体"/>
                <w:szCs w:val="21"/>
              </w:rPr>
              <w:t>1</w:t>
            </w:r>
          </w:p>
        </w:tc>
        <w:tc>
          <w:tcPr>
            <w:tcW w:w="694" w:type="pct"/>
            <w:shd w:val="clear" w:color="auto" w:fill="FFFFFF"/>
            <w:vAlign w:val="center"/>
          </w:tcPr>
          <w:p w14:paraId="1122B06D">
            <w:pPr>
              <w:spacing w:line="320" w:lineRule="exact"/>
              <w:jc w:val="center"/>
              <w:rPr>
                <w:rFonts w:ascii="宋体" w:hAnsi="宋体" w:eastAsia="宋体" w:cs="宋体"/>
                <w:szCs w:val="21"/>
              </w:rPr>
            </w:pPr>
            <w:r>
              <w:rPr>
                <w:rFonts w:hint="eastAsia" w:ascii="宋体" w:hAnsi="宋体" w:eastAsia="宋体" w:cs="宋体"/>
                <w:szCs w:val="21"/>
              </w:rPr>
              <w:t>套</w:t>
            </w:r>
          </w:p>
        </w:tc>
      </w:tr>
      <w:tr w14:paraId="0418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09" w:type="pct"/>
            <w:vAlign w:val="center"/>
          </w:tcPr>
          <w:p w14:paraId="3E1F6C3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w:t>
            </w:r>
          </w:p>
        </w:tc>
        <w:tc>
          <w:tcPr>
            <w:tcW w:w="3087" w:type="pct"/>
            <w:shd w:val="clear" w:color="auto" w:fill="auto"/>
            <w:vAlign w:val="center"/>
          </w:tcPr>
          <w:p w14:paraId="659C0490">
            <w:pPr>
              <w:spacing w:line="288" w:lineRule="auto"/>
              <w:jc w:val="center"/>
              <w:rPr>
                <w:rFonts w:ascii="宋体" w:hAnsi="宋体" w:eastAsia="宋体" w:cs="宋体"/>
                <w:szCs w:val="21"/>
              </w:rPr>
            </w:pPr>
            <w:r>
              <w:rPr>
                <w:rFonts w:hint="eastAsia" w:ascii="宋体" w:hAnsi="宋体" w:eastAsia="宋体" w:cs="宋体"/>
                <w:szCs w:val="21"/>
              </w:rPr>
              <w:t>“浙科智学”教学质量保障子系统（智慧巡课督导）</w:t>
            </w:r>
          </w:p>
        </w:tc>
        <w:tc>
          <w:tcPr>
            <w:tcW w:w="708" w:type="pct"/>
            <w:shd w:val="clear" w:color="auto" w:fill="FFFFFF"/>
            <w:vAlign w:val="center"/>
          </w:tcPr>
          <w:p w14:paraId="10AC43D8">
            <w:pPr>
              <w:spacing w:line="320" w:lineRule="exact"/>
              <w:jc w:val="center"/>
              <w:rPr>
                <w:rFonts w:ascii="宋体" w:hAnsi="宋体" w:eastAsia="宋体" w:cs="宋体"/>
                <w:szCs w:val="21"/>
              </w:rPr>
            </w:pPr>
            <w:r>
              <w:rPr>
                <w:rFonts w:hint="eastAsia" w:ascii="宋体" w:hAnsi="宋体" w:eastAsia="宋体" w:cs="宋体"/>
                <w:szCs w:val="21"/>
              </w:rPr>
              <w:t>1</w:t>
            </w:r>
          </w:p>
        </w:tc>
        <w:tc>
          <w:tcPr>
            <w:tcW w:w="694" w:type="pct"/>
            <w:shd w:val="clear" w:color="auto" w:fill="FFFFFF"/>
            <w:vAlign w:val="center"/>
          </w:tcPr>
          <w:p w14:paraId="7AC4C3F7">
            <w:pPr>
              <w:spacing w:line="320" w:lineRule="exact"/>
              <w:jc w:val="center"/>
              <w:rPr>
                <w:rFonts w:ascii="宋体" w:hAnsi="宋体" w:eastAsia="宋体" w:cs="宋体"/>
                <w:szCs w:val="21"/>
              </w:rPr>
            </w:pPr>
            <w:r>
              <w:rPr>
                <w:rFonts w:hint="eastAsia" w:ascii="宋体" w:hAnsi="宋体" w:eastAsia="宋体" w:cs="宋体"/>
                <w:szCs w:val="21"/>
              </w:rPr>
              <w:t>套</w:t>
            </w:r>
          </w:p>
        </w:tc>
      </w:tr>
      <w:tr w14:paraId="034B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216BCA5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w:t>
            </w:r>
          </w:p>
        </w:tc>
        <w:tc>
          <w:tcPr>
            <w:tcW w:w="3087" w:type="pct"/>
            <w:shd w:val="clear" w:color="auto" w:fill="auto"/>
            <w:vAlign w:val="center"/>
          </w:tcPr>
          <w:p w14:paraId="335F2EFD">
            <w:pPr>
              <w:spacing w:line="288" w:lineRule="auto"/>
              <w:jc w:val="center"/>
              <w:rPr>
                <w:rFonts w:ascii="宋体" w:hAnsi="宋体" w:eastAsia="宋体" w:cs="宋体"/>
                <w:szCs w:val="21"/>
              </w:rPr>
            </w:pPr>
            <w:r>
              <w:rPr>
                <w:rFonts w:hint="eastAsia" w:ascii="宋体" w:hAnsi="宋体" w:eastAsia="宋体" w:cs="宋体"/>
                <w:szCs w:val="21"/>
              </w:rPr>
              <w:t>“浙科智学”多维数据驾驶舱</w:t>
            </w:r>
          </w:p>
        </w:tc>
        <w:tc>
          <w:tcPr>
            <w:tcW w:w="708" w:type="pct"/>
            <w:shd w:val="clear" w:color="auto" w:fill="FFFFFF"/>
            <w:vAlign w:val="center"/>
          </w:tcPr>
          <w:p w14:paraId="1259CEB7">
            <w:pPr>
              <w:spacing w:line="320" w:lineRule="exact"/>
              <w:jc w:val="center"/>
              <w:rPr>
                <w:rFonts w:ascii="宋体" w:hAnsi="宋体" w:eastAsia="宋体" w:cs="宋体"/>
                <w:szCs w:val="21"/>
              </w:rPr>
            </w:pPr>
            <w:r>
              <w:rPr>
                <w:rFonts w:hint="eastAsia" w:ascii="宋体" w:hAnsi="宋体" w:eastAsia="宋体" w:cs="宋体"/>
                <w:szCs w:val="21"/>
              </w:rPr>
              <w:t>1</w:t>
            </w:r>
          </w:p>
        </w:tc>
        <w:tc>
          <w:tcPr>
            <w:tcW w:w="694" w:type="pct"/>
            <w:shd w:val="clear" w:color="auto" w:fill="FFFFFF"/>
            <w:vAlign w:val="center"/>
          </w:tcPr>
          <w:p w14:paraId="1F139925">
            <w:pPr>
              <w:spacing w:line="320" w:lineRule="exact"/>
              <w:jc w:val="center"/>
              <w:rPr>
                <w:rFonts w:ascii="宋体" w:hAnsi="宋体" w:eastAsia="宋体" w:cs="宋体"/>
                <w:szCs w:val="21"/>
              </w:rPr>
            </w:pPr>
            <w:r>
              <w:rPr>
                <w:rFonts w:hint="eastAsia" w:ascii="宋体" w:hAnsi="宋体" w:eastAsia="宋体" w:cs="宋体"/>
                <w:szCs w:val="21"/>
              </w:rPr>
              <w:t>套</w:t>
            </w:r>
          </w:p>
        </w:tc>
      </w:tr>
      <w:tr w14:paraId="7093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2CA22B6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w:t>
            </w:r>
          </w:p>
        </w:tc>
        <w:tc>
          <w:tcPr>
            <w:tcW w:w="3087" w:type="pct"/>
            <w:shd w:val="clear" w:color="auto" w:fill="auto"/>
            <w:vAlign w:val="center"/>
          </w:tcPr>
          <w:p w14:paraId="6F34C4A8">
            <w:pPr>
              <w:spacing w:line="288" w:lineRule="auto"/>
              <w:jc w:val="center"/>
              <w:rPr>
                <w:rFonts w:ascii="宋体" w:hAnsi="宋体" w:eastAsia="宋体" w:cs="宋体"/>
                <w:szCs w:val="21"/>
              </w:rPr>
            </w:pPr>
            <w:r>
              <w:rPr>
                <w:rFonts w:hint="eastAsia" w:ascii="宋体" w:hAnsi="宋体" w:eastAsia="宋体" w:cs="宋体"/>
                <w:szCs w:val="21"/>
              </w:rPr>
              <w:t>“浙科智学”AI教务问答系统</w:t>
            </w:r>
          </w:p>
        </w:tc>
        <w:tc>
          <w:tcPr>
            <w:tcW w:w="708" w:type="pct"/>
            <w:shd w:val="clear" w:color="auto" w:fill="FFFFFF"/>
            <w:vAlign w:val="center"/>
          </w:tcPr>
          <w:p w14:paraId="00C334F3">
            <w:pPr>
              <w:spacing w:line="320" w:lineRule="exact"/>
              <w:jc w:val="center"/>
              <w:rPr>
                <w:rFonts w:ascii="宋体" w:hAnsi="宋体" w:eastAsia="宋体" w:cs="宋体"/>
                <w:szCs w:val="21"/>
              </w:rPr>
            </w:pPr>
            <w:r>
              <w:rPr>
                <w:rFonts w:hint="eastAsia" w:ascii="宋体" w:hAnsi="宋体" w:eastAsia="宋体" w:cs="宋体"/>
                <w:szCs w:val="21"/>
              </w:rPr>
              <w:t>1</w:t>
            </w:r>
          </w:p>
        </w:tc>
        <w:tc>
          <w:tcPr>
            <w:tcW w:w="694" w:type="pct"/>
            <w:shd w:val="clear" w:color="auto" w:fill="FFFFFF"/>
            <w:vAlign w:val="center"/>
          </w:tcPr>
          <w:p w14:paraId="24DDB672">
            <w:pPr>
              <w:spacing w:line="320" w:lineRule="exact"/>
              <w:jc w:val="center"/>
              <w:rPr>
                <w:rFonts w:ascii="宋体" w:hAnsi="宋体" w:eastAsia="宋体" w:cs="宋体"/>
                <w:szCs w:val="21"/>
              </w:rPr>
            </w:pPr>
            <w:r>
              <w:rPr>
                <w:rFonts w:hint="eastAsia" w:ascii="宋体" w:hAnsi="宋体" w:eastAsia="宋体" w:cs="宋体"/>
                <w:szCs w:val="21"/>
              </w:rPr>
              <w:t>套</w:t>
            </w:r>
          </w:p>
        </w:tc>
      </w:tr>
      <w:tr w14:paraId="1632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1C0BDA0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w:t>
            </w:r>
          </w:p>
        </w:tc>
        <w:tc>
          <w:tcPr>
            <w:tcW w:w="3087" w:type="pct"/>
            <w:shd w:val="clear" w:color="auto" w:fill="auto"/>
            <w:vAlign w:val="center"/>
          </w:tcPr>
          <w:p w14:paraId="5D1B5374">
            <w:pPr>
              <w:spacing w:line="288" w:lineRule="auto"/>
              <w:jc w:val="center"/>
              <w:rPr>
                <w:rFonts w:ascii="宋体" w:hAnsi="宋体" w:eastAsia="宋体" w:cs="宋体"/>
                <w:szCs w:val="21"/>
              </w:rPr>
            </w:pPr>
            <w:r>
              <w:rPr>
                <w:rFonts w:hint="eastAsia" w:ascii="宋体" w:hAnsi="宋体" w:eastAsia="宋体" w:cs="宋体"/>
                <w:szCs w:val="21"/>
              </w:rPr>
              <w:t>“浙科智学”安全监测系统</w:t>
            </w:r>
          </w:p>
        </w:tc>
        <w:tc>
          <w:tcPr>
            <w:tcW w:w="708" w:type="pct"/>
            <w:shd w:val="clear" w:color="auto" w:fill="FFFFFF"/>
            <w:vAlign w:val="center"/>
          </w:tcPr>
          <w:p w14:paraId="00867408">
            <w:pPr>
              <w:spacing w:line="320" w:lineRule="exact"/>
              <w:jc w:val="center"/>
              <w:rPr>
                <w:rFonts w:ascii="宋体" w:hAnsi="宋体" w:eastAsia="宋体" w:cs="宋体"/>
                <w:szCs w:val="21"/>
              </w:rPr>
            </w:pPr>
            <w:r>
              <w:rPr>
                <w:rFonts w:hint="eastAsia" w:ascii="宋体" w:hAnsi="宋体" w:eastAsia="宋体" w:cs="宋体"/>
                <w:szCs w:val="21"/>
              </w:rPr>
              <w:t>1</w:t>
            </w:r>
          </w:p>
        </w:tc>
        <w:tc>
          <w:tcPr>
            <w:tcW w:w="694" w:type="pct"/>
            <w:shd w:val="clear" w:color="auto" w:fill="FFFFFF"/>
            <w:vAlign w:val="center"/>
          </w:tcPr>
          <w:p w14:paraId="44E4FB55">
            <w:pPr>
              <w:spacing w:line="320" w:lineRule="exact"/>
              <w:jc w:val="center"/>
              <w:rPr>
                <w:rFonts w:ascii="宋体" w:hAnsi="宋体" w:eastAsia="宋体" w:cs="宋体"/>
                <w:szCs w:val="21"/>
              </w:rPr>
            </w:pPr>
            <w:r>
              <w:rPr>
                <w:rFonts w:hint="eastAsia" w:ascii="宋体" w:hAnsi="宋体" w:eastAsia="宋体" w:cs="宋体"/>
                <w:szCs w:val="21"/>
              </w:rPr>
              <w:t>套</w:t>
            </w:r>
          </w:p>
        </w:tc>
      </w:tr>
      <w:tr w14:paraId="4DC0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pct"/>
            <w:vAlign w:val="center"/>
          </w:tcPr>
          <w:p w14:paraId="33CAD96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w:t>
            </w:r>
          </w:p>
        </w:tc>
        <w:tc>
          <w:tcPr>
            <w:tcW w:w="3087" w:type="pct"/>
            <w:shd w:val="clear" w:color="auto" w:fill="auto"/>
            <w:vAlign w:val="center"/>
          </w:tcPr>
          <w:p w14:paraId="685066B4">
            <w:pPr>
              <w:spacing w:line="288" w:lineRule="auto"/>
              <w:jc w:val="center"/>
              <w:rPr>
                <w:rFonts w:ascii="宋体" w:hAnsi="宋体" w:eastAsia="宋体" w:cs="宋体"/>
                <w:szCs w:val="21"/>
              </w:rPr>
            </w:pPr>
            <w:r>
              <w:rPr>
                <w:rFonts w:hint="eastAsia" w:ascii="宋体" w:hAnsi="宋体" w:eastAsia="宋体" w:cs="宋体"/>
                <w:szCs w:val="21"/>
              </w:rPr>
              <w:t>“浙科智学”集中控制平台</w:t>
            </w:r>
          </w:p>
        </w:tc>
        <w:tc>
          <w:tcPr>
            <w:tcW w:w="708" w:type="pct"/>
            <w:shd w:val="clear" w:color="auto" w:fill="FFFFFF"/>
            <w:vAlign w:val="center"/>
          </w:tcPr>
          <w:p w14:paraId="43FD6B4C">
            <w:pPr>
              <w:spacing w:line="320" w:lineRule="exact"/>
              <w:jc w:val="center"/>
              <w:rPr>
                <w:rFonts w:ascii="宋体" w:hAnsi="宋体" w:eastAsia="宋体" w:cs="宋体"/>
                <w:szCs w:val="21"/>
              </w:rPr>
            </w:pPr>
            <w:r>
              <w:rPr>
                <w:rFonts w:hint="eastAsia" w:ascii="宋体" w:hAnsi="宋体" w:eastAsia="宋体" w:cs="宋体"/>
                <w:szCs w:val="21"/>
              </w:rPr>
              <w:t>1</w:t>
            </w:r>
          </w:p>
        </w:tc>
        <w:tc>
          <w:tcPr>
            <w:tcW w:w="694" w:type="pct"/>
            <w:shd w:val="clear" w:color="auto" w:fill="FFFFFF"/>
            <w:vAlign w:val="center"/>
          </w:tcPr>
          <w:p w14:paraId="28017E22">
            <w:pPr>
              <w:spacing w:line="320" w:lineRule="exact"/>
              <w:jc w:val="center"/>
              <w:rPr>
                <w:rFonts w:ascii="宋体" w:hAnsi="宋体" w:eastAsia="宋体" w:cs="宋体"/>
                <w:szCs w:val="21"/>
              </w:rPr>
            </w:pPr>
            <w:r>
              <w:rPr>
                <w:rFonts w:hint="eastAsia" w:ascii="宋体" w:hAnsi="宋体" w:eastAsia="宋体" w:cs="宋体"/>
                <w:szCs w:val="21"/>
              </w:rPr>
              <w:t>套</w:t>
            </w:r>
          </w:p>
        </w:tc>
      </w:tr>
      <w:tr w14:paraId="72B6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16301CB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1.8</w:t>
            </w:r>
          </w:p>
        </w:tc>
        <w:tc>
          <w:tcPr>
            <w:tcW w:w="3087" w:type="pct"/>
            <w:shd w:val="clear" w:color="auto" w:fill="auto"/>
            <w:vAlign w:val="center"/>
          </w:tcPr>
          <w:p w14:paraId="7048CCD3">
            <w:pPr>
              <w:spacing w:line="288" w:lineRule="auto"/>
              <w:jc w:val="center"/>
              <w:rPr>
                <w:rFonts w:ascii="宋体" w:hAnsi="宋体" w:eastAsia="宋体" w:cs="宋体"/>
                <w:szCs w:val="21"/>
              </w:rPr>
            </w:pPr>
            <w:r>
              <w:rPr>
                <w:rFonts w:hint="eastAsia" w:ascii="宋体" w:hAnsi="宋体" w:eastAsia="宋体" w:cs="宋体"/>
                <w:szCs w:val="21"/>
              </w:rPr>
              <w:t>定制化“浙科智学”数字化教学平台门户登录首页</w:t>
            </w:r>
          </w:p>
        </w:tc>
        <w:tc>
          <w:tcPr>
            <w:tcW w:w="708" w:type="pct"/>
            <w:shd w:val="clear" w:color="auto" w:fill="FFFFFF"/>
            <w:vAlign w:val="center"/>
          </w:tcPr>
          <w:p w14:paraId="28262EAA">
            <w:pPr>
              <w:spacing w:line="320" w:lineRule="exact"/>
              <w:jc w:val="center"/>
              <w:rPr>
                <w:rFonts w:ascii="宋体" w:hAnsi="宋体" w:eastAsia="宋体" w:cs="宋体"/>
                <w:szCs w:val="21"/>
              </w:rPr>
            </w:pPr>
            <w:r>
              <w:rPr>
                <w:rFonts w:hint="eastAsia" w:ascii="宋体" w:hAnsi="宋体" w:eastAsia="宋体" w:cs="宋体"/>
                <w:szCs w:val="21"/>
              </w:rPr>
              <w:t>1</w:t>
            </w:r>
          </w:p>
        </w:tc>
        <w:tc>
          <w:tcPr>
            <w:tcW w:w="694" w:type="pct"/>
            <w:shd w:val="clear" w:color="auto" w:fill="FFFFFF"/>
            <w:vAlign w:val="center"/>
          </w:tcPr>
          <w:p w14:paraId="51326EDE">
            <w:pPr>
              <w:spacing w:line="320" w:lineRule="exact"/>
              <w:jc w:val="center"/>
              <w:rPr>
                <w:rFonts w:ascii="宋体" w:hAnsi="宋体" w:eastAsia="宋体" w:cs="宋体"/>
                <w:szCs w:val="21"/>
              </w:rPr>
            </w:pPr>
            <w:r>
              <w:rPr>
                <w:rFonts w:hint="eastAsia" w:ascii="宋体" w:hAnsi="宋体" w:eastAsia="宋体" w:cs="宋体"/>
                <w:szCs w:val="21"/>
              </w:rPr>
              <w:t>套</w:t>
            </w:r>
          </w:p>
        </w:tc>
      </w:tr>
      <w:tr w14:paraId="319E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5FCF57E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1.9</w:t>
            </w:r>
          </w:p>
        </w:tc>
        <w:tc>
          <w:tcPr>
            <w:tcW w:w="3087" w:type="pct"/>
            <w:shd w:val="clear" w:color="auto" w:fill="auto"/>
            <w:vAlign w:val="center"/>
          </w:tcPr>
          <w:p w14:paraId="282A63AE">
            <w:pPr>
              <w:spacing w:line="288" w:lineRule="auto"/>
              <w:jc w:val="center"/>
              <w:rPr>
                <w:rFonts w:ascii="宋体" w:hAnsi="宋体" w:eastAsia="宋体" w:cs="宋体"/>
                <w:szCs w:val="21"/>
              </w:rPr>
            </w:pPr>
            <w:r>
              <w:rPr>
                <w:rFonts w:hint="eastAsia" w:ascii="宋体" w:hAnsi="宋体" w:eastAsia="宋体" w:cs="宋体"/>
                <w:szCs w:val="21"/>
              </w:rPr>
              <w:t>课堂直录播专用教师摄像机1</w:t>
            </w:r>
          </w:p>
        </w:tc>
        <w:tc>
          <w:tcPr>
            <w:tcW w:w="708" w:type="pct"/>
            <w:shd w:val="clear" w:color="auto" w:fill="FFFFFF"/>
            <w:vAlign w:val="center"/>
          </w:tcPr>
          <w:p w14:paraId="29AC4D6B">
            <w:pPr>
              <w:spacing w:line="320" w:lineRule="exact"/>
              <w:jc w:val="center"/>
              <w:rPr>
                <w:rFonts w:ascii="宋体" w:hAnsi="宋体" w:eastAsia="宋体" w:cs="宋体"/>
                <w:szCs w:val="21"/>
              </w:rPr>
            </w:pPr>
            <w:r>
              <w:rPr>
                <w:rFonts w:hint="eastAsia" w:ascii="宋体" w:hAnsi="宋体" w:eastAsia="宋体" w:cs="宋体"/>
                <w:szCs w:val="21"/>
              </w:rPr>
              <w:t>8</w:t>
            </w:r>
          </w:p>
        </w:tc>
        <w:tc>
          <w:tcPr>
            <w:tcW w:w="694" w:type="pct"/>
            <w:shd w:val="clear" w:color="auto" w:fill="FFFFFF"/>
            <w:vAlign w:val="center"/>
          </w:tcPr>
          <w:p w14:paraId="6ADA5CC2">
            <w:pPr>
              <w:spacing w:line="320" w:lineRule="exact"/>
              <w:jc w:val="center"/>
              <w:rPr>
                <w:rFonts w:ascii="宋体" w:hAnsi="宋体" w:eastAsia="宋体" w:cs="宋体"/>
                <w:szCs w:val="21"/>
              </w:rPr>
            </w:pPr>
            <w:r>
              <w:rPr>
                <w:rFonts w:hint="eastAsia" w:ascii="宋体" w:hAnsi="宋体" w:eastAsia="宋体" w:cs="宋体"/>
                <w:szCs w:val="21"/>
              </w:rPr>
              <w:t>台</w:t>
            </w:r>
          </w:p>
        </w:tc>
      </w:tr>
      <w:tr w14:paraId="3AE1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7E35BA3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1.10</w:t>
            </w:r>
          </w:p>
        </w:tc>
        <w:tc>
          <w:tcPr>
            <w:tcW w:w="3087" w:type="pct"/>
            <w:shd w:val="clear" w:color="auto" w:fill="auto"/>
            <w:vAlign w:val="center"/>
          </w:tcPr>
          <w:p w14:paraId="459B3EBD">
            <w:pPr>
              <w:spacing w:line="288" w:lineRule="auto"/>
              <w:jc w:val="center"/>
              <w:rPr>
                <w:rFonts w:ascii="宋体" w:hAnsi="宋体" w:eastAsia="宋体" w:cs="宋体"/>
                <w:szCs w:val="21"/>
              </w:rPr>
            </w:pPr>
            <w:r>
              <w:rPr>
                <w:rFonts w:hint="eastAsia" w:ascii="宋体" w:hAnsi="宋体" w:eastAsia="宋体" w:cs="宋体"/>
                <w:szCs w:val="21"/>
              </w:rPr>
              <w:t>课堂直录播专用教师摄像机2</w:t>
            </w:r>
          </w:p>
        </w:tc>
        <w:tc>
          <w:tcPr>
            <w:tcW w:w="708" w:type="pct"/>
            <w:shd w:val="clear" w:color="auto" w:fill="FFFFFF"/>
            <w:vAlign w:val="center"/>
          </w:tcPr>
          <w:p w14:paraId="00B6F2BB">
            <w:pPr>
              <w:spacing w:line="320" w:lineRule="exact"/>
              <w:jc w:val="center"/>
              <w:rPr>
                <w:rFonts w:ascii="宋体" w:hAnsi="宋体" w:eastAsia="宋体" w:cs="宋体"/>
                <w:szCs w:val="21"/>
              </w:rPr>
            </w:pPr>
            <w:r>
              <w:rPr>
                <w:rFonts w:hint="eastAsia" w:ascii="宋体" w:hAnsi="宋体" w:eastAsia="宋体" w:cs="宋体"/>
                <w:szCs w:val="21"/>
              </w:rPr>
              <w:t>133</w:t>
            </w:r>
          </w:p>
        </w:tc>
        <w:tc>
          <w:tcPr>
            <w:tcW w:w="694" w:type="pct"/>
            <w:shd w:val="clear" w:color="auto" w:fill="FFFFFF"/>
            <w:vAlign w:val="center"/>
          </w:tcPr>
          <w:p w14:paraId="361F8CD2">
            <w:pPr>
              <w:spacing w:line="320" w:lineRule="exact"/>
              <w:jc w:val="center"/>
              <w:rPr>
                <w:rFonts w:ascii="宋体" w:hAnsi="宋体" w:eastAsia="宋体" w:cs="宋体"/>
                <w:szCs w:val="21"/>
              </w:rPr>
            </w:pPr>
            <w:r>
              <w:rPr>
                <w:rFonts w:hint="eastAsia" w:ascii="宋体" w:hAnsi="宋体" w:eastAsia="宋体" w:cs="宋体"/>
                <w:szCs w:val="21"/>
              </w:rPr>
              <w:t>台</w:t>
            </w:r>
          </w:p>
        </w:tc>
      </w:tr>
      <w:tr w14:paraId="0E34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5C20A69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1.11</w:t>
            </w:r>
          </w:p>
        </w:tc>
        <w:tc>
          <w:tcPr>
            <w:tcW w:w="3087" w:type="pct"/>
            <w:shd w:val="clear" w:color="auto" w:fill="auto"/>
            <w:vAlign w:val="center"/>
          </w:tcPr>
          <w:p w14:paraId="59838A88">
            <w:pPr>
              <w:spacing w:line="288" w:lineRule="auto"/>
              <w:jc w:val="center"/>
              <w:rPr>
                <w:rFonts w:ascii="宋体" w:hAnsi="宋体" w:eastAsia="宋体" w:cs="宋体"/>
                <w:szCs w:val="21"/>
              </w:rPr>
            </w:pPr>
            <w:r>
              <w:rPr>
                <w:rFonts w:hint="eastAsia" w:ascii="宋体" w:hAnsi="宋体" w:eastAsia="宋体" w:cs="宋体"/>
                <w:szCs w:val="21"/>
              </w:rPr>
              <w:t>学生摄像机1</w:t>
            </w:r>
          </w:p>
        </w:tc>
        <w:tc>
          <w:tcPr>
            <w:tcW w:w="708" w:type="pct"/>
            <w:shd w:val="clear" w:color="auto" w:fill="FFFFFF"/>
            <w:vAlign w:val="center"/>
          </w:tcPr>
          <w:p w14:paraId="47A2F44D">
            <w:pPr>
              <w:spacing w:line="320" w:lineRule="exact"/>
              <w:jc w:val="center"/>
              <w:rPr>
                <w:rFonts w:ascii="宋体" w:hAnsi="宋体" w:eastAsia="宋体" w:cs="宋体"/>
                <w:szCs w:val="21"/>
              </w:rPr>
            </w:pPr>
            <w:r>
              <w:rPr>
                <w:rFonts w:hint="eastAsia" w:ascii="宋体" w:hAnsi="宋体" w:eastAsia="宋体" w:cs="宋体"/>
                <w:szCs w:val="21"/>
              </w:rPr>
              <w:t>8</w:t>
            </w:r>
          </w:p>
        </w:tc>
        <w:tc>
          <w:tcPr>
            <w:tcW w:w="694" w:type="pct"/>
            <w:shd w:val="clear" w:color="auto" w:fill="FFFFFF"/>
            <w:vAlign w:val="center"/>
          </w:tcPr>
          <w:p w14:paraId="75CEEE18">
            <w:pPr>
              <w:spacing w:line="320" w:lineRule="exact"/>
              <w:jc w:val="center"/>
              <w:rPr>
                <w:rFonts w:ascii="宋体" w:hAnsi="宋体" w:eastAsia="宋体" w:cs="宋体"/>
                <w:szCs w:val="21"/>
              </w:rPr>
            </w:pPr>
            <w:r>
              <w:rPr>
                <w:rFonts w:hint="eastAsia" w:ascii="宋体" w:hAnsi="宋体" w:eastAsia="宋体" w:cs="宋体"/>
                <w:szCs w:val="21"/>
              </w:rPr>
              <w:t>台</w:t>
            </w:r>
          </w:p>
        </w:tc>
      </w:tr>
      <w:tr w14:paraId="3393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4EEFDAC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1.12</w:t>
            </w:r>
          </w:p>
        </w:tc>
        <w:tc>
          <w:tcPr>
            <w:tcW w:w="3087" w:type="pct"/>
            <w:shd w:val="clear" w:color="auto" w:fill="auto"/>
            <w:vAlign w:val="center"/>
          </w:tcPr>
          <w:p w14:paraId="7C476E9A">
            <w:pPr>
              <w:spacing w:line="288" w:lineRule="auto"/>
              <w:jc w:val="center"/>
              <w:rPr>
                <w:rFonts w:ascii="宋体" w:hAnsi="宋体" w:eastAsia="宋体" w:cs="宋体"/>
                <w:szCs w:val="21"/>
              </w:rPr>
            </w:pPr>
            <w:r>
              <w:rPr>
                <w:rFonts w:hint="eastAsia" w:ascii="宋体" w:hAnsi="宋体" w:eastAsia="宋体" w:cs="宋体"/>
                <w:szCs w:val="21"/>
              </w:rPr>
              <w:t>学生摄像机2</w:t>
            </w:r>
          </w:p>
        </w:tc>
        <w:tc>
          <w:tcPr>
            <w:tcW w:w="708" w:type="pct"/>
            <w:shd w:val="clear" w:color="auto" w:fill="FFFFFF"/>
            <w:vAlign w:val="center"/>
          </w:tcPr>
          <w:p w14:paraId="1E994758">
            <w:pPr>
              <w:spacing w:line="320" w:lineRule="exact"/>
              <w:jc w:val="center"/>
              <w:rPr>
                <w:rFonts w:ascii="宋体" w:hAnsi="宋体" w:eastAsia="宋体" w:cs="宋体"/>
                <w:szCs w:val="21"/>
              </w:rPr>
            </w:pPr>
            <w:r>
              <w:rPr>
                <w:rFonts w:hint="eastAsia" w:ascii="宋体" w:hAnsi="宋体" w:eastAsia="宋体" w:cs="宋体"/>
                <w:szCs w:val="21"/>
              </w:rPr>
              <w:t>133</w:t>
            </w:r>
          </w:p>
        </w:tc>
        <w:tc>
          <w:tcPr>
            <w:tcW w:w="694" w:type="pct"/>
            <w:shd w:val="clear" w:color="auto" w:fill="FFFFFF"/>
            <w:vAlign w:val="center"/>
          </w:tcPr>
          <w:p w14:paraId="26B2EB50">
            <w:pPr>
              <w:spacing w:line="320" w:lineRule="exact"/>
              <w:jc w:val="center"/>
              <w:rPr>
                <w:rFonts w:ascii="宋体" w:hAnsi="宋体" w:eastAsia="宋体" w:cs="宋体"/>
                <w:szCs w:val="21"/>
              </w:rPr>
            </w:pPr>
            <w:r>
              <w:rPr>
                <w:rFonts w:hint="eastAsia" w:ascii="宋体" w:hAnsi="宋体" w:eastAsia="宋体" w:cs="宋体"/>
                <w:szCs w:val="21"/>
              </w:rPr>
              <w:t>台</w:t>
            </w:r>
          </w:p>
        </w:tc>
      </w:tr>
      <w:tr w14:paraId="57AB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2439A05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1.13</w:t>
            </w:r>
          </w:p>
        </w:tc>
        <w:tc>
          <w:tcPr>
            <w:tcW w:w="3087" w:type="pct"/>
            <w:shd w:val="clear" w:color="auto" w:fill="auto"/>
            <w:vAlign w:val="center"/>
          </w:tcPr>
          <w:p w14:paraId="2E2B4BAC">
            <w:pPr>
              <w:spacing w:line="288" w:lineRule="auto"/>
              <w:jc w:val="center"/>
              <w:rPr>
                <w:rFonts w:ascii="宋体" w:hAnsi="宋体" w:eastAsia="宋体" w:cs="宋体"/>
                <w:szCs w:val="21"/>
              </w:rPr>
            </w:pPr>
            <w:r>
              <w:rPr>
                <w:rFonts w:hint="eastAsia" w:ascii="宋体" w:hAnsi="宋体" w:eastAsia="宋体" w:cs="宋体"/>
                <w:szCs w:val="21"/>
              </w:rPr>
              <w:t>教室收音系统1</w:t>
            </w:r>
          </w:p>
        </w:tc>
        <w:tc>
          <w:tcPr>
            <w:tcW w:w="708" w:type="pct"/>
            <w:shd w:val="clear" w:color="auto" w:fill="FFFFFF"/>
            <w:vAlign w:val="center"/>
          </w:tcPr>
          <w:p w14:paraId="3DC1D5E3">
            <w:pPr>
              <w:spacing w:line="320" w:lineRule="exact"/>
              <w:jc w:val="center"/>
              <w:rPr>
                <w:rFonts w:ascii="宋体" w:hAnsi="宋体" w:eastAsia="宋体" w:cs="宋体"/>
                <w:szCs w:val="21"/>
              </w:rPr>
            </w:pPr>
            <w:r>
              <w:rPr>
                <w:rFonts w:hint="eastAsia" w:ascii="宋体" w:hAnsi="宋体" w:eastAsia="宋体" w:cs="宋体"/>
                <w:szCs w:val="21"/>
              </w:rPr>
              <w:t>8</w:t>
            </w:r>
          </w:p>
        </w:tc>
        <w:tc>
          <w:tcPr>
            <w:tcW w:w="694" w:type="pct"/>
            <w:shd w:val="clear" w:color="auto" w:fill="FFFFFF"/>
            <w:vAlign w:val="center"/>
          </w:tcPr>
          <w:p w14:paraId="4F9E822E">
            <w:pPr>
              <w:spacing w:line="320" w:lineRule="exact"/>
              <w:jc w:val="center"/>
              <w:rPr>
                <w:rFonts w:ascii="宋体" w:hAnsi="宋体" w:eastAsia="宋体" w:cs="宋体"/>
                <w:szCs w:val="21"/>
              </w:rPr>
            </w:pPr>
            <w:r>
              <w:rPr>
                <w:rFonts w:hint="eastAsia" w:ascii="宋体" w:hAnsi="宋体" w:eastAsia="宋体" w:cs="宋体"/>
                <w:szCs w:val="21"/>
              </w:rPr>
              <w:t>套</w:t>
            </w:r>
          </w:p>
        </w:tc>
      </w:tr>
      <w:tr w14:paraId="70A3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shd w:val="clear" w:color="auto" w:fill="auto"/>
            <w:vAlign w:val="center"/>
          </w:tcPr>
          <w:p w14:paraId="586B0B9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1.14</w:t>
            </w:r>
          </w:p>
        </w:tc>
        <w:tc>
          <w:tcPr>
            <w:tcW w:w="3087" w:type="pct"/>
            <w:shd w:val="clear" w:color="auto" w:fill="auto"/>
            <w:vAlign w:val="center"/>
          </w:tcPr>
          <w:p w14:paraId="6D9121DE">
            <w:pPr>
              <w:spacing w:line="288" w:lineRule="auto"/>
              <w:jc w:val="center"/>
              <w:rPr>
                <w:rFonts w:ascii="宋体" w:hAnsi="宋体" w:eastAsia="宋体" w:cs="宋体"/>
                <w:szCs w:val="21"/>
              </w:rPr>
            </w:pPr>
            <w:r>
              <w:rPr>
                <w:rFonts w:hint="eastAsia" w:ascii="宋体" w:hAnsi="宋体" w:eastAsia="宋体" w:cs="宋体"/>
                <w:szCs w:val="21"/>
              </w:rPr>
              <w:t>教室收音系统2</w:t>
            </w:r>
          </w:p>
        </w:tc>
        <w:tc>
          <w:tcPr>
            <w:tcW w:w="708" w:type="pct"/>
            <w:shd w:val="clear" w:color="auto" w:fill="FFFFFF"/>
            <w:vAlign w:val="center"/>
          </w:tcPr>
          <w:p w14:paraId="243B4DDE">
            <w:pPr>
              <w:spacing w:line="320" w:lineRule="exact"/>
              <w:jc w:val="center"/>
              <w:rPr>
                <w:rFonts w:ascii="宋体" w:hAnsi="宋体" w:eastAsia="宋体" w:cs="宋体"/>
                <w:szCs w:val="21"/>
              </w:rPr>
            </w:pPr>
            <w:r>
              <w:rPr>
                <w:rFonts w:hint="eastAsia" w:ascii="宋体" w:hAnsi="宋体" w:eastAsia="宋体" w:cs="宋体"/>
                <w:szCs w:val="21"/>
              </w:rPr>
              <w:t>133</w:t>
            </w:r>
          </w:p>
        </w:tc>
        <w:tc>
          <w:tcPr>
            <w:tcW w:w="694" w:type="pct"/>
            <w:shd w:val="clear" w:color="auto" w:fill="FFFFFF"/>
            <w:vAlign w:val="center"/>
          </w:tcPr>
          <w:p w14:paraId="48057A70">
            <w:pPr>
              <w:spacing w:line="320" w:lineRule="exact"/>
              <w:jc w:val="center"/>
              <w:rPr>
                <w:rFonts w:ascii="宋体" w:hAnsi="宋体" w:eastAsia="宋体" w:cs="宋体"/>
                <w:szCs w:val="21"/>
              </w:rPr>
            </w:pPr>
            <w:r>
              <w:rPr>
                <w:rFonts w:hint="eastAsia" w:ascii="宋体" w:hAnsi="宋体" w:eastAsia="宋体" w:cs="宋体"/>
                <w:szCs w:val="21"/>
              </w:rPr>
              <w:t>套</w:t>
            </w:r>
          </w:p>
        </w:tc>
      </w:tr>
      <w:tr w14:paraId="2C07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shd w:val="clear" w:color="auto" w:fill="auto"/>
            <w:vAlign w:val="center"/>
          </w:tcPr>
          <w:p w14:paraId="274C79B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1.15</w:t>
            </w:r>
          </w:p>
        </w:tc>
        <w:tc>
          <w:tcPr>
            <w:tcW w:w="3087" w:type="pct"/>
            <w:shd w:val="clear" w:color="auto" w:fill="auto"/>
            <w:vAlign w:val="center"/>
          </w:tcPr>
          <w:p w14:paraId="50D9039A">
            <w:pPr>
              <w:spacing w:line="288" w:lineRule="auto"/>
              <w:jc w:val="center"/>
              <w:rPr>
                <w:rFonts w:ascii="宋体" w:hAnsi="宋体" w:eastAsia="宋体" w:cs="宋体"/>
                <w:szCs w:val="21"/>
              </w:rPr>
            </w:pPr>
            <w:r>
              <w:rPr>
                <w:rFonts w:hint="eastAsia" w:ascii="宋体" w:hAnsi="宋体" w:eastAsia="宋体" w:cs="宋体"/>
                <w:szCs w:val="21"/>
              </w:rPr>
              <w:t>教室录播主机1</w:t>
            </w:r>
          </w:p>
        </w:tc>
        <w:tc>
          <w:tcPr>
            <w:tcW w:w="708" w:type="pct"/>
            <w:shd w:val="clear" w:color="auto" w:fill="FFFFFF"/>
            <w:vAlign w:val="center"/>
          </w:tcPr>
          <w:p w14:paraId="5334508D">
            <w:pPr>
              <w:spacing w:line="320" w:lineRule="exact"/>
              <w:jc w:val="center"/>
              <w:rPr>
                <w:rFonts w:ascii="宋体" w:hAnsi="宋体" w:eastAsia="宋体" w:cs="宋体"/>
                <w:szCs w:val="21"/>
              </w:rPr>
            </w:pPr>
            <w:r>
              <w:rPr>
                <w:rFonts w:hint="eastAsia" w:ascii="宋体" w:hAnsi="宋体" w:eastAsia="宋体" w:cs="宋体"/>
                <w:szCs w:val="21"/>
              </w:rPr>
              <w:t>8</w:t>
            </w:r>
          </w:p>
        </w:tc>
        <w:tc>
          <w:tcPr>
            <w:tcW w:w="694" w:type="pct"/>
            <w:shd w:val="clear" w:color="auto" w:fill="FFFFFF"/>
            <w:vAlign w:val="center"/>
          </w:tcPr>
          <w:p w14:paraId="4B59223E">
            <w:pPr>
              <w:spacing w:line="320" w:lineRule="exact"/>
              <w:jc w:val="center"/>
              <w:rPr>
                <w:rFonts w:ascii="宋体" w:hAnsi="宋体" w:eastAsia="宋体" w:cs="宋体"/>
                <w:szCs w:val="21"/>
              </w:rPr>
            </w:pPr>
            <w:r>
              <w:rPr>
                <w:rFonts w:hint="eastAsia" w:ascii="宋体" w:hAnsi="宋体" w:eastAsia="宋体" w:cs="宋体"/>
                <w:szCs w:val="21"/>
              </w:rPr>
              <w:t>套</w:t>
            </w:r>
          </w:p>
        </w:tc>
      </w:tr>
      <w:tr w14:paraId="7D1E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6E4F1AE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1.16</w:t>
            </w:r>
          </w:p>
        </w:tc>
        <w:tc>
          <w:tcPr>
            <w:tcW w:w="3087" w:type="pct"/>
            <w:shd w:val="clear" w:color="auto" w:fill="auto"/>
            <w:vAlign w:val="center"/>
          </w:tcPr>
          <w:p w14:paraId="2CFCCD2E">
            <w:pPr>
              <w:spacing w:line="288" w:lineRule="auto"/>
              <w:jc w:val="center"/>
              <w:rPr>
                <w:rFonts w:hint="default" w:ascii="宋体" w:hAnsi="宋体" w:eastAsia="宋体" w:cs="宋体"/>
                <w:szCs w:val="21"/>
                <w:lang w:val="en-US" w:eastAsia="zh-CN"/>
              </w:rPr>
            </w:pPr>
            <w:r>
              <w:rPr>
                <w:rFonts w:hint="eastAsia" w:ascii="宋体" w:hAnsi="宋体" w:eastAsia="宋体" w:cs="宋体"/>
                <w:szCs w:val="21"/>
              </w:rPr>
              <w:t>教室录播主机2</w:t>
            </w:r>
            <w:r>
              <w:rPr>
                <w:rFonts w:hint="eastAsia" w:ascii="宋体" w:hAnsi="宋体" w:eastAsia="宋体" w:cs="宋体"/>
                <w:b/>
                <w:bCs/>
                <w:color w:val="FF0000"/>
                <w:szCs w:val="21"/>
                <w:lang w:eastAsia="zh-CN"/>
              </w:rPr>
              <w:t>（</w:t>
            </w:r>
            <w:r>
              <w:rPr>
                <w:rFonts w:hint="eastAsia" w:ascii="宋体" w:hAnsi="宋体" w:eastAsia="宋体" w:cs="宋体"/>
                <w:b/>
                <w:bCs/>
                <w:color w:val="FF0000"/>
                <w:szCs w:val="21"/>
                <w:lang w:val="en-US" w:eastAsia="zh-CN"/>
              </w:rPr>
              <w:t>核心产品）</w:t>
            </w:r>
          </w:p>
        </w:tc>
        <w:tc>
          <w:tcPr>
            <w:tcW w:w="708" w:type="pct"/>
            <w:shd w:val="clear" w:color="auto" w:fill="FFFFFF"/>
            <w:vAlign w:val="center"/>
          </w:tcPr>
          <w:p w14:paraId="5073793E">
            <w:pPr>
              <w:spacing w:line="320" w:lineRule="exact"/>
              <w:jc w:val="center"/>
              <w:rPr>
                <w:rFonts w:ascii="宋体" w:hAnsi="宋体" w:eastAsia="宋体" w:cs="宋体"/>
                <w:szCs w:val="21"/>
              </w:rPr>
            </w:pPr>
            <w:r>
              <w:rPr>
                <w:rFonts w:hint="eastAsia" w:ascii="宋体" w:hAnsi="宋体" w:eastAsia="宋体" w:cs="宋体"/>
                <w:szCs w:val="21"/>
              </w:rPr>
              <w:t>133</w:t>
            </w:r>
          </w:p>
        </w:tc>
        <w:tc>
          <w:tcPr>
            <w:tcW w:w="694" w:type="pct"/>
            <w:shd w:val="clear" w:color="auto" w:fill="FFFFFF"/>
            <w:vAlign w:val="center"/>
          </w:tcPr>
          <w:p w14:paraId="3FB97A39">
            <w:pPr>
              <w:spacing w:line="320" w:lineRule="exact"/>
              <w:jc w:val="center"/>
              <w:rPr>
                <w:rFonts w:ascii="宋体" w:hAnsi="宋体" w:eastAsia="宋体" w:cs="宋体"/>
                <w:szCs w:val="21"/>
              </w:rPr>
            </w:pPr>
            <w:r>
              <w:rPr>
                <w:rFonts w:hint="eastAsia" w:ascii="宋体" w:hAnsi="宋体" w:eastAsia="宋体" w:cs="宋体"/>
                <w:szCs w:val="21"/>
              </w:rPr>
              <w:t>套</w:t>
            </w:r>
          </w:p>
        </w:tc>
      </w:tr>
      <w:tr w14:paraId="66B8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pct"/>
            <w:vAlign w:val="center"/>
          </w:tcPr>
          <w:p w14:paraId="3F157FEE">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2</w:t>
            </w:r>
          </w:p>
        </w:tc>
        <w:tc>
          <w:tcPr>
            <w:tcW w:w="3087" w:type="pct"/>
            <w:shd w:val="clear" w:color="auto" w:fill="auto"/>
            <w:vAlign w:val="center"/>
          </w:tcPr>
          <w:p w14:paraId="5A93071C">
            <w:pPr>
              <w:spacing w:line="320" w:lineRule="exact"/>
              <w:jc w:val="center"/>
              <w:rPr>
                <w:rFonts w:hint="eastAsia" w:ascii="宋体" w:hAnsi="宋体" w:eastAsia="宋体" w:cs="宋体"/>
                <w:szCs w:val="21"/>
                <w:lang w:val="en-US" w:eastAsia="zh-CN"/>
              </w:rPr>
            </w:pPr>
            <w:r>
              <w:rPr>
                <w:rFonts w:hint="eastAsia" w:ascii="宋体" w:hAnsi="宋体" w:eastAsia="宋体" w:cs="宋体"/>
                <w:szCs w:val="21"/>
              </w:rPr>
              <w:t>98寸交互式一体机及搪瓷白板（含整体框、教室所有墙面设计美化）</w:t>
            </w:r>
            <w:r>
              <w:rPr>
                <w:rFonts w:hint="eastAsia" w:ascii="宋体" w:hAnsi="宋体" w:eastAsia="宋体" w:cs="宋体"/>
                <w:b/>
                <w:bCs/>
                <w:color w:val="FF0000"/>
                <w:szCs w:val="21"/>
                <w:lang w:eastAsia="zh-CN"/>
              </w:rPr>
              <w:t>（</w:t>
            </w:r>
            <w:r>
              <w:rPr>
                <w:rFonts w:hint="eastAsia" w:ascii="宋体" w:hAnsi="宋体" w:eastAsia="宋体" w:cs="宋体"/>
                <w:b/>
                <w:bCs/>
                <w:color w:val="FF0000"/>
                <w:szCs w:val="21"/>
                <w:lang w:val="en-US" w:eastAsia="zh-CN"/>
              </w:rPr>
              <w:t>政府强制节能产品</w:t>
            </w:r>
            <w:r>
              <w:rPr>
                <w:rFonts w:hint="eastAsia" w:ascii="宋体" w:hAnsi="宋体" w:eastAsia="宋体" w:cs="宋体"/>
                <w:b/>
                <w:bCs/>
                <w:color w:val="FF0000"/>
                <w:szCs w:val="21"/>
                <w:lang w:eastAsia="zh-CN"/>
              </w:rPr>
              <w:t>）</w:t>
            </w:r>
          </w:p>
        </w:tc>
        <w:tc>
          <w:tcPr>
            <w:tcW w:w="708" w:type="pct"/>
            <w:shd w:val="clear" w:color="auto" w:fill="FFFFFF"/>
            <w:vAlign w:val="center"/>
          </w:tcPr>
          <w:p w14:paraId="54C571E3">
            <w:pPr>
              <w:spacing w:line="320" w:lineRule="exact"/>
              <w:jc w:val="center"/>
              <w:rPr>
                <w:rFonts w:ascii="宋体" w:hAnsi="宋体" w:eastAsia="宋体" w:cs="宋体"/>
                <w:szCs w:val="21"/>
              </w:rPr>
            </w:pPr>
            <w:r>
              <w:rPr>
                <w:rFonts w:hint="eastAsia" w:ascii="宋体" w:hAnsi="宋体" w:eastAsia="宋体" w:cs="宋体"/>
                <w:szCs w:val="21"/>
              </w:rPr>
              <w:t>8</w:t>
            </w:r>
          </w:p>
        </w:tc>
        <w:tc>
          <w:tcPr>
            <w:tcW w:w="694" w:type="pct"/>
            <w:shd w:val="clear" w:color="auto" w:fill="FFFFFF"/>
            <w:vAlign w:val="center"/>
          </w:tcPr>
          <w:p w14:paraId="699B6A1F">
            <w:pPr>
              <w:spacing w:line="320" w:lineRule="exact"/>
              <w:jc w:val="center"/>
              <w:rPr>
                <w:rFonts w:ascii="宋体" w:hAnsi="宋体" w:eastAsia="宋体" w:cs="宋体"/>
                <w:szCs w:val="21"/>
              </w:rPr>
            </w:pPr>
            <w:r>
              <w:rPr>
                <w:rFonts w:hint="eastAsia" w:ascii="宋体" w:hAnsi="宋体" w:eastAsia="宋体" w:cs="宋体"/>
                <w:szCs w:val="21"/>
              </w:rPr>
              <w:t>套</w:t>
            </w:r>
          </w:p>
        </w:tc>
      </w:tr>
      <w:tr w14:paraId="085D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9" w:type="pct"/>
            <w:vAlign w:val="center"/>
          </w:tcPr>
          <w:p w14:paraId="2DC78EEB">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3</w:t>
            </w:r>
          </w:p>
        </w:tc>
        <w:tc>
          <w:tcPr>
            <w:tcW w:w="3087" w:type="pct"/>
            <w:shd w:val="clear" w:color="auto" w:fill="auto"/>
            <w:vAlign w:val="center"/>
          </w:tcPr>
          <w:p w14:paraId="2ADA6E11">
            <w:pPr>
              <w:spacing w:line="320" w:lineRule="exact"/>
              <w:jc w:val="center"/>
              <w:rPr>
                <w:rFonts w:ascii="宋体" w:hAnsi="宋体" w:eastAsia="宋体" w:cs="宋体"/>
                <w:color w:val="FF0000"/>
                <w:szCs w:val="21"/>
              </w:rPr>
            </w:pPr>
            <w:r>
              <w:rPr>
                <w:rFonts w:hint="eastAsia" w:ascii="宋体" w:hAnsi="宋体" w:eastAsia="宋体" w:cs="宋体"/>
                <w:szCs w:val="21"/>
              </w:rPr>
              <w:t>辅助显示屏65寸及以上</w:t>
            </w:r>
            <w:r>
              <w:rPr>
                <w:rFonts w:hint="eastAsia" w:ascii="宋体" w:hAnsi="宋体" w:eastAsia="宋体" w:cs="宋体"/>
                <w:b/>
                <w:bCs/>
                <w:color w:val="FF0000"/>
                <w:szCs w:val="21"/>
                <w:lang w:eastAsia="zh-CN"/>
              </w:rPr>
              <w:t>（</w:t>
            </w:r>
            <w:r>
              <w:rPr>
                <w:rFonts w:hint="eastAsia" w:ascii="宋体" w:hAnsi="宋体" w:eastAsia="宋体" w:cs="宋体"/>
                <w:b/>
                <w:bCs/>
                <w:color w:val="FF0000"/>
                <w:szCs w:val="21"/>
                <w:lang w:val="en-US" w:eastAsia="zh-CN"/>
              </w:rPr>
              <w:t>政府强制节能产品</w:t>
            </w:r>
            <w:r>
              <w:rPr>
                <w:rFonts w:hint="eastAsia" w:ascii="宋体" w:hAnsi="宋体" w:eastAsia="宋体" w:cs="宋体"/>
                <w:b/>
                <w:bCs/>
                <w:color w:val="FF0000"/>
                <w:szCs w:val="21"/>
                <w:lang w:eastAsia="zh-CN"/>
              </w:rPr>
              <w:t>）</w:t>
            </w:r>
          </w:p>
        </w:tc>
        <w:tc>
          <w:tcPr>
            <w:tcW w:w="708" w:type="pct"/>
            <w:shd w:val="clear" w:color="auto" w:fill="FFFFFF"/>
            <w:vAlign w:val="center"/>
          </w:tcPr>
          <w:p w14:paraId="6E2F86A3">
            <w:pPr>
              <w:spacing w:line="320" w:lineRule="exact"/>
              <w:jc w:val="center"/>
              <w:rPr>
                <w:rFonts w:ascii="宋体" w:hAnsi="宋体" w:eastAsia="宋体" w:cs="宋体"/>
                <w:szCs w:val="21"/>
              </w:rPr>
            </w:pPr>
            <w:r>
              <w:rPr>
                <w:rFonts w:hint="eastAsia" w:ascii="宋体" w:hAnsi="宋体" w:eastAsia="宋体" w:cs="宋体"/>
                <w:szCs w:val="21"/>
              </w:rPr>
              <w:t>22</w:t>
            </w:r>
          </w:p>
        </w:tc>
        <w:tc>
          <w:tcPr>
            <w:tcW w:w="694" w:type="pct"/>
            <w:shd w:val="clear" w:color="auto" w:fill="FFFFFF"/>
            <w:vAlign w:val="center"/>
          </w:tcPr>
          <w:p w14:paraId="383BFC4B">
            <w:pPr>
              <w:spacing w:line="320" w:lineRule="exact"/>
              <w:jc w:val="center"/>
              <w:rPr>
                <w:rFonts w:ascii="宋体" w:hAnsi="宋体" w:eastAsia="宋体" w:cs="宋体"/>
                <w:szCs w:val="21"/>
              </w:rPr>
            </w:pPr>
            <w:r>
              <w:rPr>
                <w:rFonts w:hint="eastAsia" w:ascii="宋体" w:hAnsi="宋体" w:eastAsia="宋体" w:cs="宋体"/>
                <w:szCs w:val="21"/>
              </w:rPr>
              <w:t>台</w:t>
            </w:r>
          </w:p>
        </w:tc>
      </w:tr>
      <w:tr w14:paraId="5B88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546ED84E">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4</w:t>
            </w:r>
          </w:p>
        </w:tc>
        <w:tc>
          <w:tcPr>
            <w:tcW w:w="3087" w:type="pct"/>
            <w:shd w:val="clear" w:color="auto" w:fill="auto"/>
            <w:vAlign w:val="center"/>
          </w:tcPr>
          <w:p w14:paraId="2DBC9D89">
            <w:pPr>
              <w:spacing w:line="320" w:lineRule="exact"/>
              <w:jc w:val="center"/>
              <w:rPr>
                <w:rFonts w:ascii="宋体" w:hAnsi="宋体" w:eastAsia="宋体" w:cs="宋体"/>
                <w:szCs w:val="21"/>
              </w:rPr>
            </w:pPr>
            <w:r>
              <w:rPr>
                <w:rFonts w:hint="eastAsia" w:ascii="宋体" w:hAnsi="宋体" w:eastAsia="宋体" w:cs="宋体"/>
                <w:szCs w:val="21"/>
              </w:rPr>
              <w:t>电动升降讲台（含中控系统显示器）（定制）</w:t>
            </w:r>
          </w:p>
        </w:tc>
        <w:tc>
          <w:tcPr>
            <w:tcW w:w="708" w:type="pct"/>
            <w:shd w:val="clear" w:color="auto" w:fill="FFFFFF"/>
            <w:vAlign w:val="center"/>
          </w:tcPr>
          <w:p w14:paraId="214C6BC1">
            <w:pPr>
              <w:spacing w:line="320" w:lineRule="exact"/>
              <w:jc w:val="center"/>
              <w:rPr>
                <w:rFonts w:ascii="宋体" w:hAnsi="宋体" w:eastAsia="宋体" w:cs="宋体"/>
                <w:szCs w:val="21"/>
              </w:rPr>
            </w:pPr>
            <w:r>
              <w:rPr>
                <w:rFonts w:hint="eastAsia" w:ascii="宋体" w:hAnsi="宋体" w:eastAsia="宋体" w:cs="宋体"/>
                <w:szCs w:val="21"/>
              </w:rPr>
              <w:t>8</w:t>
            </w:r>
          </w:p>
        </w:tc>
        <w:tc>
          <w:tcPr>
            <w:tcW w:w="694" w:type="pct"/>
            <w:shd w:val="clear" w:color="auto" w:fill="FFFFFF"/>
            <w:vAlign w:val="center"/>
          </w:tcPr>
          <w:p w14:paraId="4618D505">
            <w:pPr>
              <w:spacing w:line="320" w:lineRule="exact"/>
              <w:jc w:val="center"/>
              <w:rPr>
                <w:rFonts w:ascii="宋体" w:hAnsi="宋体" w:eastAsia="宋体" w:cs="宋体"/>
                <w:szCs w:val="21"/>
              </w:rPr>
            </w:pPr>
            <w:r>
              <w:rPr>
                <w:rFonts w:hint="eastAsia" w:ascii="宋体" w:hAnsi="宋体" w:eastAsia="宋体" w:cs="宋体"/>
                <w:szCs w:val="21"/>
              </w:rPr>
              <w:t>套</w:t>
            </w:r>
          </w:p>
        </w:tc>
      </w:tr>
      <w:tr w14:paraId="5B86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509" w:type="pct"/>
            <w:vAlign w:val="center"/>
          </w:tcPr>
          <w:p w14:paraId="57218DDD">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5</w:t>
            </w:r>
          </w:p>
        </w:tc>
        <w:tc>
          <w:tcPr>
            <w:tcW w:w="3087" w:type="pct"/>
            <w:shd w:val="clear" w:color="auto" w:fill="auto"/>
            <w:vAlign w:val="center"/>
          </w:tcPr>
          <w:p w14:paraId="6384EB5F">
            <w:pPr>
              <w:spacing w:line="320" w:lineRule="exact"/>
              <w:jc w:val="center"/>
              <w:rPr>
                <w:rFonts w:ascii="宋体" w:hAnsi="宋体" w:eastAsia="宋体" w:cs="宋体"/>
                <w:szCs w:val="21"/>
              </w:rPr>
            </w:pPr>
            <w:r>
              <w:rPr>
                <w:rFonts w:hint="eastAsia" w:ascii="宋体" w:hAnsi="宋体" w:eastAsia="宋体" w:cs="宋体"/>
                <w:szCs w:val="21"/>
              </w:rPr>
              <w:t>学生桌椅（定制、含地面修复与提升）</w:t>
            </w:r>
          </w:p>
        </w:tc>
        <w:tc>
          <w:tcPr>
            <w:tcW w:w="708" w:type="pct"/>
            <w:shd w:val="clear" w:color="auto" w:fill="FFFFFF"/>
            <w:vAlign w:val="center"/>
          </w:tcPr>
          <w:p w14:paraId="0782277F">
            <w:pPr>
              <w:spacing w:line="320" w:lineRule="exact"/>
              <w:jc w:val="center"/>
              <w:rPr>
                <w:rFonts w:ascii="宋体" w:hAnsi="宋体" w:eastAsia="宋体" w:cs="宋体"/>
                <w:szCs w:val="21"/>
              </w:rPr>
            </w:pPr>
            <w:r>
              <w:rPr>
                <w:rFonts w:hint="eastAsia" w:ascii="宋体" w:hAnsi="宋体" w:eastAsia="宋体" w:cs="宋体"/>
                <w:szCs w:val="21"/>
              </w:rPr>
              <w:t>8</w:t>
            </w:r>
          </w:p>
        </w:tc>
        <w:tc>
          <w:tcPr>
            <w:tcW w:w="694" w:type="pct"/>
            <w:shd w:val="clear" w:color="auto" w:fill="FFFFFF"/>
            <w:vAlign w:val="center"/>
          </w:tcPr>
          <w:p w14:paraId="4BE9E7CA">
            <w:pPr>
              <w:spacing w:line="320" w:lineRule="exact"/>
              <w:jc w:val="center"/>
              <w:rPr>
                <w:rFonts w:ascii="宋体" w:hAnsi="宋体" w:eastAsia="宋体" w:cs="宋体"/>
                <w:szCs w:val="21"/>
              </w:rPr>
            </w:pPr>
            <w:r>
              <w:rPr>
                <w:rFonts w:hint="eastAsia" w:ascii="宋体" w:hAnsi="宋体" w:eastAsia="宋体" w:cs="宋体"/>
                <w:szCs w:val="21"/>
              </w:rPr>
              <w:t>套</w:t>
            </w:r>
          </w:p>
        </w:tc>
      </w:tr>
      <w:tr w14:paraId="1E35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27CE92C7">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6</w:t>
            </w:r>
          </w:p>
        </w:tc>
        <w:tc>
          <w:tcPr>
            <w:tcW w:w="3087" w:type="pct"/>
            <w:shd w:val="clear" w:color="auto" w:fill="auto"/>
            <w:vAlign w:val="center"/>
          </w:tcPr>
          <w:p w14:paraId="5B9A8635">
            <w:pPr>
              <w:spacing w:line="320" w:lineRule="exact"/>
              <w:jc w:val="center"/>
              <w:rPr>
                <w:rFonts w:ascii="宋体" w:hAnsi="宋体" w:eastAsia="宋体" w:cs="宋体"/>
                <w:color w:val="FF0000"/>
                <w:szCs w:val="21"/>
              </w:rPr>
            </w:pPr>
            <w:r>
              <w:rPr>
                <w:rFonts w:hint="eastAsia" w:ascii="宋体" w:hAnsi="宋体" w:eastAsia="宋体" w:cs="宋体"/>
                <w:szCs w:val="21"/>
              </w:rPr>
              <w:t>电子班牌</w:t>
            </w:r>
          </w:p>
        </w:tc>
        <w:tc>
          <w:tcPr>
            <w:tcW w:w="708" w:type="pct"/>
            <w:shd w:val="clear" w:color="auto" w:fill="FFFFFF"/>
            <w:vAlign w:val="center"/>
          </w:tcPr>
          <w:p w14:paraId="4A9BFBD6">
            <w:pPr>
              <w:spacing w:line="320" w:lineRule="exact"/>
              <w:jc w:val="center"/>
              <w:rPr>
                <w:rFonts w:ascii="宋体" w:hAnsi="宋体" w:eastAsia="宋体" w:cs="宋体"/>
                <w:szCs w:val="21"/>
              </w:rPr>
            </w:pPr>
            <w:r>
              <w:rPr>
                <w:rFonts w:hint="eastAsia" w:ascii="宋体" w:hAnsi="宋体" w:eastAsia="宋体" w:cs="宋体"/>
                <w:szCs w:val="21"/>
              </w:rPr>
              <w:t>8</w:t>
            </w:r>
          </w:p>
        </w:tc>
        <w:tc>
          <w:tcPr>
            <w:tcW w:w="694" w:type="pct"/>
            <w:shd w:val="clear" w:color="auto" w:fill="FFFFFF"/>
            <w:vAlign w:val="center"/>
          </w:tcPr>
          <w:p w14:paraId="587DE94D">
            <w:pPr>
              <w:spacing w:line="320" w:lineRule="exact"/>
              <w:jc w:val="center"/>
              <w:rPr>
                <w:rFonts w:ascii="宋体" w:hAnsi="宋体" w:eastAsia="宋体" w:cs="宋体"/>
                <w:szCs w:val="21"/>
              </w:rPr>
            </w:pPr>
            <w:r>
              <w:rPr>
                <w:rFonts w:hint="eastAsia" w:ascii="宋体" w:hAnsi="宋体" w:eastAsia="宋体" w:cs="宋体"/>
                <w:szCs w:val="21"/>
              </w:rPr>
              <w:t>套</w:t>
            </w:r>
          </w:p>
        </w:tc>
      </w:tr>
      <w:tr w14:paraId="16BE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7C126781">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7</w:t>
            </w:r>
          </w:p>
        </w:tc>
        <w:tc>
          <w:tcPr>
            <w:tcW w:w="3087" w:type="pct"/>
            <w:shd w:val="clear" w:color="auto" w:fill="auto"/>
            <w:vAlign w:val="center"/>
          </w:tcPr>
          <w:p w14:paraId="6D2305AA">
            <w:pPr>
              <w:spacing w:line="320" w:lineRule="exact"/>
              <w:jc w:val="center"/>
              <w:rPr>
                <w:rFonts w:ascii="宋体" w:hAnsi="宋体" w:eastAsia="宋体" w:cs="宋体"/>
                <w:szCs w:val="21"/>
              </w:rPr>
            </w:pPr>
            <w:r>
              <w:rPr>
                <w:rFonts w:hint="eastAsia" w:ascii="宋体" w:hAnsi="宋体" w:eastAsia="宋体" w:cs="宋体"/>
                <w:szCs w:val="21"/>
              </w:rPr>
              <w:t>扩音设备</w:t>
            </w:r>
          </w:p>
        </w:tc>
        <w:tc>
          <w:tcPr>
            <w:tcW w:w="708" w:type="pct"/>
            <w:shd w:val="clear" w:color="auto" w:fill="FFFFFF"/>
            <w:vAlign w:val="center"/>
          </w:tcPr>
          <w:p w14:paraId="70AA165D">
            <w:pPr>
              <w:spacing w:line="320" w:lineRule="exact"/>
              <w:jc w:val="center"/>
              <w:rPr>
                <w:rFonts w:ascii="宋体" w:hAnsi="宋体" w:eastAsia="宋体" w:cs="宋体"/>
                <w:szCs w:val="21"/>
              </w:rPr>
            </w:pPr>
            <w:r>
              <w:rPr>
                <w:rFonts w:hint="eastAsia" w:ascii="宋体" w:hAnsi="宋体" w:eastAsia="宋体" w:cs="宋体"/>
                <w:szCs w:val="21"/>
              </w:rPr>
              <w:t>8</w:t>
            </w:r>
          </w:p>
        </w:tc>
        <w:tc>
          <w:tcPr>
            <w:tcW w:w="694" w:type="pct"/>
            <w:shd w:val="clear" w:color="auto" w:fill="FFFFFF"/>
            <w:vAlign w:val="center"/>
          </w:tcPr>
          <w:p w14:paraId="4303CC57">
            <w:pPr>
              <w:spacing w:line="320" w:lineRule="exact"/>
              <w:jc w:val="center"/>
              <w:rPr>
                <w:rFonts w:ascii="宋体" w:hAnsi="宋体" w:eastAsia="宋体" w:cs="宋体"/>
                <w:szCs w:val="21"/>
              </w:rPr>
            </w:pPr>
            <w:r>
              <w:rPr>
                <w:rFonts w:hint="eastAsia" w:ascii="宋体" w:hAnsi="宋体" w:eastAsia="宋体" w:cs="宋体"/>
                <w:szCs w:val="21"/>
              </w:rPr>
              <w:t>套</w:t>
            </w:r>
          </w:p>
        </w:tc>
      </w:tr>
      <w:tr w14:paraId="1E66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2C36BF9F">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8</w:t>
            </w:r>
          </w:p>
        </w:tc>
        <w:tc>
          <w:tcPr>
            <w:tcW w:w="3087" w:type="pct"/>
            <w:shd w:val="clear" w:color="auto" w:fill="auto"/>
            <w:vAlign w:val="center"/>
          </w:tcPr>
          <w:p w14:paraId="1715D2EC">
            <w:pPr>
              <w:spacing w:line="320" w:lineRule="exact"/>
              <w:jc w:val="center"/>
              <w:rPr>
                <w:rFonts w:ascii="宋体" w:hAnsi="宋体" w:eastAsia="宋体" w:cs="宋体"/>
                <w:szCs w:val="21"/>
              </w:rPr>
            </w:pPr>
            <w:r>
              <w:rPr>
                <w:rFonts w:hint="eastAsia" w:ascii="宋体" w:hAnsi="宋体" w:eastAsia="宋体" w:cs="宋体"/>
                <w:szCs w:val="21"/>
              </w:rPr>
              <w:t>86寸交互式一体机及搪瓷白板（含整体框）</w:t>
            </w:r>
            <w:r>
              <w:rPr>
                <w:rFonts w:hint="eastAsia" w:ascii="宋体" w:hAnsi="宋体" w:eastAsia="宋体" w:cs="宋体"/>
                <w:b/>
                <w:bCs/>
                <w:color w:val="FF0000"/>
                <w:szCs w:val="21"/>
                <w:lang w:eastAsia="zh-CN"/>
              </w:rPr>
              <w:t>（</w:t>
            </w:r>
            <w:r>
              <w:rPr>
                <w:rFonts w:hint="eastAsia" w:ascii="宋体" w:hAnsi="宋体" w:eastAsia="宋体" w:cs="宋体"/>
                <w:b/>
                <w:bCs/>
                <w:color w:val="FF0000"/>
                <w:szCs w:val="21"/>
                <w:lang w:val="en-US" w:eastAsia="zh-CN"/>
              </w:rPr>
              <w:t>政府强制节能产品</w:t>
            </w:r>
            <w:r>
              <w:rPr>
                <w:rFonts w:hint="eastAsia" w:ascii="宋体" w:hAnsi="宋体" w:eastAsia="宋体" w:cs="宋体"/>
                <w:b/>
                <w:bCs/>
                <w:color w:val="FF0000"/>
                <w:szCs w:val="21"/>
                <w:lang w:eastAsia="zh-CN"/>
              </w:rPr>
              <w:t>）</w:t>
            </w:r>
          </w:p>
        </w:tc>
        <w:tc>
          <w:tcPr>
            <w:tcW w:w="708" w:type="pct"/>
            <w:shd w:val="clear" w:color="auto" w:fill="FFFFFF"/>
            <w:vAlign w:val="center"/>
          </w:tcPr>
          <w:p w14:paraId="2AD7E4F6">
            <w:pPr>
              <w:spacing w:line="320" w:lineRule="exact"/>
              <w:jc w:val="center"/>
              <w:rPr>
                <w:rFonts w:ascii="宋体" w:hAnsi="宋体" w:eastAsia="宋体" w:cs="宋体"/>
                <w:szCs w:val="21"/>
              </w:rPr>
            </w:pPr>
            <w:r>
              <w:rPr>
                <w:rFonts w:hint="eastAsia" w:ascii="宋体" w:hAnsi="宋体" w:eastAsia="宋体" w:cs="宋体"/>
                <w:szCs w:val="21"/>
              </w:rPr>
              <w:t>94</w:t>
            </w:r>
          </w:p>
        </w:tc>
        <w:tc>
          <w:tcPr>
            <w:tcW w:w="694" w:type="pct"/>
            <w:shd w:val="clear" w:color="auto" w:fill="FFFFFF"/>
            <w:vAlign w:val="center"/>
          </w:tcPr>
          <w:p w14:paraId="377C42F6">
            <w:pPr>
              <w:spacing w:line="320" w:lineRule="exact"/>
              <w:jc w:val="center"/>
              <w:rPr>
                <w:rFonts w:ascii="宋体" w:hAnsi="宋体" w:eastAsia="宋体" w:cs="宋体"/>
                <w:szCs w:val="21"/>
              </w:rPr>
            </w:pPr>
            <w:r>
              <w:rPr>
                <w:rFonts w:hint="eastAsia" w:ascii="宋体" w:hAnsi="宋体" w:eastAsia="宋体" w:cs="宋体"/>
                <w:szCs w:val="21"/>
              </w:rPr>
              <w:t>套</w:t>
            </w:r>
          </w:p>
        </w:tc>
      </w:tr>
      <w:tr w14:paraId="786F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1FB20D54">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9</w:t>
            </w:r>
          </w:p>
        </w:tc>
        <w:tc>
          <w:tcPr>
            <w:tcW w:w="3087" w:type="pct"/>
            <w:shd w:val="clear" w:color="auto" w:fill="auto"/>
            <w:vAlign w:val="center"/>
          </w:tcPr>
          <w:p w14:paraId="29B34D93">
            <w:pPr>
              <w:spacing w:line="320" w:lineRule="exact"/>
              <w:jc w:val="center"/>
              <w:rPr>
                <w:rFonts w:ascii="宋体" w:hAnsi="宋体" w:eastAsia="宋体" w:cs="宋体"/>
                <w:szCs w:val="21"/>
              </w:rPr>
            </w:pPr>
            <w:r>
              <w:rPr>
                <w:rFonts w:hint="eastAsia" w:ascii="宋体" w:hAnsi="宋体" w:eastAsia="宋体" w:cs="宋体"/>
                <w:szCs w:val="21"/>
              </w:rPr>
              <w:t>电动升降讲台（定制）</w:t>
            </w:r>
          </w:p>
        </w:tc>
        <w:tc>
          <w:tcPr>
            <w:tcW w:w="708" w:type="pct"/>
            <w:shd w:val="clear" w:color="auto" w:fill="FFFFFF"/>
            <w:vAlign w:val="center"/>
          </w:tcPr>
          <w:p w14:paraId="47052513">
            <w:pPr>
              <w:spacing w:line="320" w:lineRule="exact"/>
              <w:jc w:val="center"/>
              <w:rPr>
                <w:rFonts w:ascii="宋体" w:hAnsi="宋体" w:eastAsia="宋体" w:cs="宋体"/>
                <w:szCs w:val="21"/>
              </w:rPr>
            </w:pPr>
            <w:r>
              <w:rPr>
                <w:rFonts w:hint="eastAsia" w:ascii="宋体" w:hAnsi="宋体" w:eastAsia="宋体" w:cs="宋体"/>
                <w:szCs w:val="21"/>
              </w:rPr>
              <w:t>105</w:t>
            </w:r>
          </w:p>
        </w:tc>
        <w:tc>
          <w:tcPr>
            <w:tcW w:w="694" w:type="pct"/>
            <w:shd w:val="clear" w:color="auto" w:fill="FFFFFF"/>
            <w:vAlign w:val="center"/>
          </w:tcPr>
          <w:p w14:paraId="41AEF078">
            <w:pPr>
              <w:spacing w:line="320" w:lineRule="exact"/>
              <w:jc w:val="center"/>
              <w:rPr>
                <w:rFonts w:ascii="宋体" w:hAnsi="宋体" w:eastAsia="宋体" w:cs="宋体"/>
                <w:szCs w:val="21"/>
              </w:rPr>
            </w:pPr>
            <w:r>
              <w:rPr>
                <w:rFonts w:hint="eastAsia" w:ascii="宋体" w:hAnsi="宋体" w:eastAsia="宋体" w:cs="宋体"/>
                <w:szCs w:val="21"/>
              </w:rPr>
              <w:t>套</w:t>
            </w:r>
          </w:p>
        </w:tc>
      </w:tr>
      <w:tr w14:paraId="615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7110F5C6">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10</w:t>
            </w:r>
          </w:p>
        </w:tc>
        <w:tc>
          <w:tcPr>
            <w:tcW w:w="3087" w:type="pct"/>
            <w:shd w:val="clear" w:color="auto" w:fill="auto"/>
            <w:vAlign w:val="center"/>
          </w:tcPr>
          <w:p w14:paraId="3F6C886C">
            <w:pPr>
              <w:spacing w:line="320" w:lineRule="exact"/>
              <w:jc w:val="center"/>
              <w:rPr>
                <w:rFonts w:hint="eastAsia" w:ascii="宋体" w:hAnsi="宋体" w:eastAsia="宋体" w:cs="宋体"/>
                <w:szCs w:val="21"/>
                <w:lang w:val="en-US" w:eastAsia="zh-CN"/>
              </w:rPr>
            </w:pPr>
            <w:r>
              <w:rPr>
                <w:rFonts w:hint="eastAsia" w:ascii="宋体" w:hAnsi="宋体" w:eastAsia="宋体" w:cs="宋体"/>
                <w:szCs w:val="21"/>
              </w:rPr>
              <w:t>120寸宽屏投影幕</w:t>
            </w:r>
          </w:p>
        </w:tc>
        <w:tc>
          <w:tcPr>
            <w:tcW w:w="708" w:type="pct"/>
            <w:shd w:val="clear" w:color="auto" w:fill="FFFFFF"/>
            <w:vAlign w:val="center"/>
          </w:tcPr>
          <w:p w14:paraId="03554C4B">
            <w:pPr>
              <w:spacing w:line="320" w:lineRule="exact"/>
              <w:jc w:val="center"/>
              <w:rPr>
                <w:rFonts w:ascii="宋体" w:hAnsi="宋体" w:eastAsia="宋体" w:cs="宋体"/>
                <w:szCs w:val="21"/>
              </w:rPr>
            </w:pPr>
            <w:r>
              <w:rPr>
                <w:rFonts w:hint="eastAsia" w:ascii="宋体" w:hAnsi="宋体" w:eastAsia="宋体" w:cs="宋体"/>
                <w:szCs w:val="21"/>
              </w:rPr>
              <w:t>40</w:t>
            </w:r>
          </w:p>
        </w:tc>
        <w:tc>
          <w:tcPr>
            <w:tcW w:w="694" w:type="pct"/>
            <w:shd w:val="clear" w:color="auto" w:fill="FFFFFF"/>
            <w:vAlign w:val="center"/>
          </w:tcPr>
          <w:p w14:paraId="54A0760F">
            <w:pPr>
              <w:spacing w:line="320" w:lineRule="exact"/>
              <w:jc w:val="center"/>
              <w:rPr>
                <w:rFonts w:ascii="宋体" w:hAnsi="宋体" w:eastAsia="宋体" w:cs="宋体"/>
                <w:szCs w:val="21"/>
              </w:rPr>
            </w:pPr>
            <w:r>
              <w:rPr>
                <w:rFonts w:hint="eastAsia" w:ascii="宋体" w:hAnsi="宋体" w:eastAsia="宋体" w:cs="宋体"/>
                <w:szCs w:val="21"/>
              </w:rPr>
              <w:t>块</w:t>
            </w:r>
          </w:p>
        </w:tc>
      </w:tr>
      <w:tr w14:paraId="3C67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pct"/>
            <w:vAlign w:val="center"/>
          </w:tcPr>
          <w:p w14:paraId="290A9424">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11</w:t>
            </w:r>
          </w:p>
        </w:tc>
        <w:tc>
          <w:tcPr>
            <w:tcW w:w="3087" w:type="pct"/>
            <w:shd w:val="clear" w:color="auto" w:fill="auto"/>
            <w:vAlign w:val="center"/>
          </w:tcPr>
          <w:p w14:paraId="53E6627E">
            <w:pPr>
              <w:spacing w:line="320" w:lineRule="exact"/>
              <w:jc w:val="center"/>
              <w:rPr>
                <w:rFonts w:ascii="宋体" w:hAnsi="宋体" w:eastAsia="宋体" w:cs="宋体"/>
                <w:szCs w:val="21"/>
              </w:rPr>
            </w:pPr>
            <w:r>
              <w:rPr>
                <w:rFonts w:hint="eastAsia" w:ascii="宋体" w:hAnsi="宋体" w:eastAsia="宋体" w:cs="宋体"/>
                <w:szCs w:val="21"/>
              </w:rPr>
              <w:t>135寸宽屏投影幕</w:t>
            </w:r>
          </w:p>
        </w:tc>
        <w:tc>
          <w:tcPr>
            <w:tcW w:w="708" w:type="pct"/>
            <w:shd w:val="clear" w:color="auto" w:fill="FFFFFF"/>
            <w:vAlign w:val="center"/>
          </w:tcPr>
          <w:p w14:paraId="6345EC23">
            <w:pPr>
              <w:spacing w:line="320" w:lineRule="exact"/>
              <w:jc w:val="center"/>
              <w:rPr>
                <w:rFonts w:ascii="宋体" w:hAnsi="宋体" w:eastAsia="宋体" w:cs="宋体"/>
                <w:szCs w:val="21"/>
              </w:rPr>
            </w:pPr>
            <w:r>
              <w:rPr>
                <w:rFonts w:hint="eastAsia" w:ascii="宋体" w:hAnsi="宋体" w:eastAsia="宋体" w:cs="宋体"/>
                <w:szCs w:val="21"/>
              </w:rPr>
              <w:t>6</w:t>
            </w:r>
          </w:p>
        </w:tc>
        <w:tc>
          <w:tcPr>
            <w:tcW w:w="694" w:type="pct"/>
            <w:shd w:val="clear" w:color="auto" w:fill="FFFFFF"/>
            <w:vAlign w:val="center"/>
          </w:tcPr>
          <w:p w14:paraId="6008C58F">
            <w:pPr>
              <w:spacing w:line="320" w:lineRule="exact"/>
              <w:jc w:val="center"/>
              <w:rPr>
                <w:rFonts w:ascii="宋体" w:hAnsi="宋体" w:eastAsia="宋体" w:cs="宋体"/>
                <w:szCs w:val="21"/>
              </w:rPr>
            </w:pPr>
            <w:r>
              <w:rPr>
                <w:rFonts w:hint="eastAsia" w:ascii="宋体" w:hAnsi="宋体" w:eastAsia="宋体" w:cs="宋体"/>
                <w:szCs w:val="21"/>
              </w:rPr>
              <w:t>块</w:t>
            </w:r>
          </w:p>
        </w:tc>
      </w:tr>
      <w:tr w14:paraId="60A1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7EDDB4C3">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12</w:t>
            </w:r>
          </w:p>
        </w:tc>
        <w:tc>
          <w:tcPr>
            <w:tcW w:w="3087" w:type="pct"/>
            <w:shd w:val="clear" w:color="auto" w:fill="auto"/>
            <w:vAlign w:val="center"/>
          </w:tcPr>
          <w:p w14:paraId="5A37193E">
            <w:pPr>
              <w:spacing w:line="320" w:lineRule="exact"/>
              <w:jc w:val="center"/>
              <w:rPr>
                <w:rFonts w:ascii="宋体" w:hAnsi="宋体" w:eastAsia="宋体" w:cs="宋体"/>
                <w:szCs w:val="21"/>
              </w:rPr>
            </w:pPr>
            <w:r>
              <w:rPr>
                <w:rFonts w:hint="eastAsia" w:ascii="宋体" w:hAnsi="宋体" w:eastAsia="宋体" w:cs="宋体"/>
                <w:szCs w:val="21"/>
              </w:rPr>
              <w:t>高清中控主机及高清线</w:t>
            </w:r>
          </w:p>
        </w:tc>
        <w:tc>
          <w:tcPr>
            <w:tcW w:w="708" w:type="pct"/>
            <w:shd w:val="clear" w:color="auto" w:fill="FFFFFF"/>
            <w:vAlign w:val="center"/>
          </w:tcPr>
          <w:p w14:paraId="4628DF30">
            <w:pPr>
              <w:spacing w:line="320" w:lineRule="exact"/>
              <w:jc w:val="center"/>
              <w:rPr>
                <w:rFonts w:ascii="宋体" w:hAnsi="宋体" w:eastAsia="宋体" w:cs="宋体"/>
                <w:szCs w:val="21"/>
              </w:rPr>
            </w:pPr>
            <w:r>
              <w:rPr>
                <w:rFonts w:hint="eastAsia" w:ascii="宋体" w:hAnsi="宋体" w:eastAsia="宋体" w:cs="宋体"/>
                <w:szCs w:val="21"/>
              </w:rPr>
              <w:t>22</w:t>
            </w:r>
          </w:p>
        </w:tc>
        <w:tc>
          <w:tcPr>
            <w:tcW w:w="694" w:type="pct"/>
            <w:shd w:val="clear" w:color="auto" w:fill="FFFFFF"/>
            <w:vAlign w:val="center"/>
          </w:tcPr>
          <w:p w14:paraId="5838D0E5">
            <w:pPr>
              <w:spacing w:line="320" w:lineRule="exact"/>
              <w:jc w:val="center"/>
              <w:rPr>
                <w:rFonts w:ascii="宋体" w:hAnsi="宋体" w:eastAsia="宋体" w:cs="宋体"/>
                <w:szCs w:val="21"/>
              </w:rPr>
            </w:pPr>
            <w:r>
              <w:rPr>
                <w:rFonts w:hint="eastAsia" w:ascii="宋体" w:hAnsi="宋体" w:eastAsia="宋体" w:cs="宋体"/>
                <w:szCs w:val="21"/>
              </w:rPr>
              <w:t>套</w:t>
            </w:r>
          </w:p>
        </w:tc>
      </w:tr>
    </w:tbl>
    <w:p w14:paraId="18D7EE6E">
      <w:pPr>
        <w:spacing w:line="288" w:lineRule="auto"/>
        <w:outlineLvl w:val="2"/>
        <w:rPr>
          <w:rFonts w:hint="eastAsia" w:ascii="宋体" w:hAnsi="宋体" w:eastAsia="宋体" w:cs="宋体"/>
          <w:b/>
          <w:bCs/>
          <w:szCs w:val="21"/>
        </w:rPr>
      </w:pPr>
    </w:p>
    <w:p w14:paraId="2AE592CB">
      <w:pPr>
        <w:widowControl w:val="0"/>
        <w:spacing w:line="200" w:lineRule="exact"/>
        <w:ind w:firstLine="301"/>
        <w:jc w:val="both"/>
        <w:rPr>
          <w:rFonts w:hint="eastAsia" w:ascii="宋体" w:hAnsi="宋体" w:eastAsia="宋体" w:cs="Times New Roman"/>
          <w:b/>
          <w:bCs/>
          <w:spacing w:val="-4"/>
          <w:kern w:val="2"/>
          <w:sz w:val="21"/>
          <w:szCs w:val="21"/>
          <w:lang w:val="en-US" w:eastAsia="zh-CN" w:bidi="ar-SA"/>
        </w:rPr>
      </w:pPr>
    </w:p>
    <w:p w14:paraId="6DF02EE8">
      <w:pPr>
        <w:widowControl w:val="0"/>
        <w:spacing w:line="200" w:lineRule="exact"/>
        <w:ind w:firstLine="301"/>
        <w:jc w:val="both"/>
        <w:rPr>
          <w:rFonts w:hint="eastAsia" w:ascii="宋体" w:hAnsi="宋体" w:eastAsia="宋体" w:cs="Times New Roman"/>
          <w:b/>
          <w:bCs/>
          <w:spacing w:val="-4"/>
          <w:kern w:val="2"/>
          <w:sz w:val="21"/>
          <w:szCs w:val="21"/>
          <w:lang w:val="en-US" w:eastAsia="zh-CN" w:bidi="ar-SA"/>
        </w:rPr>
      </w:pPr>
      <w:r>
        <w:rPr>
          <w:rFonts w:hint="eastAsia" w:ascii="宋体" w:hAnsi="宋体" w:eastAsia="宋体" w:cs="Times New Roman"/>
          <w:b/>
          <w:bCs/>
          <w:spacing w:val="-4"/>
          <w:kern w:val="2"/>
          <w:sz w:val="21"/>
          <w:szCs w:val="21"/>
          <w:lang w:val="en-US" w:eastAsia="zh-CN" w:bidi="ar-SA"/>
        </w:rPr>
        <w:t>（四）投标报价最高限价：</w:t>
      </w:r>
    </w:p>
    <w:tbl>
      <w:tblPr>
        <w:tblStyle w:val="61"/>
        <w:tblW w:w="42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5394"/>
        <w:gridCol w:w="1943"/>
      </w:tblGrid>
      <w:tr w14:paraId="748B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0DFA59EB">
            <w:pPr>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投标报价最高限价表</w:t>
            </w:r>
          </w:p>
        </w:tc>
      </w:tr>
      <w:tr w14:paraId="4A0F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6E9A80A1">
            <w:pPr>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314" w:type="pct"/>
            <w:vAlign w:val="center"/>
          </w:tcPr>
          <w:p w14:paraId="0F4F4E04">
            <w:pPr>
              <w:spacing w:line="288" w:lineRule="auto"/>
              <w:jc w:val="center"/>
              <w:rPr>
                <w:rFonts w:ascii="宋体" w:hAnsi="宋体" w:eastAsia="宋体" w:cs="宋体"/>
                <w:b/>
                <w:bCs/>
                <w:szCs w:val="21"/>
              </w:rPr>
            </w:pPr>
            <w:r>
              <w:rPr>
                <w:rFonts w:hint="eastAsia" w:ascii="宋体" w:hAnsi="宋体" w:eastAsia="宋体" w:cs="宋体"/>
                <w:b/>
                <w:bCs/>
                <w:szCs w:val="21"/>
              </w:rPr>
              <w:t>标的名称</w:t>
            </w:r>
          </w:p>
        </w:tc>
        <w:tc>
          <w:tcPr>
            <w:tcW w:w="1193" w:type="pct"/>
            <w:vAlign w:val="center"/>
          </w:tcPr>
          <w:p w14:paraId="506635D4">
            <w:pPr>
              <w:spacing w:line="288" w:lineRule="auto"/>
              <w:jc w:val="center"/>
              <w:rPr>
                <w:rFonts w:hint="default" w:eastAsia="宋体" w:cs="Times New Roman"/>
                <w:lang w:val="en-US" w:eastAsia="zh-CN"/>
              </w:rPr>
            </w:pPr>
            <w:r>
              <w:rPr>
                <w:rFonts w:hint="eastAsia" w:ascii="宋体" w:hAnsi="宋体" w:eastAsia="宋体" w:cs="宋体"/>
                <w:b/>
                <w:bCs/>
                <w:szCs w:val="21"/>
                <w:lang w:val="en-US" w:eastAsia="zh-CN"/>
              </w:rPr>
              <w:t>最高限价</w:t>
            </w:r>
            <w:r>
              <w:rPr>
                <w:rFonts w:hint="eastAsia" w:hAnsi="宋体" w:eastAsia="宋体" w:cs="宋体"/>
                <w:b/>
                <w:bCs/>
                <w:szCs w:val="21"/>
                <w:lang w:val="en-US" w:eastAsia="zh-CN"/>
              </w:rPr>
              <w:t>（万元）</w:t>
            </w:r>
          </w:p>
        </w:tc>
      </w:tr>
      <w:tr w14:paraId="3AA9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211A62F8">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1</w:t>
            </w:r>
          </w:p>
        </w:tc>
        <w:tc>
          <w:tcPr>
            <w:tcW w:w="3314" w:type="pct"/>
            <w:shd w:val="clear" w:color="auto" w:fill="auto"/>
            <w:vAlign w:val="center"/>
          </w:tcPr>
          <w:p w14:paraId="34A7D85E">
            <w:pPr>
              <w:spacing w:line="320" w:lineRule="exact"/>
              <w:jc w:val="center"/>
              <w:rPr>
                <w:rFonts w:ascii="宋体" w:hAnsi="宋体" w:eastAsia="宋体" w:cs="宋体"/>
                <w:szCs w:val="21"/>
              </w:rPr>
            </w:pPr>
            <w:r>
              <w:rPr>
                <w:rFonts w:hint="eastAsia" w:ascii="宋体" w:hAnsi="宋体" w:eastAsia="宋体" w:cs="宋体"/>
                <w:szCs w:val="21"/>
              </w:rPr>
              <w:t>“浙科智学”数字化教学综合平台（</w:t>
            </w:r>
            <w:r>
              <w:rPr>
                <w:rFonts w:hint="eastAsia" w:ascii="宋体" w:hAnsi="宋体" w:eastAsia="宋体" w:cs="宋体"/>
                <w:b/>
                <w:bCs/>
                <w:szCs w:val="21"/>
              </w:rPr>
              <w:t>含配套硬件设备及网络扩容、拆旧、提升、实施、服务等费用</w:t>
            </w:r>
            <w:r>
              <w:rPr>
                <w:rFonts w:hint="eastAsia" w:ascii="宋体" w:hAnsi="宋体" w:eastAsia="宋体" w:cs="宋体"/>
                <w:szCs w:val="21"/>
              </w:rPr>
              <w:t>）</w:t>
            </w:r>
          </w:p>
        </w:tc>
        <w:tc>
          <w:tcPr>
            <w:tcW w:w="1193" w:type="pct"/>
            <w:vMerge w:val="restart"/>
            <w:shd w:val="clear" w:color="auto" w:fill="FFFFFF"/>
            <w:vAlign w:val="center"/>
          </w:tcPr>
          <w:p w14:paraId="54ABA51B">
            <w:pPr>
              <w:spacing w:line="32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230</w:t>
            </w:r>
          </w:p>
        </w:tc>
      </w:tr>
      <w:tr w14:paraId="2829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259E734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w:t>
            </w:r>
          </w:p>
        </w:tc>
        <w:tc>
          <w:tcPr>
            <w:tcW w:w="3314" w:type="pct"/>
            <w:shd w:val="clear" w:color="auto" w:fill="auto"/>
            <w:vAlign w:val="center"/>
          </w:tcPr>
          <w:p w14:paraId="7E3EC81C">
            <w:pPr>
              <w:spacing w:line="288" w:lineRule="auto"/>
              <w:jc w:val="center"/>
              <w:rPr>
                <w:rFonts w:ascii="宋体" w:hAnsi="宋体" w:eastAsia="宋体" w:cs="宋体"/>
                <w:szCs w:val="21"/>
              </w:rPr>
            </w:pPr>
            <w:r>
              <w:rPr>
                <w:rFonts w:hint="eastAsia" w:ascii="宋体" w:hAnsi="宋体" w:eastAsia="宋体" w:cs="宋体"/>
                <w:szCs w:val="21"/>
              </w:rPr>
              <w:t>“浙科智学”智慧课程平台</w:t>
            </w:r>
          </w:p>
        </w:tc>
        <w:tc>
          <w:tcPr>
            <w:tcW w:w="1193" w:type="pct"/>
            <w:vMerge w:val="continue"/>
            <w:shd w:val="clear" w:color="auto" w:fill="FFFFFF"/>
            <w:vAlign w:val="center"/>
          </w:tcPr>
          <w:p w14:paraId="43052219">
            <w:pPr>
              <w:spacing w:line="320" w:lineRule="exact"/>
              <w:jc w:val="center"/>
              <w:rPr>
                <w:rFonts w:ascii="宋体" w:hAnsi="宋体" w:eastAsia="宋体" w:cs="宋体"/>
                <w:szCs w:val="21"/>
              </w:rPr>
            </w:pPr>
          </w:p>
        </w:tc>
      </w:tr>
      <w:tr w14:paraId="51DF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63AE258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w:t>
            </w:r>
          </w:p>
        </w:tc>
        <w:tc>
          <w:tcPr>
            <w:tcW w:w="3314" w:type="pct"/>
            <w:shd w:val="clear" w:color="auto" w:fill="auto"/>
            <w:vAlign w:val="center"/>
          </w:tcPr>
          <w:p w14:paraId="75F2F486">
            <w:pPr>
              <w:spacing w:line="288" w:lineRule="auto"/>
              <w:jc w:val="center"/>
              <w:rPr>
                <w:rFonts w:ascii="宋体" w:hAnsi="宋体" w:eastAsia="宋体" w:cs="宋体"/>
                <w:szCs w:val="21"/>
              </w:rPr>
            </w:pPr>
            <w:r>
              <w:rPr>
                <w:rFonts w:hint="eastAsia" w:ascii="宋体" w:hAnsi="宋体" w:eastAsia="宋体" w:cs="宋体"/>
                <w:szCs w:val="21"/>
              </w:rPr>
              <w:t>“浙科智学”智慧课堂直录播平台</w:t>
            </w:r>
          </w:p>
        </w:tc>
        <w:tc>
          <w:tcPr>
            <w:tcW w:w="1193" w:type="pct"/>
            <w:vMerge w:val="continue"/>
            <w:shd w:val="clear" w:color="auto" w:fill="FFFFFF"/>
            <w:vAlign w:val="center"/>
          </w:tcPr>
          <w:p w14:paraId="0715C589">
            <w:pPr>
              <w:spacing w:line="320" w:lineRule="exact"/>
              <w:jc w:val="center"/>
              <w:rPr>
                <w:rFonts w:ascii="宋体" w:hAnsi="宋体" w:eastAsia="宋体" w:cs="宋体"/>
                <w:szCs w:val="21"/>
              </w:rPr>
            </w:pPr>
          </w:p>
        </w:tc>
      </w:tr>
      <w:tr w14:paraId="4ED2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92" w:type="pct"/>
            <w:vAlign w:val="center"/>
          </w:tcPr>
          <w:p w14:paraId="3A419DC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w:t>
            </w:r>
          </w:p>
        </w:tc>
        <w:tc>
          <w:tcPr>
            <w:tcW w:w="3314" w:type="pct"/>
            <w:shd w:val="clear" w:color="auto" w:fill="auto"/>
            <w:vAlign w:val="center"/>
          </w:tcPr>
          <w:p w14:paraId="47A17B64">
            <w:pPr>
              <w:spacing w:line="288" w:lineRule="auto"/>
              <w:jc w:val="center"/>
              <w:rPr>
                <w:rFonts w:ascii="宋体" w:hAnsi="宋体" w:eastAsia="宋体" w:cs="宋体"/>
                <w:szCs w:val="21"/>
              </w:rPr>
            </w:pPr>
            <w:r>
              <w:rPr>
                <w:rFonts w:hint="eastAsia" w:ascii="宋体" w:hAnsi="宋体" w:eastAsia="宋体" w:cs="宋体"/>
                <w:szCs w:val="21"/>
              </w:rPr>
              <w:t>“浙科智学”教学质量保障子系统（智慧巡课督导）</w:t>
            </w:r>
          </w:p>
        </w:tc>
        <w:tc>
          <w:tcPr>
            <w:tcW w:w="1193" w:type="pct"/>
            <w:vMerge w:val="continue"/>
            <w:shd w:val="clear" w:color="auto" w:fill="FFFFFF"/>
            <w:vAlign w:val="center"/>
          </w:tcPr>
          <w:p w14:paraId="4C0D35FD">
            <w:pPr>
              <w:spacing w:line="320" w:lineRule="exact"/>
              <w:jc w:val="center"/>
              <w:rPr>
                <w:rFonts w:ascii="宋体" w:hAnsi="宋体" w:eastAsia="宋体" w:cs="宋体"/>
                <w:szCs w:val="21"/>
              </w:rPr>
            </w:pPr>
          </w:p>
        </w:tc>
      </w:tr>
      <w:tr w14:paraId="59AE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1132048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w:t>
            </w:r>
          </w:p>
        </w:tc>
        <w:tc>
          <w:tcPr>
            <w:tcW w:w="3314" w:type="pct"/>
            <w:shd w:val="clear" w:color="auto" w:fill="auto"/>
            <w:vAlign w:val="center"/>
          </w:tcPr>
          <w:p w14:paraId="44F41714">
            <w:pPr>
              <w:spacing w:line="288" w:lineRule="auto"/>
              <w:jc w:val="center"/>
              <w:rPr>
                <w:rFonts w:ascii="宋体" w:hAnsi="宋体" w:eastAsia="宋体" w:cs="宋体"/>
                <w:szCs w:val="21"/>
              </w:rPr>
            </w:pPr>
            <w:r>
              <w:rPr>
                <w:rFonts w:hint="eastAsia" w:ascii="宋体" w:hAnsi="宋体" w:eastAsia="宋体" w:cs="宋体"/>
                <w:szCs w:val="21"/>
              </w:rPr>
              <w:t>“浙科智学”多维数据驾驶舱</w:t>
            </w:r>
          </w:p>
        </w:tc>
        <w:tc>
          <w:tcPr>
            <w:tcW w:w="1193" w:type="pct"/>
            <w:vMerge w:val="continue"/>
            <w:shd w:val="clear" w:color="auto" w:fill="FFFFFF"/>
            <w:vAlign w:val="center"/>
          </w:tcPr>
          <w:p w14:paraId="0C836C96">
            <w:pPr>
              <w:spacing w:line="320" w:lineRule="exact"/>
              <w:jc w:val="center"/>
              <w:rPr>
                <w:rFonts w:ascii="宋体" w:hAnsi="宋体" w:eastAsia="宋体" w:cs="宋体"/>
                <w:szCs w:val="21"/>
              </w:rPr>
            </w:pPr>
          </w:p>
        </w:tc>
      </w:tr>
      <w:tr w14:paraId="16A1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672F9B0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w:t>
            </w:r>
          </w:p>
        </w:tc>
        <w:tc>
          <w:tcPr>
            <w:tcW w:w="3314" w:type="pct"/>
            <w:shd w:val="clear" w:color="auto" w:fill="auto"/>
            <w:vAlign w:val="center"/>
          </w:tcPr>
          <w:p w14:paraId="7CCAC088">
            <w:pPr>
              <w:spacing w:line="288" w:lineRule="auto"/>
              <w:jc w:val="center"/>
              <w:rPr>
                <w:rFonts w:ascii="宋体" w:hAnsi="宋体" w:eastAsia="宋体" w:cs="宋体"/>
                <w:szCs w:val="21"/>
              </w:rPr>
            </w:pPr>
            <w:r>
              <w:rPr>
                <w:rFonts w:hint="eastAsia" w:ascii="宋体" w:hAnsi="宋体" w:eastAsia="宋体" w:cs="宋体"/>
                <w:szCs w:val="21"/>
              </w:rPr>
              <w:t>“浙科智学”AI教务问答系统</w:t>
            </w:r>
          </w:p>
        </w:tc>
        <w:tc>
          <w:tcPr>
            <w:tcW w:w="1193" w:type="pct"/>
            <w:vMerge w:val="continue"/>
            <w:shd w:val="clear" w:color="auto" w:fill="FFFFFF"/>
            <w:vAlign w:val="center"/>
          </w:tcPr>
          <w:p w14:paraId="5242A564">
            <w:pPr>
              <w:spacing w:line="320" w:lineRule="exact"/>
              <w:jc w:val="center"/>
              <w:rPr>
                <w:rFonts w:ascii="宋体" w:hAnsi="宋体" w:eastAsia="宋体" w:cs="宋体"/>
                <w:szCs w:val="21"/>
              </w:rPr>
            </w:pPr>
          </w:p>
        </w:tc>
      </w:tr>
      <w:tr w14:paraId="7FF4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554D131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w:t>
            </w:r>
          </w:p>
        </w:tc>
        <w:tc>
          <w:tcPr>
            <w:tcW w:w="3314" w:type="pct"/>
            <w:shd w:val="clear" w:color="auto" w:fill="auto"/>
            <w:vAlign w:val="center"/>
          </w:tcPr>
          <w:p w14:paraId="2802D6B1">
            <w:pPr>
              <w:spacing w:line="288" w:lineRule="auto"/>
              <w:jc w:val="center"/>
              <w:rPr>
                <w:rFonts w:ascii="宋体" w:hAnsi="宋体" w:eastAsia="宋体" w:cs="宋体"/>
                <w:szCs w:val="21"/>
              </w:rPr>
            </w:pPr>
            <w:r>
              <w:rPr>
                <w:rFonts w:hint="eastAsia" w:ascii="宋体" w:hAnsi="宋体" w:eastAsia="宋体" w:cs="宋体"/>
                <w:szCs w:val="21"/>
              </w:rPr>
              <w:t>“浙科智学”安全监测系统</w:t>
            </w:r>
          </w:p>
        </w:tc>
        <w:tc>
          <w:tcPr>
            <w:tcW w:w="1193" w:type="pct"/>
            <w:vMerge w:val="continue"/>
            <w:shd w:val="clear" w:color="auto" w:fill="FFFFFF"/>
            <w:vAlign w:val="center"/>
          </w:tcPr>
          <w:p w14:paraId="28B731D4">
            <w:pPr>
              <w:spacing w:line="320" w:lineRule="exact"/>
              <w:jc w:val="center"/>
              <w:rPr>
                <w:rFonts w:ascii="宋体" w:hAnsi="宋体" w:eastAsia="宋体" w:cs="宋体"/>
                <w:szCs w:val="21"/>
              </w:rPr>
            </w:pPr>
          </w:p>
        </w:tc>
      </w:tr>
      <w:tr w14:paraId="1415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pct"/>
            <w:vAlign w:val="center"/>
          </w:tcPr>
          <w:p w14:paraId="783D8A2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w:t>
            </w:r>
          </w:p>
        </w:tc>
        <w:tc>
          <w:tcPr>
            <w:tcW w:w="3314" w:type="pct"/>
            <w:shd w:val="clear" w:color="auto" w:fill="auto"/>
            <w:vAlign w:val="center"/>
          </w:tcPr>
          <w:p w14:paraId="4C49143F">
            <w:pPr>
              <w:spacing w:line="288" w:lineRule="auto"/>
              <w:jc w:val="center"/>
              <w:rPr>
                <w:rFonts w:ascii="宋体" w:hAnsi="宋体" w:eastAsia="宋体" w:cs="宋体"/>
                <w:szCs w:val="21"/>
              </w:rPr>
            </w:pPr>
            <w:r>
              <w:rPr>
                <w:rFonts w:hint="eastAsia" w:ascii="宋体" w:hAnsi="宋体" w:eastAsia="宋体" w:cs="宋体"/>
                <w:szCs w:val="21"/>
              </w:rPr>
              <w:t>“浙科智学”集中控制平台</w:t>
            </w:r>
          </w:p>
        </w:tc>
        <w:tc>
          <w:tcPr>
            <w:tcW w:w="1193" w:type="pct"/>
            <w:vMerge w:val="continue"/>
            <w:shd w:val="clear" w:color="auto" w:fill="FFFFFF"/>
            <w:vAlign w:val="center"/>
          </w:tcPr>
          <w:p w14:paraId="28C20CFE">
            <w:pPr>
              <w:spacing w:line="320" w:lineRule="exact"/>
              <w:jc w:val="center"/>
              <w:rPr>
                <w:rFonts w:ascii="宋体" w:hAnsi="宋体" w:eastAsia="宋体" w:cs="宋体"/>
                <w:szCs w:val="21"/>
              </w:rPr>
            </w:pPr>
          </w:p>
        </w:tc>
      </w:tr>
      <w:tr w14:paraId="68EF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2BA3366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1.8</w:t>
            </w:r>
          </w:p>
        </w:tc>
        <w:tc>
          <w:tcPr>
            <w:tcW w:w="3314" w:type="pct"/>
            <w:shd w:val="clear" w:color="auto" w:fill="auto"/>
            <w:vAlign w:val="center"/>
          </w:tcPr>
          <w:p w14:paraId="787DA0D6">
            <w:pPr>
              <w:spacing w:line="288" w:lineRule="auto"/>
              <w:jc w:val="center"/>
              <w:rPr>
                <w:rFonts w:ascii="宋体" w:hAnsi="宋体" w:eastAsia="宋体" w:cs="宋体"/>
                <w:szCs w:val="21"/>
              </w:rPr>
            </w:pPr>
            <w:r>
              <w:rPr>
                <w:rFonts w:hint="eastAsia" w:ascii="宋体" w:hAnsi="宋体" w:eastAsia="宋体" w:cs="宋体"/>
                <w:szCs w:val="21"/>
              </w:rPr>
              <w:t>定制化“浙科智学”数字化教学平台门户登录首页</w:t>
            </w:r>
          </w:p>
        </w:tc>
        <w:tc>
          <w:tcPr>
            <w:tcW w:w="1193" w:type="pct"/>
            <w:vMerge w:val="continue"/>
            <w:shd w:val="clear" w:color="auto" w:fill="FFFFFF"/>
            <w:vAlign w:val="center"/>
          </w:tcPr>
          <w:p w14:paraId="447919F8">
            <w:pPr>
              <w:spacing w:line="320" w:lineRule="exact"/>
              <w:jc w:val="center"/>
              <w:rPr>
                <w:rFonts w:ascii="宋体" w:hAnsi="宋体" w:eastAsia="宋体" w:cs="宋体"/>
                <w:szCs w:val="21"/>
              </w:rPr>
            </w:pPr>
          </w:p>
        </w:tc>
      </w:tr>
      <w:tr w14:paraId="5FE4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2270C27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1.9</w:t>
            </w:r>
          </w:p>
        </w:tc>
        <w:tc>
          <w:tcPr>
            <w:tcW w:w="3314" w:type="pct"/>
            <w:shd w:val="clear" w:color="auto" w:fill="auto"/>
            <w:vAlign w:val="center"/>
          </w:tcPr>
          <w:p w14:paraId="1E6703A8">
            <w:pPr>
              <w:spacing w:line="288" w:lineRule="auto"/>
              <w:jc w:val="center"/>
              <w:rPr>
                <w:rFonts w:ascii="宋体" w:hAnsi="宋体" w:eastAsia="宋体" w:cs="宋体"/>
                <w:szCs w:val="21"/>
              </w:rPr>
            </w:pPr>
            <w:r>
              <w:rPr>
                <w:rFonts w:hint="eastAsia" w:ascii="宋体" w:hAnsi="宋体" w:eastAsia="宋体" w:cs="宋体"/>
                <w:szCs w:val="21"/>
              </w:rPr>
              <w:t>课堂直录播专用教师摄像机1</w:t>
            </w:r>
          </w:p>
        </w:tc>
        <w:tc>
          <w:tcPr>
            <w:tcW w:w="1193" w:type="pct"/>
            <w:vMerge w:val="continue"/>
            <w:shd w:val="clear" w:color="auto" w:fill="FFFFFF"/>
            <w:vAlign w:val="center"/>
          </w:tcPr>
          <w:p w14:paraId="1B3383AB">
            <w:pPr>
              <w:spacing w:line="320" w:lineRule="exact"/>
              <w:jc w:val="center"/>
              <w:rPr>
                <w:rFonts w:ascii="宋体" w:hAnsi="宋体" w:eastAsia="宋体" w:cs="宋体"/>
                <w:szCs w:val="21"/>
              </w:rPr>
            </w:pPr>
          </w:p>
        </w:tc>
      </w:tr>
      <w:tr w14:paraId="5D02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06006BA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1.10</w:t>
            </w:r>
          </w:p>
        </w:tc>
        <w:tc>
          <w:tcPr>
            <w:tcW w:w="3314" w:type="pct"/>
            <w:shd w:val="clear" w:color="auto" w:fill="auto"/>
            <w:vAlign w:val="center"/>
          </w:tcPr>
          <w:p w14:paraId="6E454A9F">
            <w:pPr>
              <w:spacing w:line="288" w:lineRule="auto"/>
              <w:jc w:val="center"/>
              <w:rPr>
                <w:rFonts w:ascii="宋体" w:hAnsi="宋体" w:eastAsia="宋体" w:cs="宋体"/>
                <w:szCs w:val="21"/>
              </w:rPr>
            </w:pPr>
            <w:r>
              <w:rPr>
                <w:rFonts w:hint="eastAsia" w:ascii="宋体" w:hAnsi="宋体" w:eastAsia="宋体" w:cs="宋体"/>
                <w:szCs w:val="21"/>
              </w:rPr>
              <w:t>课堂直录播专用教师摄像机2</w:t>
            </w:r>
          </w:p>
        </w:tc>
        <w:tc>
          <w:tcPr>
            <w:tcW w:w="1193" w:type="pct"/>
            <w:vMerge w:val="continue"/>
            <w:shd w:val="clear" w:color="auto" w:fill="FFFFFF"/>
            <w:vAlign w:val="center"/>
          </w:tcPr>
          <w:p w14:paraId="1B533FD9">
            <w:pPr>
              <w:spacing w:line="320" w:lineRule="exact"/>
              <w:jc w:val="center"/>
              <w:rPr>
                <w:rFonts w:ascii="宋体" w:hAnsi="宋体" w:eastAsia="宋体" w:cs="宋体"/>
                <w:szCs w:val="21"/>
              </w:rPr>
            </w:pPr>
          </w:p>
        </w:tc>
      </w:tr>
      <w:tr w14:paraId="4687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3F995A6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1.11</w:t>
            </w:r>
          </w:p>
        </w:tc>
        <w:tc>
          <w:tcPr>
            <w:tcW w:w="3314" w:type="pct"/>
            <w:shd w:val="clear" w:color="auto" w:fill="auto"/>
            <w:vAlign w:val="center"/>
          </w:tcPr>
          <w:p w14:paraId="2E082C32">
            <w:pPr>
              <w:spacing w:line="288" w:lineRule="auto"/>
              <w:jc w:val="center"/>
              <w:rPr>
                <w:rFonts w:ascii="宋体" w:hAnsi="宋体" w:eastAsia="宋体" w:cs="宋体"/>
                <w:szCs w:val="21"/>
              </w:rPr>
            </w:pPr>
            <w:r>
              <w:rPr>
                <w:rFonts w:hint="eastAsia" w:ascii="宋体" w:hAnsi="宋体" w:eastAsia="宋体" w:cs="宋体"/>
                <w:szCs w:val="21"/>
              </w:rPr>
              <w:t>学生摄像机1</w:t>
            </w:r>
          </w:p>
        </w:tc>
        <w:tc>
          <w:tcPr>
            <w:tcW w:w="1193" w:type="pct"/>
            <w:vMerge w:val="continue"/>
            <w:shd w:val="clear" w:color="auto" w:fill="FFFFFF"/>
            <w:vAlign w:val="center"/>
          </w:tcPr>
          <w:p w14:paraId="701AE036">
            <w:pPr>
              <w:spacing w:line="320" w:lineRule="exact"/>
              <w:jc w:val="center"/>
              <w:rPr>
                <w:rFonts w:ascii="宋体" w:hAnsi="宋体" w:eastAsia="宋体" w:cs="宋体"/>
                <w:szCs w:val="21"/>
              </w:rPr>
            </w:pPr>
          </w:p>
        </w:tc>
      </w:tr>
      <w:tr w14:paraId="4751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7D58A4C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1.12</w:t>
            </w:r>
          </w:p>
        </w:tc>
        <w:tc>
          <w:tcPr>
            <w:tcW w:w="3314" w:type="pct"/>
            <w:shd w:val="clear" w:color="auto" w:fill="auto"/>
            <w:vAlign w:val="center"/>
          </w:tcPr>
          <w:p w14:paraId="18E6E8D7">
            <w:pPr>
              <w:spacing w:line="288" w:lineRule="auto"/>
              <w:jc w:val="center"/>
              <w:rPr>
                <w:rFonts w:ascii="宋体" w:hAnsi="宋体" w:eastAsia="宋体" w:cs="宋体"/>
                <w:szCs w:val="21"/>
              </w:rPr>
            </w:pPr>
            <w:r>
              <w:rPr>
                <w:rFonts w:hint="eastAsia" w:ascii="宋体" w:hAnsi="宋体" w:eastAsia="宋体" w:cs="宋体"/>
                <w:szCs w:val="21"/>
              </w:rPr>
              <w:t>学生摄像机2</w:t>
            </w:r>
          </w:p>
        </w:tc>
        <w:tc>
          <w:tcPr>
            <w:tcW w:w="1193" w:type="pct"/>
            <w:vMerge w:val="continue"/>
            <w:shd w:val="clear" w:color="auto" w:fill="FFFFFF"/>
            <w:vAlign w:val="center"/>
          </w:tcPr>
          <w:p w14:paraId="1E94CEA5">
            <w:pPr>
              <w:spacing w:line="320" w:lineRule="exact"/>
              <w:jc w:val="center"/>
              <w:rPr>
                <w:rFonts w:ascii="宋体" w:hAnsi="宋体" w:eastAsia="宋体" w:cs="宋体"/>
                <w:szCs w:val="21"/>
              </w:rPr>
            </w:pPr>
          </w:p>
        </w:tc>
      </w:tr>
      <w:tr w14:paraId="1383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4DD0F86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1.13</w:t>
            </w:r>
          </w:p>
        </w:tc>
        <w:tc>
          <w:tcPr>
            <w:tcW w:w="3314" w:type="pct"/>
            <w:shd w:val="clear" w:color="auto" w:fill="auto"/>
            <w:vAlign w:val="center"/>
          </w:tcPr>
          <w:p w14:paraId="32FDAA3C">
            <w:pPr>
              <w:spacing w:line="288" w:lineRule="auto"/>
              <w:jc w:val="center"/>
              <w:rPr>
                <w:rFonts w:ascii="宋体" w:hAnsi="宋体" w:eastAsia="宋体" w:cs="宋体"/>
                <w:szCs w:val="21"/>
              </w:rPr>
            </w:pPr>
            <w:r>
              <w:rPr>
                <w:rFonts w:hint="eastAsia" w:ascii="宋体" w:hAnsi="宋体" w:eastAsia="宋体" w:cs="宋体"/>
                <w:szCs w:val="21"/>
              </w:rPr>
              <w:t>教室收音系统1</w:t>
            </w:r>
          </w:p>
        </w:tc>
        <w:tc>
          <w:tcPr>
            <w:tcW w:w="1193" w:type="pct"/>
            <w:vMerge w:val="continue"/>
            <w:shd w:val="clear" w:color="auto" w:fill="FFFFFF"/>
            <w:vAlign w:val="center"/>
          </w:tcPr>
          <w:p w14:paraId="588FE6B6">
            <w:pPr>
              <w:spacing w:line="320" w:lineRule="exact"/>
              <w:jc w:val="center"/>
              <w:rPr>
                <w:rFonts w:ascii="宋体" w:hAnsi="宋体" w:eastAsia="宋体" w:cs="宋体"/>
                <w:szCs w:val="21"/>
              </w:rPr>
            </w:pPr>
          </w:p>
        </w:tc>
      </w:tr>
      <w:tr w14:paraId="5274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shd w:val="clear" w:color="auto" w:fill="auto"/>
            <w:vAlign w:val="center"/>
          </w:tcPr>
          <w:p w14:paraId="6E7E53A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1.14</w:t>
            </w:r>
          </w:p>
        </w:tc>
        <w:tc>
          <w:tcPr>
            <w:tcW w:w="3314" w:type="pct"/>
            <w:shd w:val="clear" w:color="auto" w:fill="auto"/>
            <w:vAlign w:val="center"/>
          </w:tcPr>
          <w:p w14:paraId="73A1D355">
            <w:pPr>
              <w:spacing w:line="288" w:lineRule="auto"/>
              <w:jc w:val="center"/>
              <w:rPr>
                <w:rFonts w:ascii="宋体" w:hAnsi="宋体" w:eastAsia="宋体" w:cs="宋体"/>
                <w:szCs w:val="21"/>
              </w:rPr>
            </w:pPr>
            <w:r>
              <w:rPr>
                <w:rFonts w:hint="eastAsia" w:ascii="宋体" w:hAnsi="宋体" w:eastAsia="宋体" w:cs="宋体"/>
                <w:szCs w:val="21"/>
              </w:rPr>
              <w:t>教室收音系统2</w:t>
            </w:r>
          </w:p>
        </w:tc>
        <w:tc>
          <w:tcPr>
            <w:tcW w:w="1193" w:type="pct"/>
            <w:vMerge w:val="continue"/>
            <w:shd w:val="clear" w:color="auto" w:fill="FFFFFF"/>
            <w:vAlign w:val="center"/>
          </w:tcPr>
          <w:p w14:paraId="18020665">
            <w:pPr>
              <w:spacing w:line="320" w:lineRule="exact"/>
              <w:jc w:val="center"/>
              <w:rPr>
                <w:rFonts w:ascii="宋体" w:hAnsi="宋体" w:eastAsia="宋体" w:cs="宋体"/>
                <w:szCs w:val="21"/>
              </w:rPr>
            </w:pPr>
          </w:p>
        </w:tc>
      </w:tr>
      <w:tr w14:paraId="1527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shd w:val="clear" w:color="auto" w:fill="auto"/>
            <w:vAlign w:val="center"/>
          </w:tcPr>
          <w:p w14:paraId="5EF2080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1.15</w:t>
            </w:r>
          </w:p>
        </w:tc>
        <w:tc>
          <w:tcPr>
            <w:tcW w:w="3314" w:type="pct"/>
            <w:shd w:val="clear" w:color="auto" w:fill="auto"/>
            <w:vAlign w:val="center"/>
          </w:tcPr>
          <w:p w14:paraId="08774414">
            <w:pPr>
              <w:spacing w:line="288" w:lineRule="auto"/>
              <w:jc w:val="center"/>
              <w:rPr>
                <w:rFonts w:ascii="宋体" w:hAnsi="宋体" w:eastAsia="宋体" w:cs="宋体"/>
                <w:szCs w:val="21"/>
              </w:rPr>
            </w:pPr>
            <w:r>
              <w:rPr>
                <w:rFonts w:hint="eastAsia" w:ascii="宋体" w:hAnsi="宋体" w:eastAsia="宋体" w:cs="宋体"/>
                <w:szCs w:val="21"/>
              </w:rPr>
              <w:t>教室录播主机1</w:t>
            </w:r>
          </w:p>
        </w:tc>
        <w:tc>
          <w:tcPr>
            <w:tcW w:w="1193" w:type="pct"/>
            <w:vMerge w:val="continue"/>
            <w:shd w:val="clear" w:color="auto" w:fill="FFFFFF"/>
            <w:vAlign w:val="center"/>
          </w:tcPr>
          <w:p w14:paraId="508A11A6">
            <w:pPr>
              <w:spacing w:line="320" w:lineRule="exact"/>
              <w:jc w:val="center"/>
              <w:rPr>
                <w:rFonts w:ascii="宋体" w:hAnsi="宋体" w:eastAsia="宋体" w:cs="宋体"/>
                <w:szCs w:val="21"/>
              </w:rPr>
            </w:pPr>
          </w:p>
        </w:tc>
      </w:tr>
      <w:tr w14:paraId="2A0E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45E4942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1.16</w:t>
            </w:r>
          </w:p>
        </w:tc>
        <w:tc>
          <w:tcPr>
            <w:tcW w:w="3314" w:type="pct"/>
            <w:shd w:val="clear" w:color="auto" w:fill="auto"/>
            <w:vAlign w:val="center"/>
          </w:tcPr>
          <w:p w14:paraId="3FA09505">
            <w:pPr>
              <w:spacing w:line="288" w:lineRule="auto"/>
              <w:jc w:val="center"/>
              <w:rPr>
                <w:rFonts w:hint="default" w:ascii="宋体" w:hAnsi="宋体" w:eastAsia="宋体" w:cs="宋体"/>
                <w:szCs w:val="21"/>
                <w:lang w:val="en-US" w:eastAsia="zh-CN"/>
              </w:rPr>
            </w:pPr>
            <w:r>
              <w:rPr>
                <w:rFonts w:hint="eastAsia" w:ascii="宋体" w:hAnsi="宋体" w:eastAsia="宋体" w:cs="宋体"/>
                <w:szCs w:val="21"/>
              </w:rPr>
              <w:t>教室录播主机2</w:t>
            </w:r>
          </w:p>
        </w:tc>
        <w:tc>
          <w:tcPr>
            <w:tcW w:w="1193" w:type="pct"/>
            <w:vMerge w:val="continue"/>
            <w:shd w:val="clear" w:color="auto" w:fill="FFFFFF"/>
            <w:vAlign w:val="center"/>
          </w:tcPr>
          <w:p w14:paraId="2083C2F7">
            <w:pPr>
              <w:spacing w:line="320" w:lineRule="exact"/>
              <w:jc w:val="center"/>
              <w:rPr>
                <w:rFonts w:ascii="宋体" w:hAnsi="宋体" w:eastAsia="宋体" w:cs="宋体"/>
                <w:szCs w:val="21"/>
              </w:rPr>
            </w:pPr>
          </w:p>
        </w:tc>
      </w:tr>
      <w:tr w14:paraId="7A3C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pct"/>
            <w:vAlign w:val="center"/>
          </w:tcPr>
          <w:p w14:paraId="1FB71254">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2</w:t>
            </w:r>
          </w:p>
        </w:tc>
        <w:tc>
          <w:tcPr>
            <w:tcW w:w="3314" w:type="pct"/>
            <w:shd w:val="clear" w:color="auto" w:fill="auto"/>
            <w:vAlign w:val="center"/>
          </w:tcPr>
          <w:p w14:paraId="7DE12F30">
            <w:pPr>
              <w:spacing w:line="320" w:lineRule="exact"/>
              <w:jc w:val="center"/>
              <w:rPr>
                <w:rFonts w:hint="eastAsia" w:ascii="宋体" w:hAnsi="宋体" w:eastAsia="宋体" w:cs="宋体"/>
                <w:szCs w:val="21"/>
                <w:lang w:val="en-US" w:eastAsia="zh-CN"/>
              </w:rPr>
            </w:pPr>
            <w:r>
              <w:rPr>
                <w:rFonts w:hint="eastAsia" w:ascii="宋体" w:hAnsi="宋体" w:eastAsia="宋体" w:cs="宋体"/>
                <w:szCs w:val="21"/>
              </w:rPr>
              <w:t>98寸交互式一体机及搪瓷白板（含整体框、教室所有墙面设计美化）</w:t>
            </w:r>
          </w:p>
        </w:tc>
        <w:tc>
          <w:tcPr>
            <w:tcW w:w="1193" w:type="pct"/>
            <w:vMerge w:val="restart"/>
            <w:shd w:val="clear" w:color="auto" w:fill="FFFFFF"/>
            <w:vAlign w:val="center"/>
          </w:tcPr>
          <w:p w14:paraId="60E679D7">
            <w:pPr>
              <w:spacing w:line="320" w:lineRule="exact"/>
              <w:jc w:val="center"/>
              <w:rPr>
                <w:rFonts w:hint="default" w:ascii="宋体" w:hAnsi="宋体" w:eastAsia="宋体" w:cs="宋体"/>
                <w:szCs w:val="21"/>
                <w:lang w:val="en-US" w:eastAsia="zh-CN"/>
              </w:rPr>
            </w:pPr>
            <w:r>
              <w:rPr>
                <w:rFonts w:hint="default" w:ascii="宋体" w:hAnsi="宋体" w:eastAsia="宋体" w:cs="宋体"/>
                <w:szCs w:val="21"/>
                <w:lang w:val="en-US" w:eastAsia="zh-CN"/>
              </w:rPr>
              <w:t>178.66</w:t>
            </w:r>
          </w:p>
        </w:tc>
      </w:tr>
      <w:tr w14:paraId="75AD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pct"/>
            <w:shd w:val="clear" w:color="auto" w:fill="auto"/>
            <w:vAlign w:val="center"/>
          </w:tcPr>
          <w:p w14:paraId="27CFA01E">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Cs w:val="21"/>
                <w:lang w:bidi="ar"/>
              </w:rPr>
              <w:t>8</w:t>
            </w:r>
          </w:p>
        </w:tc>
        <w:tc>
          <w:tcPr>
            <w:tcW w:w="3314" w:type="pct"/>
            <w:shd w:val="clear" w:color="auto" w:fill="auto"/>
            <w:vAlign w:val="center"/>
          </w:tcPr>
          <w:p w14:paraId="38F8C15C">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86寸交互式一体机及搪瓷白板（含整体框）</w:t>
            </w:r>
          </w:p>
        </w:tc>
        <w:tc>
          <w:tcPr>
            <w:tcW w:w="1193" w:type="pct"/>
            <w:vMerge w:val="continue"/>
            <w:shd w:val="clear" w:color="auto" w:fill="FFFFFF"/>
            <w:vAlign w:val="center"/>
          </w:tcPr>
          <w:p w14:paraId="5F1B5FC7">
            <w:pPr>
              <w:spacing w:line="320" w:lineRule="exact"/>
              <w:jc w:val="center"/>
              <w:rPr>
                <w:rFonts w:hint="eastAsia" w:ascii="宋体" w:hAnsi="宋体" w:eastAsia="宋体" w:cs="宋体"/>
                <w:szCs w:val="21"/>
              </w:rPr>
            </w:pPr>
          </w:p>
        </w:tc>
      </w:tr>
      <w:tr w14:paraId="4B12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92" w:type="pct"/>
            <w:vAlign w:val="center"/>
          </w:tcPr>
          <w:p w14:paraId="3172FD3A">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3</w:t>
            </w:r>
          </w:p>
        </w:tc>
        <w:tc>
          <w:tcPr>
            <w:tcW w:w="3314" w:type="pct"/>
            <w:shd w:val="clear" w:color="auto" w:fill="auto"/>
            <w:vAlign w:val="center"/>
          </w:tcPr>
          <w:p w14:paraId="4969F1E3">
            <w:pPr>
              <w:spacing w:line="320" w:lineRule="exact"/>
              <w:jc w:val="center"/>
              <w:rPr>
                <w:rFonts w:ascii="宋体" w:hAnsi="宋体" w:eastAsia="宋体" w:cs="宋体"/>
                <w:color w:val="FF0000"/>
                <w:szCs w:val="21"/>
              </w:rPr>
            </w:pPr>
            <w:r>
              <w:rPr>
                <w:rFonts w:hint="eastAsia" w:ascii="宋体" w:hAnsi="宋体" w:eastAsia="宋体" w:cs="宋体"/>
                <w:szCs w:val="21"/>
              </w:rPr>
              <w:t>辅助显示屏65寸及以上</w:t>
            </w:r>
          </w:p>
        </w:tc>
        <w:tc>
          <w:tcPr>
            <w:tcW w:w="1193" w:type="pct"/>
            <w:shd w:val="clear" w:color="auto" w:fill="FFFFFF"/>
            <w:vAlign w:val="center"/>
          </w:tcPr>
          <w:p w14:paraId="4896595C">
            <w:pPr>
              <w:spacing w:line="32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11</w:t>
            </w:r>
          </w:p>
        </w:tc>
      </w:tr>
      <w:tr w14:paraId="43CC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1E014851">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4</w:t>
            </w:r>
          </w:p>
        </w:tc>
        <w:tc>
          <w:tcPr>
            <w:tcW w:w="3314" w:type="pct"/>
            <w:shd w:val="clear" w:color="auto" w:fill="auto"/>
            <w:vAlign w:val="center"/>
          </w:tcPr>
          <w:p w14:paraId="6770685F">
            <w:pPr>
              <w:spacing w:line="320" w:lineRule="exact"/>
              <w:jc w:val="center"/>
              <w:rPr>
                <w:rFonts w:ascii="宋体" w:hAnsi="宋体" w:eastAsia="宋体" w:cs="宋体"/>
                <w:szCs w:val="21"/>
              </w:rPr>
            </w:pPr>
            <w:r>
              <w:rPr>
                <w:rFonts w:hint="eastAsia" w:ascii="宋体" w:hAnsi="宋体" w:eastAsia="宋体" w:cs="宋体"/>
                <w:szCs w:val="21"/>
              </w:rPr>
              <w:t>电动升降讲台（含中控系统显示器）（定制）</w:t>
            </w:r>
          </w:p>
        </w:tc>
        <w:tc>
          <w:tcPr>
            <w:tcW w:w="1193" w:type="pct"/>
            <w:vMerge w:val="restart"/>
            <w:shd w:val="clear" w:color="auto" w:fill="FFFFFF"/>
            <w:vAlign w:val="center"/>
          </w:tcPr>
          <w:p w14:paraId="04E2136B">
            <w:pPr>
              <w:spacing w:line="32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94.98</w:t>
            </w:r>
          </w:p>
        </w:tc>
      </w:tr>
      <w:tr w14:paraId="0D26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92" w:type="pct"/>
            <w:vAlign w:val="center"/>
          </w:tcPr>
          <w:p w14:paraId="001BA602">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5</w:t>
            </w:r>
          </w:p>
        </w:tc>
        <w:tc>
          <w:tcPr>
            <w:tcW w:w="3314" w:type="pct"/>
            <w:shd w:val="clear" w:color="auto" w:fill="auto"/>
            <w:vAlign w:val="center"/>
          </w:tcPr>
          <w:p w14:paraId="0AD48860">
            <w:pPr>
              <w:spacing w:line="320" w:lineRule="exact"/>
              <w:jc w:val="center"/>
              <w:rPr>
                <w:rFonts w:ascii="宋体" w:hAnsi="宋体" w:eastAsia="宋体" w:cs="宋体"/>
                <w:szCs w:val="21"/>
              </w:rPr>
            </w:pPr>
            <w:r>
              <w:rPr>
                <w:rFonts w:hint="eastAsia" w:ascii="宋体" w:hAnsi="宋体" w:eastAsia="宋体" w:cs="宋体"/>
                <w:szCs w:val="21"/>
              </w:rPr>
              <w:t>学生桌椅（定制、含地面修复与提升）</w:t>
            </w:r>
          </w:p>
        </w:tc>
        <w:tc>
          <w:tcPr>
            <w:tcW w:w="1193" w:type="pct"/>
            <w:vMerge w:val="continue"/>
            <w:shd w:val="clear" w:color="auto" w:fill="FFFFFF"/>
            <w:vAlign w:val="center"/>
          </w:tcPr>
          <w:p w14:paraId="2A6CE724">
            <w:pPr>
              <w:spacing w:line="320" w:lineRule="exact"/>
              <w:jc w:val="center"/>
              <w:rPr>
                <w:rFonts w:ascii="宋体" w:hAnsi="宋体" w:eastAsia="宋体" w:cs="宋体"/>
                <w:szCs w:val="21"/>
              </w:rPr>
            </w:pPr>
          </w:p>
        </w:tc>
      </w:tr>
      <w:tr w14:paraId="73B4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92" w:type="pct"/>
            <w:shd w:val="clear" w:color="auto" w:fill="auto"/>
            <w:vAlign w:val="center"/>
          </w:tcPr>
          <w:p w14:paraId="12E25BCE">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Cs w:val="21"/>
                <w:lang w:bidi="ar"/>
              </w:rPr>
              <w:t>9</w:t>
            </w:r>
          </w:p>
        </w:tc>
        <w:tc>
          <w:tcPr>
            <w:tcW w:w="3314" w:type="pct"/>
            <w:shd w:val="clear" w:color="auto" w:fill="auto"/>
            <w:vAlign w:val="center"/>
          </w:tcPr>
          <w:p w14:paraId="64C7D496">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电动升降讲台（定制）</w:t>
            </w:r>
          </w:p>
        </w:tc>
        <w:tc>
          <w:tcPr>
            <w:tcW w:w="1193" w:type="pct"/>
            <w:vMerge w:val="continue"/>
            <w:shd w:val="clear" w:color="auto" w:fill="FFFFFF"/>
            <w:vAlign w:val="center"/>
          </w:tcPr>
          <w:p w14:paraId="3B2B3CB5">
            <w:pPr>
              <w:spacing w:line="320" w:lineRule="exact"/>
              <w:jc w:val="center"/>
              <w:rPr>
                <w:rFonts w:ascii="宋体" w:hAnsi="宋体" w:eastAsia="宋体" w:cs="宋体"/>
                <w:szCs w:val="21"/>
              </w:rPr>
            </w:pPr>
          </w:p>
        </w:tc>
      </w:tr>
      <w:tr w14:paraId="73A7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03AE0A27">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6</w:t>
            </w:r>
          </w:p>
        </w:tc>
        <w:tc>
          <w:tcPr>
            <w:tcW w:w="3314" w:type="pct"/>
            <w:shd w:val="clear" w:color="auto" w:fill="auto"/>
            <w:vAlign w:val="center"/>
          </w:tcPr>
          <w:p w14:paraId="4C11F2B4">
            <w:pPr>
              <w:spacing w:line="320" w:lineRule="exact"/>
              <w:jc w:val="center"/>
              <w:rPr>
                <w:rFonts w:ascii="宋体" w:hAnsi="宋体" w:eastAsia="宋体" w:cs="宋体"/>
                <w:color w:val="FF0000"/>
                <w:szCs w:val="21"/>
              </w:rPr>
            </w:pPr>
            <w:r>
              <w:rPr>
                <w:rFonts w:hint="eastAsia" w:ascii="宋体" w:hAnsi="宋体" w:eastAsia="宋体" w:cs="宋体"/>
                <w:szCs w:val="21"/>
              </w:rPr>
              <w:t>电子班牌</w:t>
            </w:r>
          </w:p>
        </w:tc>
        <w:tc>
          <w:tcPr>
            <w:tcW w:w="1193" w:type="pct"/>
            <w:shd w:val="clear" w:color="auto" w:fill="FFFFFF"/>
            <w:vAlign w:val="center"/>
          </w:tcPr>
          <w:p w14:paraId="6CD91843">
            <w:pPr>
              <w:spacing w:line="32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2.8</w:t>
            </w:r>
          </w:p>
        </w:tc>
      </w:tr>
      <w:tr w14:paraId="4D33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14:paraId="6C535723">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7</w:t>
            </w:r>
          </w:p>
        </w:tc>
        <w:tc>
          <w:tcPr>
            <w:tcW w:w="3314" w:type="pct"/>
            <w:shd w:val="clear" w:color="auto" w:fill="auto"/>
            <w:vAlign w:val="center"/>
          </w:tcPr>
          <w:p w14:paraId="7825780C">
            <w:pPr>
              <w:spacing w:line="320" w:lineRule="exact"/>
              <w:jc w:val="center"/>
              <w:rPr>
                <w:rFonts w:ascii="宋体" w:hAnsi="宋体" w:eastAsia="宋体" w:cs="宋体"/>
                <w:szCs w:val="21"/>
              </w:rPr>
            </w:pPr>
            <w:r>
              <w:rPr>
                <w:rFonts w:hint="eastAsia" w:ascii="宋体" w:hAnsi="宋体" w:eastAsia="宋体" w:cs="宋体"/>
                <w:szCs w:val="21"/>
              </w:rPr>
              <w:t>扩音设备</w:t>
            </w:r>
          </w:p>
        </w:tc>
        <w:tc>
          <w:tcPr>
            <w:tcW w:w="1193" w:type="pct"/>
            <w:shd w:val="clear" w:color="auto" w:fill="FFFFFF"/>
            <w:vAlign w:val="center"/>
          </w:tcPr>
          <w:p w14:paraId="660E605B">
            <w:pPr>
              <w:spacing w:line="32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7.04</w:t>
            </w:r>
          </w:p>
        </w:tc>
      </w:tr>
      <w:tr w14:paraId="7C48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shd w:val="clear" w:color="auto" w:fill="auto"/>
            <w:vAlign w:val="center"/>
          </w:tcPr>
          <w:p w14:paraId="7C2B997D">
            <w:pPr>
              <w:widowControl/>
              <w:jc w:val="center"/>
              <w:textAlignment w:val="center"/>
              <w:rPr>
                <w:rFonts w:ascii="宋体" w:hAnsi="宋体" w:eastAsia="宋体" w:cs="宋体"/>
                <w:kern w:val="2"/>
                <w:sz w:val="21"/>
                <w:szCs w:val="21"/>
                <w:lang w:val="en-US" w:eastAsia="zh-CN" w:bidi="ar-SA"/>
              </w:rPr>
            </w:pPr>
            <w:r>
              <w:rPr>
                <w:rFonts w:hint="eastAsia" w:ascii="宋体" w:hAnsi="宋体" w:eastAsia="宋体" w:cs="宋体"/>
                <w:color w:val="000000"/>
                <w:kern w:val="0"/>
                <w:szCs w:val="21"/>
                <w:lang w:bidi="ar"/>
              </w:rPr>
              <w:t>10</w:t>
            </w:r>
          </w:p>
        </w:tc>
        <w:tc>
          <w:tcPr>
            <w:tcW w:w="3314" w:type="pct"/>
            <w:shd w:val="clear" w:color="auto" w:fill="auto"/>
            <w:vAlign w:val="center"/>
          </w:tcPr>
          <w:p w14:paraId="321FD38F">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120寸宽屏投影幕</w:t>
            </w:r>
          </w:p>
        </w:tc>
        <w:tc>
          <w:tcPr>
            <w:tcW w:w="1193" w:type="pct"/>
            <w:vMerge w:val="restart"/>
            <w:shd w:val="clear" w:color="auto" w:fill="FFFFFF"/>
            <w:vAlign w:val="center"/>
          </w:tcPr>
          <w:p w14:paraId="3C06D90C">
            <w:pPr>
              <w:spacing w:line="32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5.58</w:t>
            </w:r>
          </w:p>
        </w:tc>
      </w:tr>
      <w:tr w14:paraId="0C63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shd w:val="clear" w:color="auto" w:fill="auto"/>
            <w:vAlign w:val="center"/>
          </w:tcPr>
          <w:p w14:paraId="0B00CD74">
            <w:pPr>
              <w:widowControl/>
              <w:jc w:val="center"/>
              <w:textAlignment w:val="center"/>
              <w:rPr>
                <w:rFonts w:ascii="宋体" w:hAnsi="宋体" w:eastAsia="宋体" w:cs="宋体"/>
                <w:kern w:val="2"/>
                <w:sz w:val="21"/>
                <w:szCs w:val="21"/>
                <w:lang w:val="en-US" w:eastAsia="zh-CN" w:bidi="ar-SA"/>
              </w:rPr>
            </w:pPr>
            <w:r>
              <w:rPr>
                <w:rFonts w:hint="eastAsia" w:ascii="宋体" w:hAnsi="宋体" w:eastAsia="宋体" w:cs="宋体"/>
                <w:color w:val="000000"/>
                <w:kern w:val="0"/>
                <w:szCs w:val="21"/>
                <w:lang w:bidi="ar"/>
              </w:rPr>
              <w:t>11</w:t>
            </w:r>
          </w:p>
        </w:tc>
        <w:tc>
          <w:tcPr>
            <w:tcW w:w="3314" w:type="pct"/>
            <w:shd w:val="clear" w:color="auto" w:fill="auto"/>
            <w:vAlign w:val="center"/>
          </w:tcPr>
          <w:p w14:paraId="2A7949C2">
            <w:pPr>
              <w:spacing w:line="320" w:lineRule="exact"/>
              <w:jc w:val="center"/>
              <w:rPr>
                <w:rFonts w:ascii="宋体" w:hAnsi="宋体" w:eastAsia="宋体" w:cs="宋体"/>
                <w:kern w:val="2"/>
                <w:sz w:val="21"/>
                <w:szCs w:val="21"/>
                <w:lang w:val="en-US" w:eastAsia="zh-CN" w:bidi="ar-SA"/>
              </w:rPr>
            </w:pPr>
            <w:r>
              <w:rPr>
                <w:rFonts w:hint="eastAsia" w:ascii="宋体" w:hAnsi="宋体" w:eastAsia="宋体" w:cs="宋体"/>
                <w:szCs w:val="21"/>
              </w:rPr>
              <w:t>135寸宽屏投影幕</w:t>
            </w:r>
          </w:p>
        </w:tc>
        <w:tc>
          <w:tcPr>
            <w:tcW w:w="1193" w:type="pct"/>
            <w:vMerge w:val="continue"/>
            <w:shd w:val="clear" w:color="auto" w:fill="FFFFFF"/>
            <w:vAlign w:val="center"/>
          </w:tcPr>
          <w:p w14:paraId="1787D023">
            <w:pPr>
              <w:spacing w:line="320" w:lineRule="exact"/>
              <w:jc w:val="center"/>
              <w:rPr>
                <w:rFonts w:ascii="宋体" w:hAnsi="宋体" w:eastAsia="宋体" w:cs="宋体"/>
                <w:szCs w:val="21"/>
              </w:rPr>
            </w:pPr>
          </w:p>
        </w:tc>
      </w:tr>
      <w:tr w14:paraId="525F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shd w:val="clear" w:color="auto" w:fill="auto"/>
            <w:vAlign w:val="center"/>
          </w:tcPr>
          <w:p w14:paraId="469D5732">
            <w:pPr>
              <w:widowControl/>
              <w:jc w:val="center"/>
              <w:textAlignment w:val="center"/>
              <w:rPr>
                <w:rFonts w:ascii="宋体" w:hAnsi="宋体" w:eastAsia="宋体" w:cs="宋体"/>
                <w:kern w:val="2"/>
                <w:sz w:val="21"/>
                <w:szCs w:val="21"/>
                <w:lang w:val="en-US" w:eastAsia="zh-CN" w:bidi="ar-SA"/>
              </w:rPr>
            </w:pPr>
            <w:r>
              <w:rPr>
                <w:rFonts w:hint="eastAsia" w:ascii="宋体" w:hAnsi="宋体" w:eastAsia="宋体" w:cs="宋体"/>
                <w:color w:val="000000"/>
                <w:kern w:val="0"/>
                <w:szCs w:val="21"/>
                <w:lang w:bidi="ar"/>
              </w:rPr>
              <w:t>12</w:t>
            </w:r>
          </w:p>
        </w:tc>
        <w:tc>
          <w:tcPr>
            <w:tcW w:w="3314" w:type="pct"/>
            <w:shd w:val="clear" w:color="auto" w:fill="auto"/>
            <w:vAlign w:val="center"/>
          </w:tcPr>
          <w:p w14:paraId="3390329F">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高清中控主机及高清线</w:t>
            </w:r>
          </w:p>
        </w:tc>
        <w:tc>
          <w:tcPr>
            <w:tcW w:w="1193" w:type="pct"/>
            <w:shd w:val="clear" w:color="auto" w:fill="FFFFFF"/>
            <w:vAlign w:val="center"/>
          </w:tcPr>
          <w:p w14:paraId="2679FAE1">
            <w:pPr>
              <w:spacing w:line="32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5.94</w:t>
            </w:r>
          </w:p>
        </w:tc>
      </w:tr>
      <w:tr w14:paraId="744E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000" w:type="pct"/>
            <w:gridSpan w:val="3"/>
            <w:shd w:val="clear" w:color="auto" w:fill="auto"/>
            <w:vAlign w:val="center"/>
          </w:tcPr>
          <w:p w14:paraId="089B3FEA">
            <w:pPr>
              <w:spacing w:line="320" w:lineRule="exact"/>
              <w:jc w:val="both"/>
              <w:rPr>
                <w:rFonts w:hint="default" w:ascii="宋体" w:hAnsi="宋体" w:eastAsia="宋体" w:cs="宋体"/>
                <w:szCs w:val="21"/>
                <w:lang w:val="en-US" w:eastAsia="zh-CN"/>
              </w:rPr>
            </w:pPr>
            <w:r>
              <w:rPr>
                <w:rFonts w:hint="eastAsia" w:ascii="宋体" w:hAnsi="宋体" w:eastAsia="宋体" w:cs="宋体"/>
                <w:b/>
                <w:bCs/>
                <w:color w:val="FF0000"/>
                <w:szCs w:val="21"/>
                <w:lang w:val="en-US" w:eastAsia="zh-CN"/>
              </w:rPr>
              <w:t>备注：投标报价超出招标文件中规定的单项最高限价的，按投标无效处理。</w:t>
            </w:r>
          </w:p>
        </w:tc>
      </w:tr>
    </w:tbl>
    <w:p w14:paraId="710E880F">
      <w:pPr>
        <w:widowControl w:val="0"/>
        <w:spacing w:line="200" w:lineRule="exact"/>
        <w:ind w:firstLine="0"/>
        <w:jc w:val="both"/>
        <w:rPr>
          <w:rFonts w:hint="eastAsia" w:ascii="宋体" w:hAnsi="宋体" w:eastAsia="宋体" w:cs="宋体"/>
          <w:b/>
          <w:bCs/>
          <w:spacing w:val="-4"/>
          <w:kern w:val="2"/>
          <w:sz w:val="18"/>
          <w:szCs w:val="21"/>
          <w:lang w:val="en-US" w:eastAsia="zh-CN" w:bidi="ar-SA"/>
        </w:rPr>
      </w:pPr>
    </w:p>
    <w:p w14:paraId="73265534">
      <w:pPr>
        <w:widowControl w:val="0"/>
        <w:spacing w:line="200" w:lineRule="exact"/>
        <w:ind w:firstLine="0"/>
        <w:jc w:val="both"/>
        <w:rPr>
          <w:rFonts w:hint="eastAsia" w:ascii="宋体" w:hAnsi="宋体" w:eastAsia="宋体" w:cs="宋体"/>
          <w:b/>
          <w:bCs/>
          <w:spacing w:val="-4"/>
          <w:kern w:val="2"/>
          <w:sz w:val="18"/>
          <w:szCs w:val="21"/>
          <w:lang w:val="en-US" w:eastAsia="zh-CN" w:bidi="ar-SA"/>
        </w:rPr>
      </w:pPr>
    </w:p>
    <w:p w14:paraId="6EA751E4">
      <w:pPr>
        <w:spacing w:line="288" w:lineRule="auto"/>
        <w:outlineLvl w:val="2"/>
        <w:rPr>
          <w:rFonts w:hint="eastAsia" w:ascii="宋体" w:hAnsi="宋体" w:eastAsia="宋体" w:cs="宋体"/>
          <w:b/>
          <w:bCs/>
          <w:szCs w:val="21"/>
          <w:lang w:eastAsia="zh-CN"/>
        </w:rPr>
      </w:pPr>
      <w:r>
        <w:rPr>
          <w:rFonts w:hint="eastAsia" w:ascii="宋体" w:hAnsi="宋体" w:eastAsia="宋体" w:cs="宋体"/>
          <w:b/>
          <w:bCs/>
          <w:szCs w:val="21"/>
        </w:rPr>
        <w:t>第二部分、技术</w:t>
      </w:r>
      <w:r>
        <w:rPr>
          <w:rFonts w:ascii="宋体" w:hAnsi="宋体" w:eastAsia="宋体" w:cs="宋体"/>
          <w:b/>
          <w:bCs/>
          <w:szCs w:val="21"/>
        </w:rPr>
        <w:t>指标</w:t>
      </w:r>
      <w:r>
        <w:rPr>
          <w:rFonts w:hint="eastAsia" w:ascii="宋体" w:hAnsi="宋体" w:eastAsia="宋体" w:cs="宋体"/>
          <w:b/>
          <w:bCs/>
          <w:szCs w:val="21"/>
        </w:rPr>
        <w:t>概况</w:t>
      </w:r>
      <w:r>
        <w:rPr>
          <w:rFonts w:hint="eastAsia" w:ascii="宋体" w:hAnsi="宋体" w:eastAsia="宋体" w:cs="宋体"/>
          <w:b/>
          <w:bCs/>
          <w:color w:val="FF0000"/>
          <w:szCs w:val="21"/>
          <w:lang w:eastAsia="zh-CN"/>
        </w:rPr>
        <w:t>（</w:t>
      </w:r>
      <w:r>
        <w:rPr>
          <w:rFonts w:hint="eastAsia" w:ascii="宋体" w:hAnsi="宋体" w:eastAsia="宋体" w:cs="宋体"/>
          <w:b/>
          <w:bCs/>
          <w:color w:val="FF0000"/>
          <w:szCs w:val="21"/>
          <w:lang w:val="en-US" w:eastAsia="zh-CN"/>
        </w:rPr>
        <w:t>标</w:t>
      </w:r>
      <w:r>
        <w:rPr>
          <w:rFonts w:hint="eastAsia" w:ascii="宋体" w:hAnsi="宋体" w:eastAsia="宋体" w:cs="宋体"/>
          <w:b/>
          <w:bCs/>
          <w:color w:val="FF0000"/>
          <w:szCs w:val="21"/>
        </w:rPr>
        <w:t>▲</w:t>
      </w:r>
      <w:r>
        <w:rPr>
          <w:rFonts w:hint="eastAsia" w:ascii="宋体" w:hAnsi="宋体" w:eastAsia="宋体" w:cs="宋体"/>
          <w:b/>
          <w:bCs/>
          <w:color w:val="FF0000"/>
          <w:szCs w:val="21"/>
          <w:lang w:val="en-US" w:eastAsia="zh-CN"/>
        </w:rPr>
        <w:t>的不允许偏离的实质性要求，投标时请提供承诺函</w:t>
      </w:r>
      <w:r>
        <w:rPr>
          <w:rFonts w:hint="eastAsia" w:ascii="宋体" w:hAnsi="宋体" w:eastAsia="宋体" w:cs="宋体"/>
          <w:b/>
          <w:bCs/>
          <w:color w:val="FF0000"/>
          <w:szCs w:val="21"/>
          <w:lang w:eastAsia="zh-CN"/>
        </w:rPr>
        <w:t>）</w:t>
      </w:r>
    </w:p>
    <w:p w14:paraId="010F9978">
      <w:pPr>
        <w:spacing w:line="288" w:lineRule="auto"/>
        <w:ind w:firstLine="422" w:firstLineChars="200"/>
        <w:rPr>
          <w:rFonts w:ascii="宋体" w:hAnsi="宋体" w:eastAsia="宋体" w:cs="宋体"/>
          <w:b/>
          <w:bCs/>
          <w:szCs w:val="21"/>
        </w:rPr>
      </w:pPr>
      <w:r>
        <w:rPr>
          <w:rFonts w:hint="eastAsia" w:ascii="宋体" w:hAnsi="宋体" w:eastAsia="宋体" w:cs="宋体"/>
          <w:b/>
          <w:bCs/>
          <w:szCs w:val="21"/>
        </w:rPr>
        <w:t>1.1▲系统总体要求</w:t>
      </w:r>
    </w:p>
    <w:p w14:paraId="4DBA9F6A">
      <w:pPr>
        <w:spacing w:line="288" w:lineRule="auto"/>
        <w:ind w:firstLine="422" w:firstLineChars="200"/>
        <w:rPr>
          <w:rFonts w:ascii="宋体" w:hAnsi="宋体" w:eastAsia="宋体" w:cs="宋体"/>
          <w:szCs w:val="21"/>
        </w:rPr>
      </w:pPr>
      <w:r>
        <w:rPr>
          <w:rFonts w:hint="eastAsia" w:ascii="宋体" w:hAnsi="宋体" w:eastAsia="宋体" w:cs="宋体"/>
          <w:b/>
          <w:bCs/>
          <w:szCs w:val="21"/>
        </w:rPr>
        <w:t>“浙科智学”数字化教学综合平台（含配套硬件设备及网络扩容、拆旧、提升、实施、服务等费用）：</w:t>
      </w:r>
      <w:r>
        <w:rPr>
          <w:rFonts w:hint="eastAsia" w:ascii="宋体" w:hAnsi="宋体" w:eastAsia="宋体" w:cs="宋体"/>
          <w:szCs w:val="21"/>
        </w:rPr>
        <w:t>实现与学校统一身份认证系统、学校统一信息门户进行数据集成，实现用户统一、数据统一管理。实现与学校统一共享交换平台数据共用共享。具备良好的应用集成能力和扩展能力，提供部分预留的其他应用系统接口或提供健全的二次开发接口，支持学校进行二次开发。具有移动客户端，支持iOS和Android操作系统。一体化数字基座作为基础平台，各系统模块均基于一体化数字基座之上，最终形成一体化，具有统一的PC端门户、用户个人空间、管理后台、移动端APP。系统设计满足大规模用户使用、支持分布式部署，应满足万人在线学习的性能要求。具有先进性、可移植性、开放性和兼容性，支持标准化多媒体课件。支持随用户使用量的增大而只需增加相应的硬件即可。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14:paraId="0795A547">
      <w:pPr>
        <w:spacing w:line="288" w:lineRule="auto"/>
        <w:ind w:firstLine="422" w:firstLineChars="200"/>
        <w:rPr>
          <w:rFonts w:ascii="宋体" w:hAnsi="宋体" w:eastAsia="宋体" w:cs="宋体"/>
          <w:b/>
          <w:bCs/>
          <w:szCs w:val="21"/>
        </w:rPr>
      </w:pPr>
      <w:r>
        <w:rPr>
          <w:rFonts w:hint="eastAsia" w:ascii="宋体" w:hAnsi="宋体" w:eastAsia="宋体" w:cs="宋体"/>
          <w:b/>
          <w:bCs/>
          <w:szCs w:val="21"/>
        </w:rPr>
        <w:t>1.2网络要求</w:t>
      </w:r>
    </w:p>
    <w:p w14:paraId="58D7CD23">
      <w:pPr>
        <w:spacing w:line="288" w:lineRule="auto"/>
        <w:ind w:firstLine="420" w:firstLineChars="200"/>
        <w:rPr>
          <w:rFonts w:ascii="宋体" w:hAnsi="宋体" w:eastAsia="宋体" w:cs="宋体"/>
          <w:szCs w:val="21"/>
        </w:rPr>
      </w:pPr>
      <w:r>
        <w:rPr>
          <w:rFonts w:hint="eastAsia" w:ascii="宋体" w:hAnsi="宋体" w:eastAsia="宋体" w:cs="宋体"/>
          <w:szCs w:val="21"/>
        </w:rPr>
        <w:t>为“浙科智学”数字化教学综合平台搭建专网，连通小和山校区149间教室与机房服务器。教室教学直录播专网专线，并入学校楼宇主网通道。教学直录播系统组建逻辑专网，建立独立的数据传输通道，降低数据泄露风险。</w:t>
      </w:r>
      <w:r>
        <w:rPr>
          <w:rFonts w:hint="eastAsia" w:ascii="宋体" w:hAnsi="宋体" w:eastAsia="宋体" w:cs="宋体"/>
          <w:b/>
          <w:bCs/>
          <w:szCs w:val="21"/>
        </w:rPr>
        <w:t>▲网络提升不破坏原校园网络。</w:t>
      </w:r>
    </w:p>
    <w:p w14:paraId="0C830198">
      <w:pPr>
        <w:spacing w:line="288" w:lineRule="auto"/>
        <w:ind w:firstLine="420" w:firstLineChars="200"/>
        <w:rPr>
          <w:rFonts w:ascii="宋体" w:hAnsi="宋体" w:eastAsia="宋体" w:cs="宋体"/>
          <w:szCs w:val="21"/>
        </w:rPr>
      </w:pPr>
      <w:r>
        <w:rPr>
          <w:rFonts w:hint="eastAsia" w:ascii="宋体" w:hAnsi="宋体" w:eastAsia="宋体" w:cs="宋体"/>
          <w:szCs w:val="21"/>
        </w:rPr>
        <w:t>保障“浙科智学”数字化教学综合平台各功能在高峰时段的稳定运行，如在早高峰时段、临近期末复习时段，满足多门课程同时上课、学生同时看课复习场景，</w:t>
      </w:r>
      <w:r>
        <w:rPr>
          <w:rFonts w:hint="eastAsia" w:ascii="宋体" w:hAnsi="宋体" w:eastAsia="宋体" w:cs="宋体"/>
          <w:b/>
          <w:bCs/>
          <w:szCs w:val="21"/>
        </w:rPr>
        <w:t>▲确保教学网络出口带宽扩容至500M以上（保证1年使用时间）</w:t>
      </w:r>
      <w:r>
        <w:rPr>
          <w:rFonts w:hint="eastAsia" w:ascii="宋体" w:hAnsi="宋体" w:eastAsia="宋体" w:cs="宋体"/>
          <w:szCs w:val="21"/>
        </w:rPr>
        <w:t>。</w:t>
      </w:r>
    </w:p>
    <w:p w14:paraId="360E2564">
      <w:pPr>
        <w:spacing w:line="288" w:lineRule="auto"/>
        <w:ind w:firstLine="422" w:firstLineChars="200"/>
        <w:rPr>
          <w:rFonts w:ascii="宋体" w:hAnsi="宋体" w:eastAsia="宋体" w:cs="宋体"/>
          <w:b/>
          <w:bCs/>
          <w:szCs w:val="21"/>
        </w:rPr>
      </w:pPr>
      <w:r>
        <w:rPr>
          <w:rFonts w:hint="eastAsia" w:ascii="宋体" w:hAnsi="宋体" w:eastAsia="宋体" w:cs="宋体"/>
          <w:b/>
          <w:bCs/>
          <w:szCs w:val="21"/>
        </w:rPr>
        <w:t>1.3▲服务器要求</w:t>
      </w:r>
    </w:p>
    <w:p w14:paraId="6FB73D75">
      <w:pPr>
        <w:spacing w:line="288" w:lineRule="auto"/>
        <w:ind w:firstLine="420" w:firstLineChars="200"/>
        <w:rPr>
          <w:rFonts w:ascii="宋体" w:hAnsi="宋体" w:eastAsia="宋体" w:cs="宋体"/>
          <w:szCs w:val="21"/>
        </w:rPr>
      </w:pPr>
      <w:r>
        <w:rPr>
          <w:rFonts w:hint="eastAsia" w:ascii="宋体" w:hAnsi="宋体" w:eastAsia="宋体" w:cs="宋体"/>
          <w:szCs w:val="21"/>
        </w:rPr>
        <w:t>支持云端AI算力，用于实现各软件平台AI相关功能。提供存储服务器保证1年存储容量，实现课堂教学音视频流畅有序地进行实时收录、处理、暂存，最终通过网络传输至学校中心服务器。</w:t>
      </w:r>
    </w:p>
    <w:p w14:paraId="1F9AF606">
      <w:pPr>
        <w:spacing w:line="288" w:lineRule="auto"/>
        <w:ind w:firstLine="422" w:firstLineChars="200"/>
        <w:rPr>
          <w:rFonts w:ascii="宋体" w:hAnsi="宋体" w:eastAsia="宋体" w:cs="宋体"/>
          <w:b/>
          <w:bCs/>
          <w:szCs w:val="21"/>
        </w:rPr>
      </w:pPr>
      <w:r>
        <w:rPr>
          <w:rFonts w:hint="eastAsia" w:ascii="宋体" w:hAnsi="宋体" w:eastAsia="宋体" w:cs="宋体"/>
          <w:b/>
          <w:bCs/>
          <w:szCs w:val="21"/>
        </w:rPr>
        <w:t>1.4▲服务要求</w:t>
      </w:r>
    </w:p>
    <w:p w14:paraId="0E51AABA">
      <w:pPr>
        <w:spacing w:line="288" w:lineRule="auto"/>
        <w:ind w:firstLine="420" w:firstLineChars="200"/>
        <w:rPr>
          <w:rFonts w:ascii="宋体" w:hAnsi="宋体" w:eastAsia="宋体" w:cs="宋体"/>
          <w:szCs w:val="21"/>
        </w:rPr>
      </w:pPr>
      <w:r>
        <w:rPr>
          <w:rFonts w:hint="eastAsia" w:ascii="宋体" w:hAnsi="宋体" w:eastAsia="宋体" w:cs="宋体"/>
          <w:szCs w:val="21"/>
        </w:rPr>
        <w:t>（1）与校内基础平台集成服务</w:t>
      </w:r>
    </w:p>
    <w:p w14:paraId="2D45E3B0">
      <w:pPr>
        <w:spacing w:line="288" w:lineRule="auto"/>
        <w:ind w:firstLine="420" w:firstLineChars="200"/>
        <w:rPr>
          <w:rFonts w:ascii="宋体" w:hAnsi="宋体" w:eastAsia="宋体" w:cs="宋体"/>
          <w:szCs w:val="21"/>
        </w:rPr>
      </w:pPr>
      <w:r>
        <w:rPr>
          <w:rFonts w:hint="eastAsia" w:ascii="宋体" w:hAnsi="宋体" w:eastAsia="宋体" w:cs="宋体"/>
          <w:szCs w:val="21"/>
        </w:rPr>
        <w:t>“浙科智学”数字化教学综合平台软件系统需稳定兼容学校统一身份认证系统、钉钉工作台、教务处网站、教务处官方微信公众平台、教务系统、移动教务微服务系统等6个以上系统。通过跨平台数据集成与业务集成，保证“浙科智学”数字化教学综合平台的各类业务稳定运行、方便师生使用、提升系统的整体使用体验。提供软硬件系统的数据库、数据字典，共享至学校信息技术中心。</w:t>
      </w:r>
    </w:p>
    <w:p w14:paraId="36888A04">
      <w:pPr>
        <w:spacing w:line="288" w:lineRule="auto"/>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）数据安全保障服务</w:t>
      </w:r>
    </w:p>
    <w:p w14:paraId="4D7607BA">
      <w:pPr>
        <w:spacing w:line="288" w:lineRule="auto"/>
        <w:ind w:firstLine="420" w:firstLineChars="200"/>
        <w:rPr>
          <w:rFonts w:ascii="宋体" w:hAnsi="宋体" w:eastAsia="宋体" w:cs="宋体"/>
          <w:szCs w:val="21"/>
        </w:rPr>
      </w:pPr>
      <w:r>
        <w:rPr>
          <w:rFonts w:hint="eastAsia" w:ascii="宋体" w:hAnsi="宋体" w:eastAsia="宋体" w:cs="宋体"/>
          <w:szCs w:val="21"/>
        </w:rPr>
        <w:t>建立完善的数据安全管理体系，涵盖数据的采集、存储、传输、使用和销毁等全生命周期。采用先进的数据加密技术，对敏感数据进行加密处理，确保数据在存储和传输过程中的安全性。同时，严格实施用户权限管理，根据用户的角色和职责分配相应的数据访问权限，防止未经授权的数据访问和操作。此外，定期开展数据安全审计和漏洞扫描，及时发现并修复潜在的安全隐患，确保平台数据的安全性和完整性。通过这些措施，为师生的个人信息和教学数据提供全方位的安全保障，维护学校的教学秩序和师生的合法权益。提供强大的网络安全防护，有效防止网络攻击和数据泄露。</w:t>
      </w:r>
    </w:p>
    <w:p w14:paraId="380E6E39">
      <w:pPr>
        <w:spacing w:line="288" w:lineRule="auto"/>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）数据迁移服务</w:t>
      </w:r>
    </w:p>
    <w:p w14:paraId="7BF4F636">
      <w:pPr>
        <w:spacing w:line="288" w:lineRule="auto"/>
        <w:ind w:firstLine="420" w:firstLineChars="200"/>
        <w:rPr>
          <w:rFonts w:ascii="宋体" w:hAnsi="宋体" w:eastAsia="宋体" w:cs="宋体"/>
          <w:szCs w:val="21"/>
        </w:rPr>
      </w:pPr>
      <w:r>
        <w:rPr>
          <w:rFonts w:hint="eastAsia" w:ascii="宋体" w:hAnsi="宋体" w:eastAsia="宋体" w:cs="宋体"/>
          <w:szCs w:val="21"/>
        </w:rPr>
        <w:t>为教师提供课程数据手工迁移服务。根据教师授课需要，将在校内Bb网络课程平台等系统中已经建设完成的网络课程数据以课程为单位迁移至“浙科智学”系统。</w:t>
      </w:r>
    </w:p>
    <w:p w14:paraId="7E1EA5B3">
      <w:pPr>
        <w:spacing w:line="288" w:lineRule="auto"/>
        <w:outlineLvl w:val="2"/>
        <w:rPr>
          <w:rFonts w:hint="eastAsia" w:ascii="宋体" w:hAnsi="宋体" w:eastAsia="宋体" w:cs="宋体"/>
          <w:b/>
          <w:bCs/>
          <w:szCs w:val="21"/>
        </w:rPr>
      </w:pPr>
    </w:p>
    <w:p w14:paraId="6B278631">
      <w:pPr>
        <w:spacing w:line="288" w:lineRule="auto"/>
        <w:outlineLvl w:val="2"/>
        <w:rPr>
          <w:rFonts w:ascii="宋体" w:hAnsi="宋体" w:eastAsia="宋体" w:cs="宋体"/>
          <w:b/>
          <w:bCs/>
          <w:szCs w:val="21"/>
        </w:rPr>
      </w:pPr>
      <w:r>
        <w:rPr>
          <w:rFonts w:hint="eastAsia" w:ascii="宋体" w:hAnsi="宋体" w:eastAsia="宋体" w:cs="宋体"/>
          <w:b/>
          <w:bCs/>
          <w:szCs w:val="21"/>
        </w:rPr>
        <w:t>第三部分、技术指标详情</w:t>
      </w:r>
    </w:p>
    <w:tbl>
      <w:tblPr>
        <w:tblStyle w:val="6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43"/>
        <w:gridCol w:w="591"/>
        <w:gridCol w:w="555"/>
        <w:gridCol w:w="6070"/>
      </w:tblGrid>
      <w:tr w14:paraId="1FC8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 w:type="pct"/>
            <w:vAlign w:val="center"/>
          </w:tcPr>
          <w:p w14:paraId="02934179">
            <w:pPr>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906" w:type="pct"/>
            <w:vAlign w:val="center"/>
          </w:tcPr>
          <w:p w14:paraId="2866BF3C">
            <w:pPr>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307" w:type="pct"/>
            <w:vAlign w:val="center"/>
          </w:tcPr>
          <w:p w14:paraId="4E12C089">
            <w:pPr>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88" w:type="pct"/>
            <w:vAlign w:val="center"/>
          </w:tcPr>
          <w:p w14:paraId="781A4254">
            <w:pPr>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56" w:type="pct"/>
            <w:vAlign w:val="center"/>
          </w:tcPr>
          <w:p w14:paraId="286BD8E9">
            <w:pPr>
              <w:spacing w:line="288" w:lineRule="auto"/>
              <w:jc w:val="center"/>
              <w:rPr>
                <w:rFonts w:ascii="宋体" w:hAnsi="宋体" w:eastAsia="宋体" w:cs="宋体"/>
                <w:b/>
                <w:bCs/>
                <w:szCs w:val="21"/>
              </w:rPr>
            </w:pPr>
            <w:r>
              <w:rPr>
                <w:rFonts w:hint="eastAsia" w:ascii="宋体" w:hAnsi="宋体" w:eastAsia="宋体" w:cs="宋体"/>
                <w:b/>
                <w:bCs/>
                <w:szCs w:val="21"/>
              </w:rPr>
              <w:t>要求</w:t>
            </w:r>
          </w:p>
        </w:tc>
      </w:tr>
      <w:tr w14:paraId="647A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67AA133D">
            <w:pPr>
              <w:spacing w:line="288" w:lineRule="auto"/>
              <w:jc w:val="center"/>
              <w:rPr>
                <w:rFonts w:ascii="宋体" w:hAnsi="宋体" w:eastAsia="宋体" w:cs="宋体"/>
                <w:szCs w:val="21"/>
              </w:rPr>
            </w:pPr>
            <w:r>
              <w:rPr>
                <w:rFonts w:hint="eastAsia" w:ascii="宋体" w:hAnsi="宋体" w:eastAsia="宋体" w:cs="宋体"/>
                <w:szCs w:val="21"/>
              </w:rPr>
              <w:t>1.1</w:t>
            </w:r>
          </w:p>
        </w:tc>
        <w:tc>
          <w:tcPr>
            <w:tcW w:w="906" w:type="pct"/>
            <w:vAlign w:val="center"/>
          </w:tcPr>
          <w:p w14:paraId="61EAFCFF">
            <w:pPr>
              <w:spacing w:line="288" w:lineRule="auto"/>
              <w:jc w:val="center"/>
              <w:rPr>
                <w:rFonts w:ascii="宋体" w:hAnsi="宋体" w:eastAsia="宋体" w:cs="宋体"/>
                <w:szCs w:val="21"/>
              </w:rPr>
            </w:pPr>
            <w:r>
              <w:rPr>
                <w:rFonts w:hint="eastAsia" w:ascii="宋体" w:hAnsi="宋体" w:eastAsia="宋体" w:cs="宋体"/>
                <w:szCs w:val="21"/>
              </w:rPr>
              <w:t>“浙科智学”智慧课程平台</w:t>
            </w:r>
          </w:p>
        </w:tc>
        <w:tc>
          <w:tcPr>
            <w:tcW w:w="307" w:type="pct"/>
            <w:vAlign w:val="center"/>
          </w:tcPr>
          <w:p w14:paraId="35E8112E">
            <w:pPr>
              <w:spacing w:line="288" w:lineRule="auto"/>
              <w:jc w:val="center"/>
              <w:rPr>
                <w:rFonts w:ascii="宋体" w:hAnsi="宋体" w:eastAsia="宋体" w:cs="宋体"/>
                <w:szCs w:val="21"/>
              </w:rPr>
            </w:pPr>
            <w:r>
              <w:rPr>
                <w:rFonts w:hint="eastAsia" w:ascii="宋体" w:hAnsi="宋体" w:eastAsia="宋体" w:cs="宋体"/>
                <w:szCs w:val="21"/>
              </w:rPr>
              <w:t>1</w:t>
            </w:r>
          </w:p>
        </w:tc>
        <w:tc>
          <w:tcPr>
            <w:tcW w:w="288" w:type="pct"/>
            <w:vAlign w:val="center"/>
          </w:tcPr>
          <w:p w14:paraId="12E0ACE3">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3B6D8190">
            <w:pPr>
              <w:spacing w:line="288" w:lineRule="auto"/>
              <w:rPr>
                <w:rFonts w:ascii="宋体" w:hAnsi="宋体" w:eastAsia="宋体" w:cs="宋体"/>
                <w:szCs w:val="21"/>
              </w:rPr>
            </w:pPr>
            <w:r>
              <w:rPr>
                <w:rFonts w:hint="eastAsia" w:ascii="宋体" w:hAnsi="宋体" w:eastAsia="宋体" w:cs="宋体"/>
                <w:szCs w:val="21"/>
              </w:rPr>
              <w:t>要求实现与教务系统课表数据同步，自动建课，实现课前、课中、课后的全过程教学管理。为教师提供课前备课功能、课中互动功能、课后学生评价和辅导功能。为学生提供课前预习、课中互动、课后复习、测试、讨论、提问等功能。支持学校、学院、教师多层级对课程教学数据的统计与监控。支持我校优质课程运营推广，支持学校省级、国家级精品课程评选及运营建设。支持移动端学习。</w:t>
            </w:r>
          </w:p>
          <w:p w14:paraId="7F530A6C">
            <w:pPr>
              <w:spacing w:line="288" w:lineRule="auto"/>
              <w:rPr>
                <w:rFonts w:ascii="宋体" w:hAnsi="宋体" w:eastAsia="宋体" w:cs="宋体"/>
                <w:szCs w:val="21"/>
              </w:rPr>
            </w:pPr>
            <w:r>
              <w:rPr>
                <w:rFonts w:hint="eastAsia" w:ascii="宋体" w:hAnsi="宋体" w:eastAsia="宋体" w:cs="宋体"/>
                <w:b/>
                <w:bCs/>
                <w:szCs w:val="21"/>
              </w:rPr>
              <w:t>支持知识图谱构建。</w:t>
            </w:r>
            <w:r>
              <w:rPr>
                <w:rFonts w:hint="eastAsia" w:ascii="宋体" w:hAnsi="宋体" w:eastAsia="宋体" w:cs="宋体"/>
                <w:szCs w:val="21"/>
              </w:rPr>
              <w:t>以课程为基本单元，通过自动或半自动的方式，从教学资源中提取和整合分类及知识点，构建课程知识图谱。基于课堂语音字幕内容形成知识结构后一键同步至课程，形成课程知识图谱。学生易于获取和深入理解课程知识体系，增强学生的学习体验和知识掌握，提升教师教学效率。</w:t>
            </w:r>
          </w:p>
          <w:p w14:paraId="3C60CBCC">
            <w:pPr>
              <w:spacing w:line="288" w:lineRule="auto"/>
              <w:rPr>
                <w:rFonts w:ascii="宋体" w:hAnsi="宋体" w:eastAsia="宋体" w:cs="宋体"/>
                <w:szCs w:val="21"/>
              </w:rPr>
            </w:pPr>
            <w:r>
              <w:rPr>
                <w:rFonts w:hint="eastAsia" w:ascii="宋体" w:hAnsi="宋体" w:eastAsia="宋体" w:cs="宋体"/>
                <w:b/>
                <w:bCs/>
                <w:szCs w:val="21"/>
              </w:rPr>
              <w:t>支持AI工具广场。</w:t>
            </w:r>
            <w:r>
              <w:rPr>
                <w:rFonts w:hint="eastAsia" w:ascii="宋体" w:hAnsi="宋体" w:eastAsia="宋体" w:cs="宋体"/>
                <w:szCs w:val="21"/>
              </w:rPr>
              <w:t>提供多元化的AI工具，辅助教师教学、学生学习。含AI课件制作、AI出题、AI批阅、AI公式识别、AI绘图、AI教案、AI学情分析、AI智能体自行搭建等智能化教师备课工具。AI学习资料翻译、AI文献阅读理解、AI视频转文字等智能化学习辅助工具。</w:t>
            </w:r>
          </w:p>
          <w:p w14:paraId="287AF97C">
            <w:pPr>
              <w:spacing w:line="288" w:lineRule="auto"/>
              <w:rPr>
                <w:rFonts w:ascii="宋体" w:hAnsi="宋体" w:eastAsia="宋体" w:cs="宋体"/>
                <w:szCs w:val="21"/>
              </w:rPr>
            </w:pPr>
            <w:r>
              <w:rPr>
                <w:rFonts w:hint="eastAsia" w:ascii="宋体" w:hAnsi="宋体" w:eastAsia="宋体" w:cs="宋体"/>
                <w:b/>
                <w:bCs/>
                <w:szCs w:val="21"/>
              </w:rPr>
              <w:t>支持教师数字人创建。</w:t>
            </w:r>
            <w:r>
              <w:rPr>
                <w:rFonts w:hint="eastAsia" w:ascii="宋体" w:hAnsi="宋体" w:eastAsia="宋体" w:cs="宋体"/>
                <w:szCs w:val="21"/>
              </w:rPr>
              <w:t>为每位教师创建2D高仿真虚拟形象，应用于智能问答等场景。融合到课程平台中，用于智能问答功能，教师数字人扮演课程AI助教，以虚拟形象与学生交流，24小时智能解答学生疑问。</w:t>
            </w:r>
          </w:p>
          <w:p w14:paraId="648FE436">
            <w:pPr>
              <w:spacing w:line="288" w:lineRule="auto"/>
              <w:rPr>
                <w:rFonts w:ascii="宋体" w:hAnsi="宋体" w:eastAsia="宋体" w:cs="宋体"/>
                <w:szCs w:val="21"/>
              </w:rPr>
            </w:pPr>
            <w:r>
              <w:rPr>
                <w:rFonts w:hint="eastAsia" w:ascii="宋体" w:hAnsi="宋体" w:eastAsia="宋体" w:cs="宋体"/>
                <w:szCs w:val="21"/>
              </w:rPr>
              <w:t>教师在使用智慧课程平台进行课程建设、备课、授课过程中随时可以搜索、引用、无缝插入备课资源库中的资源，全面辅助教师教学和学生学习。可以搜索相关电子书插入到课程，进行在线阅读，可以进行文字摘录。搜索相关学术视频。需要名校、名师的视频及讲座，可以在线进行播放。</w:t>
            </w:r>
          </w:p>
          <w:p w14:paraId="4A3C1CAC">
            <w:pPr>
              <w:spacing w:line="288" w:lineRule="auto"/>
              <w:rPr>
                <w:rFonts w:ascii="宋体" w:hAnsi="宋体" w:eastAsia="宋体" w:cs="宋体"/>
                <w:szCs w:val="21"/>
              </w:rPr>
            </w:pPr>
            <w:r>
              <w:rPr>
                <w:rFonts w:hint="eastAsia" w:ascii="宋体" w:hAnsi="宋体" w:eastAsia="宋体" w:cs="宋体"/>
                <w:szCs w:val="21"/>
              </w:rPr>
              <w:t>支持使用示范教学包建课，示范教学包需整合各层次院校，各学科、专业的资源，教师可以在建课时引用示范教学包中的课程资源、课堂活动示例、题库等内容，同时可以根据教师自己课程的需要进行重新组合使用。</w:t>
            </w:r>
          </w:p>
          <w:p w14:paraId="43C60B66">
            <w:pPr>
              <w:spacing w:line="288" w:lineRule="auto"/>
              <w:rPr>
                <w:rFonts w:ascii="宋体" w:hAnsi="宋体" w:eastAsia="宋体" w:cs="宋体"/>
                <w:szCs w:val="21"/>
              </w:rPr>
            </w:pPr>
            <w:r>
              <w:rPr>
                <w:rFonts w:hint="eastAsia" w:ascii="宋体" w:hAnsi="宋体" w:eastAsia="宋体" w:cs="宋体"/>
                <w:b/>
                <w:bCs/>
                <w:szCs w:val="21"/>
              </w:rPr>
              <w:t>支持AI助教答疑。</w:t>
            </w:r>
            <w:r>
              <w:rPr>
                <w:rFonts w:hint="eastAsia" w:ascii="宋体" w:hAnsi="宋体" w:eastAsia="宋体" w:cs="宋体"/>
                <w:szCs w:val="21"/>
              </w:rPr>
              <w:t>建设基于DeepSeek-R1-671b满血版等大模型，经课程知识资料强化训练的“课程AI助教”，实现24小时学生答疑、学习提醒与陪伴、学习资源推荐等。教师可对大模型知识库进行维护管理，可自行创建知识库，设置AI答疑助教形象等基本信息，学生可切换大模型进行提问。</w:t>
            </w:r>
          </w:p>
        </w:tc>
      </w:tr>
      <w:tr w14:paraId="3C08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6A6FF47C">
            <w:pPr>
              <w:spacing w:line="288" w:lineRule="auto"/>
              <w:jc w:val="center"/>
              <w:rPr>
                <w:rFonts w:ascii="宋体" w:hAnsi="宋体" w:eastAsia="宋体" w:cs="宋体"/>
                <w:szCs w:val="21"/>
              </w:rPr>
            </w:pPr>
            <w:r>
              <w:rPr>
                <w:rFonts w:hint="eastAsia" w:ascii="宋体" w:hAnsi="宋体" w:eastAsia="宋体" w:cs="宋体"/>
                <w:szCs w:val="21"/>
              </w:rPr>
              <w:t>1.2</w:t>
            </w:r>
          </w:p>
        </w:tc>
        <w:tc>
          <w:tcPr>
            <w:tcW w:w="906" w:type="pct"/>
            <w:vAlign w:val="center"/>
          </w:tcPr>
          <w:p w14:paraId="52C8EFCA">
            <w:pPr>
              <w:spacing w:line="288" w:lineRule="auto"/>
              <w:jc w:val="center"/>
              <w:rPr>
                <w:rFonts w:ascii="宋体" w:hAnsi="宋体" w:eastAsia="宋体" w:cs="宋体"/>
                <w:szCs w:val="21"/>
              </w:rPr>
            </w:pPr>
            <w:r>
              <w:rPr>
                <w:rFonts w:hint="eastAsia" w:ascii="宋体" w:hAnsi="宋体" w:eastAsia="宋体" w:cs="宋体"/>
                <w:szCs w:val="21"/>
              </w:rPr>
              <w:t>“浙科智学”智慧课堂直录播平台</w:t>
            </w:r>
          </w:p>
        </w:tc>
        <w:tc>
          <w:tcPr>
            <w:tcW w:w="307" w:type="pct"/>
            <w:vAlign w:val="center"/>
          </w:tcPr>
          <w:p w14:paraId="02D64762">
            <w:pPr>
              <w:spacing w:line="288" w:lineRule="auto"/>
              <w:jc w:val="center"/>
              <w:rPr>
                <w:rFonts w:ascii="宋体" w:hAnsi="宋体" w:eastAsia="宋体" w:cs="宋体"/>
                <w:szCs w:val="21"/>
              </w:rPr>
            </w:pPr>
            <w:r>
              <w:rPr>
                <w:rFonts w:hint="eastAsia" w:ascii="宋体" w:hAnsi="宋体" w:eastAsia="宋体" w:cs="宋体"/>
                <w:szCs w:val="21"/>
              </w:rPr>
              <w:t>1</w:t>
            </w:r>
          </w:p>
        </w:tc>
        <w:tc>
          <w:tcPr>
            <w:tcW w:w="288" w:type="pct"/>
            <w:vAlign w:val="center"/>
          </w:tcPr>
          <w:p w14:paraId="248D3857">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1BA6D469">
            <w:pPr>
              <w:spacing w:line="288" w:lineRule="auto"/>
              <w:rPr>
                <w:rFonts w:ascii="宋体" w:hAnsi="宋体" w:eastAsia="宋体" w:cs="宋体"/>
                <w:szCs w:val="21"/>
              </w:rPr>
            </w:pPr>
            <w:r>
              <w:rPr>
                <w:rFonts w:hint="eastAsia" w:ascii="宋体" w:hAnsi="宋体" w:eastAsia="宋体" w:cs="宋体"/>
                <w:szCs w:val="21"/>
              </w:rPr>
              <w:t>实现与教务系统课表数据同步，将小和山校区149间教室的课堂授课活动，按照教学安排，同步实现线上高清直播。学生可以课后点播复习，也可以点击课表直播上课。支持课堂教学视频语音识别、多语种同声传译、多语种字幕翻译、知识点词云、PPT提取分析并关联视频、智能笔记、课堂大纲智能总结与概述、视频内容安全监测、脏词过滤、学生课堂学习行为监控。自动统计并展示课堂教学到课率、抬头率、前排率，可根据课堂视频内容自动生成知识图谱大纲。加强课程视频的知识产权保护，提供必要的防录制、防修改、防下载标识与功能。视频可在线编辑修改。支持直录播数据多维度统计分析。具备课堂PPT实时生成功能，直播与录播课程页面均可自动抓取授课画面中的PPT内容并支持小图预览（无需教师手动上传），学生可随时切换画面浏览当前ppt页面全貌；针对录播课程，提供PPT索引功能，点击任意PPT截图即可精准跳转至教师讲解该页内容的视频时间节点。支持移动端学习。</w:t>
            </w:r>
          </w:p>
        </w:tc>
      </w:tr>
      <w:tr w14:paraId="6C4E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5B778048">
            <w:pPr>
              <w:spacing w:line="288" w:lineRule="auto"/>
              <w:jc w:val="center"/>
              <w:rPr>
                <w:rFonts w:ascii="宋体" w:hAnsi="宋体" w:eastAsia="宋体" w:cs="宋体"/>
                <w:szCs w:val="21"/>
              </w:rPr>
            </w:pPr>
            <w:r>
              <w:rPr>
                <w:rFonts w:hint="eastAsia" w:ascii="宋体" w:hAnsi="宋体" w:eastAsia="宋体" w:cs="宋体"/>
                <w:szCs w:val="21"/>
              </w:rPr>
              <w:t>1.3</w:t>
            </w:r>
          </w:p>
        </w:tc>
        <w:tc>
          <w:tcPr>
            <w:tcW w:w="906" w:type="pct"/>
            <w:vAlign w:val="center"/>
          </w:tcPr>
          <w:p w14:paraId="723A9FA1">
            <w:pPr>
              <w:spacing w:line="288" w:lineRule="auto"/>
              <w:jc w:val="center"/>
              <w:rPr>
                <w:rFonts w:ascii="宋体" w:hAnsi="宋体" w:eastAsia="宋体" w:cs="宋体"/>
                <w:szCs w:val="21"/>
              </w:rPr>
            </w:pPr>
            <w:r>
              <w:rPr>
                <w:rFonts w:hint="eastAsia" w:ascii="宋体" w:hAnsi="宋体" w:eastAsia="宋体" w:cs="宋体"/>
                <w:szCs w:val="21"/>
              </w:rPr>
              <w:t>“浙科智学”教学质量保障子系统</w:t>
            </w:r>
            <w:r>
              <w:rPr>
                <w:rFonts w:hint="eastAsia" w:ascii="宋体" w:hAnsi="宋体" w:eastAsia="宋体" w:cs="宋体"/>
                <w:b/>
                <w:bCs/>
                <w:szCs w:val="21"/>
              </w:rPr>
              <w:t>（智慧巡课督导平台）</w:t>
            </w:r>
          </w:p>
        </w:tc>
        <w:tc>
          <w:tcPr>
            <w:tcW w:w="307" w:type="pct"/>
            <w:vAlign w:val="center"/>
          </w:tcPr>
          <w:p w14:paraId="45A555AD">
            <w:pPr>
              <w:spacing w:line="288" w:lineRule="auto"/>
              <w:jc w:val="center"/>
              <w:rPr>
                <w:rFonts w:ascii="宋体" w:hAnsi="宋体" w:eastAsia="宋体" w:cs="宋体"/>
                <w:szCs w:val="21"/>
              </w:rPr>
            </w:pPr>
            <w:r>
              <w:rPr>
                <w:rFonts w:hint="eastAsia" w:ascii="宋体" w:hAnsi="宋体" w:eastAsia="宋体" w:cs="宋体"/>
                <w:szCs w:val="21"/>
              </w:rPr>
              <w:t>1</w:t>
            </w:r>
          </w:p>
        </w:tc>
        <w:tc>
          <w:tcPr>
            <w:tcW w:w="288" w:type="pct"/>
            <w:vAlign w:val="center"/>
          </w:tcPr>
          <w:p w14:paraId="4397BE2F">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08C84EBB">
            <w:pPr>
              <w:widowControl/>
              <w:adjustRightInd/>
              <w:snapToGrid/>
              <w:spacing w:line="288" w:lineRule="auto"/>
              <w:ind w:firstLine="0" w:firstLineChars="0"/>
              <w:outlineLvl w:val="9"/>
              <w:rPr>
                <w:rFonts w:ascii="宋体" w:hAnsi="宋体" w:eastAsia="宋体" w:cs="宋体"/>
                <w:b/>
                <w:spacing w:val="-6"/>
                <w:szCs w:val="21"/>
              </w:rPr>
            </w:pPr>
            <w:r>
              <w:rPr>
                <w:rFonts w:hint="eastAsia" w:ascii="宋体" w:hAnsi="宋体" w:eastAsia="宋体" w:cs="宋体"/>
                <w:color w:val="000000"/>
                <w:sz w:val="21"/>
                <w:szCs w:val="21"/>
                <w:lang w:val="en-US" w:eastAsia="zh-CN" w:bidi="ar-SA"/>
              </w:rPr>
              <w:t>与直录播系统打通，支持线上督导巡课。支持课堂直录播画面巡课场景，进入巡课页面后，直观显示课堂直录播情况。可根据直播状态筛选直播（上课中）、录播（已下课）的课堂进行巡课。支撑移动听课，远程督导，支持对接教室摄像头等硬件设备，融合视觉分析、自然语言处理、对话式人工智能、机器翻译等前沿领域AI技术，智能进行课堂教学行为分析、教学目标达成度分析。院级管理员可在权限范围内根据本院实际情况对学院综合评参数进行调整；可针对课程属性、课程是否参与评价、课程授课教师是否参与评价、老师教学异常情况记录、教师不参与评价原因记录等参数进行设置。</w:t>
            </w:r>
          </w:p>
          <w:p w14:paraId="564539B1">
            <w:pPr>
              <w:adjustRightInd/>
              <w:snapToGrid/>
              <w:spacing w:line="288" w:lineRule="auto"/>
              <w:ind w:firstLine="406" w:firstLineChars="200"/>
              <w:rPr>
                <w:rFonts w:ascii="宋体" w:hAnsi="宋体" w:eastAsia="宋体" w:cs="宋体"/>
                <w:b/>
                <w:szCs w:val="21"/>
              </w:rPr>
            </w:pPr>
            <w:r>
              <w:rPr>
                <w:rFonts w:hint="eastAsia" w:ascii="宋体" w:hAnsi="宋体" w:eastAsia="宋体" w:cs="宋体"/>
                <w:b/>
                <w:bCs/>
                <w:spacing w:val="-4"/>
                <w:szCs w:val="21"/>
              </w:rPr>
              <w:t>（一）</w:t>
            </w:r>
            <w:r>
              <w:rPr>
                <w:rFonts w:hint="eastAsia" w:ascii="宋体" w:hAnsi="宋体" w:eastAsia="宋体" w:cs="宋体"/>
                <w:b/>
                <w:szCs w:val="21"/>
              </w:rPr>
              <w:t>软件功能要求</w:t>
            </w:r>
          </w:p>
          <w:p w14:paraId="1C2CF4C5">
            <w:pPr>
              <w:autoSpaceDE/>
              <w:autoSpaceDN/>
              <w:adjustRightInd/>
              <w:spacing w:line="288" w:lineRule="auto"/>
              <w:ind w:firstLine="422" w:firstLineChars="200"/>
              <w:jc w:val="left"/>
              <w:textAlignment w:val="auto"/>
              <w:rPr>
                <w:rFonts w:ascii="宋体" w:hAnsi="宋体" w:eastAsia="宋体" w:cs="宋体"/>
                <w:b/>
                <w:kern w:val="0"/>
                <w:szCs w:val="21"/>
                <w:lang w:bidi="zh-CN"/>
              </w:rPr>
            </w:pPr>
            <w:r>
              <w:rPr>
                <w:rFonts w:hint="eastAsia" w:ascii="宋体" w:hAnsi="宋体" w:eastAsia="宋体" w:cs="宋体"/>
                <w:b/>
                <w:kern w:val="0"/>
                <w:szCs w:val="21"/>
                <w:lang w:bidi="zh-CN"/>
              </w:rPr>
              <w:t>1.教学质量保障子系统：</w:t>
            </w:r>
          </w:p>
          <w:p w14:paraId="28B9D01E">
            <w:pPr>
              <w:spacing w:line="288" w:lineRule="auto"/>
              <w:ind w:firstLine="422" w:firstLineChars="200"/>
              <w:rPr>
                <w:rFonts w:ascii="宋体" w:hAnsi="宋体" w:eastAsia="宋体" w:cs="宋体"/>
                <w:b/>
                <w:bCs/>
                <w:szCs w:val="21"/>
              </w:rPr>
            </w:pPr>
            <w:r>
              <w:rPr>
                <w:rFonts w:hint="eastAsia" w:ascii="宋体" w:hAnsi="宋体" w:eastAsia="宋体" w:cs="宋体"/>
                <w:b/>
                <w:bCs/>
                <w:szCs w:val="21"/>
              </w:rPr>
              <w:t>1.1 基本要求</w:t>
            </w:r>
          </w:p>
          <w:p w14:paraId="71A3E263">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（1）具备快速入口功能，各角色能够按照自身需求自由添加。同时具有政策文献上传、发布新闻动态，消息提醒功能，方便日常管理。</w:t>
            </w:r>
          </w:p>
          <w:p w14:paraId="707A15D4">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（2）系统主页能够实时展示听课评价、学生评教、教师评学等内容概况，能够让用户直观地了解各类质量活动开展的概况，工作完成情况等。</w:t>
            </w:r>
          </w:p>
          <w:p w14:paraId="09DC1FCE">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（3）为方便使用，要求能够将系统页面全屏显示，调整字体大小，更换主题风格，查阅通知和待办事宜，且支持用户根据身份方便切换角色和任务。</w:t>
            </w:r>
          </w:p>
          <w:p w14:paraId="6FAA8585">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（4）数据同步：必须与教务系统和我校数字化校院平台实现数据互通且稳定兼容，同步教师、学生、开课、排课、选课等相关信息，设置时间段定时同步，自动更新。</w:t>
            </w:r>
          </w:p>
          <w:p w14:paraId="212A27B0">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（5）能够自定义角色和设置权限，修改菜单名称，管理员可以直接模拟登录其他用户账号，便于日常管理。</w:t>
            </w:r>
          </w:p>
          <w:p w14:paraId="4955562F">
            <w:pPr>
              <w:spacing w:line="288" w:lineRule="auto"/>
              <w:ind w:firstLine="422" w:firstLineChars="200"/>
              <w:rPr>
                <w:rFonts w:ascii="宋体" w:hAnsi="宋体" w:eastAsia="宋体" w:cs="宋体"/>
                <w:szCs w:val="21"/>
              </w:rPr>
            </w:pPr>
            <w:r>
              <w:rPr>
                <w:rFonts w:hint="eastAsia" w:ascii="宋体" w:hAnsi="宋体" w:eastAsia="宋体" w:cs="宋体"/>
                <w:b/>
                <w:bCs/>
                <w:szCs w:val="21"/>
              </w:rPr>
              <w:t>1.2 评价标准管理</w:t>
            </w:r>
          </w:p>
          <w:p w14:paraId="2F62DE3B">
            <w:pPr>
              <w:spacing w:line="288" w:lineRule="auto"/>
              <w:ind w:firstLine="420" w:firstLineChars="200"/>
              <w:rPr>
                <w:rFonts w:ascii="宋体" w:hAnsi="宋体" w:eastAsia="宋体" w:cs="宋体"/>
                <w:bCs/>
                <w:szCs w:val="21"/>
              </w:rPr>
            </w:pPr>
            <w:r>
              <w:rPr>
                <w:rFonts w:hint="eastAsia" w:ascii="宋体" w:hAnsi="宋体" w:eastAsia="宋体" w:cs="宋体"/>
                <w:bCs/>
                <w:szCs w:val="21"/>
              </w:rPr>
              <w:t>（1）通过建立“指标库”将各类指标统一管理，在开展各类评价或专项检查活动（听评课，学生评教，教师评学等）时可以根据不同任务进行引用指标体系，也可引用不同指标体系中的单项指标进行组合创建。</w:t>
            </w:r>
          </w:p>
          <w:p w14:paraId="5F2135F1">
            <w:pPr>
              <w:spacing w:line="288" w:lineRule="auto"/>
              <w:ind w:firstLine="420" w:firstLineChars="200"/>
              <w:rPr>
                <w:rFonts w:ascii="宋体" w:hAnsi="宋体" w:eastAsia="宋体" w:cs="宋体"/>
                <w:bCs/>
                <w:szCs w:val="21"/>
              </w:rPr>
            </w:pPr>
            <w:r>
              <w:rPr>
                <w:rFonts w:hint="eastAsia" w:ascii="宋体" w:hAnsi="宋体" w:eastAsia="宋体" w:cs="宋体"/>
                <w:bCs/>
                <w:szCs w:val="21"/>
              </w:rPr>
              <w:t>（2）评价标准有历史指标和当前指标，可按照课程属性、对应角色设置标准，如听评课指标体系可分为实践课、理论课等，也可复制指标创建副本，进行修改形成新指标。</w:t>
            </w:r>
          </w:p>
          <w:p w14:paraId="13E6F08F">
            <w:pPr>
              <w:spacing w:line="288" w:lineRule="auto"/>
              <w:ind w:firstLine="420" w:firstLineChars="200"/>
              <w:rPr>
                <w:rFonts w:ascii="宋体" w:hAnsi="宋体" w:eastAsia="宋体" w:cs="宋体"/>
                <w:bCs/>
                <w:szCs w:val="21"/>
              </w:rPr>
            </w:pPr>
            <w:r>
              <w:rPr>
                <w:rFonts w:hint="eastAsia" w:ascii="宋体" w:hAnsi="宋体" w:eastAsia="宋体" w:cs="宋体"/>
                <w:bCs/>
                <w:szCs w:val="21"/>
              </w:rPr>
              <w:t>（3）指标体系新建时可选择开始学期、截止学期，课程类型，面向角色，是否生效。能够自由设置题型，打分方式、权重、状态等等。</w:t>
            </w:r>
          </w:p>
          <w:p w14:paraId="50E50E3F">
            <w:pPr>
              <w:spacing w:line="288" w:lineRule="auto"/>
              <w:ind w:firstLine="420" w:firstLineChars="200"/>
              <w:rPr>
                <w:rFonts w:ascii="宋体" w:hAnsi="宋体" w:eastAsia="宋体" w:cs="宋体"/>
                <w:bCs/>
                <w:szCs w:val="21"/>
              </w:rPr>
            </w:pPr>
            <w:r>
              <w:rPr>
                <w:rFonts w:hint="eastAsia" w:ascii="宋体" w:hAnsi="宋体" w:eastAsia="宋体" w:cs="宋体"/>
                <w:bCs/>
                <w:szCs w:val="21"/>
              </w:rPr>
              <w:t>（4）可对设定的指标进行预览，系统能够智能根据已有指标分项计算提示总分分值，也可按照关键字检索指标内容。</w:t>
            </w:r>
          </w:p>
          <w:p w14:paraId="5031DA2F">
            <w:pPr>
              <w:spacing w:line="288" w:lineRule="auto"/>
              <w:ind w:firstLine="420" w:firstLineChars="200"/>
              <w:rPr>
                <w:rFonts w:ascii="宋体" w:hAnsi="宋体" w:eastAsia="宋体" w:cs="宋体"/>
                <w:szCs w:val="21"/>
              </w:rPr>
            </w:pPr>
            <w:r>
              <w:rPr>
                <w:rFonts w:hint="eastAsia" w:ascii="宋体" w:hAnsi="宋体" w:eastAsia="宋体" w:cs="宋体"/>
                <w:bCs/>
                <w:szCs w:val="21"/>
              </w:rPr>
              <w:t>（5）支持指标的版本管理，各类指标都可以设置有效学期及适用类型，指标的变更不影响历史数据的展示及统计分析。</w:t>
            </w:r>
          </w:p>
          <w:p w14:paraId="3A69B06C">
            <w:pPr>
              <w:spacing w:line="288" w:lineRule="auto"/>
              <w:ind w:firstLine="422" w:firstLineChars="200"/>
              <w:rPr>
                <w:rFonts w:ascii="宋体" w:hAnsi="宋体" w:eastAsia="宋体" w:cs="宋体"/>
                <w:szCs w:val="21"/>
              </w:rPr>
            </w:pPr>
            <w:r>
              <w:rPr>
                <w:rFonts w:hint="eastAsia" w:ascii="宋体" w:hAnsi="宋体" w:eastAsia="宋体" w:cs="宋体"/>
                <w:b/>
                <w:bCs/>
                <w:szCs w:val="21"/>
              </w:rPr>
              <w:t>1.3 智慧督导</w:t>
            </w:r>
          </w:p>
          <w:p w14:paraId="690F4724">
            <w:pPr>
              <w:spacing w:line="288" w:lineRule="auto"/>
              <w:ind w:firstLine="420" w:firstLineChars="200"/>
              <w:rPr>
                <w:rFonts w:ascii="宋体" w:hAnsi="宋体" w:eastAsia="宋体" w:cs="宋体"/>
                <w:bCs/>
                <w:szCs w:val="21"/>
              </w:rPr>
            </w:pPr>
            <w:r>
              <w:rPr>
                <w:rFonts w:hint="eastAsia" w:ascii="宋体" w:hAnsi="宋体" w:eastAsia="宋体" w:cs="宋体"/>
                <w:bCs/>
                <w:szCs w:val="21"/>
              </w:rPr>
              <w:t>（1）分配听课任务。支持校、院级督导角色权限设置。发布听课评价任务，可设置每学期听课次数、时间范围、对应学期和指标、听课人角色，设置被听课程时可按照开课学院或课程类型自定义范围，同时支持在线录入和模板导入两种方式。</w:t>
            </w:r>
          </w:p>
          <w:p w14:paraId="4F595380">
            <w:pPr>
              <w:spacing w:line="288" w:lineRule="auto"/>
              <w:ind w:firstLine="420" w:firstLineChars="200"/>
              <w:rPr>
                <w:rFonts w:ascii="宋体" w:hAnsi="宋体" w:eastAsia="宋体" w:cs="宋体"/>
                <w:bCs/>
                <w:szCs w:val="21"/>
              </w:rPr>
            </w:pPr>
            <w:r>
              <w:rPr>
                <w:rFonts w:hint="eastAsia" w:ascii="宋体" w:hAnsi="宋体" w:eastAsia="宋体" w:cs="宋体"/>
                <w:bCs/>
                <w:szCs w:val="21"/>
              </w:rPr>
              <w:t>（2）具备听课预约功能，教师可申请被听课，能够自定义审核流程，设置听课预约处理人，设置听课人并对听课情况进行跟踪，方便管理。并具备督导工作总结提案提交功能，管理员可以分类查看，支持退回。</w:t>
            </w:r>
          </w:p>
          <w:p w14:paraId="42FFFEC6">
            <w:pPr>
              <w:spacing w:line="288" w:lineRule="auto"/>
              <w:ind w:firstLine="420" w:firstLineChars="200"/>
              <w:rPr>
                <w:rFonts w:ascii="宋体" w:hAnsi="宋体" w:eastAsia="宋体" w:cs="宋体"/>
                <w:bCs/>
                <w:szCs w:val="21"/>
              </w:rPr>
            </w:pPr>
            <w:r>
              <w:rPr>
                <w:rFonts w:hint="eastAsia" w:ascii="宋体" w:hAnsi="宋体" w:eastAsia="宋体" w:cs="宋体"/>
                <w:bCs/>
                <w:szCs w:val="21"/>
              </w:rPr>
              <w:t>（3）校领导、中层干部、督导、同行可在线听课评价、填写意见、上传照片等，评价后可暂存之后提交，可核对反馈有误课程信息。听评课结果可以发送给开课学院教学以及行政部门（多选），可选是否要求答复，若要求答复，该学院或者部门可以提交图文回复，形成闭环。</w:t>
            </w:r>
          </w:p>
          <w:p w14:paraId="4F70DDFB">
            <w:pPr>
              <w:spacing w:line="288" w:lineRule="auto"/>
              <w:ind w:firstLine="420" w:firstLineChars="200"/>
              <w:rPr>
                <w:rFonts w:ascii="宋体" w:hAnsi="宋体" w:eastAsia="宋体" w:cs="宋体"/>
                <w:bCs/>
                <w:szCs w:val="21"/>
              </w:rPr>
            </w:pPr>
            <w:r>
              <w:rPr>
                <w:rFonts w:hint="eastAsia" w:ascii="宋体" w:hAnsi="宋体" w:eastAsia="宋体" w:cs="宋体"/>
                <w:bCs/>
                <w:szCs w:val="21"/>
              </w:rPr>
              <w:t>（4）通过手机端筛选课程时可按照开课学院、校区、教学楼、教师入校时间、教师工号等基本条件筛选，也可按历史评教、听课分时段、被听课次数智能筛选，不同用户可按使用习惯收藏常用的搜索方式。</w:t>
            </w:r>
          </w:p>
          <w:p w14:paraId="73C8C27A">
            <w:pPr>
              <w:spacing w:line="288" w:lineRule="auto"/>
              <w:ind w:firstLine="420" w:firstLineChars="200"/>
              <w:rPr>
                <w:rFonts w:ascii="宋体" w:hAnsi="宋体" w:eastAsia="宋体" w:cs="宋体"/>
                <w:bCs/>
                <w:szCs w:val="21"/>
              </w:rPr>
            </w:pPr>
            <w:r>
              <w:rPr>
                <w:rFonts w:hint="eastAsia" w:ascii="宋体" w:hAnsi="宋体" w:eastAsia="宋体" w:cs="宋体"/>
                <w:bCs/>
                <w:szCs w:val="21"/>
              </w:rPr>
              <w:t>（5）具备“听课质量跟踪池”功能，对于评价结果较差的老师进行持续评价帮扶，对于较好的老师也便于推荐同行观摩。管理员可批量导入重点关注对象，也可以手动根据历史评价分数选择添加，督导在听课过程中也可以根据情况增加，且能够实时显示教师被跟踪评价次数。</w:t>
            </w:r>
          </w:p>
          <w:p w14:paraId="41A25944">
            <w:pPr>
              <w:spacing w:line="288" w:lineRule="auto"/>
              <w:ind w:firstLine="420" w:firstLineChars="200"/>
              <w:rPr>
                <w:rFonts w:ascii="宋体" w:hAnsi="宋体" w:eastAsia="宋体" w:cs="宋体"/>
                <w:bCs/>
                <w:szCs w:val="21"/>
              </w:rPr>
            </w:pPr>
            <w:r>
              <w:rPr>
                <w:rFonts w:hint="eastAsia" w:ascii="宋体" w:hAnsi="宋体" w:eastAsia="宋体" w:cs="宋体"/>
                <w:bCs/>
                <w:szCs w:val="21"/>
              </w:rPr>
              <w:t>（6）管理员可设置各角色听课次数、跟踪听课数量、重点关注角色等，并能够实时查看各角色听课工作完成情况，如可按角色、工作完成状态、学院、跟踪评价状态等条件筛选查阅，方便导出。</w:t>
            </w:r>
          </w:p>
          <w:p w14:paraId="2862126B">
            <w:pPr>
              <w:spacing w:line="288" w:lineRule="auto"/>
              <w:ind w:firstLine="420" w:firstLineChars="200"/>
              <w:rPr>
                <w:rFonts w:ascii="宋体" w:hAnsi="宋体" w:eastAsia="宋体" w:cs="宋体"/>
                <w:bCs/>
                <w:szCs w:val="21"/>
              </w:rPr>
            </w:pPr>
            <w:r>
              <w:rPr>
                <w:rFonts w:hint="eastAsia" w:ascii="宋体" w:hAnsi="宋体" w:eastAsia="宋体" w:cs="宋体"/>
                <w:bCs/>
                <w:szCs w:val="21"/>
              </w:rPr>
              <w:t>（7）被评课教师可直观看到被评分数和意见，也能够在线填写教学改进报告，允许教师针对教学评价中的疑问，向评价人提出教学咨询。</w:t>
            </w:r>
          </w:p>
          <w:p w14:paraId="15386A87">
            <w:pPr>
              <w:spacing w:line="288" w:lineRule="auto"/>
              <w:ind w:firstLine="420" w:firstLineChars="200"/>
              <w:rPr>
                <w:rFonts w:ascii="宋体" w:hAnsi="宋体" w:eastAsia="宋体" w:cs="宋体"/>
                <w:bCs/>
                <w:szCs w:val="21"/>
              </w:rPr>
            </w:pPr>
            <w:r>
              <w:rPr>
                <w:rFonts w:hint="eastAsia" w:ascii="宋体" w:hAnsi="宋体" w:eastAsia="宋体" w:cs="宋体"/>
                <w:bCs/>
                <w:szCs w:val="21"/>
              </w:rPr>
              <w:t>（8）可按照分任务查阅听课评价结果，同时具备高级检索方式，如按课程、授课教师、听课人、分数段等属性分类查询，方便导出。</w:t>
            </w:r>
          </w:p>
          <w:p w14:paraId="23A8A085">
            <w:pPr>
              <w:spacing w:line="288" w:lineRule="auto"/>
              <w:ind w:firstLine="420" w:firstLineChars="200"/>
              <w:rPr>
                <w:rFonts w:ascii="宋体" w:hAnsi="宋体" w:eastAsia="宋体" w:cs="宋体"/>
                <w:bCs/>
                <w:szCs w:val="21"/>
              </w:rPr>
            </w:pPr>
            <w:r>
              <w:rPr>
                <w:rFonts w:hint="eastAsia" w:ascii="宋体" w:hAnsi="宋体" w:eastAsia="宋体" w:cs="宋体"/>
                <w:bCs/>
                <w:szCs w:val="21"/>
              </w:rPr>
              <w:t>（9）教师填写的教学改进报告能够汇总呈现和分类导出，对于听课评价结果能够进行现状、趋势、预警分析，如被听课教师覆盖情况、得分情况分析、听课建议云词分析、关联分析等等，且能够自动生成听课评价数据分析报告。</w:t>
            </w:r>
          </w:p>
          <w:p w14:paraId="11D7178C">
            <w:pPr>
              <w:spacing w:line="288" w:lineRule="auto"/>
              <w:ind w:firstLine="420" w:firstLineChars="200"/>
              <w:rPr>
                <w:rFonts w:ascii="宋体" w:hAnsi="宋体" w:eastAsia="宋体" w:cs="宋体"/>
                <w:bCs/>
                <w:szCs w:val="21"/>
              </w:rPr>
            </w:pPr>
            <w:r>
              <w:rPr>
                <w:rFonts w:hint="eastAsia" w:ascii="宋体" w:hAnsi="宋体" w:eastAsia="宋体" w:cs="宋体"/>
                <w:bCs/>
                <w:szCs w:val="21"/>
              </w:rPr>
              <w:t>（10）支持与学校视频设备进行对接,实现可视化在线实时督导。支持录直播听课、巡课。</w:t>
            </w:r>
          </w:p>
          <w:p w14:paraId="07521C71">
            <w:pPr>
              <w:spacing w:line="288" w:lineRule="auto"/>
              <w:ind w:firstLine="422" w:firstLineChars="200"/>
              <w:rPr>
                <w:rFonts w:ascii="宋体" w:hAnsi="宋体" w:eastAsia="宋体" w:cs="宋体"/>
                <w:szCs w:val="21"/>
              </w:rPr>
            </w:pPr>
            <w:r>
              <w:rPr>
                <w:rFonts w:hint="eastAsia" w:ascii="宋体" w:hAnsi="宋体" w:eastAsia="宋体" w:cs="宋体"/>
                <w:b/>
                <w:bCs/>
                <w:szCs w:val="21"/>
              </w:rPr>
              <w:t>1.4 学生评价</w:t>
            </w:r>
          </w:p>
          <w:p w14:paraId="5F0F65DE">
            <w:pPr>
              <w:spacing w:line="288" w:lineRule="auto"/>
              <w:ind w:firstLine="420" w:firstLineChars="200"/>
              <w:rPr>
                <w:rFonts w:ascii="宋体" w:hAnsi="宋体" w:eastAsia="宋体" w:cs="宋体"/>
                <w:bCs/>
                <w:szCs w:val="21"/>
              </w:rPr>
            </w:pPr>
            <w:r>
              <w:rPr>
                <w:rFonts w:hint="eastAsia" w:ascii="宋体" w:hAnsi="宋体" w:eastAsia="宋体" w:cs="宋体"/>
                <w:bCs/>
                <w:szCs w:val="21"/>
              </w:rPr>
              <w:t>（1）支持发布阶段性评教任务，可以采用直接打分、直接排名、问答方式和分档排名打分等多种方式，其中分档排名打分法功能必须具备，且便于实际操作，并支持设置是否可以多次打分和全选最高分和最低分是否校验等功能。</w:t>
            </w:r>
          </w:p>
          <w:p w14:paraId="53EE96E5">
            <w:pPr>
              <w:spacing w:line="288" w:lineRule="auto"/>
              <w:ind w:firstLine="420" w:firstLineChars="200"/>
              <w:rPr>
                <w:rFonts w:ascii="宋体" w:hAnsi="宋体" w:eastAsia="宋体" w:cs="宋体"/>
                <w:bCs/>
                <w:szCs w:val="21"/>
              </w:rPr>
            </w:pPr>
            <w:r>
              <w:rPr>
                <w:rFonts w:hint="eastAsia" w:ascii="宋体" w:hAnsi="宋体" w:eastAsia="宋体" w:cs="宋体"/>
                <w:bCs/>
                <w:szCs w:val="21"/>
              </w:rPr>
              <w:t>（2）发布评教任务时能够设置时间范围、对应学期和指标、评教方式，填写相应的消息通知说明等。设置不参评学生或教师时可以同步历史不参评名单，也可手动添加或模板导入。</w:t>
            </w:r>
          </w:p>
          <w:p w14:paraId="6891103D">
            <w:pPr>
              <w:spacing w:line="288" w:lineRule="auto"/>
              <w:ind w:firstLine="420" w:firstLineChars="200"/>
              <w:rPr>
                <w:rFonts w:ascii="宋体" w:hAnsi="宋体" w:eastAsia="宋体" w:cs="宋体"/>
                <w:bCs/>
                <w:szCs w:val="21"/>
              </w:rPr>
            </w:pPr>
            <w:r>
              <w:rPr>
                <w:rFonts w:hint="eastAsia" w:ascii="宋体" w:hAnsi="宋体" w:eastAsia="宋体" w:cs="宋体"/>
                <w:bCs/>
                <w:szCs w:val="21"/>
              </w:rPr>
              <w:t>（3）学生可在线通过pc端或手机端打分或填写意见，能够自动统计评教进度、参评率和完全评教率，也能够导出当前未参评学生名单、未完全完成评价学生名单。</w:t>
            </w:r>
          </w:p>
          <w:p w14:paraId="3520A975">
            <w:pPr>
              <w:spacing w:line="288" w:lineRule="auto"/>
              <w:ind w:firstLine="420" w:firstLineChars="200"/>
              <w:rPr>
                <w:rFonts w:ascii="宋体" w:hAnsi="宋体" w:eastAsia="宋体" w:cs="宋体"/>
                <w:bCs/>
                <w:szCs w:val="21"/>
              </w:rPr>
            </w:pPr>
            <w:r>
              <w:rPr>
                <w:rFonts w:hint="eastAsia" w:ascii="宋体" w:hAnsi="宋体" w:eastAsia="宋体" w:cs="宋体"/>
                <w:bCs/>
                <w:szCs w:val="21"/>
              </w:rPr>
              <w:t>（4）</w:t>
            </w:r>
            <w:r>
              <w:rPr>
                <w:rFonts w:hint="eastAsia" w:ascii="宋体" w:hAnsi="宋体" w:eastAsia="宋体" w:cs="宋体"/>
                <w:bCs/>
                <w:szCs w:val="21"/>
                <w:lang w:eastAsia="zh-Hans"/>
              </w:rPr>
              <w:t>可以对</w:t>
            </w:r>
            <w:r>
              <w:rPr>
                <w:rFonts w:hint="eastAsia" w:ascii="宋体" w:hAnsi="宋体" w:eastAsia="宋体" w:cs="宋体"/>
                <w:bCs/>
                <w:szCs w:val="21"/>
              </w:rPr>
              <w:t>学生评价进度</w:t>
            </w:r>
            <w:r>
              <w:rPr>
                <w:rFonts w:hint="eastAsia" w:ascii="宋体" w:hAnsi="宋体" w:eastAsia="宋体" w:cs="宋体"/>
                <w:bCs/>
                <w:szCs w:val="21"/>
                <w:lang w:eastAsia="zh-Hans"/>
              </w:rPr>
              <w:t>进行</w:t>
            </w:r>
            <w:r>
              <w:rPr>
                <w:rFonts w:hint="eastAsia" w:ascii="宋体" w:hAnsi="宋体" w:eastAsia="宋体" w:cs="宋体"/>
                <w:bCs/>
                <w:szCs w:val="21"/>
              </w:rPr>
              <w:t>监控，支持筛选条件，可以选择学籍状态有/无，是否在校是/否，是否来华留学生是/否，支持分学院、分班级的评教进度统计情况，需要导出详单供催促，需要有提醒功能。</w:t>
            </w:r>
          </w:p>
          <w:p w14:paraId="4B5A5B7E">
            <w:pPr>
              <w:spacing w:line="288" w:lineRule="auto"/>
              <w:ind w:firstLine="420" w:firstLineChars="200"/>
              <w:rPr>
                <w:rFonts w:ascii="宋体" w:hAnsi="宋体" w:eastAsia="宋体" w:cs="宋体"/>
                <w:szCs w:val="21"/>
              </w:rPr>
            </w:pPr>
            <w:r>
              <w:rPr>
                <w:rFonts w:hint="eastAsia" w:ascii="宋体" w:hAnsi="宋体" w:eastAsia="宋体" w:cs="宋体"/>
                <w:bCs/>
                <w:szCs w:val="21"/>
              </w:rPr>
              <w:t>（5）学生评价完成后，可以选择最喜欢的教师（可多选），该学生对被选中的教师的评分统计系数为100%，没被选择的教师，系数则为95%。</w:t>
            </w:r>
          </w:p>
          <w:p w14:paraId="212A78B9">
            <w:pPr>
              <w:spacing w:line="288" w:lineRule="auto"/>
              <w:ind w:firstLine="420" w:firstLineChars="200"/>
              <w:rPr>
                <w:rFonts w:ascii="宋体" w:hAnsi="宋体" w:eastAsia="宋体" w:cs="宋体"/>
                <w:bCs/>
                <w:szCs w:val="21"/>
              </w:rPr>
            </w:pPr>
            <w:r>
              <w:rPr>
                <w:rFonts w:hint="eastAsia" w:ascii="宋体" w:hAnsi="宋体" w:eastAsia="宋体" w:cs="宋体"/>
                <w:bCs/>
                <w:szCs w:val="21"/>
              </w:rPr>
              <w:t>（6）评教结果可进行在线数据处理，自定义条件如去除最低、最高无效值，设置参评比例有效值，且必须具备三倍标准差算法去除异常数据。能够直观对比处理前后的数据结果，支持导出过滤后的数据，可针对不同角色设置不同的开放时间。</w:t>
            </w:r>
          </w:p>
          <w:p w14:paraId="3317609F">
            <w:pPr>
              <w:spacing w:line="288" w:lineRule="auto"/>
              <w:ind w:firstLine="420" w:firstLineChars="200"/>
              <w:rPr>
                <w:rFonts w:ascii="宋体" w:hAnsi="宋体" w:eastAsia="宋体" w:cs="宋体"/>
                <w:bCs/>
                <w:szCs w:val="21"/>
              </w:rPr>
            </w:pPr>
            <w:r>
              <w:rPr>
                <w:rFonts w:hint="eastAsia" w:ascii="宋体" w:hAnsi="宋体" w:eastAsia="宋体" w:cs="宋体"/>
                <w:bCs/>
                <w:szCs w:val="21"/>
              </w:rPr>
              <w:t>（7）能够实时展示并导出评教结果，如评教原始评价数据、教师课程加权平均分、教师加权平均分、开放性评价意见等。</w:t>
            </w:r>
          </w:p>
          <w:p w14:paraId="4FF27718">
            <w:pPr>
              <w:spacing w:line="288" w:lineRule="auto"/>
              <w:ind w:firstLine="420" w:firstLineChars="200"/>
              <w:rPr>
                <w:rFonts w:ascii="宋体" w:hAnsi="宋体" w:eastAsia="宋体" w:cs="宋体"/>
                <w:bCs/>
                <w:szCs w:val="21"/>
              </w:rPr>
            </w:pPr>
            <w:r>
              <w:rPr>
                <w:rFonts w:hint="eastAsia" w:ascii="宋体" w:hAnsi="宋体" w:eastAsia="宋体" w:cs="宋体"/>
                <w:bCs/>
                <w:szCs w:val="21"/>
              </w:rPr>
              <w:t>（8）评教结果能够进行现状、趋势和预警分析，如各学院参评率、得分情况分析、留言关键词智能汇总分析、关联分析等等，能够统计全校或全院top前10名或后10名，且能够自动生成评教数据分析报告，分学期、任务导出。</w:t>
            </w:r>
          </w:p>
          <w:p w14:paraId="468902D6">
            <w:pPr>
              <w:spacing w:line="288" w:lineRule="auto"/>
              <w:ind w:firstLine="420" w:firstLineChars="200"/>
              <w:rPr>
                <w:rFonts w:ascii="宋体" w:hAnsi="宋体" w:eastAsia="宋体" w:cs="宋体"/>
                <w:bCs/>
                <w:szCs w:val="21"/>
              </w:rPr>
            </w:pPr>
            <w:r>
              <w:rPr>
                <w:rFonts w:hint="eastAsia" w:ascii="宋体" w:hAnsi="宋体" w:eastAsia="宋体" w:cs="宋体"/>
                <w:bCs/>
                <w:szCs w:val="21"/>
              </w:rPr>
              <w:t>（9）评价统计时，国际化专业中的来华留学生和其他的学生的统计分开进行，最后要生成两类结果，一：国际化专业中的来华留学生所上课程，每位教师的课堂教学质量综合评价分；二：其余学生所上课程，每位教师的课堂教学质量综合评价分。</w:t>
            </w:r>
          </w:p>
          <w:p w14:paraId="4A7613A6">
            <w:pPr>
              <w:spacing w:line="288" w:lineRule="auto"/>
              <w:ind w:firstLine="420" w:firstLineChars="200"/>
              <w:rPr>
                <w:rFonts w:ascii="宋体" w:hAnsi="宋体" w:eastAsia="宋体" w:cs="宋体"/>
                <w:bCs/>
                <w:szCs w:val="21"/>
              </w:rPr>
            </w:pPr>
            <w:r>
              <w:rPr>
                <w:rFonts w:hint="eastAsia" w:ascii="宋体" w:hAnsi="宋体" w:eastAsia="宋体" w:cs="宋体"/>
                <w:bCs/>
                <w:szCs w:val="21"/>
              </w:rPr>
              <w:t>（10）学生评教时间内可以导出每个学院每日的学生评教率,格式为已评教人数/参加评教总人数。</w:t>
            </w:r>
          </w:p>
          <w:p w14:paraId="1BCF91C0">
            <w:pPr>
              <w:spacing w:line="288" w:lineRule="auto"/>
              <w:ind w:firstLine="422" w:firstLineChars="200"/>
              <w:rPr>
                <w:rFonts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bCs/>
                <w:szCs w:val="21"/>
                <w:lang w:eastAsia="zh-Hans"/>
              </w:rPr>
              <w:t>.5 教师自评</w:t>
            </w:r>
          </w:p>
          <w:p w14:paraId="63816E8A">
            <w:pPr>
              <w:spacing w:line="288" w:lineRule="auto"/>
              <w:ind w:firstLine="420" w:firstLineChars="200"/>
              <w:rPr>
                <w:rFonts w:ascii="宋体" w:hAnsi="宋体" w:eastAsia="宋体" w:cs="宋体"/>
                <w:szCs w:val="21"/>
                <w:lang w:eastAsia="zh-Hans"/>
              </w:rPr>
            </w:pPr>
            <w:r>
              <w:rPr>
                <w:rFonts w:hint="eastAsia" w:ascii="宋体" w:hAnsi="宋体" w:eastAsia="宋体" w:cs="宋体"/>
                <w:bCs/>
                <w:szCs w:val="21"/>
              </w:rPr>
              <w:t>（1）管理员可以</w:t>
            </w:r>
            <w:r>
              <w:rPr>
                <w:rFonts w:hint="eastAsia" w:ascii="宋体" w:hAnsi="宋体" w:eastAsia="宋体" w:cs="宋体"/>
                <w:bCs/>
                <w:szCs w:val="21"/>
                <w:lang w:eastAsia="zh-Hans"/>
              </w:rPr>
              <w:t>设置教师自评</w:t>
            </w:r>
            <w:r>
              <w:rPr>
                <w:rFonts w:hint="eastAsia" w:ascii="宋体" w:hAnsi="宋体" w:eastAsia="宋体" w:cs="宋体"/>
                <w:bCs/>
                <w:szCs w:val="21"/>
              </w:rPr>
              <w:t>指标、</w:t>
            </w:r>
            <w:r>
              <w:rPr>
                <w:rFonts w:hint="eastAsia" w:ascii="宋体" w:hAnsi="宋体" w:eastAsia="宋体" w:cs="宋体"/>
                <w:bCs/>
                <w:szCs w:val="21"/>
                <w:lang w:eastAsia="zh-Hans"/>
              </w:rPr>
              <w:t>每学期</w:t>
            </w:r>
            <w:r>
              <w:rPr>
                <w:rFonts w:hint="eastAsia" w:ascii="宋体" w:hAnsi="宋体" w:eastAsia="宋体" w:cs="宋体"/>
                <w:bCs/>
                <w:szCs w:val="21"/>
              </w:rPr>
              <w:t>发</w:t>
            </w:r>
            <w:r>
              <w:rPr>
                <w:rFonts w:hint="eastAsia" w:ascii="宋体" w:hAnsi="宋体" w:eastAsia="宋体" w:cs="宋体"/>
                <w:bCs/>
                <w:szCs w:val="21"/>
                <w:lang w:eastAsia="zh-Hans"/>
              </w:rPr>
              <w:t>教师自评</w:t>
            </w:r>
            <w:r>
              <w:rPr>
                <w:rFonts w:hint="eastAsia" w:ascii="宋体" w:hAnsi="宋体" w:eastAsia="宋体" w:cs="宋体"/>
                <w:bCs/>
                <w:szCs w:val="21"/>
              </w:rPr>
              <w:t>任务，并能在教师进行自评后查看结果数据，院级管理员可以查看本学院自评结果，校级管理员可查看全校自评结果；</w:t>
            </w:r>
          </w:p>
          <w:p w14:paraId="568F1586">
            <w:pPr>
              <w:spacing w:line="288" w:lineRule="auto"/>
              <w:ind w:firstLine="420" w:firstLineChars="200"/>
              <w:rPr>
                <w:rFonts w:ascii="宋体" w:hAnsi="宋体" w:eastAsia="宋体" w:cs="宋体"/>
                <w:bCs/>
                <w:szCs w:val="21"/>
                <w:lang w:eastAsia="zh-Hans"/>
              </w:rPr>
            </w:pPr>
            <w:r>
              <w:rPr>
                <w:rFonts w:hint="eastAsia" w:ascii="宋体" w:hAnsi="宋体" w:eastAsia="宋体" w:cs="宋体"/>
                <w:bCs/>
                <w:szCs w:val="21"/>
              </w:rPr>
              <w:t>（2）教师每学期可以对自己</w:t>
            </w:r>
            <w:r>
              <w:rPr>
                <w:rFonts w:hint="eastAsia" w:ascii="宋体" w:hAnsi="宋体" w:eastAsia="宋体" w:cs="宋体"/>
                <w:bCs/>
                <w:szCs w:val="21"/>
                <w:lang w:eastAsia="zh-Hans"/>
              </w:rPr>
              <w:t>参与评价的课程</w:t>
            </w:r>
            <w:r>
              <w:rPr>
                <w:rFonts w:hint="eastAsia" w:ascii="宋体" w:hAnsi="宋体" w:eastAsia="宋体" w:cs="宋体"/>
                <w:bCs/>
                <w:szCs w:val="21"/>
              </w:rPr>
              <w:t>进行自我评价，</w:t>
            </w:r>
            <w:r>
              <w:rPr>
                <w:rFonts w:hint="eastAsia" w:ascii="宋体" w:hAnsi="宋体" w:eastAsia="宋体" w:cs="宋体"/>
                <w:bCs/>
                <w:szCs w:val="21"/>
                <w:lang w:eastAsia="zh-Hans"/>
              </w:rPr>
              <w:t>可以选择打分，并填写教学反思。</w:t>
            </w:r>
          </w:p>
          <w:p w14:paraId="013B70C3">
            <w:pPr>
              <w:spacing w:line="288" w:lineRule="auto"/>
              <w:ind w:firstLine="420" w:firstLineChars="200"/>
              <w:rPr>
                <w:rFonts w:ascii="宋体" w:hAnsi="宋体" w:eastAsia="宋体" w:cs="宋体"/>
                <w:bCs/>
                <w:szCs w:val="21"/>
              </w:rPr>
            </w:pPr>
            <w:r>
              <w:rPr>
                <w:rFonts w:hint="eastAsia" w:ascii="宋体" w:hAnsi="宋体" w:eastAsia="宋体" w:cs="宋体"/>
                <w:bCs/>
                <w:szCs w:val="21"/>
              </w:rPr>
              <w:t>（3）教师自评以教师所带课程为单位进行自评，多个教学班同一门课程无需进行多次自评。</w:t>
            </w:r>
          </w:p>
          <w:p w14:paraId="103C8AF0">
            <w:pPr>
              <w:spacing w:line="288" w:lineRule="auto"/>
              <w:ind w:firstLine="420" w:firstLineChars="200"/>
              <w:rPr>
                <w:rFonts w:ascii="宋体" w:hAnsi="宋体" w:eastAsia="宋体" w:cs="宋体"/>
                <w:bCs/>
                <w:szCs w:val="21"/>
              </w:rPr>
            </w:pPr>
            <w:r>
              <w:rPr>
                <w:rFonts w:hint="eastAsia" w:ascii="宋体" w:hAnsi="宋体" w:eastAsia="宋体" w:cs="宋体"/>
                <w:bCs/>
                <w:szCs w:val="21"/>
              </w:rPr>
              <w:t>（4）可以对教师</w:t>
            </w:r>
            <w:r>
              <w:rPr>
                <w:rFonts w:hint="eastAsia" w:ascii="宋体" w:hAnsi="宋体" w:eastAsia="宋体" w:cs="宋体"/>
                <w:bCs/>
                <w:szCs w:val="21"/>
                <w:lang w:eastAsia="zh-Hans"/>
              </w:rPr>
              <w:t>评价情况</w:t>
            </w:r>
            <w:r>
              <w:rPr>
                <w:rFonts w:hint="eastAsia" w:ascii="宋体" w:hAnsi="宋体" w:eastAsia="宋体" w:cs="宋体"/>
                <w:bCs/>
                <w:szCs w:val="21"/>
              </w:rPr>
              <w:t>进行实时监控，可以看到哪些教师没自评，哪些课程还没被同行评价，以便及时导出交给学院提醒，或者自动推送消息提醒。</w:t>
            </w:r>
          </w:p>
          <w:p w14:paraId="32C75387">
            <w:pPr>
              <w:spacing w:line="288" w:lineRule="auto"/>
              <w:ind w:firstLine="422" w:firstLineChars="200"/>
              <w:rPr>
                <w:rFonts w:ascii="宋体" w:hAnsi="宋体" w:eastAsia="宋体" w:cs="宋体"/>
                <w:b/>
                <w:bCs/>
                <w:szCs w:val="21"/>
              </w:rPr>
            </w:pPr>
            <w:r>
              <w:rPr>
                <w:rFonts w:hint="eastAsia" w:ascii="宋体" w:hAnsi="宋体" w:eastAsia="宋体" w:cs="宋体"/>
                <w:b/>
                <w:bCs/>
                <w:szCs w:val="21"/>
              </w:rPr>
              <w:t>1.6教师评学</w:t>
            </w:r>
          </w:p>
          <w:p w14:paraId="6C7A2FB9">
            <w:pPr>
              <w:spacing w:line="288" w:lineRule="auto"/>
              <w:ind w:firstLine="420" w:firstLineChars="200"/>
              <w:rPr>
                <w:rFonts w:ascii="宋体" w:hAnsi="宋体" w:eastAsia="宋体" w:cs="宋体"/>
                <w:szCs w:val="21"/>
                <w:lang w:eastAsia="zh-Hans"/>
              </w:rPr>
            </w:pPr>
            <w:r>
              <w:rPr>
                <w:rFonts w:hint="eastAsia" w:ascii="宋体" w:hAnsi="宋体" w:eastAsia="宋体" w:cs="宋体"/>
                <w:bCs/>
                <w:szCs w:val="21"/>
              </w:rPr>
              <w:t>（1）学校管理员可根据评价指标库中的指标内容，设置教师评学指标，如学习基础、学习态度、学习过程、学习效果等情况，评价结果可为教师改进教学方法提供数据支持，为学风建设提供依据。</w:t>
            </w:r>
          </w:p>
          <w:p w14:paraId="772615FE">
            <w:pPr>
              <w:spacing w:line="288" w:lineRule="auto"/>
              <w:ind w:firstLine="420" w:firstLineChars="200"/>
              <w:rPr>
                <w:rFonts w:ascii="宋体" w:hAnsi="宋体" w:eastAsia="宋体" w:cs="宋体"/>
                <w:bCs/>
                <w:szCs w:val="21"/>
                <w:lang w:eastAsia="zh-Hans"/>
              </w:rPr>
            </w:pPr>
            <w:r>
              <w:rPr>
                <w:rFonts w:hint="eastAsia" w:ascii="宋体" w:hAnsi="宋体" w:eastAsia="宋体" w:cs="宋体"/>
                <w:bCs/>
                <w:szCs w:val="21"/>
              </w:rPr>
              <w:t>（2）确保评学系统匿名性，保护师生隐私</w:t>
            </w:r>
            <w:r>
              <w:rPr>
                <w:rFonts w:hint="eastAsia" w:ascii="宋体" w:hAnsi="宋体" w:eastAsia="宋体" w:cs="宋体"/>
                <w:bCs/>
                <w:szCs w:val="21"/>
                <w:lang w:eastAsia="zh-Hans"/>
              </w:rPr>
              <w:t>。</w:t>
            </w:r>
          </w:p>
          <w:p w14:paraId="11AF401E">
            <w:pPr>
              <w:spacing w:line="288" w:lineRule="auto"/>
              <w:ind w:firstLine="420" w:firstLineChars="200"/>
              <w:rPr>
                <w:rFonts w:ascii="宋体" w:hAnsi="宋体" w:eastAsia="宋体" w:cs="宋体"/>
                <w:bCs/>
                <w:szCs w:val="21"/>
              </w:rPr>
            </w:pPr>
            <w:r>
              <w:rPr>
                <w:rFonts w:hint="eastAsia" w:ascii="宋体" w:hAnsi="宋体" w:eastAsia="宋体" w:cs="宋体"/>
                <w:bCs/>
                <w:szCs w:val="21"/>
              </w:rPr>
              <w:t>（3）教师评学每学期组织一次。学校管理员在规定的时间内向教师推送评价通知，教学团队成员可分别评价同一门课程。可以对教师</w:t>
            </w:r>
            <w:r>
              <w:rPr>
                <w:rFonts w:hint="eastAsia" w:ascii="宋体" w:hAnsi="宋体" w:eastAsia="宋体" w:cs="宋体"/>
                <w:bCs/>
                <w:szCs w:val="21"/>
                <w:lang w:eastAsia="zh-Hans"/>
              </w:rPr>
              <w:t>评价情况</w:t>
            </w:r>
            <w:r>
              <w:rPr>
                <w:rFonts w:hint="eastAsia" w:ascii="宋体" w:hAnsi="宋体" w:eastAsia="宋体" w:cs="宋体"/>
                <w:bCs/>
                <w:szCs w:val="21"/>
              </w:rPr>
              <w:t>进行实时监控，可以看到哪些教师没评学，以便及时导出交给学院提醒，或者自动推送消息提醒。</w:t>
            </w:r>
          </w:p>
          <w:p w14:paraId="6F90822D">
            <w:pPr>
              <w:spacing w:line="288" w:lineRule="auto"/>
              <w:ind w:firstLine="420" w:firstLineChars="200"/>
              <w:rPr>
                <w:rFonts w:ascii="宋体" w:hAnsi="宋体" w:eastAsia="宋体" w:cs="宋体"/>
                <w:bCs/>
                <w:szCs w:val="21"/>
              </w:rPr>
            </w:pPr>
            <w:r>
              <w:rPr>
                <w:rFonts w:hint="eastAsia" w:ascii="宋体" w:hAnsi="宋体" w:eastAsia="宋体" w:cs="宋体"/>
                <w:bCs/>
                <w:szCs w:val="21"/>
              </w:rPr>
              <w:t>（4）将教师评学结果与学生评教数据对比分析，实现“教”与“学”双向改进。</w:t>
            </w:r>
          </w:p>
          <w:p w14:paraId="39A0DB8A">
            <w:pPr>
              <w:spacing w:line="288" w:lineRule="auto"/>
              <w:ind w:firstLine="420" w:firstLineChars="200"/>
              <w:rPr>
                <w:rFonts w:ascii="宋体" w:hAnsi="宋体" w:eastAsia="宋体" w:cs="宋体"/>
                <w:bCs/>
                <w:szCs w:val="21"/>
              </w:rPr>
            </w:pPr>
            <w:r>
              <w:rPr>
                <w:rFonts w:hint="eastAsia" w:ascii="宋体" w:hAnsi="宋体" w:eastAsia="宋体" w:cs="宋体"/>
                <w:bCs/>
                <w:szCs w:val="21"/>
              </w:rPr>
              <w:t>（5）不参与学生评教的课程及公共选修课任课教师无需评价。</w:t>
            </w:r>
          </w:p>
          <w:p w14:paraId="011D9928">
            <w:pPr>
              <w:spacing w:line="288" w:lineRule="auto"/>
              <w:ind w:firstLine="422" w:firstLineChars="200"/>
              <w:rPr>
                <w:rFonts w:ascii="宋体" w:hAnsi="宋体" w:eastAsia="宋体" w:cs="宋体"/>
                <w:b/>
                <w:bCs/>
                <w:szCs w:val="21"/>
                <w:lang w:eastAsia="zh-Hans"/>
              </w:rPr>
            </w:pPr>
            <w:r>
              <w:rPr>
                <w:rFonts w:hint="eastAsia" w:ascii="宋体" w:hAnsi="宋体" w:eastAsia="宋体" w:cs="宋体"/>
                <w:b/>
                <w:bCs/>
                <w:szCs w:val="21"/>
                <w:lang w:eastAsia="zh-Hans"/>
              </w:rPr>
              <w:t>1.7 学生评学</w:t>
            </w:r>
          </w:p>
          <w:p w14:paraId="2AA28DB4">
            <w:pPr>
              <w:spacing w:line="288" w:lineRule="auto"/>
              <w:ind w:firstLine="420" w:firstLineChars="200"/>
              <w:rPr>
                <w:rFonts w:ascii="宋体" w:hAnsi="宋体" w:eastAsia="宋体" w:cs="宋体"/>
                <w:bCs/>
                <w:szCs w:val="21"/>
              </w:rPr>
            </w:pPr>
            <w:r>
              <w:rPr>
                <w:rFonts w:hint="eastAsia" w:ascii="宋体" w:hAnsi="宋体" w:eastAsia="宋体" w:cs="宋体"/>
                <w:bCs/>
                <w:szCs w:val="21"/>
              </w:rPr>
              <w:t>（1）管理员和教师可设置评学指标；</w:t>
            </w:r>
          </w:p>
          <w:p w14:paraId="63D628B2">
            <w:pPr>
              <w:spacing w:line="288" w:lineRule="auto"/>
              <w:ind w:firstLine="420" w:firstLineChars="200"/>
              <w:rPr>
                <w:rFonts w:ascii="宋体" w:hAnsi="宋体" w:eastAsia="宋体" w:cs="宋体"/>
                <w:bCs/>
                <w:szCs w:val="21"/>
              </w:rPr>
            </w:pPr>
            <w:r>
              <w:rPr>
                <w:rFonts w:hint="eastAsia" w:ascii="宋体" w:hAnsi="宋体" w:eastAsia="宋体" w:cs="宋体"/>
                <w:bCs/>
                <w:szCs w:val="21"/>
              </w:rPr>
              <w:t>（2）教师根据课程需要，指导学生评价学习目标达成情况。</w:t>
            </w:r>
          </w:p>
          <w:p w14:paraId="3BC6A0DC">
            <w:pPr>
              <w:spacing w:line="288" w:lineRule="auto"/>
              <w:ind w:firstLine="422" w:firstLineChars="200"/>
              <w:rPr>
                <w:rFonts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bCs/>
                <w:szCs w:val="21"/>
                <w:lang w:eastAsia="zh-Hans"/>
              </w:rPr>
              <w:t>.</w:t>
            </w:r>
            <w:r>
              <w:rPr>
                <w:rFonts w:hint="eastAsia" w:ascii="宋体" w:hAnsi="宋体" w:eastAsia="宋体" w:cs="宋体"/>
                <w:b/>
                <w:bCs/>
                <w:szCs w:val="21"/>
              </w:rPr>
              <w:t>8</w:t>
            </w:r>
            <w:r>
              <w:rPr>
                <w:rFonts w:hint="eastAsia" w:ascii="宋体" w:hAnsi="宋体" w:eastAsia="宋体" w:cs="宋体"/>
                <w:b/>
                <w:bCs/>
                <w:szCs w:val="21"/>
                <w:lang w:eastAsia="zh-Hans"/>
              </w:rPr>
              <w:t xml:space="preserve"> </w:t>
            </w:r>
            <w:r>
              <w:rPr>
                <w:rFonts w:hint="eastAsia" w:ascii="宋体" w:hAnsi="宋体" w:eastAsia="宋体" w:cs="宋体"/>
                <w:b/>
                <w:bCs/>
                <w:szCs w:val="21"/>
              </w:rPr>
              <w:t>课堂</w:t>
            </w:r>
            <w:r>
              <w:rPr>
                <w:rFonts w:hint="eastAsia" w:ascii="宋体" w:hAnsi="宋体" w:eastAsia="宋体" w:cs="宋体"/>
                <w:b/>
                <w:bCs/>
                <w:szCs w:val="21"/>
                <w:lang w:eastAsia="zh-Hans"/>
              </w:rPr>
              <w:t>教学质量综合</w:t>
            </w:r>
            <w:r>
              <w:rPr>
                <w:rFonts w:hint="eastAsia" w:ascii="宋体" w:hAnsi="宋体" w:eastAsia="宋体" w:cs="宋体"/>
                <w:b/>
                <w:bCs/>
                <w:szCs w:val="21"/>
              </w:rPr>
              <w:t>评价</w:t>
            </w:r>
          </w:p>
          <w:p w14:paraId="22CC2695">
            <w:pPr>
              <w:spacing w:line="288" w:lineRule="auto"/>
              <w:ind w:firstLine="420" w:firstLineChars="200"/>
              <w:rPr>
                <w:rFonts w:ascii="宋体" w:hAnsi="宋体" w:eastAsia="宋体" w:cs="宋体"/>
                <w:szCs w:val="21"/>
              </w:rPr>
            </w:pPr>
            <w:r>
              <w:rPr>
                <w:rFonts w:hint="eastAsia" w:ascii="宋体" w:hAnsi="宋体" w:eastAsia="宋体" w:cs="宋体"/>
                <w:szCs w:val="21"/>
              </w:rPr>
              <w:t>系统可通过同行专家听课评价、学生评教、教师自评等质量评价活动结果生成课堂教学质量综合评价结果，各个评价部分的组成比例可通过系统维护调整，最终汇总形成全校教师课堂教学质量评价数据报表，为相关部门提供决策依据。</w:t>
            </w:r>
          </w:p>
          <w:p w14:paraId="6A483B51">
            <w:pPr>
              <w:spacing w:line="288" w:lineRule="auto"/>
              <w:ind w:firstLine="420" w:firstLineChars="200"/>
              <w:rPr>
                <w:rFonts w:ascii="宋体" w:hAnsi="宋体" w:eastAsia="宋体" w:cs="宋体"/>
                <w:bCs/>
                <w:szCs w:val="21"/>
              </w:rPr>
            </w:pPr>
            <w:r>
              <w:rPr>
                <w:rFonts w:hint="eastAsia" w:ascii="宋体" w:hAnsi="宋体" w:eastAsia="宋体" w:cs="宋体"/>
                <w:bCs/>
                <w:szCs w:val="21"/>
              </w:rPr>
              <w:t>（1）可以发布校级评价任务，支持评价标准进行二级权限管理；</w:t>
            </w:r>
          </w:p>
          <w:p w14:paraId="3AC3D659">
            <w:pPr>
              <w:spacing w:line="288" w:lineRule="auto"/>
              <w:ind w:firstLine="420" w:firstLineChars="200"/>
              <w:rPr>
                <w:rFonts w:ascii="宋体" w:hAnsi="宋体" w:eastAsia="宋体" w:cs="宋体"/>
                <w:bCs/>
                <w:szCs w:val="21"/>
              </w:rPr>
            </w:pPr>
            <w:r>
              <w:rPr>
                <w:rFonts w:hint="eastAsia" w:ascii="宋体" w:hAnsi="宋体" w:eastAsia="宋体" w:cs="宋体"/>
                <w:bCs/>
                <w:szCs w:val="21"/>
              </w:rPr>
              <w:t>（2）院级管理员可在权限范围内根据本院实际情况对学院综合评价参数进行调整；可针对课程属性、课程是否参与评价、课程授课教师是否参与评价、老师教学异常情况记录、教师不参与评价原因记录等参数进行设置；</w:t>
            </w:r>
          </w:p>
          <w:p w14:paraId="17439765">
            <w:pPr>
              <w:spacing w:line="288" w:lineRule="auto"/>
              <w:ind w:firstLine="420" w:firstLineChars="200"/>
              <w:rPr>
                <w:rFonts w:ascii="宋体" w:hAnsi="宋体" w:eastAsia="宋体" w:cs="宋体"/>
                <w:bCs/>
                <w:szCs w:val="21"/>
              </w:rPr>
            </w:pPr>
            <w:r>
              <w:rPr>
                <w:rFonts w:hint="eastAsia" w:ascii="宋体" w:hAnsi="宋体" w:eastAsia="宋体" w:cs="宋体"/>
                <w:bCs/>
                <w:szCs w:val="21"/>
              </w:rPr>
              <w:t>（3）校级可对全校老师的听课、评教数据进行调整，设置无考试资格学生不参与课程评价，院级可针对本院老师的听课、评教结果进行调整，并可填写调整原因，保障最终结果的公平性；校级管理员可对院级综合评分结果数据进行审核，允许通过、退回操作，并填写退回原因；</w:t>
            </w:r>
          </w:p>
          <w:p w14:paraId="0485CDA8">
            <w:pPr>
              <w:spacing w:line="288" w:lineRule="auto"/>
              <w:ind w:firstLine="420" w:firstLineChars="200"/>
              <w:rPr>
                <w:rFonts w:ascii="宋体" w:hAnsi="宋体" w:eastAsia="宋体" w:cs="宋体"/>
                <w:bCs/>
                <w:szCs w:val="21"/>
              </w:rPr>
            </w:pPr>
            <w:r>
              <w:rPr>
                <w:rFonts w:hint="eastAsia" w:ascii="宋体" w:hAnsi="宋体" w:eastAsia="宋体" w:cs="宋体"/>
                <w:bCs/>
                <w:szCs w:val="21"/>
              </w:rPr>
              <w:t>（4）校级管理员可查看全校教学质量评价结果，院级管理员可查看本学院的教学质量评价结果。</w:t>
            </w:r>
          </w:p>
          <w:p w14:paraId="58F41604">
            <w:pPr>
              <w:spacing w:line="288" w:lineRule="auto"/>
              <w:ind w:firstLine="420" w:firstLineChars="200"/>
              <w:rPr>
                <w:rFonts w:ascii="宋体" w:hAnsi="宋体" w:eastAsia="宋体" w:cs="宋体"/>
                <w:bCs/>
                <w:szCs w:val="21"/>
              </w:rPr>
            </w:pPr>
            <w:r>
              <w:rPr>
                <w:rFonts w:hint="eastAsia" w:ascii="宋体" w:hAnsi="宋体" w:eastAsia="宋体" w:cs="宋体"/>
                <w:bCs/>
                <w:szCs w:val="21"/>
              </w:rPr>
              <w:t>（5）</w:t>
            </w:r>
            <w:r>
              <w:rPr>
                <w:rFonts w:hint="eastAsia" w:ascii="宋体" w:hAnsi="宋体" w:eastAsia="宋体" w:cs="宋体"/>
                <w:bCs/>
                <w:szCs w:val="21"/>
                <w:lang w:eastAsia="zh-Hans"/>
              </w:rPr>
              <w:t>对于综合评分连续排名靠后教师统计，需要对</w:t>
            </w:r>
            <w:r>
              <w:rPr>
                <w:rFonts w:hint="eastAsia" w:ascii="宋体" w:hAnsi="宋体" w:eastAsia="宋体" w:cs="宋体"/>
                <w:bCs/>
                <w:szCs w:val="21"/>
              </w:rPr>
              <w:t>排名的前3%、前40%，后10%教师进行统计；需要统计连续1学期、2学期、3学期后10%的情况；</w:t>
            </w:r>
            <w:r>
              <w:rPr>
                <w:rFonts w:hint="eastAsia" w:ascii="宋体" w:hAnsi="宋体" w:eastAsia="宋体" w:cs="宋体"/>
                <w:bCs/>
                <w:szCs w:val="21"/>
                <w:lang w:eastAsia="zh-Hans"/>
              </w:rPr>
              <w:t>如果</w:t>
            </w:r>
            <w:r>
              <w:rPr>
                <w:rFonts w:hint="eastAsia" w:ascii="宋体" w:hAnsi="宋体" w:eastAsia="宋体" w:cs="宋体"/>
                <w:bCs/>
                <w:szCs w:val="21"/>
              </w:rPr>
              <w:t>教师若干个学期没开课的情况，需要追溯上一次有评教的情况。</w:t>
            </w:r>
          </w:p>
          <w:p w14:paraId="16C562FB">
            <w:pPr>
              <w:spacing w:line="288" w:lineRule="auto"/>
              <w:ind w:firstLine="420" w:firstLineChars="200"/>
              <w:rPr>
                <w:rFonts w:ascii="宋体" w:hAnsi="宋体" w:eastAsia="宋体" w:cs="宋体"/>
                <w:bCs/>
                <w:szCs w:val="21"/>
              </w:rPr>
            </w:pPr>
            <w:r>
              <w:rPr>
                <w:rFonts w:hint="eastAsia" w:ascii="宋体" w:hAnsi="宋体" w:eastAsia="宋体" w:cs="宋体"/>
                <w:bCs/>
                <w:szCs w:val="21"/>
              </w:rPr>
              <w:t>（6）对于国际化专业中的来华留学生评价结果，教师课堂教学质量综合评价按全校3大类学院进行分类排序，学院分类可维护。对于其余非国际班中的来华留学生评价结果，教师课堂教学质量综合评价按学院（部）进行分类排序；需要对分类结果排名的前3%、前40%，后5%，以及连续2学期，3学期后5%的情况，进行统计。</w:t>
            </w:r>
          </w:p>
          <w:p w14:paraId="01D3EDFB">
            <w:pPr>
              <w:spacing w:line="288" w:lineRule="auto"/>
              <w:ind w:firstLine="422" w:firstLineChars="200"/>
              <w:rPr>
                <w:rFonts w:ascii="宋体" w:hAnsi="宋体" w:eastAsia="宋体" w:cs="宋体"/>
                <w:b/>
                <w:bCs/>
                <w:szCs w:val="21"/>
                <w:lang w:eastAsia="zh-Hans"/>
              </w:rPr>
            </w:pPr>
            <w:r>
              <w:rPr>
                <w:rFonts w:hint="eastAsia" w:ascii="宋体" w:hAnsi="宋体" w:eastAsia="宋体" w:cs="宋体"/>
                <w:b/>
                <w:bCs/>
                <w:szCs w:val="21"/>
              </w:rPr>
              <w:t>1</w:t>
            </w:r>
            <w:r>
              <w:rPr>
                <w:rFonts w:hint="eastAsia" w:ascii="宋体" w:hAnsi="宋体" w:eastAsia="宋体" w:cs="宋体"/>
                <w:b/>
                <w:bCs/>
                <w:szCs w:val="21"/>
                <w:lang w:eastAsia="zh-Hans"/>
              </w:rPr>
              <w:t>.</w:t>
            </w:r>
            <w:r>
              <w:rPr>
                <w:rFonts w:hint="eastAsia" w:ascii="宋体" w:hAnsi="宋体" w:eastAsia="宋体" w:cs="宋体"/>
                <w:b/>
                <w:bCs/>
                <w:szCs w:val="21"/>
              </w:rPr>
              <w:t>9</w:t>
            </w:r>
            <w:r>
              <w:rPr>
                <w:rFonts w:hint="eastAsia" w:ascii="宋体" w:hAnsi="宋体" w:eastAsia="宋体" w:cs="宋体"/>
                <w:b/>
                <w:bCs/>
                <w:szCs w:val="21"/>
                <w:lang w:eastAsia="zh-Hans"/>
              </w:rPr>
              <w:t xml:space="preserve"> 评价分数反馈</w:t>
            </w:r>
          </w:p>
          <w:p w14:paraId="506AE90B">
            <w:pPr>
              <w:spacing w:line="288" w:lineRule="auto"/>
              <w:ind w:firstLine="420" w:firstLineChars="200"/>
              <w:rPr>
                <w:rFonts w:ascii="宋体" w:hAnsi="宋体" w:eastAsia="宋体" w:cs="宋体"/>
                <w:szCs w:val="21"/>
                <w:lang w:eastAsia="zh-Hans"/>
              </w:rPr>
            </w:pPr>
            <w:r>
              <w:rPr>
                <w:rFonts w:hint="eastAsia" w:ascii="宋体" w:hAnsi="宋体" w:eastAsia="宋体" w:cs="宋体"/>
                <w:szCs w:val="21"/>
              </w:rPr>
              <w:t>教师可以分阶段看到当前课程的评价分数、学生评语，及本学期的最终得分及学院中的排名，有来华留学生课程的，还要显示最终得分在所属学院大类中的排名。可以让教师直观地了解各学期最终得分的变化及最终排名的变化，学院可以看到学院教师的排名情况，</w:t>
            </w:r>
            <w:r>
              <w:rPr>
                <w:rFonts w:hint="eastAsia" w:ascii="宋体" w:hAnsi="宋体" w:eastAsia="宋体" w:cs="宋体"/>
                <w:bCs/>
                <w:szCs w:val="21"/>
              </w:rPr>
              <w:t>校级管理员可以设置评价结果反馈的内容和反馈时间</w:t>
            </w:r>
            <w:r>
              <w:rPr>
                <w:rFonts w:hint="eastAsia" w:ascii="宋体" w:hAnsi="宋体" w:eastAsia="宋体" w:cs="宋体"/>
                <w:szCs w:val="21"/>
              </w:rPr>
              <w:t>。</w:t>
            </w:r>
          </w:p>
          <w:p w14:paraId="6F9614FE">
            <w:pPr>
              <w:spacing w:line="288" w:lineRule="auto"/>
              <w:ind w:firstLine="422" w:firstLineChars="200"/>
              <w:rPr>
                <w:rFonts w:ascii="宋体" w:hAnsi="宋体" w:eastAsia="宋体" w:cs="宋体"/>
                <w:b/>
                <w:bCs/>
                <w:szCs w:val="21"/>
              </w:rPr>
            </w:pPr>
            <w:r>
              <w:rPr>
                <w:rFonts w:hint="eastAsia" w:ascii="宋体" w:hAnsi="宋体" w:eastAsia="宋体" w:cs="宋体"/>
                <w:b/>
                <w:bCs/>
                <w:szCs w:val="21"/>
              </w:rPr>
              <w:t>1.10 数据可视化展示</w:t>
            </w:r>
          </w:p>
          <w:p w14:paraId="70E9FE70">
            <w:pPr>
              <w:spacing w:line="288" w:lineRule="auto"/>
              <w:ind w:firstLine="420" w:firstLineChars="200"/>
              <w:rPr>
                <w:rFonts w:ascii="宋体" w:hAnsi="宋体" w:eastAsia="宋体" w:cs="宋体"/>
                <w:szCs w:val="21"/>
              </w:rPr>
            </w:pPr>
            <w:r>
              <w:rPr>
                <w:rFonts w:hint="eastAsia" w:ascii="宋体" w:hAnsi="宋体" w:eastAsia="宋体" w:cs="宋体"/>
                <w:bCs/>
                <w:szCs w:val="21"/>
              </w:rPr>
              <w:t>提供基于教学质量评价结果数据的大屏展示。展示维度如听课评价、学生评教，详细指标可根据学校数据情况而定，让数据“跃然屏上”，诠释数据立体美，展示效果炫酷夺目。</w:t>
            </w:r>
          </w:p>
          <w:p w14:paraId="27D86065">
            <w:pPr>
              <w:spacing w:line="288" w:lineRule="auto"/>
              <w:ind w:firstLine="422" w:firstLineChars="200"/>
              <w:rPr>
                <w:rFonts w:ascii="宋体" w:hAnsi="宋体" w:eastAsia="宋体" w:cs="宋体"/>
                <w:b/>
                <w:bCs/>
                <w:szCs w:val="21"/>
              </w:rPr>
            </w:pPr>
            <w:r>
              <w:rPr>
                <w:rFonts w:hint="eastAsia" w:ascii="宋体" w:hAnsi="宋体" w:eastAsia="宋体" w:cs="宋体"/>
                <w:b/>
                <w:bCs/>
                <w:szCs w:val="21"/>
              </w:rPr>
              <w:t>1.11 移动终端</w:t>
            </w:r>
          </w:p>
          <w:p w14:paraId="232D7A24">
            <w:pPr>
              <w:spacing w:line="288" w:lineRule="auto"/>
              <w:ind w:firstLine="420" w:firstLineChars="200"/>
              <w:rPr>
                <w:rFonts w:ascii="宋体" w:hAnsi="宋体" w:eastAsia="宋体" w:cs="宋体"/>
                <w:szCs w:val="21"/>
              </w:rPr>
            </w:pPr>
            <w:r>
              <w:rPr>
                <w:rFonts w:hint="eastAsia" w:ascii="宋体" w:hAnsi="宋体" w:eastAsia="宋体" w:cs="宋体"/>
                <w:bCs/>
                <w:szCs w:val="21"/>
              </w:rPr>
              <w:t>能够提供较为灵活的移动端，该移动端需集成到学校企业微信或钉钉内，增强移动端易用性增强，及时推送消息，保障用户使用。</w:t>
            </w:r>
          </w:p>
          <w:p w14:paraId="7C43878E">
            <w:pPr>
              <w:spacing w:line="288" w:lineRule="auto"/>
              <w:ind w:firstLine="422" w:firstLineChars="200"/>
              <w:rPr>
                <w:rFonts w:ascii="宋体" w:hAnsi="宋体" w:eastAsia="宋体" w:cs="宋体"/>
                <w:b/>
                <w:bCs/>
                <w:szCs w:val="21"/>
                <w:lang w:eastAsia="zh-Hans"/>
              </w:rPr>
            </w:pPr>
            <w:r>
              <w:rPr>
                <w:rFonts w:hint="eastAsia" w:ascii="宋体" w:hAnsi="宋体" w:eastAsia="宋体" w:cs="宋体"/>
                <w:b/>
                <w:bCs/>
                <w:szCs w:val="21"/>
              </w:rPr>
              <w:t>1</w:t>
            </w:r>
            <w:r>
              <w:rPr>
                <w:rFonts w:hint="eastAsia" w:ascii="宋体" w:hAnsi="宋体" w:eastAsia="宋体" w:cs="宋体"/>
                <w:b/>
                <w:bCs/>
                <w:szCs w:val="21"/>
                <w:lang w:eastAsia="zh-Hans"/>
              </w:rPr>
              <w:t>.1</w:t>
            </w:r>
            <w:r>
              <w:rPr>
                <w:rFonts w:hint="eastAsia" w:ascii="宋体" w:hAnsi="宋体" w:eastAsia="宋体" w:cs="宋体"/>
                <w:b/>
                <w:bCs/>
                <w:szCs w:val="21"/>
              </w:rPr>
              <w:t>2</w:t>
            </w:r>
            <w:r>
              <w:rPr>
                <w:rFonts w:hint="eastAsia" w:ascii="宋体" w:hAnsi="宋体" w:eastAsia="宋体" w:cs="宋体"/>
                <w:b/>
                <w:bCs/>
                <w:szCs w:val="21"/>
                <w:lang w:eastAsia="zh-Hans"/>
              </w:rPr>
              <w:t xml:space="preserve"> 系统角色管理 </w:t>
            </w:r>
          </w:p>
          <w:p w14:paraId="733989A0">
            <w:pPr>
              <w:spacing w:line="288" w:lineRule="auto"/>
              <w:ind w:firstLine="420" w:firstLineChars="200"/>
              <w:rPr>
                <w:rFonts w:ascii="宋体" w:hAnsi="宋体" w:eastAsia="宋体" w:cs="宋体"/>
                <w:bCs/>
                <w:szCs w:val="21"/>
                <w:lang w:eastAsia="zh-Hans"/>
              </w:rPr>
            </w:pPr>
            <w:r>
              <w:rPr>
                <w:rFonts w:hint="eastAsia" w:ascii="宋体" w:hAnsi="宋体" w:eastAsia="宋体" w:cs="宋体"/>
                <w:bCs/>
                <w:szCs w:val="21"/>
                <w:lang w:eastAsia="zh-Hans"/>
              </w:rPr>
              <w:t>系统提供多角色支持，部分业务管理功能需要下放到学院管理员，具体要求如下：</w:t>
            </w:r>
          </w:p>
          <w:p w14:paraId="5822ED7B">
            <w:pPr>
              <w:spacing w:line="288" w:lineRule="auto"/>
              <w:ind w:firstLine="420" w:firstLineChars="200"/>
              <w:rPr>
                <w:rFonts w:ascii="宋体" w:hAnsi="宋体" w:eastAsia="宋体" w:cs="宋体"/>
                <w:bCs/>
                <w:szCs w:val="21"/>
                <w:lang w:eastAsia="zh-Hans"/>
              </w:rPr>
            </w:pPr>
            <w:r>
              <w:rPr>
                <w:rFonts w:hint="eastAsia" w:ascii="宋体" w:hAnsi="宋体" w:eastAsia="宋体" w:cs="宋体"/>
                <w:bCs/>
                <w:szCs w:val="21"/>
              </w:rPr>
              <w:t>（1）</w:t>
            </w:r>
            <w:r>
              <w:rPr>
                <w:rFonts w:hint="eastAsia" w:ascii="宋体" w:hAnsi="宋体" w:eastAsia="宋体" w:cs="宋体"/>
                <w:bCs/>
                <w:szCs w:val="21"/>
                <w:lang w:eastAsia="zh-Hans"/>
              </w:rPr>
              <w:t>学院管理员功能要求：</w:t>
            </w:r>
          </w:p>
          <w:p w14:paraId="726EAD7C">
            <w:pPr>
              <w:spacing w:line="288" w:lineRule="auto"/>
              <w:ind w:firstLine="420" w:firstLineChars="200"/>
              <w:rPr>
                <w:rFonts w:ascii="宋体" w:hAnsi="宋体" w:eastAsia="宋体" w:cs="宋体"/>
                <w:bCs/>
                <w:szCs w:val="21"/>
                <w:lang w:eastAsia="zh-Hans"/>
              </w:rPr>
            </w:pPr>
            <w:r>
              <w:rPr>
                <w:rFonts w:hint="eastAsia" w:ascii="宋体" w:hAnsi="宋体" w:eastAsia="宋体" w:cs="宋体"/>
                <w:bCs/>
                <w:szCs w:val="21"/>
                <w:lang w:eastAsia="zh-Hans"/>
              </w:rPr>
              <w:t>学院管理员可以配置课程属性，课程属性直接匹配上一学期的，譬如：实验课，一般理论课，体育课。</w:t>
            </w:r>
          </w:p>
          <w:p w14:paraId="049978D6">
            <w:pPr>
              <w:spacing w:line="288" w:lineRule="auto"/>
              <w:ind w:firstLine="420" w:firstLineChars="200"/>
              <w:rPr>
                <w:rFonts w:ascii="宋体" w:hAnsi="宋体" w:eastAsia="宋体" w:cs="宋体"/>
                <w:bCs/>
                <w:szCs w:val="21"/>
                <w:lang w:eastAsia="zh-Hans"/>
              </w:rPr>
            </w:pPr>
            <w:r>
              <w:rPr>
                <w:rFonts w:hint="eastAsia" w:ascii="宋体" w:hAnsi="宋体" w:eastAsia="宋体" w:cs="宋体"/>
                <w:bCs/>
                <w:szCs w:val="21"/>
                <w:lang w:eastAsia="zh-Hans"/>
              </w:rPr>
              <w:t>学院管理员可以设置课程不评教功能，学校开通时间控制功能。</w:t>
            </w:r>
          </w:p>
          <w:p w14:paraId="6E5D9ABC">
            <w:pPr>
              <w:spacing w:line="288" w:lineRule="auto"/>
              <w:ind w:firstLine="420" w:firstLineChars="200"/>
              <w:rPr>
                <w:rFonts w:ascii="宋体" w:hAnsi="宋体" w:eastAsia="宋体" w:cs="宋体"/>
                <w:bCs/>
                <w:szCs w:val="21"/>
                <w:lang w:eastAsia="zh-Hans"/>
              </w:rPr>
            </w:pPr>
            <w:r>
              <w:rPr>
                <w:rFonts w:hint="eastAsia" w:ascii="宋体" w:hAnsi="宋体" w:eastAsia="宋体" w:cs="宋体"/>
                <w:bCs/>
                <w:szCs w:val="21"/>
                <w:lang w:eastAsia="zh-Hans"/>
              </w:rPr>
              <w:t>学院管理员可以导入同行分，并进行修改，学校层面可以设定学院管理员身份并设定同行分录入功能的开放时间。同行分就高原则，如果出现两个以上同行分，系统里显示最高分并标注最高分来源哪个学院。</w:t>
            </w:r>
          </w:p>
          <w:p w14:paraId="4860CB0A">
            <w:pPr>
              <w:spacing w:line="288" w:lineRule="auto"/>
              <w:ind w:firstLine="420" w:firstLineChars="200"/>
              <w:rPr>
                <w:rFonts w:ascii="宋体" w:hAnsi="宋体" w:eastAsia="宋体" w:cs="宋体"/>
                <w:bCs/>
                <w:szCs w:val="21"/>
                <w:lang w:eastAsia="zh-Hans"/>
              </w:rPr>
            </w:pPr>
            <w:r>
              <w:rPr>
                <w:rFonts w:hint="eastAsia" w:ascii="宋体" w:hAnsi="宋体" w:eastAsia="宋体" w:cs="宋体"/>
                <w:bCs/>
                <w:szCs w:val="21"/>
                <w:lang w:eastAsia="zh-Hans"/>
              </w:rPr>
              <w:t>学院管理员可以看到自己</w:t>
            </w:r>
            <w:r>
              <w:rPr>
                <w:rFonts w:hint="eastAsia" w:ascii="宋体" w:hAnsi="宋体" w:eastAsia="宋体" w:cs="宋体"/>
                <w:bCs/>
                <w:szCs w:val="21"/>
              </w:rPr>
              <w:t>归属</w:t>
            </w:r>
            <w:r>
              <w:rPr>
                <w:rFonts w:hint="eastAsia" w:ascii="宋体" w:hAnsi="宋体" w:eastAsia="宋体" w:cs="宋体"/>
                <w:bCs/>
                <w:szCs w:val="21"/>
                <w:lang w:eastAsia="zh-Hans"/>
              </w:rPr>
              <w:t>学院所有任课教师的信息：包括学生评教分、自评分、同行分等评教信息，但不能修改。</w:t>
            </w:r>
          </w:p>
          <w:p w14:paraId="50CDAB6A">
            <w:pPr>
              <w:spacing w:line="288" w:lineRule="auto"/>
              <w:ind w:firstLine="420" w:firstLineChars="200"/>
              <w:rPr>
                <w:rFonts w:eastAsia="宋体" w:cs="Times New Roman"/>
                <w:lang w:val="en-US" w:eastAsia="zh-CN"/>
              </w:rPr>
            </w:pPr>
            <w:r>
              <w:rPr>
                <w:rFonts w:hint="eastAsia" w:ascii="宋体" w:hAnsi="宋体" w:eastAsia="宋体" w:cs="宋体"/>
                <w:bCs/>
                <w:szCs w:val="21"/>
              </w:rPr>
              <w:t>（2）</w:t>
            </w:r>
            <w:r>
              <w:rPr>
                <w:rFonts w:hint="eastAsia" w:ascii="宋体" w:hAnsi="宋体" w:eastAsia="宋体" w:cs="宋体"/>
                <w:bCs/>
                <w:szCs w:val="21"/>
                <w:lang w:eastAsia="zh-Hans"/>
              </w:rPr>
              <w:t>学校层面管理员功能要求：个别教师部门调整后可以修改部门归属</w:t>
            </w:r>
            <w:r>
              <w:rPr>
                <w:rFonts w:hint="eastAsia" w:ascii="宋体" w:hAnsi="宋体" w:eastAsia="宋体" w:cs="宋体"/>
                <w:bCs/>
                <w:szCs w:val="21"/>
              </w:rPr>
              <w:t>，此设置每学期自动保留，除非再次调整</w:t>
            </w:r>
            <w:r>
              <w:rPr>
                <w:rFonts w:hint="eastAsia" w:ascii="宋体" w:hAnsi="宋体" w:eastAsia="宋体" w:cs="宋体"/>
                <w:bCs/>
                <w:szCs w:val="21"/>
                <w:lang w:eastAsia="zh-Hans"/>
              </w:rPr>
              <w:t>。可以设置选择学院里不要求排名的教师名单，同时也可以根据综合成绩直接生成排名。</w:t>
            </w:r>
            <w:r>
              <w:rPr>
                <w:rFonts w:hint="eastAsia" w:ascii="宋体" w:hAnsi="宋体" w:eastAsia="宋体" w:cs="宋体"/>
                <w:bCs/>
                <w:szCs w:val="21"/>
              </w:rPr>
              <w:t>可以设置国际化专业的名单，此设置每学期自动保留。</w:t>
            </w:r>
          </w:p>
        </w:tc>
      </w:tr>
      <w:tr w14:paraId="613B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552C8D16">
            <w:pPr>
              <w:spacing w:line="288" w:lineRule="auto"/>
              <w:jc w:val="center"/>
              <w:rPr>
                <w:rFonts w:ascii="宋体" w:hAnsi="宋体" w:eastAsia="宋体" w:cs="宋体"/>
                <w:szCs w:val="21"/>
              </w:rPr>
            </w:pPr>
            <w:r>
              <w:rPr>
                <w:rFonts w:hint="eastAsia" w:ascii="宋体" w:hAnsi="宋体" w:eastAsia="宋体" w:cs="宋体"/>
                <w:szCs w:val="21"/>
              </w:rPr>
              <w:t>1.4</w:t>
            </w:r>
          </w:p>
        </w:tc>
        <w:tc>
          <w:tcPr>
            <w:tcW w:w="906" w:type="pct"/>
            <w:vAlign w:val="center"/>
          </w:tcPr>
          <w:p w14:paraId="2D253F30">
            <w:pPr>
              <w:spacing w:line="288" w:lineRule="auto"/>
              <w:jc w:val="center"/>
              <w:rPr>
                <w:rFonts w:ascii="宋体" w:hAnsi="宋体" w:eastAsia="宋体" w:cs="宋体"/>
                <w:szCs w:val="21"/>
              </w:rPr>
            </w:pPr>
            <w:r>
              <w:rPr>
                <w:rFonts w:hint="eastAsia" w:ascii="宋体" w:hAnsi="宋体" w:eastAsia="宋体" w:cs="宋体"/>
                <w:szCs w:val="21"/>
              </w:rPr>
              <w:t>“浙科智学”多维数据驾驶舱</w:t>
            </w:r>
          </w:p>
          <w:p w14:paraId="1FE6D7C3">
            <w:pPr>
              <w:spacing w:line="288" w:lineRule="auto"/>
              <w:jc w:val="center"/>
              <w:rPr>
                <w:rFonts w:ascii="宋体" w:hAnsi="宋体" w:eastAsia="宋体" w:cs="宋体"/>
                <w:szCs w:val="21"/>
              </w:rPr>
            </w:pPr>
          </w:p>
        </w:tc>
        <w:tc>
          <w:tcPr>
            <w:tcW w:w="307" w:type="pct"/>
            <w:vAlign w:val="center"/>
          </w:tcPr>
          <w:p w14:paraId="4A5BAD4C">
            <w:pPr>
              <w:spacing w:line="288" w:lineRule="auto"/>
              <w:jc w:val="center"/>
              <w:rPr>
                <w:rFonts w:ascii="宋体" w:hAnsi="宋体" w:eastAsia="宋体" w:cs="宋体"/>
                <w:szCs w:val="21"/>
              </w:rPr>
            </w:pPr>
            <w:r>
              <w:rPr>
                <w:rFonts w:hint="eastAsia" w:ascii="宋体" w:hAnsi="宋体" w:eastAsia="宋体" w:cs="宋体"/>
                <w:szCs w:val="21"/>
              </w:rPr>
              <w:t>1</w:t>
            </w:r>
          </w:p>
        </w:tc>
        <w:tc>
          <w:tcPr>
            <w:tcW w:w="288" w:type="pct"/>
            <w:vAlign w:val="center"/>
          </w:tcPr>
          <w:p w14:paraId="2332793D">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26E3054C">
            <w:pPr>
              <w:widowControl w:val="0"/>
              <w:autoSpaceDE w:val="0"/>
              <w:autoSpaceDN w:val="0"/>
              <w:adjustRightInd w:val="0"/>
              <w:spacing w:line="288" w:lineRule="auto"/>
              <w:rPr>
                <w:rFonts w:ascii="宋体" w:hAnsi="宋体" w:eastAsia="宋体" w:cs="宋体"/>
                <w:color w:val="000000"/>
                <w:sz w:val="21"/>
                <w:szCs w:val="21"/>
                <w:highlight w:val="green"/>
                <w:lang w:val="en-US" w:eastAsia="zh-CN" w:bidi="ar-SA"/>
              </w:rPr>
            </w:pPr>
            <w:r>
              <w:rPr>
                <w:rFonts w:hint="eastAsia" w:ascii="宋体" w:hAnsi="宋体" w:eastAsia="宋体" w:cs="宋体"/>
                <w:color w:val="000000"/>
                <w:sz w:val="21"/>
                <w:szCs w:val="21"/>
                <w:lang w:val="en-US" w:eastAsia="zh-CN" w:bidi="ar-SA"/>
              </w:rPr>
              <w:t>提供教学大数据分析与监控系统。从不同用户角度对教学过程中各个环节的数据进行跟踪分析，利用数据发现问题实时反馈教学。有效整合在教学过程中产生的过程性数据，建立大数据中心，为管理者提供学生总体学习情况监控，数据信息实时反馈，解决学校的信息孤岛、数据互联和资源共享的问题。开展专业需求数据分析，展示专业人才培养计划。支持按地区、行业类型、企业类型查看专业需求信息，包括需求数量、能力要求等。以词云形式展示专业对应岗位的能力需求，并以列表形式对各项能力的需求占比进行排名。支持按专业溯源对应岗位的招聘信息。支持通过输入专业名称、院校名称、院系名称等关键词可查找对应人才培养方案，提供的人培方案文件包含985、211等高校。进而提升专业建设质量，优化资源配置，通过实时监控、评估教学行为，提供精准反馈，帮助教师改进教学方法；具有自动化分配、智能评估等功能。支持查看全校学生画像，查看学生个人画像。画像包含学生整体学习情况，通过雷达图展示学生学习能力。支持查看学生所参与课程的情况和学习轨迹，支持展示当前学生当天网络课程互动情况。支持ai学生成绩评价，根据学生学习数据进行学生成绩综合评价，分析学生学习优势及潜力，并提供挂科、签到旷课等异常行为预警。</w:t>
            </w:r>
          </w:p>
        </w:tc>
      </w:tr>
      <w:tr w14:paraId="2580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5728B562">
            <w:pPr>
              <w:spacing w:line="288" w:lineRule="auto"/>
              <w:jc w:val="center"/>
              <w:rPr>
                <w:rFonts w:ascii="宋体" w:hAnsi="宋体" w:eastAsia="宋体" w:cs="宋体"/>
                <w:szCs w:val="21"/>
              </w:rPr>
            </w:pPr>
            <w:r>
              <w:rPr>
                <w:rFonts w:hint="eastAsia" w:ascii="宋体" w:hAnsi="宋体" w:eastAsia="宋体" w:cs="宋体"/>
                <w:szCs w:val="21"/>
              </w:rPr>
              <w:t>1.5</w:t>
            </w:r>
          </w:p>
        </w:tc>
        <w:tc>
          <w:tcPr>
            <w:tcW w:w="906" w:type="pct"/>
            <w:vAlign w:val="center"/>
          </w:tcPr>
          <w:p w14:paraId="2E38727C">
            <w:pPr>
              <w:spacing w:line="288" w:lineRule="auto"/>
              <w:jc w:val="center"/>
              <w:rPr>
                <w:rFonts w:ascii="宋体" w:hAnsi="宋体" w:eastAsia="宋体" w:cs="宋体"/>
                <w:szCs w:val="21"/>
              </w:rPr>
            </w:pPr>
            <w:r>
              <w:rPr>
                <w:rFonts w:hint="eastAsia" w:ascii="宋体" w:hAnsi="宋体" w:eastAsia="宋体" w:cs="宋体"/>
                <w:szCs w:val="21"/>
              </w:rPr>
              <w:t>“浙科智学”AI教务问答系统</w:t>
            </w:r>
          </w:p>
        </w:tc>
        <w:tc>
          <w:tcPr>
            <w:tcW w:w="307" w:type="pct"/>
            <w:vAlign w:val="center"/>
          </w:tcPr>
          <w:p w14:paraId="78ADA518">
            <w:pPr>
              <w:spacing w:line="288" w:lineRule="auto"/>
              <w:jc w:val="center"/>
              <w:rPr>
                <w:rFonts w:ascii="宋体" w:hAnsi="宋体" w:eastAsia="宋体" w:cs="宋体"/>
                <w:szCs w:val="21"/>
              </w:rPr>
            </w:pPr>
            <w:r>
              <w:rPr>
                <w:rFonts w:hint="eastAsia" w:ascii="宋体" w:hAnsi="宋体" w:eastAsia="宋体" w:cs="宋体"/>
                <w:szCs w:val="21"/>
              </w:rPr>
              <w:t>1</w:t>
            </w:r>
          </w:p>
        </w:tc>
        <w:tc>
          <w:tcPr>
            <w:tcW w:w="288" w:type="pct"/>
            <w:vAlign w:val="center"/>
          </w:tcPr>
          <w:p w14:paraId="7D9CFF13">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208918B5">
            <w:pPr>
              <w:spacing w:line="288" w:lineRule="auto"/>
              <w:rPr>
                <w:rFonts w:ascii="宋体" w:hAnsi="宋体" w:eastAsia="宋体" w:cs="宋体"/>
                <w:szCs w:val="21"/>
              </w:rPr>
            </w:pPr>
            <w:r>
              <w:rPr>
                <w:rFonts w:hint="eastAsia" w:ascii="宋体" w:hAnsi="宋体" w:eastAsia="宋体" w:cs="宋体"/>
                <w:szCs w:val="21"/>
              </w:rPr>
              <w:t>通过AI教务问答互动交流方式，创新管理方式，提升服务能力。构建校本教务知识库进行训练，实现教学相关问题智能问答，提供随时随地全天候不间断的服务，师生通过简单的语音或文字输入，即可获取所需信息，提供教学一站式指导。定制化“教务君”形象设计，融合于教务处官网、官微等信息发布平台。解决重复问题解答，业务办理入口难寻，政策文件不明等问题。任务流编辑支持设定功能节点，至少包含大模型、知识库、输入、输出、业务节点嵌入、文本处理等7种及以上功能节点。节点内可设置参数，大模型支持选择至少3种以上通用大模型或教育垂类大模型，可自由拖拽排布任务流，设置完成后支持试运行查看效果。</w:t>
            </w:r>
          </w:p>
        </w:tc>
      </w:tr>
      <w:tr w14:paraId="2AB0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673CD48A">
            <w:pPr>
              <w:spacing w:line="288" w:lineRule="auto"/>
              <w:jc w:val="center"/>
              <w:rPr>
                <w:rFonts w:ascii="宋体" w:hAnsi="宋体" w:eastAsia="宋体" w:cs="宋体"/>
                <w:szCs w:val="21"/>
              </w:rPr>
            </w:pPr>
            <w:r>
              <w:rPr>
                <w:rFonts w:hint="eastAsia" w:ascii="宋体" w:hAnsi="宋体" w:eastAsia="宋体" w:cs="宋体"/>
                <w:szCs w:val="21"/>
              </w:rPr>
              <w:t>1.6</w:t>
            </w:r>
          </w:p>
        </w:tc>
        <w:tc>
          <w:tcPr>
            <w:tcW w:w="906" w:type="pct"/>
            <w:vAlign w:val="center"/>
          </w:tcPr>
          <w:p w14:paraId="0AFCBE88">
            <w:pPr>
              <w:spacing w:line="288" w:lineRule="auto"/>
              <w:jc w:val="center"/>
              <w:rPr>
                <w:rFonts w:ascii="宋体" w:hAnsi="宋体" w:eastAsia="宋体" w:cs="宋体"/>
                <w:szCs w:val="21"/>
              </w:rPr>
            </w:pPr>
            <w:r>
              <w:rPr>
                <w:rFonts w:hint="eastAsia" w:ascii="宋体" w:hAnsi="宋体" w:eastAsia="宋体" w:cs="宋体"/>
                <w:szCs w:val="21"/>
              </w:rPr>
              <w:t>“浙科智学”安全监测系统</w:t>
            </w:r>
          </w:p>
        </w:tc>
        <w:tc>
          <w:tcPr>
            <w:tcW w:w="307" w:type="pct"/>
            <w:vAlign w:val="center"/>
          </w:tcPr>
          <w:p w14:paraId="46E7C1B9">
            <w:pPr>
              <w:spacing w:line="288" w:lineRule="auto"/>
              <w:jc w:val="center"/>
              <w:rPr>
                <w:rFonts w:ascii="宋体" w:hAnsi="宋体" w:eastAsia="宋体" w:cs="宋体"/>
                <w:szCs w:val="21"/>
              </w:rPr>
            </w:pPr>
            <w:r>
              <w:rPr>
                <w:rFonts w:hint="eastAsia" w:ascii="宋体" w:hAnsi="宋体" w:eastAsia="宋体" w:cs="宋体"/>
                <w:szCs w:val="21"/>
              </w:rPr>
              <w:t>1</w:t>
            </w:r>
          </w:p>
        </w:tc>
        <w:tc>
          <w:tcPr>
            <w:tcW w:w="288" w:type="pct"/>
            <w:vAlign w:val="center"/>
          </w:tcPr>
          <w:p w14:paraId="7C1EBA6E">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4CC408D9">
            <w:pPr>
              <w:spacing w:line="288" w:lineRule="auto"/>
              <w:rPr>
                <w:rFonts w:ascii="宋体" w:hAnsi="宋体" w:eastAsia="宋体" w:cs="宋体"/>
                <w:szCs w:val="21"/>
              </w:rPr>
            </w:pPr>
            <w:r>
              <w:rPr>
                <w:rFonts w:hint="eastAsia" w:ascii="宋体" w:hAnsi="宋体" w:eastAsia="宋体" w:cs="宋体"/>
                <w:szCs w:val="21"/>
              </w:rPr>
              <w:t>提供AI安全检测能力，包括图片在线检测、文本在线检测、视频在线检测、文档在线检测及文本纠错等功能，确保内容安全性。多模态内容自动化审核与智能评估，支持不当言论和舆情监控、敏感词汇过滤，实现自动化运维和智能监控。</w:t>
            </w:r>
          </w:p>
        </w:tc>
      </w:tr>
      <w:tr w14:paraId="3BD4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58A7FD50">
            <w:pPr>
              <w:spacing w:line="288" w:lineRule="auto"/>
              <w:jc w:val="center"/>
              <w:rPr>
                <w:rFonts w:ascii="宋体" w:hAnsi="宋体" w:eastAsia="宋体" w:cs="宋体"/>
                <w:szCs w:val="21"/>
              </w:rPr>
            </w:pPr>
            <w:r>
              <w:rPr>
                <w:rFonts w:hint="eastAsia" w:ascii="宋体" w:hAnsi="宋体" w:eastAsia="宋体" w:cs="宋体"/>
                <w:szCs w:val="21"/>
              </w:rPr>
              <w:t>1.7</w:t>
            </w:r>
          </w:p>
        </w:tc>
        <w:tc>
          <w:tcPr>
            <w:tcW w:w="906" w:type="pct"/>
            <w:vAlign w:val="center"/>
          </w:tcPr>
          <w:p w14:paraId="1812B949">
            <w:pPr>
              <w:spacing w:line="288" w:lineRule="auto"/>
              <w:jc w:val="center"/>
              <w:rPr>
                <w:rFonts w:ascii="宋体" w:hAnsi="宋体" w:eastAsia="宋体" w:cs="宋体"/>
                <w:szCs w:val="21"/>
              </w:rPr>
            </w:pPr>
            <w:r>
              <w:rPr>
                <w:rFonts w:hint="eastAsia" w:ascii="宋体" w:hAnsi="宋体" w:eastAsia="宋体" w:cs="宋体"/>
                <w:szCs w:val="21"/>
              </w:rPr>
              <w:t>“浙科智学”集中控制平台</w:t>
            </w:r>
          </w:p>
        </w:tc>
        <w:tc>
          <w:tcPr>
            <w:tcW w:w="307" w:type="pct"/>
            <w:vAlign w:val="center"/>
          </w:tcPr>
          <w:p w14:paraId="4FC79E4C">
            <w:pPr>
              <w:spacing w:line="288" w:lineRule="auto"/>
              <w:jc w:val="center"/>
              <w:rPr>
                <w:rFonts w:ascii="宋体" w:hAnsi="宋体" w:eastAsia="宋体" w:cs="宋体"/>
                <w:szCs w:val="21"/>
              </w:rPr>
            </w:pPr>
            <w:r>
              <w:rPr>
                <w:rFonts w:hint="eastAsia" w:ascii="宋体" w:hAnsi="宋体" w:eastAsia="宋体" w:cs="宋体"/>
                <w:szCs w:val="21"/>
              </w:rPr>
              <w:t>1</w:t>
            </w:r>
          </w:p>
        </w:tc>
        <w:tc>
          <w:tcPr>
            <w:tcW w:w="288" w:type="pct"/>
            <w:vAlign w:val="center"/>
          </w:tcPr>
          <w:p w14:paraId="4F4E09C4">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61CC14C9">
            <w:pPr>
              <w:spacing w:line="288" w:lineRule="auto"/>
              <w:rPr>
                <w:rFonts w:ascii="宋体" w:hAnsi="宋体" w:eastAsia="宋体" w:cs="宋体"/>
                <w:szCs w:val="21"/>
              </w:rPr>
            </w:pPr>
            <w:r>
              <w:rPr>
                <w:rFonts w:hint="eastAsia" w:ascii="宋体" w:hAnsi="宋体" w:eastAsia="宋体" w:cs="宋体"/>
                <w:szCs w:val="21"/>
              </w:rPr>
              <w:t>实现教室的可视化远程管理，远程控制终端开关、大屏。便于学校对大规模教室进行集中统一管控。实现设备故障自动提醒告警、在线处理等。</w:t>
            </w:r>
          </w:p>
        </w:tc>
      </w:tr>
      <w:tr w14:paraId="5E5F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5ACD571C">
            <w:pPr>
              <w:spacing w:line="288" w:lineRule="auto"/>
              <w:jc w:val="center"/>
              <w:rPr>
                <w:rFonts w:ascii="宋体" w:hAnsi="宋体" w:eastAsia="宋体" w:cs="宋体"/>
                <w:szCs w:val="21"/>
              </w:rPr>
            </w:pPr>
            <w:r>
              <w:rPr>
                <w:rFonts w:hint="eastAsia" w:ascii="宋体" w:hAnsi="宋体" w:eastAsia="宋体" w:cs="宋体"/>
                <w:szCs w:val="21"/>
              </w:rPr>
              <w:t>1.8</w:t>
            </w:r>
          </w:p>
        </w:tc>
        <w:tc>
          <w:tcPr>
            <w:tcW w:w="906" w:type="pct"/>
            <w:vAlign w:val="center"/>
          </w:tcPr>
          <w:p w14:paraId="33BD9A2D">
            <w:pPr>
              <w:spacing w:line="288" w:lineRule="auto"/>
              <w:jc w:val="center"/>
              <w:rPr>
                <w:rFonts w:ascii="宋体" w:hAnsi="宋体" w:eastAsia="宋体" w:cs="宋体"/>
                <w:szCs w:val="21"/>
              </w:rPr>
            </w:pPr>
            <w:r>
              <w:rPr>
                <w:rFonts w:hint="eastAsia" w:ascii="宋体" w:hAnsi="宋体" w:eastAsia="宋体" w:cs="宋体"/>
                <w:szCs w:val="21"/>
              </w:rPr>
              <w:t>定制化“浙科智学”数字化教学平台门户登录首页</w:t>
            </w:r>
          </w:p>
        </w:tc>
        <w:tc>
          <w:tcPr>
            <w:tcW w:w="307" w:type="pct"/>
            <w:vAlign w:val="center"/>
          </w:tcPr>
          <w:p w14:paraId="5E2FE45C">
            <w:pPr>
              <w:spacing w:line="288" w:lineRule="auto"/>
              <w:jc w:val="center"/>
              <w:rPr>
                <w:rFonts w:ascii="宋体" w:hAnsi="宋体" w:eastAsia="宋体" w:cs="宋体"/>
                <w:szCs w:val="21"/>
              </w:rPr>
            </w:pPr>
            <w:r>
              <w:rPr>
                <w:rFonts w:hint="eastAsia" w:ascii="宋体" w:hAnsi="宋体" w:eastAsia="宋体" w:cs="宋体"/>
                <w:szCs w:val="21"/>
              </w:rPr>
              <w:t>1</w:t>
            </w:r>
          </w:p>
        </w:tc>
        <w:tc>
          <w:tcPr>
            <w:tcW w:w="288" w:type="pct"/>
            <w:vAlign w:val="center"/>
          </w:tcPr>
          <w:p w14:paraId="1EABBA5F">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050ABFD5">
            <w:pPr>
              <w:spacing w:line="288" w:lineRule="auto"/>
              <w:rPr>
                <w:rFonts w:ascii="宋体" w:hAnsi="宋体" w:eastAsia="宋体" w:cs="宋体"/>
                <w:szCs w:val="21"/>
              </w:rPr>
            </w:pPr>
            <w:r>
              <w:rPr>
                <w:rFonts w:hint="eastAsia" w:ascii="宋体" w:hAnsi="宋体" w:eastAsia="宋体" w:cs="宋体"/>
                <w:szCs w:val="21"/>
              </w:rPr>
              <w:t>定制化设计“浙科智学”数字化教学平台门户登录首页，集成智慧课程平台、直录播平台、巡课督导平台、AI教务问答系统、多维数据驾驶舱、安全监测系统、集中控制平台等子系统。功能权限根据不同角色个性化配置。集成统一身份认证系统，实现一次登录多平台使用，一站式访问。</w:t>
            </w:r>
          </w:p>
        </w:tc>
      </w:tr>
      <w:tr w14:paraId="67A6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47A8FE6D">
            <w:pPr>
              <w:spacing w:line="288" w:lineRule="auto"/>
              <w:jc w:val="center"/>
              <w:rPr>
                <w:rFonts w:ascii="宋体" w:hAnsi="宋体" w:eastAsia="宋体" w:cs="宋体"/>
                <w:szCs w:val="21"/>
              </w:rPr>
            </w:pPr>
            <w:r>
              <w:rPr>
                <w:rFonts w:hint="eastAsia" w:ascii="宋体" w:hAnsi="宋体" w:eastAsia="宋体" w:cs="宋体"/>
                <w:szCs w:val="21"/>
              </w:rPr>
              <w:t>1.9</w:t>
            </w:r>
          </w:p>
        </w:tc>
        <w:tc>
          <w:tcPr>
            <w:tcW w:w="906" w:type="pct"/>
            <w:vAlign w:val="center"/>
          </w:tcPr>
          <w:p w14:paraId="65522FC5">
            <w:pPr>
              <w:spacing w:line="288" w:lineRule="auto"/>
              <w:jc w:val="center"/>
              <w:rPr>
                <w:rFonts w:ascii="宋体" w:hAnsi="宋体" w:eastAsia="宋体" w:cs="宋体"/>
                <w:szCs w:val="21"/>
              </w:rPr>
            </w:pPr>
            <w:r>
              <w:rPr>
                <w:rFonts w:hint="eastAsia" w:ascii="宋体" w:hAnsi="宋体" w:eastAsia="宋体" w:cs="宋体"/>
                <w:szCs w:val="21"/>
              </w:rPr>
              <w:t>课堂直录播专用教师摄像机1</w:t>
            </w:r>
          </w:p>
        </w:tc>
        <w:tc>
          <w:tcPr>
            <w:tcW w:w="307" w:type="pct"/>
            <w:vAlign w:val="center"/>
          </w:tcPr>
          <w:p w14:paraId="36AFA0A7">
            <w:pPr>
              <w:spacing w:line="288" w:lineRule="auto"/>
              <w:jc w:val="center"/>
              <w:rPr>
                <w:rFonts w:ascii="宋体" w:hAnsi="宋体" w:eastAsia="宋体" w:cs="宋体"/>
                <w:szCs w:val="21"/>
              </w:rPr>
            </w:pPr>
            <w:r>
              <w:rPr>
                <w:rFonts w:hint="eastAsia" w:ascii="宋体" w:hAnsi="宋体" w:eastAsia="宋体" w:cs="宋体"/>
                <w:szCs w:val="21"/>
              </w:rPr>
              <w:t>8</w:t>
            </w:r>
          </w:p>
        </w:tc>
        <w:tc>
          <w:tcPr>
            <w:tcW w:w="288" w:type="pct"/>
            <w:vAlign w:val="center"/>
          </w:tcPr>
          <w:p w14:paraId="1AA6622D">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026572C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1.单台摄像机集成了特写、全景两个镜头，内置图像识别和跟踪算法，无需任何辅助定位摄像机或跟踪主机即可实现平滑自然的跟踪效果，可实现教师跟踪。可同时输出全景和特写画面。</w:t>
            </w:r>
          </w:p>
          <w:p w14:paraId="2FB38149">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2.特写镜头采用微型机械云台设计，水平转动范围可达±40°，支持自动聚焦，支持EPTZ功能，至少支持3X数字变焦。</w:t>
            </w:r>
          </w:p>
          <w:p w14:paraId="501AD90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3.支持PoE视频输出接口，电源、视频、音频、控制四线合一。</w:t>
            </w:r>
          </w:p>
          <w:p w14:paraId="36E2D82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4.支持4K超高清分辨率图像，可提供4K图像编码输出，同时向下兼容1080p，720p等分辨率。</w:t>
            </w:r>
          </w:p>
          <w:p w14:paraId="1D40ABA0">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5.特写摄像机传感器要求：≥1/2.7英寸，CMOS，有效像素：≥800万逐行，全景摄像机传感器要求≥1/2.7英寸，CMOS, 有效像素：≥400万逐行。</w:t>
            </w:r>
          </w:p>
          <w:p w14:paraId="29A6385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6.支持多种白平衡方式供选择，包括自动，室内，室外，一键式，手动，指定色温。</w:t>
            </w:r>
          </w:p>
          <w:p w14:paraId="7359D30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7.支持网口视频编码输出，支持 H.264 /265/ MJPEG视频编码标准；支持TCP/IP, HTTP, RTSP, RTMP, Onvif, DHCP等网络协议。</w:t>
            </w:r>
          </w:p>
          <w:p w14:paraId="5759DA9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8.具有2D和3D降噪算法，降低图像噪声，图像信噪比≥55dB。</w:t>
            </w:r>
          </w:p>
          <w:p w14:paraId="2AB76B4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9.特写镜头最低照度0.5 Lux @ (F2.4, AGC ON)全景镜头最低照度0.5 Lux @ (F2.2, AGC ON)；0.5 Lux @ (F2.4, AGC ON)）。</w:t>
            </w:r>
          </w:p>
          <w:p w14:paraId="2EA08378">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10.支持网络对摄像机进行控制，支持VISCA/Pelco-D/Pelco-P协议。</w:t>
            </w:r>
          </w:p>
        </w:tc>
      </w:tr>
      <w:tr w14:paraId="29DF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3D4962D4">
            <w:pPr>
              <w:spacing w:line="288" w:lineRule="auto"/>
              <w:jc w:val="center"/>
              <w:rPr>
                <w:rFonts w:ascii="宋体" w:hAnsi="宋体" w:eastAsia="宋体" w:cs="宋体"/>
                <w:szCs w:val="21"/>
              </w:rPr>
            </w:pPr>
            <w:r>
              <w:rPr>
                <w:rFonts w:hint="eastAsia" w:ascii="宋体" w:hAnsi="宋体" w:eastAsia="宋体" w:cs="宋体"/>
                <w:szCs w:val="21"/>
              </w:rPr>
              <w:t>1.10</w:t>
            </w:r>
          </w:p>
        </w:tc>
        <w:tc>
          <w:tcPr>
            <w:tcW w:w="906" w:type="pct"/>
            <w:vAlign w:val="center"/>
          </w:tcPr>
          <w:p w14:paraId="2C1ED969">
            <w:pPr>
              <w:spacing w:line="288" w:lineRule="auto"/>
              <w:jc w:val="center"/>
              <w:rPr>
                <w:rFonts w:ascii="宋体" w:hAnsi="宋体" w:eastAsia="宋体" w:cs="宋体"/>
                <w:szCs w:val="21"/>
              </w:rPr>
            </w:pPr>
            <w:r>
              <w:rPr>
                <w:rFonts w:hint="eastAsia" w:ascii="宋体" w:hAnsi="宋体" w:eastAsia="宋体" w:cs="宋体"/>
                <w:szCs w:val="21"/>
              </w:rPr>
              <w:t>课堂直录播专用教师摄像机2</w:t>
            </w:r>
          </w:p>
        </w:tc>
        <w:tc>
          <w:tcPr>
            <w:tcW w:w="307" w:type="pct"/>
            <w:vAlign w:val="center"/>
          </w:tcPr>
          <w:p w14:paraId="017F6EEE">
            <w:pPr>
              <w:spacing w:line="288" w:lineRule="auto"/>
              <w:jc w:val="center"/>
              <w:rPr>
                <w:rFonts w:ascii="宋体" w:hAnsi="宋体" w:eastAsia="宋体" w:cs="宋体"/>
                <w:szCs w:val="21"/>
              </w:rPr>
            </w:pPr>
            <w:r>
              <w:rPr>
                <w:rFonts w:hint="eastAsia" w:ascii="宋体" w:hAnsi="宋体" w:eastAsia="宋体" w:cs="宋体"/>
                <w:szCs w:val="21"/>
              </w:rPr>
              <w:t>133</w:t>
            </w:r>
          </w:p>
        </w:tc>
        <w:tc>
          <w:tcPr>
            <w:tcW w:w="288" w:type="pct"/>
            <w:vAlign w:val="center"/>
          </w:tcPr>
          <w:p w14:paraId="675D553C">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364FCDF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1.≥800万像素1/2.8英寸4KCMOS传感器；</w:t>
            </w:r>
          </w:p>
          <w:p w14:paraId="6B7EC38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2.支持30帧的网络H.265/H.264视频输出；</w:t>
            </w:r>
          </w:p>
          <w:p w14:paraId="51E79DFA">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3.单镜头可输出全景和特写两个景别；</w:t>
            </w:r>
          </w:p>
          <w:p w14:paraId="3968F519">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4.支持4码流，即特写双码流和全景双码流，并可支持特写和全景同时RTMP推流；</w:t>
            </w:r>
          </w:p>
          <w:p w14:paraId="7747FC8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5.具备RJ45网口，支持POE功能，可同时输出全景和特写两个景别的高清视频；</w:t>
            </w:r>
          </w:p>
          <w:p w14:paraId="49C9D44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6.支持老师跟踪，人脸识别+运动检测，单摄像机同时实现全景景别和跟踪特写景别拍摄。支持多种跟踪模式。支持多速度等级的电子云台控制；</w:t>
            </w:r>
          </w:p>
          <w:p w14:paraId="763A0ABA">
            <w:pPr>
              <w:spacing w:line="288" w:lineRule="auto"/>
              <w:rPr>
                <w:rFonts w:ascii="宋体" w:hAnsi="宋体" w:eastAsia="宋体" w:cs="宋体"/>
                <w:szCs w:val="21"/>
              </w:rPr>
            </w:pPr>
            <w:r>
              <w:rPr>
                <w:rFonts w:hint="eastAsia" w:ascii="宋体" w:hAnsi="宋体" w:eastAsia="宋体" w:cs="宋体"/>
                <w:kern w:val="0"/>
                <w:szCs w:val="21"/>
                <w:lang w:bidi="ar"/>
              </w:rPr>
              <w:t>7.支持数字变焦、自动增益、自动白平衡等功能。</w:t>
            </w:r>
          </w:p>
        </w:tc>
      </w:tr>
      <w:tr w14:paraId="6612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1BAAC4B0">
            <w:pPr>
              <w:spacing w:line="288" w:lineRule="auto"/>
              <w:jc w:val="center"/>
              <w:rPr>
                <w:rFonts w:ascii="宋体" w:hAnsi="宋体" w:eastAsia="宋体" w:cs="宋体"/>
                <w:szCs w:val="21"/>
              </w:rPr>
            </w:pPr>
            <w:r>
              <w:rPr>
                <w:rFonts w:hint="eastAsia" w:ascii="宋体" w:hAnsi="宋体" w:eastAsia="宋体" w:cs="宋体"/>
                <w:szCs w:val="21"/>
              </w:rPr>
              <w:t>1.11</w:t>
            </w:r>
          </w:p>
        </w:tc>
        <w:tc>
          <w:tcPr>
            <w:tcW w:w="906" w:type="pct"/>
            <w:vAlign w:val="center"/>
          </w:tcPr>
          <w:p w14:paraId="16B96C8C">
            <w:pPr>
              <w:spacing w:line="288" w:lineRule="auto"/>
              <w:jc w:val="center"/>
              <w:rPr>
                <w:rFonts w:ascii="宋体" w:hAnsi="宋体" w:eastAsia="宋体" w:cs="宋体"/>
                <w:szCs w:val="21"/>
              </w:rPr>
            </w:pPr>
            <w:r>
              <w:rPr>
                <w:rFonts w:hint="eastAsia" w:ascii="宋体" w:hAnsi="宋体" w:eastAsia="宋体" w:cs="宋体"/>
                <w:szCs w:val="21"/>
              </w:rPr>
              <w:t>学生摄像机1</w:t>
            </w:r>
          </w:p>
        </w:tc>
        <w:tc>
          <w:tcPr>
            <w:tcW w:w="307" w:type="pct"/>
            <w:vAlign w:val="center"/>
          </w:tcPr>
          <w:p w14:paraId="7AA4953B">
            <w:pPr>
              <w:spacing w:line="288" w:lineRule="auto"/>
              <w:jc w:val="center"/>
              <w:rPr>
                <w:rFonts w:ascii="宋体" w:hAnsi="宋体" w:eastAsia="宋体" w:cs="宋体"/>
                <w:szCs w:val="21"/>
              </w:rPr>
            </w:pPr>
            <w:r>
              <w:rPr>
                <w:rFonts w:hint="eastAsia" w:ascii="宋体" w:hAnsi="宋体" w:eastAsia="宋体" w:cs="宋体"/>
                <w:szCs w:val="21"/>
              </w:rPr>
              <w:t>8</w:t>
            </w:r>
          </w:p>
        </w:tc>
        <w:tc>
          <w:tcPr>
            <w:tcW w:w="288" w:type="pct"/>
            <w:vAlign w:val="center"/>
          </w:tcPr>
          <w:p w14:paraId="560F6374">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19C4A548">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1.单台摄像机集成了特写、全景两个镜头，内置图像识别和跟踪算法，无需任何辅助定位摄像机或跟踪主机即可实现平滑自然的跟踪效果，可实现教师跟踪。可同时输出全景和特写画面。</w:t>
            </w:r>
          </w:p>
          <w:p w14:paraId="3AAE1864">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2.特写镜头采用微型机械云台设计，水平转动范围可达±40°，支持自动聚焦，支持EPTZ功能，至少支持3X数字变焦。</w:t>
            </w:r>
          </w:p>
          <w:p w14:paraId="5B55B230">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3.支持PoE视频输出接口，电源、视频、音频、控制四线合一。</w:t>
            </w:r>
          </w:p>
          <w:p w14:paraId="1C6B0E95">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4.支持4K超高清分辨率图像，可提供4K图像编码输出，同时向下兼容1080p，720p等分辨率。</w:t>
            </w:r>
          </w:p>
          <w:p w14:paraId="34B40115">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5.特写摄像机传感器要求：≥1/2.7英寸, CMOS, 有效像素：≥800万逐行，全景摄像机传感器要求1/2.7英寸，CMOS，有效像素：≥400万逐行。</w:t>
            </w:r>
          </w:p>
          <w:p w14:paraId="3C90FC8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6.支持多种白平衡方式供选择，包括自动，室内，室外，一键式，手动，指定色温。</w:t>
            </w:r>
          </w:p>
          <w:p w14:paraId="29516B72">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7.支持网口视频编码输出，支持 H.264 /265/ MJPEG视频编码标准；支持TCP/IP, HTTP, RTSP, RTMP, Onvif, DHCP等网络协议。</w:t>
            </w:r>
          </w:p>
          <w:p w14:paraId="4F78BBB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8.具有2D和3D降噪算法，降低图像噪声，图像信噪比≥55dB。</w:t>
            </w:r>
          </w:p>
          <w:p w14:paraId="177A3099">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9.特写镜头最低照度0.5 Lux @ (F2.4, AGC ON)全景镜头最低照度0.5 Lux @ (F2.2, AGC ON)；0.5 Lux @ (F2.4, AGC ON)）。</w:t>
            </w:r>
          </w:p>
          <w:p w14:paraId="05E9A4A5">
            <w:pPr>
              <w:spacing w:line="288" w:lineRule="auto"/>
              <w:rPr>
                <w:rFonts w:ascii="宋体" w:hAnsi="宋体" w:eastAsia="宋体" w:cs="宋体"/>
                <w:szCs w:val="21"/>
              </w:rPr>
            </w:pPr>
            <w:r>
              <w:rPr>
                <w:rFonts w:hint="eastAsia" w:ascii="宋体" w:hAnsi="宋体" w:eastAsia="宋体" w:cs="宋体"/>
                <w:kern w:val="0"/>
                <w:szCs w:val="21"/>
                <w:lang w:bidi="ar"/>
              </w:rPr>
              <w:t>10.支持网络对摄像机进行控制，支持VISCA/Pelco-D/Pelco-P协议。</w:t>
            </w:r>
          </w:p>
        </w:tc>
      </w:tr>
      <w:tr w14:paraId="2C86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31045C70">
            <w:pPr>
              <w:spacing w:line="288" w:lineRule="auto"/>
              <w:jc w:val="center"/>
              <w:rPr>
                <w:rFonts w:ascii="宋体" w:hAnsi="宋体" w:eastAsia="宋体" w:cs="宋体"/>
                <w:szCs w:val="21"/>
              </w:rPr>
            </w:pPr>
            <w:r>
              <w:rPr>
                <w:rFonts w:hint="eastAsia" w:ascii="宋体" w:hAnsi="宋体" w:eastAsia="宋体" w:cs="宋体"/>
                <w:szCs w:val="21"/>
              </w:rPr>
              <w:t>1.12</w:t>
            </w:r>
          </w:p>
        </w:tc>
        <w:tc>
          <w:tcPr>
            <w:tcW w:w="906" w:type="pct"/>
            <w:vAlign w:val="center"/>
          </w:tcPr>
          <w:p w14:paraId="69A55F06">
            <w:pPr>
              <w:spacing w:line="288" w:lineRule="auto"/>
              <w:jc w:val="center"/>
              <w:rPr>
                <w:rFonts w:ascii="宋体" w:hAnsi="宋体" w:eastAsia="宋体" w:cs="宋体"/>
                <w:szCs w:val="21"/>
              </w:rPr>
            </w:pPr>
            <w:r>
              <w:rPr>
                <w:rFonts w:hint="eastAsia" w:ascii="宋体" w:hAnsi="宋体" w:eastAsia="宋体" w:cs="宋体"/>
                <w:szCs w:val="21"/>
              </w:rPr>
              <w:t>学生摄像机2</w:t>
            </w:r>
          </w:p>
        </w:tc>
        <w:tc>
          <w:tcPr>
            <w:tcW w:w="307" w:type="pct"/>
            <w:vAlign w:val="center"/>
          </w:tcPr>
          <w:p w14:paraId="34CCF9C5">
            <w:pPr>
              <w:spacing w:line="288" w:lineRule="auto"/>
              <w:jc w:val="center"/>
              <w:rPr>
                <w:rFonts w:ascii="宋体" w:hAnsi="宋体" w:eastAsia="宋体" w:cs="宋体"/>
                <w:szCs w:val="21"/>
              </w:rPr>
            </w:pPr>
            <w:r>
              <w:rPr>
                <w:rFonts w:hint="eastAsia" w:ascii="宋体" w:hAnsi="宋体" w:eastAsia="宋体" w:cs="宋体"/>
                <w:szCs w:val="21"/>
              </w:rPr>
              <w:t>133</w:t>
            </w:r>
          </w:p>
        </w:tc>
        <w:tc>
          <w:tcPr>
            <w:tcW w:w="288" w:type="pct"/>
            <w:vAlign w:val="center"/>
          </w:tcPr>
          <w:p w14:paraId="43F273C8">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7CAFEBA9">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1.≥800万像素1/2.8英寸4KCMOS传感器；</w:t>
            </w:r>
          </w:p>
          <w:p w14:paraId="2C19A271">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2.支持30帧的网络H.265/H.264视频输出；</w:t>
            </w:r>
          </w:p>
          <w:p w14:paraId="512B2A90">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3.单镜头可输出全景和特写两个景别；</w:t>
            </w:r>
          </w:p>
          <w:p w14:paraId="3EB0871A">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4.支持4码流，即特写双码流和全景双码流，并可支持特写和全景同时RTMP推流；</w:t>
            </w:r>
          </w:p>
          <w:p w14:paraId="601AAA19">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5.具备RJ45网口，支持POE功能，可同时输出全景和特写两个景别的高清视频；</w:t>
            </w:r>
          </w:p>
          <w:p w14:paraId="48E8198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6.支持学生跟踪，人脸识别+运动检测，单摄像机同时实现全景景别和跟踪特写景别拍摄。支持多种跟踪模式。支持多速度等级的电子云台控制；</w:t>
            </w:r>
          </w:p>
          <w:p w14:paraId="1D6AE0AA">
            <w:pPr>
              <w:spacing w:line="288" w:lineRule="auto"/>
              <w:rPr>
                <w:rFonts w:ascii="宋体" w:hAnsi="宋体" w:eastAsia="宋体" w:cs="宋体"/>
                <w:szCs w:val="21"/>
              </w:rPr>
            </w:pPr>
            <w:r>
              <w:rPr>
                <w:rFonts w:hint="eastAsia" w:ascii="宋体" w:hAnsi="宋体" w:eastAsia="宋体" w:cs="宋体"/>
                <w:kern w:val="0"/>
                <w:szCs w:val="21"/>
                <w:lang w:bidi="ar"/>
              </w:rPr>
              <w:t>7.支持数字变焦、自动增益、自动白平衡等功能。</w:t>
            </w:r>
          </w:p>
        </w:tc>
      </w:tr>
      <w:tr w14:paraId="34AF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4D6FC958">
            <w:pPr>
              <w:spacing w:line="288" w:lineRule="auto"/>
              <w:jc w:val="center"/>
              <w:rPr>
                <w:rFonts w:ascii="宋体" w:hAnsi="宋体" w:eastAsia="宋体" w:cs="宋体"/>
                <w:szCs w:val="21"/>
              </w:rPr>
            </w:pPr>
            <w:r>
              <w:rPr>
                <w:rFonts w:hint="eastAsia" w:ascii="宋体" w:hAnsi="宋体" w:eastAsia="宋体" w:cs="宋体"/>
                <w:szCs w:val="21"/>
              </w:rPr>
              <w:t>1.13</w:t>
            </w:r>
          </w:p>
        </w:tc>
        <w:tc>
          <w:tcPr>
            <w:tcW w:w="906" w:type="pct"/>
            <w:vAlign w:val="center"/>
          </w:tcPr>
          <w:p w14:paraId="77085D10">
            <w:pPr>
              <w:spacing w:line="288" w:lineRule="auto"/>
              <w:jc w:val="center"/>
              <w:rPr>
                <w:rFonts w:ascii="宋体" w:hAnsi="宋体" w:eastAsia="宋体" w:cs="宋体"/>
                <w:szCs w:val="21"/>
              </w:rPr>
            </w:pPr>
            <w:r>
              <w:rPr>
                <w:rFonts w:hint="eastAsia" w:ascii="宋体" w:hAnsi="宋体" w:eastAsia="宋体" w:cs="宋体"/>
                <w:szCs w:val="21"/>
              </w:rPr>
              <w:t>教室收音系统1</w:t>
            </w:r>
          </w:p>
        </w:tc>
        <w:tc>
          <w:tcPr>
            <w:tcW w:w="307" w:type="pct"/>
            <w:vAlign w:val="center"/>
          </w:tcPr>
          <w:p w14:paraId="7A3A3CB8">
            <w:pPr>
              <w:spacing w:line="288" w:lineRule="auto"/>
              <w:jc w:val="center"/>
              <w:rPr>
                <w:rFonts w:ascii="宋体" w:hAnsi="宋体" w:eastAsia="宋体" w:cs="宋体"/>
                <w:szCs w:val="21"/>
              </w:rPr>
            </w:pPr>
            <w:r>
              <w:rPr>
                <w:rFonts w:hint="eastAsia" w:ascii="宋体" w:hAnsi="宋体" w:eastAsia="宋体" w:cs="宋体"/>
                <w:szCs w:val="21"/>
              </w:rPr>
              <w:t>8</w:t>
            </w:r>
          </w:p>
        </w:tc>
        <w:tc>
          <w:tcPr>
            <w:tcW w:w="288" w:type="pct"/>
            <w:vAlign w:val="center"/>
          </w:tcPr>
          <w:p w14:paraId="0FC82E79">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6BD536D0">
            <w:pPr>
              <w:spacing w:line="288" w:lineRule="auto"/>
              <w:rPr>
                <w:rFonts w:ascii="宋体" w:hAnsi="宋体" w:eastAsia="宋体" w:cs="宋体"/>
                <w:szCs w:val="21"/>
              </w:rPr>
            </w:pPr>
            <w:r>
              <w:rPr>
                <w:rFonts w:hint="eastAsia" w:ascii="宋体" w:hAnsi="宋体" w:eastAsia="宋体" w:cs="宋体"/>
                <w:szCs w:val="21"/>
              </w:rPr>
              <w:t>每套包含拾音吊麦4支，参数如下：</w:t>
            </w:r>
          </w:p>
          <w:p w14:paraId="4CFF6DF7">
            <w:pPr>
              <w:spacing w:line="288" w:lineRule="auto"/>
              <w:rPr>
                <w:rFonts w:ascii="宋体" w:hAnsi="宋体" w:eastAsia="宋体" w:cs="宋体"/>
                <w:szCs w:val="21"/>
              </w:rPr>
            </w:pPr>
            <w:r>
              <w:rPr>
                <w:rFonts w:hint="eastAsia" w:ascii="宋体" w:hAnsi="宋体" w:eastAsia="宋体" w:cs="宋体"/>
                <w:szCs w:val="21"/>
              </w:rPr>
              <w:t>1.元件：固定式充电背板，永久极性电容收音头；</w:t>
            </w:r>
          </w:p>
          <w:p w14:paraId="5391A38D">
            <w:pPr>
              <w:spacing w:line="288" w:lineRule="auto"/>
              <w:rPr>
                <w:rFonts w:ascii="宋体" w:hAnsi="宋体" w:eastAsia="宋体" w:cs="宋体"/>
                <w:szCs w:val="21"/>
              </w:rPr>
            </w:pPr>
            <w:r>
              <w:rPr>
                <w:rFonts w:hint="eastAsia" w:ascii="宋体" w:hAnsi="宋体" w:eastAsia="宋体" w:cs="宋体"/>
                <w:szCs w:val="21"/>
              </w:rPr>
              <w:t>2.指向性：全方向性指向性；频率响应：54~16KHz；</w:t>
            </w:r>
          </w:p>
          <w:p w14:paraId="55F44F14">
            <w:pPr>
              <w:spacing w:line="288" w:lineRule="auto"/>
              <w:rPr>
                <w:rFonts w:ascii="宋体" w:hAnsi="宋体" w:eastAsia="宋体" w:cs="宋体"/>
                <w:szCs w:val="21"/>
              </w:rPr>
            </w:pPr>
            <w:r>
              <w:rPr>
                <w:rFonts w:hint="eastAsia" w:ascii="宋体" w:hAnsi="宋体" w:eastAsia="宋体" w:cs="宋体"/>
                <w:szCs w:val="21"/>
              </w:rPr>
              <w:t>3.开路灵敏度：-33 dB (22.4 mV) 以 1V 于 1 Pa；</w:t>
            </w:r>
          </w:p>
          <w:p w14:paraId="4EA32C0F">
            <w:pPr>
              <w:spacing w:line="288" w:lineRule="auto"/>
              <w:rPr>
                <w:rFonts w:ascii="宋体" w:hAnsi="宋体" w:eastAsia="宋体" w:cs="宋体"/>
                <w:szCs w:val="21"/>
              </w:rPr>
            </w:pPr>
            <w:r>
              <w:rPr>
                <w:rFonts w:hint="eastAsia" w:ascii="宋体" w:hAnsi="宋体" w:eastAsia="宋体" w:cs="宋体"/>
                <w:szCs w:val="21"/>
              </w:rPr>
              <w:t>4.阻抗：100 欧姆；最大输入声压级：131 dB 声压，1 kHz 于 1% T.H.D.；</w:t>
            </w:r>
          </w:p>
          <w:p w14:paraId="4F2E60C6">
            <w:pPr>
              <w:spacing w:line="288" w:lineRule="auto"/>
              <w:rPr>
                <w:rFonts w:ascii="宋体" w:hAnsi="宋体" w:eastAsia="宋体" w:cs="宋体"/>
                <w:szCs w:val="21"/>
              </w:rPr>
            </w:pPr>
            <w:r>
              <w:rPr>
                <w:rFonts w:hint="eastAsia" w:ascii="宋体" w:hAnsi="宋体" w:eastAsia="宋体" w:cs="宋体"/>
                <w:szCs w:val="21"/>
              </w:rPr>
              <w:t>5.信噪比：&gt;69 dB，1 kHz 于 1 Pa；幻像电源：直流 11~52V DC，2 mA。</w:t>
            </w:r>
          </w:p>
          <w:p w14:paraId="199C8028">
            <w:pPr>
              <w:spacing w:line="288" w:lineRule="auto"/>
              <w:rPr>
                <w:rFonts w:ascii="宋体" w:hAnsi="宋体" w:eastAsia="宋体" w:cs="宋体"/>
                <w:szCs w:val="21"/>
              </w:rPr>
            </w:pPr>
            <w:r>
              <w:rPr>
                <w:rFonts w:hint="eastAsia" w:ascii="宋体" w:hAnsi="宋体" w:eastAsia="宋体" w:cs="宋体"/>
                <w:szCs w:val="21"/>
              </w:rPr>
              <w:t>6.典型耗电；输出端子：内置3 针XLRM 卡农公头；标配：1双防震绝缘胶。</w:t>
            </w:r>
          </w:p>
        </w:tc>
      </w:tr>
      <w:tr w14:paraId="0321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341" w:type="pct"/>
            <w:vAlign w:val="center"/>
          </w:tcPr>
          <w:p w14:paraId="65AC32D3">
            <w:pPr>
              <w:spacing w:line="288" w:lineRule="auto"/>
              <w:jc w:val="center"/>
              <w:rPr>
                <w:rFonts w:ascii="宋体" w:hAnsi="宋体" w:eastAsia="宋体" w:cs="宋体"/>
                <w:szCs w:val="21"/>
              </w:rPr>
            </w:pPr>
            <w:r>
              <w:rPr>
                <w:rFonts w:hint="eastAsia" w:ascii="宋体" w:hAnsi="宋体" w:eastAsia="宋体" w:cs="宋体"/>
                <w:szCs w:val="21"/>
              </w:rPr>
              <w:t>1.14</w:t>
            </w:r>
          </w:p>
        </w:tc>
        <w:tc>
          <w:tcPr>
            <w:tcW w:w="906" w:type="pct"/>
            <w:vAlign w:val="center"/>
          </w:tcPr>
          <w:p w14:paraId="6C8F0D7D">
            <w:pPr>
              <w:spacing w:line="288" w:lineRule="auto"/>
              <w:jc w:val="center"/>
              <w:rPr>
                <w:rFonts w:ascii="宋体" w:hAnsi="宋体" w:eastAsia="宋体" w:cs="宋体"/>
                <w:szCs w:val="21"/>
              </w:rPr>
            </w:pPr>
            <w:r>
              <w:rPr>
                <w:rFonts w:hint="eastAsia" w:ascii="宋体" w:hAnsi="宋体" w:eastAsia="宋体" w:cs="宋体"/>
                <w:szCs w:val="21"/>
              </w:rPr>
              <w:t>教室收音系统2</w:t>
            </w:r>
          </w:p>
        </w:tc>
        <w:tc>
          <w:tcPr>
            <w:tcW w:w="307" w:type="pct"/>
            <w:vAlign w:val="center"/>
          </w:tcPr>
          <w:p w14:paraId="3938EAFB">
            <w:pPr>
              <w:spacing w:line="288" w:lineRule="auto"/>
              <w:jc w:val="center"/>
              <w:rPr>
                <w:rFonts w:ascii="宋体" w:hAnsi="宋体" w:eastAsia="宋体" w:cs="宋体"/>
                <w:szCs w:val="21"/>
              </w:rPr>
            </w:pPr>
            <w:r>
              <w:rPr>
                <w:rFonts w:hint="eastAsia" w:ascii="宋体" w:hAnsi="宋体" w:eastAsia="宋体" w:cs="宋体"/>
                <w:szCs w:val="21"/>
              </w:rPr>
              <w:t>133</w:t>
            </w:r>
          </w:p>
        </w:tc>
        <w:tc>
          <w:tcPr>
            <w:tcW w:w="288" w:type="pct"/>
            <w:vAlign w:val="center"/>
          </w:tcPr>
          <w:p w14:paraId="7066DB8C">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50B422FA">
            <w:pPr>
              <w:spacing w:line="288" w:lineRule="auto"/>
              <w:rPr>
                <w:rFonts w:ascii="宋体" w:hAnsi="宋体" w:eastAsia="宋体" w:cs="宋体"/>
                <w:szCs w:val="21"/>
              </w:rPr>
            </w:pPr>
            <w:r>
              <w:rPr>
                <w:rFonts w:hint="eastAsia" w:ascii="宋体" w:hAnsi="宋体" w:eastAsia="宋体" w:cs="宋体"/>
                <w:szCs w:val="21"/>
              </w:rPr>
              <w:t>1.工作电压5V，工作电流50mA；</w:t>
            </w:r>
          </w:p>
          <w:p w14:paraId="334439B9">
            <w:pPr>
              <w:spacing w:line="288" w:lineRule="auto"/>
              <w:rPr>
                <w:rFonts w:ascii="宋体" w:hAnsi="宋体" w:eastAsia="宋体" w:cs="宋体"/>
                <w:szCs w:val="21"/>
              </w:rPr>
            </w:pPr>
            <w:r>
              <w:rPr>
                <w:rFonts w:hint="eastAsia" w:ascii="宋体" w:hAnsi="宋体" w:eastAsia="宋体" w:cs="宋体"/>
                <w:szCs w:val="21"/>
              </w:rPr>
              <w:t>2.采用8麦克风阵列，具有自动增益、背景降噪等功能；</w:t>
            </w:r>
          </w:p>
          <w:p w14:paraId="21075632">
            <w:pPr>
              <w:spacing w:line="288" w:lineRule="auto"/>
              <w:rPr>
                <w:rFonts w:ascii="宋体" w:hAnsi="宋体" w:eastAsia="宋体" w:cs="宋体"/>
                <w:szCs w:val="21"/>
              </w:rPr>
            </w:pPr>
            <w:r>
              <w:rPr>
                <w:rFonts w:hint="eastAsia" w:ascii="宋体" w:hAnsi="宋体" w:eastAsia="宋体" w:cs="宋体"/>
                <w:szCs w:val="21"/>
              </w:rPr>
              <w:t>3.频率响应范围：45~15500Hz；</w:t>
            </w:r>
          </w:p>
          <w:p w14:paraId="2A1E5EE8">
            <w:pPr>
              <w:spacing w:line="288" w:lineRule="auto"/>
              <w:rPr>
                <w:rFonts w:ascii="宋体" w:hAnsi="宋体" w:eastAsia="宋体" w:cs="宋体"/>
                <w:szCs w:val="21"/>
              </w:rPr>
            </w:pPr>
            <w:r>
              <w:rPr>
                <w:rFonts w:hint="eastAsia" w:ascii="宋体" w:hAnsi="宋体" w:eastAsia="宋体" w:cs="宋体"/>
                <w:szCs w:val="21"/>
              </w:rPr>
              <w:t>4.灵敏度：-26dBFS；</w:t>
            </w:r>
          </w:p>
          <w:p w14:paraId="29C16EC6">
            <w:pPr>
              <w:spacing w:line="288" w:lineRule="auto"/>
              <w:rPr>
                <w:rFonts w:ascii="宋体" w:hAnsi="宋体" w:eastAsia="宋体" w:cs="宋体"/>
                <w:szCs w:val="21"/>
              </w:rPr>
            </w:pPr>
            <w:r>
              <w:rPr>
                <w:rFonts w:hint="eastAsia" w:ascii="宋体" w:hAnsi="宋体" w:eastAsia="宋体" w:cs="宋体"/>
                <w:szCs w:val="21"/>
              </w:rPr>
              <w:t>5.信噪比：≥78dB。</w:t>
            </w:r>
          </w:p>
        </w:tc>
      </w:tr>
      <w:tr w14:paraId="77CF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0D049A56">
            <w:pPr>
              <w:spacing w:line="288" w:lineRule="auto"/>
              <w:jc w:val="center"/>
              <w:rPr>
                <w:rFonts w:ascii="宋体" w:hAnsi="宋体" w:eastAsia="宋体" w:cs="宋体"/>
                <w:szCs w:val="21"/>
              </w:rPr>
            </w:pPr>
            <w:r>
              <w:rPr>
                <w:rFonts w:hint="eastAsia" w:ascii="宋体" w:hAnsi="宋体" w:eastAsia="宋体" w:cs="宋体"/>
                <w:szCs w:val="21"/>
              </w:rPr>
              <w:t>1.15</w:t>
            </w:r>
          </w:p>
        </w:tc>
        <w:tc>
          <w:tcPr>
            <w:tcW w:w="906" w:type="pct"/>
            <w:vAlign w:val="center"/>
          </w:tcPr>
          <w:p w14:paraId="604E18E4">
            <w:pPr>
              <w:spacing w:line="288" w:lineRule="auto"/>
              <w:jc w:val="center"/>
              <w:rPr>
                <w:rFonts w:ascii="宋体" w:hAnsi="宋体" w:eastAsia="宋体" w:cs="宋体"/>
                <w:szCs w:val="21"/>
              </w:rPr>
            </w:pPr>
            <w:r>
              <w:rPr>
                <w:rFonts w:hint="eastAsia" w:ascii="宋体" w:hAnsi="宋体" w:eastAsia="宋体" w:cs="宋体"/>
                <w:szCs w:val="21"/>
              </w:rPr>
              <w:t>教室录播主机1</w:t>
            </w:r>
          </w:p>
        </w:tc>
        <w:tc>
          <w:tcPr>
            <w:tcW w:w="307" w:type="pct"/>
            <w:vAlign w:val="center"/>
          </w:tcPr>
          <w:p w14:paraId="2BD66E94">
            <w:pPr>
              <w:spacing w:line="288" w:lineRule="auto"/>
              <w:jc w:val="center"/>
              <w:rPr>
                <w:rFonts w:ascii="宋体" w:hAnsi="宋体" w:eastAsia="宋体" w:cs="宋体"/>
                <w:szCs w:val="21"/>
              </w:rPr>
            </w:pPr>
            <w:r>
              <w:rPr>
                <w:rFonts w:hint="eastAsia" w:ascii="宋体" w:hAnsi="宋体" w:eastAsia="宋体" w:cs="宋体"/>
                <w:szCs w:val="21"/>
              </w:rPr>
              <w:t>8</w:t>
            </w:r>
          </w:p>
        </w:tc>
        <w:tc>
          <w:tcPr>
            <w:tcW w:w="288" w:type="pct"/>
            <w:vAlign w:val="center"/>
          </w:tcPr>
          <w:p w14:paraId="62C3B8E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套</w:t>
            </w:r>
          </w:p>
        </w:tc>
        <w:tc>
          <w:tcPr>
            <w:tcW w:w="3156" w:type="pct"/>
            <w:vAlign w:val="center"/>
          </w:tcPr>
          <w:p w14:paraId="5C78C3B8">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1.内置录播模块，具备录制、音视频编解码、音频处理、存储、流媒体服务器、视频互动等功能于一体；</w:t>
            </w:r>
          </w:p>
          <w:p w14:paraId="196A781A">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2.内置存储功能，具备1T（含）以上存储空间，支持授课视频的本地录制。</w:t>
            </w:r>
          </w:p>
          <w:p w14:paraId="1A7BA311">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3.终端接口要求：HDMI视频输入接口≥3路，用于授课电脑、外接笔记本、实物展台等设备接入终端；</w:t>
            </w:r>
          </w:p>
          <w:p w14:paraId="134C624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4.HDMI输出接口≥3路，其中≥1路需支持4K分辨率输出，用于外接授课大屏、互动电视；网口≥4路，其中≥2路需支持POE；RS-232控制接口≥4路；</w:t>
            </w:r>
          </w:p>
          <w:p w14:paraId="3891A17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5.音频MIC输入接口≥5路，每路均支持独立的48V幻象供电开关；音频LINE OUT接口≥1路；</w:t>
            </w:r>
          </w:p>
          <w:p w14:paraId="07F908F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6.可电源管理的授课大屏220V供电接口≥1路、投影幕升降接口≥1路；PC控制接口不少于1路；</w:t>
            </w:r>
          </w:p>
          <w:p w14:paraId="709B79CF">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7.无线麦IR接口不少于1路；USB接口不少于1路；TYPE-C接口不少于2路；</w:t>
            </w:r>
          </w:p>
          <w:p w14:paraId="032BEF58">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8.要求内置数字音频处理功能，支持MIC音频混音、增益、降噪等处理，音视频互动中支持回声抑制处理功能；</w:t>
            </w:r>
          </w:p>
          <w:p w14:paraId="1AD1ED6A">
            <w:pPr>
              <w:spacing w:line="288" w:lineRule="auto"/>
              <w:rPr>
                <w:rFonts w:hint="default" w:ascii="宋体" w:hAnsi="宋体" w:eastAsia="宋体" w:cs="宋体"/>
                <w:b/>
                <w:bCs/>
                <w:kern w:val="0"/>
                <w:szCs w:val="21"/>
                <w:lang w:val="en-US" w:eastAsia="zh-CN" w:bidi="ar"/>
              </w:rPr>
            </w:pPr>
            <w:r>
              <w:rPr>
                <w:rFonts w:hint="eastAsia" w:ascii="宋体" w:hAnsi="宋体" w:eastAsia="宋体" w:cs="宋体"/>
                <w:kern w:val="0"/>
                <w:szCs w:val="21"/>
                <w:lang w:bidi="ar"/>
              </w:rPr>
              <w:t>9.直播功能，支持提前创建直播活动并支持在终端设备上一键开启直播，支持多终端观看，可以支持校内、校外远程直播，支持万人在线观看直播学习；</w:t>
            </w:r>
            <w:r>
              <w:rPr>
                <w:rFonts w:hint="eastAsia" w:ascii="宋体" w:hAnsi="宋体" w:eastAsia="宋体" w:cs="宋体"/>
                <w:b/>
                <w:bCs/>
                <w:color w:val="FF0000"/>
                <w:kern w:val="0"/>
                <w:szCs w:val="21"/>
                <w:lang w:val="en-US" w:eastAsia="zh-CN" w:bidi="ar"/>
              </w:rPr>
              <w:t>(提供截图证明）</w:t>
            </w:r>
          </w:p>
          <w:p w14:paraId="7C2CC4E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10.支持在课程录制界面将已录制好的资源一键上传到学校现有网络教学平台个人云盘空间内；支持录制清晰度自定义设置，可设置分辨率为1080P、720P；</w:t>
            </w:r>
            <w:r>
              <w:rPr>
                <w:rFonts w:hint="eastAsia" w:ascii="宋体" w:hAnsi="宋体" w:eastAsia="宋体" w:cs="宋体"/>
                <w:b/>
                <w:bCs/>
                <w:color w:val="FF0000"/>
                <w:kern w:val="0"/>
                <w:szCs w:val="21"/>
                <w:highlight w:val="none"/>
                <w:lang w:val="en-US" w:eastAsia="zh-CN" w:bidi="ar"/>
              </w:rPr>
              <w:t>(提供截图证明）</w:t>
            </w:r>
          </w:p>
          <w:p w14:paraId="7868262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11.具备直播、点播、录制管理、导播控制、系统设置、参数修改等功能；为保证系统与资源平台进行资源对接，要求系统支持RTP、RTSP、RTMP等音视频传输协议，支持所录制的视频文件FTP自动上传至服务器功能；</w:t>
            </w:r>
          </w:p>
          <w:p w14:paraId="02CD9615">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12.为保证直播观看和视频交互流畅进行，要求画面延迟≤300ms（局域网）；支持公网CDN直播推送，支持公网视频平台进行直播对接，支持平台数量≥3个，进行活动视频的大规模直播；</w:t>
            </w:r>
          </w:p>
          <w:p w14:paraId="17DE6A9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13.内置网络监测功能，无需安装第三方软件，可检测主机的网络联通性、网络稳定性、上下行速度、网卡信息等；</w:t>
            </w:r>
          </w:p>
          <w:p w14:paraId="6EA14F78">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14.支持录制清晰度自定义设置，可设置分辨率为1080P、720P等，可设置码率码流大小。</w:t>
            </w:r>
          </w:p>
        </w:tc>
      </w:tr>
      <w:tr w14:paraId="161C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66FB9DE9">
            <w:pPr>
              <w:spacing w:line="288" w:lineRule="auto"/>
              <w:jc w:val="center"/>
              <w:rPr>
                <w:rFonts w:ascii="宋体" w:hAnsi="宋体" w:eastAsia="宋体" w:cs="宋体"/>
                <w:szCs w:val="21"/>
              </w:rPr>
            </w:pPr>
            <w:r>
              <w:rPr>
                <w:rFonts w:hint="eastAsia" w:ascii="宋体" w:hAnsi="宋体" w:eastAsia="宋体" w:cs="宋体"/>
                <w:szCs w:val="21"/>
              </w:rPr>
              <w:t>1.16</w:t>
            </w:r>
          </w:p>
        </w:tc>
        <w:tc>
          <w:tcPr>
            <w:tcW w:w="906" w:type="pct"/>
            <w:vAlign w:val="center"/>
          </w:tcPr>
          <w:p w14:paraId="0F733BA3">
            <w:pPr>
              <w:spacing w:line="288" w:lineRule="auto"/>
              <w:jc w:val="center"/>
              <w:rPr>
                <w:rFonts w:hint="eastAsia" w:ascii="宋体" w:hAnsi="宋体" w:eastAsia="宋体" w:cs="宋体"/>
                <w:szCs w:val="21"/>
              </w:rPr>
            </w:pPr>
            <w:r>
              <w:rPr>
                <w:rFonts w:hint="eastAsia" w:ascii="宋体" w:hAnsi="宋体" w:eastAsia="宋体" w:cs="宋体"/>
                <w:szCs w:val="21"/>
              </w:rPr>
              <w:t>教室录播主机2</w:t>
            </w:r>
          </w:p>
          <w:p w14:paraId="4E8E6D31">
            <w:pPr>
              <w:spacing w:line="288" w:lineRule="auto"/>
              <w:jc w:val="center"/>
              <w:rPr>
                <w:rFonts w:hint="default" w:ascii="宋体" w:hAnsi="宋体" w:eastAsia="宋体" w:cs="宋体"/>
                <w:szCs w:val="21"/>
                <w:lang w:val="en-US" w:eastAsia="zh-CN"/>
              </w:rPr>
            </w:pPr>
            <w:r>
              <w:rPr>
                <w:rFonts w:hint="eastAsia" w:ascii="宋体" w:hAnsi="宋体" w:eastAsia="宋体" w:cs="宋体"/>
                <w:b/>
                <w:bCs/>
                <w:color w:val="FF0000"/>
                <w:szCs w:val="21"/>
                <w:lang w:eastAsia="zh-CN"/>
              </w:rPr>
              <w:t>（</w:t>
            </w:r>
            <w:r>
              <w:rPr>
                <w:rFonts w:hint="eastAsia" w:ascii="宋体" w:hAnsi="宋体" w:eastAsia="宋体" w:cs="宋体"/>
                <w:b/>
                <w:bCs/>
                <w:color w:val="FF0000"/>
                <w:szCs w:val="21"/>
                <w:lang w:val="en-US" w:eastAsia="zh-CN"/>
              </w:rPr>
              <w:t>核心产品）</w:t>
            </w:r>
            <w:r>
              <w:rPr>
                <w:rFonts w:hint="eastAsia" w:ascii="宋体" w:hAnsi="宋体" w:eastAsia="宋体" w:cs="宋体"/>
                <w:b/>
                <w:bCs/>
                <w:szCs w:val="21"/>
                <w:lang w:eastAsia="zh-CN"/>
              </w:rPr>
              <w:t xml:space="preserve"> </w:t>
            </w:r>
          </w:p>
        </w:tc>
        <w:tc>
          <w:tcPr>
            <w:tcW w:w="307" w:type="pct"/>
            <w:vAlign w:val="center"/>
          </w:tcPr>
          <w:p w14:paraId="7132580C">
            <w:pPr>
              <w:spacing w:line="288" w:lineRule="auto"/>
              <w:jc w:val="center"/>
              <w:rPr>
                <w:rFonts w:ascii="宋体" w:hAnsi="宋体" w:eastAsia="宋体" w:cs="宋体"/>
                <w:szCs w:val="21"/>
              </w:rPr>
            </w:pPr>
            <w:r>
              <w:rPr>
                <w:rFonts w:hint="eastAsia" w:ascii="宋体" w:hAnsi="宋体" w:eastAsia="宋体" w:cs="宋体"/>
                <w:szCs w:val="21"/>
              </w:rPr>
              <w:t>133</w:t>
            </w:r>
          </w:p>
        </w:tc>
        <w:tc>
          <w:tcPr>
            <w:tcW w:w="288" w:type="pct"/>
            <w:vAlign w:val="center"/>
          </w:tcPr>
          <w:p w14:paraId="36CEFD98">
            <w:pPr>
              <w:widowControl/>
              <w:spacing w:line="288" w:lineRule="auto"/>
              <w:jc w:val="center"/>
              <w:textAlignment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38A763C0">
            <w:pPr>
              <w:spacing w:line="288" w:lineRule="auto"/>
              <w:rPr>
                <w:rFonts w:ascii="宋体" w:hAnsi="宋体" w:eastAsia="宋体" w:cs="宋体"/>
                <w:kern w:val="0"/>
                <w:szCs w:val="21"/>
                <w:lang w:bidi="ar"/>
              </w:rPr>
            </w:pPr>
            <w:r>
              <w:rPr>
                <w:rFonts w:hint="eastAsia" w:ascii="宋体" w:hAnsi="宋体" w:eastAsia="宋体" w:cs="宋体"/>
                <w:szCs w:val="21"/>
              </w:rPr>
              <w:t>支持多路网络摄像机信号的接入，支持摄像机POE连接，支持ONVIF、RTSP、RTMP协议；</w:t>
            </w:r>
            <w:r>
              <w:rPr>
                <w:rFonts w:hint="eastAsia" w:ascii="宋体" w:hAnsi="宋体" w:eastAsia="宋体" w:cs="宋体"/>
                <w:kern w:val="0"/>
                <w:szCs w:val="21"/>
                <w:lang w:bidi="ar"/>
              </w:rPr>
              <w:t>提供HDMI信号输入接口，实现老师电脑HDMI信号的音视频采集；支持与资源平台无缝对接，在平台上实现大规模直播、点播、视频自动汇聚、校本资源的自动分类、发布等。支持其他音频信号的外接输入，可与阵列麦克风切换使用；内置自动导播功能，在多摄像机信号、电脑信号之间根据教学场景自动导播切换，生成电影模式输出画面；内置存储功能，具备256G以上存储空间，支持授课视频的本地录制。具有RS232串口，支持第三方中控通过串口控制：开启录制、暂停/恢复、结束录制。支持视频互动功能：支持通过UVC接口虚拟成USB Camera接入腾讯会议、钉钉会议，将终端的输出音视频信号作为虚拟USB-Camera音视频信号源，供腾讯会议、钉钉会议开展音视频互动；自带终端管理系统：录制资源支持自动上传与分类，生成校本资源库。可根据用户登录信息，统计用户使用频率与使用周期，生成数据统计报表；可查看系统运行时长统计记录，支持表格类反馈和折线图式反馈。终端运行情况查看，可实时查看终端运行使用信息、版本信息、基本配置信息等。支持远程升级，平台支持对终端进行远程软件版本升级功能，支持升级包批量推送或自动升级，无需技术人员到教室现场进行硬件升级工作。支持远程巡查课，可以方便巡视组在不影响学生听课、老师讲课的情况下，灵活组织时间进行课堂巡视。支持课表数据同步：支持教室统一监管，实现多间教室管理。</w:t>
            </w:r>
          </w:p>
        </w:tc>
      </w:tr>
      <w:tr w14:paraId="31EB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41" w:type="pct"/>
            <w:shd w:val="clear" w:color="auto" w:fill="auto"/>
            <w:vAlign w:val="center"/>
          </w:tcPr>
          <w:p w14:paraId="0B2236AB">
            <w:pPr>
              <w:widowControl/>
              <w:spacing w:line="288"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2</w:t>
            </w:r>
          </w:p>
        </w:tc>
        <w:tc>
          <w:tcPr>
            <w:tcW w:w="906" w:type="pct"/>
            <w:shd w:val="clear" w:color="auto" w:fill="auto"/>
            <w:vAlign w:val="center"/>
          </w:tcPr>
          <w:p w14:paraId="5D2D7ED7">
            <w:pPr>
              <w:spacing w:line="288" w:lineRule="auto"/>
              <w:jc w:val="center"/>
              <w:rPr>
                <w:rFonts w:hint="eastAsia" w:ascii="宋体" w:hAnsi="宋体" w:eastAsia="宋体" w:cs="宋体"/>
                <w:szCs w:val="21"/>
              </w:rPr>
            </w:pPr>
            <w:r>
              <w:rPr>
                <w:rFonts w:hint="eastAsia" w:ascii="宋体" w:hAnsi="宋体" w:eastAsia="宋体" w:cs="宋体"/>
                <w:szCs w:val="21"/>
              </w:rPr>
              <w:t>98寸交互式一体机及搪瓷白板（含整体框、教室所有墙面设计美化）</w:t>
            </w:r>
          </w:p>
          <w:p w14:paraId="1E2F39C3">
            <w:pPr>
              <w:spacing w:line="288" w:lineRule="auto"/>
              <w:jc w:val="center"/>
              <w:rPr>
                <w:rFonts w:hint="eastAsia" w:ascii="宋体" w:hAnsi="宋体" w:eastAsia="宋体" w:cs="宋体"/>
                <w:szCs w:val="21"/>
                <w:lang w:eastAsia="zh-CN"/>
              </w:rPr>
            </w:pPr>
            <w:r>
              <w:rPr>
                <w:rFonts w:hint="eastAsia" w:ascii="宋体" w:hAnsi="宋体" w:eastAsia="宋体" w:cs="宋体"/>
                <w:b/>
                <w:bCs/>
                <w:color w:val="FF0000"/>
                <w:szCs w:val="21"/>
                <w:lang w:eastAsia="zh-CN"/>
              </w:rPr>
              <w:t>（</w:t>
            </w:r>
            <w:r>
              <w:rPr>
                <w:rFonts w:hint="eastAsia" w:ascii="宋体" w:hAnsi="宋体" w:eastAsia="宋体" w:cs="宋体"/>
                <w:b/>
                <w:bCs/>
                <w:color w:val="FF0000"/>
                <w:szCs w:val="21"/>
                <w:lang w:val="en-US" w:eastAsia="zh-CN"/>
              </w:rPr>
              <w:t>政府强制节能产品</w:t>
            </w:r>
            <w:r>
              <w:rPr>
                <w:rFonts w:hint="eastAsia" w:ascii="宋体" w:hAnsi="宋体" w:eastAsia="宋体" w:cs="宋体"/>
                <w:b/>
                <w:bCs/>
                <w:color w:val="FF0000"/>
                <w:szCs w:val="21"/>
                <w:lang w:eastAsia="zh-CN"/>
              </w:rPr>
              <w:t>）</w:t>
            </w:r>
          </w:p>
        </w:tc>
        <w:tc>
          <w:tcPr>
            <w:tcW w:w="307" w:type="pct"/>
            <w:shd w:val="clear" w:color="auto" w:fill="FFFFFF"/>
            <w:vAlign w:val="center"/>
          </w:tcPr>
          <w:p w14:paraId="4DCFAF3B">
            <w:pPr>
              <w:spacing w:line="288" w:lineRule="auto"/>
              <w:jc w:val="center"/>
              <w:rPr>
                <w:rFonts w:ascii="宋体" w:hAnsi="宋体" w:eastAsia="宋体" w:cs="宋体"/>
                <w:szCs w:val="21"/>
              </w:rPr>
            </w:pPr>
            <w:r>
              <w:rPr>
                <w:rFonts w:hint="eastAsia" w:ascii="宋体" w:hAnsi="宋体" w:eastAsia="宋体" w:cs="宋体"/>
                <w:szCs w:val="21"/>
              </w:rPr>
              <w:t>8</w:t>
            </w:r>
          </w:p>
        </w:tc>
        <w:tc>
          <w:tcPr>
            <w:tcW w:w="288" w:type="pct"/>
            <w:shd w:val="clear" w:color="auto" w:fill="FFFFFF"/>
            <w:vAlign w:val="center"/>
          </w:tcPr>
          <w:p w14:paraId="438576ED">
            <w:pPr>
              <w:spacing w:line="288" w:lineRule="auto"/>
              <w:jc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609344C9">
            <w:pPr>
              <w:spacing w:line="288" w:lineRule="auto"/>
              <w:rPr>
                <w:rFonts w:ascii="宋体" w:hAnsi="宋体" w:eastAsia="宋体" w:cs="宋体"/>
                <w:b/>
                <w:bCs/>
                <w:kern w:val="0"/>
                <w:szCs w:val="21"/>
                <w:lang w:bidi="ar"/>
              </w:rPr>
            </w:pPr>
            <w:r>
              <w:rPr>
                <w:rFonts w:hint="eastAsia" w:ascii="宋体" w:hAnsi="宋体" w:eastAsia="宋体" w:cs="宋体"/>
                <w:b/>
                <w:bCs/>
                <w:kern w:val="0"/>
                <w:szCs w:val="21"/>
                <w:lang w:bidi="ar"/>
              </w:rPr>
              <w:t>98寸交互式一体机：</w:t>
            </w:r>
            <w:r>
              <w:rPr>
                <w:rFonts w:hint="eastAsia" w:ascii="宋体" w:hAnsi="宋体" w:eastAsia="宋体" w:cs="宋体"/>
                <w:b/>
                <w:color w:val="FF0000"/>
                <w:kern w:val="0"/>
                <w:szCs w:val="21"/>
              </w:rPr>
              <w:t>▲提供3C认证证书</w:t>
            </w:r>
          </w:p>
          <w:p w14:paraId="70C3164D">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1.整机屏幕采用98英寸LCD液晶屏，屏幕显示分辨率3840*2160，亮度≥350cd/m2，显示响应时间≤8ms，全高清4K图标显示；</w:t>
            </w:r>
          </w:p>
          <w:p w14:paraId="0656A9C8">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2.色域≥90%NTSC，整机液晶屏与屏幕保护层零贴合技术，钢化玻璃和液晶屏间隙≤0.86mm，减少显示面板与玻璃间的散射，偏光，画面显示更加通透清晰；</w:t>
            </w:r>
          </w:p>
          <w:p w14:paraId="68286B9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3.在色彩空间sRGB模式下达到△E≤1.5；</w:t>
            </w:r>
          </w:p>
          <w:p w14:paraId="503C82CF">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4.屏体采用防蓝光设计，无需通过任何设置，默认实现硬件低蓝光，达到护眼效果；</w:t>
            </w:r>
          </w:p>
          <w:p w14:paraId="40D78FDD">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5.整机采用红外触控技术；</w:t>
            </w:r>
          </w:p>
          <w:p w14:paraId="02E835A4">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6.整机正面上居中内置单颗高清摄像头，可拍摄不低于4K 30fps高清视频画面；</w:t>
            </w:r>
          </w:p>
          <w:p w14:paraId="373924A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7.内置8阵列麦克风，支持前向≥180°拾音，有效拾音距离≥15米；采用2.1声道，2*10W（中高音）+20W（低音），频响范围80Hz-20KHz；</w:t>
            </w:r>
          </w:p>
          <w:p w14:paraId="4977219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8.支持智能音幕，根据选定角度调节收音范围，隔绝选定范围外的噪音，音幕范围可选择30°、60°、90°等，并支持任意调整音幕方向；</w:t>
            </w:r>
          </w:p>
          <w:p w14:paraId="352A0EC1">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9.前置全功能Type-C接口，可支持手机充电、音视频信号传输；支持个人电脑通过Type-C接口调用整机内置摄像头、麦克风、音响；</w:t>
            </w:r>
          </w:p>
          <w:p w14:paraId="144DFBE1">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10.配置插拔式PC模块配置：CPU：不低于ADL-H i5-12450H 8 核 12 线程 2.0GHz 核显 UHD超核显 TDP45W；内存：≥8G+256G，内置Windows 11及以上企业正版操作系统</w:t>
            </w:r>
            <w:r>
              <w:rPr>
                <w:rFonts w:hint="eastAsia" w:ascii="宋体" w:hAnsi="宋体" w:eastAsia="宋体" w:cs="宋体"/>
                <w:kern w:val="0"/>
                <w:szCs w:val="21"/>
                <w:lang w:val="en-US" w:eastAsia="zh-CN" w:bidi="ar"/>
              </w:rPr>
              <w:t>以及还原软件，承诺提供软件系统安装服务2年</w:t>
            </w:r>
            <w:r>
              <w:rPr>
                <w:rFonts w:hint="eastAsia" w:ascii="宋体" w:hAnsi="宋体" w:eastAsia="宋体" w:cs="宋体"/>
                <w:kern w:val="0"/>
                <w:szCs w:val="21"/>
                <w:lang w:bidi="ar"/>
              </w:rPr>
              <w:t>；</w:t>
            </w:r>
          </w:p>
          <w:p w14:paraId="2C7288E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11.无线传屏器与电脑软件投屏，最大支持4k@30的分辨率投屏；无线传屏软硬件均支持win11系统/MAC系统扩展屏显示；</w:t>
            </w:r>
          </w:p>
          <w:p w14:paraId="3119AA4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12.个人端隐私保护，能避免如微信弹窗，当开启应用窗口投屏，电脑屏幕仍能打开别的应用处理其他事情；</w:t>
            </w:r>
          </w:p>
          <w:p w14:paraId="2BC46AD8">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13.无线传屏实现3S快速连接；</w:t>
            </w:r>
          </w:p>
          <w:p w14:paraId="05193D99">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14.传屏具有阻止其他人传屏功能，避免在使用过程中，用户经常被其他人传屏顶替掉，造成使用中断；</w:t>
            </w:r>
          </w:p>
          <w:p w14:paraId="367F056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15.可通过传屏工具栏暂停投屏功能进行画面冻结暂停，投屏电脑可自主进行其他操作，不影响整机的冻结画面内容显示；</w:t>
            </w:r>
          </w:p>
          <w:p w14:paraId="712F0532">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16.用户电脑与大屏无需连接在同一网络，可通过建立WiFi P2P点对点链路，快速投屏；</w:t>
            </w:r>
          </w:p>
          <w:p w14:paraId="3E4309F7">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17.用户电脑可以通过浏览器直接投屏至大屏，无需单独安装投屏应用客户端；</w:t>
            </w:r>
          </w:p>
          <w:p w14:paraId="04FE0CC5">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18.支持统信UOS及麒麟OS的电脑，通过软件客户端或者无线传屏器投屏；</w:t>
            </w:r>
          </w:p>
          <w:p w14:paraId="39F1B2C7">
            <w:pPr>
              <w:spacing w:line="288" w:lineRule="auto"/>
              <w:rPr>
                <w:rFonts w:hint="eastAsia" w:ascii="宋体" w:hAnsi="宋体" w:eastAsia="宋体" w:cs="宋体"/>
                <w:b/>
                <w:bCs/>
                <w:color w:val="FF0000"/>
                <w:kern w:val="0"/>
                <w:szCs w:val="21"/>
                <w:lang w:eastAsia="zh-CN" w:bidi="ar"/>
              </w:rPr>
            </w:pPr>
            <w:r>
              <w:rPr>
                <w:rFonts w:hint="eastAsia" w:ascii="宋体" w:hAnsi="宋体" w:eastAsia="宋体" w:cs="宋体"/>
                <w:kern w:val="0"/>
                <w:szCs w:val="21"/>
                <w:lang w:bidi="ar"/>
              </w:rPr>
              <w:t>19.用户电脑支持通过无线传屏器，或者传屏软件客户端，调用大屏的麦克风/摄像头/扬声器，作为电脑上视频会议软件的外设接入视频会议中</w:t>
            </w:r>
            <w:r>
              <w:rPr>
                <w:rFonts w:hint="eastAsia" w:ascii="宋体" w:hAnsi="宋体" w:eastAsia="宋体" w:cs="宋体"/>
                <w:kern w:val="0"/>
                <w:szCs w:val="21"/>
                <w:lang w:eastAsia="zh-CN" w:bidi="ar"/>
              </w:rPr>
              <w:t>。</w:t>
            </w:r>
            <w:r>
              <w:rPr>
                <w:rFonts w:hint="eastAsia" w:ascii="宋体" w:hAnsi="宋体" w:eastAsia="宋体" w:cs="宋体"/>
                <w:b/>
                <w:bCs/>
                <w:color w:val="FF0000"/>
                <w:kern w:val="0"/>
                <w:szCs w:val="21"/>
                <w:lang w:eastAsia="zh-CN" w:bidi="ar"/>
              </w:rPr>
              <w:t>提供承诺函（承诺合同签订前提供带CMA标识的第三方检测机构检测报告）；</w:t>
            </w:r>
          </w:p>
          <w:p w14:paraId="59CB6901">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20.支持PPT播放模式下批注内容跟随页面，实现边翻页边批注，且批注内容扫码带走时，支持页面筛选功能；</w:t>
            </w:r>
          </w:p>
          <w:p w14:paraId="5D24B594">
            <w:pPr>
              <w:spacing w:line="288" w:lineRule="auto"/>
              <w:rPr>
                <w:rFonts w:hint="eastAsia" w:ascii="宋体" w:hAnsi="宋体" w:eastAsia="宋体" w:cs="宋体"/>
                <w:b/>
                <w:bCs/>
                <w:color w:val="FF0000"/>
                <w:kern w:val="0"/>
                <w:szCs w:val="21"/>
                <w:lang w:eastAsia="zh-CN" w:bidi="ar"/>
              </w:rPr>
            </w:pPr>
            <w:r>
              <w:rPr>
                <w:rFonts w:hint="eastAsia" w:ascii="宋体" w:hAnsi="宋体" w:eastAsia="宋体" w:cs="宋体"/>
                <w:kern w:val="0"/>
                <w:szCs w:val="21"/>
                <w:lang w:bidi="ar"/>
              </w:rPr>
              <w:t>21.支持智能识别书写笔，实现书写笔下笔自动进入批注模式，无需手动点击批注模式，更贴合真实使用体验</w:t>
            </w:r>
            <w:r>
              <w:rPr>
                <w:rFonts w:hint="eastAsia" w:ascii="宋体" w:hAnsi="宋体" w:eastAsia="宋体" w:cs="宋体"/>
                <w:kern w:val="0"/>
                <w:szCs w:val="21"/>
                <w:lang w:eastAsia="zh-CN" w:bidi="ar"/>
              </w:rPr>
              <w:t>。</w:t>
            </w:r>
            <w:r>
              <w:rPr>
                <w:rFonts w:hint="eastAsia" w:ascii="宋体" w:hAnsi="宋体" w:eastAsia="宋体" w:cs="宋体"/>
                <w:b/>
                <w:bCs/>
                <w:color w:val="FF0000"/>
                <w:kern w:val="0"/>
                <w:szCs w:val="21"/>
                <w:lang w:bidi="ar"/>
              </w:rPr>
              <w:t>提供承诺函（承诺合同签订前提供带CMA标识的第三方检测机构检测报告）</w:t>
            </w:r>
            <w:r>
              <w:rPr>
                <w:rFonts w:hint="eastAsia" w:ascii="宋体" w:hAnsi="宋体" w:eastAsia="宋体" w:cs="宋体"/>
                <w:b/>
                <w:bCs/>
                <w:color w:val="FF0000"/>
                <w:kern w:val="0"/>
                <w:szCs w:val="21"/>
                <w:lang w:eastAsia="zh-CN" w:bidi="ar"/>
              </w:rPr>
              <w:t>；</w:t>
            </w:r>
          </w:p>
          <w:p w14:paraId="2929FA39">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22.支持通过扫码方式上传移动设备的文件，可将微信聊天记录中的文件直接上传，大屏从云端下载文件后进行播放展示；</w:t>
            </w:r>
          </w:p>
          <w:p w14:paraId="0C00211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23.内含设备基础应用操作手册，内容分视频和文字版本，支持通过手机扫码方式获取相关内容，且支持一键快速连接在线客服，专人在线演示，及时解答产品疑问；</w:t>
            </w:r>
          </w:p>
          <w:p w14:paraId="07F42A0F">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24.支持设备休眠时清理应用内容功能，包含但不限于白板、批注等；</w:t>
            </w:r>
          </w:p>
          <w:p w14:paraId="3DC24C60">
            <w:pPr>
              <w:spacing w:line="288" w:lineRule="auto"/>
              <w:rPr>
                <w:rFonts w:hint="default" w:eastAsia="宋体" w:cs="Times New Roman"/>
                <w:lang w:val="en-US" w:eastAsia="zh-CN"/>
              </w:rPr>
            </w:pPr>
            <w:r>
              <w:rPr>
                <w:rFonts w:hint="eastAsia" w:ascii="宋体" w:hAnsi="宋体" w:eastAsia="宋体" w:cs="宋体"/>
                <w:kern w:val="0"/>
                <w:szCs w:val="21"/>
                <w:lang w:bidi="ar"/>
              </w:rPr>
              <w:t>25.支持与集控管理平台软件同步操作，实现集控相关功能，如：远程桌面控制，恢复出厂设置，检查系统更新，开关机，命令行等功能；</w:t>
            </w:r>
          </w:p>
          <w:p w14:paraId="72F9FD4C">
            <w:pPr>
              <w:spacing w:line="288" w:lineRule="auto"/>
              <w:rPr>
                <w:rFonts w:ascii="宋体" w:hAnsi="宋体" w:eastAsia="宋体" w:cs="宋体"/>
                <w:kern w:val="0"/>
                <w:szCs w:val="21"/>
                <w:lang w:bidi="ar"/>
              </w:rPr>
            </w:pPr>
            <w:r>
              <w:rPr>
                <w:rFonts w:hint="eastAsia" w:ascii="宋体" w:hAnsi="宋体" w:eastAsia="宋体" w:cs="宋体"/>
                <w:b/>
                <w:bCs/>
                <w:kern w:val="0"/>
                <w:szCs w:val="21"/>
                <w:lang w:bidi="ar"/>
              </w:rPr>
              <w:t>搪瓷白板与98寸一体机配套，具体参数如下</w:t>
            </w:r>
            <w:r>
              <w:rPr>
                <w:rFonts w:hint="eastAsia" w:ascii="宋体" w:hAnsi="宋体" w:eastAsia="宋体" w:cs="宋体"/>
                <w:kern w:val="0"/>
                <w:szCs w:val="21"/>
                <w:lang w:bidi="ar"/>
              </w:rPr>
              <w:t>：</w:t>
            </w:r>
          </w:p>
          <w:p w14:paraId="30DACAE4">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书写面板：板面选用白色专用搪瓷书写板，厚度大于0.4MM（包括油漆层）板面涂膜硬度&gt;6H—&gt;8H。板面匀一致、无凹凸不平、附着力良好。不打滑，干擦容易，书写流畅；书写面的颜色应均匀，有良好的耐光性；白板的色彩：白色，色调（H）为7.5GY—5BG，明度(v)为1.0-3.0，彩度(C)为1.0-4；白板的光泽度：白板表面光泽度&lt;6个光泽度单位，不会产生产生眩光；白板的易擦性：白板擦往复擦拭两次，没有清楚的残留字迹；湿式绿板擦擦拭，没有淤积的笔残迹；白板表面粗糙度和耐磨性：白板板面粗糙度为Ra1.6～3.2μm，板面表面粗糙度不小于Ra1.6μm；</w:t>
            </w:r>
          </w:p>
          <w:p w14:paraId="77184928">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2.内芯材料：一片高强度防潮ABS板，厚度为≧10mm，符合国家轻工业纸板标准QB/T 4153-2010；</w:t>
            </w:r>
          </w:p>
          <w:p w14:paraId="776CA3BD">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3.背板：背板采用镀锌钢板，厚度在0.23mm～0.27mm之间，符合国标连续热镀锌钢板GB/T 2518-2008；</w:t>
            </w:r>
          </w:p>
          <w:p w14:paraId="11D8031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4.边框材料：边框采用高强度工业用铝合金，表面电泳处理，厚度在1.2mm～1.5mm之间；</w:t>
            </w:r>
          </w:p>
          <w:p w14:paraId="20DB9C7B">
            <w:pPr>
              <w:spacing w:line="288" w:lineRule="auto"/>
              <w:rPr>
                <w:rFonts w:ascii="宋体" w:hAnsi="宋体" w:eastAsia="宋体" w:cs="宋体"/>
                <w:szCs w:val="21"/>
              </w:rPr>
            </w:pPr>
            <w:r>
              <w:rPr>
                <w:rFonts w:hint="eastAsia" w:ascii="宋体" w:hAnsi="宋体" w:eastAsia="宋体" w:cs="宋体"/>
                <w:kern w:val="0"/>
                <w:szCs w:val="21"/>
                <w:lang w:bidi="ar"/>
              </w:rPr>
              <w:t>5.塑料包角：抗疲劳ABS工程塑料，色泽接近铝框色，模具成型，参照国家塑料 未增塑聚氯乙烯模塑和挤出材料，GB/T 12001.2-2008。</w:t>
            </w:r>
          </w:p>
        </w:tc>
      </w:tr>
      <w:tr w14:paraId="0789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3AA7B7FE">
            <w:pPr>
              <w:widowControl/>
              <w:spacing w:line="288"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3</w:t>
            </w:r>
          </w:p>
        </w:tc>
        <w:tc>
          <w:tcPr>
            <w:tcW w:w="906" w:type="pct"/>
            <w:shd w:val="clear" w:color="auto" w:fill="auto"/>
            <w:vAlign w:val="center"/>
          </w:tcPr>
          <w:p w14:paraId="35207ECB">
            <w:pPr>
              <w:spacing w:line="288" w:lineRule="auto"/>
              <w:jc w:val="center"/>
              <w:rPr>
                <w:rFonts w:hint="eastAsia" w:ascii="宋体" w:hAnsi="宋体" w:eastAsia="宋体" w:cs="宋体"/>
                <w:szCs w:val="21"/>
              </w:rPr>
            </w:pPr>
            <w:r>
              <w:rPr>
                <w:rFonts w:hint="eastAsia" w:ascii="宋体" w:hAnsi="宋体" w:eastAsia="宋体" w:cs="宋体"/>
                <w:szCs w:val="21"/>
              </w:rPr>
              <w:t>辅助显示屏65寸及以上</w:t>
            </w:r>
          </w:p>
          <w:p w14:paraId="7566CF09">
            <w:pPr>
              <w:spacing w:line="288" w:lineRule="auto"/>
              <w:jc w:val="center"/>
              <w:rPr>
                <w:rFonts w:ascii="宋体" w:hAnsi="宋体" w:eastAsia="宋体" w:cs="宋体"/>
                <w:color w:val="FF0000"/>
                <w:szCs w:val="21"/>
              </w:rPr>
            </w:pPr>
            <w:r>
              <w:rPr>
                <w:rFonts w:hint="eastAsia" w:ascii="宋体" w:hAnsi="宋体" w:eastAsia="宋体" w:cs="宋体"/>
                <w:b/>
                <w:bCs/>
                <w:color w:val="FF0000"/>
                <w:szCs w:val="21"/>
                <w:lang w:eastAsia="zh-CN"/>
              </w:rPr>
              <w:t>（</w:t>
            </w:r>
            <w:r>
              <w:rPr>
                <w:rFonts w:hint="eastAsia" w:ascii="宋体" w:hAnsi="宋体" w:eastAsia="宋体" w:cs="宋体"/>
                <w:b/>
                <w:bCs/>
                <w:color w:val="FF0000"/>
                <w:szCs w:val="21"/>
                <w:lang w:val="en-US" w:eastAsia="zh-CN"/>
              </w:rPr>
              <w:t>政府强制节能产品</w:t>
            </w:r>
            <w:r>
              <w:rPr>
                <w:rFonts w:hint="eastAsia" w:ascii="宋体" w:hAnsi="宋体" w:eastAsia="宋体" w:cs="宋体"/>
                <w:b/>
                <w:bCs/>
                <w:color w:val="FF0000"/>
                <w:szCs w:val="21"/>
                <w:lang w:eastAsia="zh-CN"/>
              </w:rPr>
              <w:t>）</w:t>
            </w:r>
          </w:p>
        </w:tc>
        <w:tc>
          <w:tcPr>
            <w:tcW w:w="307" w:type="pct"/>
            <w:shd w:val="clear" w:color="auto" w:fill="FFFFFF"/>
            <w:vAlign w:val="center"/>
          </w:tcPr>
          <w:p w14:paraId="58175C37">
            <w:pPr>
              <w:spacing w:line="288" w:lineRule="auto"/>
              <w:jc w:val="center"/>
              <w:rPr>
                <w:rFonts w:ascii="宋体" w:hAnsi="宋体" w:eastAsia="宋体" w:cs="宋体"/>
                <w:szCs w:val="21"/>
              </w:rPr>
            </w:pPr>
            <w:r>
              <w:rPr>
                <w:rFonts w:hint="eastAsia" w:ascii="宋体" w:hAnsi="宋体" w:eastAsia="宋体" w:cs="宋体"/>
                <w:szCs w:val="21"/>
              </w:rPr>
              <w:t>22</w:t>
            </w:r>
          </w:p>
        </w:tc>
        <w:tc>
          <w:tcPr>
            <w:tcW w:w="288" w:type="pct"/>
            <w:shd w:val="clear" w:color="auto" w:fill="FFFFFF"/>
            <w:vAlign w:val="center"/>
          </w:tcPr>
          <w:p w14:paraId="4F4233FC">
            <w:pPr>
              <w:spacing w:line="288" w:lineRule="auto"/>
              <w:jc w:val="center"/>
              <w:rPr>
                <w:rFonts w:ascii="宋体" w:hAnsi="宋体" w:eastAsia="宋体" w:cs="宋体"/>
                <w:szCs w:val="21"/>
              </w:rPr>
            </w:pPr>
            <w:r>
              <w:rPr>
                <w:rFonts w:hint="eastAsia" w:ascii="宋体" w:hAnsi="宋体" w:eastAsia="宋体" w:cs="宋体"/>
                <w:szCs w:val="21"/>
              </w:rPr>
              <w:t>台</w:t>
            </w:r>
          </w:p>
        </w:tc>
        <w:tc>
          <w:tcPr>
            <w:tcW w:w="3156" w:type="pct"/>
            <w:vAlign w:val="center"/>
          </w:tcPr>
          <w:p w14:paraId="66FA1F5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1.为保证显示效果，要求整机屏幕采用65英寸及以上VA液晶屏，显示比例16:9，屏幕分辨率≥3840*2160，屏亮度≥350cd/㎡，对比度≥4000:1；</w:t>
            </w:r>
          </w:p>
          <w:p w14:paraId="6A17420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2.为保证显示色彩的丰富程度，色域≥90%DCI-P3(Typ)；</w:t>
            </w:r>
          </w:p>
          <w:p w14:paraId="6C7D3F37">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3.整机屏占比≥92%以上，整机最薄处≤25mm；</w:t>
            </w:r>
          </w:p>
          <w:p w14:paraId="7774C3C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4.整机采用不低于Android 11.0系统，内置CPU性能≥四核A55，内置GPU性能≥双核Mali G52，RAM≥4G，ROM≥32G；</w:t>
            </w:r>
          </w:p>
          <w:p w14:paraId="35DDD102">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5.采用2.0声道，内置扬声器功率≥20W；</w:t>
            </w:r>
          </w:p>
          <w:p w14:paraId="31641DA5">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6.无线模块支持802.11 a/b/g/n/ac/ax，工作频率2.4GHz/5GHz；</w:t>
            </w:r>
          </w:p>
          <w:p w14:paraId="338DF2DD">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7.最多支持搭配8个无线传屏器，画面分别投屏到同一个整机，可通过按键切换传输不同外部电脑的画面及声音</w:t>
            </w:r>
          </w:p>
          <w:p w14:paraId="554B9425">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8.应用窗口投屏时，电脑屏幕仍能打开别的应用处理其他事情，实现个人端隐私保护，能避免如微信弹窗；</w:t>
            </w:r>
          </w:p>
          <w:p w14:paraId="69B6B6E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9.传屏开启勿扰模式之后，不允许其他人再进行传屏，沉浸模式，避免在使用过程中，用户经常被其他人传屏顶替掉，造成使用中断；</w:t>
            </w:r>
          </w:p>
          <w:p w14:paraId="65152BA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10.可通过传屏工具栏暂停投屏功能进行画面冻结暂停，投屏电脑可自主进行其他操作，不影响整机的冻结画面内容显示；</w:t>
            </w:r>
          </w:p>
          <w:p w14:paraId="7346A54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11.支持通过系统设置开机自启动系统预装的应用；</w:t>
            </w:r>
          </w:p>
          <w:p w14:paraId="4FBE9CCD">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12.支持对接集控管理平台，实现一键巡检所有设备，实时查看设备运行状态，必要时可通过远程桌面操控对应设备；</w:t>
            </w:r>
          </w:p>
          <w:p w14:paraId="38B5FBA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13.支持通过系统设置滚动字幕，作为设备常驻上方的文字通知内容，设置的内容包含文字内容、显示方式（静态显示、向左滚动）、文字大小、文字颜色；</w:t>
            </w:r>
          </w:p>
          <w:p w14:paraId="5F9314B2">
            <w:pPr>
              <w:spacing w:line="288" w:lineRule="auto"/>
              <w:rPr>
                <w:rFonts w:ascii="宋体" w:hAnsi="宋体" w:eastAsia="宋体" w:cs="宋体"/>
                <w:szCs w:val="21"/>
              </w:rPr>
            </w:pPr>
            <w:r>
              <w:rPr>
                <w:rFonts w:hint="eastAsia" w:ascii="宋体" w:hAnsi="宋体" w:eastAsia="宋体" w:cs="宋体"/>
                <w:kern w:val="0"/>
                <w:szCs w:val="21"/>
                <w:lang w:bidi="ar"/>
              </w:rPr>
              <w:t>14.I/O接口：≥2路HDMI IN，≥4路 USB接口（前置≥2路，后置≥2路，至少包含1路USB3.0），≥1路Line in，≥1路AUDIO OUT，≥1路RJ45 IN，≥1路RS232。</w:t>
            </w:r>
          </w:p>
        </w:tc>
      </w:tr>
      <w:tr w14:paraId="45C6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59AD4CDB">
            <w:pPr>
              <w:widowControl/>
              <w:spacing w:line="288"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4</w:t>
            </w:r>
          </w:p>
        </w:tc>
        <w:tc>
          <w:tcPr>
            <w:tcW w:w="906" w:type="pct"/>
            <w:shd w:val="clear" w:color="auto" w:fill="auto"/>
            <w:vAlign w:val="center"/>
          </w:tcPr>
          <w:p w14:paraId="64753310">
            <w:pPr>
              <w:spacing w:line="288" w:lineRule="auto"/>
              <w:jc w:val="center"/>
              <w:rPr>
                <w:rFonts w:hint="eastAsia" w:ascii="宋体" w:hAnsi="宋体" w:eastAsia="宋体" w:cs="宋体"/>
                <w:szCs w:val="21"/>
              </w:rPr>
            </w:pPr>
            <w:r>
              <w:rPr>
                <w:rFonts w:hint="eastAsia" w:ascii="宋体" w:hAnsi="宋体" w:eastAsia="宋体" w:cs="宋体"/>
                <w:szCs w:val="21"/>
              </w:rPr>
              <w:t>电动升降讲台（含中控系统显示器）（定制）</w:t>
            </w:r>
          </w:p>
          <w:p w14:paraId="1A3E8149">
            <w:pPr>
              <w:spacing w:line="288" w:lineRule="auto"/>
              <w:jc w:val="center"/>
              <w:rPr>
                <w:rFonts w:hint="default" w:ascii="宋体" w:hAnsi="宋体" w:eastAsia="宋体" w:cs="宋体"/>
                <w:b/>
                <w:bCs/>
                <w:szCs w:val="21"/>
                <w:lang w:val="en-US" w:eastAsia="zh-CN" w:bidi="ar"/>
              </w:rPr>
            </w:pPr>
            <w:r>
              <w:rPr>
                <w:rFonts w:hint="eastAsia" w:ascii="宋体" w:hAnsi="宋体" w:eastAsia="宋体" w:cs="宋体"/>
                <w:b/>
                <w:bCs/>
                <w:szCs w:val="21"/>
                <w:lang w:val="en-US" w:eastAsia="zh-CN" w:bidi="ar"/>
              </w:rPr>
              <w:t>（提供实物图片）</w:t>
            </w:r>
          </w:p>
          <w:p w14:paraId="4828777F">
            <w:pPr>
              <w:spacing w:line="288" w:lineRule="auto"/>
              <w:jc w:val="center"/>
              <w:rPr>
                <w:rFonts w:ascii="宋体" w:hAnsi="宋体" w:eastAsia="宋体" w:cs="宋体"/>
                <w:szCs w:val="21"/>
              </w:rPr>
            </w:pPr>
          </w:p>
        </w:tc>
        <w:tc>
          <w:tcPr>
            <w:tcW w:w="307" w:type="pct"/>
            <w:shd w:val="clear" w:color="auto" w:fill="FFFFFF"/>
            <w:vAlign w:val="center"/>
          </w:tcPr>
          <w:p w14:paraId="06F3AB14">
            <w:pPr>
              <w:spacing w:line="288" w:lineRule="auto"/>
              <w:jc w:val="center"/>
              <w:rPr>
                <w:rFonts w:ascii="宋体" w:hAnsi="宋体" w:eastAsia="宋体" w:cs="宋体"/>
                <w:szCs w:val="21"/>
              </w:rPr>
            </w:pPr>
            <w:r>
              <w:rPr>
                <w:rFonts w:hint="eastAsia" w:ascii="宋体" w:hAnsi="宋体" w:eastAsia="宋体" w:cs="宋体"/>
                <w:szCs w:val="21"/>
              </w:rPr>
              <w:t>8</w:t>
            </w:r>
          </w:p>
        </w:tc>
        <w:tc>
          <w:tcPr>
            <w:tcW w:w="288" w:type="pct"/>
            <w:shd w:val="clear" w:color="auto" w:fill="FFFFFF"/>
            <w:vAlign w:val="center"/>
          </w:tcPr>
          <w:p w14:paraId="6613F109">
            <w:pPr>
              <w:spacing w:line="288" w:lineRule="auto"/>
              <w:jc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3F2F34D4">
            <w:pPr>
              <w:spacing w:line="288" w:lineRule="auto"/>
              <w:rPr>
                <w:rFonts w:ascii="宋体" w:hAnsi="宋体" w:eastAsia="宋体" w:cs="宋体"/>
                <w:b/>
                <w:szCs w:val="21"/>
                <w:lang w:bidi="ar"/>
              </w:rPr>
            </w:pPr>
            <w:r>
              <w:rPr>
                <w:rFonts w:ascii="宋体" w:hAnsi="宋体" w:eastAsia="宋体" w:cs="宋体"/>
                <w:szCs w:val="21"/>
                <w:lang w:bidi="ar"/>
              </w:rPr>
              <w:t>1.</w:t>
            </w:r>
            <w:r>
              <w:rPr>
                <w:rFonts w:hint="eastAsia" w:ascii="宋体" w:hAnsi="宋体" w:eastAsia="宋体" w:cs="宋体"/>
                <w:kern w:val="0"/>
                <w:szCs w:val="21"/>
                <w:lang w:bidi="ar"/>
              </w:rPr>
              <w:t>桌面板材采用≥25mm厚度免漆板，颜色白色，封边条厚度≥2mm</w:t>
            </w:r>
            <w:r>
              <w:rPr>
                <w:rFonts w:hint="eastAsia" w:ascii="宋体" w:hAnsi="宋体" w:eastAsia="宋体" w:cs="宋体"/>
                <w:b/>
                <w:szCs w:val="21"/>
                <w:lang w:bidi="ar"/>
              </w:rPr>
              <w:t>（甲醛释放量符合GB/T 39600-2021中</w:t>
            </w:r>
            <w:r>
              <w:rPr>
                <w:rFonts w:hint="eastAsia" w:ascii="宋体" w:hAnsi="宋体" w:eastAsia="宋体" w:cs="宋体"/>
                <w:b/>
                <w:kern w:val="0"/>
                <w:szCs w:val="21"/>
              </w:rPr>
              <w:t>E0级标准，</w:t>
            </w:r>
            <w:r>
              <w:rPr>
                <w:rFonts w:hint="eastAsia" w:ascii="宋体" w:hAnsi="宋体" w:eastAsia="宋体" w:cs="宋体"/>
                <w:b/>
                <w:szCs w:val="21"/>
                <w:lang w:bidi="ar"/>
              </w:rPr>
              <w:t>项目验收时提供带CMA标识的第三方检测机构出具的检测/检验报告）</w:t>
            </w:r>
          </w:p>
          <w:p w14:paraId="558504BD">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2.桌板前部具备多层板弯曲而成的木色高围挡设计，表面喷漆；桌面两侧前方具有和围挡同色的木凸台。</w:t>
            </w:r>
          </w:p>
          <w:p w14:paraId="7FB2A1D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3.讲桌的桌架型材采用钢材，表面处理选用静电喷涂技术，颜色白色。</w:t>
            </w:r>
          </w:p>
          <w:p w14:paraId="221BB2E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4.讲桌采用双电机两节电动升降立柱。控制盒带陀螺仪功能：遇阻回退防夹保护，桌面震动和突然倾斜立刻停止降。</w:t>
            </w:r>
          </w:p>
          <w:p w14:paraId="37721C0A">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5.讲桌左右两侧具有用于走线的尼龙坦克链拖链，强弱电线缆分开走线，升降过程中线缆两头不会被拉扯。</w:t>
            </w:r>
          </w:p>
          <w:p w14:paraId="55104CEA">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6.讲桌内置≥8U 19英寸标准机架，前后门都可以打开，前后门都具有散热孔。前门带锁。</w:t>
            </w:r>
          </w:p>
          <w:p w14:paraId="0C805B4A">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7.讲桌的显示器支架具有轨道可整体抽出。显示器支架可支持电动翻转，可翻转角度≥20°，同时显示器支架底座设计键鼠收纳空间，用于存放键鼠设备。</w:t>
            </w:r>
          </w:p>
          <w:p w14:paraId="7E44584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8.讲桌需具备电动升降结构，桌面的离地总高度升降范围：≥715mm~1115mm，高度可调节。</w:t>
            </w:r>
          </w:p>
          <w:p w14:paraId="543C52D4">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9.讲桌的桌面上至少需具备1个以上万能5孔220V电源插座、1个以上的USB接口，1路笔记本电脑的标准HDMI输入接口。</w:t>
            </w:r>
          </w:p>
          <w:p w14:paraId="485BB381">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10.讲桌需具备可控制桌面显示屏翻转的物理按键，能有效避免屏幕反光。</w:t>
            </w:r>
          </w:p>
          <w:p w14:paraId="293AACC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11.讲桌需具备可控制桌面升降的物理升降按键，并支持在升降过程中实时显示当前的桌面高度。</w:t>
            </w:r>
          </w:p>
          <w:p w14:paraId="69B35BF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中控功能如下：</w:t>
            </w:r>
          </w:p>
          <w:p w14:paraId="4BD905A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讲台高清触控屏可替代老师电脑显示器使用，既是智慧教室终端的操控屏又是老师电脑显示屏，要求采用不小于29英寸电容屏，21:9显示比例，支持1080p及以上高清显示和多点触控；左侧16:9显示比例区域为屏幕显示区，右侧5:9显示比例区域为中控界面区，内置摄像头、IC卡读卡器、USB接口等功能，方便老师高频使用；</w:t>
            </w:r>
          </w:p>
          <w:p w14:paraId="2A0E6E6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2.要求录播画面在讲台高清触控屏上可实时预览，并支持录制、暂停、停止等操作，录制开启时能在教室显示大屏/投影幕布上呈现准备开始的倒计时，提醒师生即将开始录制；</w:t>
            </w:r>
          </w:p>
          <w:p w14:paraId="3F01507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3.内置多路信号源快速切换功能，通过讲台高清触控屏操控即可对内置电脑、外接笔记本、无线投屏等视频信号进行快速切换。</w:t>
            </w:r>
          </w:p>
        </w:tc>
      </w:tr>
      <w:tr w14:paraId="4BA0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51688809">
            <w:pPr>
              <w:widowControl/>
              <w:spacing w:line="288"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5</w:t>
            </w:r>
          </w:p>
        </w:tc>
        <w:tc>
          <w:tcPr>
            <w:tcW w:w="906" w:type="pct"/>
            <w:shd w:val="clear" w:color="auto" w:fill="auto"/>
            <w:vAlign w:val="center"/>
          </w:tcPr>
          <w:p w14:paraId="28A3B307">
            <w:pPr>
              <w:spacing w:line="288" w:lineRule="auto"/>
              <w:jc w:val="center"/>
              <w:rPr>
                <w:rFonts w:hint="eastAsia" w:ascii="宋体" w:hAnsi="宋体" w:eastAsia="宋体" w:cs="宋体"/>
                <w:szCs w:val="21"/>
              </w:rPr>
            </w:pPr>
            <w:r>
              <w:rPr>
                <w:rFonts w:hint="eastAsia" w:ascii="宋体" w:hAnsi="宋体" w:eastAsia="宋体" w:cs="宋体"/>
                <w:szCs w:val="21"/>
              </w:rPr>
              <w:t>学生桌椅（定制、含地面修复与提升）</w:t>
            </w:r>
          </w:p>
          <w:p w14:paraId="7ABAFE27">
            <w:pPr>
              <w:spacing w:line="288" w:lineRule="auto"/>
              <w:jc w:val="center"/>
              <w:rPr>
                <w:rFonts w:ascii="宋体" w:hAnsi="宋体" w:eastAsia="宋体" w:cs="宋体"/>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提供实物图片）</w:t>
            </w:r>
          </w:p>
        </w:tc>
        <w:tc>
          <w:tcPr>
            <w:tcW w:w="307" w:type="pct"/>
            <w:shd w:val="clear" w:color="auto" w:fill="FFFFFF"/>
            <w:vAlign w:val="center"/>
          </w:tcPr>
          <w:p w14:paraId="44CCAE6C">
            <w:pPr>
              <w:spacing w:line="288" w:lineRule="auto"/>
              <w:jc w:val="center"/>
              <w:rPr>
                <w:rFonts w:ascii="宋体" w:hAnsi="宋体" w:eastAsia="宋体" w:cs="宋体"/>
                <w:szCs w:val="21"/>
              </w:rPr>
            </w:pPr>
            <w:r>
              <w:rPr>
                <w:rFonts w:hint="eastAsia" w:ascii="宋体" w:hAnsi="宋体" w:eastAsia="宋体" w:cs="宋体"/>
                <w:szCs w:val="21"/>
              </w:rPr>
              <w:t>8</w:t>
            </w:r>
          </w:p>
        </w:tc>
        <w:tc>
          <w:tcPr>
            <w:tcW w:w="288" w:type="pct"/>
            <w:shd w:val="clear" w:color="auto" w:fill="FFFFFF"/>
            <w:vAlign w:val="center"/>
          </w:tcPr>
          <w:p w14:paraId="4B9EDAA6">
            <w:pPr>
              <w:spacing w:line="288" w:lineRule="auto"/>
              <w:jc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7C34343D">
            <w:pPr>
              <w:spacing w:line="288" w:lineRule="auto"/>
              <w:rPr>
                <w:rFonts w:hint="default" w:ascii="宋体" w:hAnsi="宋体" w:eastAsia="宋体" w:cs="宋体"/>
                <w:szCs w:val="21"/>
                <w:lang w:val="en-US" w:eastAsia="zh-CN"/>
              </w:rPr>
            </w:pPr>
            <w:r>
              <w:rPr>
                <w:rFonts w:hint="eastAsia" w:ascii="宋体" w:hAnsi="宋体" w:eastAsia="宋体" w:cs="宋体"/>
                <w:szCs w:val="21"/>
              </w:rPr>
              <w:t>8间*9</w:t>
            </w:r>
            <w:r>
              <w:rPr>
                <w:rFonts w:hint="eastAsia" w:ascii="宋体" w:hAnsi="宋体" w:eastAsia="宋体" w:cs="宋体"/>
                <w:szCs w:val="21"/>
                <w:lang w:val="en-US" w:eastAsia="zh-CN"/>
              </w:rPr>
              <w:t>0</w:t>
            </w:r>
            <w:r>
              <w:rPr>
                <w:rFonts w:hint="eastAsia" w:ascii="宋体" w:hAnsi="宋体" w:eastAsia="宋体" w:cs="宋体"/>
                <w:szCs w:val="21"/>
              </w:rPr>
              <w:t>座</w:t>
            </w:r>
            <w:r>
              <w:rPr>
                <w:rFonts w:hint="eastAsia" w:ascii="宋体" w:hAnsi="宋体" w:eastAsia="宋体" w:cs="宋体"/>
                <w:szCs w:val="21"/>
                <w:lang w:val="en-US" w:eastAsia="zh-CN"/>
              </w:rPr>
              <w:t>及以上</w:t>
            </w:r>
            <w:r>
              <w:rPr>
                <w:rFonts w:hint="eastAsia" w:ascii="宋体" w:hAnsi="宋体" w:eastAsia="宋体" w:cs="宋体"/>
                <w:szCs w:val="21"/>
              </w:rPr>
              <w:t>学生桌椅。</w:t>
            </w:r>
          </w:p>
          <w:p w14:paraId="14510895">
            <w:pPr>
              <w:spacing w:line="288" w:lineRule="auto"/>
              <w:rPr>
                <w:rFonts w:ascii="宋体" w:hAnsi="宋体" w:eastAsia="宋体" w:cs="宋体"/>
                <w:szCs w:val="21"/>
              </w:rPr>
            </w:pPr>
            <w:r>
              <w:rPr>
                <w:rFonts w:hint="eastAsia" w:ascii="宋体" w:hAnsi="宋体" w:eastAsia="宋体" w:cs="宋体"/>
                <w:szCs w:val="21"/>
              </w:rPr>
              <w:t>主要规格：中心距：520mm；排距：建议排距900mm，最小适用排距850mm；桌面：高度750mm，有效台面宽度300mm；座高：430mm。背板：采用多层板双面贴防火板，厚度10mm。台面：台面宽度300mm，厚度25mm实木颗粒纤维板贴榉木色防火板，圆边处理。二层写字板采用15mm厚度，层板宽240-250mm，实木颗粒防火面处理。配备书网兜。站脚：采用优质A级冷轧钢80*35*1.5mm椭圆管油压成形，顶部用塑壳封口，脚底采用2.0mm冷板冲压成型。座托支撑处采用直径圆形带鼓配件设计，表面作防氧化处理后静电喷塑处理。背边条：背边条采用足2.0mm冷板冲压成型，上下边条采用1.5mm冷板冲压成型焊接打磨而成，连接处看不到明显接缝。表面作防氧化处理后静电喷塑处理。座板：采用15mm模压优质高强度多层胶合板弯曲成型。人机工学设计曲面弧度，前翘曲线贴合坐姿，双面面饰防火板，周边环保油漆封边。回复机构：采用耐疲劳性重力自动回复机构。联排方式：多位一体联排，加强式设计，整体更牢靠</w:t>
            </w:r>
            <w:r>
              <w:rPr>
                <w:rFonts w:hint="eastAsia" w:ascii="宋体" w:hAnsi="宋体" w:eastAsia="宋体" w:cs="宋体"/>
                <w:b/>
                <w:szCs w:val="21"/>
                <w:lang w:bidi="ar"/>
              </w:rPr>
              <w:t>（甲醛释放量符合GB/T 39600-2021中</w:t>
            </w:r>
            <w:r>
              <w:rPr>
                <w:rFonts w:hint="eastAsia" w:ascii="宋体" w:hAnsi="宋体" w:eastAsia="宋体" w:cs="宋体"/>
                <w:b/>
                <w:kern w:val="0"/>
                <w:szCs w:val="21"/>
              </w:rPr>
              <w:t>E0级标准，</w:t>
            </w:r>
            <w:r>
              <w:rPr>
                <w:rFonts w:hint="eastAsia" w:ascii="宋体" w:hAnsi="宋体" w:eastAsia="宋体" w:cs="宋体"/>
                <w:b/>
                <w:szCs w:val="21"/>
                <w:lang w:bidi="ar"/>
              </w:rPr>
              <w:t>项目验收时提供带CMA标识的第三方检测机构出具的检测/检验报告）</w:t>
            </w:r>
          </w:p>
        </w:tc>
      </w:tr>
      <w:tr w14:paraId="3248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080D8EB2">
            <w:pPr>
              <w:widowControl/>
              <w:spacing w:line="288"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6</w:t>
            </w:r>
          </w:p>
        </w:tc>
        <w:tc>
          <w:tcPr>
            <w:tcW w:w="906" w:type="pct"/>
            <w:shd w:val="clear" w:color="auto" w:fill="auto"/>
            <w:vAlign w:val="center"/>
          </w:tcPr>
          <w:p w14:paraId="47BD1D04">
            <w:pPr>
              <w:spacing w:line="288" w:lineRule="auto"/>
              <w:jc w:val="center"/>
              <w:rPr>
                <w:rFonts w:hint="eastAsia" w:ascii="宋体" w:hAnsi="宋体" w:eastAsia="宋体" w:cs="宋体"/>
                <w:szCs w:val="21"/>
              </w:rPr>
            </w:pPr>
            <w:r>
              <w:rPr>
                <w:rFonts w:hint="eastAsia" w:ascii="宋体" w:hAnsi="宋体" w:eastAsia="宋体" w:cs="宋体"/>
                <w:szCs w:val="21"/>
              </w:rPr>
              <w:t>电子班牌</w:t>
            </w:r>
          </w:p>
          <w:p w14:paraId="65A495AB">
            <w:pPr>
              <w:spacing w:line="288" w:lineRule="auto"/>
              <w:jc w:val="center"/>
              <w:rPr>
                <w:rFonts w:hint="eastAsia" w:ascii="宋体" w:hAnsi="宋体" w:eastAsia="宋体" w:cs="宋体"/>
                <w:kern w:val="0"/>
                <w:szCs w:val="21"/>
                <w:lang w:bidi="ar"/>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提供实物图片）</w:t>
            </w:r>
          </w:p>
          <w:p w14:paraId="4754F986">
            <w:pPr>
              <w:spacing w:line="288" w:lineRule="auto"/>
              <w:jc w:val="center"/>
              <w:rPr>
                <w:rFonts w:ascii="宋体" w:hAnsi="宋体" w:eastAsia="宋体" w:cs="宋体"/>
                <w:color w:val="FF0000"/>
                <w:szCs w:val="21"/>
              </w:rPr>
            </w:pPr>
          </w:p>
        </w:tc>
        <w:tc>
          <w:tcPr>
            <w:tcW w:w="307" w:type="pct"/>
            <w:shd w:val="clear" w:color="auto" w:fill="FFFFFF"/>
            <w:vAlign w:val="center"/>
          </w:tcPr>
          <w:p w14:paraId="20102D48">
            <w:pPr>
              <w:spacing w:line="288" w:lineRule="auto"/>
              <w:jc w:val="center"/>
              <w:rPr>
                <w:rFonts w:ascii="宋体" w:hAnsi="宋体" w:eastAsia="宋体" w:cs="宋体"/>
                <w:szCs w:val="21"/>
              </w:rPr>
            </w:pPr>
            <w:r>
              <w:rPr>
                <w:rFonts w:hint="eastAsia" w:ascii="宋体" w:hAnsi="宋体" w:eastAsia="宋体" w:cs="宋体"/>
                <w:szCs w:val="21"/>
              </w:rPr>
              <w:t>8</w:t>
            </w:r>
          </w:p>
        </w:tc>
        <w:tc>
          <w:tcPr>
            <w:tcW w:w="288" w:type="pct"/>
            <w:shd w:val="clear" w:color="auto" w:fill="FFFFFF"/>
            <w:vAlign w:val="center"/>
          </w:tcPr>
          <w:p w14:paraId="60D2D00A">
            <w:pPr>
              <w:spacing w:line="288" w:lineRule="auto"/>
              <w:jc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54A9E8D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电子班牌与教务系统排课数据、调课数据同步</w:t>
            </w:r>
          </w:p>
          <w:p w14:paraId="70023B3F">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1.硬件参数</w:t>
            </w:r>
          </w:p>
          <w:p w14:paraId="0C367DB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 RK3288 Cortex-A17 1.8GHz超强四核处理器(或优于)，Android 5.1及以上操作系统，内存/LDDR3≥2GB，内置FLASH闪存≥16GB EMMC；</w:t>
            </w:r>
          </w:p>
          <w:p w14:paraId="518F2A8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1.2 金属制侧面、正面机身，窄边框圆角设计，壁挂式，自带安装挂板；</w:t>
            </w:r>
          </w:p>
          <w:p w14:paraId="2D874BE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1.3 显示屏分辨率≥1920*1080，显示尺寸约21.5寸，透光率＞90%，亮度≥400cd/m2；</w:t>
            </w:r>
          </w:p>
          <w:p w14:paraId="164D6702">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1.4 ≥10点触控屏幕，电容触摸技术，响应时间＜5ms，任何一触屏点可承受＞5000万次的触摸；</w:t>
            </w:r>
          </w:p>
          <w:p w14:paraId="6D069B2D">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1.5 防盗锁孔设计，隐藏式按键(开关键、接口隐藏式设计)；</w:t>
            </w:r>
          </w:p>
          <w:p w14:paraId="78F7F101">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1.6 具备蓝牙+WIFI模块，支持Wi-Fi 802.11b/g/n协议；</w:t>
            </w:r>
          </w:p>
          <w:p w14:paraId="18655FA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1.7 ≥2*2W立体声喇叭；</w:t>
            </w:r>
          </w:p>
          <w:p w14:paraId="089930A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1.8 前置≥200W 1080P高清宽动态摄像头，≥720P人脸识别或刷卡开启教室设备。</w:t>
            </w:r>
          </w:p>
          <w:p w14:paraId="62037CB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2.客户端软件</w:t>
            </w:r>
          </w:p>
          <w:p w14:paraId="31DEC3E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2.1 校园多媒体信息发布：学校通知公告、教室信息介绍等；</w:t>
            </w:r>
          </w:p>
          <w:p w14:paraId="1C5B29D2">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2.2 考勤考核管理：对接校园一卡通，刷卡、人脸识别；</w:t>
            </w:r>
          </w:p>
          <w:p w14:paraId="0DDE604D">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2.3 教学管理系统：选课信息管理查询等；</w:t>
            </w:r>
          </w:p>
          <w:p w14:paraId="4CF406F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2.4 多模式切换：上课模式、考试模式等；</w:t>
            </w:r>
          </w:p>
          <w:p w14:paraId="3CCAFBD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2.5 课表展示：对接教务系统实时展示查询学校课表；</w:t>
            </w:r>
          </w:p>
          <w:p w14:paraId="1D3E8944">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2.6 物联管理：对接教室灯光、窗帘及门禁系统等；</w:t>
            </w:r>
          </w:p>
          <w:p w14:paraId="02CC9F5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2.7 多系统对接：对接监控、录播等系统实时督导教学状态；</w:t>
            </w:r>
          </w:p>
          <w:p w14:paraId="7326C074">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2.8 终端一体化管理：局域网内Web端、移动端多方位管理；</w:t>
            </w:r>
          </w:p>
          <w:p w14:paraId="42897112">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2.9 系统数据由终端硬件设备识别(刷卡、密码、人脸等)检测所上传，数据实时同步至管理后台并由管理后台统筹智能硬件终端系统。</w:t>
            </w:r>
          </w:p>
          <w:p w14:paraId="6253B74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3.平台软件</w:t>
            </w:r>
          </w:p>
          <w:p w14:paraId="5AA9C9B8">
            <w:pPr>
              <w:spacing w:line="288" w:lineRule="auto"/>
              <w:rPr>
                <w:rFonts w:ascii="宋体" w:hAnsi="宋体" w:eastAsia="宋体" w:cs="宋体"/>
                <w:szCs w:val="21"/>
              </w:rPr>
            </w:pPr>
            <w:r>
              <w:rPr>
                <w:rFonts w:hint="eastAsia" w:ascii="宋体" w:hAnsi="宋体" w:eastAsia="宋体" w:cs="宋体"/>
                <w:kern w:val="0"/>
                <w:szCs w:val="21"/>
                <w:lang w:bidi="ar"/>
              </w:rPr>
              <w:t xml:space="preserve">与学校原有班牌管理平台数据互通实现统一平台管理。          </w:t>
            </w:r>
          </w:p>
        </w:tc>
      </w:tr>
      <w:tr w14:paraId="64EC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6E151DAB">
            <w:pPr>
              <w:widowControl/>
              <w:spacing w:line="288"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7</w:t>
            </w:r>
          </w:p>
        </w:tc>
        <w:tc>
          <w:tcPr>
            <w:tcW w:w="906" w:type="pct"/>
            <w:shd w:val="clear" w:color="auto" w:fill="auto"/>
            <w:vAlign w:val="center"/>
          </w:tcPr>
          <w:p w14:paraId="3630ABE4">
            <w:pPr>
              <w:spacing w:line="288" w:lineRule="auto"/>
              <w:jc w:val="center"/>
              <w:rPr>
                <w:rFonts w:ascii="宋体" w:hAnsi="宋体" w:eastAsia="宋体" w:cs="宋体"/>
                <w:szCs w:val="21"/>
              </w:rPr>
            </w:pPr>
            <w:r>
              <w:rPr>
                <w:rFonts w:hint="eastAsia" w:ascii="宋体" w:hAnsi="宋体" w:eastAsia="宋体" w:cs="宋体"/>
                <w:szCs w:val="21"/>
              </w:rPr>
              <w:t>扩音设备</w:t>
            </w:r>
          </w:p>
        </w:tc>
        <w:tc>
          <w:tcPr>
            <w:tcW w:w="307" w:type="pct"/>
            <w:shd w:val="clear" w:color="auto" w:fill="FFFFFF"/>
            <w:vAlign w:val="center"/>
          </w:tcPr>
          <w:p w14:paraId="10F81A17">
            <w:pPr>
              <w:spacing w:line="288" w:lineRule="auto"/>
              <w:jc w:val="center"/>
              <w:rPr>
                <w:rFonts w:ascii="宋体" w:hAnsi="宋体" w:eastAsia="宋体" w:cs="宋体"/>
                <w:szCs w:val="21"/>
              </w:rPr>
            </w:pPr>
            <w:r>
              <w:rPr>
                <w:rFonts w:hint="eastAsia" w:ascii="宋体" w:hAnsi="宋体" w:eastAsia="宋体" w:cs="宋体"/>
                <w:szCs w:val="21"/>
              </w:rPr>
              <w:t>8</w:t>
            </w:r>
          </w:p>
        </w:tc>
        <w:tc>
          <w:tcPr>
            <w:tcW w:w="288" w:type="pct"/>
            <w:shd w:val="clear" w:color="auto" w:fill="FFFFFF"/>
            <w:vAlign w:val="center"/>
          </w:tcPr>
          <w:p w14:paraId="2CE82F1F">
            <w:pPr>
              <w:spacing w:line="288" w:lineRule="auto"/>
              <w:jc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3162859F">
            <w:pPr>
              <w:spacing w:line="288" w:lineRule="auto"/>
              <w:rPr>
                <w:rFonts w:ascii="宋体" w:hAnsi="宋体" w:eastAsia="宋体" w:cs="宋体"/>
                <w:b/>
                <w:bCs/>
                <w:kern w:val="0"/>
                <w:szCs w:val="21"/>
                <w:lang w:bidi="ar"/>
              </w:rPr>
            </w:pPr>
            <w:r>
              <w:rPr>
                <w:rFonts w:hint="eastAsia" w:ascii="宋体" w:hAnsi="宋体" w:eastAsia="宋体" w:cs="宋体"/>
                <w:b/>
                <w:bCs/>
                <w:kern w:val="0"/>
                <w:szCs w:val="21"/>
                <w:lang w:bidi="ar"/>
              </w:rPr>
              <w:t>数字红外无线教学扩声系统主机</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提供实物图片）</w:t>
            </w:r>
          </w:p>
          <w:p w14:paraId="1839AC2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1.系统采用数字红外音频传输及控制技术；</w:t>
            </w:r>
          </w:p>
          <w:p w14:paraId="4BFD345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2.具有2个RJ45接口，用于连接数字红外接收器；</w:t>
            </w:r>
          </w:p>
          <w:p w14:paraId="03415910">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3.需具有2个无线麦克风同时工作，方便老师与学生互动；</w:t>
            </w:r>
          </w:p>
          <w:p w14:paraId="04B86ED2">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4.内置功放，不少于4个音箱输出接口，功率：60 W×2（8 Ω/6Ω）,30 W×4（8 Ω）；</w:t>
            </w:r>
          </w:p>
          <w:p w14:paraId="459EF1C7">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5.线路输入/输出接口：≥2路线路输入，线路输入1具有内置幻象电源，≥2路线路输出，≥1路录音输出接口，用于常态化录播；</w:t>
            </w:r>
          </w:p>
          <w:p w14:paraId="1391373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6.具有USB Link功能，≥2路USB接口：1路USB接口连接电脑可实现数字音频信号双向无损传输，通过配套的数字红外无线麦克风可实现PPT翻页功能；另1路USB口用于连接麦克风充电座或有线麦克风进行音频传输；</w:t>
            </w:r>
          </w:p>
          <w:p w14:paraId="37EA6C4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7.具有OLED显示屏，显示主机状态、设置系统时的菜单显示及全局音量调节；需支持话筒灵敏度、线路输入音量、高低音及啸叫抑制等调节功能；</w:t>
            </w:r>
          </w:p>
          <w:p w14:paraId="6E699C3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8.≥1个RJ45网络接口，用于连接以太网，可以通过网页查询系统状态及调节系统参数；配合教学扩声管理平台，实现教学扩声设备统一管理；</w:t>
            </w:r>
          </w:p>
          <w:p w14:paraId="057D389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9.频率响应：≥50 Hz ~  20 kHz；信噪比：≥90dBA，动态范围： ≥85dB，总谐波失真: ≤0.05%；</w:t>
            </w:r>
          </w:p>
          <w:p w14:paraId="734BCD58">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10.不少于2路RS-232连接串口，用于连接中控系统，可实现集中控制。</w:t>
            </w:r>
          </w:p>
          <w:p w14:paraId="743BE36B">
            <w:pPr>
              <w:spacing w:line="288" w:lineRule="auto"/>
              <w:rPr>
                <w:rFonts w:ascii="宋体" w:hAnsi="宋体" w:eastAsia="宋体" w:cs="宋体"/>
                <w:b/>
                <w:bCs/>
                <w:kern w:val="0"/>
                <w:szCs w:val="21"/>
                <w:lang w:bidi="ar"/>
              </w:rPr>
            </w:pPr>
            <w:r>
              <w:rPr>
                <w:rFonts w:hint="eastAsia" w:ascii="宋体" w:hAnsi="宋体" w:eastAsia="宋体" w:cs="宋体"/>
                <w:b/>
                <w:bCs/>
                <w:kern w:val="0"/>
                <w:szCs w:val="21"/>
                <w:lang w:bidi="ar"/>
              </w:rPr>
              <w:t>数字红外接收器</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提供实物图片）</w:t>
            </w:r>
          </w:p>
          <w:p w14:paraId="7E2DD70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 xml:space="preserve">1.数字红外音频传输及控制技术； </w:t>
            </w:r>
          </w:p>
          <w:p w14:paraId="2C3CB267">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2.不受高频驱动光源干扰，可正常工作于阳光下的环境；</w:t>
            </w:r>
          </w:p>
          <w:p w14:paraId="66D68039">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 xml:space="preserve">3.接收角度：垂直：150° (±75°)，水平：360°; </w:t>
            </w:r>
          </w:p>
          <w:p w14:paraId="5BD4DB39">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4.直视距离：25 米；覆盖面积：约80-100平米；</w:t>
            </w:r>
          </w:p>
          <w:p w14:paraId="55507721">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5.1个RJ45接口，用于连接RJ45延长网线。</w:t>
            </w:r>
          </w:p>
          <w:p w14:paraId="7A0233A5">
            <w:pPr>
              <w:spacing w:line="288" w:lineRule="auto"/>
              <w:rPr>
                <w:rFonts w:ascii="宋体" w:hAnsi="宋体" w:eastAsia="宋体" w:cs="宋体"/>
                <w:b/>
                <w:bCs/>
                <w:kern w:val="0"/>
                <w:szCs w:val="21"/>
                <w:lang w:bidi="ar"/>
              </w:rPr>
            </w:pPr>
            <w:r>
              <w:rPr>
                <w:rFonts w:hint="eastAsia" w:ascii="宋体" w:hAnsi="宋体" w:eastAsia="宋体" w:cs="宋体"/>
                <w:b/>
                <w:bCs/>
                <w:kern w:val="0"/>
                <w:szCs w:val="21"/>
                <w:lang w:bidi="ar"/>
              </w:rPr>
              <w:t>数字红外无线麦克风套装</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提供实物图片）</w:t>
            </w:r>
          </w:p>
          <w:p w14:paraId="2ACB976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1.鹅颈麦克风与无线麦克风充电座二合一，可拆卸话筒杆；</w:t>
            </w:r>
          </w:p>
          <w:p w14:paraId="75FFCCD0">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2.内置充电底座，可对1个数字红外无线麦克风进行充电</w:t>
            </w:r>
          </w:p>
          <w:p w14:paraId="13500C35">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3.带1根音频线（USB接口）用于连接主机传输音频信号</w:t>
            </w:r>
          </w:p>
          <w:p w14:paraId="2F497465">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4.具有1个麦克风开/关按键；</w:t>
            </w:r>
          </w:p>
          <w:p w14:paraId="60C656B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5.具有1个USB接口；</w:t>
            </w:r>
          </w:p>
          <w:p w14:paraId="10D74F07">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6.充电座内置电子锁，可通过手机扫码或RS232接口连接中控主机，解锁无线麦克风，方便管理，避免丢失。</w:t>
            </w:r>
          </w:p>
          <w:p w14:paraId="5DDF237A">
            <w:pPr>
              <w:spacing w:line="288" w:lineRule="auto"/>
              <w:rPr>
                <w:rFonts w:ascii="宋体" w:hAnsi="宋体" w:eastAsia="宋体" w:cs="宋体"/>
                <w:b/>
                <w:bCs/>
                <w:kern w:val="0"/>
                <w:szCs w:val="21"/>
                <w:lang w:bidi="ar"/>
              </w:rPr>
            </w:pPr>
            <w:r>
              <w:rPr>
                <w:rFonts w:hint="eastAsia" w:ascii="宋体" w:hAnsi="宋体" w:eastAsia="宋体" w:cs="宋体"/>
                <w:b/>
                <w:bCs/>
                <w:kern w:val="0"/>
                <w:szCs w:val="21"/>
                <w:lang w:bidi="ar"/>
              </w:rPr>
              <w:t>线阵列音柱</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提供实物图片）</w:t>
            </w:r>
          </w:p>
          <w:p w14:paraId="0A46F50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1.紧凑型设计，内置4个3英寸全频扬声器单元，具有高保真音质；</w:t>
            </w:r>
          </w:p>
          <w:p w14:paraId="15BDE834">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2.专业级线阵列音柱，声场覆盖均匀，传声增益更高而不易啸叫， 解决有建声缺陷环境的扩声需求；</w:t>
            </w:r>
          </w:p>
          <w:p w14:paraId="59D4BDA5">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3.覆盖角度：水平方向150°，垂直方向30°；</w:t>
            </w:r>
          </w:p>
          <w:p w14:paraId="5C0B9BAF">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4.频率响应（-10 dB）：80 Hz ~ 20 kHz；</w:t>
            </w:r>
          </w:p>
          <w:p w14:paraId="30D01DDF">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5.功率（6 Ω） 60 W</w:t>
            </w:r>
          </w:p>
          <w:p w14:paraId="63992854">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6.最大声压级 107 dB；</w:t>
            </w:r>
          </w:p>
          <w:p w14:paraId="61E34461">
            <w:pPr>
              <w:spacing w:line="288" w:lineRule="auto"/>
              <w:rPr>
                <w:rFonts w:ascii="宋体" w:hAnsi="宋体" w:eastAsia="宋体" w:cs="宋体"/>
                <w:szCs w:val="21"/>
              </w:rPr>
            </w:pPr>
            <w:r>
              <w:rPr>
                <w:rFonts w:hint="eastAsia" w:ascii="宋体" w:hAnsi="宋体" w:eastAsia="宋体" w:cs="宋体"/>
                <w:kern w:val="0"/>
                <w:szCs w:val="21"/>
                <w:lang w:bidi="ar"/>
              </w:rPr>
              <w:t>7.安装方式：壁挂式。</w:t>
            </w:r>
          </w:p>
        </w:tc>
      </w:tr>
      <w:tr w14:paraId="0E56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7783A64C">
            <w:pPr>
              <w:widowControl/>
              <w:spacing w:line="288"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8</w:t>
            </w:r>
          </w:p>
        </w:tc>
        <w:tc>
          <w:tcPr>
            <w:tcW w:w="906" w:type="pct"/>
            <w:shd w:val="clear" w:color="auto" w:fill="auto"/>
            <w:vAlign w:val="center"/>
          </w:tcPr>
          <w:p w14:paraId="15E5837A">
            <w:pPr>
              <w:spacing w:line="288" w:lineRule="auto"/>
              <w:jc w:val="center"/>
              <w:rPr>
                <w:rFonts w:hint="eastAsia" w:ascii="宋体" w:hAnsi="宋体" w:eastAsia="宋体" w:cs="宋体"/>
                <w:szCs w:val="21"/>
              </w:rPr>
            </w:pPr>
            <w:r>
              <w:rPr>
                <w:rFonts w:hint="eastAsia" w:ascii="宋体" w:hAnsi="宋体" w:eastAsia="宋体" w:cs="宋体"/>
                <w:szCs w:val="21"/>
              </w:rPr>
              <w:t>86寸交互式一体机及搪瓷白板（含整体框）</w:t>
            </w:r>
          </w:p>
          <w:p w14:paraId="60053780">
            <w:pPr>
              <w:spacing w:line="288" w:lineRule="auto"/>
              <w:jc w:val="center"/>
              <w:rPr>
                <w:rFonts w:ascii="宋体" w:hAnsi="宋体" w:eastAsia="宋体" w:cs="宋体"/>
                <w:szCs w:val="21"/>
              </w:rPr>
            </w:pPr>
            <w:r>
              <w:rPr>
                <w:rFonts w:hint="eastAsia" w:ascii="宋体" w:hAnsi="宋体" w:eastAsia="宋体" w:cs="宋体"/>
                <w:b/>
                <w:bCs/>
                <w:color w:val="FF0000"/>
                <w:szCs w:val="21"/>
                <w:lang w:eastAsia="zh-CN"/>
              </w:rPr>
              <w:t>（</w:t>
            </w:r>
            <w:r>
              <w:rPr>
                <w:rFonts w:hint="eastAsia" w:ascii="宋体" w:hAnsi="宋体" w:eastAsia="宋体" w:cs="宋体"/>
                <w:b/>
                <w:bCs/>
                <w:color w:val="FF0000"/>
                <w:szCs w:val="21"/>
                <w:lang w:val="en-US" w:eastAsia="zh-CN"/>
              </w:rPr>
              <w:t>政府强制节能产品</w:t>
            </w:r>
            <w:r>
              <w:rPr>
                <w:rFonts w:hint="eastAsia" w:ascii="宋体" w:hAnsi="宋体" w:eastAsia="宋体" w:cs="宋体"/>
                <w:b/>
                <w:bCs/>
                <w:color w:val="FF0000"/>
                <w:szCs w:val="21"/>
                <w:lang w:eastAsia="zh-CN"/>
              </w:rPr>
              <w:t>）</w:t>
            </w:r>
          </w:p>
        </w:tc>
        <w:tc>
          <w:tcPr>
            <w:tcW w:w="307" w:type="pct"/>
            <w:shd w:val="clear" w:color="auto" w:fill="FFFFFF"/>
            <w:vAlign w:val="center"/>
          </w:tcPr>
          <w:p w14:paraId="3776EDD4">
            <w:pPr>
              <w:spacing w:line="288" w:lineRule="auto"/>
              <w:jc w:val="center"/>
              <w:rPr>
                <w:rFonts w:ascii="宋体" w:hAnsi="宋体" w:eastAsia="宋体" w:cs="宋体"/>
                <w:szCs w:val="21"/>
              </w:rPr>
            </w:pPr>
            <w:r>
              <w:rPr>
                <w:rFonts w:hint="eastAsia" w:ascii="宋体" w:hAnsi="宋体" w:eastAsia="宋体" w:cs="宋体"/>
                <w:szCs w:val="21"/>
              </w:rPr>
              <w:t>94</w:t>
            </w:r>
          </w:p>
        </w:tc>
        <w:tc>
          <w:tcPr>
            <w:tcW w:w="288" w:type="pct"/>
            <w:shd w:val="clear" w:color="auto" w:fill="FFFFFF"/>
            <w:vAlign w:val="center"/>
          </w:tcPr>
          <w:p w14:paraId="5EE0BC3C">
            <w:pPr>
              <w:spacing w:line="288" w:lineRule="auto"/>
              <w:jc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1B7AC37C">
            <w:pPr>
              <w:spacing w:line="288" w:lineRule="auto"/>
              <w:rPr>
                <w:rFonts w:ascii="宋体" w:hAnsi="宋体" w:eastAsia="宋体" w:cs="宋体"/>
                <w:b/>
                <w:bCs/>
                <w:szCs w:val="21"/>
              </w:rPr>
            </w:pPr>
            <w:r>
              <w:rPr>
                <w:rFonts w:hint="eastAsia" w:ascii="宋体" w:hAnsi="宋体" w:eastAsia="宋体" w:cs="宋体"/>
                <w:b/>
                <w:bCs/>
                <w:szCs w:val="21"/>
              </w:rPr>
              <w:t>86寸交互式一体机：</w:t>
            </w:r>
            <w:r>
              <w:rPr>
                <w:rFonts w:hint="eastAsia" w:ascii="宋体" w:hAnsi="宋体" w:eastAsia="宋体" w:cs="宋体"/>
                <w:b/>
                <w:kern w:val="0"/>
                <w:szCs w:val="21"/>
              </w:rPr>
              <w:t>▲提供3C认证证书</w:t>
            </w:r>
          </w:p>
          <w:p w14:paraId="5D5EADE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1.尺寸：86英寸，分辨率：3840(H)×2160(V)，可视角度178°，显示比例16：9，对比度为5000：1，屏亮度≥280cd/m²，显示响应时间≤8ms。</w:t>
            </w:r>
          </w:p>
          <w:p w14:paraId="6ACAE154">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2.色域≥70%NTSC，可显示更真实更鲜艳的色彩；提供≥3 种图像模式，提供≥5 种色彩空间模式。</w:t>
            </w:r>
          </w:p>
          <w:p w14:paraId="01B43D2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4.整机采用高度集成一体化设计，集成触摸显示屏、摄像头、麦克风、扬声器等模块。</w:t>
            </w:r>
          </w:p>
          <w:p w14:paraId="5D0187E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5.屏幕正面上居中内置高清摄像头，场视角≥100°，可拍摄不低于4K 30fps高清视频画面；</w:t>
            </w:r>
          </w:p>
          <w:p w14:paraId="790F5B0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6.整机内置8阵列麦克风，实现≥12米有效拾音距离，采用2.0声道，内置2*10W发声扬声器，频响范围180Hz-20kHz。</w:t>
            </w:r>
          </w:p>
          <w:p w14:paraId="739C9B30">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7.采用内嵌安卓方案，安卓系统版本不低于Android 14.0，支持OPS模块，支持双系统并行运行，无需关机可一键切换操作系统。</w:t>
            </w:r>
          </w:p>
          <w:p w14:paraId="1B9F6287">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8.OPS模块配置：要求提供Windows 11正版操作系统，CPU配置不低于12代I5、内存不低于8GB、硬盘不低于256GB</w:t>
            </w:r>
            <w:r>
              <w:rPr>
                <w:rFonts w:hint="eastAsia" w:ascii="宋体" w:hAnsi="宋体" w:eastAsia="宋体" w:cs="宋体"/>
                <w:kern w:val="0"/>
                <w:szCs w:val="21"/>
                <w:lang w:eastAsia="zh-CN" w:bidi="ar"/>
              </w:rPr>
              <w:t>，</w:t>
            </w:r>
            <w:r>
              <w:rPr>
                <w:rFonts w:hint="eastAsia" w:ascii="宋体" w:hAnsi="宋体" w:eastAsia="宋体" w:cs="宋体"/>
                <w:kern w:val="0"/>
                <w:szCs w:val="21"/>
                <w:lang w:val="en-US" w:eastAsia="zh-CN" w:bidi="ar"/>
              </w:rPr>
              <w:t>系统还需安装还原软件</w:t>
            </w:r>
            <w:r>
              <w:rPr>
                <w:rFonts w:hint="eastAsia" w:ascii="宋体" w:hAnsi="宋体" w:eastAsia="宋体" w:cs="宋体"/>
                <w:kern w:val="0"/>
                <w:szCs w:val="21"/>
                <w:lang w:eastAsia="zh-CN" w:bidi="ar"/>
              </w:rPr>
              <w:t>。</w:t>
            </w:r>
            <w:r>
              <w:rPr>
                <w:rFonts w:hint="eastAsia" w:ascii="宋体" w:hAnsi="宋体" w:eastAsia="宋体" w:cs="宋体"/>
                <w:kern w:val="0"/>
                <w:szCs w:val="21"/>
                <w:lang w:val="en-US" w:eastAsia="zh-CN" w:bidi="ar"/>
              </w:rPr>
              <w:t>承诺提供软件系统安装服务2年</w:t>
            </w:r>
            <w:r>
              <w:rPr>
                <w:rFonts w:hint="eastAsia" w:ascii="宋体" w:hAnsi="宋体" w:eastAsia="宋体" w:cs="宋体"/>
                <w:kern w:val="0"/>
                <w:szCs w:val="21"/>
                <w:lang w:bidi="ar"/>
              </w:rPr>
              <w:t>。</w:t>
            </w:r>
          </w:p>
          <w:p w14:paraId="6DB92003">
            <w:pPr>
              <w:spacing w:line="288" w:lineRule="auto"/>
              <w:rPr>
                <w:rFonts w:hint="eastAsia" w:ascii="宋体" w:hAnsi="宋体" w:eastAsia="宋体" w:cs="宋体"/>
                <w:b/>
                <w:bCs/>
                <w:color w:val="FF0000"/>
                <w:kern w:val="0"/>
                <w:szCs w:val="21"/>
                <w:lang w:bidi="ar"/>
              </w:rPr>
            </w:pPr>
            <w:r>
              <w:rPr>
                <w:rFonts w:hint="eastAsia" w:ascii="宋体" w:hAnsi="宋体" w:eastAsia="宋体" w:cs="宋体"/>
                <w:kern w:val="0"/>
                <w:szCs w:val="21"/>
                <w:lang w:bidi="ar"/>
              </w:rPr>
              <w:t>9.落笔批注：安卓系统通道下，支持智能识别书写笔，实现书写笔下笔自动进入批注模式，无需手动点击批注模式，更贴合真实使用体验。</w:t>
            </w:r>
            <w:r>
              <w:rPr>
                <w:rFonts w:hint="eastAsia" w:ascii="宋体" w:hAnsi="宋体" w:eastAsia="宋体" w:cs="宋体"/>
                <w:b/>
                <w:bCs/>
                <w:color w:val="FF0000"/>
                <w:kern w:val="0"/>
                <w:szCs w:val="21"/>
                <w:lang w:bidi="ar"/>
              </w:rPr>
              <w:t>提供承诺函（承诺合同签订前提供带CMA标识的第三方检测机构检测报告）</w:t>
            </w:r>
            <w:r>
              <w:rPr>
                <w:rFonts w:hint="eastAsia" w:ascii="宋体" w:hAnsi="宋体" w:eastAsia="宋体" w:cs="宋体"/>
                <w:b/>
                <w:bCs/>
                <w:color w:val="FF0000"/>
                <w:kern w:val="0"/>
                <w:szCs w:val="21"/>
                <w:lang w:eastAsia="zh-CN" w:bidi="ar"/>
              </w:rPr>
              <w:t>；</w:t>
            </w:r>
          </w:p>
          <w:p w14:paraId="42F2FB17">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10.I/O接口:前置面板具备如下接口：1*Type-C ，2*USB 2.0 Type-A，侧置具备如下接口：1*TOUCH；2*HDMI IN；1*RS232；1*USB 3.0；1*RJ45；1*AUDIO OUT；1*AUDIO IN。</w:t>
            </w:r>
          </w:p>
          <w:p w14:paraId="7B5297B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11.设备采用红外触控技术。</w:t>
            </w:r>
          </w:p>
          <w:p w14:paraId="48CC7758">
            <w:pPr>
              <w:spacing w:line="288" w:lineRule="auto"/>
              <w:rPr>
                <w:rFonts w:hint="eastAsia" w:ascii="宋体" w:hAnsi="宋体" w:eastAsia="宋体" w:cs="宋体"/>
                <w:b/>
                <w:bCs/>
                <w:kern w:val="0"/>
                <w:szCs w:val="21"/>
                <w:lang w:bidi="ar"/>
              </w:rPr>
            </w:pPr>
            <w:r>
              <w:rPr>
                <w:rFonts w:hint="eastAsia" w:ascii="宋体" w:hAnsi="宋体" w:eastAsia="宋体" w:cs="宋体"/>
                <w:kern w:val="0"/>
                <w:szCs w:val="21"/>
                <w:lang w:bidi="ar"/>
              </w:rPr>
              <w:t>12.文件快传：安卓系统通道下，打开设备文件快传应用二维码，支持微信直接扫码将聊天记录文件上传至大屏打开展示，且基于文件防泄露考虑，设备会定期进行临时文件清除。</w:t>
            </w:r>
            <w:r>
              <w:rPr>
                <w:rFonts w:hint="eastAsia" w:ascii="宋体" w:hAnsi="宋体" w:eastAsia="宋体" w:cs="宋体"/>
                <w:b/>
                <w:bCs/>
                <w:color w:val="FF0000"/>
                <w:kern w:val="0"/>
                <w:szCs w:val="21"/>
                <w:lang w:bidi="ar"/>
              </w:rPr>
              <w:t>提供承诺函（承诺合同签订前提供带CMA标识的第三方检测机构检测报告）</w:t>
            </w:r>
            <w:r>
              <w:rPr>
                <w:rFonts w:hint="eastAsia" w:ascii="宋体" w:hAnsi="宋体" w:eastAsia="宋体" w:cs="宋体"/>
                <w:b/>
                <w:bCs/>
                <w:kern w:val="0"/>
                <w:szCs w:val="21"/>
                <w:lang w:eastAsia="zh-CN" w:bidi="ar"/>
              </w:rPr>
              <w:t>；</w:t>
            </w:r>
          </w:p>
          <w:p w14:paraId="6E511F7D">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13.传屏展示：手机和电脑支持混合传屏展示，最多支持4个画面同屏展示，可对每个电脑传屏内容进行独立反向操作，最多可连接32台设备。</w:t>
            </w:r>
          </w:p>
          <w:p w14:paraId="1B9FEF35">
            <w:pPr>
              <w:spacing w:line="288" w:lineRule="auto"/>
              <w:rPr>
                <w:rFonts w:hint="eastAsia" w:ascii="宋体" w:hAnsi="宋体" w:eastAsia="宋体" w:cs="宋体"/>
                <w:b/>
                <w:bCs/>
                <w:color w:val="FF0000"/>
                <w:kern w:val="0"/>
                <w:szCs w:val="21"/>
                <w:lang w:bidi="ar"/>
              </w:rPr>
            </w:pPr>
            <w:r>
              <w:rPr>
                <w:rFonts w:hint="eastAsia" w:ascii="宋体" w:hAnsi="宋体" w:eastAsia="宋体" w:cs="宋体"/>
                <w:kern w:val="0"/>
                <w:szCs w:val="21"/>
                <w:lang w:bidi="ar"/>
              </w:rPr>
              <w:t>14.无网连接传屏：当电脑与大屏无法连接在同一网络时，可通过建立WiFi P2P点对点链路，快速传屏。</w:t>
            </w:r>
            <w:r>
              <w:rPr>
                <w:rFonts w:hint="eastAsia" w:ascii="宋体" w:hAnsi="宋体" w:eastAsia="宋体" w:cs="宋体"/>
                <w:b/>
                <w:bCs/>
                <w:color w:val="FF0000"/>
                <w:kern w:val="0"/>
                <w:szCs w:val="21"/>
                <w:lang w:bidi="ar"/>
              </w:rPr>
              <w:t>提供承诺函（承诺合同签订前提供带CMA标识的第三方检测机构检测报告）</w:t>
            </w:r>
            <w:r>
              <w:rPr>
                <w:rFonts w:hint="eastAsia" w:ascii="宋体" w:hAnsi="宋体" w:eastAsia="宋体" w:cs="宋体"/>
                <w:b/>
                <w:bCs/>
                <w:color w:val="FF0000"/>
                <w:kern w:val="0"/>
                <w:szCs w:val="21"/>
                <w:lang w:eastAsia="zh-CN" w:bidi="ar"/>
              </w:rPr>
              <w:t>；</w:t>
            </w:r>
          </w:p>
          <w:p w14:paraId="56DD615C">
            <w:pPr>
              <w:spacing w:line="288" w:lineRule="auto"/>
              <w:rPr>
                <w:rFonts w:hint="eastAsia" w:ascii="宋体" w:hAnsi="宋体" w:eastAsia="宋体" w:cs="宋体"/>
                <w:b/>
                <w:bCs/>
                <w:color w:val="FF0000"/>
                <w:kern w:val="0"/>
                <w:szCs w:val="21"/>
                <w:lang w:bidi="ar"/>
              </w:rPr>
            </w:pPr>
            <w:r>
              <w:rPr>
                <w:rFonts w:hint="eastAsia" w:ascii="宋体" w:hAnsi="宋体" w:eastAsia="宋体" w:cs="宋体"/>
                <w:kern w:val="0"/>
                <w:szCs w:val="21"/>
                <w:lang w:bidi="ar"/>
              </w:rPr>
              <w:t>15.国产化操作系统传屏：支持统信UOS、麒麟OS等系统的电脑，通过软件客户端进行无线传屏功能应用。</w:t>
            </w:r>
            <w:r>
              <w:rPr>
                <w:rFonts w:hint="eastAsia" w:ascii="宋体" w:hAnsi="宋体" w:eastAsia="宋体" w:cs="宋体"/>
                <w:b/>
                <w:bCs/>
                <w:color w:val="FF0000"/>
                <w:kern w:val="0"/>
                <w:szCs w:val="21"/>
                <w:lang w:bidi="ar"/>
              </w:rPr>
              <w:t>提供承诺函（承诺合同签订前提供带CMA标识的第三方检测机构检测报告）</w:t>
            </w:r>
            <w:r>
              <w:rPr>
                <w:rFonts w:hint="eastAsia" w:ascii="宋体" w:hAnsi="宋体" w:eastAsia="宋体" w:cs="宋体"/>
                <w:b/>
                <w:bCs/>
                <w:color w:val="FF0000"/>
                <w:kern w:val="0"/>
                <w:szCs w:val="21"/>
                <w:lang w:eastAsia="zh-CN" w:bidi="ar"/>
              </w:rPr>
              <w:t>；</w:t>
            </w:r>
          </w:p>
          <w:p w14:paraId="018AD6AD">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16.在无线传屏客户端传屏码输入框输入连接码时，当输入到一定位数后，可以识别到唯一的设备，并提示自动补全剩余的连接码，简化输入，提升传屏效率。</w:t>
            </w:r>
          </w:p>
          <w:p w14:paraId="0BD1EB1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17.集控管理：支持集控管理平台软件对接，实现集控相关功能，如：远程桌面控制、恢复出厂设置、检查系统更新、关机、命令行控制等功能。</w:t>
            </w:r>
            <w:r>
              <w:rPr>
                <w:rFonts w:hint="eastAsia" w:ascii="宋体" w:hAnsi="宋体" w:eastAsia="宋体" w:cs="宋体"/>
                <w:b/>
                <w:bCs/>
                <w:color w:val="FF0000"/>
                <w:kern w:val="0"/>
                <w:szCs w:val="21"/>
                <w:lang w:bidi="ar"/>
              </w:rPr>
              <w:t>提供承诺函（承诺合同签订前提供带CMA标识的第三方检测机构检测报告）</w:t>
            </w:r>
            <w:r>
              <w:rPr>
                <w:rFonts w:hint="eastAsia" w:ascii="宋体" w:hAnsi="宋体" w:eastAsia="宋体" w:cs="宋体"/>
                <w:b/>
                <w:bCs/>
                <w:color w:val="FF0000"/>
                <w:kern w:val="0"/>
                <w:szCs w:val="21"/>
                <w:lang w:eastAsia="zh-CN" w:bidi="ar"/>
              </w:rPr>
              <w:t>；</w:t>
            </w:r>
          </w:p>
          <w:p w14:paraId="078363A8">
            <w:pPr>
              <w:spacing w:line="288" w:lineRule="auto"/>
              <w:rPr>
                <w:rFonts w:ascii="宋体" w:hAnsi="宋体" w:eastAsia="宋体" w:cs="宋体"/>
                <w:b/>
                <w:bCs/>
                <w:kern w:val="0"/>
                <w:szCs w:val="21"/>
                <w:lang w:bidi="ar"/>
              </w:rPr>
            </w:pPr>
            <w:r>
              <w:rPr>
                <w:rFonts w:hint="eastAsia" w:ascii="宋体" w:hAnsi="宋体" w:eastAsia="宋体" w:cs="宋体"/>
                <w:b/>
                <w:bCs/>
                <w:kern w:val="0"/>
                <w:szCs w:val="21"/>
                <w:lang w:bidi="ar"/>
              </w:rPr>
              <w:t>搪瓷白板与86寸一体机配套，具体参数如下：</w:t>
            </w:r>
          </w:p>
          <w:p w14:paraId="5A6917E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书写面板：板面选用白色专用搪瓷书写板，厚度大于0.4MM（包括油漆层）板面涂膜硬度&gt;6H—&gt;8H。板面匀一致、无凹凸不平、附着力良好。不打滑，干擦容易，书写流畅；书写面的颜色应均匀，有良好的耐光性，符合国家书写板标准GB 250-82；白板的色彩：白色，色调（H）为7.5GY—5BG，明度(v)为1.0-3.0,彩度(C)为1.0-4；白板的光泽度：白板表面光泽度&lt;6个光泽度单位，不会产生产生眩光；白板的易擦性：白板擦往复擦拭两次，没有清楚的残留字迹;湿式绿板擦擦拭，没有淤积的笔残迹；白板表面粗糙度和耐磨性：白板板面粗糙度为Ra1.6～3.2μm，板面表面粗糙度不小于Ra1.6μm；</w:t>
            </w:r>
          </w:p>
          <w:p w14:paraId="2C7EC6EE">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2.内芯材料：一片高强度防潮ABS板，厚度为≧10mm，符合国家轻工业纸板标准QB/T 4153-2010；</w:t>
            </w:r>
          </w:p>
          <w:p w14:paraId="1B648030">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3.背板：背板采用镀锌钢板，厚度在0.23mm～0.27mm之间，符合国标连续热镀锌钢板GB/T 2518-2008；</w:t>
            </w:r>
          </w:p>
          <w:p w14:paraId="6665DCFF">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4.边框材料：边框采用高强度工业用铝合金，表面电泳处理，厚度在1.2mm～1.5mm之间；</w:t>
            </w:r>
          </w:p>
          <w:p w14:paraId="166BD8B2">
            <w:pPr>
              <w:spacing w:line="288" w:lineRule="auto"/>
              <w:rPr>
                <w:rFonts w:ascii="宋体" w:hAnsi="宋体" w:eastAsia="宋体" w:cs="宋体"/>
                <w:szCs w:val="21"/>
              </w:rPr>
            </w:pPr>
            <w:r>
              <w:rPr>
                <w:rFonts w:hint="eastAsia" w:ascii="宋体" w:hAnsi="宋体" w:eastAsia="宋体" w:cs="宋体"/>
                <w:kern w:val="0"/>
                <w:szCs w:val="21"/>
                <w:lang w:bidi="ar"/>
              </w:rPr>
              <w:t>5.塑料包角：抗疲劳ABS工程塑料，色泽接近铝框色，模具成型，参照国家塑料 未增塑聚氯乙烯模塑和挤出材料，GB/T 12001.2-2008。</w:t>
            </w:r>
          </w:p>
        </w:tc>
      </w:tr>
      <w:tr w14:paraId="753A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4031C756">
            <w:pPr>
              <w:widowControl/>
              <w:spacing w:line="288"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9</w:t>
            </w:r>
          </w:p>
        </w:tc>
        <w:tc>
          <w:tcPr>
            <w:tcW w:w="906" w:type="pct"/>
            <w:shd w:val="clear" w:color="auto" w:fill="auto"/>
            <w:vAlign w:val="center"/>
          </w:tcPr>
          <w:p w14:paraId="7038BCDA">
            <w:pPr>
              <w:spacing w:line="288" w:lineRule="auto"/>
              <w:jc w:val="center"/>
              <w:rPr>
                <w:rFonts w:hint="eastAsia" w:ascii="宋体" w:hAnsi="宋体" w:eastAsia="宋体" w:cs="宋体"/>
                <w:szCs w:val="21"/>
              </w:rPr>
            </w:pPr>
            <w:r>
              <w:rPr>
                <w:rFonts w:hint="eastAsia" w:ascii="宋体" w:hAnsi="宋体" w:eastAsia="宋体" w:cs="宋体"/>
                <w:szCs w:val="21"/>
              </w:rPr>
              <w:t>电动升降讲台（定制）</w:t>
            </w:r>
          </w:p>
          <w:p w14:paraId="380C21FE">
            <w:pPr>
              <w:spacing w:line="288" w:lineRule="auto"/>
              <w:jc w:val="center"/>
              <w:rPr>
                <w:rFonts w:hint="eastAsia" w:ascii="宋体" w:hAnsi="宋体" w:eastAsia="宋体" w:cs="宋体"/>
                <w:kern w:val="0"/>
                <w:szCs w:val="21"/>
                <w:lang w:bidi="ar"/>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提供实物图片）</w:t>
            </w:r>
          </w:p>
          <w:p w14:paraId="575CD566">
            <w:pPr>
              <w:spacing w:line="288" w:lineRule="auto"/>
              <w:jc w:val="center"/>
              <w:rPr>
                <w:rFonts w:ascii="宋体" w:hAnsi="宋体" w:eastAsia="宋体" w:cs="宋体"/>
                <w:szCs w:val="21"/>
              </w:rPr>
            </w:pPr>
          </w:p>
        </w:tc>
        <w:tc>
          <w:tcPr>
            <w:tcW w:w="307" w:type="pct"/>
            <w:shd w:val="clear" w:color="auto" w:fill="FFFFFF"/>
            <w:vAlign w:val="center"/>
          </w:tcPr>
          <w:p w14:paraId="01A83C7A">
            <w:pPr>
              <w:spacing w:line="288" w:lineRule="auto"/>
              <w:jc w:val="center"/>
              <w:rPr>
                <w:rFonts w:ascii="宋体" w:hAnsi="宋体" w:eastAsia="宋体" w:cs="宋体"/>
                <w:szCs w:val="21"/>
              </w:rPr>
            </w:pPr>
            <w:r>
              <w:rPr>
                <w:rFonts w:hint="eastAsia" w:ascii="宋体" w:hAnsi="宋体" w:eastAsia="宋体" w:cs="宋体"/>
                <w:szCs w:val="21"/>
              </w:rPr>
              <w:t>105</w:t>
            </w:r>
          </w:p>
        </w:tc>
        <w:tc>
          <w:tcPr>
            <w:tcW w:w="288" w:type="pct"/>
            <w:shd w:val="clear" w:color="auto" w:fill="FFFFFF"/>
            <w:vAlign w:val="center"/>
          </w:tcPr>
          <w:p w14:paraId="2670663F">
            <w:pPr>
              <w:spacing w:line="288" w:lineRule="auto"/>
              <w:jc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5A50F6F8">
            <w:pPr>
              <w:spacing w:line="288" w:lineRule="auto"/>
              <w:rPr>
                <w:rFonts w:ascii="宋体" w:hAnsi="宋体" w:eastAsia="宋体" w:cs="宋体"/>
                <w:b/>
                <w:szCs w:val="21"/>
                <w:lang w:bidi="ar"/>
              </w:rPr>
            </w:pPr>
            <w:r>
              <w:rPr>
                <w:rFonts w:hint="eastAsia" w:ascii="宋体" w:hAnsi="宋体" w:eastAsia="宋体" w:cs="宋体"/>
                <w:kern w:val="0"/>
                <w:szCs w:val="21"/>
                <w:lang w:bidi="ar"/>
              </w:rPr>
              <w:t>1.桌面板材：老师接触位置为木质桌面，采用E0级免漆板，环保耐磨，厚度 ≥ 25mm，颜色：白色；</w:t>
            </w:r>
            <w:r>
              <w:rPr>
                <w:rFonts w:hint="eastAsia" w:ascii="宋体" w:hAnsi="宋体" w:eastAsia="宋体" w:cs="宋体"/>
                <w:b/>
                <w:szCs w:val="21"/>
                <w:lang w:bidi="ar"/>
              </w:rPr>
              <w:t>（甲醛释放量符合GB/T 39600-2021中</w:t>
            </w:r>
            <w:r>
              <w:rPr>
                <w:rFonts w:hint="eastAsia" w:ascii="宋体" w:hAnsi="宋体" w:eastAsia="宋体" w:cs="宋体"/>
                <w:b/>
                <w:kern w:val="0"/>
                <w:szCs w:val="21"/>
              </w:rPr>
              <w:t>E0级标准，</w:t>
            </w:r>
            <w:r>
              <w:rPr>
                <w:rFonts w:hint="eastAsia" w:ascii="宋体" w:hAnsi="宋体" w:eastAsia="宋体" w:cs="宋体"/>
                <w:b/>
                <w:szCs w:val="21"/>
                <w:lang w:bidi="ar"/>
              </w:rPr>
              <w:t>项目验收时提供带CMA标识的第三方检测机构出具的检测/检验报告）</w:t>
            </w:r>
          </w:p>
          <w:p w14:paraId="2BA6396D">
            <w:pPr>
              <w:spacing w:line="288" w:lineRule="auto"/>
              <w:rPr>
                <w:rFonts w:ascii="宋体" w:hAnsi="宋体" w:eastAsia="宋体" w:cs="宋体"/>
                <w:bCs/>
                <w:szCs w:val="21"/>
                <w:lang w:bidi="ar"/>
              </w:rPr>
            </w:pPr>
            <w:r>
              <w:rPr>
                <w:rFonts w:hint="eastAsia" w:ascii="宋体" w:hAnsi="宋体" w:eastAsia="宋体" w:cs="宋体"/>
                <w:bCs/>
                <w:szCs w:val="21"/>
                <w:lang w:bidi="ar"/>
              </w:rPr>
              <w:t>2.桌板前部具备多层板弯曲而成的木色高围挡设计，表面喷漆；桌面两侧前方具有和围挡同色的木凸台。</w:t>
            </w:r>
          </w:p>
          <w:p w14:paraId="3AAAA5E9">
            <w:pPr>
              <w:spacing w:line="288" w:lineRule="auto"/>
              <w:rPr>
                <w:rFonts w:ascii="宋体" w:hAnsi="宋体" w:eastAsia="宋体" w:cs="宋体"/>
                <w:bCs/>
                <w:szCs w:val="21"/>
                <w:lang w:bidi="ar"/>
              </w:rPr>
            </w:pPr>
            <w:r>
              <w:rPr>
                <w:rFonts w:hint="eastAsia" w:ascii="宋体" w:hAnsi="宋体" w:eastAsia="宋体" w:cs="宋体"/>
                <w:bCs/>
                <w:szCs w:val="21"/>
                <w:lang w:bidi="ar"/>
              </w:rPr>
              <w:t>3.讲桌的桌架型材采用钢材，表面处理选用静电喷涂技术，颜色白色。</w:t>
            </w:r>
          </w:p>
          <w:p w14:paraId="38CF4C05">
            <w:pPr>
              <w:spacing w:line="288" w:lineRule="auto"/>
              <w:rPr>
                <w:rFonts w:ascii="宋体" w:hAnsi="宋体" w:eastAsia="宋体" w:cs="宋体"/>
                <w:bCs/>
                <w:szCs w:val="21"/>
                <w:lang w:bidi="ar"/>
              </w:rPr>
            </w:pPr>
            <w:r>
              <w:rPr>
                <w:rFonts w:hint="eastAsia" w:ascii="宋体" w:hAnsi="宋体" w:eastAsia="宋体" w:cs="宋体"/>
                <w:bCs/>
                <w:szCs w:val="21"/>
                <w:lang w:bidi="ar"/>
              </w:rPr>
              <w:t>4.讲桌采用双电机两节电动升降立柱。控制盒带陀螺仪功能：遇阻回退防夹保护，桌面震动和突然倾斜立刻停止降。</w:t>
            </w:r>
          </w:p>
          <w:p w14:paraId="00520CCB">
            <w:pPr>
              <w:spacing w:line="288" w:lineRule="auto"/>
              <w:rPr>
                <w:rFonts w:ascii="宋体" w:hAnsi="宋体" w:eastAsia="宋体" w:cs="宋体"/>
                <w:bCs/>
                <w:szCs w:val="21"/>
                <w:lang w:bidi="ar"/>
              </w:rPr>
            </w:pPr>
            <w:r>
              <w:rPr>
                <w:rFonts w:hint="eastAsia" w:ascii="宋体" w:hAnsi="宋体" w:eastAsia="宋体" w:cs="宋体"/>
                <w:bCs/>
                <w:szCs w:val="21"/>
                <w:lang w:bidi="ar"/>
              </w:rPr>
              <w:t>5.讲桌左右两侧具有用于走线的尼龙坦克链拖链，强弱电线缆分开走线，升降过程中线缆两头不会被拉扯。</w:t>
            </w:r>
          </w:p>
          <w:p w14:paraId="3E2AFD89">
            <w:pPr>
              <w:spacing w:line="288" w:lineRule="auto"/>
              <w:rPr>
                <w:rFonts w:ascii="宋体" w:hAnsi="宋体" w:eastAsia="宋体" w:cs="宋体"/>
                <w:bCs/>
                <w:szCs w:val="21"/>
                <w:lang w:bidi="ar"/>
              </w:rPr>
            </w:pPr>
            <w:r>
              <w:rPr>
                <w:rFonts w:hint="eastAsia" w:ascii="宋体" w:hAnsi="宋体" w:eastAsia="宋体" w:cs="宋体"/>
                <w:bCs/>
                <w:szCs w:val="21"/>
                <w:lang w:bidi="ar"/>
              </w:rPr>
              <w:t>6.讲桌内置≥8U 19英寸标准机架，前后门都可以打开，前后门都具有散热孔。前门带锁。</w:t>
            </w:r>
          </w:p>
          <w:p w14:paraId="6863B87B">
            <w:pPr>
              <w:spacing w:line="288" w:lineRule="auto"/>
              <w:rPr>
                <w:rFonts w:ascii="宋体" w:hAnsi="宋体" w:eastAsia="宋体" w:cs="宋体"/>
                <w:bCs/>
                <w:szCs w:val="21"/>
                <w:lang w:bidi="ar"/>
              </w:rPr>
            </w:pPr>
            <w:r>
              <w:rPr>
                <w:rFonts w:hint="eastAsia" w:ascii="宋体" w:hAnsi="宋体" w:eastAsia="宋体" w:cs="宋体"/>
                <w:bCs/>
                <w:szCs w:val="21"/>
                <w:lang w:bidi="ar"/>
              </w:rPr>
              <w:t>7.讲桌的显示器支架具有轨道可整体抽出。显示器支架可支持电动翻转，可翻转角度≥20°，同时显示器支架底座设计键鼠收纳空间，用于存放键鼠设备。</w:t>
            </w:r>
          </w:p>
          <w:p w14:paraId="3460BE8C">
            <w:pPr>
              <w:spacing w:line="288" w:lineRule="auto"/>
              <w:rPr>
                <w:rFonts w:ascii="宋体" w:hAnsi="宋体" w:eastAsia="宋体" w:cs="宋体"/>
                <w:bCs/>
                <w:szCs w:val="21"/>
                <w:lang w:bidi="ar"/>
              </w:rPr>
            </w:pPr>
            <w:r>
              <w:rPr>
                <w:rFonts w:hint="eastAsia" w:ascii="宋体" w:hAnsi="宋体" w:eastAsia="宋体" w:cs="宋体"/>
                <w:bCs/>
                <w:szCs w:val="21"/>
                <w:lang w:bidi="ar"/>
              </w:rPr>
              <w:t>8.讲桌需具备电动升降结构，桌面的离地总高度升降范围：≥715mm~1115mm，高度可调节。</w:t>
            </w:r>
          </w:p>
          <w:p w14:paraId="594659B7">
            <w:pPr>
              <w:spacing w:line="288" w:lineRule="auto"/>
              <w:rPr>
                <w:rFonts w:ascii="宋体" w:hAnsi="宋体" w:eastAsia="宋体" w:cs="宋体"/>
                <w:bCs/>
                <w:szCs w:val="21"/>
                <w:lang w:bidi="ar"/>
              </w:rPr>
            </w:pPr>
            <w:r>
              <w:rPr>
                <w:rFonts w:hint="eastAsia" w:ascii="宋体" w:hAnsi="宋体" w:eastAsia="宋体" w:cs="宋体"/>
                <w:bCs/>
                <w:szCs w:val="21"/>
                <w:lang w:bidi="ar"/>
              </w:rPr>
              <w:t>9.讲桌的桌面上至少需具备1个以上万能5孔220V电源插座、1个以上的USB接口，1路笔记本电脑的标准HDMI输入接口。</w:t>
            </w:r>
          </w:p>
          <w:p w14:paraId="0CCD9700">
            <w:pPr>
              <w:spacing w:line="288" w:lineRule="auto"/>
              <w:rPr>
                <w:rFonts w:ascii="宋体" w:hAnsi="宋体" w:eastAsia="宋体" w:cs="宋体"/>
                <w:bCs/>
                <w:szCs w:val="21"/>
                <w:lang w:bidi="ar"/>
              </w:rPr>
            </w:pPr>
            <w:r>
              <w:rPr>
                <w:rFonts w:hint="eastAsia" w:ascii="宋体" w:hAnsi="宋体" w:eastAsia="宋体" w:cs="宋体"/>
                <w:bCs/>
                <w:szCs w:val="21"/>
                <w:lang w:bidi="ar"/>
              </w:rPr>
              <w:t>10.讲桌需具备可控制桌面显示屏翻转的物理按键，能有效避免屏幕反光。</w:t>
            </w:r>
          </w:p>
          <w:p w14:paraId="31AC2539">
            <w:pPr>
              <w:spacing w:line="288" w:lineRule="auto"/>
              <w:rPr>
                <w:rFonts w:ascii="宋体" w:hAnsi="宋体" w:eastAsia="宋体" w:cs="宋体"/>
                <w:kern w:val="0"/>
                <w:szCs w:val="21"/>
                <w:lang w:bidi="ar"/>
              </w:rPr>
            </w:pPr>
            <w:r>
              <w:rPr>
                <w:rFonts w:hint="eastAsia" w:ascii="宋体" w:hAnsi="宋体" w:eastAsia="宋体" w:cs="宋体"/>
                <w:bCs/>
                <w:szCs w:val="21"/>
                <w:lang w:bidi="ar"/>
              </w:rPr>
              <w:t>11.讲桌需具备可控制桌面升降的物理升降按键，并支持在升降过程中实时显示当前的桌面高度。</w:t>
            </w:r>
          </w:p>
        </w:tc>
      </w:tr>
      <w:tr w14:paraId="3C96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48D49413">
            <w:pPr>
              <w:widowControl/>
              <w:spacing w:line="288"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10</w:t>
            </w:r>
          </w:p>
        </w:tc>
        <w:tc>
          <w:tcPr>
            <w:tcW w:w="906" w:type="pct"/>
            <w:shd w:val="clear" w:color="auto" w:fill="auto"/>
            <w:vAlign w:val="center"/>
          </w:tcPr>
          <w:p w14:paraId="7B5C9F76">
            <w:pPr>
              <w:spacing w:line="288" w:lineRule="auto"/>
              <w:jc w:val="center"/>
              <w:rPr>
                <w:rFonts w:ascii="宋体" w:hAnsi="宋体" w:eastAsia="宋体" w:cs="宋体"/>
                <w:szCs w:val="21"/>
              </w:rPr>
            </w:pPr>
            <w:r>
              <w:rPr>
                <w:rFonts w:hint="eastAsia" w:ascii="宋体" w:hAnsi="宋体" w:eastAsia="宋体" w:cs="宋体"/>
                <w:szCs w:val="21"/>
              </w:rPr>
              <w:t>120寸宽屏投影幕</w:t>
            </w:r>
          </w:p>
        </w:tc>
        <w:tc>
          <w:tcPr>
            <w:tcW w:w="307" w:type="pct"/>
            <w:shd w:val="clear" w:color="auto" w:fill="FFFFFF"/>
            <w:vAlign w:val="center"/>
          </w:tcPr>
          <w:p w14:paraId="7A68722B">
            <w:pPr>
              <w:spacing w:line="288" w:lineRule="auto"/>
              <w:jc w:val="center"/>
              <w:rPr>
                <w:rFonts w:ascii="宋体" w:hAnsi="宋体" w:eastAsia="宋体" w:cs="宋体"/>
                <w:szCs w:val="21"/>
              </w:rPr>
            </w:pPr>
            <w:r>
              <w:rPr>
                <w:rFonts w:hint="eastAsia" w:ascii="宋体" w:hAnsi="宋体" w:eastAsia="宋体" w:cs="宋体"/>
                <w:szCs w:val="21"/>
              </w:rPr>
              <w:t>40</w:t>
            </w:r>
          </w:p>
        </w:tc>
        <w:tc>
          <w:tcPr>
            <w:tcW w:w="288" w:type="pct"/>
            <w:shd w:val="clear" w:color="auto" w:fill="FFFFFF"/>
            <w:vAlign w:val="center"/>
          </w:tcPr>
          <w:p w14:paraId="2CED70A5">
            <w:pPr>
              <w:spacing w:line="288" w:lineRule="auto"/>
              <w:jc w:val="center"/>
              <w:rPr>
                <w:rFonts w:ascii="宋体" w:hAnsi="宋体" w:eastAsia="宋体" w:cs="宋体"/>
                <w:szCs w:val="21"/>
              </w:rPr>
            </w:pPr>
            <w:r>
              <w:rPr>
                <w:rFonts w:hint="eastAsia" w:ascii="宋体" w:hAnsi="宋体" w:eastAsia="宋体" w:cs="宋体"/>
                <w:szCs w:val="21"/>
              </w:rPr>
              <w:t>块</w:t>
            </w:r>
          </w:p>
        </w:tc>
        <w:tc>
          <w:tcPr>
            <w:tcW w:w="3156" w:type="pct"/>
            <w:vAlign w:val="center"/>
          </w:tcPr>
          <w:p w14:paraId="4F5D84C9">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1.幕布类型：电动幕</w:t>
            </w:r>
          </w:p>
          <w:p w14:paraId="48498C3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2.幕布材质：白塑</w:t>
            </w:r>
          </w:p>
          <w:p w14:paraId="6A73FA7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3.幕布基材：软幕</w:t>
            </w:r>
          </w:p>
          <w:p w14:paraId="55FF08BF">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4.安装方式：壁挂式</w:t>
            </w:r>
          </w:p>
          <w:p w14:paraId="609B5769">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5.打开方式：电动方式</w:t>
            </w:r>
          </w:p>
          <w:p w14:paraId="1DD53301">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6.对角线：120英寸</w:t>
            </w:r>
          </w:p>
          <w:p w14:paraId="6B1C9FA8">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7.幕布比例：16:9</w:t>
            </w:r>
          </w:p>
          <w:p w14:paraId="47BA0AB0">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8.增益：2.8倍</w:t>
            </w:r>
          </w:p>
          <w:p w14:paraId="1C8DAE25">
            <w:pPr>
              <w:spacing w:line="288" w:lineRule="auto"/>
              <w:rPr>
                <w:rFonts w:ascii="宋体" w:hAnsi="宋体" w:eastAsia="宋体" w:cs="宋体"/>
                <w:szCs w:val="21"/>
              </w:rPr>
            </w:pPr>
            <w:r>
              <w:rPr>
                <w:rFonts w:hint="eastAsia" w:ascii="宋体" w:hAnsi="宋体" w:eastAsia="宋体" w:cs="宋体"/>
                <w:kern w:val="0"/>
                <w:szCs w:val="21"/>
                <w:lang w:bidi="ar"/>
              </w:rPr>
              <w:t>9.幕面尺寸：≥2.65m*1.45m</w:t>
            </w:r>
          </w:p>
        </w:tc>
      </w:tr>
      <w:tr w14:paraId="7B46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2EA26A74">
            <w:pPr>
              <w:widowControl/>
              <w:spacing w:line="288"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11</w:t>
            </w:r>
          </w:p>
        </w:tc>
        <w:tc>
          <w:tcPr>
            <w:tcW w:w="906" w:type="pct"/>
            <w:shd w:val="clear" w:color="auto" w:fill="auto"/>
            <w:vAlign w:val="center"/>
          </w:tcPr>
          <w:p w14:paraId="1C03FC7A">
            <w:pPr>
              <w:spacing w:line="288" w:lineRule="auto"/>
              <w:jc w:val="center"/>
              <w:rPr>
                <w:rFonts w:ascii="宋体" w:hAnsi="宋体" w:eastAsia="宋体" w:cs="宋体"/>
                <w:szCs w:val="21"/>
              </w:rPr>
            </w:pPr>
            <w:r>
              <w:rPr>
                <w:rFonts w:hint="eastAsia" w:ascii="宋体" w:hAnsi="宋体" w:eastAsia="宋体" w:cs="宋体"/>
                <w:szCs w:val="21"/>
              </w:rPr>
              <w:t>135寸宽屏投影幕</w:t>
            </w:r>
          </w:p>
        </w:tc>
        <w:tc>
          <w:tcPr>
            <w:tcW w:w="307" w:type="pct"/>
            <w:shd w:val="clear" w:color="auto" w:fill="FFFFFF"/>
            <w:vAlign w:val="center"/>
          </w:tcPr>
          <w:p w14:paraId="0815A926">
            <w:pPr>
              <w:spacing w:line="288" w:lineRule="auto"/>
              <w:jc w:val="center"/>
              <w:rPr>
                <w:rFonts w:ascii="宋体" w:hAnsi="宋体" w:eastAsia="宋体" w:cs="宋体"/>
                <w:szCs w:val="21"/>
              </w:rPr>
            </w:pPr>
            <w:r>
              <w:rPr>
                <w:rFonts w:hint="eastAsia" w:ascii="宋体" w:hAnsi="宋体" w:eastAsia="宋体" w:cs="宋体"/>
                <w:szCs w:val="21"/>
              </w:rPr>
              <w:t>6</w:t>
            </w:r>
          </w:p>
        </w:tc>
        <w:tc>
          <w:tcPr>
            <w:tcW w:w="288" w:type="pct"/>
            <w:shd w:val="clear" w:color="auto" w:fill="FFFFFF"/>
            <w:vAlign w:val="center"/>
          </w:tcPr>
          <w:p w14:paraId="042D7765">
            <w:pPr>
              <w:spacing w:line="288" w:lineRule="auto"/>
              <w:jc w:val="center"/>
              <w:rPr>
                <w:rFonts w:ascii="宋体" w:hAnsi="宋体" w:eastAsia="宋体" w:cs="宋体"/>
                <w:szCs w:val="21"/>
              </w:rPr>
            </w:pPr>
            <w:r>
              <w:rPr>
                <w:rFonts w:hint="eastAsia" w:ascii="宋体" w:hAnsi="宋体" w:eastAsia="宋体" w:cs="宋体"/>
                <w:szCs w:val="21"/>
              </w:rPr>
              <w:t>块</w:t>
            </w:r>
          </w:p>
        </w:tc>
        <w:tc>
          <w:tcPr>
            <w:tcW w:w="3156" w:type="pct"/>
            <w:vAlign w:val="center"/>
          </w:tcPr>
          <w:p w14:paraId="1F0E7881">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1.幕布类型：电动幕</w:t>
            </w:r>
          </w:p>
          <w:p w14:paraId="193718F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2.幕布材质：白塑</w:t>
            </w:r>
          </w:p>
          <w:p w14:paraId="1FFF7D88">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3.幕布基材：软幕</w:t>
            </w:r>
          </w:p>
          <w:p w14:paraId="17D5F36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4.安装方式：壁挂式</w:t>
            </w:r>
          </w:p>
          <w:p w14:paraId="560855D0">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5.打开方式：电动方式</w:t>
            </w:r>
          </w:p>
          <w:p w14:paraId="046BB44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6.对角线：135英寸</w:t>
            </w:r>
          </w:p>
          <w:p w14:paraId="6CD0F083">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7.幕布比例：16:9</w:t>
            </w:r>
          </w:p>
          <w:p w14:paraId="3F31517F">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8.增益：2.8倍</w:t>
            </w:r>
          </w:p>
          <w:p w14:paraId="176F596F">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9.幕面尺寸：≥2.65m*1.45m</w:t>
            </w:r>
          </w:p>
          <w:p w14:paraId="642B80DA">
            <w:pPr>
              <w:spacing w:line="288" w:lineRule="auto"/>
              <w:rPr>
                <w:rFonts w:ascii="宋体" w:hAnsi="宋体" w:eastAsia="宋体" w:cs="宋体"/>
                <w:szCs w:val="21"/>
              </w:rPr>
            </w:pPr>
          </w:p>
        </w:tc>
      </w:tr>
      <w:tr w14:paraId="2594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1CF4E57B">
            <w:pPr>
              <w:widowControl/>
              <w:spacing w:line="288"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12</w:t>
            </w:r>
          </w:p>
        </w:tc>
        <w:tc>
          <w:tcPr>
            <w:tcW w:w="906" w:type="pct"/>
            <w:shd w:val="clear" w:color="auto" w:fill="auto"/>
            <w:vAlign w:val="center"/>
          </w:tcPr>
          <w:p w14:paraId="248F704D">
            <w:pPr>
              <w:spacing w:line="288" w:lineRule="auto"/>
              <w:jc w:val="center"/>
              <w:rPr>
                <w:rFonts w:ascii="宋体" w:hAnsi="宋体" w:eastAsia="宋体" w:cs="宋体"/>
                <w:szCs w:val="21"/>
              </w:rPr>
            </w:pPr>
            <w:r>
              <w:rPr>
                <w:rFonts w:hint="eastAsia" w:ascii="宋体" w:hAnsi="宋体" w:eastAsia="宋体" w:cs="宋体"/>
                <w:szCs w:val="21"/>
              </w:rPr>
              <w:t>高清中控主机及高清线</w:t>
            </w:r>
          </w:p>
        </w:tc>
        <w:tc>
          <w:tcPr>
            <w:tcW w:w="307" w:type="pct"/>
            <w:shd w:val="clear" w:color="auto" w:fill="FFFFFF"/>
            <w:vAlign w:val="center"/>
          </w:tcPr>
          <w:p w14:paraId="4790CB51">
            <w:pPr>
              <w:spacing w:line="288" w:lineRule="auto"/>
              <w:jc w:val="center"/>
              <w:rPr>
                <w:rFonts w:ascii="宋体" w:hAnsi="宋体" w:eastAsia="宋体" w:cs="宋体"/>
                <w:szCs w:val="21"/>
              </w:rPr>
            </w:pPr>
            <w:r>
              <w:rPr>
                <w:rFonts w:hint="eastAsia" w:ascii="宋体" w:hAnsi="宋体" w:eastAsia="宋体" w:cs="宋体"/>
                <w:szCs w:val="21"/>
              </w:rPr>
              <w:t>22</w:t>
            </w:r>
          </w:p>
        </w:tc>
        <w:tc>
          <w:tcPr>
            <w:tcW w:w="288" w:type="pct"/>
            <w:shd w:val="clear" w:color="auto" w:fill="FFFFFF"/>
            <w:vAlign w:val="center"/>
          </w:tcPr>
          <w:p w14:paraId="52C67428">
            <w:pPr>
              <w:spacing w:line="288" w:lineRule="auto"/>
              <w:jc w:val="center"/>
              <w:rPr>
                <w:rFonts w:ascii="宋体" w:hAnsi="宋体" w:eastAsia="宋体" w:cs="宋体"/>
                <w:szCs w:val="21"/>
              </w:rPr>
            </w:pPr>
            <w:r>
              <w:rPr>
                <w:rFonts w:hint="eastAsia" w:ascii="宋体" w:hAnsi="宋体" w:eastAsia="宋体" w:cs="宋体"/>
                <w:szCs w:val="21"/>
              </w:rPr>
              <w:t>套</w:t>
            </w:r>
          </w:p>
        </w:tc>
        <w:tc>
          <w:tcPr>
            <w:tcW w:w="3156" w:type="pct"/>
            <w:vAlign w:val="center"/>
          </w:tcPr>
          <w:p w14:paraId="5114048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1.标准2U机架式设计，适合安装于各类型机柜之中。</w:t>
            </w:r>
          </w:p>
          <w:p w14:paraId="460E6DD8">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2.主板采用工业级高速嵌入式ARM CPU,定制LINUX操作系统。</w:t>
            </w:r>
          </w:p>
          <w:p w14:paraId="3CBFC58A">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3.集成5路独立可控制220V电源接口，其中投影机电源输出带负 载检测装置，可以准确记录投影机灯泡的使用时间，另有2路采 用防脱落航空电源插口可实现正反向及停止控制。</w:t>
            </w:r>
          </w:p>
          <w:p w14:paraId="352613FB">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4.1路10/100M以太网，可编程RS232控制通信端口≥5路。.</w:t>
            </w:r>
          </w:p>
          <w:p w14:paraId="7A30E69C">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5.具有≥3进2出HDMI接口，支持TDMS信号和DDC信号 ，超低功耗支持节能标准数据速率最大支持3.4Gbs，每路输出输出都带ESD保护；支持12bit深色技术，支持3D输入输出，支持485命令控制，支持HDMI1.4版本，支持全高清3D和4Kx2K分辨率，支持HDCP1.3，支持340MHz/3.4Gbps单通道(10.2Gbps所有通道)带宽，支持无压缩 音频，支持12bit单通道(36bit所有通道深色技术)。</w:t>
            </w:r>
          </w:p>
          <w:p w14:paraId="3B3783A8">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6.具有≥3进2出VGA接口，为保证信号的稳定不接受外加转换</w:t>
            </w:r>
          </w:p>
          <w:p w14:paraId="1F21BF7A">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器；内置输入信号检测电路，当新的视频信号接入时，无需手动 按键切换，实现视频输入信号源的自动切换。</w:t>
            </w:r>
          </w:p>
          <w:p w14:paraId="587BF835">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7.数据同步导入学校原有多媒体教室智能网络集中控制系统平台软件。</w:t>
            </w:r>
          </w:p>
          <w:p w14:paraId="739DE515">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其它参数：</w:t>
            </w:r>
          </w:p>
          <w:p w14:paraId="060E0AA6">
            <w:pPr>
              <w:spacing w:line="288" w:lineRule="auto"/>
              <w:rPr>
                <w:rFonts w:ascii="宋体" w:hAnsi="宋体" w:eastAsia="宋体" w:cs="宋体"/>
                <w:kern w:val="0"/>
                <w:szCs w:val="21"/>
                <w:lang w:bidi="ar"/>
              </w:rPr>
            </w:pPr>
            <w:r>
              <w:rPr>
                <w:rFonts w:hint="eastAsia" w:ascii="宋体" w:hAnsi="宋体" w:eastAsia="宋体" w:cs="宋体"/>
                <w:kern w:val="0"/>
                <w:szCs w:val="21"/>
                <w:lang w:bidi="ar"/>
              </w:rPr>
              <w:t>1.DH2.0,分辨率：4K30Hz、2K60Hz、1080P60Hz向下兼容，胶壳、 PVC、内径8.8,规格：20M/1根，3M/2根。</w:t>
            </w:r>
          </w:p>
          <w:p w14:paraId="6C5FC1E7">
            <w:pPr>
              <w:spacing w:line="288" w:lineRule="auto"/>
              <w:rPr>
                <w:rFonts w:ascii="宋体" w:hAnsi="宋体" w:eastAsia="宋体" w:cs="宋体"/>
                <w:szCs w:val="21"/>
              </w:rPr>
            </w:pPr>
            <w:r>
              <w:rPr>
                <w:rFonts w:hint="eastAsia" w:ascii="宋体" w:hAnsi="宋体" w:eastAsia="宋体" w:cs="宋体"/>
                <w:kern w:val="0"/>
                <w:szCs w:val="21"/>
                <w:lang w:bidi="ar"/>
              </w:rPr>
              <w:t>2.AUX102、3.5mm*2RCA、镀金、镀锡铜、PVC,3M/1根</w:t>
            </w:r>
          </w:p>
        </w:tc>
      </w:tr>
    </w:tbl>
    <w:p w14:paraId="1595F69A">
      <w:pPr>
        <w:adjustRightInd w:val="0"/>
        <w:snapToGrid w:val="0"/>
        <w:spacing w:line="288" w:lineRule="auto"/>
        <w:rPr>
          <w:rFonts w:ascii="宋体" w:hAnsi="宋体" w:eastAsia="宋体" w:cs="宋体"/>
          <w:b/>
          <w:bCs/>
          <w:szCs w:val="21"/>
        </w:rPr>
      </w:pPr>
    </w:p>
    <w:p w14:paraId="1595ED35">
      <w:pPr>
        <w:widowControl/>
        <w:adjustRightInd w:val="0"/>
        <w:snapToGrid w:val="0"/>
        <w:spacing w:line="288" w:lineRule="auto"/>
        <w:jc w:val="left"/>
        <w:outlineLvl w:val="1"/>
        <w:rPr>
          <w:rFonts w:ascii="宋体" w:hAnsi="宋体" w:eastAsia="宋体" w:cs="Times New Roman"/>
          <w:b/>
          <w:bCs/>
          <w:szCs w:val="21"/>
        </w:rPr>
      </w:pPr>
      <w:r>
        <w:rPr>
          <w:rFonts w:hint="eastAsia" w:ascii="宋体" w:hAnsi="宋体" w:eastAsia="宋体" w:cs="Times New Roman"/>
          <w:b/>
          <w:bCs/>
          <w:szCs w:val="21"/>
        </w:rPr>
        <w:t>演示要求</w:t>
      </w:r>
    </w:p>
    <w:p w14:paraId="2B3534DB">
      <w:pPr>
        <w:widowControl/>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1.投标人需提供软件demo或类似真实平台的演示及讲解，具体演示要求如下：</w:t>
      </w:r>
    </w:p>
    <w:p w14:paraId="4C24E14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支持知识图谱构建。以课程为基本单元，通过自动或半自动的方式，从教学资源中提取和整合分类及知识点，构建课程知识图谱。基于课堂语音字幕内容形式知识结构后一键同步至课程，形成课程知识图谱。学生易于获取和深入理解课程知识体系，增强学生的学习体验和知识掌握，提升教师教学效率。</w:t>
      </w:r>
    </w:p>
    <w:p w14:paraId="4A3185E7">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支持AI工具广场。提供多元化的AI工具，辅助教师教学、学生学习。含AI课件制作、AI出题、AI批阅、AI公式识别、AI绘图、AI教案、AI学情分析、AI智能体自行搭建等智能化教师备课工具。AI学习资料翻译、AI文献阅读理解、AI视频转文字等智能化学习辅助工具。</w:t>
      </w:r>
    </w:p>
    <w:p w14:paraId="07B8758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教师在使用智慧课程平台进行课程建设、备课、授课过程中随时可以搜索、引用、无缝插入备课资源库中的资源，全面辅助教师教学和学生学习。可以搜索相关电子书插入到课程，进行在线阅读，可以进行文字摘录。搜索相关学术视频。需要名校、名师的视频及讲座，可以在线进行播放。</w:t>
      </w:r>
    </w:p>
    <w:p w14:paraId="4F8A37A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支持使用示范教学包建课，示范教学包需整合各层次院校，各学科、专业的资源，教师可以在建课时引用示范教学包中的课程资源、课堂活动示例、题库等内容，同时可以根据教师自己课程的需要进行重新组合使用。</w:t>
      </w:r>
    </w:p>
    <w:p w14:paraId="65A7FF6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5）支持AI助教答疑。建设基于DeepSeek-R1-671b满血版等大模型，经课程知识资料强化训练的“课程AI助教”，实现24小时学生答疑、学习提醒与陪伴、学习资源推荐等。教师可对大模型知识库进行维护管理，可自行创建知识库，设置AI答疑助教形象等基本信息，学生可切换大模型进行提问。</w:t>
      </w:r>
    </w:p>
    <w:p w14:paraId="32C1CB2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6）具备课堂PPT实时生成功能，直播与录播课程页面均可自动抓取授课画面中的PPT内容并支持小图预览（无需教师手动上传），学生可随时切换画面浏览当前ppt页面全貌；针对录播课程，提供PPT索引功能，点击任意PPT截图即可精准跳转至教师讲解该页内容的视频时间节点。</w:t>
      </w:r>
    </w:p>
    <w:p w14:paraId="508C40F9">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7）智慧督导平台：院级管理员可在权限范围内根据本院实际情况对学院综合评参数进行调整；可针对课程属性、课程是否参与评价、课程授课教师是否参与评价、老师教学异常情况记录、教师不参与评价原因记录等参数进行设置。</w:t>
      </w:r>
    </w:p>
    <w:p w14:paraId="50AB171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（8）</w:t>
      </w:r>
      <w:r>
        <w:rPr>
          <w:rFonts w:hint="eastAsia" w:ascii="宋体" w:hAnsi="宋体" w:eastAsia="宋体" w:cs="宋体"/>
          <w:szCs w:val="21"/>
        </w:rPr>
        <w:t>开展专业需求数据分析，展示专业人才培养计划。</w:t>
      </w:r>
      <w:r>
        <w:rPr>
          <w:rFonts w:hint="eastAsia" w:ascii="宋体" w:hAnsi="宋体" w:eastAsia="宋体" w:cs="Times New Roman"/>
          <w:szCs w:val="21"/>
        </w:rPr>
        <w:t>支持对按地区、行业类型、企业类型查看专业需求信息，包括需求数量、能力要求等。以词云形式展示专业对应岗位的能力需求，并以列表形式对各项能力的需求占比进行排名。支持按专业溯源对应岗位的招聘信息。支持通过输入专业名称、院校名称、院系名称等关键词可查找对应人才培养方案，提供的人培方案文件</w:t>
      </w:r>
      <w:r>
        <w:rPr>
          <w:rFonts w:hint="eastAsia" w:ascii="宋体" w:hAnsi="宋体" w:eastAsia="宋体" w:cs="宋体"/>
          <w:szCs w:val="21"/>
        </w:rPr>
        <w:t>包含985、211等高校。</w:t>
      </w:r>
    </w:p>
    <w:p w14:paraId="0F84770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（9）支持查看全校学生画像，查看学生个人画像，画像包含学生</w:t>
      </w:r>
      <w:r>
        <w:rPr>
          <w:rFonts w:hint="eastAsia" w:ascii="宋体" w:hAnsi="宋体" w:eastAsia="宋体" w:cs="宋体"/>
          <w:szCs w:val="21"/>
        </w:rPr>
        <w:t>整体学习情况</w:t>
      </w:r>
      <w:r>
        <w:rPr>
          <w:rFonts w:hint="eastAsia" w:ascii="宋体" w:hAnsi="宋体" w:eastAsia="宋体" w:cs="Times New Roman"/>
          <w:szCs w:val="21"/>
        </w:rPr>
        <w:t>，通过雷达图</w:t>
      </w:r>
      <w:r>
        <w:rPr>
          <w:rFonts w:hint="eastAsia" w:ascii="宋体" w:hAnsi="宋体" w:eastAsia="宋体" w:cs="宋体"/>
          <w:szCs w:val="21"/>
        </w:rPr>
        <w:t>展示学生学习能力</w:t>
      </w:r>
      <w:r>
        <w:rPr>
          <w:rFonts w:hint="eastAsia" w:ascii="宋体" w:hAnsi="宋体" w:eastAsia="宋体" w:cs="Times New Roman"/>
          <w:szCs w:val="21"/>
        </w:rPr>
        <w:t>。</w:t>
      </w:r>
      <w:r>
        <w:rPr>
          <w:rFonts w:hint="eastAsia" w:ascii="宋体" w:hAnsi="宋体" w:eastAsia="宋体" w:cs="宋体"/>
          <w:szCs w:val="21"/>
        </w:rPr>
        <w:t>支持查看学生所参与课程的情况和学习轨迹，支持展示当前学生当天网络课程互动情况。支持ai学生成绩评价，根据学生学习数据进行学生成绩综合评价，分析学生学习优势及潜力，并提供挂科、签到旷课等异常行为预警。</w:t>
      </w:r>
    </w:p>
    <w:p w14:paraId="1F3DD585">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10）AI教务问答系统：任务流编辑支持设定功能节点，至少包含大模型、知识库、输入、输出、业务节点嵌入、文本处理等7种及以上功能节点。节点内可设置参数，大模型支持选择至少3个种以上通用大模型或教育垂类大模型，可自由拖拽排布任务流，设置完成后支持试运行查看效果。</w:t>
      </w:r>
    </w:p>
    <w:p w14:paraId="50DEB36C">
      <w:pPr>
        <w:adjustRightInd w:val="0"/>
        <w:snapToGrid w:val="0"/>
        <w:spacing w:line="288" w:lineRule="auto"/>
        <w:ind w:firstLine="422" w:firstLineChars="200"/>
        <w:rPr>
          <w:rFonts w:ascii="宋体" w:hAnsi="宋体" w:eastAsia="宋体" w:cs="Times New Roman"/>
          <w:b/>
          <w:bCs/>
          <w:color w:val="FF0000"/>
          <w:szCs w:val="21"/>
        </w:rPr>
      </w:pPr>
      <w:r>
        <w:rPr>
          <w:rFonts w:hint="eastAsia" w:ascii="宋体" w:hAnsi="宋体" w:eastAsia="宋体" w:cs="Times New Roman"/>
          <w:b/>
          <w:bCs/>
          <w:color w:val="FF0000"/>
          <w:szCs w:val="21"/>
        </w:rPr>
        <w:t>2.投标人需将以上演示及讲解过程录制视频，演示总时长不超过10分钟以.mp4格式存储于U盘。投标人须自行核验U盘中的视频能正常播放，保证视频无需转码即可直接用主流播放器打开播放。</w:t>
      </w:r>
    </w:p>
    <w:p w14:paraId="183E7184">
      <w:pPr>
        <w:adjustRightInd w:val="0"/>
        <w:snapToGrid w:val="0"/>
        <w:spacing w:line="288" w:lineRule="auto"/>
        <w:ind w:firstLine="420" w:firstLineChars="200"/>
        <w:rPr>
          <w:rFonts w:hint="eastAsia" w:ascii="宋体" w:hAnsi="宋体" w:eastAsia="等线" w:cs="Times New Roman"/>
          <w:szCs w:val="21"/>
        </w:rPr>
      </w:pPr>
    </w:p>
    <w:p w14:paraId="3467CDE2">
      <w:pPr>
        <w:spacing w:line="288" w:lineRule="auto"/>
        <w:outlineLvl w:val="2"/>
        <w:rPr>
          <w:rFonts w:hint="eastAsia" w:ascii="宋体" w:hAnsi="宋体" w:eastAsia="宋体" w:cs="宋体"/>
          <w:b/>
          <w:bCs/>
          <w:color w:val="auto"/>
          <w:sz w:val="21"/>
          <w:szCs w:val="21"/>
          <w:lang w:val="en-US" w:eastAsia="zh-CN"/>
        </w:rPr>
      </w:pPr>
      <w:r>
        <w:rPr>
          <w:rFonts w:hint="eastAsia" w:ascii="宋体" w:hAnsi="宋体" w:eastAsia="宋体" w:cs="宋体"/>
          <w:b/>
          <w:bCs/>
          <w:sz w:val="21"/>
          <w:szCs w:val="21"/>
          <w:lang w:val="en-US" w:eastAsia="zh-CN"/>
        </w:rPr>
        <w:t>第四部分、</w:t>
      </w:r>
      <w:r>
        <w:rPr>
          <w:rFonts w:hint="eastAsia" w:ascii="宋体" w:hAnsi="宋体" w:eastAsia="宋体" w:cs="宋体"/>
          <w:b/>
          <w:bCs/>
          <w:color w:val="auto"/>
          <w:sz w:val="21"/>
          <w:szCs w:val="21"/>
          <w:lang w:val="en-US" w:eastAsia="zh-CN"/>
        </w:rPr>
        <w:t>其他要求</w:t>
      </w:r>
    </w:p>
    <w:p w14:paraId="4BAD668B">
      <w:pPr>
        <w:spacing w:line="288" w:lineRule="auto"/>
        <w:ind w:firstLine="420" w:firstLineChars="200"/>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软硬件使用培训服务</w:t>
      </w:r>
    </w:p>
    <w:p w14:paraId="1FF9D470">
      <w:pPr>
        <w:spacing w:line="288" w:lineRule="auto"/>
        <w:ind w:firstLine="420" w:firstLineChars="200"/>
        <w:rPr>
          <w:rFonts w:ascii="宋体" w:hAnsi="宋体" w:eastAsia="宋体" w:cs="宋体"/>
          <w:szCs w:val="21"/>
        </w:rPr>
      </w:pPr>
      <w:r>
        <w:rPr>
          <w:rFonts w:hint="eastAsia" w:ascii="宋体" w:hAnsi="宋体" w:eastAsia="宋体" w:cs="宋体"/>
          <w:szCs w:val="21"/>
        </w:rPr>
        <w:t>提供成熟完善的培训计划方案，在不同阶段对教务处软件系统管理人员、后勤服务中心教室管理人员、学院教务员、教师、学生开展多种形式的培训服务。例如为教师定制入门级培训课程、深度进阶培训课程，介绍软硬件使用操作方法与注意事项等。制作不同软硬件设备和不同对象使用线上培训课程、操作指南等。</w:t>
      </w:r>
    </w:p>
    <w:p w14:paraId="69713FF8">
      <w:pPr>
        <w:spacing w:line="288" w:lineRule="auto"/>
        <w:ind w:firstLine="420" w:firstLineChars="200"/>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售后维护服务</w:t>
      </w:r>
    </w:p>
    <w:p w14:paraId="70F1B6A2">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建立完善的软硬件售后技术维护体系，包括定期的系统巡检、数据备份与恢复、故障排查等。定期收集师生对平台的使用反馈，结合学校教育教学改革与发展需求，持续对平台进行优化升级，不断丰富平台功能，提升平台性能与服务质量，助力学校教育教学质量的持续提升。平台软件应具备可持续性和可扩展性，免维期为3年，</w:t>
      </w:r>
      <w:r>
        <w:rPr>
          <w:rFonts w:hint="eastAsia" w:ascii="宋体" w:hAnsi="宋体" w:eastAsia="宋体" w:cs="宋体"/>
          <w:szCs w:val="21"/>
          <w:lang w:val="en-US" w:eastAsia="zh-CN"/>
        </w:rPr>
        <w:t>投标报价包含</w:t>
      </w:r>
      <w:r>
        <w:rPr>
          <w:rFonts w:hint="eastAsia" w:ascii="宋体" w:hAnsi="宋体" w:eastAsia="宋体" w:cs="宋体"/>
          <w:szCs w:val="21"/>
        </w:rPr>
        <w:t>软件版本在3年内更新迭代，硬件产品，可提供原厂维保，</w:t>
      </w:r>
      <w:r>
        <w:rPr>
          <w:rFonts w:hint="eastAsia" w:ascii="宋体" w:hAnsi="宋体" w:eastAsia="宋体" w:cs="宋体"/>
          <w:szCs w:val="21"/>
          <w:lang w:val="en-US" w:eastAsia="zh-CN"/>
        </w:rPr>
        <w:t>投标报价包含</w:t>
      </w:r>
      <w:r>
        <w:rPr>
          <w:rFonts w:hint="eastAsia" w:ascii="宋体" w:hAnsi="宋体" w:eastAsia="宋体" w:cs="宋体"/>
          <w:szCs w:val="21"/>
        </w:rPr>
        <w:t>5年内维护更换。超过免维期售后维护费用不超过软件总费用的10%。提供至少1名具有3年以上售后运维经验的人员驻点学校服务</w:t>
      </w:r>
      <w:r>
        <w:rPr>
          <w:rFonts w:hint="eastAsia" w:ascii="宋体" w:hAnsi="宋体" w:eastAsia="宋体" w:cs="宋体"/>
          <w:szCs w:val="21"/>
          <w:lang w:val="en-US" w:eastAsia="zh-CN"/>
        </w:rPr>
        <w:t>3</w:t>
      </w:r>
      <w:r>
        <w:rPr>
          <w:rFonts w:hint="eastAsia" w:ascii="宋体" w:hAnsi="宋体" w:eastAsia="宋体" w:cs="宋体"/>
          <w:szCs w:val="21"/>
        </w:rPr>
        <w:t>年以上，每周在线工作时长不低于5*8小时。</w:t>
      </w:r>
    </w:p>
    <w:p w14:paraId="33AB1B2E">
      <w:pPr>
        <w:widowControl/>
        <w:adjustRightInd w:val="0"/>
        <w:snapToGrid w:val="0"/>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lang w:val="en-US" w:eastAsia="zh-CN"/>
        </w:rPr>
        <w:t>3</w:t>
      </w:r>
      <w:r>
        <w:rPr>
          <w:rFonts w:hint="eastAsia" w:ascii="宋体" w:hAnsi="宋体" w:eastAsia="宋体" w:cs="宋体"/>
          <w:b/>
          <w:bCs/>
          <w:szCs w:val="21"/>
        </w:rPr>
        <w:t>.其他要求</w:t>
      </w:r>
    </w:p>
    <w:p w14:paraId="42926708">
      <w:pPr>
        <w:widowControl/>
        <w:adjustRightInd w:val="0"/>
        <w:snapToGrid w:val="0"/>
        <w:spacing w:line="288" w:lineRule="auto"/>
        <w:ind w:firstLine="420" w:firstLineChars="200"/>
        <w:jc w:val="left"/>
        <w:rPr>
          <w:rFonts w:ascii="宋体" w:hAnsi="宋体" w:eastAsia="宋体" w:cs="宋体"/>
          <w:szCs w:val="21"/>
          <w:lang w:bidi="zh-CN"/>
        </w:rPr>
      </w:pPr>
      <w:r>
        <w:rPr>
          <w:rFonts w:hint="eastAsia" w:ascii="宋体" w:hAnsi="宋体" w:eastAsia="宋体" w:cs="宋体"/>
          <w:szCs w:val="21"/>
          <w:lang w:bidi="zh-CN"/>
        </w:rPr>
        <w:t>（1）投标人在项目执行过程中必须严格按照有关操作规程进行操作，做好安全防范工作，防止一切事故的发生；期间，出现人身伤亡等事故，一切后果由投标人自行承担。</w:t>
      </w:r>
    </w:p>
    <w:p w14:paraId="750B5E82">
      <w:pPr>
        <w:autoSpaceDE w:val="0"/>
        <w:autoSpaceDN w:val="0"/>
        <w:spacing w:line="288" w:lineRule="auto"/>
        <w:ind w:firstLine="420" w:firstLineChars="200"/>
        <w:rPr>
          <w:rFonts w:hint="eastAsia" w:ascii="宋体" w:hAnsi="宋体" w:eastAsia="宋体" w:cs="宋体"/>
          <w:szCs w:val="21"/>
          <w:lang w:bidi="zh-CN"/>
        </w:rPr>
      </w:pPr>
      <w:r>
        <w:rPr>
          <w:rFonts w:hint="eastAsia" w:ascii="宋体" w:hAnsi="宋体" w:eastAsia="宋体" w:cs="宋体"/>
          <w:szCs w:val="21"/>
          <w:lang w:bidi="zh-CN"/>
        </w:rPr>
        <w:t>（2）踏勘：此项目为交钥匙项目，含实现软件功能所需的全部配套硬件设备，并包含：网线、音频线、高清线、电源线、SDI线、SDI专业头、音响线、交换机、原黑板拆除、原设施设备拆除、运输、搬运配件材料等。投标人响应前应充分勘查现场，充分了解项目实际要求，以做出准确报价。因现场勘查不充分导致的报价缺失由投标人自行承担，采购人不再另行支付费用。现场勘查所产生的一切风险由投标人自行承担。踏勘前需联系：贾老师，0571-85070233。</w:t>
      </w:r>
    </w:p>
    <w:p w14:paraId="6AA40AB3">
      <w:pPr>
        <w:autoSpaceDE w:val="0"/>
        <w:autoSpaceDN w:val="0"/>
        <w:spacing w:line="288" w:lineRule="auto"/>
        <w:ind w:firstLine="420" w:firstLineChars="200"/>
        <w:rPr>
          <w:rFonts w:hint="eastAsia" w:ascii="宋体" w:hAnsi="宋体" w:eastAsia="宋体" w:cs="宋体"/>
          <w:szCs w:val="21"/>
          <w:lang w:eastAsia="zh-CN" w:bidi="zh-CN"/>
        </w:rPr>
      </w:pPr>
      <w:r>
        <w:rPr>
          <w:rFonts w:hint="eastAsia" w:ascii="宋体" w:hAnsi="宋体" w:eastAsia="宋体" w:cs="宋体"/>
          <w:szCs w:val="21"/>
          <w:lang w:val="en-US" w:eastAsia="zh-CN" w:bidi="zh-CN"/>
        </w:rPr>
        <w:t>统一</w:t>
      </w:r>
      <w:r>
        <w:rPr>
          <w:rFonts w:hint="eastAsia" w:ascii="宋体" w:hAnsi="宋体" w:eastAsia="宋体" w:cs="宋体"/>
          <w:szCs w:val="21"/>
          <w:lang w:eastAsia="zh-CN" w:bidi="zh-CN"/>
        </w:rPr>
        <w:t>组织现场踏勘：</w:t>
      </w:r>
    </w:p>
    <w:p w14:paraId="197F132F">
      <w:pPr>
        <w:autoSpaceDE w:val="0"/>
        <w:autoSpaceDN w:val="0"/>
        <w:spacing w:line="288" w:lineRule="auto"/>
        <w:ind w:firstLine="420" w:firstLineChars="200"/>
        <w:rPr>
          <w:rFonts w:hint="eastAsia" w:ascii="宋体" w:hAnsi="宋体" w:eastAsia="宋体" w:cs="宋体"/>
          <w:szCs w:val="21"/>
          <w:lang w:val="en-US" w:eastAsia="zh-CN" w:bidi="zh-CN"/>
        </w:rPr>
      </w:pPr>
      <w:r>
        <w:rPr>
          <w:rFonts w:hint="eastAsia" w:ascii="宋体" w:hAnsi="宋体" w:eastAsia="宋体" w:cs="宋体"/>
          <w:szCs w:val="21"/>
          <w:lang w:val="en-US" w:eastAsia="zh-CN" w:bidi="zh-CN"/>
        </w:rPr>
        <w:t>踏勘时间：2025年6月30日上午8点</w:t>
      </w:r>
    </w:p>
    <w:p w14:paraId="2851C6B8">
      <w:pPr>
        <w:autoSpaceDE w:val="0"/>
        <w:autoSpaceDN w:val="0"/>
        <w:spacing w:line="288" w:lineRule="auto"/>
        <w:ind w:firstLine="420" w:firstLineChars="200"/>
        <w:rPr>
          <w:rFonts w:hint="eastAsia" w:ascii="宋体" w:hAnsi="宋体" w:eastAsia="宋体" w:cs="宋体"/>
          <w:szCs w:val="21"/>
          <w:lang w:val="en-US" w:eastAsia="zh-CN" w:bidi="zh-CN"/>
        </w:rPr>
      </w:pPr>
      <w:r>
        <w:rPr>
          <w:rFonts w:hint="eastAsia" w:ascii="宋体" w:hAnsi="宋体" w:eastAsia="宋体" w:cs="宋体"/>
          <w:szCs w:val="21"/>
          <w:lang w:val="en-US" w:eastAsia="zh-CN" w:bidi="zh-CN"/>
        </w:rPr>
        <w:t>地点：浙江科技大学小和山校区</w:t>
      </w:r>
    </w:p>
    <w:p w14:paraId="03375FF4">
      <w:pPr>
        <w:autoSpaceDE w:val="0"/>
        <w:autoSpaceDN w:val="0"/>
        <w:spacing w:line="288" w:lineRule="auto"/>
        <w:ind w:firstLine="420" w:firstLineChars="200"/>
        <w:rPr>
          <w:rFonts w:hint="eastAsia" w:ascii="宋体" w:hAnsi="宋体" w:eastAsia="宋体" w:cs="宋体"/>
          <w:szCs w:val="21"/>
          <w:lang w:bidi="zh-CN"/>
        </w:rPr>
      </w:pPr>
      <w:r>
        <w:rPr>
          <w:rFonts w:hint="eastAsia" w:ascii="宋体" w:hAnsi="宋体" w:eastAsia="宋体" w:cs="宋体"/>
          <w:szCs w:val="21"/>
          <w:lang w:val="en-US" w:eastAsia="zh-CN" w:bidi="zh-CN"/>
        </w:rPr>
        <w:t>联系人：常</w:t>
      </w:r>
      <w:r>
        <w:rPr>
          <w:rFonts w:hint="eastAsia" w:ascii="宋体" w:hAnsi="宋体" w:eastAsia="宋体" w:cs="宋体"/>
          <w:szCs w:val="21"/>
          <w:lang w:bidi="zh-CN"/>
        </w:rPr>
        <w:t>老师</w:t>
      </w:r>
      <w:r>
        <w:rPr>
          <w:rFonts w:hint="eastAsia" w:ascii="宋体" w:hAnsi="宋体" w:eastAsia="宋体" w:cs="宋体"/>
          <w:szCs w:val="21"/>
          <w:lang w:val="en-US" w:eastAsia="zh-CN" w:bidi="zh-CN"/>
        </w:rPr>
        <w:t>，联系方式：0571-85070233</w:t>
      </w:r>
    </w:p>
    <w:p w14:paraId="6D8CC67F">
      <w:pPr>
        <w:autoSpaceDE w:val="0"/>
        <w:autoSpaceDN w:val="0"/>
        <w:spacing w:line="288" w:lineRule="auto"/>
        <w:ind w:firstLine="420" w:firstLineChars="200"/>
        <w:rPr>
          <w:rFonts w:ascii="宋体" w:hAnsi="宋体" w:eastAsia="宋体" w:cs="宋体"/>
          <w:szCs w:val="21"/>
          <w:lang w:bidi="zh-CN"/>
        </w:rPr>
      </w:pPr>
      <w:r>
        <w:rPr>
          <w:rFonts w:hint="eastAsia" w:ascii="宋体" w:hAnsi="宋体" w:eastAsia="宋体" w:cs="宋体"/>
          <w:szCs w:val="21"/>
          <w:lang w:bidi="zh-CN"/>
        </w:rPr>
        <w:t>（3）安装事项：包括但不限于如下安装服务事项：</w:t>
      </w:r>
    </w:p>
    <w:tbl>
      <w:tblPr>
        <w:tblStyle w:val="60"/>
        <w:tblW w:w="5000" w:type="pct"/>
        <w:jc w:val="center"/>
        <w:tblLayout w:type="fixed"/>
        <w:tblCellMar>
          <w:top w:w="0" w:type="dxa"/>
          <w:left w:w="108" w:type="dxa"/>
          <w:bottom w:w="0" w:type="dxa"/>
          <w:right w:w="108" w:type="dxa"/>
        </w:tblCellMar>
      </w:tblPr>
      <w:tblGrid>
        <w:gridCol w:w="715"/>
        <w:gridCol w:w="1531"/>
        <w:gridCol w:w="7382"/>
      </w:tblGrid>
      <w:tr w14:paraId="764F7F48">
        <w:tblPrEx>
          <w:tblCellMar>
            <w:top w:w="0" w:type="dxa"/>
            <w:left w:w="108" w:type="dxa"/>
            <w:bottom w:w="0" w:type="dxa"/>
            <w:right w:w="108" w:type="dxa"/>
          </w:tblCellMar>
        </w:tblPrEx>
        <w:trPr>
          <w:trHeight w:val="704"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78A54AD2">
            <w:pPr>
              <w:widowControl/>
              <w:spacing w:line="288" w:lineRule="auto"/>
              <w:jc w:val="center"/>
              <w:textAlignment w:val="center"/>
              <w:rPr>
                <w:rFonts w:ascii="宋体" w:hAnsi="宋体" w:eastAsia="宋体" w:cs="宋体"/>
                <w:b/>
                <w:kern w:val="0"/>
                <w:szCs w:val="21"/>
                <w:lang w:bidi="ar"/>
              </w:rPr>
            </w:pPr>
            <w:r>
              <w:rPr>
                <w:rFonts w:hint="eastAsia" w:ascii="宋体" w:hAnsi="宋体" w:eastAsia="宋体" w:cs="宋体"/>
                <w:b/>
                <w:kern w:val="0"/>
                <w:szCs w:val="21"/>
                <w:lang w:bidi="ar"/>
              </w:rPr>
              <w:t>序号</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56C6C8A0">
            <w:pPr>
              <w:widowControl/>
              <w:spacing w:line="288" w:lineRule="auto"/>
              <w:jc w:val="center"/>
              <w:textAlignment w:val="center"/>
              <w:rPr>
                <w:rFonts w:ascii="宋体" w:hAnsi="宋体" w:eastAsia="宋体" w:cs="宋体"/>
                <w:b/>
                <w:kern w:val="0"/>
                <w:szCs w:val="21"/>
                <w:lang w:bidi="ar"/>
              </w:rPr>
            </w:pPr>
            <w:r>
              <w:rPr>
                <w:rFonts w:hint="eastAsia" w:ascii="宋体" w:hAnsi="宋体" w:eastAsia="宋体" w:cs="宋体"/>
                <w:b/>
                <w:kern w:val="0"/>
                <w:szCs w:val="21"/>
                <w:lang w:bidi="ar"/>
              </w:rPr>
              <w:t>设备名称</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7BF082B0">
            <w:pPr>
              <w:widowControl/>
              <w:spacing w:line="288" w:lineRule="auto"/>
              <w:jc w:val="center"/>
              <w:textAlignment w:val="center"/>
              <w:rPr>
                <w:rFonts w:ascii="宋体" w:hAnsi="宋体" w:eastAsia="宋体" w:cs="宋体"/>
                <w:b/>
                <w:kern w:val="0"/>
                <w:szCs w:val="21"/>
                <w:lang w:bidi="ar"/>
              </w:rPr>
            </w:pPr>
            <w:r>
              <w:rPr>
                <w:rFonts w:hint="eastAsia" w:ascii="宋体" w:hAnsi="宋体" w:eastAsia="宋体" w:cs="宋体"/>
                <w:b/>
                <w:kern w:val="0"/>
                <w:szCs w:val="21"/>
                <w:lang w:bidi="ar"/>
              </w:rPr>
              <w:t>安装事项</w:t>
            </w:r>
          </w:p>
        </w:tc>
      </w:tr>
      <w:tr w14:paraId="25E6FB4D">
        <w:tblPrEx>
          <w:tblCellMar>
            <w:top w:w="0" w:type="dxa"/>
            <w:left w:w="108" w:type="dxa"/>
            <w:bottom w:w="0" w:type="dxa"/>
            <w:right w:w="108" w:type="dxa"/>
          </w:tblCellMar>
        </w:tblPrEx>
        <w:trPr>
          <w:trHeight w:val="295"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27379BC2">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66A6EF48">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大屏（一体机）</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1F950409">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含：安装挂架、高清连接线、HDMI分配器、电源线、网络线及接入教室多媒体集控系统所用到的各类线材及配件。</w:t>
            </w:r>
          </w:p>
        </w:tc>
      </w:tr>
      <w:tr w14:paraId="648EE3F7">
        <w:tblPrEx>
          <w:tblCellMar>
            <w:top w:w="0" w:type="dxa"/>
            <w:left w:w="108" w:type="dxa"/>
            <w:bottom w:w="0" w:type="dxa"/>
            <w:right w:w="108" w:type="dxa"/>
          </w:tblCellMar>
        </w:tblPrEx>
        <w:trPr>
          <w:trHeight w:val="509"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4C0EA517">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2</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2456E41A">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教室黑板</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5BABB237">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含：原教室黑板拆除搬运到指定地点，墙面修补，粉刷等。</w:t>
            </w:r>
          </w:p>
        </w:tc>
      </w:tr>
      <w:tr w14:paraId="34AB3342">
        <w:tblPrEx>
          <w:tblCellMar>
            <w:top w:w="0" w:type="dxa"/>
            <w:left w:w="108" w:type="dxa"/>
            <w:bottom w:w="0" w:type="dxa"/>
            <w:right w:w="108" w:type="dxa"/>
          </w:tblCellMar>
        </w:tblPrEx>
        <w:trPr>
          <w:trHeight w:val="672"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61D6AAF0">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3</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2E3A871E">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更新讲桌</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2C938FB3">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含：原钢制讲桌搬移到校方指定地点，原讲桌设备迁移至新讲桌安装对接、调试、连接线，插线板、中控系统写码编程等，需达到中控系统可控制大屏开关机、信号切换、投影机开机、幕布升降等。</w:t>
            </w:r>
          </w:p>
        </w:tc>
      </w:tr>
      <w:tr w14:paraId="400AC036">
        <w:tblPrEx>
          <w:tblCellMar>
            <w:top w:w="0" w:type="dxa"/>
            <w:left w:w="108" w:type="dxa"/>
            <w:bottom w:w="0" w:type="dxa"/>
            <w:right w:w="108" w:type="dxa"/>
          </w:tblCellMar>
        </w:tblPrEx>
        <w:trPr>
          <w:trHeight w:val="786"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42F1F73C">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4</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540BEB9A">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新增高清投影机</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3E1F8606">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含:吊装专用支架、HDMI分配器、投影机到讲桌的高清线、电源线、控制线及安装对接、调试、中控系统写码编程等，需达到中控可控制信号切换、投影机开机、幕布升降等。</w:t>
            </w:r>
          </w:p>
        </w:tc>
      </w:tr>
      <w:tr w14:paraId="44709D2C">
        <w:tblPrEx>
          <w:tblCellMar>
            <w:top w:w="0" w:type="dxa"/>
            <w:left w:w="108" w:type="dxa"/>
            <w:bottom w:w="0" w:type="dxa"/>
            <w:right w:w="108" w:type="dxa"/>
          </w:tblCellMar>
        </w:tblPrEx>
        <w:trPr>
          <w:trHeight w:val="652"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5F93A67D">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5</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4C5C62DB">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新增投影幕</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50F03190">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含：幕架、幕布电源线需接入教学中控控制。</w:t>
            </w:r>
          </w:p>
        </w:tc>
      </w:tr>
      <w:tr w14:paraId="55F0E863">
        <w:tblPrEx>
          <w:tblCellMar>
            <w:top w:w="0" w:type="dxa"/>
            <w:left w:w="108" w:type="dxa"/>
            <w:bottom w:w="0" w:type="dxa"/>
            <w:right w:w="108" w:type="dxa"/>
          </w:tblCellMar>
        </w:tblPrEx>
        <w:trPr>
          <w:trHeight w:val="848"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46EEC790">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6</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07EA6B29">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新增辅显</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38C348FE">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含：吊装架、高清光纤线接入讲桌、多路高清信号分配器等。</w:t>
            </w:r>
          </w:p>
        </w:tc>
      </w:tr>
      <w:tr w14:paraId="70B957DB">
        <w:tblPrEx>
          <w:tblCellMar>
            <w:top w:w="0" w:type="dxa"/>
            <w:left w:w="108" w:type="dxa"/>
            <w:bottom w:w="0" w:type="dxa"/>
            <w:right w:w="108" w:type="dxa"/>
          </w:tblCellMar>
        </w:tblPrEx>
        <w:trPr>
          <w:trHeight w:val="777"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13D09F3D">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7</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6A554A59">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A1-楼8间</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0160168F">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8间教室旧桌椅拆除、搬运到校方指定位置及8间教室的强弱布线、墙面部份饰面板、饰面墙、乳胶漆、背景墙基层制作、地面地胶（含自流平）。</w:t>
            </w:r>
          </w:p>
        </w:tc>
      </w:tr>
      <w:tr w14:paraId="2331D182">
        <w:tblPrEx>
          <w:tblCellMar>
            <w:top w:w="0" w:type="dxa"/>
            <w:left w:w="108" w:type="dxa"/>
            <w:bottom w:w="0" w:type="dxa"/>
            <w:right w:w="108" w:type="dxa"/>
          </w:tblCellMar>
        </w:tblPrEx>
        <w:trPr>
          <w:trHeight w:val="1173"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155659A7">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8</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1F6DC833">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讲桌预留中控触控屏安装位置</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606DC34C">
            <w:pPr>
              <w:widowControl w:val="0"/>
              <w:spacing w:after="0" w:line="288" w:lineRule="auto"/>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讲桌预留中控触控面板安装位置，具体位置现场测量。</w:t>
            </w:r>
          </w:p>
        </w:tc>
      </w:tr>
    </w:tbl>
    <w:p w14:paraId="5835F7A9">
      <w:pPr>
        <w:adjustRightInd w:val="0"/>
        <w:snapToGrid w:val="0"/>
        <w:spacing w:line="288" w:lineRule="auto"/>
        <w:ind w:firstLine="420" w:firstLineChars="200"/>
        <w:rPr>
          <w:rFonts w:hint="eastAsia" w:ascii="宋体" w:hAnsi="宋体" w:eastAsia="宋体" w:cs="宋体"/>
          <w:szCs w:val="21"/>
          <w:lang w:val="en-US" w:eastAsia="zh-CN"/>
        </w:rPr>
      </w:pPr>
    </w:p>
    <w:p w14:paraId="3FE46124">
      <w:pPr>
        <w:adjustRightInd w:val="0"/>
        <w:snapToGrid w:val="0"/>
        <w:spacing w:line="288" w:lineRule="auto"/>
        <w:ind w:firstLine="420" w:firstLineChars="200"/>
        <w:rPr>
          <w:rFonts w:hint="eastAsia" w:ascii="宋体" w:hAnsi="宋体" w:eastAsia="宋体" w:cs="Times New Roman"/>
          <w:spacing w:val="-6"/>
          <w:szCs w:val="21"/>
          <w:highlight w:val="none"/>
          <w:lang w:eastAsia="zh-CN"/>
        </w:rPr>
      </w:pPr>
      <w:r>
        <w:rPr>
          <w:rFonts w:hint="eastAsia" w:ascii="宋体" w:hAnsi="宋体" w:eastAsia="宋体" w:cs="宋体"/>
          <w:szCs w:val="21"/>
          <w:lang w:val="en-US" w:eastAsia="zh-CN"/>
        </w:rPr>
        <w:t>4.</w:t>
      </w: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供应商应按招标文件规定向采购人提供全新</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原装合格产品</w:t>
      </w:r>
      <w:r>
        <w:rPr>
          <w:rFonts w:hint="default" w:ascii="宋体" w:hAnsi="宋体" w:eastAsia="宋体" w:cs="宋体"/>
          <w:szCs w:val="21"/>
          <w:highlight w:val="none"/>
          <w:lang w:val="en-US" w:eastAsia="zh-CN"/>
        </w:rPr>
        <w:t>（官方正品，非拆机、组装、改配产品）</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产品应</w:t>
      </w:r>
      <w:r>
        <w:rPr>
          <w:rFonts w:hint="eastAsia" w:ascii="宋体" w:hAnsi="宋体" w:eastAsia="宋体" w:cs="宋体"/>
          <w:szCs w:val="21"/>
          <w:highlight w:val="none"/>
        </w:rPr>
        <w:t>符合国家法律法规规定。</w:t>
      </w:r>
      <w:r>
        <w:rPr>
          <w:rFonts w:hint="eastAsia" w:ascii="宋体" w:hAnsi="宋体" w:eastAsia="宋体" w:cs="Times New Roman"/>
          <w:spacing w:val="-6"/>
          <w:szCs w:val="21"/>
          <w:highlight w:val="none"/>
        </w:rPr>
        <w:t>供应商应保证所提供的货物或其中任何一部分均不会侵犯第三方的知识产权。</w:t>
      </w:r>
      <w:r>
        <w:rPr>
          <w:rFonts w:hint="eastAsia" w:ascii="宋体" w:hAnsi="宋体" w:eastAsia="宋体" w:cs="Times New Roman"/>
          <w:b/>
          <w:bCs/>
          <w:color w:val="FF0000"/>
          <w:spacing w:val="-6"/>
          <w:szCs w:val="21"/>
          <w:highlight w:val="none"/>
          <w:lang w:eastAsia="zh-CN"/>
        </w:rPr>
        <w:t>（</w:t>
      </w:r>
      <w:r>
        <w:rPr>
          <w:rFonts w:hint="eastAsia" w:ascii="宋体" w:hAnsi="宋体" w:eastAsia="宋体" w:cs="Times New Roman"/>
          <w:b/>
          <w:bCs/>
          <w:color w:val="FF0000"/>
          <w:spacing w:val="-6"/>
          <w:szCs w:val="21"/>
          <w:highlight w:val="none"/>
          <w:lang w:val="en-US" w:eastAsia="zh-CN"/>
        </w:rPr>
        <w:t>投标时请提供承诺函</w:t>
      </w:r>
      <w:r>
        <w:rPr>
          <w:rFonts w:hint="eastAsia" w:ascii="宋体" w:hAnsi="宋体" w:eastAsia="宋体" w:cs="Times New Roman"/>
          <w:b/>
          <w:bCs/>
          <w:color w:val="FF0000"/>
          <w:spacing w:val="-6"/>
          <w:szCs w:val="21"/>
          <w:highlight w:val="none"/>
          <w:lang w:eastAsia="zh-CN"/>
        </w:rPr>
        <w:t>）</w:t>
      </w:r>
    </w:p>
    <w:p w14:paraId="72A3972E">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lang w:val="en-US" w:eastAsia="zh-CN"/>
        </w:rPr>
        <w:t>5.供应商应</w:t>
      </w:r>
      <w:r>
        <w:rPr>
          <w:rFonts w:hint="eastAsia" w:ascii="宋体" w:hAnsi="宋体" w:eastAsia="宋体" w:cs="宋体"/>
          <w:szCs w:val="21"/>
          <w:highlight w:val="none"/>
        </w:rPr>
        <w:t>提供有关的全套技术文件（如产品说明书、质量保证书、保修证明、相关配套使用手册等）。</w:t>
      </w:r>
    </w:p>
    <w:p w14:paraId="08B468C9">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安装调试：</w:t>
      </w:r>
    </w:p>
    <w:p w14:paraId="3C1F0F5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.1安装地点：采购人指定地点；</w:t>
      </w:r>
    </w:p>
    <w:p w14:paraId="3A0CB70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58B4248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4FF9EC5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.4安装标准：符合我国国家有关技术规范要求和技术标准，所有的软件和硬件必须保证同时安装到位；</w:t>
      </w:r>
    </w:p>
    <w:p w14:paraId="17FCFA0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.5供应商提供合同货物的安装服务；</w:t>
      </w:r>
    </w:p>
    <w:p w14:paraId="33DAB16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.6供应商在投标文件中应提供安装调试计划</w:t>
      </w:r>
      <w:r>
        <w:rPr>
          <w:rFonts w:hint="eastAsia" w:ascii="宋体" w:hAnsi="宋体" w:eastAsia="宋体" w:cs="宋体"/>
          <w:szCs w:val="21"/>
          <w:highlight w:val="none"/>
          <w:lang w:val="en-US" w:eastAsia="zh-CN"/>
        </w:rPr>
        <w:t>和安装调试方案</w:t>
      </w:r>
      <w:r>
        <w:rPr>
          <w:rFonts w:hint="eastAsia" w:ascii="宋体" w:hAnsi="宋体" w:eastAsia="宋体" w:cs="宋体"/>
          <w:szCs w:val="21"/>
          <w:highlight w:val="none"/>
        </w:rPr>
        <w:t>。</w:t>
      </w:r>
    </w:p>
    <w:p w14:paraId="2DD20D5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.7供应商负责完成设备安装相关的开槽、复原、暗管布线及辅材铺设等相关基础工作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设备安装前，供应商须提前对学校现场各种环境进行勘</w:t>
      </w:r>
      <w:r>
        <w:rPr>
          <w:rFonts w:hint="eastAsia" w:ascii="宋体" w:hAnsi="宋体" w:eastAsia="宋体" w:cs="宋体"/>
          <w:color w:val="auto"/>
          <w:szCs w:val="21"/>
          <w:highlight w:val="none"/>
          <w:lang w:val="en-US" w:eastAsia="zh-CN"/>
        </w:rPr>
        <w:t>查</w:t>
      </w:r>
      <w:r>
        <w:rPr>
          <w:rFonts w:hint="eastAsia" w:ascii="宋体" w:hAnsi="宋体" w:eastAsia="宋体" w:cs="宋体"/>
          <w:color w:val="auto"/>
          <w:szCs w:val="21"/>
          <w:highlight w:val="none"/>
        </w:rPr>
        <w:t>，如现场条件达不到设备安装条件，由供应商承担现有基础条件外的开槽、复原、暗管布线及辅材等</w:t>
      </w:r>
      <w:r>
        <w:rPr>
          <w:rFonts w:hint="eastAsia" w:ascii="宋体" w:hAnsi="宋体" w:eastAsia="宋体" w:cs="宋体"/>
          <w:color w:val="auto"/>
          <w:szCs w:val="21"/>
          <w:highlight w:val="none"/>
          <w:lang w:val="en-US" w:eastAsia="zh-CN"/>
        </w:rPr>
        <w:t>费用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费用包含在本项目总价内；</w:t>
      </w:r>
    </w:p>
    <w:p w14:paraId="692B804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供应商负责完成</w:t>
      </w:r>
      <w:r>
        <w:rPr>
          <w:rFonts w:hint="eastAsia" w:ascii="宋体" w:hAnsi="宋体" w:eastAsia="宋体" w:cs="宋体"/>
          <w:color w:val="auto"/>
          <w:szCs w:val="21"/>
          <w:highlight w:val="none"/>
          <w:lang w:val="en-US" w:eastAsia="zh-CN"/>
        </w:rPr>
        <w:t>教室网络提升，及</w:t>
      </w:r>
      <w:r>
        <w:rPr>
          <w:rFonts w:hint="eastAsia" w:ascii="宋体" w:hAnsi="宋体" w:eastAsia="宋体" w:cs="宋体"/>
          <w:color w:val="auto"/>
          <w:szCs w:val="21"/>
          <w:highlight w:val="none"/>
        </w:rPr>
        <w:t>安装相关的开槽、复原、暗管布线及辅材铺设等相关基础工作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并确保采购方原有网络设施完好</w:t>
      </w:r>
      <w:r>
        <w:rPr>
          <w:rFonts w:hint="eastAsia" w:ascii="宋体" w:hAnsi="宋体" w:eastAsia="宋体" w:cs="宋体"/>
          <w:color w:val="auto"/>
          <w:szCs w:val="21"/>
          <w:highlight w:val="none"/>
          <w:lang w:eastAsia="zh-CN"/>
        </w:rPr>
        <w:t>；</w:t>
      </w:r>
    </w:p>
    <w:p w14:paraId="17F055E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6.9</w:t>
      </w:r>
      <w:r>
        <w:rPr>
          <w:rFonts w:hint="eastAsia" w:ascii="宋体" w:hAnsi="宋体" w:eastAsia="宋体" w:cs="宋体"/>
          <w:color w:val="auto"/>
          <w:szCs w:val="21"/>
          <w:highlight w:val="none"/>
        </w:rPr>
        <w:t>供应商除负责完成本次招标方案中所有设备的连接、调试外，还需要负责</w:t>
      </w:r>
      <w:r>
        <w:rPr>
          <w:rFonts w:hint="eastAsia" w:ascii="宋体" w:hAnsi="宋体" w:eastAsia="宋体" w:cs="宋体"/>
          <w:color w:val="auto"/>
          <w:szCs w:val="21"/>
          <w:highlight w:val="none"/>
          <w:lang w:val="en-US" w:eastAsia="zh-CN"/>
        </w:rPr>
        <w:t>与本次招标涉及到</w:t>
      </w:r>
      <w:r>
        <w:rPr>
          <w:rFonts w:hint="eastAsia" w:ascii="宋体" w:hAnsi="宋体" w:eastAsia="宋体" w:cs="宋体"/>
          <w:color w:val="auto"/>
          <w:szCs w:val="21"/>
          <w:highlight w:val="none"/>
        </w:rPr>
        <w:t>教室</w:t>
      </w:r>
      <w:r>
        <w:rPr>
          <w:rFonts w:hint="eastAsia" w:ascii="宋体" w:hAnsi="宋体" w:eastAsia="宋体" w:cs="宋体"/>
          <w:color w:val="auto"/>
          <w:szCs w:val="21"/>
          <w:highlight w:val="none"/>
          <w:lang w:val="en-US" w:eastAsia="zh-CN"/>
        </w:rPr>
        <w:t>内的所有</w:t>
      </w:r>
      <w:r>
        <w:rPr>
          <w:rFonts w:hint="eastAsia" w:ascii="宋体" w:hAnsi="宋体" w:eastAsia="宋体" w:cs="宋体"/>
          <w:color w:val="auto"/>
          <w:szCs w:val="21"/>
          <w:highlight w:val="none"/>
        </w:rPr>
        <w:t>大屏、辅屏的</w:t>
      </w:r>
      <w:r>
        <w:rPr>
          <w:rFonts w:hint="eastAsia" w:ascii="宋体" w:hAnsi="宋体" w:eastAsia="宋体" w:cs="宋体"/>
          <w:color w:val="auto"/>
          <w:szCs w:val="21"/>
          <w:highlight w:val="none"/>
          <w:lang w:val="en-US" w:eastAsia="zh-CN"/>
        </w:rPr>
        <w:t>集成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联调等</w:t>
      </w:r>
      <w:r>
        <w:rPr>
          <w:rFonts w:hint="eastAsia" w:ascii="宋体" w:hAnsi="宋体" w:eastAsia="宋体" w:cs="宋体"/>
          <w:color w:val="auto"/>
          <w:szCs w:val="21"/>
          <w:highlight w:val="none"/>
        </w:rPr>
        <w:t>工作；</w:t>
      </w:r>
    </w:p>
    <w:p w14:paraId="6BD9B03D">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.技术支持：</w:t>
      </w:r>
    </w:p>
    <w:p w14:paraId="75440A97">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供应商应及时提供合同货物软件的升级，提供合同货物新功能和应用的资料。</w:t>
      </w:r>
    </w:p>
    <w:p w14:paraId="66FD9069">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供应商应提供质保期满后主要零部件报价单、质保期满后维护费、软件升级及其相关服务内容；</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产品相关配件、附件、备品备件及耗材的准备和保障措施、消耗水平和成本</w:t>
      </w:r>
      <w:r>
        <w:rPr>
          <w:rFonts w:hint="eastAsia" w:ascii="宋体" w:hAnsi="宋体" w:eastAsia="宋体" w:cs="宋体"/>
          <w:szCs w:val="21"/>
          <w:highlight w:val="none"/>
          <w:lang w:val="en-US" w:eastAsia="zh-CN"/>
        </w:rPr>
        <w:t>方案</w:t>
      </w:r>
      <w:r>
        <w:rPr>
          <w:rFonts w:hint="eastAsia" w:ascii="宋体" w:hAnsi="宋体" w:eastAsia="宋体" w:cs="宋体"/>
          <w:szCs w:val="21"/>
          <w:highlight w:val="none"/>
        </w:rPr>
        <w:t>。</w:t>
      </w:r>
    </w:p>
    <w:p w14:paraId="1F456117">
      <w:pPr>
        <w:adjustRightInd w:val="0"/>
        <w:snapToGrid w:val="0"/>
        <w:spacing w:line="288"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9.验收标准</w:t>
      </w:r>
    </w:p>
    <w:p w14:paraId="65F8766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lang w:val="en-US" w:eastAsia="zh-CN"/>
        </w:rPr>
        <w:t>9.</w:t>
      </w:r>
      <w:r>
        <w:rPr>
          <w:rFonts w:hint="eastAsia" w:ascii="宋体" w:hAnsi="宋体" w:eastAsia="宋体" w:cs="宋体"/>
          <w:szCs w:val="21"/>
          <w:highlight w:val="none"/>
        </w:rPr>
        <w:t>1验收由采购人负责实施；</w:t>
      </w:r>
    </w:p>
    <w:p w14:paraId="3F2972F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9.2</w:t>
      </w:r>
      <w:r>
        <w:rPr>
          <w:rFonts w:hint="eastAsia" w:ascii="宋体" w:hAnsi="宋体" w:eastAsia="宋体" w:cs="宋体"/>
          <w:szCs w:val="21"/>
          <w:highlight w:val="none"/>
        </w:rPr>
        <w:t>.验收依据：</w:t>
      </w:r>
    </w:p>
    <w:p w14:paraId="2EA2DCD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2.1合同、招标文件、投标文件；</w:t>
      </w:r>
    </w:p>
    <w:p w14:paraId="078D6FB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2.2供应商提供的技术规格、经采购人认可的合同货物的有效检验文件；</w:t>
      </w:r>
    </w:p>
    <w:p w14:paraId="0C80F4B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2.3供应商投标文件中提供的经采购人认可的合同货物的验收标准（符合中国有关的国家、地方、行业标准）和检测办法及相应检测手段。</w:t>
      </w:r>
    </w:p>
    <w:p w14:paraId="13450A7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3FBAD38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4验收合格的条件：</w:t>
      </w:r>
    </w:p>
    <w:p w14:paraId="7B197B4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4.1所供货物符合产品标准和合同的要求；</w:t>
      </w:r>
    </w:p>
    <w:p w14:paraId="0CA86B2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4.2在进行测试和验收过程中发现的问题已被解决并得到采购人的认可；</w:t>
      </w:r>
    </w:p>
    <w:p w14:paraId="22C057F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4.3合同中规定的所有货物和材料均已交付；</w:t>
      </w:r>
    </w:p>
    <w:p w14:paraId="172E70E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4.4所供货物已通过使用单位组织的验收；</w:t>
      </w:r>
    </w:p>
    <w:p w14:paraId="6FA02FBA">
      <w:pPr>
        <w:rPr>
          <w:rFonts w:hint="eastAsia" w:ascii="宋体" w:hAnsi="宋体" w:eastAsia="宋体" w:cs="宋体"/>
          <w:sz w:val="21"/>
          <w:szCs w:val="21"/>
          <w:lang w:val="en-US" w:eastAsia="zh-CN"/>
        </w:rPr>
        <w:sectPr>
          <w:footerReference r:id="rId3" w:type="default"/>
          <w:pgSz w:w="11906" w:h="16838"/>
          <w:pgMar w:top="1247" w:right="1247" w:bottom="1247" w:left="1247" w:header="0" w:footer="694" w:gutter="0"/>
          <w:pgNumType w:fmt="decimal" w:start="1"/>
          <w:cols w:space="720" w:num="1"/>
          <w:docGrid w:linePitch="381" w:charSpace="0"/>
        </w:sectPr>
      </w:pPr>
      <w:r>
        <w:rPr>
          <w:rFonts w:hint="eastAsia" w:ascii="宋体" w:hAnsi="宋体" w:eastAsia="宋体" w:cs="宋体"/>
          <w:color w:val="000000"/>
          <w:sz w:val="21"/>
          <w:szCs w:val="21"/>
          <w:highlight w:val="none"/>
          <w:lang w:val="en-US" w:eastAsia="zh-CN" w:bidi="ar-SA"/>
        </w:rPr>
        <w:t>9.4.5所有相关的技术文件及资料均已提交并得到接受。</w:t>
      </w:r>
    </w:p>
    <w:bookmarkEnd w:id="24"/>
    <w:bookmarkEnd w:id="28"/>
    <w:p w14:paraId="4934D7E2">
      <w:pPr>
        <w:spacing w:line="360" w:lineRule="auto"/>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商务要求表</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1A89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B3D9A41">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0B15AFA3">
            <w:pPr>
              <w:widowControl/>
              <w:spacing w:before="120" w:beforeLines="50" w:after="120"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硬件</w:t>
            </w:r>
            <w:r>
              <w:rPr>
                <w:rFonts w:hint="eastAsia" w:ascii="仿宋" w:hAnsi="仿宋" w:eastAsia="仿宋" w:cs="宋体"/>
                <w:color w:val="000000"/>
                <w:sz w:val="24"/>
                <w:szCs w:val="24"/>
                <w:lang w:val="en-US" w:eastAsia="zh-CN"/>
              </w:rPr>
              <w:t>产品</w:t>
            </w:r>
            <w:r>
              <w:rPr>
                <w:rFonts w:hint="eastAsia" w:ascii="仿宋" w:hAnsi="仿宋" w:eastAsia="仿宋" w:cs="宋体"/>
                <w:color w:val="000000"/>
                <w:sz w:val="24"/>
                <w:szCs w:val="24"/>
              </w:rPr>
              <w:t>在合同签订后至2025年9月前完成实施</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交货地点：浙江科技大学小和山校区相应教室；</w:t>
            </w:r>
          </w:p>
          <w:p w14:paraId="2F1D5B92">
            <w:pPr>
              <w:widowControl/>
              <w:spacing w:before="120" w:beforeLines="50" w:after="120"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软件在2025年10月前完成实施</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交货地点：浙江科技大学小和山校区行政楼。</w:t>
            </w:r>
          </w:p>
        </w:tc>
      </w:tr>
      <w:tr w14:paraId="33CB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B8BAA88">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0BD8B648">
            <w:pPr>
              <w:widowControl/>
              <w:adjustRightInd/>
              <w:snapToGrid/>
              <w:spacing w:before="120" w:beforeLines="50" w:after="120" w:afterLines="50" w:line="240" w:lineRule="auto"/>
              <w:ind w:firstLine="0" w:firstLineChars="0"/>
              <w:rPr>
                <w:rFonts w:hint="eastAsia" w:ascii="仿宋" w:hAnsi="仿宋" w:eastAsia="仿宋" w:cs="宋体"/>
                <w:color w:val="000000"/>
                <w:spacing w:val="0"/>
                <w:kern w:val="2"/>
                <w:sz w:val="24"/>
                <w:szCs w:val="24"/>
                <w:lang w:val="en-US" w:eastAsia="zh-CN"/>
              </w:rPr>
            </w:pPr>
            <w:r>
              <w:rPr>
                <w:rFonts w:hint="eastAsia" w:ascii="仿宋" w:hAnsi="仿宋" w:eastAsia="仿宋" w:cs="宋体"/>
                <w:color w:val="000000"/>
                <w:spacing w:val="0"/>
                <w:kern w:val="2"/>
                <w:sz w:val="24"/>
                <w:szCs w:val="24"/>
                <w:lang w:val="en-US" w:eastAsia="zh-CN"/>
              </w:rPr>
              <w:t>1.履约保证金</w:t>
            </w:r>
          </w:p>
          <w:p w14:paraId="7AF4FD96">
            <w:pPr>
              <w:widowControl/>
              <w:adjustRightInd/>
              <w:snapToGrid/>
              <w:spacing w:before="120" w:beforeLines="50" w:after="120" w:afterLines="50" w:line="240" w:lineRule="auto"/>
              <w:ind w:firstLine="0" w:firstLineChars="0"/>
              <w:rPr>
                <w:rFonts w:hint="eastAsia" w:ascii="仿宋" w:hAnsi="仿宋" w:eastAsia="仿宋" w:cs="宋体"/>
                <w:color w:val="000000"/>
                <w:spacing w:val="0"/>
                <w:kern w:val="2"/>
                <w:sz w:val="24"/>
                <w:szCs w:val="24"/>
              </w:rPr>
            </w:pPr>
            <w:r>
              <w:rPr>
                <w:rFonts w:hint="eastAsia" w:ascii="仿宋" w:hAnsi="仿宋" w:eastAsia="仿宋" w:cs="宋体"/>
                <w:color w:val="000000"/>
                <w:spacing w:val="0"/>
                <w:kern w:val="2"/>
                <w:sz w:val="24"/>
                <w:szCs w:val="24"/>
              </w:rPr>
              <w:t>1.</w:t>
            </w:r>
            <w:r>
              <w:rPr>
                <w:rFonts w:hint="eastAsia" w:ascii="仿宋" w:hAnsi="仿宋" w:eastAsia="仿宋" w:cs="宋体"/>
                <w:color w:val="000000"/>
                <w:spacing w:val="0"/>
                <w:kern w:val="2"/>
                <w:sz w:val="24"/>
                <w:szCs w:val="24"/>
                <w:lang w:val="en-US" w:eastAsia="zh-CN"/>
              </w:rPr>
              <w:t>1</w:t>
            </w:r>
            <w:r>
              <w:rPr>
                <w:rFonts w:hint="eastAsia" w:ascii="仿宋" w:hAnsi="仿宋" w:eastAsia="仿宋" w:cs="宋体"/>
                <w:color w:val="000000"/>
                <w:spacing w:val="0"/>
                <w:kern w:val="2"/>
                <w:sz w:val="24"/>
                <w:szCs w:val="24"/>
              </w:rPr>
              <w:t>合同签订后一周内，中标人向采购人提交合同总价1%的履约保证金，履约保证金在合同履约期间无违约情形的，项目验收结束后，于一周内退还（不计息）；</w:t>
            </w:r>
          </w:p>
          <w:p w14:paraId="17A3FBD5">
            <w:pPr>
              <w:widowControl/>
              <w:adjustRightInd/>
              <w:spacing w:before="120" w:beforeLines="50" w:after="120" w:afterLines="50" w:line="240" w:lineRule="auto"/>
              <w:textAlignment w:val="auto"/>
              <w:rPr>
                <w:rFonts w:hint="eastAsia" w:ascii="仿宋" w:hAnsi="仿宋" w:eastAsia="仿宋" w:cs="宋体"/>
                <w:color w:val="000000"/>
                <w:spacing w:val="0"/>
                <w:kern w:val="2"/>
                <w:sz w:val="24"/>
                <w:szCs w:val="24"/>
              </w:rPr>
            </w:pPr>
            <w:r>
              <w:rPr>
                <w:rFonts w:hint="eastAsia" w:ascii="仿宋" w:hAnsi="仿宋" w:eastAsia="仿宋" w:cs="宋体"/>
                <w:color w:val="000000"/>
                <w:spacing w:val="0"/>
                <w:kern w:val="2"/>
                <w:sz w:val="24"/>
                <w:szCs w:val="24"/>
                <w:lang w:val="en-US" w:eastAsia="zh-CN"/>
              </w:rPr>
              <w:t>1.</w:t>
            </w:r>
            <w:r>
              <w:rPr>
                <w:rFonts w:hint="eastAsia" w:ascii="仿宋" w:hAnsi="仿宋" w:eastAsia="仿宋" w:cs="宋体"/>
                <w:color w:val="000000"/>
                <w:spacing w:val="0"/>
                <w:kern w:val="2"/>
                <w:sz w:val="24"/>
                <w:szCs w:val="24"/>
              </w:rPr>
              <w:t>2提交方式：支票、汇票、本票或金融机构、担保机构出具的保函等非现金形式</w:t>
            </w:r>
          </w:p>
          <w:p w14:paraId="30D602F9">
            <w:pPr>
              <w:widowControl/>
              <w:autoSpaceDE/>
              <w:autoSpaceDN/>
              <w:adjustRightInd/>
              <w:snapToGrid/>
              <w:spacing w:before="120" w:beforeLines="50" w:after="120" w:afterLines="50" w:line="240" w:lineRule="auto"/>
              <w:ind w:firstLine="0" w:firstLineChars="0"/>
              <w:jc w:val="left"/>
              <w:rPr>
                <w:rFonts w:hint="eastAsia" w:ascii="仿宋" w:hAnsi="仿宋" w:eastAsia="仿宋" w:cs="宋体"/>
                <w:color w:val="000000"/>
                <w:spacing w:val="0"/>
                <w:kern w:val="2"/>
                <w:sz w:val="24"/>
                <w:szCs w:val="24"/>
              </w:rPr>
            </w:pPr>
            <w:r>
              <w:rPr>
                <w:rFonts w:hint="eastAsia" w:ascii="仿宋" w:hAnsi="仿宋" w:eastAsia="仿宋" w:cs="宋体"/>
                <w:color w:val="000000"/>
                <w:spacing w:val="0"/>
                <w:kern w:val="2"/>
                <w:sz w:val="24"/>
                <w:szCs w:val="24"/>
                <w:lang w:val="en-US" w:eastAsia="zh-CN"/>
              </w:rPr>
              <w:t>2.</w:t>
            </w:r>
            <w:r>
              <w:rPr>
                <w:rFonts w:hint="eastAsia" w:ascii="仿宋" w:hAnsi="仿宋" w:eastAsia="仿宋" w:cs="宋体"/>
                <w:color w:val="000000"/>
                <w:spacing w:val="0"/>
                <w:kern w:val="2"/>
                <w:sz w:val="24"/>
                <w:szCs w:val="24"/>
              </w:rPr>
              <w:t>预付款：</w:t>
            </w:r>
          </w:p>
          <w:p w14:paraId="79B55C4E">
            <w:pPr>
              <w:widowControl/>
              <w:autoSpaceDE/>
              <w:autoSpaceDN/>
              <w:adjustRightInd/>
              <w:snapToGrid/>
              <w:spacing w:before="120" w:beforeLines="50" w:after="120" w:afterLines="50" w:line="240" w:lineRule="auto"/>
              <w:ind w:firstLine="0" w:firstLineChars="0"/>
              <w:jc w:val="left"/>
              <w:rPr>
                <w:rFonts w:hint="eastAsia" w:ascii="仿宋" w:hAnsi="仿宋" w:eastAsia="仿宋" w:cs="宋体"/>
                <w:color w:val="000000"/>
                <w:spacing w:val="0"/>
                <w:kern w:val="2"/>
                <w:sz w:val="24"/>
                <w:szCs w:val="24"/>
              </w:rPr>
            </w:pPr>
            <w:r>
              <w:rPr>
                <w:rFonts w:hint="eastAsia" w:ascii="仿宋" w:hAnsi="仿宋" w:eastAsia="仿宋" w:cs="宋体"/>
                <w:color w:val="000000"/>
                <w:spacing w:val="0"/>
                <w:kern w:val="2"/>
                <w:sz w:val="24"/>
                <w:szCs w:val="24"/>
                <w:lang w:val="en-US" w:eastAsia="zh-CN"/>
              </w:rPr>
              <w:t>2</w:t>
            </w:r>
            <w:r>
              <w:rPr>
                <w:rFonts w:hint="eastAsia" w:ascii="仿宋" w:hAnsi="仿宋" w:eastAsia="仿宋" w:cs="宋体"/>
                <w:color w:val="000000"/>
                <w:spacing w:val="0"/>
                <w:kern w:val="2"/>
                <w:sz w:val="24"/>
                <w:szCs w:val="24"/>
              </w:rPr>
              <w:t>.1.支付条件：中标人提交银行、保险公司等金融机构出具的预付款保函；</w:t>
            </w:r>
          </w:p>
          <w:p w14:paraId="508C12C9">
            <w:pPr>
              <w:widowControl/>
              <w:autoSpaceDE/>
              <w:autoSpaceDN/>
              <w:adjustRightInd/>
              <w:snapToGrid/>
              <w:spacing w:before="120" w:beforeLines="50" w:after="120" w:afterLines="50" w:line="240" w:lineRule="auto"/>
              <w:ind w:firstLine="0" w:firstLineChars="0"/>
              <w:jc w:val="left"/>
              <w:rPr>
                <w:rFonts w:hint="eastAsia" w:ascii="仿宋" w:hAnsi="仿宋" w:eastAsia="仿宋" w:cs="宋体"/>
                <w:color w:val="000000"/>
                <w:spacing w:val="0"/>
                <w:kern w:val="2"/>
                <w:sz w:val="24"/>
                <w:szCs w:val="24"/>
              </w:rPr>
            </w:pPr>
            <w:r>
              <w:rPr>
                <w:rFonts w:hint="eastAsia" w:ascii="仿宋" w:hAnsi="仿宋" w:eastAsia="仿宋" w:cs="宋体"/>
                <w:color w:val="000000"/>
                <w:spacing w:val="0"/>
                <w:kern w:val="2"/>
                <w:sz w:val="24"/>
                <w:szCs w:val="24"/>
                <w:lang w:val="en-US" w:eastAsia="zh-CN"/>
              </w:rPr>
              <w:t>2</w:t>
            </w:r>
            <w:r>
              <w:rPr>
                <w:rFonts w:hint="eastAsia" w:ascii="仿宋" w:hAnsi="仿宋" w:eastAsia="仿宋" w:cs="宋体"/>
                <w:color w:val="000000"/>
                <w:spacing w:val="0"/>
                <w:kern w:val="2"/>
                <w:sz w:val="24"/>
                <w:szCs w:val="24"/>
              </w:rPr>
              <w:t>.2.支付时间、数额：合同生效并具备实施条件后7个工作日内，采购人向中标人支付合同金额</w:t>
            </w:r>
            <w:r>
              <w:rPr>
                <w:rFonts w:hint="eastAsia" w:ascii="仿宋" w:hAnsi="仿宋" w:eastAsia="仿宋" w:cs="宋体"/>
                <w:color w:val="000000"/>
                <w:spacing w:val="0"/>
                <w:kern w:val="2"/>
                <w:sz w:val="24"/>
                <w:szCs w:val="24"/>
                <w:lang w:val="en-US" w:eastAsia="zh-CN"/>
              </w:rPr>
              <w:t>4</w:t>
            </w:r>
            <w:r>
              <w:rPr>
                <w:rFonts w:hint="eastAsia" w:ascii="仿宋" w:hAnsi="仿宋" w:eastAsia="仿宋" w:cs="宋体"/>
                <w:color w:val="000000"/>
                <w:spacing w:val="0"/>
                <w:kern w:val="2"/>
                <w:sz w:val="24"/>
                <w:szCs w:val="24"/>
              </w:rPr>
              <w:t>0%的预付款。</w:t>
            </w:r>
          </w:p>
          <w:p w14:paraId="7F37754B">
            <w:pPr>
              <w:widowControl/>
              <w:autoSpaceDE/>
              <w:autoSpaceDN/>
              <w:adjustRightInd/>
              <w:snapToGrid/>
              <w:spacing w:before="120" w:beforeLines="50" w:after="120" w:afterLines="50" w:line="240" w:lineRule="auto"/>
              <w:ind w:firstLine="0" w:firstLineChars="0"/>
              <w:jc w:val="left"/>
              <w:rPr>
                <w:rFonts w:hint="eastAsia" w:ascii="仿宋" w:hAnsi="仿宋" w:eastAsia="仿宋" w:cs="宋体"/>
                <w:color w:val="000000"/>
                <w:spacing w:val="0"/>
                <w:kern w:val="2"/>
                <w:sz w:val="24"/>
                <w:szCs w:val="24"/>
              </w:rPr>
            </w:pPr>
            <w:r>
              <w:rPr>
                <w:rFonts w:hint="eastAsia" w:ascii="仿宋" w:hAnsi="仿宋" w:eastAsia="仿宋" w:cs="宋体"/>
                <w:color w:val="000000"/>
                <w:spacing w:val="0"/>
                <w:kern w:val="2"/>
                <w:sz w:val="24"/>
                <w:szCs w:val="24"/>
              </w:rPr>
              <w:t>备注：签订合同时，中标人明确表示无需预付款或者主动要求降低预付款比例的，采购单位可不适用前述规定。</w:t>
            </w:r>
          </w:p>
          <w:p w14:paraId="31EE5B33">
            <w:pPr>
              <w:widowControl/>
              <w:spacing w:before="120" w:beforeLines="50" w:after="120" w:afterLines="50"/>
              <w:rPr>
                <w:rFonts w:hint="eastAsia" w:ascii="仿宋" w:hAnsi="仿宋" w:eastAsia="仿宋" w:cs="宋体"/>
                <w:b w:val="0"/>
                <w:color w:val="000000"/>
                <w:sz w:val="24"/>
                <w:szCs w:val="24"/>
              </w:rPr>
            </w:pPr>
            <w:r>
              <w:rPr>
                <w:rFonts w:hint="eastAsia" w:ascii="仿宋" w:hAnsi="仿宋" w:eastAsia="仿宋" w:cs="宋体"/>
                <w:color w:val="000000"/>
                <w:spacing w:val="0"/>
                <w:kern w:val="2"/>
                <w:sz w:val="24"/>
                <w:szCs w:val="24"/>
                <w:lang w:val="en-US" w:eastAsia="zh-CN"/>
              </w:rPr>
              <w:t>3.</w:t>
            </w:r>
            <w:r>
              <w:rPr>
                <w:rFonts w:hint="eastAsia" w:ascii="仿宋" w:hAnsi="仿宋" w:eastAsia="仿宋" w:cs="宋体"/>
                <w:color w:val="000000"/>
                <w:spacing w:val="0"/>
                <w:kern w:val="2"/>
                <w:sz w:val="24"/>
                <w:szCs w:val="24"/>
              </w:rPr>
              <w:t>项目完成后，经采购人验收合格后，采购人自收到发票后7个工作日内，支付至合同金额的100%。</w:t>
            </w:r>
          </w:p>
        </w:tc>
      </w:tr>
      <w:tr w14:paraId="59E7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CC15684">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0803D562">
            <w:pPr>
              <w:widowControl/>
              <w:adjustRightInd/>
              <w:snapToGrid/>
              <w:spacing w:before="120" w:beforeLines="50" w:after="120" w:afterLines="50" w:line="240" w:lineRule="auto"/>
              <w:ind w:left="0" w:firstLine="0" w:firstLineChars="0"/>
              <w:jc w:val="left"/>
              <w:rPr>
                <w:rFonts w:hint="eastAsia" w:ascii="仿宋" w:hAnsi="仿宋" w:eastAsia="仿宋" w:cs="宋体"/>
                <w:snapToGrid/>
                <w:color w:val="000000"/>
                <w:kern w:val="2"/>
                <w:sz w:val="24"/>
                <w:szCs w:val="24"/>
                <w:lang w:val="en-US" w:eastAsia="zh-CN" w:bidi="ar-SA"/>
              </w:rPr>
            </w:pPr>
            <w:r>
              <w:rPr>
                <w:rFonts w:hint="default" w:ascii="仿宋" w:hAnsi="仿宋" w:eastAsia="仿宋" w:cs="宋体"/>
                <w:snapToGrid/>
                <w:color w:val="000000"/>
                <w:kern w:val="2"/>
                <w:sz w:val="24"/>
                <w:szCs w:val="24"/>
                <w:lang w:val="en-US" w:eastAsia="zh-CN" w:bidi="ar-SA"/>
              </w:rPr>
              <w:t>1.甲方无正当理由拒收验收项目的，甲方向乙方偿付拒收合同总价的百分之五违约金。</w:t>
            </w:r>
          </w:p>
          <w:p w14:paraId="47E4A488">
            <w:pPr>
              <w:widowControl/>
              <w:adjustRightInd/>
              <w:snapToGrid/>
              <w:spacing w:before="120" w:beforeLines="50" w:after="120" w:afterLines="50" w:line="240" w:lineRule="auto"/>
              <w:ind w:left="0" w:firstLine="0" w:firstLineChars="0"/>
              <w:jc w:val="left"/>
              <w:rPr>
                <w:rFonts w:hint="eastAsia" w:ascii="仿宋" w:hAnsi="仿宋" w:eastAsia="仿宋" w:cs="宋体"/>
                <w:b w:val="0"/>
                <w:snapToGrid/>
                <w:color w:val="000000"/>
                <w:kern w:val="2"/>
                <w:sz w:val="24"/>
                <w:szCs w:val="24"/>
                <w:lang w:val="en-US" w:eastAsia="zh-CN" w:bidi="ar-SA"/>
              </w:rPr>
            </w:pPr>
            <w:r>
              <w:rPr>
                <w:rFonts w:hint="default" w:ascii="仿宋" w:hAnsi="仿宋" w:eastAsia="仿宋" w:cs="宋体"/>
                <w:b w:val="0"/>
                <w:snapToGrid/>
                <w:color w:val="000000"/>
                <w:kern w:val="2"/>
                <w:sz w:val="24"/>
                <w:szCs w:val="24"/>
                <w:lang w:val="en-US" w:eastAsia="zh-CN" w:bidi="ar-SA"/>
              </w:rPr>
              <w:t>2. 甲方收到乙方提供的发票，结合验收情况，验收合格的，在七个工作日内将采购资金支付到乙方约定账户。</w:t>
            </w:r>
          </w:p>
          <w:p w14:paraId="37444EF5">
            <w:pPr>
              <w:widowControl/>
              <w:adjustRightInd/>
              <w:snapToGrid/>
              <w:spacing w:before="120" w:beforeLines="50" w:after="120" w:afterLines="50" w:line="240" w:lineRule="auto"/>
              <w:ind w:left="0" w:firstLine="0" w:firstLineChars="0"/>
              <w:jc w:val="left"/>
              <w:rPr>
                <w:rFonts w:hint="eastAsia" w:ascii="仿宋" w:hAnsi="仿宋" w:eastAsia="仿宋" w:cs="宋体"/>
                <w:snapToGrid/>
                <w:color w:val="000000"/>
                <w:kern w:val="2"/>
                <w:sz w:val="24"/>
                <w:szCs w:val="24"/>
                <w:lang w:val="en-US" w:eastAsia="zh-CN" w:bidi="ar-SA"/>
              </w:rPr>
            </w:pPr>
            <w:r>
              <w:rPr>
                <w:rFonts w:hint="default" w:ascii="仿宋" w:hAnsi="仿宋" w:eastAsia="仿宋" w:cs="宋体"/>
                <w:snapToGrid/>
                <w:color w:val="000000"/>
                <w:kern w:val="2"/>
                <w:sz w:val="24"/>
                <w:szCs w:val="24"/>
                <w:lang w:val="en-US" w:eastAsia="zh-CN" w:bidi="ar-SA"/>
              </w:rPr>
              <w:t>甲方无故逾期验收和办理合同款项支付手续的,甲方应按逾期付款总额每日万分之五向乙方支付违约金。</w:t>
            </w:r>
          </w:p>
          <w:p w14:paraId="45694869">
            <w:pPr>
              <w:widowControl/>
              <w:adjustRightInd/>
              <w:snapToGrid/>
              <w:spacing w:before="120" w:beforeLines="50" w:after="120" w:afterLines="50" w:line="240" w:lineRule="auto"/>
              <w:ind w:left="0" w:firstLine="0" w:firstLineChars="0"/>
              <w:jc w:val="left"/>
              <w:rPr>
                <w:rFonts w:hint="eastAsia" w:ascii="仿宋" w:hAnsi="仿宋" w:eastAsia="仿宋" w:cs="宋体"/>
                <w:snapToGrid/>
                <w:color w:val="000000"/>
                <w:kern w:val="2"/>
                <w:sz w:val="24"/>
                <w:szCs w:val="24"/>
                <w:lang w:val="en-US" w:eastAsia="zh-CN" w:bidi="ar-SA"/>
              </w:rPr>
            </w:pPr>
            <w:r>
              <w:rPr>
                <w:rFonts w:hint="default" w:ascii="仿宋" w:hAnsi="仿宋" w:eastAsia="仿宋" w:cs="宋体"/>
                <w:snapToGrid/>
                <w:color w:val="000000"/>
                <w:kern w:val="2"/>
                <w:sz w:val="24"/>
                <w:szCs w:val="24"/>
                <w:lang w:val="en-US" w:eastAsia="zh-CN" w:bidi="ar-SA"/>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CB3F535">
            <w:pPr>
              <w:widowControl/>
              <w:adjustRightInd/>
              <w:snapToGrid/>
              <w:spacing w:before="120" w:beforeLines="50" w:after="120" w:afterLines="50" w:line="240" w:lineRule="auto"/>
              <w:ind w:left="0" w:firstLine="0" w:firstLineChars="0"/>
              <w:jc w:val="left"/>
              <w:rPr>
                <w:rFonts w:hint="eastAsia" w:ascii="仿宋" w:hAnsi="仿宋" w:eastAsia="仿宋" w:cs="宋体"/>
                <w:snapToGrid/>
                <w:color w:val="000000"/>
                <w:kern w:val="2"/>
                <w:sz w:val="24"/>
                <w:szCs w:val="24"/>
                <w:lang w:val="en-US" w:eastAsia="zh-CN" w:bidi="ar-SA"/>
              </w:rPr>
            </w:pPr>
            <w:r>
              <w:rPr>
                <w:rFonts w:hint="default" w:ascii="仿宋" w:hAnsi="仿宋" w:eastAsia="仿宋" w:cs="宋体"/>
                <w:snapToGrid/>
                <w:color w:val="000000"/>
                <w:kern w:val="2"/>
                <w:sz w:val="24"/>
                <w:szCs w:val="24"/>
                <w:lang w:val="en-US" w:eastAsia="zh-CN" w:bidi="ar-S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3734D8A">
            <w:pPr>
              <w:widowControl/>
              <w:spacing w:before="120" w:beforeLines="50" w:after="120" w:afterLines="50" w:line="240" w:lineRule="auto"/>
              <w:rPr>
                <w:rFonts w:hint="eastAsia" w:ascii="仿宋" w:hAnsi="仿宋" w:eastAsia="仿宋" w:cs="宋体"/>
                <w:color w:val="000000"/>
                <w:sz w:val="24"/>
                <w:szCs w:val="24"/>
              </w:rPr>
            </w:pPr>
            <w:r>
              <w:rPr>
                <w:rFonts w:hint="default" w:ascii="仿宋" w:hAnsi="仿宋" w:eastAsia="仿宋" w:cs="宋体"/>
                <w:snapToGrid/>
                <w:color w:val="000000"/>
                <w:kern w:val="2"/>
                <w:sz w:val="24"/>
                <w:szCs w:val="24"/>
                <w:lang w:val="en-US" w:eastAsia="zh-CN" w:bidi="ar-SA"/>
              </w:rPr>
              <w:t>5.解除合同应按《浙江省政府采购合同暂行办法》向财政备案。</w:t>
            </w:r>
          </w:p>
        </w:tc>
      </w:tr>
      <w:tr w14:paraId="5709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right w:val="single" w:color="auto" w:sz="4" w:space="0"/>
            </w:tcBorders>
            <w:vAlign w:val="center"/>
          </w:tcPr>
          <w:p w14:paraId="308E2289">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售</w:t>
            </w:r>
          </w:p>
          <w:p w14:paraId="28651F2D">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后</w:t>
            </w:r>
          </w:p>
          <w:p w14:paraId="36198543">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28776DA3">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5202E122">
            <w:pPr>
              <w:widowControl/>
              <w:numPr>
                <w:ilvl w:val="0"/>
                <w:numId w:val="0"/>
              </w:numPr>
              <w:spacing w:before="120" w:beforeLines="50" w:after="120" w:afterLines="50" w:line="240" w:lineRule="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质保期：软件3</w:t>
            </w:r>
            <w:r>
              <w:rPr>
                <w:rFonts w:hint="eastAsia" w:ascii="仿宋" w:hAnsi="仿宋" w:eastAsia="仿宋" w:cs="宋体"/>
                <w:color w:val="000000"/>
                <w:sz w:val="24"/>
                <w:szCs w:val="24"/>
              </w:rPr>
              <w:t>年，项目验收合格后开始计算。</w:t>
            </w:r>
            <w:r>
              <w:rPr>
                <w:rFonts w:hint="eastAsia" w:ascii="仿宋" w:hAnsi="仿宋" w:eastAsia="仿宋" w:cs="宋体"/>
                <w:color w:val="000000"/>
                <w:sz w:val="24"/>
                <w:szCs w:val="24"/>
                <w:lang w:val="en-US" w:eastAsia="zh-CN"/>
              </w:rPr>
              <w:t>硬件整机5年（项目经校级验收合格后开始计算），中标后提供原厂质保函。</w:t>
            </w:r>
          </w:p>
          <w:p w14:paraId="3ED66D91">
            <w:pPr>
              <w:widowControl/>
              <w:numPr>
                <w:ilvl w:val="-1"/>
                <w:numId w:val="0"/>
              </w:numPr>
              <w:adjustRightInd/>
              <w:snapToGrid/>
              <w:spacing w:before="120" w:beforeLines="50" w:after="120" w:afterLines="50" w:line="240" w:lineRule="auto"/>
              <w:rPr>
                <w:rFonts w:hint="eastAsia" w:ascii="仿宋" w:hAnsi="仿宋" w:eastAsia="仿宋" w:cs="宋体"/>
                <w:color w:val="000000"/>
                <w:sz w:val="24"/>
                <w:szCs w:val="24"/>
              </w:rPr>
            </w:pPr>
            <w:r>
              <w:rPr>
                <w:rFonts w:hint="eastAsia" w:ascii="仿宋" w:hAnsi="仿宋" w:eastAsia="仿宋" w:cs="宋体"/>
                <w:color w:val="000000"/>
                <w:kern w:val="2"/>
                <w:sz w:val="24"/>
                <w:szCs w:val="24"/>
                <w:lang w:val="en-US" w:eastAsia="zh-CN" w:bidi="ar-SA"/>
              </w:rPr>
              <w:t>1.</w:t>
            </w:r>
            <w:r>
              <w:rPr>
                <w:rFonts w:hint="eastAsia" w:ascii="仿宋" w:hAnsi="仿宋" w:eastAsia="仿宋" w:cs="宋体"/>
                <w:color w:val="000000"/>
                <w:sz w:val="24"/>
                <w:szCs w:val="24"/>
              </w:rPr>
              <w:t>在质保期内，</w:t>
            </w:r>
            <w:r>
              <w:rPr>
                <w:rFonts w:hint="eastAsia" w:ascii="仿宋" w:hAnsi="仿宋" w:eastAsia="仿宋" w:cs="宋体"/>
                <w:color w:val="000000"/>
                <w:sz w:val="24"/>
                <w:szCs w:val="24"/>
                <w:lang w:val="en-US" w:eastAsia="zh-CN"/>
              </w:rPr>
              <w:t>中标</w:t>
            </w:r>
            <w:r>
              <w:rPr>
                <w:rFonts w:hint="eastAsia" w:ascii="仿宋" w:hAnsi="仿宋" w:eastAsia="仿宋" w:cs="宋体"/>
                <w:color w:val="000000"/>
                <w:sz w:val="24"/>
                <w:szCs w:val="24"/>
              </w:rPr>
              <w:t>供应商应对货物出现的质量及安全问题负责处理解决并承担一切费用。</w:t>
            </w:r>
          </w:p>
          <w:p w14:paraId="1164E681">
            <w:pPr>
              <w:widowControl/>
              <w:numPr>
                <w:ilvl w:val="-1"/>
                <w:numId w:val="0"/>
              </w:numPr>
              <w:adjustRightInd/>
              <w:snapToGrid/>
              <w:spacing w:before="120" w:beforeLines="50" w:after="120" w:afterLines="50" w:line="240" w:lineRule="auto"/>
              <w:rPr>
                <w:rFonts w:hint="eastAsia" w:ascii="仿宋" w:hAnsi="仿宋" w:eastAsia="仿宋" w:cs="宋体"/>
                <w:color w:val="000000"/>
                <w:sz w:val="24"/>
                <w:szCs w:val="24"/>
              </w:rPr>
            </w:pPr>
            <w:r>
              <w:rPr>
                <w:rFonts w:hint="eastAsia" w:ascii="仿宋" w:hAnsi="仿宋" w:eastAsia="仿宋" w:cs="宋体"/>
                <w:color w:val="000000"/>
                <w:kern w:val="2"/>
                <w:sz w:val="24"/>
                <w:szCs w:val="24"/>
                <w:lang w:val="en-US" w:eastAsia="zh-CN" w:bidi="ar-SA"/>
              </w:rPr>
              <w:t>2.</w:t>
            </w:r>
            <w:r>
              <w:rPr>
                <w:rFonts w:hint="eastAsia" w:ascii="仿宋" w:hAnsi="仿宋" w:eastAsia="仿宋" w:cs="宋体"/>
                <w:color w:val="000000"/>
                <w:sz w:val="24"/>
                <w:szCs w:val="24"/>
              </w:rPr>
              <w:t>质保期内出现无法排除的故障，</w:t>
            </w:r>
            <w:r>
              <w:rPr>
                <w:rFonts w:hint="eastAsia" w:ascii="仿宋" w:hAnsi="仿宋" w:eastAsia="仿宋" w:cs="宋体"/>
                <w:color w:val="000000"/>
                <w:sz w:val="24"/>
                <w:szCs w:val="24"/>
                <w:lang w:val="en-US" w:eastAsia="zh-CN"/>
              </w:rPr>
              <w:t>中标</w:t>
            </w:r>
            <w:r>
              <w:rPr>
                <w:rFonts w:hint="eastAsia" w:ascii="仿宋" w:hAnsi="仿宋" w:eastAsia="仿宋" w:cs="宋体"/>
                <w:color w:val="000000"/>
                <w:sz w:val="24"/>
                <w:szCs w:val="24"/>
              </w:rPr>
              <w:t>供应商需无条件更换同型号产品。</w:t>
            </w:r>
            <w:r>
              <w:rPr>
                <w:rFonts w:hint="eastAsia" w:ascii="仿宋" w:hAnsi="仿宋" w:eastAsia="仿宋" w:cs="宋体"/>
                <w:color w:val="000000"/>
                <w:sz w:val="24"/>
                <w:szCs w:val="24"/>
                <w:lang w:val="en-US" w:eastAsia="zh-CN"/>
              </w:rPr>
              <w:t>因不能排除的故障而影响工作的情况每发生一次，其质保期相应延长90天，因货物本身缺陷造成各种故障应由中标</w:t>
            </w:r>
            <w:r>
              <w:rPr>
                <w:rFonts w:hint="eastAsia" w:ascii="仿宋" w:hAnsi="仿宋" w:eastAsia="仿宋" w:cs="宋体"/>
                <w:color w:val="000000"/>
                <w:sz w:val="24"/>
                <w:szCs w:val="24"/>
              </w:rPr>
              <w:t>供应商</w:t>
            </w:r>
            <w:r>
              <w:rPr>
                <w:rFonts w:hint="eastAsia" w:ascii="仿宋" w:hAnsi="仿宋" w:eastAsia="仿宋" w:cs="宋体"/>
                <w:color w:val="000000"/>
                <w:sz w:val="24"/>
                <w:szCs w:val="24"/>
                <w:lang w:val="en-US" w:eastAsia="zh-CN"/>
              </w:rPr>
              <w:t>更换，否则采购人有权按照“违约责任”条款的约定要求中标人承担相应违约责任。</w:t>
            </w:r>
          </w:p>
          <w:p w14:paraId="4C198D72">
            <w:pPr>
              <w:widowControl/>
              <w:numPr>
                <w:ilvl w:val="-1"/>
                <w:numId w:val="0"/>
              </w:numPr>
              <w:adjustRightInd/>
              <w:snapToGrid/>
              <w:spacing w:before="120" w:beforeLines="50" w:after="120" w:afterLines="50" w:line="240" w:lineRule="auto"/>
              <w:rPr>
                <w:rFonts w:hint="eastAsia" w:ascii="仿宋" w:hAnsi="仿宋" w:eastAsia="仿宋" w:cs="宋体"/>
                <w:color w:val="000000"/>
                <w:sz w:val="24"/>
                <w:szCs w:val="24"/>
              </w:rPr>
            </w:pPr>
            <w:r>
              <w:rPr>
                <w:rFonts w:hint="eastAsia" w:ascii="仿宋" w:hAnsi="仿宋" w:eastAsia="仿宋" w:cs="宋体"/>
                <w:color w:val="000000"/>
                <w:kern w:val="2"/>
                <w:sz w:val="24"/>
                <w:szCs w:val="24"/>
                <w:lang w:val="en-US" w:eastAsia="zh-CN" w:bidi="ar-SA"/>
              </w:rPr>
              <w:t>3.</w:t>
            </w:r>
            <w:r>
              <w:rPr>
                <w:rFonts w:hint="eastAsia" w:ascii="仿宋" w:hAnsi="仿宋" w:eastAsia="仿宋" w:cs="宋体"/>
                <w:color w:val="000000"/>
                <w:sz w:val="24"/>
                <w:szCs w:val="24"/>
              </w:rPr>
              <w:t>质保期满后，</w:t>
            </w:r>
            <w:r>
              <w:rPr>
                <w:rFonts w:hint="eastAsia" w:ascii="仿宋" w:hAnsi="仿宋" w:eastAsia="仿宋" w:cs="宋体"/>
                <w:color w:val="000000"/>
                <w:sz w:val="24"/>
                <w:szCs w:val="24"/>
                <w:lang w:val="en-US" w:eastAsia="zh-CN"/>
              </w:rPr>
              <w:t>实行有偿服务，仅收取成本费（按一定折扣的优惠价格），免人工费、差旅费</w:t>
            </w:r>
            <w:r>
              <w:rPr>
                <w:rFonts w:hint="eastAsia" w:ascii="仿宋" w:hAnsi="仿宋" w:eastAsia="仿宋" w:cs="宋体"/>
                <w:color w:val="000000"/>
                <w:sz w:val="24"/>
                <w:szCs w:val="24"/>
              </w:rPr>
              <w:t>。</w:t>
            </w:r>
          </w:p>
          <w:p w14:paraId="0924A13E">
            <w:pPr>
              <w:widowControl/>
              <w:numPr>
                <w:ilvl w:val="-1"/>
                <w:numId w:val="0"/>
              </w:numPr>
              <w:adjustRightInd/>
              <w:snapToGrid/>
              <w:spacing w:before="120" w:beforeLines="50" w:after="120" w:afterLines="50" w:line="240" w:lineRule="auto"/>
              <w:rPr>
                <w:rFonts w:hint="eastAsia" w:ascii="仿宋" w:hAnsi="仿宋" w:eastAsia="仿宋" w:cs="宋体"/>
                <w:color w:val="000000"/>
                <w:sz w:val="24"/>
                <w:szCs w:val="24"/>
              </w:rPr>
            </w:pPr>
            <w:r>
              <w:rPr>
                <w:rFonts w:hint="eastAsia" w:ascii="仿宋" w:hAnsi="仿宋" w:eastAsia="仿宋" w:cs="宋体"/>
                <w:color w:val="000000"/>
                <w:kern w:val="2"/>
                <w:sz w:val="24"/>
                <w:szCs w:val="24"/>
                <w:lang w:val="en-US" w:eastAsia="zh-CN" w:bidi="ar-SA"/>
              </w:rPr>
              <w:t>4.</w:t>
            </w:r>
            <w:r>
              <w:rPr>
                <w:rFonts w:hint="eastAsia" w:ascii="仿宋" w:hAnsi="仿宋" w:eastAsia="仿宋" w:cs="宋体"/>
                <w:color w:val="000000"/>
                <w:sz w:val="24"/>
                <w:szCs w:val="24"/>
              </w:rPr>
              <w:t>因人为因素出现的故障不在保修范围内。</w:t>
            </w:r>
          </w:p>
          <w:p w14:paraId="7CF5D553">
            <w:pPr>
              <w:widowControl/>
              <w:numPr>
                <w:ilvl w:val="0"/>
                <w:numId w:val="0"/>
              </w:numPr>
              <w:spacing w:before="120" w:beforeLines="50" w:after="120" w:afterLines="50" w:line="240" w:lineRule="auto"/>
              <w:rPr>
                <w:rFonts w:hint="eastAsia" w:ascii="仿宋" w:hAnsi="仿宋" w:eastAsia="仿宋" w:cs="宋体"/>
                <w:color w:val="000000"/>
                <w:sz w:val="24"/>
                <w:szCs w:val="24"/>
              </w:rPr>
            </w:pPr>
            <w:r>
              <w:rPr>
                <w:rFonts w:hint="eastAsia" w:ascii="仿宋" w:hAnsi="仿宋" w:eastAsia="仿宋" w:cs="宋体"/>
                <w:color w:val="000000"/>
                <w:sz w:val="24"/>
                <w:szCs w:val="24"/>
                <w:lang w:val="en-US" w:eastAsia="zh-CN"/>
              </w:rPr>
              <w:t>5.投标人</w:t>
            </w:r>
            <w:r>
              <w:rPr>
                <w:rFonts w:hint="eastAsia" w:ascii="仿宋" w:hAnsi="仿宋" w:eastAsia="仿宋" w:cs="宋体"/>
                <w:color w:val="000000"/>
                <w:sz w:val="24"/>
                <w:szCs w:val="24"/>
                <w:u w:val="none"/>
                <w:lang w:val="en-US" w:eastAsia="zh-CN"/>
              </w:rPr>
              <w:t>应提供详细的</w:t>
            </w:r>
            <w:r>
              <w:rPr>
                <w:rFonts w:hint="eastAsia" w:ascii="仿宋" w:hAnsi="仿宋" w:eastAsia="仿宋" w:cs="宋体"/>
                <w:color w:val="000000"/>
                <w:sz w:val="24"/>
                <w:szCs w:val="24"/>
              </w:rPr>
              <w:t>售后服务方案、售后服务承诺、售后服务保障措施。</w:t>
            </w:r>
          </w:p>
        </w:tc>
      </w:tr>
      <w:tr w14:paraId="6FC7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left w:val="single" w:color="auto" w:sz="4" w:space="0"/>
              <w:bottom w:val="single" w:color="auto" w:sz="4" w:space="0"/>
              <w:right w:val="single" w:color="auto" w:sz="4" w:space="0"/>
            </w:tcBorders>
            <w:vAlign w:val="center"/>
          </w:tcPr>
          <w:p w14:paraId="7279F3D9">
            <w:pPr>
              <w:widowControl/>
              <w:jc w:val="center"/>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2FBA4ECF">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081BE467">
            <w:pPr>
              <w:widowControl/>
              <w:numPr>
                <w:ilvl w:val="-1"/>
                <w:numId w:val="0"/>
              </w:numPr>
              <w:adjustRightInd/>
              <w:snapToGrid/>
              <w:spacing w:before="120" w:beforeLines="50" w:after="120" w:afterLines="50" w:line="240" w:lineRule="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1.维修响应时间：</w:t>
            </w:r>
            <w:r>
              <w:rPr>
                <w:rFonts w:hint="eastAsia" w:ascii="仿宋" w:hAnsi="仿宋" w:eastAsia="仿宋" w:cs="宋体"/>
                <w:color w:val="000000"/>
                <w:sz w:val="24"/>
                <w:szCs w:val="24"/>
                <w:u w:val="none"/>
              </w:rPr>
              <w:t>如在使用过程中发生质量问题，维修响应时间：</w:t>
            </w:r>
            <w:r>
              <w:rPr>
                <w:rFonts w:hint="eastAsia" w:ascii="仿宋" w:hAnsi="仿宋" w:eastAsia="仿宋" w:cs="宋体"/>
                <w:color w:val="000000"/>
                <w:sz w:val="24"/>
                <w:szCs w:val="24"/>
                <w:u w:val="none"/>
                <w:lang w:val="en-US" w:eastAsia="zh-CN"/>
              </w:rPr>
              <w:t>1</w:t>
            </w:r>
            <w:r>
              <w:rPr>
                <w:rFonts w:hint="eastAsia" w:ascii="仿宋" w:hAnsi="仿宋" w:eastAsia="仿宋" w:cs="宋体"/>
                <w:color w:val="000000"/>
                <w:sz w:val="24"/>
                <w:szCs w:val="24"/>
                <w:u w:val="none"/>
              </w:rPr>
              <w:t>小时以内；电话技术支持时间：</w:t>
            </w:r>
            <w:r>
              <w:rPr>
                <w:rFonts w:hint="eastAsia" w:ascii="仿宋" w:hAnsi="仿宋" w:eastAsia="仿宋" w:cs="宋体"/>
                <w:color w:val="000000"/>
                <w:sz w:val="24"/>
                <w:szCs w:val="24"/>
                <w:u w:val="none"/>
                <w:lang w:val="en-US" w:eastAsia="zh-CN"/>
              </w:rPr>
              <w:t>0.5</w:t>
            </w:r>
            <w:r>
              <w:rPr>
                <w:rFonts w:hint="eastAsia" w:ascii="仿宋" w:hAnsi="仿宋" w:eastAsia="仿宋" w:cs="宋体"/>
                <w:color w:val="000000"/>
                <w:sz w:val="24"/>
                <w:szCs w:val="24"/>
                <w:u w:val="none"/>
              </w:rPr>
              <w:t>小时以内；若需上门维修，则在：</w:t>
            </w:r>
            <w:r>
              <w:rPr>
                <w:rFonts w:hint="eastAsia" w:ascii="仿宋" w:hAnsi="仿宋" w:eastAsia="仿宋" w:cs="宋体"/>
                <w:color w:val="000000"/>
                <w:sz w:val="24"/>
                <w:szCs w:val="24"/>
                <w:u w:val="none"/>
                <w:lang w:val="en-US" w:eastAsia="zh-CN"/>
              </w:rPr>
              <w:t>24</w:t>
            </w:r>
            <w:r>
              <w:rPr>
                <w:rFonts w:hint="eastAsia" w:ascii="仿宋" w:hAnsi="仿宋" w:eastAsia="仿宋" w:cs="宋体"/>
                <w:color w:val="000000"/>
                <w:sz w:val="24"/>
                <w:szCs w:val="24"/>
                <w:u w:val="none"/>
              </w:rPr>
              <w:t>小时内到达现场并进行维修；</w:t>
            </w:r>
          </w:p>
          <w:p w14:paraId="1E0430C5">
            <w:pPr>
              <w:widowControl/>
              <w:numPr>
                <w:ilvl w:val="-1"/>
                <w:numId w:val="0"/>
              </w:numPr>
              <w:adjustRightInd/>
              <w:snapToGrid/>
              <w:spacing w:before="120" w:beforeLines="50" w:after="120" w:afterLines="50" w:line="240" w:lineRule="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2.解决问题时间：一般问题在48小时内解决、重大问题或其它无法迅速解决的问题在一周内解决或提出明确的解决方案；</w:t>
            </w:r>
          </w:p>
          <w:p w14:paraId="7349BC73">
            <w:pPr>
              <w:widowControl/>
              <w:numPr>
                <w:ilvl w:val="0"/>
                <w:numId w:val="0"/>
              </w:numPr>
              <w:spacing w:before="120" w:beforeLines="50" w:after="120" w:afterLines="50" w:line="240" w:lineRule="auto"/>
              <w:rPr>
                <w:rFonts w:hint="eastAsia" w:ascii="仿宋" w:hAnsi="仿宋" w:eastAsia="仿宋" w:cs="宋体"/>
                <w:color w:val="000000"/>
                <w:sz w:val="24"/>
                <w:szCs w:val="24"/>
              </w:rPr>
            </w:pPr>
            <w:r>
              <w:rPr>
                <w:rFonts w:hint="eastAsia" w:ascii="仿宋" w:hAnsi="仿宋" w:eastAsia="仿宋" w:cs="宋体"/>
                <w:color w:val="000000"/>
                <w:sz w:val="24"/>
                <w:szCs w:val="24"/>
                <w:lang w:val="en-US" w:eastAsia="zh-CN"/>
              </w:rPr>
              <w:t>3.若48小时内无法修复的提供解决方案（如提供备机等）。</w:t>
            </w:r>
          </w:p>
        </w:tc>
      </w:tr>
      <w:tr w14:paraId="28B6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5C1271B">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0458C089">
            <w:pPr>
              <w:widowControl/>
              <w:numPr>
                <w:ilvl w:val="0"/>
                <w:numId w:val="0"/>
              </w:numPr>
              <w:adjustRightInd/>
              <w:snapToGrid/>
              <w:spacing w:before="120" w:beforeLines="50" w:after="120" w:afterLines="50" w:line="240" w:lineRule="auto"/>
              <w:rPr>
                <w:rFonts w:hint="eastAsia" w:ascii="仿宋" w:hAnsi="仿宋" w:eastAsia="仿宋" w:cs="宋体"/>
                <w:color w:val="000000"/>
                <w:sz w:val="24"/>
                <w:szCs w:val="24"/>
              </w:rPr>
            </w:pPr>
            <w:r>
              <w:rPr>
                <w:rFonts w:hint="eastAsia" w:ascii="仿宋" w:hAnsi="仿宋" w:eastAsia="仿宋" w:cs="宋体"/>
                <w:color w:val="000000"/>
                <w:sz w:val="24"/>
                <w:szCs w:val="24"/>
                <w:lang w:val="en-US" w:eastAsia="zh-CN"/>
              </w:rPr>
              <w:t>1.中标</w:t>
            </w:r>
            <w:r>
              <w:rPr>
                <w:rFonts w:hint="eastAsia" w:ascii="仿宋" w:hAnsi="仿宋" w:eastAsia="仿宋" w:cs="宋体"/>
                <w:color w:val="000000"/>
                <w:sz w:val="24"/>
                <w:szCs w:val="24"/>
              </w:rPr>
              <w:t>供应商应对采购人的操作人员、维修人员进行培训；</w:t>
            </w:r>
          </w:p>
          <w:p w14:paraId="27D3EE7C">
            <w:pPr>
              <w:widowControl/>
              <w:numPr>
                <w:ilvl w:val="0"/>
                <w:numId w:val="0"/>
              </w:numPr>
              <w:adjustRightInd/>
              <w:snapToGrid/>
              <w:spacing w:before="120" w:beforeLines="50" w:after="120" w:afterLines="50" w:line="240" w:lineRule="auto"/>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2.培训</w:t>
            </w:r>
            <w:r>
              <w:rPr>
                <w:rFonts w:hint="eastAsia" w:ascii="仿宋" w:hAnsi="仿宋" w:eastAsia="仿宋" w:cs="宋体"/>
                <w:color w:val="000000"/>
                <w:sz w:val="24"/>
                <w:szCs w:val="24"/>
              </w:rPr>
              <w:t>实现方式、时间、地点、人数应在投标文件中详细说明</w:t>
            </w:r>
            <w:r>
              <w:rPr>
                <w:rFonts w:hint="eastAsia" w:ascii="仿宋" w:hAnsi="仿宋" w:eastAsia="仿宋" w:cs="宋体"/>
                <w:color w:val="000000"/>
                <w:sz w:val="24"/>
                <w:szCs w:val="24"/>
                <w:lang w:eastAsia="zh-CN"/>
              </w:rPr>
              <w:t>；</w:t>
            </w:r>
          </w:p>
          <w:p w14:paraId="1FE649BC">
            <w:pPr>
              <w:widowControl/>
              <w:numPr>
                <w:ilvl w:val="0"/>
                <w:numId w:val="0"/>
              </w:numPr>
              <w:spacing w:before="120" w:beforeLines="50" w:after="120" w:afterLines="50"/>
              <w:rPr>
                <w:rFonts w:hint="eastAsia" w:ascii="仿宋" w:hAnsi="仿宋" w:eastAsia="仿宋" w:cs="宋体"/>
                <w:color w:val="000000"/>
                <w:sz w:val="24"/>
                <w:szCs w:val="24"/>
              </w:rPr>
            </w:pPr>
            <w:r>
              <w:rPr>
                <w:rFonts w:hint="eastAsia" w:ascii="仿宋" w:hAnsi="仿宋" w:eastAsia="仿宋" w:cs="宋体"/>
                <w:color w:val="000000"/>
                <w:sz w:val="24"/>
                <w:szCs w:val="24"/>
                <w:lang w:val="en-US" w:eastAsia="zh-CN"/>
              </w:rPr>
              <w:t>3.投标人</w:t>
            </w:r>
            <w:r>
              <w:rPr>
                <w:rFonts w:hint="eastAsia" w:ascii="仿宋" w:hAnsi="仿宋" w:eastAsia="仿宋" w:cs="宋体"/>
                <w:color w:val="000000"/>
                <w:sz w:val="24"/>
                <w:szCs w:val="24"/>
              </w:rPr>
              <w:t>应提供相应的培训计划、培训范围，实施方案</w:t>
            </w:r>
            <w:r>
              <w:rPr>
                <w:rFonts w:hint="eastAsia" w:ascii="仿宋" w:hAnsi="仿宋" w:eastAsia="仿宋" w:cs="宋体"/>
                <w:color w:val="000000"/>
                <w:sz w:val="24"/>
                <w:szCs w:val="24"/>
                <w:lang w:eastAsia="zh-CN"/>
              </w:rPr>
              <w:t>。</w:t>
            </w:r>
          </w:p>
        </w:tc>
      </w:tr>
      <w:tr w14:paraId="125A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18BABF7">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19CF3C3E">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top"/>
          </w:tcPr>
          <w:p w14:paraId="1480AA78">
            <w:pPr>
              <w:widowControl/>
              <w:numPr>
                <w:ilvl w:val="0"/>
                <w:numId w:val="0"/>
              </w:numPr>
              <w:spacing w:before="120" w:beforeLines="50" w:after="120"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1.投标产品中与本项目相关软件，具有计算机软件著作权登记证书或软件购买合同（0.5分/项，最高得2分）：</w:t>
            </w:r>
          </w:p>
          <w:p w14:paraId="00BAD6B7">
            <w:pPr>
              <w:widowControl/>
              <w:numPr>
                <w:ilvl w:val="0"/>
                <w:numId w:val="0"/>
              </w:numPr>
              <w:spacing w:before="120" w:beforeLines="50" w:after="120"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具有督导平台类型著作权登记证书或软件购买合同；</w:t>
            </w:r>
          </w:p>
          <w:p w14:paraId="520801E2">
            <w:pPr>
              <w:widowControl/>
              <w:numPr>
                <w:ilvl w:val="0"/>
                <w:numId w:val="0"/>
              </w:numPr>
              <w:spacing w:before="120" w:beforeLines="50" w:after="120"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具有远程教学类型系统著作权登记证书或软件购买合同；</w:t>
            </w:r>
          </w:p>
          <w:p w14:paraId="61557EC4">
            <w:pPr>
              <w:widowControl/>
              <w:numPr>
                <w:ilvl w:val="0"/>
                <w:numId w:val="0"/>
              </w:numPr>
              <w:spacing w:before="120" w:beforeLines="50" w:after="120"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具有门户管理平台类型著作权登记证书或软件购买合同；</w:t>
            </w:r>
          </w:p>
          <w:p w14:paraId="1C8F54E3">
            <w:pPr>
              <w:widowControl/>
              <w:numPr>
                <w:ilvl w:val="0"/>
                <w:numId w:val="0"/>
              </w:numPr>
              <w:spacing w:before="120" w:beforeLines="50" w:after="120"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具有知识点打点类型推送系统著作权登记证书或软件购买合同；</w:t>
            </w:r>
          </w:p>
          <w:p w14:paraId="57AF2375">
            <w:pPr>
              <w:widowControl/>
              <w:numPr>
                <w:ilvl w:val="0"/>
                <w:numId w:val="0"/>
              </w:numPr>
              <w:spacing w:before="120" w:beforeLines="50" w:after="120"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证明材料：提供证书或软件购买合同扫描件。</w:t>
            </w:r>
          </w:p>
          <w:p w14:paraId="75D40DE7">
            <w:pPr>
              <w:widowControl/>
              <w:numPr>
                <w:ilvl w:val="0"/>
                <w:numId w:val="0"/>
              </w:numPr>
              <w:spacing w:before="120" w:beforeLines="50" w:after="120"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2.投标人具有有效的质量管理体系认证证书的得1分。</w:t>
            </w:r>
          </w:p>
          <w:p w14:paraId="1AB308B9">
            <w:pPr>
              <w:widowControl/>
              <w:numPr>
                <w:ilvl w:val="0"/>
                <w:numId w:val="0"/>
              </w:numPr>
              <w:spacing w:before="120" w:beforeLines="50" w:after="120" w:afterLines="50"/>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eastAsia="zh-CN"/>
              </w:rPr>
              <w:t>证明材料：提供证书扫描件、国家认证认可监督管理委员会官网（http://www.cnca.gov.cn/）查询截图，不提供不得分。</w:t>
            </w:r>
          </w:p>
        </w:tc>
      </w:tr>
      <w:tr w14:paraId="4261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11EC6EC">
            <w:pPr>
              <w:widowControl/>
              <w:jc w:val="center"/>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4E8FC330">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top"/>
          </w:tcPr>
          <w:p w14:paraId="04E1FDE0">
            <w:pPr>
              <w:widowControl/>
              <w:numPr>
                <w:ilvl w:val="0"/>
                <w:numId w:val="0"/>
              </w:numPr>
              <w:snapToGrid/>
              <w:spacing w:before="120" w:beforeLines="50" w:after="120"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投标人提供2023年1月1日起至投标截止时间止（以合同签订时间为准）同类合同业绩：每提供1份合同业绩得0.5分，最高得3分。</w:t>
            </w:r>
          </w:p>
          <w:p w14:paraId="06C0030B">
            <w:pPr>
              <w:widowControl/>
              <w:numPr>
                <w:ilvl w:val="0"/>
                <w:numId w:val="0"/>
              </w:numPr>
              <w:snapToGrid/>
              <w:spacing w:before="120" w:beforeLines="50" w:after="120" w:afterLines="50"/>
              <w:rPr>
                <w:rFonts w:hint="eastAsia" w:ascii="仿宋" w:hAnsi="仿宋" w:eastAsia="仿宋" w:cs="宋体"/>
                <w:color w:val="000000"/>
                <w:sz w:val="24"/>
                <w:szCs w:val="24"/>
              </w:rPr>
            </w:pPr>
            <w:r>
              <w:rPr>
                <w:rFonts w:hint="eastAsia" w:ascii="仿宋" w:hAnsi="仿宋" w:eastAsia="仿宋" w:cs="宋体"/>
                <w:color w:val="000000"/>
                <w:sz w:val="24"/>
                <w:szCs w:val="24"/>
                <w:lang w:val="en-US" w:eastAsia="zh-CN"/>
              </w:rPr>
              <w:t>证明材料：提供的合同扫描件。</w:t>
            </w:r>
          </w:p>
        </w:tc>
      </w:tr>
    </w:tbl>
    <w:p w14:paraId="3A62C554">
      <w:pPr>
        <w:widowControl w:val="0"/>
        <w:spacing w:after="120"/>
        <w:jc w:val="both"/>
        <w:rPr>
          <w:rFonts w:hint="eastAsia" w:ascii="宋体" w:hAnsi="宋体" w:eastAsia="宋体" w:cs="Times New Roman"/>
          <w:b/>
          <w:kern w:val="2"/>
          <w:sz w:val="28"/>
          <w:szCs w:val="21"/>
          <w:highlight w:val="none"/>
          <w:lang w:val="en-US" w:eastAsia="zh-CN" w:bidi="ar-SA"/>
        </w:rPr>
      </w:pPr>
    </w:p>
    <w:p w14:paraId="7ECCF3F6">
      <w:pPr>
        <w:widowControl w:val="0"/>
        <w:autoSpaceDE w:val="0"/>
        <w:autoSpaceDN w:val="0"/>
        <w:adjustRightInd w:val="0"/>
        <w:rPr>
          <w:rFonts w:hint="eastAsia" w:ascii="宋体" w:hAnsi="宋体" w:eastAsia="宋体" w:cs="Times New Roman"/>
          <w:b/>
          <w:color w:val="000000"/>
          <w:sz w:val="24"/>
          <w:szCs w:val="21"/>
          <w:highlight w:val="none"/>
          <w:lang w:val="en-US" w:eastAsia="zh-CN" w:bidi="ar-SA"/>
        </w:rPr>
      </w:pPr>
    </w:p>
    <w:p w14:paraId="5B62707F">
      <w:pPr>
        <w:widowControl w:val="0"/>
        <w:autoSpaceDE w:val="0"/>
        <w:autoSpaceDN w:val="0"/>
        <w:adjustRightInd w:val="0"/>
        <w:rPr>
          <w:rFonts w:hint="eastAsia" w:ascii="宋体" w:hAnsi="宋体" w:eastAsia="宋体" w:cs="Times New Roman"/>
          <w:b/>
          <w:color w:val="000000"/>
          <w:sz w:val="24"/>
          <w:szCs w:val="21"/>
          <w:highlight w:val="none"/>
          <w:lang w:val="en-US" w:eastAsia="zh-CN" w:bidi="ar-SA"/>
        </w:rPr>
      </w:pPr>
    </w:p>
    <w:p w14:paraId="15AFEF62">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2B6C5473">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6162E28B">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36B822C1">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793058AB">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19389109">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56139AB8">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2DDEACC6">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75FD5ACB">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23A139C7">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26CB08DE">
      <w:pPr>
        <w:widowControl w:val="0"/>
        <w:spacing w:before="156" w:beforeLines="50" w:after="156" w:afterLines="50" w:line="360" w:lineRule="auto"/>
        <w:jc w:val="both"/>
        <w:outlineLvl w:val="0"/>
        <w:rPr>
          <w:rFonts w:hint="eastAsia" w:ascii="宋体" w:hAnsi="宋体" w:eastAsia="宋体" w:cs="Times New Roman"/>
          <w:b/>
          <w:color w:val="000000"/>
          <w:kern w:val="2"/>
          <w:sz w:val="36"/>
          <w:szCs w:val="36"/>
          <w:lang w:val="en-US" w:eastAsia="zh-CN" w:bidi="ar-SA"/>
        </w:rPr>
      </w:pPr>
    </w:p>
    <w:p w14:paraId="55AA9E12">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第五章 浙江省政府采购合同主要条款指引</w:t>
      </w:r>
    </w:p>
    <w:p w14:paraId="4E57D763">
      <w:pPr>
        <w:rPr>
          <w:rFonts w:eastAsia="宋体" w:cs="Times New Roman"/>
          <w:color w:val="000000"/>
        </w:rPr>
      </w:pPr>
    </w:p>
    <w:p w14:paraId="653F42D8">
      <w:pPr>
        <w:widowControl w:val="0"/>
        <w:snapToGrid w:val="0"/>
        <w:spacing w:before="156" w:beforeLines="50" w:after="156" w:afterLines="50" w:line="360" w:lineRule="auto"/>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xml:space="preserve">                            合同编号：        </w:t>
      </w:r>
    </w:p>
    <w:p w14:paraId="2A092F03">
      <w:pPr>
        <w:widowControl w:val="0"/>
        <w:snapToGrid w:val="0"/>
        <w:spacing w:before="156" w:beforeLines="50" w:after="156" w:afterLines="50" w:line="360" w:lineRule="auto"/>
        <w:jc w:val="left"/>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xml:space="preserve">                                     确认书号：</w:t>
      </w:r>
    </w:p>
    <w:p w14:paraId="0889137B">
      <w:pPr>
        <w:spacing w:line="520" w:lineRule="exact"/>
        <w:ind w:firstLine="301" w:firstLineChars="100"/>
        <w:rPr>
          <w:rFonts w:ascii="仿宋" w:hAnsi="仿宋" w:eastAsia="仿宋" w:cs="Times New Roman"/>
          <w:color w:val="000000"/>
          <w:sz w:val="30"/>
          <w:szCs w:val="30"/>
        </w:rPr>
      </w:pPr>
      <w:r>
        <w:rPr>
          <w:rFonts w:hint="eastAsia" w:ascii="仿宋" w:hAnsi="仿宋" w:eastAsia="仿宋" w:cs="Times New Roman"/>
          <w:b/>
          <w:bCs/>
          <w:color w:val="000000"/>
          <w:sz w:val="30"/>
          <w:szCs w:val="30"/>
        </w:rPr>
        <w:t>甲方</w:t>
      </w:r>
      <w:r>
        <w:rPr>
          <w:rFonts w:hint="eastAsia" w:ascii="仿宋" w:hAnsi="仿宋" w:eastAsia="仿宋" w:cs="Times New Roman"/>
          <w:color w:val="000000"/>
          <w:sz w:val="30"/>
          <w:szCs w:val="30"/>
        </w:rPr>
        <w:t xml:space="preserve">（采购人）： </w:t>
      </w:r>
    </w:p>
    <w:p w14:paraId="42A7BA82">
      <w:pPr>
        <w:spacing w:line="520" w:lineRule="exact"/>
        <w:ind w:firstLine="301" w:firstLineChars="100"/>
        <w:rPr>
          <w:rFonts w:ascii="仿宋" w:hAnsi="仿宋" w:eastAsia="仿宋" w:cs="Times New Roman"/>
          <w:color w:val="000000"/>
          <w:sz w:val="30"/>
          <w:szCs w:val="30"/>
        </w:rPr>
      </w:pPr>
      <w:r>
        <w:rPr>
          <w:rFonts w:hint="eastAsia" w:ascii="仿宋" w:hAnsi="仿宋" w:eastAsia="仿宋" w:cs="Times New Roman"/>
          <w:b/>
          <w:bCs/>
          <w:color w:val="000000"/>
          <w:sz w:val="30"/>
          <w:szCs w:val="30"/>
        </w:rPr>
        <w:t>乙方</w:t>
      </w:r>
      <w:r>
        <w:rPr>
          <w:rFonts w:hint="eastAsia" w:ascii="仿宋" w:hAnsi="仿宋" w:eastAsia="仿宋" w:cs="Times New Roman"/>
          <w:color w:val="000000"/>
          <w:sz w:val="30"/>
          <w:szCs w:val="30"/>
        </w:rPr>
        <w:t xml:space="preserve">（供应商）： </w:t>
      </w:r>
    </w:p>
    <w:p w14:paraId="2266EFB7">
      <w:pPr>
        <w:widowControl w:val="0"/>
        <w:adjustRightInd w:val="0"/>
        <w:snapToGrid w:val="0"/>
        <w:spacing w:before="156" w:beforeLines="50" w:after="156" w:afterLines="50" w:line="460" w:lineRule="exact"/>
        <w:ind w:firstLine="594" w:firstLineChars="198"/>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甲、乙双方根据浙江省政府采购中心关于</w:t>
      </w:r>
      <w:r>
        <w:rPr>
          <w:rFonts w:hint="eastAsia" w:ascii="仿宋" w:hAnsi="仿宋" w:eastAsia="仿宋" w:cs="Times New Roman"/>
          <w:color w:val="000000"/>
          <w:kern w:val="2"/>
          <w:sz w:val="30"/>
          <w:szCs w:val="30"/>
          <w:lang w:val="en-US" w:eastAsia="zh-CN" w:bidi="ar-SA"/>
        </w:rPr>
        <w:t>项目编号为      的</w:t>
      </w:r>
      <w:r>
        <w:rPr>
          <w:rFonts w:hint="eastAsia" w:ascii="仿宋" w:hAnsi="仿宋" w:eastAsia="仿宋" w:cs="Times New Roman"/>
          <w:snapToGrid w:val="0"/>
          <w:color w:val="000000"/>
          <w:kern w:val="2"/>
          <w:sz w:val="30"/>
          <w:szCs w:val="30"/>
          <w:lang w:val="en-US" w:eastAsia="zh-CN" w:bidi="ar-SA"/>
        </w:rPr>
        <w:t>（标项及名称）项目公开招标的结果，签署本合同。</w:t>
      </w:r>
    </w:p>
    <w:p w14:paraId="489B7540">
      <w:pPr>
        <w:widowControl w:val="0"/>
        <w:adjustRightInd w:val="0"/>
        <w:snapToGrid w:val="0"/>
        <w:spacing w:before="156" w:beforeLines="50" w:after="156" w:afterLines="50" w:line="460" w:lineRule="exact"/>
        <w:ind w:firstLine="641" w:firstLineChars="213"/>
        <w:jc w:val="both"/>
        <w:rPr>
          <w:rFonts w:ascii="仿宋" w:hAnsi="仿宋" w:eastAsia="仿宋" w:cs="Times New Roman"/>
          <w:b/>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一、项目内容</w:t>
      </w:r>
      <w:r>
        <w:rPr>
          <w:rFonts w:hint="eastAsia" w:ascii="仿宋" w:hAnsi="仿宋" w:eastAsia="仿宋" w:cs="Times New Roman"/>
          <w:b/>
          <w:color w:val="000000"/>
          <w:kern w:val="2"/>
          <w:sz w:val="30"/>
          <w:szCs w:val="30"/>
          <w:lang w:val="en-US" w:eastAsia="zh-CN" w:bidi="ar-SA"/>
        </w:rPr>
        <w:t>及合同价格</w:t>
      </w:r>
    </w:p>
    <w:p w14:paraId="70544B31">
      <w:pPr>
        <w:widowControl w:val="0"/>
        <w:adjustRightInd w:val="0"/>
        <w:snapToGrid w:val="0"/>
        <w:spacing w:before="156" w:beforeLines="50" w:after="156" w:afterLines="50" w:line="460" w:lineRule="exact"/>
        <w:ind w:firstLine="639" w:firstLineChars="213"/>
        <w:jc w:val="right"/>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xml:space="preserve">金额单位：元 </w:t>
      </w:r>
    </w:p>
    <w:tbl>
      <w:tblPr>
        <w:tblStyle w:val="6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189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0BB05D57">
            <w:pPr>
              <w:widowControl w:val="0"/>
              <w:snapToGrid w:val="0"/>
              <w:spacing w:before="156" w:beforeLines="50" w:after="156" w:afterLines="50" w:line="460" w:lineRule="exact"/>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7297A0DB">
            <w:pPr>
              <w:widowControl w:val="0"/>
              <w:snapToGrid w:val="0"/>
              <w:spacing w:before="156" w:beforeLines="50" w:after="156" w:afterLines="50" w:line="460" w:lineRule="exact"/>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5896A709">
            <w:pPr>
              <w:widowControl w:val="0"/>
              <w:snapToGrid w:val="0"/>
              <w:spacing w:before="156" w:beforeLines="50" w:after="156" w:afterLines="50" w:line="460" w:lineRule="exact"/>
              <w:ind w:left="-108"/>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60AFA737">
            <w:pPr>
              <w:widowControl w:val="0"/>
              <w:snapToGrid w:val="0"/>
              <w:spacing w:before="156" w:beforeLines="50" w:after="156" w:afterLines="50" w:line="460" w:lineRule="exact"/>
              <w:ind w:left="-108"/>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2981F3E">
            <w:pPr>
              <w:widowControl w:val="0"/>
              <w:snapToGrid w:val="0"/>
              <w:spacing w:before="156" w:beforeLines="50" w:after="156" w:afterLines="50" w:line="460" w:lineRule="exact"/>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总价</w:t>
            </w:r>
          </w:p>
        </w:tc>
      </w:tr>
      <w:tr w14:paraId="3297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10BA82A5">
            <w:pPr>
              <w:spacing w:line="460" w:lineRule="exact"/>
              <w:ind w:firstLine="639" w:firstLineChars="213"/>
              <w:rPr>
                <w:rFonts w:ascii="仿宋" w:hAnsi="仿宋" w:eastAsia="仿宋" w:cs="Times New Roman"/>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tcPr>
          <w:p w14:paraId="665E9BDE">
            <w:pPr>
              <w:spacing w:line="460" w:lineRule="exact"/>
              <w:rPr>
                <w:rFonts w:ascii="仿宋" w:hAnsi="仿宋" w:eastAsia="仿宋" w:cs="Times New Roman"/>
                <w:color w:val="000000"/>
                <w:sz w:val="30"/>
                <w:szCs w:val="30"/>
              </w:rPr>
            </w:pPr>
            <w:r>
              <w:rPr>
                <w:rFonts w:hint="eastAsia" w:ascii="仿宋" w:hAnsi="仿宋" w:eastAsia="仿宋" w:cs="Times New Roman"/>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4C032BD0">
            <w:pPr>
              <w:spacing w:line="460" w:lineRule="exact"/>
              <w:ind w:firstLine="639" w:firstLineChars="213"/>
              <w:rPr>
                <w:rFonts w:ascii="仿宋" w:hAnsi="仿宋" w:eastAsia="仿宋" w:cs="Times New Roman"/>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E1E5FF3">
            <w:pPr>
              <w:widowControl/>
              <w:spacing w:after="120" w:line="460" w:lineRule="exact"/>
              <w:ind w:firstLine="639" w:firstLineChars="213"/>
              <w:jc w:val="left"/>
              <w:rPr>
                <w:rFonts w:ascii="仿宋" w:hAnsi="仿宋" w:eastAsia="仿宋" w:cs="Times New Roman"/>
                <w:snapToGrid w:val="0"/>
                <w:color w:val="000000"/>
                <w:kern w:val="2"/>
                <w:sz w:val="30"/>
                <w:szCs w:val="30"/>
                <w:lang w:val="en-US" w:eastAsia="zh-CN" w:bidi="ar-SA"/>
              </w:rPr>
            </w:pPr>
          </w:p>
        </w:tc>
        <w:tc>
          <w:tcPr>
            <w:tcW w:w="1212" w:type="dxa"/>
            <w:tcBorders>
              <w:top w:val="single" w:color="auto" w:sz="4" w:space="0"/>
              <w:left w:val="single" w:color="auto" w:sz="4" w:space="0"/>
              <w:bottom w:val="single" w:color="auto" w:sz="4" w:space="0"/>
              <w:right w:val="single" w:color="auto" w:sz="4" w:space="0"/>
            </w:tcBorders>
          </w:tcPr>
          <w:p w14:paraId="31E4B8A9">
            <w:pPr>
              <w:widowControl/>
              <w:spacing w:after="120" w:line="460" w:lineRule="exact"/>
              <w:ind w:left="1890"/>
              <w:jc w:val="left"/>
              <w:rPr>
                <w:rFonts w:ascii="仿宋" w:hAnsi="仿宋" w:eastAsia="仿宋" w:cs="Times New Roman"/>
                <w:snapToGrid w:val="0"/>
                <w:color w:val="000000"/>
                <w:kern w:val="2"/>
                <w:sz w:val="30"/>
                <w:szCs w:val="30"/>
                <w:lang w:val="en-US" w:eastAsia="zh-CN" w:bidi="ar-SA"/>
              </w:rPr>
            </w:pPr>
          </w:p>
        </w:tc>
      </w:tr>
      <w:tr w14:paraId="7A6A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790D1F0B">
            <w:pPr>
              <w:widowControl w:val="0"/>
              <w:snapToGrid w:val="0"/>
              <w:spacing w:before="156" w:beforeLines="50" w:after="156" w:afterLines="50" w:line="460" w:lineRule="exact"/>
              <w:ind w:firstLine="639" w:firstLineChars="213"/>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合            计</w:t>
            </w:r>
          </w:p>
        </w:tc>
        <w:tc>
          <w:tcPr>
            <w:tcW w:w="1080" w:type="dxa"/>
            <w:tcBorders>
              <w:top w:val="single" w:color="auto" w:sz="4" w:space="0"/>
              <w:left w:val="single" w:color="auto" w:sz="4" w:space="0"/>
              <w:bottom w:val="single" w:color="auto" w:sz="4" w:space="0"/>
              <w:right w:val="single" w:color="auto" w:sz="4" w:space="0"/>
            </w:tcBorders>
          </w:tcPr>
          <w:p w14:paraId="349704AC">
            <w:pPr>
              <w:widowControl w:val="0"/>
              <w:snapToGrid w:val="0"/>
              <w:spacing w:before="156" w:beforeLines="50" w:after="156" w:afterLines="50" w:line="460" w:lineRule="exact"/>
              <w:ind w:firstLine="639" w:firstLineChars="213"/>
              <w:jc w:val="center"/>
              <w:rPr>
                <w:rFonts w:ascii="仿宋" w:hAnsi="仿宋" w:eastAsia="仿宋" w:cs="Times New Roman"/>
                <w:color w:val="000000"/>
                <w:kern w:val="2"/>
                <w:sz w:val="30"/>
                <w:szCs w:val="30"/>
                <w:lang w:val="en-US" w:eastAsia="zh-CN" w:bidi="ar-SA"/>
              </w:rPr>
            </w:pPr>
          </w:p>
        </w:tc>
        <w:tc>
          <w:tcPr>
            <w:tcW w:w="2472" w:type="dxa"/>
            <w:gridSpan w:val="2"/>
            <w:tcBorders>
              <w:top w:val="single" w:color="auto" w:sz="4" w:space="0"/>
              <w:left w:val="single" w:color="auto" w:sz="4" w:space="0"/>
              <w:bottom w:val="single" w:color="auto" w:sz="4" w:space="0"/>
              <w:right w:val="single" w:color="auto" w:sz="4" w:space="0"/>
            </w:tcBorders>
          </w:tcPr>
          <w:p w14:paraId="6D0AF4D5">
            <w:pPr>
              <w:widowControl/>
              <w:spacing w:after="120" w:line="460" w:lineRule="exact"/>
              <w:ind w:firstLine="639" w:firstLineChars="213"/>
              <w:jc w:val="left"/>
              <w:rPr>
                <w:rFonts w:ascii="仿宋" w:hAnsi="仿宋" w:eastAsia="仿宋" w:cs="Times New Roman"/>
                <w:snapToGrid w:val="0"/>
                <w:color w:val="000000"/>
                <w:kern w:val="2"/>
                <w:sz w:val="30"/>
                <w:szCs w:val="30"/>
                <w:lang w:val="en-US" w:eastAsia="zh-CN" w:bidi="ar-SA"/>
              </w:rPr>
            </w:pPr>
          </w:p>
        </w:tc>
      </w:tr>
      <w:tr w14:paraId="4AAB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2272577A">
            <w:pPr>
              <w:widowControl w:val="0"/>
              <w:snapToGrid w:val="0"/>
              <w:spacing w:before="156" w:beforeLines="50" w:after="156" w:afterLines="50" w:line="460" w:lineRule="exact"/>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合同总价大写：                              小写：￥</w:t>
            </w:r>
          </w:p>
        </w:tc>
      </w:tr>
    </w:tbl>
    <w:p w14:paraId="20E10B05">
      <w:pPr>
        <w:widowControl w:val="0"/>
        <w:snapToGrid w:val="0"/>
        <w:spacing w:before="120" w:beforeLines="0" w:after="156" w:afterLines="50" w:line="460" w:lineRule="exact"/>
        <w:ind w:left="-178" w:leftChars="-85" w:firstLine="639" w:firstLineChars="213"/>
        <w:jc w:val="both"/>
        <w:rPr>
          <w:rFonts w:ascii="仿宋" w:hAnsi="仿宋" w:eastAsia="仿宋" w:cs="Times New Roman"/>
          <w:color w:val="000000"/>
          <w:kern w:val="0"/>
          <w:sz w:val="30"/>
          <w:szCs w:val="30"/>
          <w:lang w:val="en-US" w:eastAsia="zh-CN" w:bidi="ar-SA"/>
        </w:rPr>
      </w:pPr>
      <w:r>
        <w:rPr>
          <w:rFonts w:hint="eastAsia" w:ascii="仿宋" w:hAnsi="仿宋" w:eastAsia="仿宋" w:cs="Times New Roman"/>
          <w:color w:val="000000"/>
          <w:kern w:val="2"/>
          <w:sz w:val="30"/>
          <w:szCs w:val="30"/>
          <w:lang w:val="en-US" w:eastAsia="zh-CN" w:bidi="ar-SA"/>
        </w:rPr>
        <w:t>注：1.项目具体技术需求及采购人地址等详见招标文件、投标文件以及询标记录。</w:t>
      </w:r>
    </w:p>
    <w:p w14:paraId="7D0FE1AA">
      <w:pPr>
        <w:spacing w:line="460" w:lineRule="exact"/>
        <w:ind w:firstLine="639" w:firstLineChars="213"/>
        <w:rPr>
          <w:rFonts w:ascii="仿宋" w:hAnsi="仿宋" w:eastAsia="仿宋" w:cs="Times New Roman"/>
          <w:color w:val="000000"/>
          <w:sz w:val="30"/>
          <w:szCs w:val="30"/>
        </w:rPr>
      </w:pPr>
      <w:r>
        <w:rPr>
          <w:rFonts w:hint="eastAsia" w:ascii="仿宋" w:hAnsi="仿宋" w:eastAsia="仿宋" w:cs="Times New Roman"/>
          <w:color w:val="000000"/>
          <w:sz w:val="30"/>
          <w:szCs w:val="30"/>
        </w:rPr>
        <w:t>　2.以上合同总价包含项目达到预期使用效果所需的一切费用。</w:t>
      </w:r>
    </w:p>
    <w:p w14:paraId="28E73AFB">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二、技术资料</w:t>
      </w:r>
    </w:p>
    <w:p w14:paraId="45F05E35">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1.乙方应按招标文件规定的时间向甲方提供使用项目的有关技术资料。</w:t>
      </w:r>
    </w:p>
    <w:p w14:paraId="20B63C33">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8E69166">
      <w:pPr>
        <w:widowControl w:val="0"/>
        <w:adjustRightInd w:val="0"/>
        <w:snapToGrid w:val="0"/>
        <w:spacing w:before="156" w:beforeLines="50" w:after="156" w:afterLines="50" w:line="460" w:lineRule="exact"/>
        <w:ind w:firstLine="596" w:firstLineChars="198"/>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三、知识产权</w:t>
      </w:r>
    </w:p>
    <w:p w14:paraId="40ABEBD6">
      <w:pPr>
        <w:widowControl w:val="0"/>
        <w:adjustRightInd w:val="0"/>
        <w:snapToGrid w:val="0"/>
        <w:spacing w:before="156" w:beforeLines="50" w:after="156" w:afterLines="50" w:line="460" w:lineRule="exact"/>
        <w:ind w:firstLine="639" w:firstLineChars="213"/>
        <w:jc w:val="both"/>
        <w:rPr>
          <w:rFonts w:ascii="仿宋" w:hAnsi="仿宋" w:eastAsia="仿宋" w:cs="Times New Roman"/>
          <w:bCs/>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乙方应保证所提供的货物或其任何一部分均不会侵犯任何第三方的知识产权</w:t>
      </w:r>
      <w:r>
        <w:rPr>
          <w:rFonts w:hint="eastAsia" w:ascii="仿宋" w:hAnsi="仿宋" w:eastAsia="仿宋" w:cs="Times New Roman"/>
          <w:bCs/>
          <w:snapToGrid w:val="0"/>
          <w:color w:val="000000"/>
          <w:kern w:val="2"/>
          <w:sz w:val="30"/>
          <w:szCs w:val="30"/>
          <w:lang w:val="en-US" w:eastAsia="zh-CN" w:bidi="ar-SA"/>
        </w:rPr>
        <w:t>。</w:t>
      </w:r>
    </w:p>
    <w:p w14:paraId="0EC9D574">
      <w:pPr>
        <w:widowControl w:val="0"/>
        <w:adjustRightInd w:val="0"/>
        <w:snapToGrid w:val="0"/>
        <w:spacing w:before="156" w:beforeLines="50" w:after="156" w:afterLines="50" w:line="460" w:lineRule="exact"/>
        <w:ind w:firstLine="596" w:firstLineChars="198"/>
        <w:jc w:val="both"/>
        <w:rPr>
          <w:rFonts w:ascii="仿宋" w:hAnsi="仿宋" w:eastAsia="仿宋" w:cs="Times New Roman"/>
          <w:snapToGrid w:val="0"/>
          <w:color w:val="000000"/>
          <w:kern w:val="2"/>
          <w:sz w:val="30"/>
          <w:szCs w:val="30"/>
          <w:u w:val="single"/>
          <w:lang w:val="en-US" w:eastAsia="zh-CN" w:bidi="ar-SA"/>
        </w:rPr>
      </w:pPr>
      <w:r>
        <w:rPr>
          <w:rFonts w:hint="eastAsia" w:ascii="仿宋" w:hAnsi="仿宋" w:eastAsia="仿宋" w:cs="Times New Roman"/>
          <w:b/>
          <w:snapToGrid w:val="0"/>
          <w:color w:val="000000"/>
          <w:kern w:val="2"/>
          <w:sz w:val="30"/>
          <w:szCs w:val="30"/>
          <w:lang w:val="en-US" w:eastAsia="zh-CN" w:bidi="ar-SA"/>
        </w:rPr>
        <w:t>四、产权担保</w:t>
      </w:r>
    </w:p>
    <w:p w14:paraId="6D370403">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u w:val="single"/>
          <w:lang w:val="en-US" w:eastAsia="zh-CN" w:bidi="ar-SA"/>
        </w:rPr>
      </w:pPr>
      <w:r>
        <w:rPr>
          <w:rFonts w:hint="eastAsia" w:ascii="仿宋" w:hAnsi="仿宋" w:eastAsia="仿宋" w:cs="Times New Roman"/>
          <w:snapToGrid w:val="0"/>
          <w:color w:val="000000"/>
          <w:kern w:val="2"/>
          <w:sz w:val="30"/>
          <w:szCs w:val="30"/>
          <w:lang w:val="en-US" w:eastAsia="zh-CN" w:bidi="ar-SA"/>
        </w:rPr>
        <w:t>乙方保证所交付的货物的所有权完全属于乙方且无任何抵押、查封等产权瑕疵。</w:t>
      </w:r>
    </w:p>
    <w:p w14:paraId="3AB52919">
      <w:pPr>
        <w:widowControl w:val="0"/>
        <w:adjustRightInd w:val="0"/>
        <w:snapToGrid w:val="0"/>
        <w:spacing w:before="156" w:beforeLines="50" w:after="156" w:afterLines="50" w:line="460" w:lineRule="exact"/>
        <w:ind w:firstLine="596" w:firstLineChars="198"/>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五、转包或分包</w:t>
      </w:r>
    </w:p>
    <w:p w14:paraId="767784BA">
      <w:pPr>
        <w:adjustRightInd w:val="0"/>
        <w:snapToGrid w:val="0"/>
        <w:spacing w:before="156" w:beforeLines="50" w:after="156" w:afterLines="50" w:line="460" w:lineRule="exact"/>
        <w:ind w:firstLine="639" w:firstLineChars="213"/>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不允许转包。</w:t>
      </w:r>
    </w:p>
    <w:p w14:paraId="130A8A19">
      <w:pPr>
        <w:adjustRightInd w:val="0"/>
        <w:snapToGrid w:val="0"/>
        <w:spacing w:before="156" w:beforeLines="50" w:after="156" w:afterLines="50" w:line="460" w:lineRule="exact"/>
        <w:ind w:firstLine="639" w:firstLineChars="213"/>
        <w:rPr>
          <w:rFonts w:ascii="仿宋" w:hAnsi="仿宋" w:eastAsia="仿宋" w:cs="Times New Roman"/>
          <w:snapToGrid w:val="0"/>
          <w:color w:val="000000"/>
          <w:kern w:val="0"/>
          <w:sz w:val="30"/>
          <w:szCs w:val="30"/>
          <w:u w:val="single"/>
        </w:rPr>
      </w:pPr>
      <w:r>
        <w:rPr>
          <w:rFonts w:hint="eastAsia" w:ascii="仿宋" w:hAnsi="仿宋" w:eastAsia="仿宋" w:cs="Times New Roman"/>
          <w:snapToGrid w:val="0"/>
          <w:color w:val="000000"/>
          <w:kern w:val="0"/>
          <w:sz w:val="30"/>
          <w:szCs w:val="30"/>
        </w:rPr>
        <w:t>允许分包部分</w:t>
      </w:r>
      <w:r>
        <w:rPr>
          <w:rFonts w:hint="eastAsia" w:ascii="仿宋" w:hAnsi="仿宋" w:eastAsia="仿宋" w:cs="Times New Roman"/>
          <w:snapToGrid w:val="0"/>
          <w:color w:val="000000"/>
          <w:kern w:val="0"/>
          <w:sz w:val="30"/>
          <w:szCs w:val="30"/>
          <w:u w:val="single"/>
        </w:rPr>
        <w:t xml:space="preserve">               。</w:t>
      </w:r>
    </w:p>
    <w:p w14:paraId="4A6966B5">
      <w:pPr>
        <w:adjustRightInd w:val="0"/>
        <w:snapToGrid w:val="0"/>
        <w:spacing w:before="156" w:beforeLines="50" w:after="156" w:afterLines="50" w:line="460" w:lineRule="exact"/>
        <w:ind w:firstLine="600" w:firstLineChars="200"/>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如乙方将项目转包或将不允许分包部分就行了分包，甲方有权解除合同，没收履约保证金并追究乙方的违约责任。</w:t>
      </w:r>
    </w:p>
    <w:p w14:paraId="7F2D2E07">
      <w:pPr>
        <w:widowControl w:val="0"/>
        <w:adjustRightInd w:val="0"/>
        <w:snapToGrid w:val="0"/>
        <w:spacing w:before="156" w:beforeLines="50" w:after="156" w:afterLines="50" w:line="460" w:lineRule="exact"/>
        <w:ind w:firstLine="641" w:firstLineChars="213"/>
        <w:jc w:val="both"/>
        <w:rPr>
          <w:rFonts w:ascii="仿宋" w:hAnsi="仿宋" w:eastAsia="仿宋" w:cs="Times New Roman"/>
          <w:snapToGrid w:val="0"/>
          <w:color w:val="000000"/>
          <w:kern w:val="0"/>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六、质保期和履约保证金</w:t>
      </w:r>
    </w:p>
    <w:p w14:paraId="48C0B7D3">
      <w:pPr>
        <w:widowControl w:val="0"/>
        <w:adjustRightInd w:val="0"/>
        <w:snapToGrid w:val="0"/>
        <w:spacing w:before="156" w:beforeLines="50" w:after="156" w:afterLines="50" w:line="460" w:lineRule="exact"/>
        <w:ind w:firstLine="600" w:firstLineChars="200"/>
        <w:jc w:val="left"/>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1.质保期年。（自项目验收合格交付使用之日起计）</w:t>
      </w:r>
    </w:p>
    <w:p w14:paraId="398256F7">
      <w:pPr>
        <w:widowControl w:val="0"/>
        <w:adjustRightInd w:val="0"/>
        <w:snapToGrid w:val="0"/>
        <w:spacing w:before="156" w:beforeLines="50" w:after="156" w:afterLines="50" w:line="460" w:lineRule="exact"/>
        <w:ind w:firstLine="600" w:firstLineChars="200"/>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2.履约保证金元。[履约保证金交至采购人处，在合同约定交货验收合格满（   ）个月之日起5个工作日内无息退还]</w:t>
      </w:r>
    </w:p>
    <w:p w14:paraId="4FBF3E37">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七、项目工期及实施地点</w:t>
      </w:r>
    </w:p>
    <w:p w14:paraId="19DBA911">
      <w:pPr>
        <w:widowControl w:val="0"/>
        <w:adjustRightInd w:val="0"/>
        <w:snapToGrid w:val="0"/>
        <w:spacing w:before="156" w:beforeLines="50" w:after="156" w:afterLines="50" w:line="460" w:lineRule="exact"/>
        <w:ind w:firstLine="639" w:firstLineChars="213"/>
        <w:jc w:val="both"/>
        <w:rPr>
          <w:rFonts w:ascii="仿宋" w:hAnsi="仿宋" w:eastAsia="仿宋" w:cs="Times New Roman"/>
          <w:bCs/>
          <w:snapToGrid w:val="0"/>
          <w:color w:val="000000"/>
          <w:kern w:val="2"/>
          <w:sz w:val="30"/>
          <w:szCs w:val="30"/>
          <w:lang w:val="en-US" w:eastAsia="zh-CN" w:bidi="ar-SA"/>
        </w:rPr>
      </w:pPr>
      <w:r>
        <w:rPr>
          <w:rFonts w:hint="eastAsia" w:ascii="仿宋" w:hAnsi="仿宋" w:eastAsia="仿宋" w:cs="Times New Roman"/>
          <w:bCs/>
          <w:snapToGrid w:val="0"/>
          <w:color w:val="000000"/>
          <w:kern w:val="2"/>
          <w:sz w:val="30"/>
          <w:szCs w:val="30"/>
          <w:lang w:val="en-US" w:eastAsia="zh-CN" w:bidi="ar-SA"/>
        </w:rPr>
        <w:t>1.交货期：</w:t>
      </w:r>
    </w:p>
    <w:p w14:paraId="6F31CF70">
      <w:pPr>
        <w:widowControl w:val="0"/>
        <w:adjustRightInd w:val="0"/>
        <w:snapToGrid w:val="0"/>
        <w:spacing w:before="156" w:beforeLines="50" w:after="156" w:afterLines="50" w:line="460" w:lineRule="exact"/>
        <w:ind w:firstLine="639"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Cs/>
          <w:snapToGrid w:val="0"/>
          <w:color w:val="000000"/>
          <w:kern w:val="2"/>
          <w:sz w:val="30"/>
          <w:szCs w:val="30"/>
          <w:lang w:val="en-US" w:eastAsia="zh-CN" w:bidi="ar-SA"/>
        </w:rPr>
        <w:t>2.实施地点：</w:t>
      </w:r>
    </w:p>
    <w:p w14:paraId="5236980D">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八、货款支付</w:t>
      </w:r>
    </w:p>
    <w:p w14:paraId="41F28443">
      <w:pPr>
        <w:spacing w:line="360" w:lineRule="auto"/>
        <w:rPr>
          <w:rFonts w:ascii="仿宋" w:hAnsi="仿宋" w:eastAsia="仿宋" w:cs="Times New Roman"/>
          <w:bCs/>
          <w:snapToGrid w:val="0"/>
          <w:color w:val="000000"/>
          <w:sz w:val="30"/>
          <w:szCs w:val="30"/>
        </w:rPr>
      </w:pPr>
      <w:r>
        <w:rPr>
          <w:rFonts w:hint="eastAsia" w:ascii="仿宋" w:hAnsi="仿宋" w:eastAsia="仿宋" w:cs="Times New Roman"/>
          <w:bCs/>
          <w:snapToGrid w:val="0"/>
          <w:color w:val="000000"/>
          <w:sz w:val="30"/>
          <w:szCs w:val="30"/>
        </w:rPr>
        <w:t xml:space="preserve"> 付款方式：（根据</w:t>
      </w:r>
      <w:r>
        <w:rPr>
          <w:rFonts w:hint="eastAsia" w:ascii="仿宋" w:hAnsi="仿宋" w:eastAsia="仿宋" w:cs="Times New Roman"/>
          <w:bCs/>
          <w:snapToGrid w:val="0"/>
          <w:color w:val="000000"/>
          <w:sz w:val="30"/>
          <w:szCs w:val="30"/>
          <w:lang w:eastAsia="zh-CN"/>
        </w:rPr>
        <w:t>招标</w:t>
      </w:r>
      <w:r>
        <w:rPr>
          <w:rFonts w:hint="eastAsia" w:ascii="仿宋" w:hAnsi="仿宋" w:eastAsia="仿宋" w:cs="Times New Roman"/>
          <w:bCs/>
          <w:snapToGrid w:val="0"/>
          <w:color w:val="000000"/>
          <w:sz w:val="30"/>
          <w:szCs w:val="30"/>
        </w:rPr>
        <w:t>文件“第四部分商务要求表付款条件”内容填写）</w:t>
      </w:r>
    </w:p>
    <w:p w14:paraId="10D2286B">
      <w:pPr>
        <w:adjustRightInd w:val="0"/>
        <w:snapToGrid w:val="0"/>
        <w:spacing w:before="156" w:beforeLines="50" w:after="156" w:afterLines="50" w:line="460" w:lineRule="exact"/>
        <w:ind w:firstLine="641" w:firstLineChars="213"/>
        <w:rPr>
          <w:rFonts w:ascii="仿宋" w:hAnsi="仿宋" w:eastAsia="仿宋" w:cs="Times New Roman"/>
          <w:b/>
          <w:snapToGrid w:val="0"/>
          <w:color w:val="000000"/>
          <w:kern w:val="0"/>
          <w:sz w:val="30"/>
          <w:szCs w:val="30"/>
        </w:rPr>
      </w:pPr>
      <w:r>
        <w:rPr>
          <w:rFonts w:hint="eastAsia" w:ascii="仿宋" w:hAnsi="仿宋" w:eastAsia="仿宋" w:cs="Times New Roman"/>
          <w:b/>
          <w:snapToGrid w:val="0"/>
          <w:color w:val="000000"/>
          <w:kern w:val="0"/>
          <w:sz w:val="30"/>
          <w:szCs w:val="30"/>
        </w:rPr>
        <w:t>九、税费</w:t>
      </w:r>
    </w:p>
    <w:p w14:paraId="4DFEE046">
      <w:pPr>
        <w:adjustRightInd w:val="0"/>
        <w:snapToGrid w:val="0"/>
        <w:spacing w:before="156" w:beforeLines="50" w:after="156" w:afterLines="50" w:line="460" w:lineRule="exact"/>
        <w:ind w:firstLine="639" w:firstLineChars="213"/>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本合同执行中相关的一切税费均由乙方负担。</w:t>
      </w:r>
    </w:p>
    <w:p w14:paraId="385813AD">
      <w:pPr>
        <w:widowControl w:val="0"/>
        <w:adjustRightInd w:val="0"/>
        <w:snapToGrid w:val="0"/>
        <w:spacing w:before="156" w:beforeLines="50" w:after="156" w:afterLines="50" w:line="460" w:lineRule="exact"/>
        <w:ind w:firstLine="596" w:firstLineChars="198"/>
        <w:jc w:val="both"/>
        <w:rPr>
          <w:rFonts w:ascii="仿宋" w:hAnsi="仿宋" w:eastAsia="仿宋" w:cs="Times New Roman"/>
          <w:snapToGrid w:val="0"/>
          <w:color w:val="000000"/>
          <w:kern w:val="0"/>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十、质量保证及售后服务</w:t>
      </w:r>
    </w:p>
    <w:p w14:paraId="0F5AEE77">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详见招标文件。</w:t>
      </w:r>
    </w:p>
    <w:p w14:paraId="1C07C4C7">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十一、调试和验收</w:t>
      </w:r>
    </w:p>
    <w:p w14:paraId="2BA7C95D">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详见招标文件、投标文件。</w:t>
      </w:r>
    </w:p>
    <w:p w14:paraId="21935A31">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十二、货物包装</w:t>
      </w:r>
    </w:p>
    <w:p w14:paraId="77D1F7DE">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详见招标文件、投标文件。</w:t>
      </w:r>
    </w:p>
    <w:p w14:paraId="06BBEA86">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十三、违约责任</w:t>
      </w:r>
    </w:p>
    <w:p w14:paraId="1BA9578E">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1.甲方无正当理由拒收验收项目的，甲方向乙方偿付拒收合同总价的百分之五违约金。</w:t>
      </w:r>
    </w:p>
    <w:p w14:paraId="63F47F96">
      <w:pPr>
        <w:widowControl w:val="0"/>
        <w:adjustRightInd w:val="0"/>
        <w:snapToGrid w:val="0"/>
        <w:spacing w:before="156" w:beforeLines="50" w:after="156" w:afterLines="50" w:line="460" w:lineRule="exact"/>
        <w:ind w:left="1"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2. 甲方收到乙方提供的发票，结合验收情况，验收合格的，在七个工作日内将采购资金支付到乙方约定账户。</w:t>
      </w:r>
    </w:p>
    <w:p w14:paraId="4AC4B83E">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甲方无故逾期验收和办理合同款项支付手续的,甲方应按逾期付款总额每日万分之五向乙方支付违约金。</w:t>
      </w:r>
    </w:p>
    <w:p w14:paraId="3DC56022">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D6436A2">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5606FB3">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5.解除合同应按《浙江省政府采购合同暂行办法》向财政备案。</w:t>
      </w:r>
    </w:p>
    <w:p w14:paraId="41D9802C">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十四、不可抗力事件处理</w:t>
      </w:r>
    </w:p>
    <w:p w14:paraId="1945DB85">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1.在合同有效期内，任何一方因不可抗力事件导致不能履行合同，则合同履行期可延长，其延长期与不可抗力影响期相同。</w:t>
      </w:r>
    </w:p>
    <w:p w14:paraId="1157A5EB">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2.不可抗力事件发生后，应立即通知对方，并寄送有关权威机构出具的证明。</w:t>
      </w:r>
    </w:p>
    <w:p w14:paraId="74017DFB">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3.不可抗力事件延续120天以上，双方应通过友好协商，确定是否继续履行合同。</w:t>
      </w:r>
    </w:p>
    <w:p w14:paraId="008FC24B">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十五、诉讼</w:t>
      </w:r>
    </w:p>
    <w:p w14:paraId="3159F727">
      <w:pPr>
        <w:widowControl w:val="0"/>
        <w:adjustRightInd w:val="0"/>
        <w:snapToGrid w:val="0"/>
        <w:spacing w:before="156" w:beforeLines="50" w:after="156" w:afterLines="50" w:line="460" w:lineRule="exact"/>
        <w:ind w:left="2"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双方在执行合同中所发生的一切争议，应通过协商解决。如协商不成，可向甲方所在地法院起诉。</w:t>
      </w:r>
    </w:p>
    <w:p w14:paraId="648822CE">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十六、合同生效及其它</w:t>
      </w:r>
    </w:p>
    <w:p w14:paraId="1EEA1154">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1.合同经甲、乙两方签名并加盖单位公章后生效。</w:t>
      </w:r>
    </w:p>
    <w:p w14:paraId="313D0540">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2.合同执行中涉及采购资金和采购内容修改或补充的，须双方经财政部门审批，并签书面补充协议，经报政府采购监督管理部门备案后，方可作为主合同不可分割的一部分。</w:t>
      </w:r>
    </w:p>
    <w:p w14:paraId="2509CA4C">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3.招标文件、投标文件与本合同具有同等法律效力。</w:t>
      </w:r>
    </w:p>
    <w:p w14:paraId="1D9F1E97">
      <w:pPr>
        <w:widowControl w:val="0"/>
        <w:adjustRightInd w:val="0"/>
        <w:snapToGrid w:val="0"/>
        <w:spacing w:before="156" w:beforeLines="50" w:after="156" w:afterLines="50" w:line="460" w:lineRule="exact"/>
        <w:ind w:firstLine="59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b/>
          <w:color w:val="000000"/>
          <w:kern w:val="2"/>
          <w:sz w:val="28"/>
          <w:szCs w:val="28"/>
          <w:lang w:val="en-US" w:eastAsia="zh-CN" w:bidi="ar-SA"/>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3473AE4">
      <w:pPr>
        <w:widowControl w:val="0"/>
        <w:adjustRightInd w:val="0"/>
        <w:snapToGrid w:val="0"/>
        <w:spacing w:before="156" w:beforeLines="50" w:after="156" w:afterLines="50" w:line="460" w:lineRule="exact"/>
        <w:ind w:firstLine="600" w:firstLineChars="200"/>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5.本合同未尽事宜，遵照《中华人民共和国民法典》有关条文执行。</w:t>
      </w:r>
    </w:p>
    <w:p w14:paraId="33E31387">
      <w:pPr>
        <w:widowControl w:val="0"/>
        <w:adjustRightInd w:val="0"/>
        <w:snapToGrid w:val="0"/>
        <w:spacing w:before="120" w:beforeLines="0" w:after="156" w:afterLines="50" w:line="460" w:lineRule="exact"/>
        <w:ind w:left="2" w:leftChars="1" w:firstLine="600" w:firstLineChars="200"/>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6.本合同一式四份，具有同等法律效力，甲、乙两方各执二份。</w:t>
      </w:r>
    </w:p>
    <w:p w14:paraId="2B54719B">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p>
    <w:p w14:paraId="57865DE7">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甲方（盖章）：                                   </w:t>
      </w:r>
    </w:p>
    <w:p w14:paraId="3FC54770">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地址：                                   </w:t>
      </w:r>
    </w:p>
    <w:p w14:paraId="6F66EE8A">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法定（授权）代表人：                   </w:t>
      </w:r>
    </w:p>
    <w:p w14:paraId="7450537A">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签名日期：     年   月   日           </w:t>
      </w:r>
    </w:p>
    <w:p w14:paraId="0DB312C1">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p>
    <w:p w14:paraId="6FB62B6F">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乙方（盖章）：</w:t>
      </w:r>
    </w:p>
    <w:p w14:paraId="2D4FAA57">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地址： </w:t>
      </w:r>
    </w:p>
    <w:p w14:paraId="29619B83">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开户行：</w:t>
      </w:r>
    </w:p>
    <w:p w14:paraId="6FC485A6">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开户帐号：</w:t>
      </w:r>
    </w:p>
    <w:p w14:paraId="580331A2">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法定（授权）代表人：</w:t>
      </w:r>
    </w:p>
    <w:p w14:paraId="510F3953">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签名日期：      年   月   日</w:t>
      </w:r>
    </w:p>
    <w:p w14:paraId="0BB9ADB1">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p>
    <w:p w14:paraId="28B2DEBA">
      <w:pPr>
        <w:rPr>
          <w:rFonts w:eastAsia="宋体" w:cs="Times New Roman"/>
          <w:color w:val="000000"/>
          <w:szCs w:val="30"/>
        </w:rPr>
      </w:pPr>
    </w:p>
    <w:p w14:paraId="27AD07D1">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仿宋_GB2312" w:hAnsi="Courier New" w:eastAsia="仿宋_GB2312" w:cs="Times New Roman"/>
          <w:snapToGrid w:val="0"/>
          <w:color w:val="000000"/>
          <w:kern w:val="0"/>
          <w:sz w:val="30"/>
          <w:szCs w:val="30"/>
          <w:lang w:val="en-US" w:eastAsia="zh-CN" w:bidi="ar-SA"/>
        </w:rPr>
        <w:br w:type="page"/>
      </w:r>
      <w:bookmarkStart w:id="32" w:name="_Toc22013"/>
      <w:r>
        <w:rPr>
          <w:rFonts w:hint="eastAsia" w:ascii="宋体" w:hAnsi="宋体" w:eastAsia="宋体" w:cs="Times New Roman"/>
          <w:b/>
          <w:color w:val="000000"/>
          <w:kern w:val="2"/>
          <w:sz w:val="36"/>
          <w:szCs w:val="36"/>
          <w:lang w:val="en-US" w:eastAsia="zh-CN" w:bidi="ar-SA"/>
        </w:rPr>
        <w:t>第六章 投标文件格式附件</w:t>
      </w:r>
      <w:bookmarkEnd w:id="32"/>
    </w:p>
    <w:p w14:paraId="6A0A51E2">
      <w:pPr>
        <w:widowControl w:val="0"/>
        <w:spacing w:before="156" w:beforeLines="50" w:after="156" w:afterLines="50" w:line="360" w:lineRule="auto"/>
        <w:jc w:val="center"/>
        <w:rPr>
          <w:rFonts w:ascii="宋体" w:hAnsi="宋体" w:eastAsia="仿宋_GB2312" w:cs="Times New Roman"/>
          <w:b/>
          <w:color w:val="000000"/>
          <w:kern w:val="2"/>
          <w:sz w:val="36"/>
          <w:szCs w:val="36"/>
          <w:lang w:val="en-US" w:eastAsia="zh-CN" w:bidi="ar-SA"/>
        </w:rPr>
      </w:pPr>
    </w:p>
    <w:p w14:paraId="1CFC7227">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27913AF">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553DC7C8">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B2A5B19">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CA06944">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639DC05A">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67DE9B99">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1F99B652">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2CB0647">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66941E6C">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3E2FDA5">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66B64810">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02B4DD8F">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54EF8780">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057F4765">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8EFFCA4">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1C96A64F">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460405D">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3D219110">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010F1738">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08871FB">
      <w:pPr>
        <w:snapToGrid w:val="0"/>
        <w:spacing w:before="156" w:beforeLines="50" w:after="50"/>
        <w:rPr>
          <w:rFonts w:ascii="仿宋" w:hAnsi="仿宋" w:eastAsia="仿宋" w:cs="Times New Roman"/>
          <w:bCs/>
          <w:color w:val="000000"/>
          <w:sz w:val="30"/>
          <w:szCs w:val="30"/>
        </w:rPr>
      </w:pPr>
      <w:r>
        <w:rPr>
          <w:rFonts w:hint="eastAsia" w:ascii="仿宋" w:hAnsi="仿宋" w:eastAsia="仿宋" w:cs="Times New Roman"/>
          <w:color w:val="000000"/>
          <w:sz w:val="30"/>
          <w:szCs w:val="30"/>
        </w:rPr>
        <w:t>附件1</w:t>
      </w:r>
      <w:r>
        <w:rPr>
          <w:rFonts w:hint="eastAsia" w:ascii="仿宋" w:hAnsi="仿宋" w:eastAsia="仿宋" w:cs="Times New Roman"/>
          <w:b/>
          <w:color w:val="000000"/>
          <w:sz w:val="30"/>
          <w:szCs w:val="30"/>
        </w:rPr>
        <w:t xml:space="preserve">：                                          </w:t>
      </w:r>
    </w:p>
    <w:p w14:paraId="561FD978">
      <w:pPr>
        <w:spacing w:before="312" w:beforeLines="100" w:line="240" w:lineRule="atLeast"/>
        <w:jc w:val="center"/>
        <w:rPr>
          <w:rFonts w:hint="eastAsia" w:ascii="仿宋" w:hAnsi="仿宋" w:eastAsia="仿宋" w:cs="Times New Roman"/>
          <w:color w:val="000000"/>
          <w:sz w:val="36"/>
          <w:szCs w:val="36"/>
          <w:lang w:eastAsia="zh-CN"/>
        </w:rPr>
      </w:pPr>
      <w:bookmarkStart w:id="33" w:name="PO_1000000445_PM002_2"/>
      <w:r>
        <w:rPr>
          <w:rFonts w:hint="eastAsia" w:ascii="仿宋" w:hAnsi="仿宋" w:eastAsia="仿宋" w:cs="Times New Roman"/>
          <w:b/>
          <w:color w:val="000000"/>
          <w:spacing w:val="40"/>
          <w:sz w:val="52"/>
          <w:szCs w:val="52"/>
          <w:lang w:eastAsia="zh-CN"/>
        </w:rPr>
        <w:t>浙江科技大学“浙科智学”数字化教学综合平台</w:t>
      </w:r>
      <w:bookmarkEnd w:id="33"/>
    </w:p>
    <w:p w14:paraId="6D3F0384">
      <w:pPr>
        <w:spacing w:before="312" w:beforeLines="100" w:line="240" w:lineRule="atLeast"/>
        <w:jc w:val="center"/>
        <w:rPr>
          <w:rFonts w:ascii="仿宋" w:hAnsi="仿宋" w:eastAsia="仿宋" w:cs="Times New Roman"/>
          <w:color w:val="000000"/>
          <w:sz w:val="36"/>
          <w:szCs w:val="36"/>
        </w:rPr>
      </w:pPr>
      <w:r>
        <w:rPr>
          <w:rFonts w:hint="eastAsia" w:ascii="仿宋" w:hAnsi="仿宋" w:eastAsia="仿宋" w:cs="Times New Roman"/>
          <w:color w:val="000000"/>
          <w:sz w:val="36"/>
          <w:szCs w:val="36"/>
        </w:rPr>
        <w:t>项目编号：</w:t>
      </w:r>
      <w:bookmarkStart w:id="34" w:name="PO_15528_PM001_2"/>
      <w:r>
        <w:rPr>
          <w:rFonts w:hint="eastAsia" w:ascii="仿宋" w:hAnsi="仿宋" w:eastAsia="仿宋" w:cs="Times New Roman"/>
          <w:color w:val="000000"/>
          <w:sz w:val="36"/>
          <w:szCs w:val="36"/>
          <w:lang w:eastAsia="zh-CN"/>
        </w:rPr>
        <w:t>ZZCG2025X-GK-125</w:t>
      </w:r>
      <w:bookmarkEnd w:id="34"/>
      <w:r>
        <w:rPr>
          <w:rFonts w:hint="eastAsia" w:ascii="仿宋" w:hAnsi="仿宋" w:eastAsia="仿宋" w:cs="Times New Roman"/>
          <w:color w:val="000000"/>
          <w:sz w:val="36"/>
          <w:szCs w:val="36"/>
        </w:rPr>
        <w:t>（标项  ）</w:t>
      </w:r>
    </w:p>
    <w:p w14:paraId="41DC97E2">
      <w:pPr>
        <w:spacing w:after="100" w:afterAutospacing="1" w:line="800" w:lineRule="exact"/>
        <w:ind w:right="-108"/>
        <w:jc w:val="center"/>
        <w:rPr>
          <w:rFonts w:ascii="仿宋" w:hAnsi="仿宋" w:eastAsia="仿宋" w:cs="Times New Roman"/>
          <w:b/>
          <w:color w:val="000000"/>
          <w:spacing w:val="40"/>
          <w:sz w:val="84"/>
          <w:szCs w:val="84"/>
        </w:rPr>
      </w:pPr>
    </w:p>
    <w:p w14:paraId="54AFB19E">
      <w:pPr>
        <w:spacing w:after="100" w:afterAutospacing="1" w:line="8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资</w:t>
      </w:r>
    </w:p>
    <w:p w14:paraId="35B7267E">
      <w:pPr>
        <w:spacing w:after="100" w:afterAutospacing="1" w:line="800" w:lineRule="exact"/>
        <w:ind w:right="-108"/>
        <w:jc w:val="center"/>
        <w:rPr>
          <w:rFonts w:ascii="仿宋" w:hAnsi="仿宋" w:eastAsia="仿宋" w:cs="Times New Roman"/>
          <w:b/>
          <w:color w:val="000000"/>
          <w:spacing w:val="40"/>
          <w:sz w:val="84"/>
          <w:szCs w:val="84"/>
        </w:rPr>
      </w:pPr>
    </w:p>
    <w:p w14:paraId="2F83D4CC">
      <w:pPr>
        <w:spacing w:after="100" w:afterAutospacing="1" w:line="8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格</w:t>
      </w:r>
    </w:p>
    <w:p w14:paraId="100B3E9D">
      <w:pPr>
        <w:spacing w:after="100" w:afterAutospacing="1" w:line="800" w:lineRule="exact"/>
        <w:ind w:right="-108"/>
        <w:jc w:val="center"/>
        <w:rPr>
          <w:rFonts w:ascii="仿宋" w:hAnsi="仿宋" w:eastAsia="仿宋" w:cs="Times New Roman"/>
          <w:b/>
          <w:color w:val="000000"/>
          <w:spacing w:val="40"/>
          <w:sz w:val="84"/>
          <w:szCs w:val="84"/>
        </w:rPr>
      </w:pPr>
    </w:p>
    <w:p w14:paraId="6C0C4584">
      <w:pPr>
        <w:spacing w:after="100" w:afterAutospacing="1" w:line="8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文</w:t>
      </w:r>
    </w:p>
    <w:p w14:paraId="51A270FC">
      <w:pPr>
        <w:spacing w:after="100" w:afterAutospacing="1" w:line="800" w:lineRule="exact"/>
        <w:ind w:right="-108"/>
        <w:jc w:val="center"/>
        <w:rPr>
          <w:rFonts w:ascii="仿宋" w:hAnsi="仿宋" w:eastAsia="仿宋" w:cs="Times New Roman"/>
          <w:b/>
          <w:color w:val="000000"/>
          <w:spacing w:val="40"/>
          <w:sz w:val="84"/>
          <w:szCs w:val="84"/>
        </w:rPr>
      </w:pPr>
    </w:p>
    <w:p w14:paraId="47A650B5">
      <w:pPr>
        <w:spacing w:after="100" w:afterAutospacing="1" w:line="800" w:lineRule="exact"/>
        <w:ind w:right="-108"/>
        <w:jc w:val="center"/>
        <w:rPr>
          <w:rFonts w:ascii="仿宋" w:hAnsi="仿宋" w:eastAsia="仿宋" w:cs="Times New Roman"/>
          <w:color w:val="000000"/>
          <w:sz w:val="36"/>
          <w:szCs w:val="36"/>
        </w:rPr>
      </w:pPr>
      <w:r>
        <w:rPr>
          <w:rFonts w:hint="eastAsia" w:ascii="仿宋" w:hAnsi="仿宋" w:eastAsia="仿宋" w:cs="Times New Roman"/>
          <w:b/>
          <w:color w:val="000000"/>
          <w:spacing w:val="40"/>
          <w:sz w:val="84"/>
          <w:szCs w:val="84"/>
        </w:rPr>
        <w:t>件</w:t>
      </w:r>
    </w:p>
    <w:p w14:paraId="062BE96F">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投标人全称：</w:t>
      </w:r>
    </w:p>
    <w:p w14:paraId="178D7385">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地    址：</w:t>
      </w:r>
    </w:p>
    <w:p w14:paraId="4F1E18B1">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时    间：</w:t>
      </w:r>
    </w:p>
    <w:p w14:paraId="31096B91">
      <w:pPr>
        <w:snapToGrid w:val="0"/>
        <w:spacing w:before="50" w:after="50"/>
        <w:rPr>
          <w:rFonts w:ascii="仿宋" w:hAnsi="仿宋" w:eastAsia="仿宋" w:cs="Times New Roman"/>
          <w:b/>
          <w:bCs/>
          <w:sz w:val="36"/>
          <w:szCs w:val="36"/>
        </w:rPr>
      </w:pPr>
      <w:r>
        <w:rPr>
          <w:rFonts w:hint="eastAsia" w:ascii="仿宋" w:hAnsi="仿宋" w:eastAsia="仿宋" w:cs="Times New Roman"/>
          <w:b/>
          <w:color w:val="000000"/>
          <w:kern w:val="0"/>
          <w:sz w:val="36"/>
          <w:szCs w:val="36"/>
        </w:rPr>
        <w:br w:type="page"/>
      </w:r>
      <w:r>
        <w:rPr>
          <w:rFonts w:hint="eastAsia" w:ascii="仿宋" w:hAnsi="仿宋" w:eastAsia="仿宋" w:cs="Times New Roman"/>
          <w:b/>
          <w:sz w:val="36"/>
          <w:szCs w:val="36"/>
        </w:rPr>
        <w:t>1</w:t>
      </w:r>
      <w:r>
        <w:rPr>
          <w:rFonts w:hint="eastAsia" w:ascii="仿宋" w:hAnsi="仿宋" w:eastAsia="仿宋" w:cs="Times New Roman"/>
          <w:b/>
          <w:sz w:val="36"/>
          <w:szCs w:val="36"/>
          <w:lang w:val="en-US" w:eastAsia="zh-CN"/>
        </w:rPr>
        <w:t>.</w:t>
      </w:r>
      <w:r>
        <w:rPr>
          <w:rFonts w:hint="eastAsia" w:ascii="仿宋" w:hAnsi="仿宋" w:eastAsia="仿宋" w:cs="Times New Roman"/>
          <w:b/>
          <w:bCs/>
          <w:sz w:val="36"/>
          <w:szCs w:val="36"/>
        </w:rPr>
        <w:t>资格文件目录</w:t>
      </w:r>
    </w:p>
    <w:p w14:paraId="4A23B33E">
      <w:pPr>
        <w:snapToGrid w:val="0"/>
        <w:spacing w:before="50" w:after="50"/>
        <w:rPr>
          <w:rFonts w:ascii="仿宋" w:hAnsi="仿宋" w:eastAsia="仿宋" w:cs="Times New Roman"/>
          <w:sz w:val="30"/>
          <w:szCs w:val="30"/>
        </w:rPr>
      </w:pPr>
    </w:p>
    <w:p w14:paraId="23109B7F">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（1）声明书 (格式见附件2)；</w:t>
      </w:r>
    </w:p>
    <w:p w14:paraId="064DAC5F">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（2）法定代表人授权委托书(以非联合体形式投标的提供，格式见附件3</w:t>
      </w:r>
      <w:r>
        <w:rPr>
          <w:rFonts w:ascii="仿宋" w:hAnsi="仿宋" w:eastAsia="仿宋" w:cs="Times New Roman"/>
          <w:sz w:val="30"/>
          <w:szCs w:val="30"/>
        </w:rPr>
        <w:t>-1</w:t>
      </w:r>
      <w:r>
        <w:rPr>
          <w:rFonts w:hint="eastAsia" w:ascii="仿宋" w:hAnsi="仿宋" w:eastAsia="仿宋" w:cs="Times New Roman"/>
          <w:sz w:val="30"/>
          <w:szCs w:val="30"/>
        </w:rPr>
        <w:t>)或法定代表人身份证明（法定代表人代表投标人投标的提供，格式见附件3</w:t>
      </w:r>
      <w:r>
        <w:rPr>
          <w:rFonts w:ascii="仿宋" w:hAnsi="仿宋" w:eastAsia="仿宋" w:cs="Times New Roman"/>
          <w:sz w:val="30"/>
          <w:szCs w:val="30"/>
        </w:rPr>
        <w:t>-2</w:t>
      </w:r>
      <w:r>
        <w:rPr>
          <w:rFonts w:hint="eastAsia" w:ascii="仿宋" w:hAnsi="仿宋" w:eastAsia="仿宋" w:cs="Times New Roman"/>
          <w:sz w:val="30"/>
          <w:szCs w:val="30"/>
        </w:rPr>
        <w:t>）或联合投标授权委托书（以联合体形式投标的提供，格式见附件</w:t>
      </w:r>
      <w:r>
        <w:rPr>
          <w:rFonts w:ascii="仿宋" w:hAnsi="仿宋" w:eastAsia="仿宋" w:cs="Times New Roman"/>
          <w:sz w:val="30"/>
          <w:szCs w:val="30"/>
        </w:rPr>
        <w:t>5</w:t>
      </w:r>
      <w:r>
        <w:rPr>
          <w:rFonts w:hint="eastAsia" w:ascii="仿宋" w:hAnsi="仿宋" w:eastAsia="仿宋" w:cs="Times New Roman"/>
          <w:sz w:val="30"/>
          <w:szCs w:val="30"/>
        </w:rPr>
        <w:t>）；</w:t>
      </w:r>
    </w:p>
    <w:p w14:paraId="4A30444B">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（3）提供有效的营业执照复印件并加盖公司公章；事业单位的，则提供有效的《事业单位法人证书》副本复印件并加盖单位公章；自然人的，则提供有效的身份证复印件并签字；</w:t>
      </w:r>
    </w:p>
    <w:p w14:paraId="038CA267">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（4）联合投标协议书（以联合体形式投标的须提供，格式见附件4）;</w:t>
      </w:r>
    </w:p>
    <w:p w14:paraId="1C5F0667">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w:t>
      </w:r>
      <w:r>
        <w:rPr>
          <w:rFonts w:ascii="仿宋" w:hAnsi="仿宋" w:eastAsia="仿宋" w:cs="Times New Roman"/>
          <w:sz w:val="30"/>
          <w:szCs w:val="30"/>
        </w:rPr>
        <w:t>5</w:t>
      </w:r>
      <w:r>
        <w:rPr>
          <w:rFonts w:hint="eastAsia" w:ascii="仿宋" w:hAnsi="仿宋" w:eastAsia="仿宋" w:cs="Times New Roman"/>
          <w:sz w:val="30"/>
          <w:szCs w:val="30"/>
        </w:rPr>
        <w:t>）分包意向协议（以分包方式履行合同的须提供，格式见附件6）</w:t>
      </w:r>
    </w:p>
    <w:p w14:paraId="6F9882D1">
      <w:pPr>
        <w:snapToGrid w:val="0"/>
        <w:spacing w:line="460" w:lineRule="exact"/>
        <w:ind w:firstLine="588" w:firstLineChars="196"/>
        <w:jc w:val="left"/>
        <w:rPr>
          <w:rFonts w:ascii="仿宋" w:hAnsi="仿宋" w:eastAsia="仿宋" w:cs="Times New Roman"/>
        </w:rPr>
      </w:pPr>
      <w:r>
        <w:rPr>
          <w:rFonts w:hint="eastAsia" w:ascii="仿宋" w:hAnsi="仿宋" w:eastAsia="仿宋" w:cs="Times New Roman"/>
          <w:sz w:val="30"/>
          <w:szCs w:val="30"/>
        </w:rPr>
        <w:t>（</w:t>
      </w:r>
      <w:r>
        <w:rPr>
          <w:rFonts w:ascii="仿宋" w:hAnsi="仿宋" w:eastAsia="仿宋" w:cs="Times New Roman"/>
          <w:sz w:val="30"/>
          <w:szCs w:val="30"/>
        </w:rPr>
        <w:t>6</w:t>
      </w:r>
      <w:r>
        <w:rPr>
          <w:rFonts w:hint="eastAsia" w:ascii="仿宋" w:hAnsi="仿宋" w:eastAsia="仿宋" w:cs="Times New Roman"/>
          <w:sz w:val="30"/>
          <w:szCs w:val="30"/>
        </w:rPr>
        <w:t>）中小企业声明函（若需要，格式见附件7）；</w:t>
      </w:r>
    </w:p>
    <w:p w14:paraId="2F6EB6F0">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w:t>
      </w:r>
      <w:r>
        <w:rPr>
          <w:rFonts w:ascii="仿宋" w:hAnsi="仿宋" w:eastAsia="仿宋" w:cs="Times New Roman"/>
          <w:sz w:val="30"/>
          <w:szCs w:val="30"/>
        </w:rPr>
        <w:t>7</w:t>
      </w:r>
      <w:r>
        <w:rPr>
          <w:rFonts w:hint="eastAsia" w:ascii="仿宋" w:hAnsi="仿宋" w:eastAsia="仿宋" w:cs="Times New Roman"/>
          <w:sz w:val="30"/>
          <w:szCs w:val="30"/>
        </w:rPr>
        <w:t>）残疾人福利企业声明函（若需要，格式见附件8）；</w:t>
      </w:r>
    </w:p>
    <w:p w14:paraId="14BA6E4C">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w:t>
      </w:r>
      <w:r>
        <w:rPr>
          <w:rFonts w:ascii="仿宋" w:hAnsi="仿宋" w:eastAsia="仿宋" w:cs="Times New Roman"/>
          <w:sz w:val="30"/>
          <w:szCs w:val="30"/>
        </w:rPr>
        <w:t>8</w:t>
      </w:r>
      <w:r>
        <w:rPr>
          <w:rFonts w:hint="eastAsia" w:ascii="仿宋" w:hAnsi="仿宋" w:eastAsia="仿宋" w:cs="Times New Roman"/>
          <w:sz w:val="30"/>
          <w:szCs w:val="30"/>
        </w:rPr>
        <w:t>）</w:t>
      </w:r>
      <w:r>
        <w:rPr>
          <w:rFonts w:hint="eastAsia" w:ascii="仿宋" w:hAnsi="仿宋" w:eastAsia="仿宋" w:cs="Times New Roman"/>
          <w:bCs/>
          <w:sz w:val="30"/>
          <w:szCs w:val="30"/>
        </w:rPr>
        <w:t>监狱企业证明文件</w:t>
      </w:r>
      <w:r>
        <w:rPr>
          <w:rFonts w:hint="eastAsia" w:ascii="仿宋" w:hAnsi="仿宋" w:eastAsia="仿宋" w:cs="Times New Roman"/>
          <w:sz w:val="30"/>
          <w:szCs w:val="30"/>
        </w:rPr>
        <w:t>（若需要）；</w:t>
      </w:r>
    </w:p>
    <w:p w14:paraId="6B44CD0C">
      <w:pPr>
        <w:snapToGrid w:val="0"/>
        <w:spacing w:line="4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w:t>
      </w:r>
      <w:r>
        <w:rPr>
          <w:rFonts w:ascii="仿宋" w:hAnsi="仿宋" w:eastAsia="仿宋" w:cs="Times New Roman"/>
          <w:sz w:val="30"/>
          <w:szCs w:val="30"/>
        </w:rPr>
        <w:t>9</w:t>
      </w:r>
      <w:r>
        <w:rPr>
          <w:rFonts w:hint="eastAsia" w:ascii="仿宋" w:hAnsi="仿宋" w:eastAsia="仿宋" w:cs="Times New Roman"/>
          <w:sz w:val="30"/>
          <w:szCs w:val="30"/>
        </w:rPr>
        <w:t>）提供采购公告中符合</w:t>
      </w:r>
      <w:r>
        <w:rPr>
          <w:rFonts w:hint="eastAsia" w:ascii="仿宋" w:hAnsi="仿宋" w:eastAsia="仿宋" w:cs="Times New Roman"/>
          <w:bCs/>
          <w:sz w:val="30"/>
          <w:szCs w:val="30"/>
        </w:rPr>
        <w:t>投标人特定条件要求的有效的</w:t>
      </w:r>
      <w:r>
        <w:rPr>
          <w:rFonts w:hint="eastAsia" w:ascii="仿宋" w:hAnsi="仿宋" w:eastAsia="仿宋" w:cs="Times New Roman"/>
          <w:sz w:val="30"/>
          <w:szCs w:val="30"/>
        </w:rPr>
        <w:t>其他资质复印件并加盖公司公章及需要说明的资料。</w:t>
      </w:r>
    </w:p>
    <w:p w14:paraId="7C068293">
      <w:pPr>
        <w:widowControl w:val="0"/>
        <w:snapToGrid w:val="0"/>
        <w:spacing w:after="120" w:line="460" w:lineRule="exact"/>
        <w:ind w:left="5250" w:leftChars="2500" w:firstLine="600" w:firstLineChars="200"/>
        <w:jc w:val="both"/>
        <w:rPr>
          <w:rFonts w:ascii="仿宋" w:hAnsi="仿宋" w:eastAsia="仿宋" w:cs="Times New Roman"/>
          <w:kern w:val="2"/>
          <w:sz w:val="30"/>
          <w:szCs w:val="30"/>
          <w:lang w:val="en-US" w:eastAsia="zh-CN" w:bidi="ar-SA"/>
        </w:rPr>
      </w:pPr>
    </w:p>
    <w:p w14:paraId="72F43515">
      <w:pPr>
        <w:snapToGrid w:val="0"/>
        <w:spacing w:line="460" w:lineRule="exact"/>
        <w:ind w:firstLine="588" w:firstLineChars="196"/>
        <w:jc w:val="left"/>
        <w:rPr>
          <w:rFonts w:ascii="仿宋" w:hAnsi="仿宋" w:eastAsia="仿宋" w:cs="Times New Roman"/>
          <w:sz w:val="30"/>
          <w:szCs w:val="30"/>
        </w:rPr>
      </w:pPr>
    </w:p>
    <w:p w14:paraId="1CC4E82A">
      <w:pPr>
        <w:widowControl/>
        <w:jc w:val="left"/>
        <w:rPr>
          <w:rFonts w:ascii="仿宋" w:hAnsi="仿宋" w:eastAsia="仿宋" w:cs="Times New Roman"/>
          <w:bCs/>
          <w:sz w:val="28"/>
          <w:szCs w:val="28"/>
        </w:rPr>
      </w:pPr>
      <w:r>
        <w:rPr>
          <w:rFonts w:ascii="仿宋" w:hAnsi="仿宋" w:eastAsia="仿宋" w:cs="Times New Roman"/>
          <w:bCs/>
          <w:sz w:val="28"/>
          <w:szCs w:val="28"/>
        </w:rPr>
        <w:br w:type="page"/>
      </w:r>
    </w:p>
    <w:p w14:paraId="762771B4">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▲投标人须知（九）投标无效的情形中“1.投标人未能提供合格的资格文件”包括但不限于下列情形：</w:t>
      </w:r>
    </w:p>
    <w:p w14:paraId="1BD1A4A9">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1</w:t>
      </w:r>
      <w:r>
        <w:rPr>
          <w:rFonts w:ascii="仿宋" w:hAnsi="仿宋" w:eastAsia="仿宋" w:cs="Times New Roman"/>
          <w:b/>
          <w:bCs/>
          <w:sz w:val="30"/>
          <w:szCs w:val="30"/>
        </w:rPr>
        <w:t>.</w:t>
      </w:r>
      <w:r>
        <w:rPr>
          <w:rFonts w:hint="eastAsia" w:ascii="仿宋" w:hAnsi="仿宋" w:eastAsia="仿宋" w:cs="Times New Roman"/>
          <w:b/>
          <w:bCs/>
          <w:sz w:val="30"/>
          <w:szCs w:val="30"/>
        </w:rPr>
        <w:t>声明书：</w:t>
      </w:r>
    </w:p>
    <w:p w14:paraId="0205EB84">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以非联合体形式投标的，</w:t>
      </w:r>
      <w:r>
        <w:rPr>
          <w:rFonts w:hint="eastAsia" w:ascii="仿宋" w:hAnsi="仿宋" w:eastAsia="仿宋" w:cs="Times New Roman"/>
          <w:bCs/>
          <w:sz w:val="30"/>
          <w:szCs w:val="30"/>
        </w:rPr>
        <w:t>未提供声明书或声明书未盖投标人公章；</w:t>
      </w:r>
    </w:p>
    <w:p w14:paraId="3CB02422">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联合体形式投标的，未分别提供联合体各方声明书</w:t>
      </w:r>
      <w:r>
        <w:rPr>
          <w:rFonts w:hint="eastAsia" w:ascii="仿宋" w:hAnsi="仿宋" w:eastAsia="仿宋" w:cs="Times New Roman"/>
          <w:bCs/>
          <w:sz w:val="30"/>
          <w:szCs w:val="30"/>
        </w:rPr>
        <w:t>或声明书未盖投标人公章</w:t>
      </w:r>
      <w:r>
        <w:rPr>
          <w:rFonts w:hint="eastAsia" w:ascii="仿宋" w:hAnsi="仿宋" w:eastAsia="仿宋" w:cs="Times New Roman"/>
          <w:sz w:val="30"/>
          <w:szCs w:val="30"/>
        </w:rPr>
        <w:t>；</w:t>
      </w:r>
    </w:p>
    <w:p w14:paraId="3FFBDD8F">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2.</w:t>
      </w:r>
      <w:r>
        <w:rPr>
          <w:rFonts w:hint="eastAsia" w:ascii="仿宋" w:hAnsi="仿宋" w:eastAsia="仿宋" w:cs="Times New Roman"/>
          <w:b/>
          <w:sz w:val="30"/>
          <w:szCs w:val="30"/>
        </w:rPr>
        <w:t>法定代表人授权书或法定代表人身份证明或联合投标授权委托书：</w:t>
      </w:r>
    </w:p>
    <w:p w14:paraId="48443158">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以非联合体形式投标的，未提供法定代表人授权委托书或委托书</w:t>
      </w:r>
      <w:r>
        <w:rPr>
          <w:rFonts w:hint="eastAsia" w:ascii="仿宋" w:hAnsi="仿宋" w:eastAsia="仿宋" w:cs="Times New Roman"/>
          <w:bCs/>
          <w:sz w:val="30"/>
          <w:szCs w:val="30"/>
        </w:rPr>
        <w:t>无法定代表人签章或未盖投标人公章；</w:t>
      </w:r>
      <w:r>
        <w:rPr>
          <w:rFonts w:hint="eastAsia" w:ascii="仿宋" w:hAnsi="仿宋" w:eastAsia="仿宋" w:cs="Times New Roman"/>
          <w:sz w:val="30"/>
          <w:szCs w:val="30"/>
        </w:rPr>
        <w:t>法定代表人代表投标人投标的，</w:t>
      </w:r>
      <w:r>
        <w:rPr>
          <w:rFonts w:hint="eastAsia" w:ascii="仿宋" w:hAnsi="仿宋" w:eastAsia="仿宋" w:cs="Times New Roman"/>
          <w:bCs/>
          <w:sz w:val="30"/>
          <w:szCs w:val="30"/>
        </w:rPr>
        <w:t>未提供身份证或身份证不在有效期内或未签章；</w:t>
      </w:r>
    </w:p>
    <w:p w14:paraId="2B77B71E">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联合体形式投标的，未提供联合投标授权委托书或委托书</w:t>
      </w:r>
      <w:r>
        <w:rPr>
          <w:rFonts w:hint="eastAsia" w:ascii="仿宋" w:hAnsi="仿宋" w:eastAsia="仿宋" w:cs="Times New Roman"/>
          <w:bCs/>
          <w:sz w:val="30"/>
          <w:szCs w:val="30"/>
        </w:rPr>
        <w:t>无联合体各方法定代表人签章或未盖联合体各方公章；</w:t>
      </w:r>
    </w:p>
    <w:p w14:paraId="28D5B5FC">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3</w:t>
      </w:r>
      <w:r>
        <w:rPr>
          <w:rFonts w:ascii="仿宋" w:hAnsi="仿宋" w:eastAsia="仿宋" w:cs="Times New Roman"/>
          <w:b/>
          <w:bCs/>
          <w:sz w:val="30"/>
          <w:szCs w:val="30"/>
        </w:rPr>
        <w:t>.</w:t>
      </w:r>
      <w:r>
        <w:rPr>
          <w:rFonts w:hint="eastAsia" w:ascii="仿宋" w:hAnsi="仿宋" w:eastAsia="仿宋" w:cs="Times New Roman"/>
          <w:b/>
          <w:bCs/>
          <w:sz w:val="30"/>
          <w:szCs w:val="30"/>
        </w:rPr>
        <w:t>营业执照：</w:t>
      </w:r>
    </w:p>
    <w:p w14:paraId="038933EE">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以非联合体形式投标的，</w:t>
      </w:r>
      <w:r>
        <w:rPr>
          <w:rFonts w:hint="eastAsia" w:ascii="仿宋" w:hAnsi="仿宋" w:eastAsia="仿宋" w:cs="Times New Roman"/>
          <w:bCs/>
          <w:sz w:val="30"/>
          <w:szCs w:val="30"/>
        </w:rPr>
        <w:t>未提供营业执照或营业执照不在有效期内或未盖投标人公章；</w:t>
      </w:r>
    </w:p>
    <w:p w14:paraId="4B4E7B94">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联合体形式投标的，未提供联合体各方</w:t>
      </w:r>
      <w:r>
        <w:rPr>
          <w:rFonts w:hint="eastAsia" w:ascii="仿宋" w:hAnsi="仿宋" w:eastAsia="仿宋" w:cs="Times New Roman"/>
          <w:bCs/>
          <w:sz w:val="30"/>
          <w:szCs w:val="30"/>
        </w:rPr>
        <w:t>营业执照或营业执照不在有效期内或未盖投标人公章</w:t>
      </w:r>
      <w:r>
        <w:rPr>
          <w:rFonts w:hint="eastAsia" w:ascii="仿宋" w:hAnsi="仿宋" w:eastAsia="仿宋" w:cs="Times New Roman"/>
          <w:sz w:val="30"/>
          <w:szCs w:val="30"/>
        </w:rPr>
        <w:t>；</w:t>
      </w:r>
    </w:p>
    <w:p w14:paraId="774B865A">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事业单位投标的，未提供事业单位法人证书或事业单位法人证书不在有效期内或未盖投标人公章；自然人投标的，未提供身份证或身份证不在有效期内或未签章；</w:t>
      </w:r>
    </w:p>
    <w:p w14:paraId="358790EE">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4.</w:t>
      </w:r>
      <w:r>
        <w:rPr>
          <w:rFonts w:hint="eastAsia" w:ascii="仿宋" w:hAnsi="仿宋" w:eastAsia="仿宋" w:cs="Times New Roman"/>
          <w:b/>
          <w:sz w:val="30"/>
          <w:szCs w:val="30"/>
        </w:rPr>
        <w:t>联合投标协议书：</w:t>
      </w:r>
    </w:p>
    <w:p w14:paraId="026AB4C4">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联合体形式投标的，未提供联合投标协议书或</w:t>
      </w:r>
      <w:r>
        <w:rPr>
          <w:rFonts w:hint="eastAsia" w:ascii="仿宋" w:hAnsi="仿宋" w:eastAsia="仿宋" w:cs="Times New Roman"/>
          <w:bCs/>
          <w:sz w:val="30"/>
          <w:szCs w:val="30"/>
        </w:rPr>
        <w:t>未盖联合体各方公章或</w:t>
      </w:r>
      <w:r>
        <w:rPr>
          <w:rFonts w:hint="eastAsia" w:ascii="仿宋" w:hAnsi="仿宋" w:eastAsia="仿宋" w:cs="Times New Roman"/>
          <w:sz w:val="30"/>
          <w:szCs w:val="30"/>
        </w:rPr>
        <w:t>未列明联合体各方承担的工作、义务、合同金额占比；</w:t>
      </w:r>
    </w:p>
    <w:p w14:paraId="073CEDD4">
      <w:pPr>
        <w:snapToGrid w:val="0"/>
        <w:spacing w:line="460" w:lineRule="exact"/>
        <w:ind w:firstLine="446" w:firstLineChars="148"/>
        <w:jc w:val="left"/>
        <w:outlineLvl w:val="1"/>
        <w:rPr>
          <w:rFonts w:ascii="仿宋" w:hAnsi="仿宋" w:eastAsia="仿宋" w:cs="Times New Roman"/>
          <w:b/>
          <w:sz w:val="30"/>
          <w:szCs w:val="30"/>
        </w:rPr>
      </w:pPr>
      <w:r>
        <w:rPr>
          <w:rFonts w:hint="eastAsia" w:ascii="仿宋" w:hAnsi="仿宋" w:eastAsia="仿宋" w:cs="Times New Roman"/>
          <w:b/>
          <w:sz w:val="30"/>
          <w:szCs w:val="30"/>
        </w:rPr>
        <w:t>5</w:t>
      </w:r>
      <w:r>
        <w:rPr>
          <w:rFonts w:ascii="仿宋" w:hAnsi="仿宋" w:eastAsia="仿宋" w:cs="Times New Roman"/>
          <w:b/>
          <w:sz w:val="30"/>
          <w:szCs w:val="30"/>
        </w:rPr>
        <w:t>.</w:t>
      </w:r>
      <w:r>
        <w:rPr>
          <w:rFonts w:hint="eastAsia" w:ascii="仿宋" w:hAnsi="仿宋" w:eastAsia="仿宋" w:cs="Times New Roman"/>
          <w:b/>
          <w:sz w:val="30"/>
          <w:szCs w:val="30"/>
        </w:rPr>
        <w:t xml:space="preserve"> 投标人的特定条件证明材料：</w:t>
      </w:r>
    </w:p>
    <w:p w14:paraId="7FA8F991">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合格投标人的资格要求中有投标人的特定条件的，未提供符合投标人特定条件证明材料或证明材</w:t>
      </w:r>
      <w:r>
        <w:rPr>
          <w:rFonts w:hint="eastAsia" w:ascii="仿宋" w:hAnsi="仿宋" w:eastAsia="仿宋" w:cs="Times New Roman"/>
          <w:bCs/>
          <w:sz w:val="30"/>
          <w:szCs w:val="30"/>
        </w:rPr>
        <w:t>料不在有效期内或未盖投标人公章；</w:t>
      </w:r>
    </w:p>
    <w:p w14:paraId="173AFC5A">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6</w:t>
      </w:r>
      <w:r>
        <w:rPr>
          <w:rFonts w:ascii="仿宋" w:hAnsi="仿宋" w:eastAsia="仿宋" w:cs="Times New Roman"/>
          <w:b/>
          <w:bCs/>
          <w:sz w:val="30"/>
          <w:szCs w:val="30"/>
        </w:rPr>
        <w:t>.</w:t>
      </w:r>
      <w:r>
        <w:rPr>
          <w:rFonts w:hint="eastAsia" w:ascii="仿宋" w:hAnsi="仿宋" w:eastAsia="仿宋" w:cs="Times New Roman"/>
          <w:b/>
          <w:bCs/>
          <w:sz w:val="30"/>
          <w:szCs w:val="30"/>
        </w:rPr>
        <w:t>中小企业声明函：</w:t>
      </w:r>
    </w:p>
    <w:p w14:paraId="56AE6F64">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项目专门面向中小企业的，未提供中小企业声明函或中小企业声明函中未完整填写标的名称、企业名称、从业人员、营业收入、资产总额或未盖投标人公章；</w:t>
      </w:r>
    </w:p>
    <w:p w14:paraId="40A0055C">
      <w:pPr>
        <w:snapToGrid w:val="0"/>
        <w:spacing w:line="460" w:lineRule="exact"/>
        <w:ind w:firstLine="461" w:firstLineChars="148"/>
        <w:jc w:val="left"/>
        <w:outlineLvl w:val="1"/>
        <w:rPr>
          <w:rFonts w:ascii="仿宋" w:hAnsi="仿宋" w:eastAsia="仿宋" w:cs="Times New Roman"/>
          <w:sz w:val="30"/>
          <w:szCs w:val="30"/>
        </w:rPr>
      </w:pPr>
      <w:r>
        <w:rPr>
          <w:rFonts w:hint="eastAsia" w:ascii="仿宋" w:hAnsi="仿宋" w:eastAsia="仿宋" w:cs="Times New Roman"/>
          <w:spacing w:val="6"/>
          <w:sz w:val="30"/>
          <w:szCs w:val="30"/>
        </w:rPr>
        <w:t>残疾人福利性单位投标的，</w:t>
      </w:r>
      <w:r>
        <w:rPr>
          <w:rFonts w:hint="eastAsia" w:ascii="仿宋" w:hAnsi="仿宋" w:eastAsia="仿宋" w:cs="Times New Roman"/>
          <w:bCs/>
          <w:sz w:val="30"/>
          <w:szCs w:val="30"/>
        </w:rPr>
        <w:t>未提供残疾人福利性单位声明函或未盖投标人公章；监狱企业投标的，未提供由省级以上监狱管理局、戒毒管理局（含新疆生产建设兵团）出具的属于监狱企业的证明文件；</w:t>
      </w:r>
    </w:p>
    <w:p w14:paraId="3E45B126">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7.</w:t>
      </w:r>
      <w:r>
        <w:rPr>
          <w:rFonts w:hint="eastAsia" w:ascii="仿宋" w:hAnsi="仿宋" w:eastAsia="仿宋" w:cs="Times New Roman"/>
          <w:b/>
          <w:sz w:val="30"/>
          <w:szCs w:val="30"/>
        </w:rPr>
        <w:t>分包意向协议:</w:t>
      </w:r>
    </w:p>
    <w:p w14:paraId="187D6ECC">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sz w:val="30"/>
          <w:szCs w:val="30"/>
        </w:rPr>
        <w:t>项目要求以合同分包形式预留份额专门面向中小企业的，未提供分包意向协议或</w:t>
      </w:r>
      <w:r>
        <w:rPr>
          <w:rFonts w:hint="eastAsia" w:ascii="仿宋" w:hAnsi="仿宋" w:eastAsia="仿宋" w:cs="Times New Roman"/>
          <w:bCs/>
          <w:sz w:val="30"/>
          <w:szCs w:val="30"/>
        </w:rPr>
        <w:t>未盖投标人与分包供应商公章或</w:t>
      </w:r>
      <w:r>
        <w:rPr>
          <w:rFonts w:hint="eastAsia" w:ascii="仿宋" w:hAnsi="仿宋" w:eastAsia="仿宋" w:cs="Times New Roman"/>
          <w:sz w:val="30"/>
          <w:szCs w:val="30"/>
        </w:rPr>
        <w:t>未列明分包供应商承担的工作、合同金额占比。</w:t>
      </w:r>
    </w:p>
    <w:p w14:paraId="58394240">
      <w:pPr>
        <w:widowControl w:val="0"/>
        <w:snapToGrid w:val="0"/>
        <w:spacing w:before="156" w:beforeLines="50" w:after="156" w:afterLines="50" w:line="240" w:lineRule="auto"/>
        <w:jc w:val="both"/>
        <w:rPr>
          <w:rFonts w:ascii="仿宋" w:hAnsi="仿宋" w:eastAsia="仿宋" w:cs="Times New Roman"/>
          <w:kern w:val="2"/>
          <w:sz w:val="30"/>
          <w:szCs w:val="30"/>
          <w:lang w:val="en-US" w:eastAsia="zh-CN" w:bidi="ar-SA"/>
        </w:rPr>
      </w:pPr>
    </w:p>
    <w:p w14:paraId="41E82F6D">
      <w:pPr>
        <w:widowControl w:val="0"/>
        <w:snapToGrid w:val="0"/>
        <w:spacing w:before="156" w:beforeLines="50" w:after="156" w:afterLines="50" w:line="240" w:lineRule="auto"/>
        <w:jc w:val="both"/>
        <w:rPr>
          <w:rFonts w:ascii="仿宋" w:hAnsi="仿宋" w:eastAsia="仿宋" w:cs="Times New Roman"/>
          <w:kern w:val="2"/>
          <w:sz w:val="30"/>
          <w:szCs w:val="30"/>
          <w:lang w:val="en-US" w:eastAsia="zh-CN" w:bidi="ar-SA"/>
        </w:rPr>
      </w:pPr>
    </w:p>
    <w:p w14:paraId="55CF8254">
      <w:pPr>
        <w:snapToGrid w:val="0"/>
        <w:spacing w:before="50" w:after="156" w:afterLines="50"/>
        <w:jc w:val="left"/>
        <w:rPr>
          <w:rFonts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附件2：</w:t>
      </w:r>
    </w:p>
    <w:p w14:paraId="2261375D">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声 明 书</w:t>
      </w:r>
    </w:p>
    <w:p w14:paraId="3AFD7434">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致浙江省政府采购中心：</w:t>
      </w:r>
    </w:p>
    <w:p w14:paraId="32724C44">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我方愿意参加贵方组织的</w:t>
      </w:r>
      <w:bookmarkStart w:id="35" w:name="PO_3000002632_PM002"/>
      <w:r>
        <w:rPr>
          <w:rFonts w:hint="eastAsia" w:ascii="仿宋" w:hAnsi="仿宋" w:eastAsia="仿宋" w:cs="Times New Roman"/>
          <w:b/>
          <w:sz w:val="30"/>
          <w:szCs w:val="30"/>
          <w:u w:val="single"/>
          <w:lang w:eastAsia="zh-CN"/>
        </w:rPr>
        <w:t>浙江科技大学“浙科智学”数字化教学综合平台</w:t>
      </w:r>
      <w:bookmarkEnd w:id="35"/>
      <w:r>
        <w:rPr>
          <w:rFonts w:hint="eastAsia" w:ascii="仿宋" w:hAnsi="仿宋" w:eastAsia="仿宋" w:cs="Times New Roman"/>
          <w:sz w:val="30"/>
          <w:szCs w:val="30"/>
          <w:u w:val="single"/>
        </w:rPr>
        <w:t>（编号为</w:t>
      </w:r>
      <w:bookmarkStart w:id="36" w:name="PO_15528_PM001_3"/>
      <w:r>
        <w:rPr>
          <w:rFonts w:hint="eastAsia" w:ascii="仿宋" w:hAnsi="仿宋" w:eastAsia="仿宋" w:cs="Times New Roman"/>
          <w:sz w:val="30"/>
          <w:szCs w:val="30"/>
          <w:u w:val="single"/>
          <w:lang w:eastAsia="zh-CN"/>
        </w:rPr>
        <w:t>ZZCG2025X-GK-125</w:t>
      </w:r>
      <w:bookmarkEnd w:id="36"/>
      <w:r>
        <w:rPr>
          <w:rFonts w:hint="eastAsia" w:ascii="仿宋" w:hAnsi="仿宋" w:eastAsia="仿宋" w:cs="Times New Roman"/>
          <w:sz w:val="30"/>
          <w:szCs w:val="30"/>
          <w:u w:val="single"/>
        </w:rPr>
        <w:t>）</w:t>
      </w:r>
      <w:r>
        <w:rPr>
          <w:rFonts w:hint="eastAsia" w:ascii="仿宋" w:hAnsi="仿宋" w:eastAsia="仿宋" w:cs="Times New Roman"/>
          <w:sz w:val="30"/>
          <w:szCs w:val="30"/>
        </w:rPr>
        <w:t>的投标，为此，我方就本次投标有关事项郑重声明如下：</w:t>
      </w:r>
    </w:p>
    <w:p w14:paraId="15B616A0">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1.我方已详细审查全部招标文件，同意招标文件的各项要求。</w:t>
      </w:r>
    </w:p>
    <w:p w14:paraId="047BB099">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2.我方向贵方提交的所有投标文件、资料都是准确的和真实的。</w:t>
      </w:r>
    </w:p>
    <w:p w14:paraId="109B12BD">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3.若中标，我方将按招标文件规定履行合同责任和义务。</w:t>
      </w:r>
    </w:p>
    <w:p w14:paraId="439DAE4B">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4.我方不是采购人的附属机构；在获知本项目采购信息后，与采购人聘请的为此项目提供咨询服务的公司及其附属机构没有任何联系。</w:t>
      </w:r>
    </w:p>
    <w:p w14:paraId="262A35B8">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5.投标文件自开标日起有效期为90天。</w:t>
      </w:r>
    </w:p>
    <w:p w14:paraId="357FDCBE">
      <w:pPr>
        <w:snapToGrid w:val="0"/>
        <w:spacing w:line="460" w:lineRule="exact"/>
        <w:ind w:firstLine="590" w:firstLineChars="196"/>
        <w:jc w:val="left"/>
        <w:rPr>
          <w:rFonts w:ascii="仿宋" w:hAnsi="仿宋" w:eastAsia="仿宋" w:cs="Times New Roman"/>
          <w:b/>
          <w:sz w:val="30"/>
          <w:szCs w:val="30"/>
        </w:rPr>
      </w:pPr>
      <w:r>
        <w:rPr>
          <w:rFonts w:hint="eastAsia" w:ascii="仿宋" w:hAnsi="仿宋" w:eastAsia="仿宋" w:cs="Times New Roman"/>
          <w:b/>
          <w:sz w:val="30"/>
          <w:szCs w:val="30"/>
        </w:rPr>
        <w:t>6.我方承诺已经具备参与政府采购活动的资格条件；</w:t>
      </w:r>
      <w:r>
        <w:rPr>
          <w:rFonts w:ascii="仿宋" w:hAnsi="仿宋" w:eastAsia="仿宋" w:cs="Times New Roman"/>
          <w:b/>
          <w:sz w:val="30"/>
          <w:szCs w:val="30"/>
        </w:rPr>
        <w:t>具有良好的商业信誉和健全的财务会计制度</w:t>
      </w:r>
      <w:r>
        <w:rPr>
          <w:rFonts w:hint="eastAsia" w:ascii="仿宋" w:hAnsi="仿宋" w:eastAsia="仿宋" w:cs="Times New Roman"/>
          <w:b/>
          <w:sz w:val="30"/>
          <w:szCs w:val="30"/>
        </w:rPr>
        <w:t>；</w:t>
      </w:r>
      <w:r>
        <w:rPr>
          <w:rFonts w:ascii="仿宋" w:hAnsi="仿宋" w:eastAsia="仿宋" w:cs="Times New Roman"/>
          <w:b/>
          <w:sz w:val="30"/>
          <w:szCs w:val="30"/>
        </w:rPr>
        <w:t>有依法缴纳税收和社会保障资金的良好记录；参加政府采购活动前三年内，在经营活动中没有重大违法记录</w:t>
      </w:r>
      <w:r>
        <w:rPr>
          <w:rFonts w:hint="eastAsia" w:ascii="仿宋" w:hAnsi="仿宋" w:eastAsia="仿宋" w:cs="Times New Roman"/>
          <w:b/>
          <w:sz w:val="30"/>
          <w:szCs w:val="30"/>
        </w:rPr>
        <w:t>。</w:t>
      </w:r>
    </w:p>
    <w:p w14:paraId="7076A1E1">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7.我方通过“信用中国”网站（www.creditchina.gov.cn）、中国政府采购网（www.ccgp.gov.cn）查询，未被列入失信被执行人、重大税收违法案件当事人名单、政府采购严重违法失信行为记录名单。</w:t>
      </w:r>
    </w:p>
    <w:p w14:paraId="5E898A72">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8</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单位负责人为同一人或者存在直接控股、管理关系的不同供应商， 参加同一合同项下的政府采购活动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022383AC">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9</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为采购项目提供整体设计、规范编制或者项目管理、监理、检测等服务</w:t>
      </w:r>
      <w:r>
        <w:rPr>
          <w:rFonts w:hint="eastAsia" w:ascii="仿宋" w:hAnsi="仿宋" w:eastAsia="仿宋" w:cs="Times New Roman"/>
          <w:sz w:val="30"/>
          <w:szCs w:val="30"/>
        </w:rPr>
        <w:t>后</w:t>
      </w:r>
      <w:r>
        <w:rPr>
          <w:rFonts w:ascii="仿宋" w:hAnsi="仿宋" w:eastAsia="仿宋" w:cs="Times New Roman"/>
          <w:sz w:val="30"/>
          <w:szCs w:val="30"/>
        </w:rPr>
        <w:t>再参加该采购项目的其他采购活动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037876B9">
      <w:pPr>
        <w:snapToGrid w:val="0"/>
        <w:spacing w:before="156" w:beforeLines="50" w:after="50" w:line="460" w:lineRule="exact"/>
        <w:ind w:firstLine="600" w:firstLineChars="200"/>
        <w:rPr>
          <w:rFonts w:ascii="仿宋" w:hAnsi="仿宋" w:eastAsia="仿宋" w:cs="Times New Roman"/>
          <w:sz w:val="30"/>
          <w:szCs w:val="30"/>
        </w:rPr>
      </w:pPr>
      <w:r>
        <w:rPr>
          <w:rFonts w:ascii="仿宋" w:hAnsi="仿宋" w:eastAsia="仿宋" w:cs="Times New Roman"/>
          <w:sz w:val="30"/>
          <w:szCs w:val="30"/>
        </w:rPr>
        <w:t>10</w:t>
      </w:r>
      <w:r>
        <w:rPr>
          <w:rFonts w:hint="eastAsia" w:ascii="仿宋" w:hAnsi="仿宋" w:eastAsia="仿宋" w:cs="Times New Roman"/>
          <w:sz w:val="30"/>
          <w:szCs w:val="30"/>
        </w:rPr>
        <w:t>.以上事项如有虚假或隐瞒，我方愿意承担一切后果，并不再寻求任何旨在减轻或免除法律责任的辩解。</w:t>
      </w:r>
    </w:p>
    <w:p w14:paraId="10F13C9D">
      <w:pPr>
        <w:snapToGrid w:val="0"/>
        <w:spacing w:before="156" w:beforeLines="50" w:after="50" w:line="460" w:lineRule="exact"/>
        <w:ind w:right="600" w:firstLine="150" w:firstLineChars="50"/>
        <w:rPr>
          <w:rFonts w:ascii="仿宋" w:hAnsi="仿宋" w:eastAsia="仿宋" w:cs="Times New Roman"/>
          <w:sz w:val="30"/>
          <w:szCs w:val="30"/>
        </w:rPr>
      </w:pPr>
    </w:p>
    <w:p w14:paraId="74931540">
      <w:pPr>
        <w:snapToGrid w:val="0"/>
        <w:spacing w:before="156" w:beforeLines="50" w:after="50" w:line="460" w:lineRule="exact"/>
        <w:ind w:right="600" w:firstLine="150" w:firstLineChars="50"/>
        <w:rPr>
          <w:rFonts w:ascii="仿宋" w:hAnsi="仿宋" w:eastAsia="仿宋" w:cs="Times New Roman"/>
          <w:sz w:val="30"/>
          <w:szCs w:val="30"/>
        </w:rPr>
      </w:pPr>
    </w:p>
    <w:p w14:paraId="05A29923">
      <w:pPr>
        <w:snapToGrid w:val="0"/>
        <w:spacing w:before="156" w:beforeLines="50" w:after="50" w:line="460" w:lineRule="exact"/>
        <w:ind w:right="600" w:firstLine="150" w:firstLineChars="50"/>
        <w:rPr>
          <w:rFonts w:ascii="仿宋" w:hAnsi="仿宋" w:eastAsia="仿宋" w:cs="Times New Roman"/>
          <w:sz w:val="30"/>
          <w:szCs w:val="30"/>
          <w:u w:val="single"/>
        </w:rPr>
      </w:pPr>
      <w:r>
        <w:rPr>
          <w:rFonts w:hint="eastAsia" w:ascii="仿宋" w:hAnsi="仿宋" w:eastAsia="仿宋" w:cs="Times New Roman"/>
          <w:sz w:val="30"/>
          <w:szCs w:val="30"/>
        </w:rPr>
        <w:t>投标人全称（公章）：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5C74F831">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附件3</w:t>
      </w:r>
      <w:r>
        <w:rPr>
          <w:rFonts w:ascii="仿宋" w:hAnsi="仿宋" w:eastAsia="仿宋" w:cs="Times New Roman"/>
          <w:sz w:val="30"/>
          <w:szCs w:val="30"/>
        </w:rPr>
        <w:t>-1</w:t>
      </w:r>
      <w:r>
        <w:rPr>
          <w:rFonts w:hint="eastAsia" w:ascii="仿宋" w:hAnsi="仿宋" w:eastAsia="仿宋" w:cs="Times New Roman"/>
          <w:sz w:val="30"/>
          <w:szCs w:val="30"/>
        </w:rPr>
        <w:t>：</w:t>
      </w:r>
    </w:p>
    <w:p w14:paraId="6271CF46">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法定代表人授权委托书</w:t>
      </w:r>
    </w:p>
    <w:p w14:paraId="067E3F43">
      <w:pPr>
        <w:snapToGrid w:val="0"/>
        <w:spacing w:before="156" w:beforeLines="50" w:after="50"/>
        <w:jc w:val="center"/>
        <w:rPr>
          <w:rFonts w:ascii="仿宋" w:hAnsi="仿宋" w:eastAsia="仿宋" w:cs="Times New Roman"/>
          <w:b/>
          <w:sz w:val="30"/>
          <w:szCs w:val="30"/>
        </w:rPr>
      </w:pPr>
    </w:p>
    <w:p w14:paraId="217EB693">
      <w:pPr>
        <w:snapToGrid w:val="0"/>
        <w:spacing w:before="156" w:beforeLines="50" w:after="50" w:line="460" w:lineRule="exact"/>
        <w:rPr>
          <w:rFonts w:ascii="仿宋" w:hAnsi="仿宋" w:eastAsia="仿宋" w:cs="Times New Roman"/>
          <w:b/>
          <w:bCs/>
          <w:sz w:val="30"/>
          <w:szCs w:val="30"/>
        </w:rPr>
      </w:pPr>
      <w:r>
        <w:rPr>
          <w:rFonts w:hint="eastAsia" w:ascii="仿宋" w:hAnsi="仿宋" w:eastAsia="仿宋" w:cs="Times New Roman"/>
          <w:bCs/>
          <w:sz w:val="30"/>
          <w:szCs w:val="30"/>
        </w:rPr>
        <w:t>浙江省政府采购中心：</w:t>
      </w:r>
    </w:p>
    <w:p w14:paraId="1673B986">
      <w:pPr>
        <w:snapToGrid w:val="0"/>
        <w:spacing w:before="156" w:beforeLines="50" w:after="50" w:line="460" w:lineRule="exact"/>
        <w:ind w:firstLine="900" w:firstLineChars="300"/>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（姓名）</w:t>
      </w:r>
      <w:r>
        <w:rPr>
          <w:rFonts w:hint="eastAsia" w:ascii="仿宋" w:hAnsi="仿宋" w:eastAsia="仿宋" w:cs="Times New Roman"/>
          <w:sz w:val="30"/>
          <w:szCs w:val="30"/>
        </w:rPr>
        <w:t>系</w:t>
      </w:r>
      <w:r>
        <w:rPr>
          <w:rFonts w:hint="eastAsia" w:ascii="仿宋" w:hAnsi="仿宋" w:eastAsia="仿宋" w:cs="Times New Roman"/>
          <w:sz w:val="30"/>
          <w:szCs w:val="30"/>
          <w:u w:val="single"/>
        </w:rPr>
        <w:t>（投标人名称）</w:t>
      </w:r>
      <w:r>
        <w:rPr>
          <w:rFonts w:hint="eastAsia" w:ascii="仿宋" w:hAnsi="仿宋" w:eastAsia="仿宋" w:cs="Times New Roman"/>
          <w:sz w:val="30"/>
          <w:szCs w:val="30"/>
        </w:rPr>
        <w:t>的法定代表人，现授权委托本单位在职职工</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为授权代表，以我方的名义参加项目名称：</w:t>
      </w:r>
      <w:bookmarkStart w:id="37" w:name="PO_3000002632_PM002_1"/>
      <w:r>
        <w:rPr>
          <w:rFonts w:hint="eastAsia" w:ascii="仿宋" w:hAnsi="仿宋" w:eastAsia="仿宋" w:cs="Times New Roman"/>
          <w:b/>
          <w:sz w:val="30"/>
          <w:szCs w:val="30"/>
          <w:u w:val="single"/>
          <w:lang w:eastAsia="zh-CN"/>
        </w:rPr>
        <w:t>浙江科技大学“浙科智学”数字化教学综合平台</w:t>
      </w:r>
      <w:bookmarkEnd w:id="37"/>
      <w:r>
        <w:rPr>
          <w:rFonts w:hint="eastAsia" w:ascii="仿宋" w:hAnsi="仿宋" w:eastAsia="仿宋" w:cs="Times New Roman"/>
          <w:sz w:val="30"/>
          <w:szCs w:val="30"/>
        </w:rPr>
        <w:t xml:space="preserve"> 项目编号：</w:t>
      </w:r>
      <w:bookmarkStart w:id="38" w:name="PO_3000002632_PM001"/>
      <w:r>
        <w:rPr>
          <w:rFonts w:hint="eastAsia" w:ascii="仿宋" w:hAnsi="仿宋" w:eastAsia="仿宋" w:cs="Times New Roman"/>
          <w:b/>
          <w:sz w:val="30"/>
          <w:szCs w:val="30"/>
          <w:u w:val="single"/>
          <w:lang w:eastAsia="zh-CN"/>
        </w:rPr>
        <w:t>ZZCG2025X-GK-125</w:t>
      </w:r>
      <w:bookmarkEnd w:id="38"/>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项目的投标活动，并代表我方全权办理针对上述项目的投标、开标、评标、签约等具体事务和签署相关文件。我方对授权代表的签名事项负全部责任。</w:t>
      </w:r>
    </w:p>
    <w:p w14:paraId="52D96766">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在撤销授权的书面通知以前，本授权书一直有效。授权代表在授权书有效期内签署的所有文件不因授权的撤销而失效。</w:t>
      </w:r>
    </w:p>
    <w:p w14:paraId="5CF01057">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授权代表无转委托权，特此委托。</w:t>
      </w:r>
    </w:p>
    <w:p w14:paraId="60E99BF7">
      <w:pPr>
        <w:snapToGrid w:val="0"/>
        <w:spacing w:before="156" w:beforeLines="50" w:after="50" w:line="460" w:lineRule="exact"/>
        <w:ind w:firstLine="480"/>
        <w:rPr>
          <w:rFonts w:ascii="仿宋" w:hAnsi="仿宋" w:eastAsia="仿宋" w:cs="Times New Roman"/>
          <w:sz w:val="30"/>
          <w:szCs w:val="30"/>
        </w:rPr>
      </w:pPr>
    </w:p>
    <w:p w14:paraId="120F3F70">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72662556">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p>
    <w:p w14:paraId="516023DF">
      <w:pPr>
        <w:snapToGrid w:val="0"/>
        <w:spacing w:before="156" w:beforeLines="50" w:after="50" w:line="460" w:lineRule="exact"/>
        <w:rPr>
          <w:rFonts w:ascii="仿宋" w:hAnsi="仿宋" w:eastAsia="仿宋" w:cs="Times New Roman"/>
          <w:sz w:val="30"/>
          <w:szCs w:val="30"/>
        </w:rPr>
      </w:pPr>
    </w:p>
    <w:p w14:paraId="2978CC23">
      <w:pPr>
        <w:snapToGrid w:val="0"/>
        <w:spacing w:before="156" w:beforeLines="50" w:after="50" w:line="460" w:lineRule="exact"/>
        <w:rPr>
          <w:rFonts w:ascii="仿宋" w:hAnsi="仿宋" w:eastAsia="仿宋" w:cs="Times New Roman"/>
          <w:sz w:val="30"/>
          <w:szCs w:val="30"/>
        </w:rPr>
      </w:pPr>
    </w:p>
    <w:p w14:paraId="6AFD31A4">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p>
    <w:p w14:paraId="25102AD9">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p>
    <w:p w14:paraId="0BF2E1F1">
      <w:pPr>
        <w:snapToGrid w:val="0"/>
        <w:spacing w:before="156" w:beforeLines="50" w:after="50" w:line="460" w:lineRule="exact"/>
        <w:ind w:firstLine="6150" w:firstLineChars="2050"/>
        <w:rPr>
          <w:rFonts w:ascii="仿宋" w:hAnsi="仿宋" w:eastAsia="仿宋" w:cs="Times New Roman"/>
          <w:sz w:val="30"/>
          <w:szCs w:val="30"/>
        </w:rPr>
      </w:pPr>
    </w:p>
    <w:p w14:paraId="25E4F2C8">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投标人全称（公章）：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34E007DA">
      <w:pPr>
        <w:snapToGrid w:val="0"/>
        <w:spacing w:before="156" w:beforeLines="50" w:after="50" w:line="460" w:lineRule="exact"/>
        <w:rPr>
          <w:rFonts w:ascii="仿宋" w:hAnsi="仿宋" w:eastAsia="仿宋" w:cs="Times New Roman"/>
          <w:sz w:val="30"/>
          <w:szCs w:val="30"/>
        </w:rPr>
      </w:pPr>
    </w:p>
    <w:p w14:paraId="6FC25130">
      <w:pPr>
        <w:snapToGrid w:val="0"/>
        <w:spacing w:before="156" w:beforeLines="50" w:after="50" w:line="460" w:lineRule="exact"/>
        <w:rPr>
          <w:rFonts w:ascii="仿宋" w:hAnsi="仿宋" w:eastAsia="仿宋" w:cs="Times New Roman"/>
          <w:sz w:val="30"/>
          <w:szCs w:val="30"/>
        </w:rPr>
      </w:pPr>
    </w:p>
    <w:p w14:paraId="3D969215">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附件3</w:t>
      </w:r>
      <w:r>
        <w:rPr>
          <w:rFonts w:ascii="仿宋" w:hAnsi="仿宋" w:eastAsia="仿宋" w:cs="Times New Roman"/>
          <w:sz w:val="30"/>
          <w:szCs w:val="30"/>
        </w:rPr>
        <w:t>-2</w:t>
      </w:r>
      <w:r>
        <w:rPr>
          <w:rFonts w:hint="eastAsia" w:ascii="仿宋" w:hAnsi="仿宋" w:eastAsia="仿宋" w:cs="Times New Roman"/>
          <w:sz w:val="30"/>
          <w:szCs w:val="30"/>
        </w:rPr>
        <w:t>：</w:t>
      </w:r>
    </w:p>
    <w:p w14:paraId="5977D806">
      <w:pPr>
        <w:snapToGrid w:val="0"/>
        <w:spacing w:before="50" w:after="50"/>
        <w:jc w:val="center"/>
        <w:rPr>
          <w:rFonts w:ascii="仿宋" w:hAnsi="仿宋" w:eastAsia="仿宋" w:cs="Times New Roman"/>
          <w:sz w:val="30"/>
          <w:szCs w:val="30"/>
        </w:rPr>
      </w:pPr>
      <w:r>
        <w:rPr>
          <w:rFonts w:hint="eastAsia" w:ascii="仿宋" w:hAnsi="仿宋" w:eastAsia="仿宋" w:cs="Times New Roman"/>
          <w:b/>
          <w:sz w:val="36"/>
          <w:szCs w:val="36"/>
        </w:rPr>
        <w:t>法定代表人身份证明</w:t>
      </w:r>
    </w:p>
    <w:p w14:paraId="6C333A03">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有效的身份证件扫描件、复印件：</w:t>
      </w:r>
    </w:p>
    <w:p w14:paraId="6E00CEEE">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正面：</w:t>
      </w:r>
    </w:p>
    <w:p w14:paraId="22D9A933">
      <w:pPr>
        <w:snapToGrid w:val="0"/>
        <w:spacing w:before="156" w:beforeLines="50" w:after="50" w:line="460" w:lineRule="exact"/>
        <w:rPr>
          <w:rFonts w:ascii="仿宋" w:hAnsi="仿宋" w:eastAsia="仿宋" w:cs="Times New Roman"/>
          <w:sz w:val="30"/>
          <w:szCs w:val="30"/>
        </w:rPr>
      </w:pPr>
    </w:p>
    <w:p w14:paraId="5812EE04">
      <w:pPr>
        <w:snapToGrid w:val="0"/>
        <w:spacing w:before="156" w:beforeLines="50" w:after="50" w:line="460" w:lineRule="exact"/>
        <w:rPr>
          <w:rFonts w:ascii="仿宋" w:hAnsi="仿宋" w:eastAsia="仿宋" w:cs="Times New Roman"/>
          <w:sz w:val="30"/>
          <w:szCs w:val="30"/>
        </w:rPr>
      </w:pPr>
    </w:p>
    <w:p w14:paraId="33F30CD6">
      <w:pPr>
        <w:snapToGrid w:val="0"/>
        <w:spacing w:before="156" w:beforeLines="50" w:after="50" w:line="460" w:lineRule="exact"/>
        <w:rPr>
          <w:rFonts w:ascii="仿宋" w:hAnsi="仿宋" w:eastAsia="仿宋" w:cs="Times New Roman"/>
          <w:sz w:val="30"/>
          <w:szCs w:val="30"/>
        </w:rPr>
      </w:pPr>
    </w:p>
    <w:p w14:paraId="73973C2C">
      <w:pPr>
        <w:snapToGrid w:val="0"/>
        <w:spacing w:before="156" w:beforeLines="50" w:after="50" w:line="460" w:lineRule="exact"/>
        <w:rPr>
          <w:rFonts w:ascii="仿宋" w:hAnsi="仿宋" w:eastAsia="仿宋" w:cs="Times New Roman"/>
          <w:sz w:val="30"/>
          <w:szCs w:val="30"/>
        </w:rPr>
      </w:pPr>
    </w:p>
    <w:p w14:paraId="58D2F8FB">
      <w:pPr>
        <w:snapToGrid w:val="0"/>
        <w:spacing w:before="156" w:beforeLines="50" w:after="50" w:line="460" w:lineRule="exact"/>
        <w:rPr>
          <w:rFonts w:ascii="仿宋" w:hAnsi="仿宋" w:eastAsia="仿宋" w:cs="Times New Roman"/>
          <w:sz w:val="30"/>
          <w:szCs w:val="30"/>
        </w:rPr>
      </w:pPr>
    </w:p>
    <w:p w14:paraId="6BFE4401">
      <w:pPr>
        <w:snapToGrid w:val="0"/>
        <w:spacing w:before="156" w:beforeLines="50" w:after="50" w:line="460" w:lineRule="exact"/>
        <w:rPr>
          <w:rFonts w:ascii="仿宋" w:hAnsi="仿宋" w:eastAsia="仿宋" w:cs="Times New Roman"/>
          <w:sz w:val="30"/>
          <w:szCs w:val="30"/>
        </w:rPr>
      </w:pPr>
    </w:p>
    <w:p w14:paraId="696E09B7">
      <w:pPr>
        <w:snapToGrid w:val="0"/>
        <w:spacing w:before="156" w:beforeLines="50" w:after="50" w:line="460" w:lineRule="exact"/>
        <w:rPr>
          <w:rFonts w:ascii="仿宋" w:hAnsi="仿宋" w:eastAsia="仿宋" w:cs="Times New Roman"/>
          <w:sz w:val="30"/>
          <w:szCs w:val="30"/>
        </w:rPr>
      </w:pPr>
    </w:p>
    <w:p w14:paraId="44213B65">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反面：</w:t>
      </w:r>
    </w:p>
    <w:p w14:paraId="2332E590">
      <w:pPr>
        <w:widowControl/>
        <w:jc w:val="left"/>
        <w:rPr>
          <w:rFonts w:hAnsi="宋体" w:eastAsia="宋体" w:cs="宋体"/>
          <w:bCs/>
          <w:sz w:val="24"/>
        </w:rPr>
      </w:pPr>
    </w:p>
    <w:p w14:paraId="5D2FC2AC">
      <w:pPr>
        <w:widowControl/>
        <w:jc w:val="left"/>
        <w:rPr>
          <w:rFonts w:hAnsi="宋体" w:eastAsia="宋体" w:cs="宋体"/>
          <w:bCs/>
          <w:sz w:val="24"/>
        </w:rPr>
      </w:pPr>
    </w:p>
    <w:p w14:paraId="22889A8D">
      <w:pPr>
        <w:widowControl/>
        <w:jc w:val="left"/>
        <w:rPr>
          <w:rFonts w:hAnsi="宋体" w:eastAsia="宋体" w:cs="宋体"/>
          <w:bCs/>
          <w:sz w:val="24"/>
        </w:rPr>
      </w:pPr>
    </w:p>
    <w:p w14:paraId="74F3BCC7">
      <w:pPr>
        <w:snapToGrid w:val="0"/>
        <w:spacing w:before="156" w:beforeLines="50" w:after="50" w:line="460" w:lineRule="exact"/>
        <w:rPr>
          <w:rFonts w:ascii="仿宋" w:hAnsi="仿宋" w:eastAsia="仿宋" w:cs="Times New Roman"/>
          <w:sz w:val="30"/>
          <w:szCs w:val="30"/>
        </w:rPr>
      </w:pPr>
    </w:p>
    <w:p w14:paraId="4BE138B3">
      <w:pPr>
        <w:snapToGrid w:val="0"/>
        <w:spacing w:before="156" w:beforeLines="50" w:after="50" w:line="460" w:lineRule="exact"/>
        <w:rPr>
          <w:rFonts w:ascii="仿宋" w:hAnsi="仿宋" w:eastAsia="仿宋" w:cs="Times New Roman"/>
          <w:sz w:val="30"/>
          <w:szCs w:val="30"/>
        </w:rPr>
      </w:pPr>
    </w:p>
    <w:p w14:paraId="32312674">
      <w:pPr>
        <w:widowControl/>
        <w:jc w:val="left"/>
        <w:rPr>
          <w:rFonts w:hAnsi="宋体" w:eastAsia="宋体" w:cs="宋体"/>
          <w:bCs/>
          <w:sz w:val="24"/>
        </w:rPr>
      </w:pPr>
    </w:p>
    <w:p w14:paraId="326AED21">
      <w:pPr>
        <w:widowControl/>
        <w:jc w:val="left"/>
        <w:rPr>
          <w:rFonts w:hAnsi="宋体" w:eastAsia="宋体" w:cs="宋体"/>
          <w:bCs/>
          <w:sz w:val="24"/>
        </w:rPr>
      </w:pPr>
    </w:p>
    <w:p w14:paraId="4242C33D">
      <w:pPr>
        <w:widowControl/>
        <w:jc w:val="left"/>
        <w:rPr>
          <w:rFonts w:hAnsi="宋体" w:eastAsia="宋体" w:cs="宋体"/>
          <w:bCs/>
          <w:sz w:val="24"/>
        </w:rPr>
      </w:pPr>
    </w:p>
    <w:p w14:paraId="4756F986">
      <w:pPr>
        <w:widowControl/>
        <w:jc w:val="left"/>
        <w:rPr>
          <w:rFonts w:hAnsi="宋体" w:eastAsia="宋体" w:cs="宋体"/>
          <w:bCs/>
          <w:sz w:val="24"/>
        </w:rPr>
      </w:pPr>
    </w:p>
    <w:p w14:paraId="2D3C3899">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p>
    <w:p w14:paraId="4150025B">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53FBBF4">
      <w:pPr>
        <w:widowControl/>
        <w:jc w:val="left"/>
        <w:rPr>
          <w:rFonts w:hAnsi="宋体" w:eastAsia="宋体" w:cs="宋体"/>
          <w:bCs/>
          <w:sz w:val="24"/>
        </w:rPr>
      </w:pPr>
    </w:p>
    <w:p w14:paraId="00912F60">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投标人全称（公章）：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567BC75B">
      <w:pPr>
        <w:tabs>
          <w:tab w:val="left" w:pos="606"/>
        </w:tabs>
        <w:spacing w:line="360" w:lineRule="exact"/>
        <w:rPr>
          <w:rFonts w:hint="eastAsia" w:ascii="仿宋" w:hAnsi="仿宋" w:eastAsia="仿宋" w:cs="Times New Roman"/>
          <w:sz w:val="30"/>
          <w:szCs w:val="30"/>
        </w:rPr>
      </w:pPr>
    </w:p>
    <w:p w14:paraId="3AB8AC67">
      <w:pPr>
        <w:tabs>
          <w:tab w:val="left" w:pos="606"/>
        </w:tabs>
        <w:spacing w:line="360" w:lineRule="exact"/>
        <w:rPr>
          <w:rFonts w:hint="eastAsia" w:ascii="仿宋" w:hAnsi="仿宋" w:eastAsia="仿宋" w:cs="Times New Roman"/>
          <w:sz w:val="30"/>
          <w:szCs w:val="30"/>
        </w:rPr>
      </w:pPr>
    </w:p>
    <w:p w14:paraId="4E2AA120">
      <w:pPr>
        <w:tabs>
          <w:tab w:val="left" w:pos="606"/>
        </w:tabs>
        <w:spacing w:line="360" w:lineRule="exact"/>
        <w:rPr>
          <w:rFonts w:ascii="仿宋" w:hAnsi="仿宋" w:eastAsia="仿宋" w:cs="Times New Roman"/>
          <w:spacing w:val="20"/>
          <w:sz w:val="30"/>
          <w:szCs w:val="30"/>
        </w:rPr>
      </w:pPr>
      <w:r>
        <w:rPr>
          <w:rFonts w:hint="eastAsia" w:ascii="仿宋" w:hAnsi="仿宋" w:eastAsia="仿宋" w:cs="Times New Roman"/>
          <w:sz w:val="30"/>
          <w:szCs w:val="30"/>
        </w:rPr>
        <w:t>附件4：</w:t>
      </w:r>
    </w:p>
    <w:p w14:paraId="612F212F">
      <w:pPr>
        <w:widowControl w:val="0"/>
        <w:overflowPunct w:val="0"/>
        <w:ind w:firstLine="0"/>
        <w:jc w:val="center"/>
        <w:rPr>
          <w:rFonts w:ascii="仿宋" w:hAnsi="仿宋" w:eastAsia="仿宋" w:cs="Times New Roman"/>
          <w:b/>
          <w:spacing w:val="40"/>
          <w:kern w:val="0"/>
          <w:sz w:val="30"/>
          <w:szCs w:val="30"/>
          <w:lang w:val="en-US" w:eastAsia="zh-CN" w:bidi="ar-SA"/>
        </w:rPr>
      </w:pPr>
      <w:r>
        <w:rPr>
          <w:rFonts w:hint="eastAsia" w:ascii="仿宋" w:hAnsi="仿宋" w:eastAsia="仿宋" w:cs="Times New Roman"/>
          <w:b/>
          <w:spacing w:val="40"/>
          <w:kern w:val="0"/>
          <w:sz w:val="30"/>
          <w:szCs w:val="30"/>
          <w:lang w:val="en-US" w:eastAsia="zh-CN" w:bidi="ar-SA"/>
        </w:rPr>
        <w:t>联合投标协议书</w:t>
      </w:r>
    </w:p>
    <w:p w14:paraId="24D652BA">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甲方：</w:t>
      </w:r>
    </w:p>
    <w:p w14:paraId="2C0A33D2">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乙方：</w:t>
      </w:r>
    </w:p>
    <w:p w14:paraId="7E5A1E28">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（如果有的话，可按甲、乙、丙、丁…序列增加）</w:t>
      </w:r>
    </w:p>
    <w:p w14:paraId="79F33993">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各方经协商，就响应</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组织实施的编号为</w:t>
      </w:r>
      <w:r>
        <w:rPr>
          <w:rFonts w:hint="eastAsia" w:ascii="仿宋" w:hAnsi="仿宋" w:eastAsia="仿宋" w:cs="Times New Roman"/>
          <w:kern w:val="2"/>
          <w:sz w:val="30"/>
          <w:szCs w:val="30"/>
          <w:u w:val="single"/>
          <w:lang w:val="en-US" w:eastAsia="zh-CN" w:bidi="ar-SA"/>
        </w:rPr>
        <w:t xml:space="preserve"> </w:t>
      </w:r>
      <w:bookmarkStart w:id="39" w:name="PO_3000002632_PM001_1"/>
      <w:r>
        <w:rPr>
          <w:rFonts w:hint="eastAsia" w:ascii="仿宋" w:hAnsi="仿宋" w:eastAsia="仿宋" w:cs="Times New Roman"/>
          <w:b/>
          <w:kern w:val="2"/>
          <w:sz w:val="30"/>
          <w:szCs w:val="30"/>
          <w:u w:val="single"/>
          <w:lang w:val="en-US" w:eastAsia="zh-CN" w:bidi="ar-SA"/>
        </w:rPr>
        <w:t>ZZCG2025X-GK-125</w:t>
      </w:r>
      <w:bookmarkEnd w:id="39"/>
      <w:r>
        <w:rPr>
          <w:rFonts w:hint="eastAsia" w:ascii="仿宋" w:hAnsi="仿宋" w:eastAsia="仿宋" w:cs="Times New Roman"/>
          <w:kern w:val="2"/>
          <w:sz w:val="30"/>
          <w:szCs w:val="30"/>
          <w:lang w:val="en-US" w:eastAsia="zh-CN" w:bidi="ar-SA"/>
        </w:rPr>
        <w:t>的招标活动联合进行投标之事宜，达成如下协议：</w:t>
      </w:r>
    </w:p>
    <w:p w14:paraId="556BC940">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一、各方一致决定，以</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为主办人进行投标，并按照招标文件的规定分别提交联合体各方的资格文件（声明书、营业执照、投标人特定条件）。</w:t>
      </w:r>
    </w:p>
    <w:p w14:paraId="22F71B9D">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44D8AF06">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三、联合投标其余各方保证对主办人为响应本次招标而提供的产品和服务提供全部质量保证及售后服务支持。</w:t>
      </w:r>
    </w:p>
    <w:p w14:paraId="39C9EEA3">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四、本次联合投标中，甲方承担的工作和义务为:</w:t>
      </w:r>
    </w:p>
    <w:p w14:paraId="47066E6D">
      <w:pPr>
        <w:widowControl w:val="0"/>
        <w:overflowPunct w:val="0"/>
        <w:spacing w:line="460" w:lineRule="exact"/>
        <w:ind w:firstLine="642" w:firstLineChars="214"/>
        <w:jc w:val="both"/>
        <w:rPr>
          <w:rFonts w:ascii="仿宋" w:hAnsi="仿宋" w:eastAsia="仿宋" w:cs="Times New Roman"/>
          <w:kern w:val="2"/>
          <w:sz w:val="30"/>
          <w:szCs w:val="30"/>
          <w:u w:val="single"/>
          <w:lang w:val="en-US" w:eastAsia="zh-CN" w:bidi="ar-SA"/>
        </w:rPr>
      </w:pPr>
      <w:r>
        <w:rPr>
          <w:rFonts w:hint="eastAsia" w:ascii="仿宋" w:hAnsi="仿宋" w:eastAsia="仿宋" w:cs="Times New Roman"/>
          <w:kern w:val="2"/>
          <w:sz w:val="30"/>
          <w:szCs w:val="30"/>
          <w:u w:val="single"/>
          <w:lang w:val="en-US" w:eastAsia="zh-CN" w:bidi="ar-SA"/>
        </w:rPr>
        <w:t xml:space="preserve">                                             </w:t>
      </w:r>
    </w:p>
    <w:p w14:paraId="28B16AC6">
      <w:pPr>
        <w:widowControl w:val="0"/>
        <w:overflowPunct w:val="0"/>
        <w:spacing w:line="460" w:lineRule="exact"/>
        <w:ind w:firstLine="642" w:firstLineChars="214"/>
        <w:jc w:val="both"/>
        <w:rPr>
          <w:rFonts w:ascii="仿宋" w:hAnsi="仿宋" w:eastAsia="仿宋" w:cs="Times New Roman"/>
          <w:kern w:val="2"/>
          <w:sz w:val="30"/>
          <w:szCs w:val="30"/>
          <w:u w:val="single"/>
          <w:lang w:val="en-US" w:eastAsia="zh-CN" w:bidi="ar-SA"/>
        </w:rPr>
      </w:pPr>
      <w:r>
        <w:rPr>
          <w:rFonts w:hint="eastAsia" w:ascii="仿宋" w:hAnsi="仿宋" w:eastAsia="仿宋" w:cs="Times New Roman"/>
          <w:kern w:val="2"/>
          <w:sz w:val="30"/>
          <w:szCs w:val="30"/>
          <w:lang w:val="en-US" w:eastAsia="zh-CN" w:bidi="ar-SA"/>
        </w:rPr>
        <w:t>乙方承担的工作和义务为：</w:t>
      </w:r>
      <w:r>
        <w:rPr>
          <w:rFonts w:hint="eastAsia" w:ascii="仿宋" w:hAnsi="仿宋" w:eastAsia="仿宋" w:cs="Times New Roman"/>
          <w:kern w:val="2"/>
          <w:sz w:val="30"/>
          <w:szCs w:val="30"/>
          <w:u w:val="single"/>
          <w:lang w:val="en-US" w:eastAsia="zh-CN" w:bidi="ar-SA"/>
        </w:rPr>
        <w:t xml:space="preserve">                            </w:t>
      </w:r>
    </w:p>
    <w:p w14:paraId="0662F2E7">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（甲方</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）的合同份额占到合同总金额</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%，（乙方</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）的合同份额占到合同总金额</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w:t>
      </w:r>
    </w:p>
    <w:p w14:paraId="2DBD6EEF">
      <w:pPr>
        <w:widowControl w:val="0"/>
        <w:overflowPunct w:val="0"/>
        <w:spacing w:line="460" w:lineRule="exact"/>
        <w:ind w:firstLine="642" w:firstLineChars="214"/>
        <w:jc w:val="both"/>
        <w:rPr>
          <w:rFonts w:ascii="仿宋" w:hAnsi="仿宋" w:eastAsia="仿宋" w:cs="Times New Roman"/>
          <w:kern w:val="2"/>
          <w:sz w:val="30"/>
          <w:szCs w:val="30"/>
          <w:u w:val="single"/>
          <w:lang w:val="en-US" w:eastAsia="zh-CN" w:bidi="ar-SA"/>
        </w:rPr>
      </w:pPr>
      <w:r>
        <w:rPr>
          <w:rFonts w:hint="eastAsia" w:ascii="仿宋" w:hAnsi="仿宋" w:eastAsia="仿宋" w:cs="Times New Roman"/>
          <w:kern w:val="2"/>
          <w:sz w:val="30"/>
          <w:szCs w:val="30"/>
          <w:lang w:val="en-US" w:eastAsia="zh-CN" w:bidi="ar-SA"/>
        </w:rPr>
        <w:t>五、有关本次联合投标的其他事宜：</w:t>
      </w:r>
      <w:r>
        <w:rPr>
          <w:rFonts w:hint="eastAsia" w:ascii="仿宋" w:hAnsi="仿宋" w:eastAsia="仿宋" w:cs="Times New Roman"/>
          <w:kern w:val="2"/>
          <w:sz w:val="30"/>
          <w:szCs w:val="30"/>
          <w:u w:val="single"/>
          <w:lang w:val="en-US" w:eastAsia="zh-CN" w:bidi="ar-SA"/>
        </w:rPr>
        <w:t xml:space="preserve">             </w:t>
      </w:r>
    </w:p>
    <w:p w14:paraId="46A31886">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六、本协议提交招标方后，联合投标各方不得以任何形式对上述实质内容进行修改或撤销。</w:t>
      </w:r>
    </w:p>
    <w:p w14:paraId="17968C69">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14:paraId="5ABF45FB">
        <w:tblPrEx>
          <w:tblCellMar>
            <w:top w:w="0" w:type="dxa"/>
            <w:left w:w="108" w:type="dxa"/>
            <w:bottom w:w="0" w:type="dxa"/>
            <w:right w:w="108" w:type="dxa"/>
          </w:tblCellMar>
        </w:tblPrEx>
        <w:trPr>
          <w:jc w:val="center"/>
        </w:trPr>
        <w:tc>
          <w:tcPr>
            <w:tcW w:w="4264" w:type="dxa"/>
          </w:tcPr>
          <w:p w14:paraId="7081F2FD">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甲方单位：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27FFDE80">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5BD05180">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c>
          <w:tcPr>
            <w:tcW w:w="4264" w:type="dxa"/>
          </w:tcPr>
          <w:p w14:paraId="35739435">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乙方单位：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6A4E62CF">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38A4FB25">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r>
    </w:tbl>
    <w:p w14:paraId="2F91B090">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0"/>
          <w:sz w:val="30"/>
          <w:szCs w:val="30"/>
          <w:lang w:val="en-US" w:eastAsia="zh-CN" w:bidi="ar-SA"/>
        </w:rPr>
        <w:br w:type="page"/>
      </w:r>
      <w:r>
        <w:rPr>
          <w:rFonts w:hint="eastAsia" w:ascii="仿宋" w:hAnsi="仿宋" w:eastAsia="仿宋" w:cs="Times New Roman"/>
          <w:kern w:val="2"/>
          <w:sz w:val="30"/>
          <w:szCs w:val="30"/>
          <w:lang w:val="en-US" w:eastAsia="zh-CN" w:bidi="ar-SA"/>
        </w:rPr>
        <w:t>附件5：</w:t>
      </w:r>
    </w:p>
    <w:p w14:paraId="7FB5EE3E">
      <w:pPr>
        <w:widowControl w:val="0"/>
        <w:overflowPunct w:val="0"/>
        <w:spacing w:line="460" w:lineRule="exact"/>
        <w:ind w:firstLine="420"/>
        <w:jc w:val="center"/>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联合投标授权委托书</w:t>
      </w:r>
    </w:p>
    <w:p w14:paraId="65AF7FB4">
      <w:pPr>
        <w:widowControl w:val="0"/>
        <w:overflowPunct w:val="0"/>
        <w:spacing w:line="460" w:lineRule="exact"/>
        <w:ind w:firstLine="420"/>
        <w:jc w:val="both"/>
        <w:rPr>
          <w:rFonts w:ascii="仿宋" w:hAnsi="仿宋" w:eastAsia="仿宋" w:cs="Times New Roman"/>
          <w:kern w:val="2"/>
          <w:sz w:val="30"/>
          <w:szCs w:val="30"/>
          <w:lang w:val="en-US" w:eastAsia="zh-CN" w:bidi="ar-SA"/>
        </w:rPr>
      </w:pPr>
    </w:p>
    <w:p w14:paraId="7831EB64">
      <w:pPr>
        <w:widowControl w:val="0"/>
        <w:overflowPunct w:val="0"/>
        <w:spacing w:line="460" w:lineRule="exact"/>
        <w:ind w:firstLine="42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 xml:space="preserve"> 本授权委托书声明：根据</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与</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签订的《联合投标协议书》的内容，现授权</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为联合投标授权代表，授权代表在投标、开标、评标、签约过程中所签署的一切文件和处理与这有关的一切事务， 联合投标各方均予以认可并遵守。</w:t>
      </w:r>
    </w:p>
    <w:p w14:paraId="4F2CEA21">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在撤销授权的书面通知以前，本授权书一直有效。授权代表在授权书有效期内签署的所有文件不因授权的撤销而失效。</w:t>
      </w:r>
    </w:p>
    <w:p w14:paraId="654DCDEB">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授权代表无转委托权，特此委托。</w:t>
      </w:r>
    </w:p>
    <w:p w14:paraId="473C0008">
      <w:pPr>
        <w:widowControl w:val="0"/>
        <w:overflowPunct w:val="0"/>
        <w:spacing w:line="460" w:lineRule="exact"/>
        <w:ind w:firstLine="420"/>
        <w:jc w:val="both"/>
        <w:rPr>
          <w:rFonts w:ascii="仿宋" w:hAnsi="仿宋" w:eastAsia="仿宋" w:cs="Times New Roman"/>
          <w:kern w:val="2"/>
          <w:sz w:val="30"/>
          <w:szCs w:val="30"/>
          <w:lang w:val="en-US" w:eastAsia="zh-CN" w:bidi="ar-SA"/>
        </w:rPr>
      </w:pPr>
    </w:p>
    <w:p w14:paraId="1BC1CF8A">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71043119">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p>
    <w:p w14:paraId="6687CACE">
      <w:pPr>
        <w:tabs>
          <w:tab w:val="left" w:pos="606"/>
        </w:tabs>
        <w:spacing w:line="460" w:lineRule="exact"/>
        <w:rPr>
          <w:rFonts w:ascii="仿宋" w:hAnsi="仿宋" w:eastAsia="仿宋" w:cs="Times New Roman"/>
          <w:spacing w:val="20"/>
          <w:sz w:val="30"/>
          <w:szCs w:val="30"/>
        </w:rPr>
      </w:pPr>
    </w:p>
    <w:p w14:paraId="4D738E32">
      <w:pPr>
        <w:tabs>
          <w:tab w:val="left" w:pos="606"/>
        </w:tabs>
        <w:spacing w:line="460" w:lineRule="exact"/>
        <w:rPr>
          <w:rFonts w:ascii="仿宋" w:hAnsi="仿宋" w:eastAsia="仿宋" w:cs="Times New Roman"/>
          <w:spacing w:val="20"/>
          <w:sz w:val="30"/>
          <w:szCs w:val="30"/>
        </w:rPr>
      </w:pPr>
    </w:p>
    <w:tbl>
      <w:tblPr>
        <w:tblStyle w:val="60"/>
        <w:tblW w:w="8530" w:type="dxa"/>
        <w:jc w:val="center"/>
        <w:tblLayout w:type="fixed"/>
        <w:tblCellMar>
          <w:top w:w="0" w:type="dxa"/>
          <w:left w:w="108" w:type="dxa"/>
          <w:bottom w:w="0" w:type="dxa"/>
          <w:right w:w="108" w:type="dxa"/>
        </w:tblCellMar>
      </w:tblPr>
      <w:tblGrid>
        <w:gridCol w:w="4265"/>
        <w:gridCol w:w="4265"/>
      </w:tblGrid>
      <w:tr w14:paraId="600C032F">
        <w:tblPrEx>
          <w:tblCellMar>
            <w:top w:w="0" w:type="dxa"/>
            <w:left w:w="108" w:type="dxa"/>
            <w:bottom w:w="0" w:type="dxa"/>
            <w:right w:w="108" w:type="dxa"/>
          </w:tblCellMar>
        </w:tblPrEx>
        <w:trPr>
          <w:jc w:val="center"/>
        </w:trPr>
        <w:tc>
          <w:tcPr>
            <w:tcW w:w="4264" w:type="dxa"/>
          </w:tcPr>
          <w:p w14:paraId="68E7DFC2">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466AC921">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1FE1881B">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联合体甲方单位：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30FB1F6A">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2E654CDF">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5A18956E">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408FBEE3">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1B2D00CD">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1AC45526">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c>
          <w:tcPr>
            <w:tcW w:w="4264" w:type="dxa"/>
          </w:tcPr>
          <w:p w14:paraId="7ED98C75">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544B7D2A">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40CE92D9">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联合体乙方单位：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760B8B13">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21D8E2CC">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3AEBAEAF">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5ACB26B4">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74154427">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7FFBE77F">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r>
    </w:tbl>
    <w:p w14:paraId="04A94BC8">
      <w:pPr>
        <w:snapToGrid w:val="0"/>
        <w:spacing w:line="360" w:lineRule="auto"/>
        <w:rPr>
          <w:rFonts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附件6：</w:t>
      </w:r>
    </w:p>
    <w:p w14:paraId="0A15129A">
      <w:pPr>
        <w:spacing w:line="588"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分包意向协议</w:t>
      </w:r>
    </w:p>
    <w:p w14:paraId="2ACF3111">
      <w:pPr>
        <w:widowControl w:val="0"/>
        <w:spacing w:before="156" w:after="156" w:line="400" w:lineRule="exact"/>
        <w:ind w:left="420" w:leftChars="200" w:firstLine="420" w:firstLineChars="200"/>
        <w:jc w:val="both"/>
        <w:rPr>
          <w:rFonts w:ascii="Times New Roman" w:hAnsi="Times New Roman" w:eastAsia="宋体" w:cs="Times New Roman"/>
          <w:spacing w:val="0"/>
          <w:kern w:val="2"/>
          <w:sz w:val="21"/>
          <w:szCs w:val="20"/>
          <w:lang w:val="en-US" w:eastAsia="zh-CN" w:bidi="ar-SA"/>
        </w:rPr>
      </w:pPr>
    </w:p>
    <w:p w14:paraId="53DFDE11">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w:t>
      </w:r>
      <w:r>
        <w:rPr>
          <w:rFonts w:hint="eastAsia" w:ascii="仿宋" w:hAnsi="仿宋" w:eastAsia="仿宋" w:cs="Times New Roman"/>
          <w:sz w:val="28"/>
          <w:szCs w:val="28"/>
          <w:lang w:val="zh-CN"/>
        </w:rPr>
        <w:t>若成为</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项目名称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招标编号：   </w:t>
      </w:r>
      <w:r>
        <w:rPr>
          <w:rFonts w:hint="eastAsia" w:ascii="仿宋" w:hAnsi="仿宋" w:eastAsia="仿宋" w:cs="Times New Roman"/>
          <w:sz w:val="28"/>
          <w:szCs w:val="28"/>
        </w:rPr>
        <w:t>）</w:t>
      </w:r>
      <w:r>
        <w:rPr>
          <w:rFonts w:hint="eastAsia" w:ascii="仿宋" w:hAnsi="仿宋" w:eastAsia="仿宋" w:cs="Times New Roman"/>
          <w:sz w:val="28"/>
          <w:szCs w:val="28"/>
          <w:lang w:val="zh-CN"/>
        </w:rPr>
        <w:t>的中标供应商，将依法采取分包方式履行合同。</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）与（</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）达成分包意向协议</w:t>
      </w:r>
      <w:r>
        <w:rPr>
          <w:rFonts w:hint="eastAsia" w:ascii="仿宋" w:hAnsi="仿宋" w:eastAsia="仿宋" w:cs="Times New Roman"/>
          <w:sz w:val="28"/>
          <w:szCs w:val="28"/>
          <w:lang w:val="zh-CN"/>
        </w:rPr>
        <w:t xml:space="preserve">。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）负责签署投标文件，（</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）的所有承诺均认为代表了（</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）意愿。</w:t>
      </w:r>
    </w:p>
    <w:p w14:paraId="585E47E9">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一、分包内容在</w:t>
      </w:r>
      <w:r>
        <w:rPr>
          <w:rFonts w:hint="eastAsia" w:ascii="仿宋" w:hAnsi="仿宋" w:eastAsia="仿宋" w:cs="Times New Roman"/>
          <w:sz w:val="28"/>
          <w:szCs w:val="28"/>
          <w:lang w:val="en-US" w:eastAsia="zh-CN"/>
        </w:rPr>
        <w:t>招标</w:t>
      </w:r>
      <w:r>
        <w:rPr>
          <w:rFonts w:hint="eastAsia" w:ascii="仿宋" w:hAnsi="仿宋" w:eastAsia="仿宋" w:cs="Times New Roman"/>
          <w:sz w:val="28"/>
          <w:szCs w:val="28"/>
          <w:lang w:val="zh-CN"/>
        </w:rPr>
        <w:t>文件分包要求的范围内，并符合相关法律规定等</w:t>
      </w:r>
    </w:p>
    <w:p w14:paraId="5F111344">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二、分包标的及数量</w:t>
      </w:r>
    </w:p>
    <w:p w14:paraId="7241446A">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w:t>
      </w:r>
      <w:r>
        <w:rPr>
          <w:rFonts w:hint="eastAsia" w:ascii="仿宋" w:hAnsi="仿宋" w:eastAsia="仿宋" w:cs="Times New Roman"/>
          <w:sz w:val="28"/>
          <w:szCs w:val="28"/>
          <w:lang w:val="zh-CN"/>
        </w:rPr>
        <w:t>将</w:t>
      </w:r>
      <w:r>
        <w:rPr>
          <w:rFonts w:hint="eastAsia" w:ascii="仿宋" w:hAnsi="仿宋" w:eastAsia="仿宋" w:cs="Times New Roman"/>
          <w:sz w:val="28"/>
          <w:szCs w:val="28"/>
          <w:u w:val="single"/>
        </w:rPr>
        <w:t xml:space="preserve">   工作内容   </w:t>
      </w:r>
      <w:r>
        <w:rPr>
          <w:rFonts w:hint="eastAsia" w:ascii="仿宋" w:hAnsi="仿宋" w:eastAsia="仿宋" w:cs="Times New Roman"/>
          <w:sz w:val="28"/>
          <w:szCs w:val="28"/>
        </w:rPr>
        <w:t>分包给（</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具备承</w:t>
      </w:r>
      <w:r>
        <w:rPr>
          <w:rFonts w:hint="eastAsia" w:ascii="仿宋" w:hAnsi="仿宋" w:eastAsia="仿宋" w:cs="Times New Roman"/>
          <w:sz w:val="28"/>
          <w:szCs w:val="28"/>
        </w:rPr>
        <w:t>担</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zh-CN"/>
        </w:rPr>
        <w:t xml:space="preserve">工作内容  </w:t>
      </w:r>
      <w:r>
        <w:rPr>
          <w:rFonts w:hint="eastAsia" w:ascii="仿宋" w:hAnsi="仿宋" w:eastAsia="仿宋" w:cs="Times New Roman"/>
          <w:sz w:val="28"/>
          <w:szCs w:val="28"/>
          <w:lang w:val="zh-CN"/>
        </w:rPr>
        <w:t>相应资质条件且不得再次分包；</w:t>
      </w:r>
    </w:p>
    <w:p w14:paraId="466EAD5B">
      <w:pPr>
        <w:snapToGrid w:val="0"/>
        <w:spacing w:line="360" w:lineRule="exact"/>
        <w:ind w:firstLine="840" w:firstLineChars="300"/>
        <w:rPr>
          <w:rFonts w:ascii="仿宋" w:hAnsi="仿宋" w:eastAsia="仿宋" w:cs="Times New Roman"/>
          <w:sz w:val="28"/>
          <w:szCs w:val="28"/>
        </w:rPr>
      </w:pPr>
      <w:r>
        <w:rPr>
          <w:rFonts w:hint="eastAsia" w:ascii="仿宋" w:hAnsi="仿宋" w:eastAsia="仿宋" w:cs="Times New Roman"/>
          <w:sz w:val="28"/>
          <w:szCs w:val="28"/>
        </w:rPr>
        <w:t>……</w:t>
      </w:r>
    </w:p>
    <w:p w14:paraId="4D9596D7">
      <w:pPr>
        <w:snapToGrid w:val="0"/>
        <w:spacing w:line="360" w:lineRule="exact"/>
        <w:ind w:left="840"/>
        <w:rPr>
          <w:rFonts w:ascii="仿宋" w:hAnsi="仿宋" w:eastAsia="仿宋" w:cs="Times New Roman"/>
          <w:sz w:val="28"/>
          <w:szCs w:val="28"/>
        </w:rPr>
      </w:pPr>
      <w:r>
        <w:rPr>
          <w:rFonts w:hint="eastAsia" w:ascii="仿宋" w:hAnsi="仿宋" w:eastAsia="仿宋" w:cs="Times New Roman"/>
          <w:sz w:val="28"/>
          <w:szCs w:val="28"/>
          <w:lang w:val="zh-CN"/>
        </w:rPr>
        <w:t>三、分包工作履行期限、地点、方式</w:t>
      </w:r>
      <w:r>
        <w:rPr>
          <w:rFonts w:hint="eastAsia" w:ascii="仿宋" w:hAnsi="仿宋" w:eastAsia="仿宋" w:cs="Times New Roman"/>
          <w:sz w:val="28"/>
          <w:szCs w:val="28"/>
        </w:rPr>
        <w:t xml:space="preserve"> </w:t>
      </w:r>
    </w:p>
    <w:p w14:paraId="5CB9228D">
      <w:pPr>
        <w:snapToGrid w:val="0"/>
        <w:spacing w:line="360" w:lineRule="exact"/>
        <w:rPr>
          <w:rFonts w:ascii="仿宋" w:hAnsi="仿宋" w:eastAsia="仿宋" w:cs="Times New Roman"/>
          <w:sz w:val="28"/>
          <w:szCs w:val="28"/>
          <w:u w:val="single"/>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28ECCF07">
      <w:pPr>
        <w:snapToGrid w:val="0"/>
        <w:spacing w:line="360" w:lineRule="exact"/>
        <w:ind w:left="840"/>
        <w:rPr>
          <w:rFonts w:ascii="仿宋" w:hAnsi="仿宋" w:eastAsia="仿宋" w:cs="Times New Roman"/>
          <w:sz w:val="28"/>
          <w:szCs w:val="28"/>
          <w:lang w:val="zh-CN"/>
        </w:rPr>
      </w:pPr>
      <w:r>
        <w:rPr>
          <w:rFonts w:hint="eastAsia" w:ascii="仿宋" w:hAnsi="仿宋" w:eastAsia="仿宋" w:cs="Times New Roman"/>
          <w:sz w:val="28"/>
          <w:szCs w:val="28"/>
          <w:lang w:val="zh-CN"/>
        </w:rPr>
        <w:t xml:space="preserve">四、质量 </w:t>
      </w:r>
    </w:p>
    <w:p w14:paraId="2977CAD8">
      <w:pPr>
        <w:snapToGrid w:val="0"/>
        <w:spacing w:line="360" w:lineRule="exact"/>
        <w:ind w:left="630" w:leftChars="300"/>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05880A74">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五、价款或者报酬</w:t>
      </w:r>
    </w:p>
    <w:p w14:paraId="053EA51D">
      <w:pPr>
        <w:snapToGrid w:val="0"/>
        <w:spacing w:line="360" w:lineRule="exact"/>
        <w:ind w:firstLine="840" w:firstLineChars="300"/>
        <w:rPr>
          <w:rFonts w:ascii="仿宋" w:hAnsi="仿宋" w:eastAsia="仿宋" w:cs="Times New Roman"/>
          <w:sz w:val="28"/>
          <w:szCs w:val="28"/>
          <w:u w:val="single"/>
          <w:lang w:val="zh-CN"/>
        </w:rPr>
      </w:pPr>
      <w:r>
        <w:rPr>
          <w:rFonts w:hint="eastAsia" w:ascii="仿宋" w:hAnsi="仿宋" w:eastAsia="仿宋" w:cs="Times New Roman"/>
          <w:sz w:val="28"/>
          <w:szCs w:val="28"/>
          <w:u w:val="single"/>
        </w:rPr>
        <w:t xml:space="preserve">                                                                                     </w:t>
      </w:r>
    </w:p>
    <w:p w14:paraId="1AB0F2C0">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六、违约责任</w:t>
      </w:r>
    </w:p>
    <w:p w14:paraId="49860681">
      <w:pPr>
        <w:snapToGrid w:val="0"/>
        <w:spacing w:line="360" w:lineRule="exact"/>
        <w:ind w:firstLine="840" w:firstLineChars="300"/>
        <w:rPr>
          <w:rFonts w:ascii="仿宋" w:hAnsi="仿宋" w:eastAsia="仿宋" w:cs="Times New Roman"/>
          <w:sz w:val="28"/>
          <w:szCs w:val="28"/>
          <w:u w:val="single"/>
          <w:lang w:val="zh-CN"/>
        </w:rPr>
      </w:pPr>
      <w:r>
        <w:rPr>
          <w:rFonts w:hint="eastAsia" w:ascii="仿宋" w:hAnsi="仿宋" w:eastAsia="仿宋" w:cs="Times New Roman"/>
          <w:sz w:val="28"/>
          <w:szCs w:val="28"/>
          <w:u w:val="single"/>
        </w:rPr>
        <w:t xml:space="preserve">                                                                                     </w:t>
      </w:r>
    </w:p>
    <w:p w14:paraId="7FCF9C91">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 xml:space="preserve">七、争议解决的办法 </w:t>
      </w:r>
    </w:p>
    <w:p w14:paraId="2898027D">
      <w:pPr>
        <w:snapToGrid w:val="0"/>
        <w:spacing w:line="360" w:lineRule="exact"/>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1706D620">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八、其他</w:t>
      </w:r>
    </w:p>
    <w:p w14:paraId="7B0FE452">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（分包供应商名称</w:t>
      </w:r>
      <w:r>
        <w:rPr>
          <w:rFonts w:hint="eastAsia" w:ascii="仿宋" w:hAnsi="仿宋" w:eastAsia="仿宋" w:cs="Times New Roman"/>
          <w:sz w:val="28"/>
          <w:szCs w:val="28"/>
          <w:u w:val="single"/>
          <w:lang w:val="zh-CN"/>
        </w:rPr>
        <w:t xml:space="preserve">       </w:t>
      </w:r>
      <w:r>
        <w:rPr>
          <w:rFonts w:hint="eastAsia" w:ascii="仿宋" w:hAnsi="仿宋" w:eastAsia="仿宋" w:cs="Times New Roman"/>
          <w:sz w:val="28"/>
          <w:szCs w:val="28"/>
          <w:lang w:val="zh-CN"/>
        </w:rPr>
        <w:t>）的合同份额占到合同总金额</w:t>
      </w:r>
      <w:r>
        <w:rPr>
          <w:rFonts w:hint="eastAsia" w:ascii="仿宋" w:hAnsi="仿宋" w:eastAsia="仿宋" w:cs="Times New Roman"/>
          <w:sz w:val="28"/>
          <w:szCs w:val="28"/>
          <w:u w:val="single"/>
          <w:lang w:val="zh-CN"/>
        </w:rPr>
        <w:t xml:space="preserve">     </w:t>
      </w:r>
      <w:r>
        <w:rPr>
          <w:rFonts w:hint="eastAsia" w:ascii="仿宋" w:hAnsi="仿宋" w:eastAsia="仿宋" w:cs="Times New Roman"/>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D5E7898">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 xml:space="preserve">   </w:t>
      </w:r>
    </w:p>
    <w:p w14:paraId="4EE177F0">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投标人名称</w:t>
      </w:r>
      <w:r>
        <w:rPr>
          <w:rFonts w:hint="eastAsia" w:ascii="仿宋" w:hAnsi="仿宋" w:eastAsia="仿宋" w:cs="Times New Roman"/>
          <w:sz w:val="28"/>
          <w:szCs w:val="28"/>
          <w:lang w:val="zh-CN"/>
        </w:rPr>
        <w:t>(</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725A32AF">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分包供应商名称（</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4E653621">
      <w:pPr>
        <w:snapToGrid w:val="0"/>
        <w:spacing w:line="360" w:lineRule="exact"/>
        <w:ind w:firstLine="840" w:firstLineChars="300"/>
        <w:rPr>
          <w:rFonts w:ascii="仿宋" w:hAnsi="仿宋" w:eastAsia="仿宋" w:cs="Times New Roman"/>
          <w:sz w:val="28"/>
          <w:szCs w:val="28"/>
        </w:rPr>
      </w:pPr>
      <w:r>
        <w:rPr>
          <w:rFonts w:hint="eastAsia" w:ascii="仿宋" w:hAnsi="仿宋" w:eastAsia="仿宋" w:cs="Times New Roman"/>
          <w:sz w:val="28"/>
          <w:szCs w:val="28"/>
          <w:lang w:val="zh-CN"/>
        </w:rPr>
        <w:t>……</w:t>
      </w:r>
    </w:p>
    <w:p w14:paraId="4E550087">
      <w:pPr>
        <w:snapToGrid w:val="0"/>
        <w:spacing w:line="400" w:lineRule="exact"/>
        <w:ind w:firstLine="840" w:firstLineChars="300"/>
        <w:rPr>
          <w:rFonts w:eastAsia="宋体" w:cs="Times New Roman"/>
        </w:rPr>
      </w:pPr>
      <w:r>
        <w:rPr>
          <w:rFonts w:hint="eastAsia" w:ascii="仿宋" w:hAnsi="仿宋" w:eastAsia="仿宋" w:cs="Times New Roman"/>
          <w:sz w:val="28"/>
          <w:szCs w:val="28"/>
          <w:lang w:val="zh-CN"/>
        </w:rPr>
        <w:t xml:space="preserve">                                 日期：</w:t>
      </w:r>
      <w:r>
        <w:rPr>
          <w:rFonts w:hint="eastAsia" w:ascii="仿宋" w:hAnsi="仿宋" w:eastAsia="仿宋" w:cs="Times New Roman"/>
          <w:sz w:val="28"/>
          <w:szCs w:val="28"/>
          <w:u w:val="single"/>
          <w:lang w:val="zh-CN"/>
        </w:rPr>
        <w:t xml:space="preserve">  年  月   日</w:t>
      </w:r>
    </w:p>
    <w:p w14:paraId="0ED70A18">
      <w:pPr>
        <w:snapToGrid w:val="0"/>
        <w:spacing w:before="50" w:after="50"/>
        <w:jc w:val="left"/>
        <w:rPr>
          <w:rFonts w:ascii="仿宋" w:hAnsi="仿宋" w:eastAsia="仿宋" w:cs="Times New Roman"/>
          <w:sz w:val="30"/>
          <w:szCs w:val="30"/>
        </w:rPr>
      </w:pPr>
      <w:r>
        <w:rPr>
          <w:rFonts w:hint="eastAsia" w:ascii="仿宋" w:hAnsi="仿宋" w:eastAsia="仿宋" w:cs="Times New Roman"/>
          <w:sz w:val="30"/>
          <w:szCs w:val="30"/>
        </w:rPr>
        <w:t>附件7：</w:t>
      </w:r>
    </w:p>
    <w:p w14:paraId="757B1CD9">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中小企业声明函（货物）</w:t>
      </w:r>
    </w:p>
    <w:p w14:paraId="15DE268A">
      <w:pPr>
        <w:snapToGrid w:val="0"/>
        <w:spacing w:line="360" w:lineRule="auto"/>
        <w:rPr>
          <w:rFonts w:ascii="仿宋" w:hAnsi="仿宋" w:eastAsia="仿宋" w:cs="Times New Roman"/>
          <w:sz w:val="28"/>
          <w:szCs w:val="28"/>
        </w:rPr>
      </w:pPr>
    </w:p>
    <w:p w14:paraId="0491772D">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采购活动，提供的货物全部由符合政策要求的中小企业制造。相关企业 （含联合体中的中小企业、签订分包意向协议的中小企业） 的具体情况如下： </w:t>
      </w:r>
    </w:p>
    <w:p w14:paraId="4119A657">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，属于</w:t>
      </w:r>
      <w:r>
        <w:rPr>
          <w:rFonts w:hint="eastAsia" w:ascii="仿宋" w:hAnsi="仿宋" w:eastAsia="仿宋" w:cs="Times New Roman"/>
          <w:sz w:val="28"/>
          <w:szCs w:val="28"/>
          <w:u w:val="single"/>
        </w:rPr>
        <w:t>（采购文件中明确的所属行业） 行业</w:t>
      </w:r>
      <w:r>
        <w:rPr>
          <w:rFonts w:hint="eastAsia" w:ascii="仿宋" w:hAnsi="仿宋" w:eastAsia="仿宋" w:cs="Times New Roman"/>
          <w:sz w:val="28"/>
          <w:szCs w:val="28"/>
        </w:rPr>
        <w:t>；制造商为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6EF800D6">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 xml:space="preserve">采购文件中明确的所属行业） </w:t>
      </w:r>
      <w:r>
        <w:rPr>
          <w:rFonts w:hint="eastAsia" w:ascii="仿宋" w:hAnsi="仿宋" w:eastAsia="仿宋" w:cs="Times New Roman"/>
          <w:sz w:val="28"/>
          <w:szCs w:val="28"/>
        </w:rPr>
        <w:t>行业；制造商为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w:t>
      </w:r>
    </w:p>
    <w:p w14:paraId="608486B7">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 ……</w:t>
      </w:r>
    </w:p>
    <w:p w14:paraId="3B709A3A">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以上企业，不属于大企业的分支机构，不存在控股股东为大企业的情形，也不存在与大企业的负责人为同一人的情形。 </w:t>
      </w:r>
    </w:p>
    <w:p w14:paraId="18D724CF">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本企业对上述声明内容的真实性负责。如有虚假，将依法承担相应责任。</w:t>
      </w:r>
    </w:p>
    <w:p w14:paraId="3A495B05">
      <w:pPr>
        <w:snapToGrid w:val="0"/>
        <w:spacing w:line="360" w:lineRule="auto"/>
        <w:ind w:left="3640" w:firstLine="560" w:firstLineChars="200"/>
        <w:jc w:val="left"/>
        <w:rPr>
          <w:rFonts w:ascii="仿宋" w:hAnsi="仿宋" w:eastAsia="仿宋" w:cs="Times New Roman"/>
          <w:sz w:val="28"/>
          <w:szCs w:val="28"/>
          <w:u w:val="single"/>
        </w:rPr>
      </w:pPr>
      <w:r>
        <w:rPr>
          <w:rFonts w:hint="eastAsia" w:ascii="仿宋" w:hAnsi="仿宋" w:eastAsia="仿宋" w:cs="Times New Roman"/>
          <w:sz w:val="28"/>
          <w:szCs w:val="28"/>
        </w:rPr>
        <w:t>投标人名称（盖章）：</w:t>
      </w:r>
      <w:r>
        <w:rPr>
          <w:rFonts w:hint="eastAsia" w:ascii="仿宋" w:hAnsi="仿宋" w:eastAsia="仿宋" w:cs="Times New Roman"/>
          <w:sz w:val="28"/>
          <w:szCs w:val="28"/>
          <w:u w:val="single"/>
        </w:rPr>
        <w:t xml:space="preserve">         </w:t>
      </w:r>
    </w:p>
    <w:p w14:paraId="78EE1F42">
      <w:pPr>
        <w:wordWrap w:val="0"/>
        <w:snapToGrid w:val="0"/>
        <w:spacing w:line="360" w:lineRule="auto"/>
        <w:ind w:right="1120"/>
        <w:jc w:val="right"/>
        <w:rPr>
          <w:rFonts w:ascii="仿宋" w:hAnsi="仿宋" w:eastAsia="仿宋" w:cs="Times New Roman"/>
          <w:sz w:val="28"/>
          <w:szCs w:val="28"/>
          <w:u w:val="single"/>
        </w:rPr>
      </w:pPr>
      <w:r>
        <w:rPr>
          <w:rFonts w:hint="eastAsia" w:ascii="仿宋" w:hAnsi="仿宋" w:eastAsia="仿宋" w:cs="Times New Roman"/>
          <w:sz w:val="28"/>
          <w:szCs w:val="28"/>
        </w:rPr>
        <w:t>日  期：</w:t>
      </w:r>
      <w:r>
        <w:rPr>
          <w:rFonts w:hint="eastAsia" w:ascii="仿宋" w:hAnsi="仿宋" w:eastAsia="仿宋" w:cs="Times New Roman"/>
          <w:sz w:val="28"/>
          <w:szCs w:val="28"/>
          <w:u w:val="single"/>
        </w:rPr>
        <w:t xml:space="preserve">            </w:t>
      </w:r>
    </w:p>
    <w:p w14:paraId="2DB27EF6">
      <w:pPr>
        <w:widowControl w:val="0"/>
        <w:spacing w:before="156" w:beforeLines="50" w:after="156" w:afterLines="50" w:line="360" w:lineRule="auto"/>
        <w:jc w:val="both"/>
        <w:rPr>
          <w:rFonts w:ascii="Times New Roman" w:hAnsi="Times New Roman" w:eastAsia="宋体" w:cs="Times New Roman"/>
          <w:b/>
          <w:kern w:val="2"/>
          <w:sz w:val="24"/>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2003E767">
      <w:pPr>
        <w:snapToGrid w:val="0"/>
        <w:spacing w:line="360" w:lineRule="auto"/>
        <w:jc w:val="right"/>
        <w:rPr>
          <w:rFonts w:ascii="仿宋" w:hAnsi="仿宋" w:eastAsia="仿宋" w:cs="Times New Roman"/>
          <w:sz w:val="28"/>
          <w:szCs w:val="28"/>
        </w:rPr>
      </w:pPr>
    </w:p>
    <w:p w14:paraId="5A0F1C51">
      <w:pPr>
        <w:widowControl/>
        <w:jc w:val="left"/>
        <w:rPr>
          <w:rFonts w:ascii="仿宋" w:hAnsi="仿宋" w:eastAsia="仿宋" w:cs="Times New Roman"/>
          <w:b/>
          <w:sz w:val="36"/>
          <w:szCs w:val="36"/>
        </w:rPr>
      </w:pPr>
      <w:r>
        <w:rPr>
          <w:rFonts w:hint="eastAsia" w:ascii="仿宋" w:hAnsi="仿宋" w:eastAsia="仿宋" w:cs="Times New Roman"/>
          <w:b/>
          <w:kern w:val="0"/>
          <w:sz w:val="36"/>
          <w:szCs w:val="36"/>
        </w:rPr>
        <w:br w:type="page"/>
      </w:r>
    </w:p>
    <w:p w14:paraId="0456772F">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中小企业声明函（工程、服务）</w:t>
      </w:r>
    </w:p>
    <w:p w14:paraId="26409E24">
      <w:pPr>
        <w:snapToGrid w:val="0"/>
        <w:spacing w:line="312" w:lineRule="auto"/>
        <w:ind w:firstLine="560" w:firstLineChars="200"/>
        <w:rPr>
          <w:rFonts w:ascii="仿宋" w:hAnsi="仿宋" w:eastAsia="仿宋" w:cs="Times New Roman"/>
          <w:sz w:val="28"/>
          <w:szCs w:val="28"/>
        </w:rPr>
      </w:pPr>
    </w:p>
    <w:p w14:paraId="5E6B5B22">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14954630">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，属于</w:t>
      </w:r>
      <w:r>
        <w:rPr>
          <w:rFonts w:hint="eastAsia" w:ascii="仿宋" w:hAnsi="仿宋" w:eastAsia="仿宋" w:cs="Times New Roman"/>
          <w:sz w:val="28"/>
          <w:szCs w:val="28"/>
          <w:u w:val="single"/>
        </w:rPr>
        <w:t>（采购文件中明确的所属行业）</w:t>
      </w:r>
      <w:r>
        <w:rPr>
          <w:rFonts w:hint="eastAsia" w:ascii="仿宋" w:hAnsi="仿宋" w:eastAsia="仿宋" w:cs="Times New Roman"/>
          <w:sz w:val="28"/>
          <w:szCs w:val="28"/>
        </w:rPr>
        <w:t>； 承建（承接）企业为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3D428E71">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（采购文件中明确的所属行业）</w:t>
      </w:r>
      <w:r>
        <w:rPr>
          <w:rFonts w:hint="eastAsia" w:ascii="仿宋" w:hAnsi="仿宋" w:eastAsia="仿宋" w:cs="Times New Roman"/>
          <w:sz w:val="28"/>
          <w:szCs w:val="28"/>
        </w:rPr>
        <w:t>；承建（承接）企业为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32727C82">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 </w:t>
      </w:r>
    </w:p>
    <w:p w14:paraId="3BB1AD55">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以上企业，不属于大企业的分支机构，不存在控股股东为大企业的情形，也不存在与大企业的负责人为同一人的情形。</w:t>
      </w:r>
    </w:p>
    <w:p w14:paraId="320C2EE2">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本企业对上述声明内容的真实性负责。如有虚假，将依法承担相应责任。 </w:t>
      </w:r>
    </w:p>
    <w:p w14:paraId="6598B9FF">
      <w:pPr>
        <w:snapToGrid w:val="0"/>
        <w:spacing w:line="312" w:lineRule="auto"/>
        <w:ind w:firstLine="4620" w:firstLineChars="1650"/>
        <w:rPr>
          <w:rFonts w:ascii="仿宋" w:hAnsi="仿宋" w:eastAsia="仿宋" w:cs="Times New Roman"/>
          <w:sz w:val="28"/>
          <w:szCs w:val="28"/>
        </w:rPr>
      </w:pPr>
      <w:r>
        <w:rPr>
          <w:rFonts w:hint="eastAsia" w:ascii="仿宋" w:hAnsi="仿宋" w:eastAsia="仿宋" w:cs="Times New Roman"/>
          <w:sz w:val="28"/>
          <w:szCs w:val="28"/>
        </w:rPr>
        <w:t>投标人名称（盖章）：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w:t>
      </w:r>
    </w:p>
    <w:p w14:paraId="767D7276">
      <w:pPr>
        <w:snapToGrid w:val="0"/>
        <w:spacing w:line="312" w:lineRule="auto"/>
        <w:ind w:firstLine="4620" w:firstLineChars="1650"/>
        <w:rPr>
          <w:rFonts w:ascii="仿宋" w:hAnsi="仿宋" w:eastAsia="仿宋" w:cs="Times New Roman"/>
          <w:sz w:val="28"/>
          <w:szCs w:val="28"/>
          <w:u w:val="single"/>
        </w:rPr>
      </w:pPr>
      <w:r>
        <w:rPr>
          <w:rFonts w:hint="eastAsia" w:ascii="仿宋" w:hAnsi="仿宋" w:eastAsia="仿宋" w:cs="Times New Roman"/>
          <w:sz w:val="28"/>
          <w:szCs w:val="28"/>
        </w:rPr>
        <w:t>日 期：</w:t>
      </w:r>
      <w:r>
        <w:rPr>
          <w:rFonts w:hint="eastAsia" w:ascii="仿宋" w:hAnsi="仿宋" w:eastAsia="仿宋" w:cs="Times New Roman"/>
          <w:sz w:val="28"/>
          <w:szCs w:val="28"/>
          <w:u w:val="single"/>
        </w:rPr>
        <w:t xml:space="preserve">           </w:t>
      </w:r>
    </w:p>
    <w:p w14:paraId="0C799C68">
      <w:pPr>
        <w:widowControl w:val="0"/>
        <w:spacing w:before="156" w:beforeLines="50" w:after="156" w:afterLines="50" w:line="360" w:lineRule="auto"/>
        <w:jc w:val="both"/>
        <w:rPr>
          <w:rFonts w:ascii="Times New Roman" w:hAnsi="Times New Roman" w:eastAsia="宋体" w:cs="Times New Roman"/>
          <w:b/>
          <w:kern w:val="2"/>
          <w:sz w:val="24"/>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0D1801F2">
      <w:pPr>
        <w:widowControl/>
        <w:jc w:val="left"/>
        <w:rPr>
          <w:rFonts w:ascii="仿宋" w:hAnsi="仿宋" w:eastAsia="仿宋" w:cs="Times New Roman"/>
          <w:sz w:val="28"/>
          <w:szCs w:val="28"/>
        </w:rPr>
      </w:pPr>
      <w:r>
        <w:rPr>
          <w:rFonts w:ascii="仿宋" w:hAnsi="仿宋" w:eastAsia="仿宋" w:cs="Times New Roman"/>
          <w:sz w:val="28"/>
          <w:szCs w:val="28"/>
        </w:rPr>
        <w:br w:type="page"/>
      </w:r>
    </w:p>
    <w:p w14:paraId="06260E5C">
      <w:pPr>
        <w:widowControl/>
        <w:jc w:val="left"/>
        <w:rPr>
          <w:rFonts w:ascii="仿宋" w:hAnsi="仿宋" w:eastAsia="仿宋"/>
          <w:sz w:val="28"/>
          <w:szCs w:val="28"/>
        </w:rPr>
        <w:sectPr>
          <w:footerReference r:id="rId4" w:type="default"/>
          <w:pgSz w:w="11906" w:h="16838"/>
          <w:pgMar w:top="1440" w:right="1800" w:bottom="1440" w:left="1800" w:header="851" w:footer="992" w:gutter="0"/>
          <w:pgNumType w:fmt="decimal"/>
          <w:cols w:space="425" w:num="1"/>
          <w:docGrid w:type="lines" w:linePitch="312" w:charSpace="0"/>
        </w:sectPr>
      </w:pPr>
    </w:p>
    <w:p w14:paraId="1CCDCA71">
      <w:pPr>
        <w:jc w:val="left"/>
        <w:rPr>
          <w:rFonts w:ascii="仿宋" w:hAnsi="仿宋" w:eastAsia="仿宋" w:cs="Times New Roman"/>
        </w:rPr>
      </w:pPr>
      <w:r>
        <w:rPr>
          <w:rFonts w:hint="eastAsia" w:ascii="仿宋" w:hAnsi="仿宋" w:eastAsia="仿宋" w:cs="Times New Roman"/>
          <w:sz w:val="30"/>
          <w:szCs w:val="30"/>
        </w:rPr>
        <w:t>附件8：</w:t>
      </w:r>
    </w:p>
    <w:p w14:paraId="454FB968">
      <w:pPr>
        <w:rPr>
          <w:rFonts w:ascii="仿宋" w:hAnsi="仿宋" w:eastAsia="仿宋" w:cs="Times New Roman"/>
        </w:rPr>
      </w:pPr>
    </w:p>
    <w:p w14:paraId="4187AE39">
      <w:pPr>
        <w:spacing w:line="588"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残疾人福利性单位声明函</w:t>
      </w:r>
    </w:p>
    <w:p w14:paraId="2ED3F5DB">
      <w:pPr>
        <w:spacing w:line="588" w:lineRule="exact"/>
        <w:rPr>
          <w:rFonts w:ascii="仿宋_GB2312" w:eastAsia="仿宋_GB2312" w:cs="Times New Roman"/>
          <w:b/>
          <w:spacing w:val="6"/>
          <w:sz w:val="30"/>
          <w:szCs w:val="30"/>
        </w:rPr>
      </w:pPr>
    </w:p>
    <w:p w14:paraId="328DD849">
      <w:pPr>
        <w:snapToGrid w:val="0"/>
        <w:spacing w:line="360" w:lineRule="auto"/>
        <w:ind w:firstLine="840" w:firstLineChars="300"/>
        <w:rPr>
          <w:rFonts w:ascii="仿宋" w:hAnsi="仿宋" w:eastAsia="仿宋" w:cs="Times New Roman"/>
          <w:sz w:val="28"/>
          <w:szCs w:val="28"/>
        </w:rPr>
      </w:pPr>
      <w:r>
        <w:rPr>
          <w:rFonts w:hint="eastAsia" w:ascii="仿宋" w:hAnsi="仿宋" w:eastAsia="仿宋" w:cs="Times New Roman"/>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077C7D">
      <w:pPr>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本单位对上述声明的真实性负责。如有虚假，将依法承担相应责任。</w:t>
      </w:r>
    </w:p>
    <w:p w14:paraId="538568E7">
      <w:pPr>
        <w:snapToGrid w:val="0"/>
        <w:spacing w:line="360" w:lineRule="auto"/>
        <w:ind w:firstLine="560" w:firstLineChars="200"/>
        <w:rPr>
          <w:rFonts w:ascii="仿宋" w:hAnsi="仿宋" w:eastAsia="仿宋" w:cs="Times New Roman"/>
          <w:sz w:val="28"/>
          <w:szCs w:val="28"/>
        </w:rPr>
      </w:pPr>
    </w:p>
    <w:p w14:paraId="098E0737">
      <w:pPr>
        <w:spacing w:line="588" w:lineRule="exact"/>
        <w:ind w:firstLine="624" w:firstLineChars="200"/>
        <w:rPr>
          <w:rFonts w:ascii="仿宋_GB2312" w:eastAsia="仿宋_GB2312" w:cs="Times New Roman"/>
          <w:spacing w:val="6"/>
          <w:sz w:val="30"/>
          <w:szCs w:val="30"/>
        </w:rPr>
      </w:pPr>
    </w:p>
    <w:p w14:paraId="043EBF72">
      <w:pPr>
        <w:wordWrap w:val="0"/>
        <w:snapToGrid w:val="0"/>
        <w:spacing w:line="360" w:lineRule="auto"/>
        <w:ind w:firstLine="560" w:firstLineChars="200"/>
        <w:jc w:val="right"/>
        <w:rPr>
          <w:rFonts w:ascii="仿宋" w:hAnsi="仿宋" w:eastAsia="仿宋" w:cs="Times New Roman"/>
          <w:sz w:val="28"/>
          <w:szCs w:val="28"/>
          <w:u w:val="single"/>
        </w:rPr>
      </w:pPr>
      <w:r>
        <w:rPr>
          <w:rFonts w:hint="eastAsia" w:ascii="仿宋" w:hAnsi="仿宋" w:eastAsia="仿宋" w:cs="Times New Roman"/>
          <w:sz w:val="28"/>
          <w:szCs w:val="28"/>
        </w:rPr>
        <w:t xml:space="preserve">      投标人名称（盖章）：</w:t>
      </w:r>
      <w:r>
        <w:rPr>
          <w:rFonts w:hint="eastAsia" w:ascii="仿宋" w:hAnsi="仿宋" w:eastAsia="仿宋" w:cs="Times New Roman"/>
          <w:sz w:val="28"/>
          <w:szCs w:val="28"/>
          <w:u w:val="single"/>
        </w:rPr>
        <w:t xml:space="preserve">        </w:t>
      </w:r>
    </w:p>
    <w:p w14:paraId="0FB43041">
      <w:pPr>
        <w:wordWrap w:val="0"/>
        <w:snapToGrid w:val="0"/>
        <w:spacing w:line="360" w:lineRule="auto"/>
        <w:ind w:firstLine="560" w:firstLineChars="200"/>
        <w:jc w:val="right"/>
        <w:rPr>
          <w:rFonts w:ascii="仿宋" w:hAnsi="仿宋" w:eastAsia="仿宋" w:cs="Times New Roman"/>
          <w:sz w:val="28"/>
          <w:szCs w:val="28"/>
          <w:u w:val="single"/>
        </w:rPr>
      </w:pPr>
      <w:r>
        <w:rPr>
          <w:rFonts w:hint="eastAsia" w:ascii="仿宋" w:hAnsi="仿宋" w:eastAsia="仿宋" w:cs="Times New Roman"/>
          <w:sz w:val="28"/>
          <w:szCs w:val="28"/>
        </w:rPr>
        <w:t xml:space="preserve">       日  期：</w:t>
      </w:r>
      <w:r>
        <w:rPr>
          <w:rFonts w:hint="eastAsia" w:ascii="仿宋" w:hAnsi="仿宋" w:eastAsia="仿宋" w:cs="Times New Roman"/>
          <w:sz w:val="28"/>
          <w:szCs w:val="28"/>
          <w:u w:val="single"/>
        </w:rPr>
        <w:t xml:space="preserve">       </w:t>
      </w:r>
    </w:p>
    <w:p w14:paraId="4792CB56">
      <w:pPr>
        <w:wordWrap w:val="0"/>
        <w:snapToGrid w:val="0"/>
        <w:spacing w:line="360" w:lineRule="auto"/>
        <w:ind w:firstLine="560" w:firstLineChars="200"/>
        <w:jc w:val="right"/>
        <w:rPr>
          <w:rFonts w:ascii="仿宋" w:hAnsi="仿宋" w:eastAsia="仿宋" w:cs="Times New Roman"/>
          <w:color w:val="000000"/>
          <w:sz w:val="28"/>
          <w:szCs w:val="28"/>
          <w:u w:val="single"/>
        </w:rPr>
      </w:pPr>
    </w:p>
    <w:p w14:paraId="2AA767BC">
      <w:pPr>
        <w:rPr>
          <w:rFonts w:eastAsia="宋体" w:cs="Times New Roman"/>
          <w:color w:val="000000"/>
        </w:rPr>
      </w:pPr>
    </w:p>
    <w:p w14:paraId="3669542B">
      <w:pPr>
        <w:rPr>
          <w:rFonts w:eastAsia="宋体" w:cs="Times New Roman"/>
          <w:color w:val="000000"/>
        </w:rPr>
      </w:pPr>
    </w:p>
    <w:p w14:paraId="6EB79FF7">
      <w:pPr>
        <w:widowControl/>
        <w:jc w:val="left"/>
        <w:rPr>
          <w:rFonts w:ascii="仿宋" w:hAnsi="仿宋" w:eastAsia="仿宋" w:cs="Times New Roman"/>
          <w:color w:val="000000"/>
          <w:sz w:val="30"/>
          <w:szCs w:val="30"/>
        </w:rPr>
      </w:pPr>
    </w:p>
    <w:p w14:paraId="40625851">
      <w:pPr>
        <w:widowControl/>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p>
    <w:p w14:paraId="1E706A62">
      <w:pPr>
        <w:snapToGrid w:val="0"/>
        <w:spacing w:before="120" w:beforeLines="50" w:after="50"/>
        <w:rPr>
          <w:rFonts w:ascii="仿宋" w:hAnsi="仿宋" w:eastAsia="仿宋" w:cs="Times New Roman"/>
          <w:b/>
          <w:color w:val="000000"/>
          <w:sz w:val="30"/>
          <w:szCs w:val="30"/>
        </w:rPr>
      </w:pPr>
      <w:r>
        <w:rPr>
          <w:rFonts w:hint="eastAsia" w:ascii="仿宋" w:hAnsi="仿宋" w:eastAsia="仿宋" w:cs="Times New Roman"/>
          <w:color w:val="000000"/>
          <w:sz w:val="30"/>
          <w:szCs w:val="30"/>
        </w:rPr>
        <w:t>附件9</w:t>
      </w:r>
      <w:r>
        <w:rPr>
          <w:rFonts w:hint="eastAsia" w:ascii="仿宋" w:hAnsi="仿宋" w:eastAsia="仿宋" w:cs="Times New Roman"/>
          <w:b/>
          <w:color w:val="000000"/>
          <w:sz w:val="30"/>
          <w:szCs w:val="30"/>
        </w:rPr>
        <w:t xml:space="preserve">：                                     </w:t>
      </w:r>
    </w:p>
    <w:p w14:paraId="35968537">
      <w:pPr>
        <w:spacing w:before="240" w:beforeLines="100" w:line="240" w:lineRule="atLeast"/>
        <w:jc w:val="center"/>
        <w:rPr>
          <w:rFonts w:hint="eastAsia" w:ascii="仿宋" w:hAnsi="仿宋" w:eastAsia="仿宋" w:cs="Times New Roman"/>
          <w:b/>
          <w:color w:val="000000"/>
          <w:spacing w:val="40"/>
          <w:sz w:val="52"/>
          <w:szCs w:val="52"/>
          <w:lang w:eastAsia="zh-CN"/>
        </w:rPr>
      </w:pPr>
      <w:bookmarkStart w:id="40" w:name="PO_1000000445_PM002"/>
      <w:r>
        <w:rPr>
          <w:rFonts w:hint="eastAsia" w:ascii="仿宋" w:hAnsi="仿宋" w:eastAsia="仿宋" w:cs="Times New Roman"/>
          <w:b/>
          <w:color w:val="000000"/>
          <w:spacing w:val="40"/>
          <w:sz w:val="52"/>
          <w:szCs w:val="52"/>
          <w:lang w:eastAsia="zh-CN"/>
        </w:rPr>
        <w:t>浙江科技大学“浙科智学”数字化教学综合平台</w:t>
      </w:r>
      <w:bookmarkEnd w:id="40"/>
    </w:p>
    <w:p w14:paraId="2848D139">
      <w:pPr>
        <w:spacing w:before="240" w:beforeLines="100" w:line="240" w:lineRule="atLeast"/>
        <w:jc w:val="center"/>
        <w:rPr>
          <w:rFonts w:ascii="仿宋" w:hAnsi="仿宋" w:eastAsia="仿宋" w:cs="Times New Roman"/>
          <w:color w:val="000000"/>
          <w:sz w:val="36"/>
          <w:szCs w:val="36"/>
        </w:rPr>
      </w:pPr>
      <w:r>
        <w:rPr>
          <w:rFonts w:hint="eastAsia" w:ascii="仿宋" w:hAnsi="仿宋" w:eastAsia="仿宋" w:cs="Times New Roman"/>
          <w:color w:val="000000"/>
          <w:sz w:val="36"/>
          <w:szCs w:val="36"/>
        </w:rPr>
        <w:t>项目编号：</w:t>
      </w:r>
      <w:bookmarkStart w:id="41" w:name="PO_15528_PM001_4"/>
      <w:r>
        <w:rPr>
          <w:rFonts w:hint="eastAsia" w:ascii="仿宋" w:hAnsi="仿宋" w:eastAsia="仿宋" w:cs="Times New Roman"/>
          <w:color w:val="000000"/>
          <w:sz w:val="36"/>
          <w:szCs w:val="36"/>
          <w:lang w:eastAsia="zh-CN"/>
        </w:rPr>
        <w:t>ZZCG2025X-GK-125</w:t>
      </w:r>
      <w:bookmarkEnd w:id="41"/>
      <w:r>
        <w:rPr>
          <w:rFonts w:hint="eastAsia" w:ascii="仿宋" w:hAnsi="仿宋" w:eastAsia="仿宋" w:cs="Times New Roman"/>
          <w:color w:val="000000"/>
          <w:sz w:val="36"/>
          <w:szCs w:val="36"/>
        </w:rPr>
        <w:t>（标项  ）</w:t>
      </w:r>
    </w:p>
    <w:p w14:paraId="6B8BADA4">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技</w:t>
      </w:r>
    </w:p>
    <w:p w14:paraId="35AFE1CD">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术</w:t>
      </w:r>
    </w:p>
    <w:p w14:paraId="10D1515B">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及</w:t>
      </w:r>
    </w:p>
    <w:p w14:paraId="1E19A60B">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商</w:t>
      </w:r>
    </w:p>
    <w:p w14:paraId="0765062F">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务</w:t>
      </w:r>
    </w:p>
    <w:p w14:paraId="2C62B84A">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文</w:t>
      </w:r>
    </w:p>
    <w:p w14:paraId="7A35DBDC">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件</w:t>
      </w:r>
    </w:p>
    <w:p w14:paraId="1CE4E4DF">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投标人全称：</w:t>
      </w:r>
    </w:p>
    <w:p w14:paraId="0BD17759">
      <w:pPr>
        <w:spacing w:line="6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地    址：</w:t>
      </w:r>
    </w:p>
    <w:p w14:paraId="52E111F1">
      <w:pPr>
        <w:spacing w:line="6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时    间：</w:t>
      </w:r>
    </w:p>
    <w:p w14:paraId="0E75C702">
      <w:pPr>
        <w:snapToGrid w:val="0"/>
        <w:spacing w:before="50" w:after="50"/>
        <w:rPr>
          <w:rFonts w:ascii="仿宋" w:hAnsi="仿宋" w:eastAsia="仿宋" w:cs="Times New Roman"/>
          <w:color w:val="000000"/>
          <w:sz w:val="30"/>
          <w:szCs w:val="30"/>
        </w:rPr>
      </w:pPr>
    </w:p>
    <w:p w14:paraId="7E7370F3">
      <w:pPr>
        <w:snapToGrid w:val="0"/>
        <w:spacing w:before="50" w:after="50"/>
        <w:rPr>
          <w:rFonts w:ascii="仿宋" w:hAnsi="仿宋" w:eastAsia="仿宋" w:cs="Times New Roman"/>
          <w:color w:val="000000"/>
          <w:sz w:val="30"/>
          <w:szCs w:val="30"/>
        </w:rPr>
      </w:pPr>
    </w:p>
    <w:p w14:paraId="51299EDE">
      <w:pPr>
        <w:snapToGrid w:val="0"/>
        <w:spacing w:before="50" w:after="50"/>
        <w:rPr>
          <w:rFonts w:ascii="仿宋" w:hAnsi="仿宋" w:eastAsia="仿宋" w:cs="Times New Roman"/>
          <w:b/>
          <w:bCs/>
          <w:color w:val="000000"/>
          <w:sz w:val="36"/>
          <w:szCs w:val="36"/>
        </w:rPr>
      </w:pPr>
      <w:r>
        <w:rPr>
          <w:rFonts w:hint="eastAsia" w:ascii="仿宋" w:hAnsi="仿宋" w:eastAsia="仿宋" w:cs="Times New Roman"/>
          <w:color w:val="000000"/>
          <w:kern w:val="0"/>
          <w:sz w:val="36"/>
          <w:szCs w:val="36"/>
        </w:rPr>
        <w:br w:type="page"/>
      </w:r>
      <w:r>
        <w:rPr>
          <w:rFonts w:hint="eastAsia" w:ascii="仿宋" w:hAnsi="仿宋" w:eastAsia="仿宋" w:cs="Times New Roman"/>
          <w:color w:val="000000"/>
          <w:sz w:val="36"/>
          <w:szCs w:val="36"/>
        </w:rPr>
        <w:t>2</w:t>
      </w:r>
      <w:r>
        <w:rPr>
          <w:rFonts w:hint="eastAsia" w:ascii="仿宋" w:hAnsi="仿宋" w:eastAsia="仿宋" w:cs="Times New Roman"/>
          <w:color w:val="000000"/>
          <w:sz w:val="36"/>
          <w:szCs w:val="36"/>
          <w:lang w:val="en-US" w:eastAsia="zh-CN"/>
        </w:rPr>
        <w:t>.</w:t>
      </w:r>
      <w:r>
        <w:rPr>
          <w:rFonts w:hint="eastAsia" w:ascii="仿宋" w:hAnsi="仿宋" w:eastAsia="仿宋" w:cs="Times New Roman"/>
          <w:b/>
          <w:bCs/>
          <w:color w:val="000000"/>
          <w:sz w:val="36"/>
          <w:szCs w:val="36"/>
        </w:rPr>
        <w:t>技术及商务文件目录</w:t>
      </w:r>
    </w:p>
    <w:p w14:paraId="5C498320">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（1）评分对应表（格式见附件，主要用于评委对应评分内容）</w:t>
      </w:r>
    </w:p>
    <w:p w14:paraId="375CCF31">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（2）投标项目明细清单（含货物、服务等）；</w:t>
      </w:r>
    </w:p>
    <w:p w14:paraId="22FBB490">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（3）技术响应表（格式见附件）；</w:t>
      </w:r>
    </w:p>
    <w:p w14:paraId="261D0DF2">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（4）项目总体解决方案（可包含且不限于对项目总体要求的理解、项目总体架构及技术解决方案等）；</w:t>
      </w:r>
    </w:p>
    <w:p w14:paraId="322C9CE1">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（5）项目实施计划（可包含且不限于保证工期的施工组织方案及人力资源安排、项目组人员清单等）；</w:t>
      </w:r>
    </w:p>
    <w:p w14:paraId="0A02D07E">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（6）列入政府采购节能环保清单的证明资料（若有）；</w:t>
      </w:r>
    </w:p>
    <w:p w14:paraId="450AA159">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（7）商务响应表（格式见附件）；</w:t>
      </w:r>
    </w:p>
    <w:p w14:paraId="6BE869B6">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（8）售后服务计划（可包含且不限于对用户故障的响应、处理、定期巡检、备品备件、常用耗材提供、驻点人员情况等）；</w:t>
      </w:r>
    </w:p>
    <w:p w14:paraId="09FF19BD">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（9）技术培训计划（若有）；</w:t>
      </w:r>
    </w:p>
    <w:p w14:paraId="3B2BC7D9">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（10）投标人履约能力（可包含且不限于技术力量情况、投标人各项能力证书）；</w:t>
      </w:r>
    </w:p>
    <w:p w14:paraId="7A69DC0C">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（11）案例的业绩证明（投标人业绩情况一览表、合同复印件等）；</w:t>
      </w:r>
    </w:p>
    <w:p w14:paraId="578A0A9F">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（12）投标人认为需要的其他文件资料。</w:t>
      </w:r>
    </w:p>
    <w:p w14:paraId="5CEF6C01">
      <w:pPr>
        <w:snapToGrid w:val="0"/>
        <w:spacing w:before="50" w:after="120" w:afterLines="50"/>
        <w:jc w:val="left"/>
        <w:rPr>
          <w:rFonts w:ascii="仿宋" w:hAnsi="仿宋" w:eastAsia="仿宋" w:cs="Times New Roman"/>
          <w:color w:val="000000"/>
          <w:sz w:val="30"/>
          <w:szCs w:val="30"/>
        </w:rPr>
      </w:pPr>
    </w:p>
    <w:p w14:paraId="162D8129">
      <w:pPr>
        <w:snapToGrid w:val="0"/>
        <w:spacing w:before="50"/>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附件10：</w:t>
      </w:r>
    </w:p>
    <w:p w14:paraId="18236F09">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评分对应表</w:t>
      </w:r>
    </w:p>
    <w:p w14:paraId="135962FD">
      <w:pPr>
        <w:snapToGrid w:val="0"/>
        <w:spacing w:before="50"/>
        <w:jc w:val="center"/>
        <w:rPr>
          <w:rFonts w:ascii="仿宋" w:hAnsi="仿宋" w:eastAsia="仿宋" w:cs="Times New Roman"/>
          <w:b/>
          <w:color w:val="000000"/>
          <w:sz w:val="32"/>
          <w:szCs w:val="32"/>
        </w:rPr>
      </w:pPr>
    </w:p>
    <w:p w14:paraId="28C11741">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60"/>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7BEA5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1BE5A140">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D00FD74">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D3659EF">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投标文件页码</w:t>
            </w:r>
          </w:p>
        </w:tc>
      </w:tr>
      <w:tr w14:paraId="6A35A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342DA1E">
            <w:pPr>
              <w:snapToGrid w:val="0"/>
              <w:rPr>
                <w:rFonts w:ascii="仿宋" w:hAnsi="仿宋" w:eastAsia="仿宋" w:cs="Times New Roman"/>
                <w:color w:val="000000"/>
                <w:sz w:val="30"/>
                <w:szCs w:val="30"/>
              </w:rPr>
            </w:pPr>
            <w:r>
              <w:rPr>
                <w:rFonts w:hint="eastAsia" w:ascii="仿宋" w:hAnsi="仿宋" w:eastAsia="仿宋" w:cs="Times New Roman"/>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47D616F3">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AD5D822">
            <w:pPr>
              <w:snapToGrid w:val="0"/>
              <w:spacing w:before="120" w:beforeLines="50"/>
              <w:rPr>
                <w:rFonts w:ascii="仿宋" w:hAnsi="仿宋" w:eastAsia="仿宋" w:cs="Times New Roman"/>
                <w:color w:val="000000"/>
                <w:sz w:val="30"/>
                <w:szCs w:val="30"/>
              </w:rPr>
            </w:pPr>
          </w:p>
        </w:tc>
      </w:tr>
      <w:tr w14:paraId="03C72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A1CF97">
            <w:pPr>
              <w:snapToGrid w:val="0"/>
              <w:rPr>
                <w:rFonts w:ascii="仿宋" w:hAnsi="仿宋" w:eastAsia="仿宋" w:cs="Times New Roman"/>
                <w:color w:val="000000"/>
                <w:sz w:val="30"/>
                <w:szCs w:val="30"/>
              </w:rPr>
            </w:pPr>
            <w:r>
              <w:rPr>
                <w:rFonts w:hint="eastAsia" w:ascii="仿宋" w:hAnsi="仿宋" w:eastAsia="仿宋" w:cs="Times New Roman"/>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50DC8401">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CDCD883">
            <w:pPr>
              <w:snapToGrid w:val="0"/>
              <w:spacing w:before="120" w:beforeLines="50"/>
              <w:ind w:left="43"/>
              <w:rPr>
                <w:rFonts w:ascii="仿宋" w:hAnsi="仿宋" w:eastAsia="仿宋" w:cs="Times New Roman"/>
                <w:color w:val="000000"/>
                <w:sz w:val="30"/>
                <w:szCs w:val="30"/>
              </w:rPr>
            </w:pPr>
          </w:p>
        </w:tc>
      </w:tr>
      <w:tr w14:paraId="311A6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CF2E0A2">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12BC0F5">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B4622C8">
            <w:pPr>
              <w:snapToGrid w:val="0"/>
              <w:spacing w:before="120" w:beforeLines="50"/>
              <w:ind w:left="43"/>
              <w:rPr>
                <w:rFonts w:ascii="仿宋" w:hAnsi="仿宋" w:eastAsia="仿宋" w:cs="Times New Roman"/>
                <w:color w:val="000000"/>
                <w:sz w:val="30"/>
                <w:szCs w:val="30"/>
              </w:rPr>
            </w:pPr>
          </w:p>
        </w:tc>
      </w:tr>
      <w:tr w14:paraId="606B1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5794286">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7B57469">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B158D64">
            <w:pPr>
              <w:snapToGrid w:val="0"/>
              <w:spacing w:before="120" w:beforeLines="50"/>
              <w:ind w:left="43"/>
              <w:rPr>
                <w:rFonts w:ascii="仿宋" w:hAnsi="仿宋" w:eastAsia="仿宋" w:cs="Times New Roman"/>
                <w:color w:val="000000"/>
                <w:sz w:val="30"/>
                <w:szCs w:val="30"/>
              </w:rPr>
            </w:pPr>
          </w:p>
        </w:tc>
      </w:tr>
      <w:tr w14:paraId="5DE65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6BD9376">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2216A40">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85304AB">
            <w:pPr>
              <w:snapToGrid w:val="0"/>
              <w:spacing w:before="120" w:beforeLines="50"/>
              <w:rPr>
                <w:rFonts w:ascii="仿宋" w:hAnsi="仿宋" w:eastAsia="仿宋" w:cs="Times New Roman"/>
                <w:color w:val="000000"/>
                <w:sz w:val="30"/>
                <w:szCs w:val="30"/>
              </w:rPr>
            </w:pPr>
          </w:p>
        </w:tc>
      </w:tr>
      <w:tr w14:paraId="09A9D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8F8C383">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BEB5E0E">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54C6D8D">
            <w:pPr>
              <w:snapToGrid w:val="0"/>
              <w:spacing w:before="120" w:beforeLines="50"/>
              <w:rPr>
                <w:rFonts w:ascii="仿宋" w:hAnsi="仿宋" w:eastAsia="仿宋" w:cs="Times New Roman"/>
                <w:color w:val="000000"/>
                <w:sz w:val="30"/>
                <w:szCs w:val="30"/>
              </w:rPr>
            </w:pPr>
          </w:p>
        </w:tc>
      </w:tr>
      <w:tr w14:paraId="3A7A1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8CBBDF9">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2215BDE">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1DD5094">
            <w:pPr>
              <w:snapToGrid w:val="0"/>
              <w:spacing w:before="120" w:beforeLines="50"/>
              <w:rPr>
                <w:rFonts w:ascii="仿宋" w:hAnsi="仿宋" w:eastAsia="仿宋" w:cs="Times New Roman"/>
                <w:color w:val="000000"/>
                <w:sz w:val="30"/>
                <w:szCs w:val="30"/>
              </w:rPr>
            </w:pPr>
          </w:p>
        </w:tc>
      </w:tr>
      <w:tr w14:paraId="40945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D66BE86">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DF43DAD">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622040B">
            <w:pPr>
              <w:snapToGrid w:val="0"/>
              <w:spacing w:before="120" w:beforeLines="50"/>
              <w:rPr>
                <w:rFonts w:ascii="仿宋" w:hAnsi="仿宋" w:eastAsia="仿宋" w:cs="Times New Roman"/>
                <w:color w:val="000000"/>
                <w:sz w:val="30"/>
                <w:szCs w:val="30"/>
              </w:rPr>
            </w:pPr>
          </w:p>
        </w:tc>
      </w:tr>
      <w:tr w14:paraId="15115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4A6E8A8">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1CEF734">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E0D52E7">
            <w:pPr>
              <w:snapToGrid w:val="0"/>
              <w:spacing w:before="120" w:beforeLines="50"/>
              <w:rPr>
                <w:rFonts w:ascii="仿宋" w:hAnsi="仿宋" w:eastAsia="仿宋" w:cs="Times New Roman"/>
                <w:color w:val="000000"/>
                <w:sz w:val="30"/>
                <w:szCs w:val="30"/>
              </w:rPr>
            </w:pPr>
          </w:p>
        </w:tc>
      </w:tr>
    </w:tbl>
    <w:p w14:paraId="64FA48EB">
      <w:pPr>
        <w:snapToGrid w:val="0"/>
        <w:spacing w:before="120" w:beforeLines="5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授权代表签名：               日期：</w:t>
      </w:r>
    </w:p>
    <w:p w14:paraId="4761CB6D">
      <w:pPr>
        <w:snapToGrid w:val="0"/>
        <w:spacing w:before="50" w:after="120" w:afterLines="50"/>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附件11：</w:t>
      </w:r>
    </w:p>
    <w:p w14:paraId="4EC8566A">
      <w:pPr>
        <w:snapToGrid w:val="0"/>
        <w:spacing w:before="50" w:after="120" w:afterLines="50"/>
        <w:jc w:val="center"/>
        <w:rPr>
          <w:rFonts w:ascii="仿宋" w:hAnsi="仿宋" w:eastAsia="仿宋" w:cs="Times New Roman"/>
          <w:b/>
          <w:color w:val="000000"/>
          <w:spacing w:val="40"/>
          <w:kern w:val="0"/>
          <w:sz w:val="36"/>
          <w:szCs w:val="36"/>
        </w:rPr>
      </w:pPr>
      <w:r>
        <w:rPr>
          <w:rFonts w:hint="eastAsia" w:ascii="仿宋" w:hAnsi="仿宋" w:eastAsia="仿宋" w:cs="Times New Roman"/>
          <w:b/>
          <w:color w:val="000000"/>
          <w:spacing w:val="40"/>
          <w:kern w:val="0"/>
          <w:sz w:val="36"/>
          <w:szCs w:val="36"/>
        </w:rPr>
        <w:t>投标项目明细清单</w:t>
      </w:r>
    </w:p>
    <w:p w14:paraId="201A4660">
      <w:pPr>
        <w:snapToGrid w:val="0"/>
        <w:spacing w:before="50" w:after="120" w:afterLines="50"/>
        <w:rPr>
          <w:rFonts w:ascii="仿宋" w:hAnsi="仿宋" w:eastAsia="仿宋" w:cs="Times New Roman"/>
          <w:b/>
          <w:color w:val="000000"/>
          <w:spacing w:val="40"/>
          <w:kern w:val="0"/>
          <w:sz w:val="36"/>
          <w:szCs w:val="36"/>
        </w:rPr>
      </w:pPr>
    </w:p>
    <w:p w14:paraId="3D5CEB56">
      <w:pPr>
        <w:widowControl w:val="0"/>
        <w:snapToGrid w:val="0"/>
        <w:spacing w:before="152" w:after="160"/>
        <w:jc w:val="both"/>
        <w:rPr>
          <w:rFonts w:ascii="仿宋" w:hAnsi="仿宋" w:eastAsia="仿宋" w:cs="Times New Roman"/>
          <w:color w:val="000000"/>
          <w:kern w:val="0"/>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p w14:paraId="6F5EC8A6">
      <w:pPr>
        <w:widowControl w:val="0"/>
        <w:snapToGrid w:val="0"/>
        <w:spacing w:before="152" w:after="16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货物类</w:t>
      </w:r>
    </w:p>
    <w:tbl>
      <w:tblPr>
        <w:tblStyle w:val="6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57E5C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E718A5">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F1149DD">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23C5E88">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03AC539">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规格</w:t>
            </w:r>
          </w:p>
          <w:p w14:paraId="6B8555E6">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69AFF41">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单位及</w:t>
            </w:r>
          </w:p>
          <w:p w14:paraId="3ACB7EBC">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13F58ACD">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B58EDE8">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产地</w:t>
            </w:r>
          </w:p>
        </w:tc>
      </w:tr>
      <w:tr w14:paraId="16B8B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9664004">
            <w:pPr>
              <w:snapToGrid w:val="0"/>
              <w:spacing w:before="50" w:after="50"/>
              <w:jc w:val="center"/>
              <w:rPr>
                <w:rFonts w:ascii="仿宋" w:hAnsi="仿宋" w:eastAsia="仿宋" w:cs="Times New Roman"/>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69DC424E">
            <w:pPr>
              <w:snapToGrid w:val="0"/>
              <w:spacing w:before="50" w:after="50"/>
              <w:jc w:val="center"/>
              <w:rPr>
                <w:rFonts w:ascii="仿宋" w:hAnsi="仿宋" w:eastAsia="仿宋" w:cs="Times New Roman"/>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3CD89A1">
            <w:pPr>
              <w:snapToGrid w:val="0"/>
              <w:spacing w:before="50" w:after="50"/>
              <w:ind w:left="480" w:hanging="480"/>
              <w:jc w:val="center"/>
              <w:rPr>
                <w:rFonts w:ascii="仿宋" w:hAnsi="仿宋" w:eastAsia="仿宋" w:cs="Times New Roman"/>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0908C7D4">
            <w:pPr>
              <w:snapToGrid w:val="0"/>
              <w:spacing w:before="50" w:after="50"/>
              <w:jc w:val="center"/>
              <w:rPr>
                <w:rFonts w:ascii="仿宋" w:hAnsi="仿宋" w:eastAsia="仿宋" w:cs="Times New Roman"/>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85CDBF4">
            <w:pPr>
              <w:snapToGrid w:val="0"/>
              <w:spacing w:before="50" w:after="50"/>
              <w:jc w:val="center"/>
              <w:rPr>
                <w:rFonts w:ascii="仿宋" w:hAnsi="仿宋" w:eastAsia="仿宋" w:cs="Times New Roman"/>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5522C213">
            <w:pPr>
              <w:snapToGrid w:val="0"/>
              <w:spacing w:before="50" w:after="50"/>
              <w:jc w:val="center"/>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F107806">
            <w:pPr>
              <w:snapToGrid w:val="0"/>
              <w:spacing w:before="50" w:after="50"/>
              <w:jc w:val="center"/>
              <w:rPr>
                <w:rFonts w:ascii="仿宋" w:hAnsi="仿宋" w:eastAsia="仿宋" w:cs="Times New Roman"/>
                <w:color w:val="000000"/>
                <w:sz w:val="30"/>
                <w:szCs w:val="30"/>
              </w:rPr>
            </w:pPr>
          </w:p>
        </w:tc>
      </w:tr>
      <w:tr w14:paraId="12FA8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F7AD0DE">
            <w:pPr>
              <w:snapToGrid w:val="0"/>
              <w:spacing w:before="50" w:after="50"/>
              <w:jc w:val="center"/>
              <w:rPr>
                <w:rFonts w:ascii="仿宋" w:hAnsi="仿宋" w:eastAsia="仿宋" w:cs="Times New Roman"/>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9DC2261">
            <w:pPr>
              <w:snapToGrid w:val="0"/>
              <w:spacing w:before="50" w:after="50"/>
              <w:jc w:val="center"/>
              <w:rPr>
                <w:rFonts w:ascii="仿宋" w:hAnsi="仿宋" w:eastAsia="仿宋" w:cs="Times New Roman"/>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3F93D0D7">
            <w:pPr>
              <w:snapToGrid w:val="0"/>
              <w:spacing w:before="50" w:after="50"/>
              <w:ind w:left="480" w:hanging="480"/>
              <w:jc w:val="center"/>
              <w:rPr>
                <w:rFonts w:ascii="仿宋" w:hAnsi="仿宋" w:eastAsia="仿宋" w:cs="Times New Roman"/>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69103E57">
            <w:pPr>
              <w:snapToGrid w:val="0"/>
              <w:spacing w:before="50" w:after="50"/>
              <w:jc w:val="center"/>
              <w:rPr>
                <w:rFonts w:ascii="仿宋" w:hAnsi="仿宋" w:eastAsia="仿宋" w:cs="Times New Roman"/>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12FC255">
            <w:pPr>
              <w:snapToGrid w:val="0"/>
              <w:spacing w:before="50" w:after="50"/>
              <w:jc w:val="center"/>
              <w:rPr>
                <w:rFonts w:ascii="仿宋" w:hAnsi="仿宋" w:eastAsia="仿宋" w:cs="Times New Roman"/>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21F12DC4">
            <w:pPr>
              <w:snapToGrid w:val="0"/>
              <w:spacing w:before="50" w:after="50"/>
              <w:jc w:val="center"/>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3329A92">
            <w:pPr>
              <w:snapToGrid w:val="0"/>
              <w:spacing w:before="50" w:after="50"/>
              <w:jc w:val="center"/>
              <w:rPr>
                <w:rFonts w:ascii="仿宋" w:hAnsi="仿宋" w:eastAsia="仿宋" w:cs="Times New Roman"/>
                <w:color w:val="000000"/>
                <w:sz w:val="30"/>
                <w:szCs w:val="30"/>
              </w:rPr>
            </w:pPr>
          </w:p>
        </w:tc>
      </w:tr>
    </w:tbl>
    <w:p w14:paraId="653E837C">
      <w:pPr>
        <w:snapToGrid w:val="0"/>
        <w:spacing w:before="120" w:beforeLines="50"/>
        <w:rPr>
          <w:rFonts w:ascii="仿宋" w:hAnsi="仿宋" w:eastAsia="仿宋" w:cs="Times New Roman"/>
          <w:color w:val="000000"/>
          <w:sz w:val="30"/>
          <w:szCs w:val="30"/>
        </w:rPr>
      </w:pPr>
      <w:r>
        <w:rPr>
          <w:rFonts w:hint="eastAsia" w:ascii="仿宋" w:hAnsi="仿宋" w:eastAsia="仿宋" w:cs="Times New Roman"/>
          <w:color w:val="000000"/>
          <w:sz w:val="30"/>
          <w:szCs w:val="30"/>
        </w:rPr>
        <w:t>服务类</w:t>
      </w:r>
    </w:p>
    <w:tbl>
      <w:tblPr>
        <w:tblStyle w:val="6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2ABDB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ED94E58">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8909A0F">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BF8EB06">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13DC673D">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工作量</w:t>
            </w:r>
          </w:p>
        </w:tc>
      </w:tr>
      <w:tr w14:paraId="47790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1553209">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830492A">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4D4AD29">
            <w:pPr>
              <w:snapToGrid w:val="0"/>
              <w:spacing w:before="50" w:after="50"/>
              <w:ind w:left="480" w:hanging="480"/>
              <w:jc w:val="center"/>
              <w:rPr>
                <w:rFonts w:ascii="仿宋" w:hAnsi="仿宋" w:eastAsia="仿宋" w:cs="Times New Roman"/>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6EA163FF">
            <w:pPr>
              <w:snapToGrid w:val="0"/>
              <w:spacing w:before="50" w:after="50"/>
              <w:jc w:val="center"/>
              <w:rPr>
                <w:rFonts w:ascii="仿宋" w:hAnsi="仿宋" w:eastAsia="仿宋" w:cs="Times New Roman"/>
                <w:color w:val="000000"/>
                <w:sz w:val="30"/>
                <w:szCs w:val="30"/>
              </w:rPr>
            </w:pPr>
          </w:p>
        </w:tc>
      </w:tr>
      <w:tr w14:paraId="4EA04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98F4FB8">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70DA7A3C">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66995E2">
            <w:pPr>
              <w:snapToGrid w:val="0"/>
              <w:spacing w:before="50" w:after="50"/>
              <w:ind w:left="480" w:hanging="480"/>
              <w:jc w:val="center"/>
              <w:rPr>
                <w:rFonts w:ascii="仿宋" w:hAnsi="仿宋" w:eastAsia="仿宋" w:cs="Times New Roman"/>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24BAF76A">
            <w:pPr>
              <w:snapToGrid w:val="0"/>
              <w:spacing w:before="50" w:after="50"/>
              <w:jc w:val="center"/>
              <w:rPr>
                <w:rFonts w:ascii="仿宋" w:hAnsi="仿宋" w:eastAsia="仿宋" w:cs="Times New Roman"/>
                <w:color w:val="000000"/>
                <w:sz w:val="30"/>
                <w:szCs w:val="30"/>
              </w:rPr>
            </w:pPr>
          </w:p>
        </w:tc>
      </w:tr>
    </w:tbl>
    <w:p w14:paraId="210C0979">
      <w:pPr>
        <w:snapToGrid w:val="0"/>
        <w:spacing w:before="120" w:beforeLines="50"/>
        <w:rPr>
          <w:rFonts w:ascii="仿宋" w:hAnsi="仿宋" w:eastAsia="仿宋" w:cs="Times New Roman"/>
          <w:color w:val="000000"/>
          <w:sz w:val="30"/>
          <w:szCs w:val="30"/>
        </w:rPr>
      </w:pPr>
      <w:r>
        <w:rPr>
          <w:rFonts w:hint="eastAsia" w:ascii="仿宋" w:hAnsi="仿宋" w:eastAsia="仿宋" w:cs="Times New Roman"/>
          <w:color w:val="000000"/>
          <w:sz w:val="30"/>
          <w:szCs w:val="30"/>
        </w:rPr>
        <w:t>注：在填写时，如上表不适合本项目的实际情况，可在确保投标明细内容完整的情况下，根据上表格式自行划表填写。</w:t>
      </w:r>
    </w:p>
    <w:p w14:paraId="7940288D">
      <w:pPr>
        <w:snapToGrid w:val="0"/>
        <w:spacing w:before="120" w:beforeLines="50"/>
        <w:rPr>
          <w:rFonts w:ascii="仿宋" w:hAnsi="仿宋" w:eastAsia="仿宋" w:cs="Times New Roman"/>
          <w:color w:val="000000"/>
          <w:sz w:val="30"/>
          <w:szCs w:val="30"/>
        </w:rPr>
      </w:pPr>
    </w:p>
    <w:p w14:paraId="7620D7D4">
      <w:pPr>
        <w:snapToGrid w:val="0"/>
        <w:spacing w:before="120" w:beforeLines="5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授权代表签名：               日期：</w:t>
      </w:r>
    </w:p>
    <w:p w14:paraId="3CC5FA66">
      <w:pPr>
        <w:snapToGrid w:val="0"/>
        <w:spacing w:before="50" w:after="50"/>
        <w:rPr>
          <w:rFonts w:ascii="仿宋" w:hAnsi="仿宋" w:eastAsia="仿宋" w:cs="Times New Roman"/>
          <w:color w:val="000000"/>
          <w:spacing w:val="20"/>
          <w:sz w:val="30"/>
          <w:szCs w:val="30"/>
        </w:rPr>
      </w:pPr>
    </w:p>
    <w:p w14:paraId="68318CC2">
      <w:pPr>
        <w:snapToGrid w:val="0"/>
        <w:spacing w:before="50" w:after="50"/>
        <w:rPr>
          <w:rFonts w:ascii="仿宋" w:hAnsi="仿宋" w:eastAsia="仿宋" w:cs="Times New Roman"/>
          <w:color w:val="000000"/>
          <w:sz w:val="30"/>
          <w:szCs w:val="30"/>
        </w:rPr>
      </w:pPr>
      <w:r>
        <w:rPr>
          <w:rFonts w:hint="eastAsia" w:ascii="仿宋" w:hAnsi="仿宋" w:eastAsia="仿宋" w:cs="Times New Roman"/>
          <w:color w:val="000000"/>
          <w:spacing w:val="20"/>
          <w:kern w:val="0"/>
          <w:sz w:val="30"/>
          <w:szCs w:val="30"/>
        </w:rPr>
        <w:br w:type="page"/>
      </w:r>
      <w:r>
        <w:rPr>
          <w:rFonts w:hint="eastAsia" w:ascii="仿宋" w:hAnsi="仿宋" w:eastAsia="仿宋" w:cs="Times New Roman"/>
          <w:color w:val="000000"/>
          <w:sz w:val="30"/>
          <w:szCs w:val="30"/>
        </w:rPr>
        <w:t>附件12：</w:t>
      </w:r>
    </w:p>
    <w:p w14:paraId="30DF32D8">
      <w:pPr>
        <w:snapToGrid w:val="0"/>
        <w:spacing w:before="50" w:after="120" w:afterLines="50"/>
        <w:jc w:val="center"/>
        <w:rPr>
          <w:rFonts w:ascii="仿宋" w:hAnsi="仿宋" w:eastAsia="仿宋" w:cs="Times New Roman"/>
          <w:b/>
          <w:color w:val="000000"/>
          <w:spacing w:val="40"/>
          <w:kern w:val="0"/>
          <w:sz w:val="36"/>
          <w:szCs w:val="36"/>
        </w:rPr>
      </w:pPr>
      <w:r>
        <w:rPr>
          <w:rFonts w:hint="eastAsia" w:ascii="仿宋" w:hAnsi="仿宋" w:eastAsia="仿宋" w:cs="Times New Roman"/>
          <w:b/>
          <w:color w:val="000000"/>
          <w:spacing w:val="40"/>
          <w:kern w:val="0"/>
          <w:sz w:val="36"/>
          <w:szCs w:val="36"/>
        </w:rPr>
        <w:t>技 术 响 应 表</w:t>
      </w:r>
    </w:p>
    <w:p w14:paraId="6DE66691">
      <w:pPr>
        <w:snapToGrid w:val="0"/>
        <w:spacing w:before="50" w:after="120" w:afterLines="50"/>
        <w:rPr>
          <w:rFonts w:ascii="仿宋" w:hAnsi="仿宋" w:eastAsia="仿宋" w:cs="Times New Roman"/>
          <w:b/>
          <w:color w:val="000000"/>
          <w:sz w:val="32"/>
          <w:szCs w:val="32"/>
        </w:rPr>
      </w:pPr>
    </w:p>
    <w:p w14:paraId="1598F9FA">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60"/>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68B15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D7BDC24">
            <w:pPr>
              <w:snapToGrid w:val="0"/>
              <w:spacing w:before="50" w:after="120" w:after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30116514">
            <w:pPr>
              <w:snapToGrid w:val="0"/>
              <w:spacing w:before="50" w:after="120" w:after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680FC41B">
            <w:pPr>
              <w:snapToGrid w:val="0"/>
              <w:spacing w:before="50" w:after="120" w:after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 xml:space="preserve">偏离情况      </w:t>
            </w:r>
          </w:p>
        </w:tc>
      </w:tr>
      <w:tr w14:paraId="0FAE9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D7401A3">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1C88169E">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43546110">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54225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2622B7D">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45943869">
            <w:pPr>
              <w:widowControl w:val="0"/>
              <w:snapToGrid w:val="0"/>
              <w:spacing w:before="120" w:beforeLines="50" w:after="120" w:afterLines="50" w:line="240" w:lineRule="auto"/>
              <w:jc w:val="both"/>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4FECB422">
            <w:pPr>
              <w:widowControl w:val="0"/>
              <w:snapToGrid w:val="0"/>
              <w:spacing w:before="120" w:beforeLines="50" w:after="120" w:afterLines="50" w:line="240" w:lineRule="auto"/>
              <w:jc w:val="both"/>
              <w:rPr>
                <w:rFonts w:ascii="仿宋" w:hAnsi="仿宋" w:eastAsia="仿宋" w:cs="Times New Roman"/>
                <w:color w:val="000000"/>
                <w:kern w:val="2"/>
                <w:sz w:val="30"/>
                <w:szCs w:val="30"/>
                <w:lang w:val="en-US" w:eastAsia="zh-CN" w:bidi="ar-SA"/>
              </w:rPr>
            </w:pPr>
          </w:p>
        </w:tc>
      </w:tr>
      <w:tr w14:paraId="586D7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EA886A2">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0F4F0186">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011046D2">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29966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94B1C99">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2ED9B441">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nil"/>
              <w:right w:val="single" w:color="auto" w:sz="4" w:space="0"/>
            </w:tcBorders>
          </w:tcPr>
          <w:p w14:paraId="6792BB22">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155C2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B3866B3">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6893CA1A">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279A9C9A">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3050B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4BB81A68">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085F9A81">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53A33E22">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bl>
    <w:p w14:paraId="76B97592">
      <w:pPr>
        <w:widowControl w:val="0"/>
        <w:snapToGrid w:val="0"/>
        <w:spacing w:before="50" w:after="50"/>
        <w:jc w:val="both"/>
        <w:rPr>
          <w:rFonts w:ascii="仿宋" w:hAnsi="仿宋" w:eastAsia="仿宋" w:cs="Times New Roman"/>
          <w:b/>
          <w:bCs/>
          <w:color w:val="000000"/>
          <w:spacing w:val="20"/>
          <w:kern w:val="0"/>
          <w:sz w:val="30"/>
          <w:szCs w:val="30"/>
          <w:lang w:val="en-US" w:eastAsia="zh-CN" w:bidi="ar-SA"/>
        </w:rPr>
      </w:pPr>
      <w:r>
        <w:rPr>
          <w:rFonts w:hint="eastAsia" w:ascii="仿宋" w:hAnsi="仿宋" w:eastAsia="仿宋" w:cs="Times New Roman"/>
          <w:b/>
          <w:bCs/>
          <w:color w:val="000000"/>
          <w:kern w:val="2"/>
          <w:sz w:val="30"/>
          <w:szCs w:val="30"/>
          <w:lang w:val="en-US" w:eastAsia="zh-CN" w:bidi="ar-SA"/>
        </w:rPr>
        <w:t>注：投标人应根据投标设备的性能指标、对照招标文件要求在“偏离情况”栏注明“正偏离”、“负偏离”或“无偏离”。</w:t>
      </w:r>
    </w:p>
    <w:p w14:paraId="67BA9206">
      <w:pPr>
        <w:snapToGrid w:val="0"/>
        <w:spacing w:before="50" w:after="50"/>
        <w:rPr>
          <w:rFonts w:ascii="仿宋" w:hAnsi="仿宋" w:eastAsia="仿宋" w:cs="Times New Roman"/>
          <w:color w:val="000000"/>
          <w:spacing w:val="20"/>
          <w:sz w:val="30"/>
          <w:szCs w:val="30"/>
        </w:rPr>
      </w:pPr>
    </w:p>
    <w:p w14:paraId="741228F4">
      <w:pPr>
        <w:snapToGrid w:val="0"/>
        <w:spacing w:before="50" w:after="50"/>
        <w:rPr>
          <w:rFonts w:ascii="仿宋" w:hAnsi="仿宋" w:eastAsia="仿宋" w:cs="Times New Roman"/>
          <w:color w:val="000000"/>
          <w:sz w:val="30"/>
          <w:szCs w:val="30"/>
        </w:rPr>
      </w:pPr>
      <w:r>
        <w:rPr>
          <w:rFonts w:hint="eastAsia" w:ascii="仿宋" w:hAnsi="仿宋" w:eastAsia="仿宋" w:cs="Times New Roman"/>
          <w:color w:val="000000"/>
          <w:spacing w:val="20"/>
          <w:sz w:val="30"/>
          <w:szCs w:val="30"/>
        </w:rPr>
        <w:t>授权代表签名：          日 期：</w:t>
      </w:r>
    </w:p>
    <w:p w14:paraId="6958F2FE">
      <w:pPr>
        <w:snapToGrid w:val="0"/>
        <w:spacing w:before="50" w:after="120" w:afterLines="50"/>
        <w:jc w:val="left"/>
        <w:rPr>
          <w:rFonts w:ascii="仿宋" w:hAnsi="仿宋" w:eastAsia="仿宋" w:cs="Times New Roman"/>
          <w:color w:val="000000"/>
          <w:sz w:val="30"/>
          <w:szCs w:val="30"/>
        </w:rPr>
      </w:pPr>
    </w:p>
    <w:p w14:paraId="4925C2A3">
      <w:pPr>
        <w:snapToGrid w:val="0"/>
        <w:spacing w:before="50" w:after="50"/>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附件13：</w:t>
      </w:r>
    </w:p>
    <w:p w14:paraId="69B084F8">
      <w:pPr>
        <w:snapToGrid w:val="0"/>
        <w:spacing w:before="50" w:after="120" w:afterLines="50"/>
        <w:jc w:val="center"/>
        <w:rPr>
          <w:rFonts w:ascii="仿宋" w:hAnsi="仿宋" w:eastAsia="仿宋" w:cs="Times New Roman"/>
          <w:b/>
          <w:color w:val="000000"/>
          <w:kern w:val="0"/>
          <w:sz w:val="36"/>
          <w:szCs w:val="36"/>
        </w:rPr>
      </w:pPr>
      <w:r>
        <w:rPr>
          <w:rFonts w:hint="eastAsia" w:ascii="仿宋" w:hAnsi="仿宋" w:eastAsia="仿宋" w:cs="Times New Roman"/>
          <w:b/>
          <w:color w:val="000000"/>
          <w:kern w:val="0"/>
          <w:sz w:val="36"/>
          <w:szCs w:val="36"/>
        </w:rPr>
        <w:t>项目组人员清单</w:t>
      </w:r>
    </w:p>
    <w:p w14:paraId="10D69544">
      <w:pPr>
        <w:snapToGrid w:val="0"/>
        <w:spacing w:before="120" w:beforeLines="50" w:after="50"/>
        <w:rPr>
          <w:rFonts w:ascii="仿宋" w:hAnsi="仿宋" w:eastAsia="仿宋" w:cs="Times New Roman"/>
          <w:b/>
          <w:color w:val="000000"/>
          <w:sz w:val="30"/>
          <w:szCs w:val="30"/>
        </w:rPr>
      </w:pPr>
    </w:p>
    <w:p w14:paraId="40D6E029">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60"/>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33CF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007C31E">
            <w:pPr>
              <w:snapToGrid w:val="0"/>
              <w:spacing w:before="120" w:beforeLines="50" w:after="50" w:line="46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738DAC5">
            <w:pPr>
              <w:snapToGrid w:val="0"/>
              <w:spacing w:before="120" w:beforeLines="50" w:after="50" w:line="46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0894AAD">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专业技</w:t>
            </w:r>
          </w:p>
          <w:p w14:paraId="5B1B066D">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23D23630">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证书</w:t>
            </w:r>
          </w:p>
          <w:p w14:paraId="451EC587">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1289772C">
            <w:pPr>
              <w:snapToGrid w:val="0"/>
              <w:spacing w:before="120" w:beforeLines="50" w:after="50" w:line="460" w:lineRule="exact"/>
              <w:jc w:val="center"/>
              <w:rPr>
                <w:rFonts w:ascii="仿宋" w:hAnsi="仿宋" w:eastAsia="仿宋" w:cs="Times New Roman"/>
                <w:bCs/>
                <w:color w:val="000000"/>
                <w:kern w:val="0"/>
                <w:sz w:val="30"/>
                <w:szCs w:val="30"/>
              </w:rPr>
            </w:pPr>
            <w:r>
              <w:rPr>
                <w:rFonts w:hint="eastAsia" w:ascii="仿宋" w:hAnsi="仿宋" w:eastAsia="仿宋" w:cs="Times New Roman"/>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61506A7A">
            <w:pPr>
              <w:snapToGrid w:val="0"/>
              <w:spacing w:before="120" w:beforeLines="50" w:after="50" w:line="460" w:lineRule="exact"/>
              <w:jc w:val="center"/>
              <w:rPr>
                <w:rFonts w:ascii="仿宋" w:hAnsi="仿宋" w:eastAsia="仿宋" w:cs="Times New Roman"/>
                <w:bCs/>
                <w:color w:val="000000"/>
                <w:kern w:val="0"/>
                <w:sz w:val="30"/>
                <w:szCs w:val="30"/>
              </w:rPr>
            </w:pPr>
            <w:r>
              <w:rPr>
                <w:rFonts w:hint="eastAsia" w:ascii="仿宋" w:hAnsi="仿宋" w:eastAsia="仿宋" w:cs="Times New Roman"/>
                <w:bCs/>
                <w:color w:val="000000"/>
                <w:sz w:val="30"/>
                <w:szCs w:val="30"/>
              </w:rPr>
              <w:t>劳动合</w:t>
            </w:r>
          </w:p>
          <w:p w14:paraId="2C6C4985">
            <w:pPr>
              <w:snapToGrid w:val="0"/>
              <w:spacing w:before="120" w:beforeLines="50" w:after="50" w:line="460" w:lineRule="exact"/>
              <w:jc w:val="center"/>
              <w:rPr>
                <w:rFonts w:ascii="仿宋" w:hAnsi="仿宋" w:eastAsia="仿宋" w:cs="Times New Roman"/>
                <w:bCs/>
                <w:color w:val="000000"/>
                <w:kern w:val="0"/>
                <w:sz w:val="30"/>
                <w:szCs w:val="30"/>
              </w:rPr>
            </w:pPr>
            <w:r>
              <w:rPr>
                <w:rFonts w:hint="eastAsia" w:ascii="仿宋" w:hAnsi="仿宋" w:eastAsia="仿宋" w:cs="Times New Roman"/>
                <w:bCs/>
                <w:color w:val="000000"/>
                <w:sz w:val="30"/>
                <w:szCs w:val="30"/>
              </w:rPr>
              <w:t>同编号</w:t>
            </w:r>
          </w:p>
        </w:tc>
      </w:tr>
      <w:tr w14:paraId="2F9B8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6177B8">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A44F891">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A6032BA">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DAF18DF">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66F2B4B">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23B39C3">
            <w:pPr>
              <w:snapToGrid w:val="0"/>
              <w:spacing w:before="120" w:beforeLines="50" w:after="50" w:line="460" w:lineRule="exact"/>
              <w:rPr>
                <w:rFonts w:ascii="仿宋" w:hAnsi="仿宋" w:eastAsia="仿宋" w:cs="Times New Roman"/>
                <w:b/>
                <w:bCs/>
                <w:color w:val="000000"/>
                <w:kern w:val="0"/>
                <w:sz w:val="30"/>
                <w:szCs w:val="30"/>
              </w:rPr>
            </w:pPr>
          </w:p>
        </w:tc>
      </w:tr>
      <w:tr w14:paraId="6C067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402DAD1">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8DC9B94">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575D2E1">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7690720">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7317367">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1BAB426">
            <w:pPr>
              <w:snapToGrid w:val="0"/>
              <w:spacing w:before="120" w:beforeLines="50" w:after="50" w:line="460" w:lineRule="exact"/>
              <w:rPr>
                <w:rFonts w:ascii="仿宋" w:hAnsi="仿宋" w:eastAsia="仿宋" w:cs="Times New Roman"/>
                <w:b/>
                <w:bCs/>
                <w:color w:val="000000"/>
                <w:kern w:val="0"/>
                <w:sz w:val="30"/>
                <w:szCs w:val="30"/>
              </w:rPr>
            </w:pPr>
          </w:p>
        </w:tc>
      </w:tr>
      <w:tr w14:paraId="3C0B5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D89019">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53D4545">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FA7DD9F">
            <w:pPr>
              <w:widowControl w:val="0"/>
              <w:snapToGrid w:val="0"/>
              <w:spacing w:before="120" w:beforeLines="50" w:after="120" w:line="460" w:lineRule="exact"/>
              <w:ind w:left="5250" w:leftChars="2500"/>
              <w:jc w:val="both"/>
              <w:rPr>
                <w:rFonts w:ascii="仿宋" w:hAnsi="仿宋" w:eastAsia="仿宋" w:cs="Times New Roman"/>
                <w:b/>
                <w:bCs/>
                <w:color w:val="000000"/>
                <w:kern w:val="0"/>
                <w:sz w:val="30"/>
                <w:szCs w:val="30"/>
                <w:lang w:val="en-US" w:eastAsia="zh-CN" w:bidi="ar-SA"/>
              </w:rPr>
            </w:pPr>
          </w:p>
        </w:tc>
        <w:tc>
          <w:tcPr>
            <w:tcW w:w="1260" w:type="dxa"/>
            <w:tcBorders>
              <w:top w:val="single" w:color="auto" w:sz="4" w:space="0"/>
              <w:left w:val="single" w:color="auto" w:sz="4" w:space="0"/>
              <w:bottom w:val="single" w:color="auto" w:sz="4" w:space="0"/>
              <w:right w:val="single" w:color="auto" w:sz="4" w:space="0"/>
            </w:tcBorders>
          </w:tcPr>
          <w:p w14:paraId="25031DE8">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94365B4">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267E806">
            <w:pPr>
              <w:snapToGrid w:val="0"/>
              <w:spacing w:before="120" w:beforeLines="50" w:after="50" w:line="460" w:lineRule="exact"/>
              <w:rPr>
                <w:rFonts w:ascii="仿宋" w:hAnsi="仿宋" w:eastAsia="仿宋" w:cs="Times New Roman"/>
                <w:b/>
                <w:bCs/>
                <w:color w:val="000000"/>
                <w:kern w:val="0"/>
                <w:sz w:val="30"/>
                <w:szCs w:val="30"/>
              </w:rPr>
            </w:pPr>
          </w:p>
        </w:tc>
      </w:tr>
      <w:tr w14:paraId="235DD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FF59557">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36CE8A0">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AEFE3FB">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60B63A6">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DDE4BD1">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DFC447C">
            <w:pPr>
              <w:snapToGrid w:val="0"/>
              <w:spacing w:before="120" w:beforeLines="50" w:after="50" w:line="460" w:lineRule="exact"/>
              <w:rPr>
                <w:rFonts w:ascii="仿宋" w:hAnsi="仿宋" w:eastAsia="仿宋" w:cs="Times New Roman"/>
                <w:b/>
                <w:bCs/>
                <w:color w:val="000000"/>
                <w:kern w:val="0"/>
                <w:sz w:val="30"/>
                <w:szCs w:val="30"/>
              </w:rPr>
            </w:pPr>
          </w:p>
        </w:tc>
      </w:tr>
      <w:tr w14:paraId="7B56A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0115528">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443CF4F">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EF34350">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78E0CC8">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B6D241F">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AF9A540">
            <w:pPr>
              <w:snapToGrid w:val="0"/>
              <w:spacing w:before="120" w:beforeLines="50" w:after="50" w:line="460" w:lineRule="exact"/>
              <w:rPr>
                <w:rFonts w:ascii="仿宋" w:hAnsi="仿宋" w:eastAsia="仿宋" w:cs="Times New Roman"/>
                <w:b/>
                <w:bCs/>
                <w:color w:val="000000"/>
                <w:kern w:val="0"/>
                <w:sz w:val="30"/>
                <w:szCs w:val="30"/>
              </w:rPr>
            </w:pPr>
          </w:p>
        </w:tc>
      </w:tr>
      <w:tr w14:paraId="672B9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9BC72F6">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993639C">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46F3EF7">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20101F4">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3AE9C41">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E9098A7">
            <w:pPr>
              <w:snapToGrid w:val="0"/>
              <w:spacing w:before="120" w:beforeLines="50" w:after="50" w:line="460" w:lineRule="exact"/>
              <w:rPr>
                <w:rFonts w:ascii="仿宋" w:hAnsi="仿宋" w:eastAsia="仿宋" w:cs="Times New Roman"/>
                <w:b/>
                <w:bCs/>
                <w:color w:val="000000"/>
                <w:kern w:val="0"/>
                <w:sz w:val="30"/>
                <w:szCs w:val="30"/>
              </w:rPr>
            </w:pPr>
          </w:p>
        </w:tc>
      </w:tr>
      <w:tr w14:paraId="20AC9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B7224B8">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3D2BC8E">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C91B28B">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D16C6D2">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2F31DA4">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D02FFDF">
            <w:pPr>
              <w:snapToGrid w:val="0"/>
              <w:spacing w:before="120" w:beforeLines="50" w:after="50" w:line="460" w:lineRule="exact"/>
              <w:rPr>
                <w:rFonts w:ascii="仿宋" w:hAnsi="仿宋" w:eastAsia="仿宋" w:cs="Times New Roman"/>
                <w:b/>
                <w:bCs/>
                <w:color w:val="000000"/>
                <w:kern w:val="0"/>
                <w:sz w:val="30"/>
                <w:szCs w:val="30"/>
              </w:rPr>
            </w:pPr>
          </w:p>
        </w:tc>
      </w:tr>
      <w:tr w14:paraId="36AC6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1CF2E9C">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ADF2E28">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96C47FA">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46FC8F1">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028A26D">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DE82076">
            <w:pPr>
              <w:snapToGrid w:val="0"/>
              <w:spacing w:before="120" w:beforeLines="50" w:after="50" w:line="460" w:lineRule="exact"/>
              <w:rPr>
                <w:rFonts w:ascii="仿宋" w:hAnsi="仿宋" w:eastAsia="仿宋" w:cs="Times New Roman"/>
                <w:b/>
                <w:bCs/>
                <w:color w:val="000000"/>
                <w:kern w:val="0"/>
                <w:sz w:val="30"/>
                <w:szCs w:val="30"/>
              </w:rPr>
            </w:pPr>
          </w:p>
        </w:tc>
      </w:tr>
      <w:tr w14:paraId="7CD58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4FBD67">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DC9551A">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1BEC5ED">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36E6C40">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6DB7EEE">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D5295AB">
            <w:pPr>
              <w:snapToGrid w:val="0"/>
              <w:spacing w:before="120" w:beforeLines="50" w:after="50" w:line="460" w:lineRule="exact"/>
              <w:rPr>
                <w:rFonts w:ascii="仿宋" w:hAnsi="仿宋" w:eastAsia="仿宋" w:cs="Times New Roman"/>
                <w:b/>
                <w:bCs/>
                <w:color w:val="000000"/>
                <w:kern w:val="0"/>
                <w:sz w:val="30"/>
                <w:szCs w:val="30"/>
              </w:rPr>
            </w:pPr>
          </w:p>
        </w:tc>
      </w:tr>
    </w:tbl>
    <w:p w14:paraId="6BDCC313">
      <w:pPr>
        <w:snapToGrid w:val="0"/>
        <w:spacing w:before="50" w:after="120" w:afterLines="50" w:line="460" w:lineRule="exact"/>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 xml:space="preserve">注：在填写时，如本表格不适合投标单位的实际情况，可根据本表格式自行划表填写。 </w:t>
      </w:r>
    </w:p>
    <w:p w14:paraId="7DECF35D">
      <w:pPr>
        <w:snapToGrid w:val="0"/>
        <w:spacing w:before="50" w:after="120" w:afterLines="50" w:line="460" w:lineRule="exact"/>
        <w:jc w:val="left"/>
        <w:rPr>
          <w:rFonts w:ascii="仿宋" w:hAnsi="仿宋" w:eastAsia="仿宋" w:cs="Times New Roman"/>
          <w:color w:val="000000"/>
          <w:sz w:val="30"/>
          <w:szCs w:val="30"/>
        </w:rPr>
      </w:pPr>
    </w:p>
    <w:p w14:paraId="48BA66D0">
      <w:pPr>
        <w:snapToGrid w:val="0"/>
        <w:spacing w:before="50" w:after="50" w:line="460" w:lineRule="exact"/>
        <w:rPr>
          <w:rFonts w:ascii="仿宋" w:hAnsi="仿宋" w:eastAsia="仿宋" w:cs="Times New Roman"/>
          <w:color w:val="000000"/>
          <w:spacing w:val="20"/>
          <w:sz w:val="30"/>
          <w:szCs w:val="30"/>
          <w:u w:val="single"/>
        </w:rPr>
      </w:pPr>
      <w:r>
        <w:rPr>
          <w:rFonts w:hint="eastAsia" w:ascii="仿宋" w:hAnsi="仿宋" w:eastAsia="仿宋" w:cs="Times New Roman"/>
          <w:color w:val="000000"/>
          <w:spacing w:val="20"/>
          <w:sz w:val="30"/>
          <w:szCs w:val="30"/>
        </w:rPr>
        <w:t>授权代表签名： 日  期：</w:t>
      </w:r>
    </w:p>
    <w:p w14:paraId="43881D7A">
      <w:pPr>
        <w:snapToGrid w:val="0"/>
        <w:spacing w:before="50" w:after="120" w:afterLines="50" w:line="460" w:lineRule="exact"/>
        <w:jc w:val="left"/>
        <w:rPr>
          <w:rFonts w:ascii="仿宋" w:hAnsi="仿宋" w:eastAsia="仿宋" w:cs="Times New Roman"/>
          <w:color w:val="000000"/>
          <w:sz w:val="30"/>
          <w:szCs w:val="30"/>
        </w:rPr>
      </w:pPr>
    </w:p>
    <w:p w14:paraId="5F0EC0E6">
      <w:pPr>
        <w:widowControl w:val="0"/>
        <w:snapToGrid w:val="0"/>
        <w:spacing w:before="120" w:beforeLines="50" w:after="120" w:afterLines="50" w:line="460" w:lineRule="exact"/>
        <w:jc w:val="both"/>
        <w:rPr>
          <w:rFonts w:ascii="仿宋" w:hAnsi="仿宋" w:eastAsia="仿宋" w:cs="Times New Roman"/>
          <w:color w:val="000000"/>
          <w:kern w:val="2"/>
          <w:sz w:val="30"/>
          <w:szCs w:val="30"/>
          <w:lang w:val="en-US" w:eastAsia="zh-CN" w:bidi="ar-SA"/>
        </w:rPr>
      </w:pPr>
    </w:p>
    <w:p w14:paraId="31DB2769">
      <w:pPr>
        <w:snapToGrid w:val="0"/>
        <w:spacing w:before="50"/>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附件14：</w:t>
      </w:r>
    </w:p>
    <w:p w14:paraId="1830C741">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商务响应表</w:t>
      </w:r>
    </w:p>
    <w:p w14:paraId="7D3CCD21">
      <w:pPr>
        <w:snapToGrid w:val="0"/>
        <w:spacing w:before="50"/>
        <w:jc w:val="center"/>
        <w:rPr>
          <w:rFonts w:ascii="仿宋" w:hAnsi="仿宋" w:eastAsia="仿宋" w:cs="Times New Roman"/>
          <w:b/>
          <w:color w:val="000000"/>
          <w:sz w:val="32"/>
          <w:szCs w:val="32"/>
        </w:rPr>
      </w:pPr>
    </w:p>
    <w:p w14:paraId="61C0870F">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27AA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26B4CB19">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71980094">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461342D">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是否</w:t>
            </w:r>
          </w:p>
          <w:p w14:paraId="2C0AA5E4">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1BA4FC84">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投标人的承诺或说明</w:t>
            </w:r>
          </w:p>
        </w:tc>
      </w:tr>
      <w:tr w14:paraId="30DED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22F656D4">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19974EBB">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4A197753">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6A678299">
            <w:pPr>
              <w:snapToGrid w:val="0"/>
              <w:jc w:val="left"/>
              <w:rPr>
                <w:rFonts w:ascii="仿宋" w:hAnsi="仿宋" w:eastAsia="仿宋" w:cs="Times New Roman"/>
                <w:color w:val="000000"/>
                <w:sz w:val="28"/>
                <w:szCs w:val="28"/>
              </w:rPr>
            </w:pPr>
          </w:p>
        </w:tc>
      </w:tr>
      <w:tr w14:paraId="26520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7C0F61E">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75D3B368">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266EACE7">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11558C65">
            <w:pPr>
              <w:snapToGrid w:val="0"/>
              <w:jc w:val="left"/>
              <w:rPr>
                <w:rFonts w:ascii="仿宋" w:hAnsi="仿宋" w:eastAsia="仿宋" w:cs="Times New Roman"/>
                <w:color w:val="000000"/>
                <w:sz w:val="28"/>
                <w:szCs w:val="28"/>
              </w:rPr>
            </w:pPr>
          </w:p>
        </w:tc>
      </w:tr>
      <w:tr w14:paraId="18D8E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34CF39E">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18CB9F29">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795E34CE">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1912C6FE">
            <w:pPr>
              <w:snapToGrid w:val="0"/>
              <w:jc w:val="left"/>
              <w:rPr>
                <w:rFonts w:ascii="仿宋" w:hAnsi="仿宋" w:eastAsia="仿宋" w:cs="Times New Roman"/>
                <w:color w:val="000000"/>
                <w:sz w:val="28"/>
                <w:szCs w:val="28"/>
              </w:rPr>
            </w:pPr>
          </w:p>
        </w:tc>
      </w:tr>
      <w:tr w14:paraId="59FD0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BA22B79">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14:paraId="3EC4A090">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1D826F77">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33A3F271">
            <w:pPr>
              <w:snapToGrid w:val="0"/>
              <w:jc w:val="left"/>
              <w:rPr>
                <w:rFonts w:ascii="仿宋" w:hAnsi="仿宋" w:eastAsia="仿宋" w:cs="Times New Roman"/>
                <w:color w:val="000000"/>
                <w:sz w:val="28"/>
                <w:szCs w:val="28"/>
              </w:rPr>
            </w:pPr>
          </w:p>
        </w:tc>
      </w:tr>
      <w:tr w14:paraId="1A7DB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6B5F9FDB">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14:paraId="0E8A3912">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49394336">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6439CEAA">
            <w:pPr>
              <w:snapToGrid w:val="0"/>
              <w:jc w:val="left"/>
              <w:rPr>
                <w:rFonts w:ascii="仿宋" w:hAnsi="仿宋" w:eastAsia="仿宋" w:cs="Times New Roman"/>
                <w:color w:val="000000"/>
                <w:sz w:val="28"/>
                <w:szCs w:val="28"/>
              </w:rPr>
            </w:pPr>
          </w:p>
        </w:tc>
      </w:tr>
      <w:tr w14:paraId="20464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2F05702">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14:paraId="49C4DA5D">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3197769D">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280A6E44">
            <w:pPr>
              <w:snapToGrid w:val="0"/>
              <w:jc w:val="left"/>
              <w:rPr>
                <w:rFonts w:ascii="仿宋" w:hAnsi="仿宋" w:eastAsia="仿宋" w:cs="Times New Roman"/>
                <w:color w:val="000000"/>
                <w:sz w:val="28"/>
                <w:szCs w:val="28"/>
              </w:rPr>
            </w:pPr>
          </w:p>
        </w:tc>
      </w:tr>
      <w:tr w14:paraId="2C746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0F75D04">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7AB28EAB">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42F74E94">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4049D14B">
            <w:pPr>
              <w:snapToGrid w:val="0"/>
              <w:jc w:val="left"/>
              <w:rPr>
                <w:rFonts w:ascii="仿宋" w:hAnsi="仿宋" w:eastAsia="仿宋" w:cs="Times New Roman"/>
                <w:color w:val="000000"/>
                <w:sz w:val="28"/>
                <w:szCs w:val="28"/>
              </w:rPr>
            </w:pPr>
          </w:p>
        </w:tc>
      </w:tr>
      <w:tr w14:paraId="1DB47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B371EDC">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14:paraId="7FC4312A">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3FA1EB00">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75BE44F7">
            <w:pPr>
              <w:snapToGrid w:val="0"/>
              <w:jc w:val="left"/>
              <w:rPr>
                <w:rFonts w:ascii="仿宋" w:hAnsi="仿宋" w:eastAsia="仿宋" w:cs="Times New Roman"/>
                <w:color w:val="000000"/>
                <w:sz w:val="28"/>
                <w:szCs w:val="28"/>
              </w:rPr>
            </w:pPr>
          </w:p>
        </w:tc>
      </w:tr>
      <w:tr w14:paraId="2644E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4C7C67A4">
            <w:pPr>
              <w:snapToGrid w:val="0"/>
              <w:rPr>
                <w:rFonts w:ascii="仿宋" w:hAnsi="仿宋" w:eastAsia="仿宋" w:cs="Times New Roman"/>
                <w:color w:val="000000"/>
                <w:sz w:val="30"/>
                <w:szCs w:val="30"/>
              </w:rPr>
            </w:pPr>
            <w:r>
              <w:rPr>
                <w:rFonts w:hint="eastAsia" w:ascii="仿宋" w:hAnsi="仿宋" w:eastAsia="仿宋" w:cs="Times New Roman"/>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3D000520">
            <w:pPr>
              <w:snapToGrid w:val="0"/>
              <w:spacing w:before="120" w:beforeLines="50"/>
              <w:rPr>
                <w:rFonts w:ascii="仿宋" w:hAnsi="仿宋" w:eastAsia="仿宋" w:cs="Times New Roman"/>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tcPr>
          <w:p w14:paraId="66C177C7">
            <w:pPr>
              <w:snapToGrid w:val="0"/>
              <w:spacing w:before="120" w:beforeLines="50"/>
              <w:rPr>
                <w:rFonts w:ascii="仿宋" w:hAnsi="仿宋" w:eastAsia="仿宋" w:cs="Times New Roman"/>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tcPr>
          <w:p w14:paraId="09510802">
            <w:pPr>
              <w:snapToGrid w:val="0"/>
              <w:spacing w:before="120" w:beforeLines="50"/>
              <w:rPr>
                <w:rFonts w:ascii="仿宋" w:hAnsi="仿宋" w:eastAsia="仿宋" w:cs="Times New Roman"/>
                <w:b/>
                <w:bCs/>
                <w:color w:val="000000"/>
                <w:sz w:val="30"/>
                <w:szCs w:val="30"/>
              </w:rPr>
            </w:pPr>
          </w:p>
        </w:tc>
      </w:tr>
    </w:tbl>
    <w:p w14:paraId="1F46BB2F">
      <w:pPr>
        <w:snapToGrid w:val="0"/>
        <w:spacing w:before="120" w:beforeLines="5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授权代表签名：               日期：</w:t>
      </w:r>
    </w:p>
    <w:p w14:paraId="3553BF62">
      <w:pPr>
        <w:widowControl/>
        <w:jc w:val="left"/>
        <w:rPr>
          <w:rFonts w:ascii="仿宋" w:hAnsi="仿宋" w:eastAsia="仿宋"/>
          <w:color w:val="000000"/>
          <w:kern w:val="0"/>
          <w:sz w:val="30"/>
          <w:szCs w:val="30"/>
        </w:rPr>
        <w:sectPr>
          <w:footerReference r:id="rId5" w:type="default"/>
          <w:pgSz w:w="11906" w:h="16838"/>
          <w:pgMar w:top="1474" w:right="1797" w:bottom="1247" w:left="1797" w:header="851" w:footer="851" w:gutter="0"/>
          <w:pgNumType w:fmt="decimal"/>
          <w:cols w:space="720" w:num="1"/>
        </w:sectPr>
      </w:pPr>
    </w:p>
    <w:p w14:paraId="34CFD113">
      <w:pPr>
        <w:snapToGrid w:val="0"/>
        <w:spacing w:before="50" w:after="120" w:afterLines="5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附件15：</w:t>
      </w:r>
    </w:p>
    <w:p w14:paraId="1B378F60">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投标人业绩情况一览表</w:t>
      </w:r>
    </w:p>
    <w:p w14:paraId="3499830E">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w:t>
      </w:r>
    </w:p>
    <w:tbl>
      <w:tblPr>
        <w:tblStyle w:val="60"/>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6BF75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2672283">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D085218">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D76B299">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采购</w:t>
            </w:r>
          </w:p>
          <w:p w14:paraId="45F971BC">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00FFDAC">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F876427">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合同</w:t>
            </w:r>
          </w:p>
          <w:p w14:paraId="3AA62A7F">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金额</w:t>
            </w:r>
          </w:p>
          <w:p w14:paraId="5E33DF14">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08C3BE9">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2EC078A">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采购单位联系人及</w:t>
            </w:r>
          </w:p>
          <w:p w14:paraId="03145492">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联系电话</w:t>
            </w:r>
          </w:p>
        </w:tc>
      </w:tr>
      <w:tr w14:paraId="0CE21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A37B0C9">
            <w:pPr>
              <w:widowControl/>
              <w:jc w:val="left"/>
              <w:rPr>
                <w:rFonts w:ascii="仿宋" w:hAnsi="仿宋" w:eastAsia="仿宋" w:cs="Times New Roman"/>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69A5D039">
            <w:pPr>
              <w:widowControl/>
              <w:jc w:val="left"/>
              <w:rPr>
                <w:rFonts w:ascii="仿宋" w:hAnsi="仿宋" w:eastAsia="仿宋" w:cs="Times New Roman"/>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9376E74">
            <w:pPr>
              <w:widowControl/>
              <w:jc w:val="left"/>
              <w:rPr>
                <w:rFonts w:ascii="仿宋" w:hAnsi="仿宋" w:eastAsia="仿宋" w:cs="Times New Roman"/>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E5CF271">
            <w:pPr>
              <w:widowControl/>
              <w:jc w:val="left"/>
              <w:rPr>
                <w:rFonts w:ascii="仿宋" w:hAnsi="仿宋" w:eastAsia="仿宋" w:cs="Times New Roman"/>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D90F6AA">
            <w:pPr>
              <w:widowControl/>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F2E13AE">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合</w:t>
            </w:r>
          </w:p>
          <w:p w14:paraId="78D3280F">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551C1363">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验收</w:t>
            </w:r>
          </w:p>
          <w:p w14:paraId="67479B80">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E24381F">
            <w:pPr>
              <w:widowControl/>
              <w:jc w:val="left"/>
              <w:rPr>
                <w:rFonts w:ascii="仿宋" w:hAnsi="仿宋" w:eastAsia="仿宋" w:cs="Times New Roman"/>
                <w:color w:val="000000"/>
                <w:sz w:val="30"/>
                <w:szCs w:val="30"/>
              </w:rPr>
            </w:pPr>
          </w:p>
        </w:tc>
      </w:tr>
      <w:tr w14:paraId="32E43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293AEA9">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7723C50">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8A4E57D">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2F9EEBD">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E64308A">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715B667">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F7F8A71">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C28A8D3">
            <w:pPr>
              <w:snapToGrid w:val="0"/>
              <w:spacing w:before="50" w:after="120" w:afterLines="50" w:line="400" w:lineRule="exact"/>
              <w:jc w:val="left"/>
              <w:rPr>
                <w:rFonts w:ascii="仿宋" w:hAnsi="仿宋" w:eastAsia="仿宋" w:cs="Times New Roman"/>
                <w:b/>
                <w:bCs/>
                <w:color w:val="000000"/>
                <w:kern w:val="0"/>
                <w:sz w:val="30"/>
                <w:szCs w:val="30"/>
              </w:rPr>
            </w:pPr>
          </w:p>
        </w:tc>
      </w:tr>
      <w:tr w14:paraId="46EA3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1BEF885">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6713F5A">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E3F0D9B">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C6F7AD2">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ADDDAB8">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0594EAD">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3AD07E5">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FF226E1">
            <w:pPr>
              <w:snapToGrid w:val="0"/>
              <w:spacing w:before="50" w:after="120" w:afterLines="50" w:line="400" w:lineRule="exact"/>
              <w:jc w:val="left"/>
              <w:rPr>
                <w:rFonts w:ascii="仿宋" w:hAnsi="仿宋" w:eastAsia="仿宋" w:cs="Times New Roman"/>
                <w:b/>
                <w:bCs/>
                <w:color w:val="000000"/>
                <w:kern w:val="0"/>
                <w:sz w:val="30"/>
                <w:szCs w:val="30"/>
              </w:rPr>
            </w:pPr>
          </w:p>
        </w:tc>
      </w:tr>
      <w:tr w14:paraId="46CCB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9E0D878">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2C49794">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65DD522">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6F73E67">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10EA831">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91CC021">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C72D461">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7265C2A">
            <w:pPr>
              <w:snapToGrid w:val="0"/>
              <w:spacing w:before="50" w:after="120" w:afterLines="50" w:line="400" w:lineRule="exact"/>
              <w:jc w:val="left"/>
              <w:rPr>
                <w:rFonts w:ascii="仿宋" w:hAnsi="仿宋" w:eastAsia="仿宋" w:cs="Times New Roman"/>
                <w:b/>
                <w:bCs/>
                <w:color w:val="000000"/>
                <w:kern w:val="0"/>
                <w:sz w:val="30"/>
                <w:szCs w:val="30"/>
              </w:rPr>
            </w:pPr>
          </w:p>
        </w:tc>
      </w:tr>
      <w:tr w14:paraId="27BEE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7DE08C8">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F01F64E">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59A1F31">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3076DA4">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2058E2C">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DD3615">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2B13163">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EE8BEF0">
            <w:pPr>
              <w:snapToGrid w:val="0"/>
              <w:spacing w:before="50" w:after="120" w:afterLines="50" w:line="400" w:lineRule="exact"/>
              <w:jc w:val="left"/>
              <w:rPr>
                <w:rFonts w:ascii="仿宋" w:hAnsi="仿宋" w:eastAsia="仿宋" w:cs="Times New Roman"/>
                <w:b/>
                <w:bCs/>
                <w:color w:val="000000"/>
                <w:kern w:val="0"/>
                <w:sz w:val="30"/>
                <w:szCs w:val="30"/>
              </w:rPr>
            </w:pPr>
          </w:p>
        </w:tc>
      </w:tr>
      <w:tr w14:paraId="25998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63977BC">
            <w:pPr>
              <w:snapToGrid w:val="0"/>
              <w:spacing w:before="50" w:after="120" w:afterLines="50" w:line="40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767B5691">
            <w:pPr>
              <w:snapToGrid w:val="0"/>
              <w:spacing w:before="50" w:after="120" w:afterLines="50" w:line="400" w:lineRule="exact"/>
              <w:jc w:val="left"/>
              <w:rPr>
                <w:rFonts w:ascii="仿宋" w:hAnsi="仿宋" w:eastAsia="仿宋" w:cs="Times New Roman"/>
                <w:color w:val="000000"/>
                <w:sz w:val="30"/>
                <w:szCs w:val="30"/>
              </w:rPr>
            </w:pPr>
            <w:r>
              <w:rPr>
                <w:rFonts w:hint="eastAsia" w:ascii="仿宋" w:hAnsi="仿宋" w:eastAsia="仿宋" w:cs="Times New Roman"/>
                <w:color w:val="000000"/>
                <w:sz w:val="32"/>
                <w:szCs w:val="32"/>
              </w:rPr>
              <w:t>提供投标人同类项目合同复印件、用户验收报告（如有）。</w:t>
            </w:r>
          </w:p>
        </w:tc>
      </w:tr>
    </w:tbl>
    <w:p w14:paraId="15AFAB14">
      <w:pPr>
        <w:widowControl w:val="0"/>
        <w:snapToGrid w:val="0"/>
        <w:spacing w:before="240" w:after="160"/>
        <w:jc w:val="both"/>
        <w:rPr>
          <w:rFonts w:ascii="仿宋" w:hAnsi="仿宋" w:eastAsia="仿宋" w:cs="Times New Roman"/>
          <w:color w:val="000000"/>
          <w:kern w:val="0"/>
          <w:sz w:val="30"/>
          <w:szCs w:val="30"/>
          <w:lang w:val="en-US" w:eastAsia="zh-CN" w:bidi="ar-SA"/>
        </w:rPr>
      </w:pPr>
      <w:r>
        <w:rPr>
          <w:rFonts w:hint="eastAsia" w:ascii="仿宋" w:hAnsi="仿宋" w:eastAsia="仿宋" w:cs="Times New Roman"/>
          <w:color w:val="000000"/>
          <w:kern w:val="2"/>
          <w:sz w:val="30"/>
          <w:szCs w:val="30"/>
          <w:lang w:val="en-US" w:eastAsia="zh-CN" w:bidi="ar-SA"/>
        </w:rPr>
        <w:t>授权代表签名：</w:t>
      </w:r>
      <w:r>
        <w:rPr>
          <w:rFonts w:hint="eastAsia" w:ascii="仿宋" w:hAnsi="仿宋" w:eastAsia="仿宋" w:cs="Times New Roman"/>
          <w:color w:val="000000"/>
          <w:kern w:val="2"/>
          <w:sz w:val="30"/>
          <w:szCs w:val="30"/>
          <w:u w:val="single"/>
          <w:lang w:val="en-US" w:eastAsia="zh-CN" w:bidi="ar-SA"/>
        </w:rPr>
        <w:t>　　　　　</w:t>
      </w:r>
      <w:r>
        <w:rPr>
          <w:rFonts w:hint="eastAsia" w:ascii="仿宋" w:hAnsi="仿宋" w:eastAsia="仿宋" w:cs="Times New Roman"/>
          <w:color w:val="000000"/>
          <w:kern w:val="2"/>
          <w:sz w:val="30"/>
          <w:szCs w:val="30"/>
          <w:lang w:val="en-US" w:eastAsia="zh-CN" w:bidi="ar-SA"/>
        </w:rPr>
        <w:t xml:space="preserve">                                            时  间：</w:t>
      </w:r>
    </w:p>
    <w:p w14:paraId="09BDCADC">
      <w:pPr>
        <w:widowControl/>
        <w:jc w:val="left"/>
        <w:rPr>
          <w:rFonts w:ascii="仿宋" w:hAnsi="仿宋" w:eastAsia="仿宋"/>
          <w:color w:val="000000"/>
          <w:kern w:val="0"/>
          <w:sz w:val="30"/>
          <w:szCs w:val="30"/>
        </w:rPr>
        <w:sectPr>
          <w:pgSz w:w="16838" w:h="11906" w:orient="landscape"/>
          <w:pgMar w:top="1797" w:right="1474" w:bottom="1797" w:left="1247" w:header="851" w:footer="851" w:gutter="0"/>
          <w:pgNumType w:fmt="decimal"/>
          <w:cols w:space="720" w:num="1"/>
        </w:sectPr>
      </w:pPr>
    </w:p>
    <w:p w14:paraId="06A28B74">
      <w:pPr>
        <w:snapToGrid w:val="0"/>
        <w:spacing w:before="120" w:beforeLines="50" w:after="50"/>
        <w:rPr>
          <w:rFonts w:ascii="仿宋" w:hAnsi="仿宋" w:eastAsia="仿宋" w:cs="Times New Roman"/>
          <w:b/>
          <w:color w:val="000000"/>
          <w:sz w:val="30"/>
          <w:szCs w:val="30"/>
        </w:rPr>
      </w:pPr>
      <w:r>
        <w:rPr>
          <w:rFonts w:hint="eastAsia" w:ascii="仿宋" w:hAnsi="仿宋" w:eastAsia="仿宋" w:cs="Times New Roman"/>
          <w:color w:val="000000"/>
          <w:sz w:val="30"/>
          <w:szCs w:val="30"/>
        </w:rPr>
        <w:t>附件16</w:t>
      </w:r>
      <w:r>
        <w:rPr>
          <w:rFonts w:hint="eastAsia" w:ascii="仿宋" w:hAnsi="仿宋" w:eastAsia="仿宋" w:cs="Times New Roman"/>
          <w:b/>
          <w:color w:val="000000"/>
          <w:sz w:val="30"/>
          <w:szCs w:val="30"/>
        </w:rPr>
        <w:t xml:space="preserve">：                                    </w:t>
      </w:r>
    </w:p>
    <w:p w14:paraId="5D80FF6B">
      <w:pPr>
        <w:spacing w:before="240" w:beforeLines="100" w:line="240" w:lineRule="atLeast"/>
        <w:jc w:val="center"/>
        <w:rPr>
          <w:rFonts w:hint="eastAsia" w:ascii="仿宋" w:hAnsi="仿宋" w:eastAsia="仿宋" w:cs="Times New Roman"/>
          <w:b/>
          <w:color w:val="000000"/>
          <w:spacing w:val="40"/>
          <w:sz w:val="52"/>
          <w:szCs w:val="52"/>
          <w:lang w:eastAsia="zh-CN"/>
        </w:rPr>
      </w:pPr>
      <w:bookmarkStart w:id="42" w:name="PO_1000000445_PM002_1"/>
      <w:r>
        <w:rPr>
          <w:rFonts w:hint="eastAsia" w:ascii="仿宋" w:hAnsi="仿宋" w:eastAsia="仿宋" w:cs="Times New Roman"/>
          <w:b/>
          <w:color w:val="000000"/>
          <w:spacing w:val="40"/>
          <w:sz w:val="52"/>
          <w:szCs w:val="52"/>
          <w:lang w:eastAsia="zh-CN"/>
        </w:rPr>
        <w:t>浙江科技大学“浙科智学”数字化教学综合平台</w:t>
      </w:r>
      <w:bookmarkEnd w:id="42"/>
    </w:p>
    <w:p w14:paraId="15308F74">
      <w:pPr>
        <w:spacing w:before="240" w:beforeLines="100" w:line="240" w:lineRule="atLeast"/>
        <w:jc w:val="center"/>
        <w:rPr>
          <w:rFonts w:ascii="仿宋" w:hAnsi="仿宋" w:eastAsia="仿宋" w:cs="Times New Roman"/>
          <w:color w:val="000000"/>
          <w:sz w:val="36"/>
          <w:szCs w:val="36"/>
        </w:rPr>
      </w:pPr>
      <w:r>
        <w:rPr>
          <w:rFonts w:hint="eastAsia" w:ascii="仿宋" w:hAnsi="仿宋" w:eastAsia="仿宋" w:cs="Times New Roman"/>
          <w:color w:val="000000"/>
          <w:sz w:val="36"/>
          <w:szCs w:val="36"/>
        </w:rPr>
        <w:t>项目编号：</w:t>
      </w:r>
      <w:bookmarkStart w:id="43" w:name="PO_1000000445_PM001"/>
      <w:r>
        <w:rPr>
          <w:rFonts w:hint="eastAsia" w:ascii="仿宋" w:hAnsi="仿宋" w:eastAsia="仿宋" w:cs="Times New Roman"/>
          <w:b/>
          <w:color w:val="000000"/>
          <w:sz w:val="36"/>
          <w:szCs w:val="36"/>
          <w:lang w:eastAsia="zh-CN"/>
        </w:rPr>
        <w:t>ZZCG2025X-GK-125</w:t>
      </w:r>
      <w:bookmarkEnd w:id="43"/>
      <w:r>
        <w:rPr>
          <w:rFonts w:hint="eastAsia" w:ascii="仿宋" w:hAnsi="仿宋" w:eastAsia="仿宋" w:cs="Times New Roman"/>
          <w:color w:val="000000"/>
          <w:sz w:val="36"/>
          <w:szCs w:val="36"/>
        </w:rPr>
        <w:t>（标项  ）</w:t>
      </w:r>
    </w:p>
    <w:p w14:paraId="5B89302B">
      <w:pPr>
        <w:spacing w:after="100" w:afterAutospacing="1" w:line="800" w:lineRule="exact"/>
        <w:ind w:right="-108"/>
        <w:jc w:val="center"/>
        <w:rPr>
          <w:rFonts w:ascii="仿宋" w:hAnsi="仿宋" w:eastAsia="仿宋" w:cs="Times New Roman"/>
          <w:b/>
          <w:color w:val="000000"/>
          <w:spacing w:val="40"/>
          <w:sz w:val="84"/>
          <w:szCs w:val="84"/>
        </w:rPr>
      </w:pPr>
    </w:p>
    <w:p w14:paraId="2CEE4DC2">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报</w:t>
      </w:r>
    </w:p>
    <w:p w14:paraId="5687C216">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价</w:t>
      </w:r>
    </w:p>
    <w:p w14:paraId="4369FCF9">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文</w:t>
      </w:r>
    </w:p>
    <w:p w14:paraId="68B237CA">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件</w:t>
      </w:r>
    </w:p>
    <w:p w14:paraId="17029BD3">
      <w:pPr>
        <w:spacing w:line="500" w:lineRule="exact"/>
        <w:ind w:right="532"/>
        <w:jc w:val="center"/>
        <w:rPr>
          <w:rFonts w:ascii="仿宋" w:hAnsi="仿宋" w:eastAsia="仿宋" w:cs="Times New Roman"/>
          <w:color w:val="000000"/>
          <w:sz w:val="36"/>
          <w:szCs w:val="36"/>
        </w:rPr>
      </w:pPr>
    </w:p>
    <w:p w14:paraId="08700318">
      <w:pPr>
        <w:spacing w:line="5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投标人全称：</w:t>
      </w:r>
    </w:p>
    <w:p w14:paraId="36E73FB9">
      <w:pPr>
        <w:wordWrap w:val="0"/>
        <w:spacing w:line="5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地    址：</w:t>
      </w:r>
    </w:p>
    <w:p w14:paraId="77D7B090">
      <w:pPr>
        <w:wordWrap w:val="0"/>
        <w:spacing w:line="5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时    间：</w:t>
      </w:r>
    </w:p>
    <w:p w14:paraId="4D4D2FFF">
      <w:pPr>
        <w:snapToGrid w:val="0"/>
        <w:spacing w:before="50" w:after="50"/>
        <w:rPr>
          <w:rFonts w:ascii="仿宋" w:hAnsi="仿宋" w:eastAsia="仿宋" w:cs="Times New Roman"/>
          <w:color w:val="000000"/>
          <w:sz w:val="30"/>
          <w:szCs w:val="30"/>
        </w:rPr>
      </w:pPr>
    </w:p>
    <w:p w14:paraId="64B3FB9D">
      <w:pPr>
        <w:widowControl w:val="0"/>
        <w:snapToGrid w:val="0"/>
        <w:spacing w:after="120"/>
        <w:ind w:left="0" w:leftChars="0"/>
        <w:jc w:val="both"/>
        <w:rPr>
          <w:rFonts w:ascii="仿宋" w:hAnsi="仿宋" w:eastAsia="仿宋" w:cs="Times New Roman"/>
          <w:b/>
          <w:color w:val="000000"/>
          <w:kern w:val="2"/>
          <w:sz w:val="36"/>
          <w:szCs w:val="36"/>
          <w:lang w:val="en-US" w:eastAsia="zh-CN" w:bidi="ar-SA"/>
        </w:rPr>
      </w:pPr>
      <w:r>
        <w:rPr>
          <w:rFonts w:hint="eastAsia" w:ascii="仿宋" w:hAnsi="仿宋" w:eastAsia="仿宋" w:cs="Times New Roman"/>
          <w:color w:val="000000"/>
          <w:kern w:val="0"/>
          <w:sz w:val="36"/>
          <w:szCs w:val="36"/>
          <w:lang w:val="en-US" w:eastAsia="zh-CN" w:bidi="ar-SA"/>
        </w:rPr>
        <w:br w:type="page"/>
      </w:r>
      <w:r>
        <w:rPr>
          <w:rFonts w:hint="eastAsia" w:ascii="仿宋" w:hAnsi="仿宋" w:eastAsia="仿宋" w:cs="Times New Roman"/>
          <w:color w:val="000000"/>
          <w:kern w:val="2"/>
          <w:sz w:val="36"/>
          <w:szCs w:val="36"/>
          <w:lang w:val="en-US" w:eastAsia="zh-CN" w:bidi="ar-SA"/>
        </w:rPr>
        <w:t>3.</w:t>
      </w:r>
      <w:r>
        <w:rPr>
          <w:rFonts w:hint="eastAsia" w:ascii="仿宋" w:hAnsi="仿宋" w:eastAsia="仿宋" w:cs="Times New Roman"/>
          <w:b/>
          <w:color w:val="000000"/>
          <w:kern w:val="2"/>
          <w:sz w:val="36"/>
          <w:szCs w:val="36"/>
          <w:lang w:val="en-US" w:eastAsia="zh-CN" w:bidi="ar-SA"/>
        </w:rPr>
        <w:t>报价文件目录</w:t>
      </w:r>
    </w:p>
    <w:p w14:paraId="4D40A897">
      <w:pPr>
        <w:rPr>
          <w:rFonts w:ascii="仿宋" w:hAnsi="仿宋" w:eastAsia="仿宋" w:cs="Times New Roman"/>
          <w:color w:val="000000"/>
        </w:rPr>
      </w:pPr>
    </w:p>
    <w:p w14:paraId="11A05CB6">
      <w:pPr>
        <w:widowControl w:val="0"/>
        <w:snapToGrid w:val="0"/>
        <w:spacing w:after="120" w:line="460" w:lineRule="exact"/>
        <w:ind w:left="0" w:leftChars="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（1）开标一览表（见附件17）；</w:t>
      </w:r>
    </w:p>
    <w:p w14:paraId="58A3D5D1">
      <w:pPr>
        <w:widowControl w:val="0"/>
        <w:snapToGrid w:val="0"/>
        <w:spacing w:after="120" w:line="460" w:lineRule="exact"/>
        <w:ind w:left="0" w:leftChars="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（2）投标人针对报价需要说明的其他文件和说明（格式自拟）。</w:t>
      </w:r>
    </w:p>
    <w:p w14:paraId="220028C4">
      <w:pPr>
        <w:widowControl w:val="0"/>
        <w:snapToGrid w:val="0"/>
        <w:spacing w:before="120" w:beforeLines="50" w:after="120" w:afterLines="50" w:line="240" w:lineRule="auto"/>
        <w:jc w:val="left"/>
        <w:rPr>
          <w:rFonts w:ascii="仿宋" w:hAnsi="仿宋" w:eastAsia="仿宋" w:cs="Times New Roman"/>
          <w:b/>
          <w:color w:val="000000"/>
          <w:kern w:val="2"/>
          <w:sz w:val="36"/>
          <w:szCs w:val="36"/>
          <w:lang w:val="en-US" w:eastAsia="zh-CN" w:bidi="ar-SA"/>
        </w:rPr>
      </w:pPr>
      <w:r>
        <w:rPr>
          <w:rFonts w:hint="eastAsia" w:ascii="仿宋" w:hAnsi="仿宋" w:eastAsia="仿宋" w:cs="Times New Roman"/>
          <w:color w:val="000000"/>
          <w:kern w:val="0"/>
          <w:sz w:val="30"/>
          <w:szCs w:val="30"/>
          <w:lang w:val="en-US" w:eastAsia="zh-CN" w:bidi="ar-SA"/>
        </w:rPr>
        <w:br w:type="page"/>
      </w:r>
      <w:r>
        <w:rPr>
          <w:rFonts w:hint="eastAsia" w:ascii="仿宋" w:hAnsi="仿宋" w:eastAsia="仿宋" w:cs="Times New Roman"/>
          <w:color w:val="000000"/>
          <w:kern w:val="2"/>
          <w:sz w:val="30"/>
          <w:szCs w:val="30"/>
          <w:lang w:val="en-US" w:eastAsia="zh-CN" w:bidi="ar-SA"/>
        </w:rPr>
        <w:t>附件17：</w:t>
      </w:r>
    </w:p>
    <w:p w14:paraId="65CAA5B2">
      <w:pPr>
        <w:widowControl w:val="0"/>
        <w:snapToGrid w:val="0"/>
        <w:spacing w:before="120" w:beforeLines="50" w:after="120" w:afterLines="50" w:line="240" w:lineRule="auto"/>
        <w:ind w:firstLine="1084" w:firstLineChars="300"/>
        <w:jc w:val="center"/>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开 标 一 览 表</w:t>
      </w:r>
    </w:p>
    <w:p w14:paraId="27F9892A">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1296F050">
      <w:pPr>
        <w:snapToGrid w:val="0"/>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投标人全称（公章）：</w:t>
      </w:r>
      <w:r>
        <w:rPr>
          <w:rFonts w:hint="eastAsia" w:ascii="仿宋" w:hAnsi="仿宋" w:eastAsia="仿宋" w:cs="Times New Roman"/>
          <w:color w:val="000000"/>
          <w:sz w:val="28"/>
          <w:szCs w:val="28"/>
          <w:u w:val="single"/>
        </w:rPr>
        <w:t xml:space="preserve">               </w:t>
      </w:r>
    </w:p>
    <w:p w14:paraId="4F0EE657">
      <w:pPr>
        <w:snapToGrid w:val="0"/>
        <w:rPr>
          <w:rFonts w:ascii="仿宋" w:hAnsi="仿宋" w:eastAsia="仿宋" w:cs="Times New Roman"/>
          <w:color w:val="000000"/>
          <w:sz w:val="28"/>
          <w:szCs w:val="28"/>
        </w:rPr>
      </w:pPr>
    </w:p>
    <w:p w14:paraId="5004EC8E">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招标编号及标项：</w:t>
      </w:r>
      <w:r>
        <w:rPr>
          <w:rFonts w:hint="eastAsia" w:ascii="仿宋" w:hAnsi="仿宋" w:eastAsia="仿宋" w:cs="Times New Roman"/>
          <w:color w:val="000000"/>
          <w:sz w:val="28"/>
          <w:szCs w:val="28"/>
          <w:u w:val="single"/>
        </w:rPr>
        <w:t xml:space="preserve">                 </w:t>
      </w:r>
    </w:p>
    <w:p w14:paraId="738F2B0F">
      <w:pPr>
        <w:snapToGrid w:val="0"/>
        <w:rPr>
          <w:rFonts w:ascii="仿宋" w:hAnsi="仿宋" w:eastAsia="仿宋" w:cs="Times New Roman"/>
          <w:b/>
          <w:color w:val="000000"/>
          <w:sz w:val="24"/>
          <w:szCs w:val="24"/>
          <w:u w:val="single"/>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7550D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13980DAC">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货物类</w:t>
            </w:r>
          </w:p>
        </w:tc>
      </w:tr>
      <w:tr w14:paraId="5DF21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663E219A">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货物</w:t>
            </w:r>
          </w:p>
          <w:p w14:paraId="5DB10B16">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名称</w:t>
            </w:r>
          </w:p>
        </w:tc>
        <w:tc>
          <w:tcPr>
            <w:tcW w:w="1331" w:type="dxa"/>
            <w:vMerge w:val="restart"/>
            <w:tcBorders>
              <w:top w:val="single" w:color="auto" w:sz="4" w:space="0"/>
              <w:left w:val="single" w:color="auto" w:sz="4" w:space="0"/>
              <w:bottom w:val="nil"/>
              <w:right w:val="single" w:color="auto" w:sz="4" w:space="0"/>
            </w:tcBorders>
            <w:vAlign w:val="center"/>
          </w:tcPr>
          <w:p w14:paraId="714BF117">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品牌</w:t>
            </w:r>
          </w:p>
        </w:tc>
        <w:tc>
          <w:tcPr>
            <w:tcW w:w="1245" w:type="dxa"/>
            <w:vMerge w:val="restart"/>
            <w:tcBorders>
              <w:top w:val="single" w:color="auto" w:sz="4" w:space="0"/>
              <w:left w:val="single" w:color="auto" w:sz="4" w:space="0"/>
              <w:bottom w:val="nil"/>
              <w:right w:val="single" w:color="auto" w:sz="4" w:space="0"/>
            </w:tcBorders>
            <w:vAlign w:val="center"/>
          </w:tcPr>
          <w:p w14:paraId="4CDF2CDB">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产地</w:t>
            </w:r>
          </w:p>
        </w:tc>
        <w:tc>
          <w:tcPr>
            <w:tcW w:w="1245" w:type="dxa"/>
            <w:vMerge w:val="restart"/>
            <w:tcBorders>
              <w:top w:val="single" w:color="auto" w:sz="4" w:space="0"/>
              <w:left w:val="single" w:color="auto" w:sz="4" w:space="0"/>
              <w:bottom w:val="nil"/>
              <w:right w:val="single" w:color="auto" w:sz="4" w:space="0"/>
            </w:tcBorders>
            <w:vAlign w:val="center"/>
          </w:tcPr>
          <w:p w14:paraId="36E9F795">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规格</w:t>
            </w:r>
          </w:p>
          <w:p w14:paraId="028BE6A0">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型号</w:t>
            </w:r>
          </w:p>
        </w:tc>
        <w:tc>
          <w:tcPr>
            <w:tcW w:w="1515" w:type="dxa"/>
            <w:vMerge w:val="restart"/>
            <w:tcBorders>
              <w:top w:val="single" w:color="auto" w:sz="4" w:space="0"/>
              <w:left w:val="single" w:color="auto" w:sz="4" w:space="0"/>
              <w:bottom w:val="nil"/>
              <w:right w:val="single" w:color="auto" w:sz="4" w:space="0"/>
            </w:tcBorders>
            <w:vAlign w:val="center"/>
          </w:tcPr>
          <w:p w14:paraId="1CB61F7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数量</w:t>
            </w:r>
          </w:p>
        </w:tc>
        <w:tc>
          <w:tcPr>
            <w:tcW w:w="1455" w:type="dxa"/>
            <w:vMerge w:val="restart"/>
            <w:tcBorders>
              <w:top w:val="single" w:color="auto" w:sz="4" w:space="0"/>
              <w:left w:val="single" w:color="auto" w:sz="4" w:space="0"/>
              <w:bottom w:val="nil"/>
              <w:right w:val="single" w:color="auto" w:sz="4" w:space="0"/>
            </w:tcBorders>
            <w:vAlign w:val="center"/>
          </w:tcPr>
          <w:p w14:paraId="0A8FDEF4">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w:t>
            </w:r>
          </w:p>
          <w:p w14:paraId="3DB5DE66">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（元）</w:t>
            </w:r>
          </w:p>
        </w:tc>
        <w:tc>
          <w:tcPr>
            <w:tcW w:w="1293" w:type="dxa"/>
            <w:vMerge w:val="restart"/>
            <w:tcBorders>
              <w:top w:val="single" w:color="auto" w:sz="4" w:space="0"/>
              <w:left w:val="single" w:color="auto" w:sz="4" w:space="0"/>
              <w:bottom w:val="nil"/>
              <w:right w:val="single" w:color="auto" w:sz="4" w:space="0"/>
            </w:tcBorders>
            <w:vAlign w:val="center"/>
          </w:tcPr>
          <w:p w14:paraId="1CF16CA3">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tc>
      </w:tr>
      <w:tr w14:paraId="07D98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6A062016">
            <w:pPr>
              <w:widowControl/>
              <w:jc w:val="left"/>
              <w:rPr>
                <w:rFonts w:ascii="仿宋" w:hAnsi="仿宋" w:eastAsia="仿宋" w:cs="Times New Roman"/>
                <w:b/>
                <w:color w:val="000000"/>
                <w:sz w:val="24"/>
                <w:szCs w:val="24"/>
              </w:rPr>
            </w:pPr>
          </w:p>
        </w:tc>
        <w:tc>
          <w:tcPr>
            <w:tcW w:w="1331" w:type="dxa"/>
            <w:vMerge w:val="continue"/>
            <w:tcBorders>
              <w:top w:val="single" w:color="auto" w:sz="4" w:space="0"/>
              <w:left w:val="single" w:color="auto" w:sz="4" w:space="0"/>
              <w:bottom w:val="nil"/>
              <w:right w:val="single" w:color="auto" w:sz="4" w:space="0"/>
            </w:tcBorders>
            <w:vAlign w:val="center"/>
          </w:tcPr>
          <w:p w14:paraId="6FE89ED9">
            <w:pPr>
              <w:widowControl/>
              <w:jc w:val="left"/>
              <w:rPr>
                <w:rFonts w:ascii="仿宋" w:hAnsi="仿宋" w:eastAsia="仿宋" w:cs="Times New Roman"/>
                <w:b/>
                <w:color w:val="000000"/>
                <w:sz w:val="24"/>
                <w:szCs w:val="24"/>
              </w:rPr>
            </w:pPr>
          </w:p>
        </w:tc>
        <w:tc>
          <w:tcPr>
            <w:tcW w:w="1245" w:type="dxa"/>
            <w:vMerge w:val="continue"/>
            <w:tcBorders>
              <w:top w:val="single" w:color="auto" w:sz="4" w:space="0"/>
              <w:left w:val="single" w:color="auto" w:sz="4" w:space="0"/>
              <w:bottom w:val="nil"/>
              <w:right w:val="single" w:color="auto" w:sz="4" w:space="0"/>
            </w:tcBorders>
            <w:vAlign w:val="center"/>
          </w:tcPr>
          <w:p w14:paraId="748F2D98">
            <w:pPr>
              <w:widowControl/>
              <w:jc w:val="left"/>
              <w:rPr>
                <w:rFonts w:ascii="仿宋" w:hAnsi="仿宋" w:eastAsia="仿宋" w:cs="Times New Roman"/>
                <w:b/>
                <w:color w:val="000000"/>
                <w:sz w:val="24"/>
                <w:szCs w:val="24"/>
              </w:rPr>
            </w:pPr>
          </w:p>
        </w:tc>
        <w:tc>
          <w:tcPr>
            <w:tcW w:w="1245" w:type="dxa"/>
            <w:vMerge w:val="continue"/>
            <w:tcBorders>
              <w:top w:val="single" w:color="auto" w:sz="4" w:space="0"/>
              <w:left w:val="single" w:color="auto" w:sz="4" w:space="0"/>
              <w:bottom w:val="nil"/>
              <w:right w:val="single" w:color="auto" w:sz="4" w:space="0"/>
            </w:tcBorders>
            <w:vAlign w:val="center"/>
          </w:tcPr>
          <w:p w14:paraId="5013230F">
            <w:pPr>
              <w:widowControl/>
              <w:jc w:val="left"/>
              <w:rPr>
                <w:rFonts w:ascii="仿宋" w:hAnsi="仿宋" w:eastAsia="仿宋" w:cs="Times New Roman"/>
                <w:b/>
                <w:color w:val="000000"/>
                <w:sz w:val="24"/>
                <w:szCs w:val="24"/>
              </w:rPr>
            </w:pPr>
          </w:p>
        </w:tc>
        <w:tc>
          <w:tcPr>
            <w:tcW w:w="1515" w:type="dxa"/>
            <w:vMerge w:val="continue"/>
            <w:tcBorders>
              <w:top w:val="single" w:color="auto" w:sz="4" w:space="0"/>
              <w:left w:val="single" w:color="auto" w:sz="4" w:space="0"/>
              <w:bottom w:val="nil"/>
              <w:right w:val="single" w:color="auto" w:sz="4" w:space="0"/>
            </w:tcBorders>
            <w:vAlign w:val="center"/>
          </w:tcPr>
          <w:p w14:paraId="5384A614">
            <w:pPr>
              <w:widowControl/>
              <w:jc w:val="left"/>
              <w:rPr>
                <w:rFonts w:ascii="仿宋" w:hAnsi="仿宋" w:eastAsia="仿宋" w:cs="Times New Roman"/>
                <w:b/>
                <w:color w:val="000000"/>
                <w:sz w:val="24"/>
                <w:szCs w:val="24"/>
              </w:rPr>
            </w:pPr>
          </w:p>
        </w:tc>
        <w:tc>
          <w:tcPr>
            <w:tcW w:w="1455" w:type="dxa"/>
            <w:vMerge w:val="continue"/>
            <w:tcBorders>
              <w:top w:val="single" w:color="auto" w:sz="4" w:space="0"/>
              <w:left w:val="single" w:color="auto" w:sz="4" w:space="0"/>
              <w:bottom w:val="nil"/>
              <w:right w:val="single" w:color="auto" w:sz="4" w:space="0"/>
            </w:tcBorders>
            <w:vAlign w:val="center"/>
          </w:tcPr>
          <w:p w14:paraId="474FD7C5">
            <w:pPr>
              <w:widowControl/>
              <w:jc w:val="left"/>
              <w:rPr>
                <w:rFonts w:ascii="仿宋" w:hAnsi="仿宋" w:eastAsia="仿宋" w:cs="Times New Roman"/>
                <w:b/>
                <w:color w:val="000000"/>
                <w:sz w:val="24"/>
                <w:szCs w:val="24"/>
              </w:rPr>
            </w:pPr>
          </w:p>
        </w:tc>
        <w:tc>
          <w:tcPr>
            <w:tcW w:w="1293" w:type="dxa"/>
            <w:vMerge w:val="continue"/>
            <w:tcBorders>
              <w:top w:val="single" w:color="auto" w:sz="4" w:space="0"/>
              <w:left w:val="single" w:color="auto" w:sz="4" w:space="0"/>
              <w:bottom w:val="nil"/>
              <w:right w:val="single" w:color="auto" w:sz="4" w:space="0"/>
            </w:tcBorders>
            <w:vAlign w:val="center"/>
          </w:tcPr>
          <w:p w14:paraId="1C46537D">
            <w:pPr>
              <w:widowControl/>
              <w:jc w:val="left"/>
              <w:rPr>
                <w:rFonts w:ascii="仿宋" w:hAnsi="仿宋" w:eastAsia="仿宋" w:cs="Times New Roman"/>
                <w:b/>
                <w:color w:val="000000"/>
                <w:sz w:val="24"/>
                <w:szCs w:val="24"/>
              </w:rPr>
            </w:pPr>
          </w:p>
        </w:tc>
      </w:tr>
      <w:tr w14:paraId="12572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6F045551">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1331" w:type="dxa"/>
            <w:tcBorders>
              <w:top w:val="single" w:color="auto" w:sz="4" w:space="0"/>
              <w:left w:val="single" w:color="auto" w:sz="4" w:space="0"/>
              <w:bottom w:val="single" w:color="auto" w:sz="4" w:space="0"/>
              <w:right w:val="single" w:color="auto" w:sz="4" w:space="0"/>
            </w:tcBorders>
            <w:vAlign w:val="center"/>
          </w:tcPr>
          <w:p w14:paraId="30763F02">
            <w:pPr>
              <w:snapToGrid w:val="0"/>
              <w:spacing w:line="400" w:lineRule="exact"/>
              <w:jc w:val="center"/>
              <w:rPr>
                <w:rFonts w:ascii="仿宋" w:hAnsi="仿宋" w:eastAsia="仿宋" w:cs="Times New Roman"/>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00F9405">
            <w:pPr>
              <w:snapToGrid w:val="0"/>
              <w:spacing w:line="400" w:lineRule="exact"/>
              <w:jc w:val="center"/>
              <w:rPr>
                <w:rFonts w:ascii="仿宋" w:hAnsi="仿宋" w:eastAsia="仿宋" w:cs="Times New Roman"/>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6051323">
            <w:pPr>
              <w:snapToGrid w:val="0"/>
              <w:spacing w:line="400" w:lineRule="exact"/>
              <w:jc w:val="center"/>
              <w:rPr>
                <w:rFonts w:ascii="仿宋" w:hAnsi="仿宋" w:eastAsia="仿宋" w:cs="Times New Roman"/>
                <w:b/>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14:paraId="3ECB7B8F">
            <w:pPr>
              <w:snapToGrid w:val="0"/>
              <w:spacing w:line="400" w:lineRule="exact"/>
              <w:jc w:val="center"/>
              <w:rPr>
                <w:rFonts w:ascii="仿宋" w:hAnsi="仿宋" w:eastAsia="仿宋" w:cs="Times New Roman"/>
                <w:b/>
                <w:color w:val="000000"/>
                <w:sz w:val="24"/>
                <w:szCs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768B0E56">
            <w:pPr>
              <w:snapToGrid w:val="0"/>
              <w:spacing w:line="400" w:lineRule="exact"/>
              <w:jc w:val="center"/>
              <w:rPr>
                <w:rFonts w:ascii="仿宋" w:hAnsi="仿宋" w:eastAsia="仿宋" w:cs="Times New Roman"/>
                <w:b/>
                <w:color w:val="000000"/>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5DEB6D66">
            <w:pPr>
              <w:snapToGrid w:val="0"/>
              <w:spacing w:line="400" w:lineRule="exact"/>
              <w:jc w:val="center"/>
              <w:rPr>
                <w:rFonts w:ascii="仿宋" w:hAnsi="仿宋" w:eastAsia="仿宋" w:cs="Times New Roman"/>
                <w:b/>
                <w:color w:val="000000"/>
                <w:sz w:val="24"/>
                <w:szCs w:val="24"/>
              </w:rPr>
            </w:pPr>
          </w:p>
        </w:tc>
      </w:tr>
      <w:tr w14:paraId="5AE9F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43C49EEB">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投标总价合计金额大写：                                小写： ￥</w:t>
            </w:r>
          </w:p>
        </w:tc>
      </w:tr>
      <w:tr w14:paraId="4F0C0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5D2446F">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462CB848">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1.此表应按项目的明细情况列项填报,在填写时，如上表不适合本项目的实际情况，可在确保投标明细内容完整的情况下，根据上表格式自行划表填写。</w:t>
            </w:r>
          </w:p>
          <w:p w14:paraId="7382870F">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2.报价要求：项目费用包括项目实施所需的工程费、工时费、服务费、运输费、安装调试费、税费及其他一切费用。</w:t>
            </w:r>
          </w:p>
          <w:p w14:paraId="27FEA69B">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3.报价中不允许出现报价优惠等字样,投标总价合计金额应与明细报价汇总相等。投标总价不为零，报价明细表中部分产品、服务单价为零的，视作已包含在总价中。</w:t>
            </w:r>
          </w:p>
          <w:p w14:paraId="07F43F5F">
            <w:pPr>
              <w:snapToGrid w:val="0"/>
              <w:rPr>
                <w:rFonts w:ascii="仿宋" w:hAnsi="仿宋" w:eastAsia="仿宋" w:cs="Times New Roman"/>
                <w:b/>
                <w:color w:val="000000"/>
                <w:sz w:val="24"/>
                <w:szCs w:val="24"/>
              </w:rPr>
            </w:pPr>
            <w:r>
              <w:rPr>
                <w:rFonts w:hint="eastAsia" w:ascii="仿宋" w:hAnsi="仿宋" w:eastAsia="仿宋" w:cs="Times New Roman"/>
                <w:color w:val="000000"/>
                <w:sz w:val="24"/>
                <w:szCs w:val="24"/>
              </w:rPr>
              <w:t>4</w:t>
            </w:r>
            <w:r>
              <w:rPr>
                <w:rFonts w:hint="eastAsia" w:ascii="仿宋" w:hAnsi="仿宋" w:eastAsia="仿宋" w:cs="Times New Roman"/>
                <w:b/>
                <w:color w:val="000000"/>
                <w:sz w:val="24"/>
                <w:szCs w:val="24"/>
              </w:rPr>
              <w:t>.开标时，招标方在电子交易平台公开投标人的报价信息，投标人对报价信息进行确认。投标人对报价信息不予确认的不影响后续评标过程。</w:t>
            </w:r>
          </w:p>
          <w:p w14:paraId="211C5555">
            <w:pPr>
              <w:snapToGrid w:val="0"/>
              <w:rPr>
                <w:rFonts w:ascii="仿宋" w:hAnsi="仿宋" w:eastAsia="仿宋" w:cs="Times New Roman"/>
                <w:color w:val="000000"/>
                <w:sz w:val="24"/>
                <w:szCs w:val="24"/>
              </w:rPr>
            </w:pPr>
            <w:r>
              <w:rPr>
                <w:rFonts w:hint="eastAsia" w:ascii="仿宋" w:hAnsi="仿宋" w:eastAsia="仿宋" w:cs="Times New Roman"/>
                <w:b/>
                <w:color w:val="000000"/>
                <w:sz w:val="24"/>
                <w:szCs w:val="24"/>
              </w:rPr>
              <w:t>5</w:t>
            </w:r>
            <w:r>
              <w:rPr>
                <w:rFonts w:ascii="仿宋" w:hAnsi="仿宋" w:eastAsia="仿宋" w:cs="Times New Roman"/>
                <w:b/>
                <w:color w:val="000000"/>
                <w:sz w:val="24"/>
                <w:szCs w:val="24"/>
              </w:rPr>
              <w:t>.</w:t>
            </w:r>
            <w:r>
              <w:rPr>
                <w:rFonts w:hint="eastAsia" w:ascii="仿宋" w:hAnsi="仿宋" w:eastAsia="仿宋" w:cs="Times New Roman"/>
                <w:b/>
                <w:color w:val="000000"/>
                <w:sz w:val="24"/>
                <w:szCs w:val="24"/>
              </w:rPr>
              <w:t>报价低于项目预算50%的，应当在报价文件中详细阐述不影响产品质量或者诚信履约的具体原因。</w:t>
            </w:r>
          </w:p>
        </w:tc>
      </w:tr>
    </w:tbl>
    <w:p w14:paraId="3D98C420">
      <w:pPr>
        <w:snapToGrid w:val="0"/>
        <w:spacing w:line="400" w:lineRule="exact"/>
        <w:jc w:val="left"/>
        <w:rPr>
          <w:rFonts w:ascii="仿宋" w:hAnsi="仿宋" w:eastAsia="仿宋" w:cs="Times New Roman"/>
          <w:color w:val="000000"/>
          <w:sz w:val="24"/>
          <w:szCs w:val="24"/>
        </w:rPr>
      </w:pPr>
    </w:p>
    <w:p w14:paraId="7EE31C57">
      <w:pPr>
        <w:snapToGrid w:val="0"/>
        <w:spacing w:line="40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授权代表签名：</w:t>
      </w:r>
      <w:r>
        <w:rPr>
          <w:rFonts w:hint="eastAsia" w:ascii="仿宋" w:hAnsi="仿宋" w:eastAsia="仿宋" w:cs="Times New Roman"/>
          <w:color w:val="000000"/>
          <w:sz w:val="28"/>
          <w:szCs w:val="28"/>
          <w:u w:val="single"/>
        </w:rPr>
        <w:t xml:space="preserve">            </w:t>
      </w:r>
      <w:r>
        <w:rPr>
          <w:rFonts w:hint="eastAsia" w:ascii="仿宋" w:hAnsi="仿宋" w:eastAsia="仿宋" w:cs="Times New Roman"/>
          <w:color w:val="000000"/>
          <w:sz w:val="28"/>
          <w:szCs w:val="28"/>
        </w:rPr>
        <w:t xml:space="preserve">                  日期：</w:t>
      </w:r>
      <w:r>
        <w:rPr>
          <w:rFonts w:hint="eastAsia" w:ascii="仿宋" w:hAnsi="仿宋" w:eastAsia="仿宋" w:cs="Times New Roman"/>
          <w:color w:val="000000"/>
          <w:sz w:val="28"/>
          <w:szCs w:val="28"/>
          <w:u w:val="single"/>
        </w:rPr>
        <w:t xml:space="preserve">           </w:t>
      </w:r>
    </w:p>
    <w:p w14:paraId="7EF913B5">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p>
    <w:p w14:paraId="7C15FAF7">
      <w:pPr>
        <w:widowControl w:val="0"/>
        <w:snapToGrid w:val="0"/>
        <w:spacing w:before="120" w:beforeLines="50" w:after="120" w:afterLines="50" w:line="240" w:lineRule="auto"/>
        <w:ind w:firstLine="1084" w:firstLineChars="300"/>
        <w:jc w:val="center"/>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开 标 一 览 表</w:t>
      </w:r>
    </w:p>
    <w:p w14:paraId="171C54AE">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066FFB7E">
      <w:pPr>
        <w:snapToGrid w:val="0"/>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投标人全称（公章）：</w:t>
      </w:r>
      <w:r>
        <w:rPr>
          <w:rFonts w:hint="eastAsia" w:ascii="仿宋" w:hAnsi="仿宋" w:eastAsia="仿宋" w:cs="Times New Roman"/>
          <w:color w:val="000000"/>
          <w:sz w:val="28"/>
          <w:szCs w:val="28"/>
          <w:u w:val="single"/>
        </w:rPr>
        <w:t xml:space="preserve">                 </w:t>
      </w:r>
    </w:p>
    <w:p w14:paraId="57190535">
      <w:pPr>
        <w:snapToGrid w:val="0"/>
        <w:rPr>
          <w:rFonts w:ascii="仿宋" w:hAnsi="仿宋" w:eastAsia="仿宋" w:cs="Times New Roman"/>
          <w:color w:val="000000"/>
          <w:sz w:val="28"/>
          <w:szCs w:val="28"/>
        </w:rPr>
      </w:pPr>
    </w:p>
    <w:p w14:paraId="13B8FD98">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招标编号及标项：</w:t>
      </w:r>
      <w:r>
        <w:rPr>
          <w:rFonts w:hint="eastAsia" w:ascii="仿宋" w:hAnsi="仿宋" w:eastAsia="仿宋" w:cs="Times New Roman"/>
          <w:color w:val="000000"/>
          <w:sz w:val="28"/>
          <w:szCs w:val="28"/>
          <w:u w:val="single"/>
        </w:rPr>
        <w:t xml:space="preserve">                   </w:t>
      </w:r>
    </w:p>
    <w:p w14:paraId="2A184091">
      <w:pPr>
        <w:snapToGrid w:val="0"/>
        <w:spacing w:line="360" w:lineRule="auto"/>
        <w:rPr>
          <w:rFonts w:ascii="仿宋" w:hAnsi="仿宋" w:eastAsia="仿宋" w:cs="Times New Roman"/>
          <w:color w:val="000000"/>
          <w:sz w:val="30"/>
          <w:szCs w:val="30"/>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658E1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38EF36DC">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服务类</w:t>
            </w:r>
          </w:p>
        </w:tc>
      </w:tr>
      <w:tr w14:paraId="39696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70CDE13C">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56ADA885">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3EFA9553">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工作量</w:t>
            </w:r>
          </w:p>
        </w:tc>
        <w:tc>
          <w:tcPr>
            <w:tcW w:w="1740" w:type="dxa"/>
            <w:vMerge w:val="restart"/>
            <w:tcBorders>
              <w:top w:val="single" w:color="auto" w:sz="4" w:space="0"/>
              <w:left w:val="single" w:color="auto" w:sz="4" w:space="0"/>
              <w:bottom w:val="nil"/>
              <w:right w:val="single" w:color="auto" w:sz="4" w:space="0"/>
            </w:tcBorders>
            <w:vAlign w:val="center"/>
          </w:tcPr>
          <w:p w14:paraId="6F144AD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w:t>
            </w:r>
          </w:p>
          <w:p w14:paraId="28284A68">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（元）</w:t>
            </w:r>
          </w:p>
        </w:tc>
        <w:tc>
          <w:tcPr>
            <w:tcW w:w="2043" w:type="dxa"/>
            <w:vMerge w:val="restart"/>
            <w:tcBorders>
              <w:top w:val="single" w:color="auto" w:sz="4" w:space="0"/>
              <w:left w:val="single" w:color="auto" w:sz="4" w:space="0"/>
              <w:bottom w:val="nil"/>
              <w:right w:val="single" w:color="auto" w:sz="4" w:space="0"/>
            </w:tcBorders>
            <w:vAlign w:val="center"/>
          </w:tcPr>
          <w:p w14:paraId="43E9A998">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tc>
      </w:tr>
      <w:tr w14:paraId="26723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71A43EA2">
            <w:pPr>
              <w:widowControl/>
              <w:jc w:val="left"/>
              <w:rPr>
                <w:rFonts w:ascii="仿宋" w:hAnsi="仿宋" w:eastAsia="仿宋" w:cs="Times New Roman"/>
                <w:b/>
                <w:color w:val="000000"/>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14:paraId="34F798D2">
            <w:pPr>
              <w:widowControl/>
              <w:jc w:val="left"/>
              <w:rPr>
                <w:rFonts w:ascii="仿宋" w:hAnsi="仿宋" w:eastAsia="仿宋" w:cs="Times New Roman"/>
                <w:b/>
                <w:color w:val="000000"/>
                <w:sz w:val="24"/>
                <w:szCs w:val="24"/>
              </w:rPr>
            </w:pPr>
          </w:p>
        </w:tc>
        <w:tc>
          <w:tcPr>
            <w:tcW w:w="1748" w:type="dxa"/>
            <w:vMerge w:val="continue"/>
            <w:tcBorders>
              <w:top w:val="single" w:color="auto" w:sz="4" w:space="0"/>
              <w:left w:val="single" w:color="auto" w:sz="4" w:space="0"/>
              <w:bottom w:val="nil"/>
              <w:right w:val="single" w:color="auto" w:sz="4" w:space="0"/>
            </w:tcBorders>
            <w:vAlign w:val="center"/>
          </w:tcPr>
          <w:p w14:paraId="46416488">
            <w:pPr>
              <w:widowControl/>
              <w:jc w:val="left"/>
              <w:rPr>
                <w:rFonts w:ascii="仿宋" w:hAnsi="仿宋" w:eastAsia="仿宋" w:cs="Times New Roman"/>
                <w:b/>
                <w:color w:val="000000"/>
                <w:sz w:val="24"/>
                <w:szCs w:val="24"/>
              </w:rPr>
            </w:pPr>
          </w:p>
        </w:tc>
        <w:tc>
          <w:tcPr>
            <w:tcW w:w="1740" w:type="dxa"/>
            <w:vMerge w:val="continue"/>
            <w:tcBorders>
              <w:top w:val="single" w:color="auto" w:sz="4" w:space="0"/>
              <w:left w:val="single" w:color="auto" w:sz="4" w:space="0"/>
              <w:bottom w:val="nil"/>
              <w:right w:val="single" w:color="auto" w:sz="4" w:space="0"/>
            </w:tcBorders>
            <w:vAlign w:val="center"/>
          </w:tcPr>
          <w:p w14:paraId="325B4A04">
            <w:pPr>
              <w:widowControl/>
              <w:jc w:val="left"/>
              <w:rPr>
                <w:rFonts w:ascii="仿宋" w:hAnsi="仿宋" w:eastAsia="仿宋" w:cs="Times New Roman"/>
                <w:b/>
                <w:color w:val="000000"/>
                <w:sz w:val="24"/>
                <w:szCs w:val="24"/>
              </w:rPr>
            </w:pPr>
          </w:p>
        </w:tc>
        <w:tc>
          <w:tcPr>
            <w:tcW w:w="2043" w:type="dxa"/>
            <w:vMerge w:val="continue"/>
            <w:tcBorders>
              <w:top w:val="single" w:color="auto" w:sz="4" w:space="0"/>
              <w:left w:val="single" w:color="auto" w:sz="4" w:space="0"/>
              <w:bottom w:val="nil"/>
              <w:right w:val="single" w:color="auto" w:sz="4" w:space="0"/>
            </w:tcBorders>
            <w:vAlign w:val="center"/>
          </w:tcPr>
          <w:p w14:paraId="29F6C026">
            <w:pPr>
              <w:widowControl/>
              <w:jc w:val="left"/>
              <w:rPr>
                <w:rFonts w:ascii="仿宋" w:hAnsi="仿宋" w:eastAsia="仿宋" w:cs="Times New Roman"/>
                <w:b/>
                <w:color w:val="000000"/>
                <w:sz w:val="24"/>
                <w:szCs w:val="24"/>
              </w:rPr>
            </w:pPr>
          </w:p>
        </w:tc>
      </w:tr>
      <w:tr w14:paraId="1851B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457DF390">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14:paraId="6A8ACD5E">
            <w:pPr>
              <w:snapToGrid w:val="0"/>
              <w:spacing w:line="400" w:lineRule="exact"/>
              <w:jc w:val="center"/>
              <w:rPr>
                <w:rFonts w:ascii="仿宋" w:hAnsi="仿宋" w:eastAsia="仿宋" w:cs="Times New Roman"/>
                <w:b/>
                <w:color w:val="000000"/>
                <w:sz w:val="24"/>
                <w:szCs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4BE235E8">
            <w:pPr>
              <w:snapToGrid w:val="0"/>
              <w:spacing w:line="400" w:lineRule="exact"/>
              <w:jc w:val="center"/>
              <w:rPr>
                <w:rFonts w:ascii="仿宋" w:hAnsi="仿宋" w:eastAsia="仿宋" w:cs="Times New Roman"/>
                <w:b/>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vAlign w:val="center"/>
          </w:tcPr>
          <w:p w14:paraId="50018E4E">
            <w:pPr>
              <w:snapToGrid w:val="0"/>
              <w:spacing w:line="400" w:lineRule="exact"/>
              <w:jc w:val="center"/>
              <w:rPr>
                <w:rFonts w:ascii="仿宋" w:hAnsi="仿宋" w:eastAsia="仿宋" w:cs="Times New Roman"/>
                <w:b/>
                <w:color w:val="000000"/>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14:paraId="1B870FA8">
            <w:pPr>
              <w:snapToGrid w:val="0"/>
              <w:spacing w:line="400" w:lineRule="exact"/>
              <w:jc w:val="center"/>
              <w:rPr>
                <w:rFonts w:ascii="仿宋" w:hAnsi="仿宋" w:eastAsia="仿宋" w:cs="Times New Roman"/>
                <w:b/>
                <w:color w:val="000000"/>
                <w:sz w:val="24"/>
                <w:szCs w:val="24"/>
              </w:rPr>
            </w:pPr>
          </w:p>
        </w:tc>
      </w:tr>
      <w:tr w14:paraId="2BFD5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5CCCB29">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投标总价合计金额大写：                                小写： ￥</w:t>
            </w:r>
          </w:p>
        </w:tc>
      </w:tr>
      <w:tr w14:paraId="16372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5B4697F">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4E2AF5CD">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1.此表应按项目的明细情况列项填报,在填写时，如上表不适合本项目的实际情况，可在确保投标明细内容完整的情况下，根据上表格式自行划表填写。</w:t>
            </w:r>
          </w:p>
          <w:p w14:paraId="61726630">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2.报价要求：项目费用包括项目实施所需的工程费、工时费、服务费、运输费、安装调试费、税费及其他一切费用。</w:t>
            </w:r>
          </w:p>
          <w:p w14:paraId="01038954">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3.报价中不允许出现报价优惠等字样,投标总价合计金额应与明细报价汇总相等。投标总价不为零，报价明细表中部分产品、服务单价为零的，视作已包含在总价中。</w:t>
            </w:r>
          </w:p>
          <w:p w14:paraId="709509DA">
            <w:pPr>
              <w:snapToGrid w:val="0"/>
              <w:rPr>
                <w:rFonts w:ascii="仿宋" w:hAnsi="仿宋" w:eastAsia="仿宋" w:cs="Times New Roman"/>
                <w:b/>
                <w:color w:val="000000"/>
                <w:sz w:val="24"/>
                <w:szCs w:val="24"/>
              </w:rPr>
            </w:pPr>
            <w:r>
              <w:rPr>
                <w:rFonts w:hint="eastAsia" w:ascii="仿宋" w:hAnsi="仿宋" w:eastAsia="仿宋" w:cs="Times New Roman"/>
                <w:b/>
                <w:color w:val="000000"/>
                <w:sz w:val="24"/>
              </w:rPr>
              <w:t>4</w:t>
            </w:r>
            <w:r>
              <w:rPr>
                <w:rFonts w:hint="eastAsia" w:ascii="仿宋" w:hAnsi="仿宋" w:eastAsia="仿宋" w:cs="Times New Roman"/>
                <w:b/>
                <w:color w:val="000000"/>
                <w:sz w:val="24"/>
                <w:szCs w:val="24"/>
              </w:rPr>
              <w:t>.开标时，招标方在电子交易平台公开投标人的报价信息，投标人对报价信息进行确认。投标人对报价信息不予确认的不影响后续评标过程。</w:t>
            </w:r>
          </w:p>
          <w:p w14:paraId="5C994829">
            <w:pPr>
              <w:snapToGrid w:val="0"/>
              <w:rPr>
                <w:rFonts w:ascii="仿宋" w:hAnsi="仿宋" w:eastAsia="仿宋" w:cs="Times New Roman"/>
                <w:color w:val="000000"/>
                <w:sz w:val="24"/>
                <w:szCs w:val="24"/>
              </w:rPr>
            </w:pPr>
            <w:r>
              <w:rPr>
                <w:rFonts w:hint="eastAsia" w:ascii="仿宋" w:hAnsi="仿宋" w:eastAsia="仿宋" w:cs="Times New Roman"/>
                <w:b/>
                <w:color w:val="000000"/>
                <w:sz w:val="24"/>
                <w:szCs w:val="24"/>
              </w:rPr>
              <w:t>5</w:t>
            </w:r>
            <w:r>
              <w:rPr>
                <w:rFonts w:ascii="仿宋" w:hAnsi="仿宋" w:eastAsia="仿宋" w:cs="Times New Roman"/>
                <w:b/>
                <w:color w:val="000000"/>
                <w:sz w:val="24"/>
                <w:szCs w:val="24"/>
              </w:rPr>
              <w:t>.</w:t>
            </w:r>
            <w:r>
              <w:rPr>
                <w:rFonts w:hint="eastAsia" w:ascii="仿宋" w:hAnsi="仿宋" w:eastAsia="仿宋" w:cs="Times New Roman"/>
                <w:b/>
                <w:color w:val="000000"/>
                <w:sz w:val="24"/>
                <w:szCs w:val="24"/>
              </w:rPr>
              <w:t>报价低于项目预算50%的，应当在报价文件中详细阐述不影响产品质量或者诚信履约的具体原因。</w:t>
            </w:r>
          </w:p>
        </w:tc>
      </w:tr>
    </w:tbl>
    <w:p w14:paraId="5C474722">
      <w:pPr>
        <w:snapToGrid w:val="0"/>
        <w:spacing w:line="360" w:lineRule="auto"/>
        <w:rPr>
          <w:rFonts w:ascii="仿宋" w:hAnsi="仿宋" w:eastAsia="仿宋" w:cs="Times New Roman"/>
          <w:color w:val="000000"/>
          <w:sz w:val="30"/>
          <w:szCs w:val="30"/>
        </w:rPr>
      </w:pPr>
    </w:p>
    <w:p w14:paraId="0A2A9331">
      <w:pPr>
        <w:snapToGrid w:val="0"/>
        <w:spacing w:line="40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授权代表签名：</w:t>
      </w:r>
      <w:r>
        <w:rPr>
          <w:rFonts w:hint="eastAsia" w:ascii="仿宋" w:hAnsi="仿宋" w:eastAsia="仿宋" w:cs="Times New Roman"/>
          <w:color w:val="000000"/>
          <w:sz w:val="28"/>
          <w:szCs w:val="28"/>
          <w:u w:val="single"/>
        </w:rPr>
        <w:t xml:space="preserve">               </w:t>
      </w:r>
      <w:r>
        <w:rPr>
          <w:rFonts w:hint="eastAsia" w:ascii="仿宋" w:hAnsi="仿宋" w:eastAsia="仿宋" w:cs="Times New Roman"/>
          <w:color w:val="000000"/>
          <w:sz w:val="28"/>
          <w:szCs w:val="28"/>
        </w:rPr>
        <w:t xml:space="preserve">               日期：</w:t>
      </w:r>
      <w:r>
        <w:rPr>
          <w:rFonts w:hint="eastAsia" w:ascii="仿宋" w:hAnsi="仿宋" w:eastAsia="仿宋" w:cs="Times New Roman"/>
          <w:color w:val="000000"/>
          <w:sz w:val="28"/>
          <w:szCs w:val="28"/>
          <w:u w:val="single"/>
        </w:rPr>
        <w:t xml:space="preserve">            </w:t>
      </w:r>
    </w:p>
    <w:p w14:paraId="27706FE2">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p>
    <w:p w14:paraId="6696EABA">
      <w:pPr>
        <w:widowControl w:val="0"/>
        <w:snapToGrid w:val="0"/>
        <w:spacing w:before="120" w:beforeLines="50" w:after="120" w:afterLines="50" w:line="240" w:lineRule="auto"/>
        <w:jc w:val="center"/>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开 标 一 览 表</w:t>
      </w:r>
    </w:p>
    <w:p w14:paraId="5009EE9D">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32D48328">
      <w:pPr>
        <w:snapToGrid w:val="0"/>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投标人全称（公章）：</w:t>
      </w:r>
      <w:r>
        <w:rPr>
          <w:rFonts w:hint="eastAsia" w:ascii="仿宋" w:hAnsi="仿宋" w:eastAsia="仿宋" w:cs="Times New Roman"/>
          <w:color w:val="000000"/>
          <w:sz w:val="28"/>
          <w:szCs w:val="28"/>
          <w:u w:val="single"/>
        </w:rPr>
        <w:t xml:space="preserve">             </w:t>
      </w:r>
    </w:p>
    <w:p w14:paraId="0E294F9B">
      <w:pPr>
        <w:snapToGrid w:val="0"/>
        <w:rPr>
          <w:rFonts w:ascii="仿宋" w:hAnsi="仿宋" w:eastAsia="仿宋" w:cs="Times New Roman"/>
          <w:color w:val="000000"/>
          <w:sz w:val="28"/>
          <w:szCs w:val="28"/>
        </w:rPr>
      </w:pPr>
    </w:p>
    <w:p w14:paraId="33566C66">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招标编号及标项：</w:t>
      </w:r>
      <w:r>
        <w:rPr>
          <w:rFonts w:hint="eastAsia" w:ascii="仿宋" w:hAnsi="仿宋" w:eastAsia="仿宋" w:cs="Times New Roman"/>
          <w:color w:val="000000"/>
          <w:sz w:val="28"/>
          <w:szCs w:val="28"/>
          <w:u w:val="single"/>
        </w:rPr>
        <w:t xml:space="preserve">               </w:t>
      </w:r>
    </w:p>
    <w:p w14:paraId="5EC6700A">
      <w:pPr>
        <w:snapToGrid w:val="0"/>
        <w:rPr>
          <w:rFonts w:ascii="仿宋" w:hAnsi="仿宋" w:eastAsia="仿宋" w:cs="Times New Roman"/>
          <w:b/>
          <w:color w:val="000000"/>
          <w:sz w:val="24"/>
          <w:szCs w:val="24"/>
          <w:u w:val="single"/>
        </w:rPr>
      </w:pPr>
    </w:p>
    <w:tbl>
      <w:tblPr>
        <w:tblStyle w:val="60"/>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272F0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4BFF47C9">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工程类</w:t>
            </w:r>
          </w:p>
        </w:tc>
      </w:tr>
      <w:tr w14:paraId="189DB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070FC8A6">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461D04B5">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1F5436E1">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1C3B7C09">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66AC2897">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单价（元）</w:t>
            </w:r>
          </w:p>
        </w:tc>
        <w:tc>
          <w:tcPr>
            <w:tcW w:w="1838" w:type="dxa"/>
            <w:vMerge w:val="restart"/>
            <w:tcBorders>
              <w:top w:val="single" w:color="auto" w:sz="4" w:space="0"/>
              <w:left w:val="single" w:color="auto" w:sz="4" w:space="0"/>
              <w:bottom w:val="nil"/>
              <w:right w:val="single" w:color="auto" w:sz="4" w:space="0"/>
            </w:tcBorders>
            <w:vAlign w:val="center"/>
          </w:tcPr>
          <w:p w14:paraId="5B73051C">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tc>
      </w:tr>
      <w:tr w14:paraId="49251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2ACF8217">
            <w:pPr>
              <w:widowControl/>
              <w:jc w:val="left"/>
              <w:rPr>
                <w:rFonts w:ascii="仿宋" w:hAnsi="仿宋" w:eastAsia="仿宋" w:cs="Times New Roman"/>
                <w:b/>
                <w:color w:val="000000"/>
                <w:sz w:val="24"/>
                <w:szCs w:val="24"/>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4A11EA6B">
            <w:pPr>
              <w:widowControl/>
              <w:jc w:val="left"/>
              <w:rPr>
                <w:rFonts w:ascii="仿宋" w:hAnsi="仿宋" w:eastAsia="仿宋" w:cs="Times New Roman"/>
                <w:b/>
                <w:color w:val="000000"/>
                <w:sz w:val="24"/>
                <w:szCs w:val="24"/>
              </w:rPr>
            </w:pPr>
          </w:p>
        </w:tc>
        <w:tc>
          <w:tcPr>
            <w:tcW w:w="1515" w:type="dxa"/>
            <w:vMerge w:val="continue"/>
            <w:tcBorders>
              <w:top w:val="single" w:color="auto" w:sz="4" w:space="0"/>
              <w:left w:val="single" w:color="auto" w:sz="4" w:space="0"/>
              <w:bottom w:val="nil"/>
              <w:right w:val="single" w:color="auto" w:sz="4" w:space="0"/>
            </w:tcBorders>
            <w:vAlign w:val="center"/>
          </w:tcPr>
          <w:p w14:paraId="15775EBA">
            <w:pPr>
              <w:widowControl/>
              <w:jc w:val="left"/>
              <w:rPr>
                <w:rFonts w:ascii="仿宋" w:hAnsi="仿宋" w:eastAsia="仿宋" w:cs="Times New Roman"/>
                <w:b/>
                <w:color w:val="000000"/>
                <w:sz w:val="24"/>
                <w:szCs w:val="24"/>
              </w:rPr>
            </w:pPr>
          </w:p>
        </w:tc>
        <w:tc>
          <w:tcPr>
            <w:tcW w:w="1560" w:type="dxa"/>
            <w:vMerge w:val="continue"/>
            <w:tcBorders>
              <w:top w:val="single" w:color="auto" w:sz="4" w:space="0"/>
              <w:left w:val="single" w:color="auto" w:sz="4" w:space="0"/>
              <w:bottom w:val="nil"/>
              <w:right w:val="single" w:color="auto" w:sz="4" w:space="0"/>
            </w:tcBorders>
            <w:vAlign w:val="center"/>
          </w:tcPr>
          <w:p w14:paraId="4F1CD6A8">
            <w:pPr>
              <w:widowControl/>
              <w:jc w:val="left"/>
              <w:rPr>
                <w:rFonts w:ascii="仿宋" w:hAnsi="仿宋" w:eastAsia="仿宋" w:cs="Times New Roman"/>
                <w:b/>
                <w:color w:val="000000"/>
                <w:sz w:val="24"/>
                <w:szCs w:val="24"/>
              </w:rPr>
            </w:pPr>
          </w:p>
        </w:tc>
        <w:tc>
          <w:tcPr>
            <w:tcW w:w="1710" w:type="dxa"/>
            <w:vMerge w:val="continue"/>
            <w:tcBorders>
              <w:top w:val="single" w:color="auto" w:sz="4" w:space="0"/>
              <w:left w:val="single" w:color="auto" w:sz="4" w:space="0"/>
              <w:bottom w:val="nil"/>
              <w:right w:val="single" w:color="auto" w:sz="4" w:space="0"/>
            </w:tcBorders>
            <w:vAlign w:val="center"/>
          </w:tcPr>
          <w:p w14:paraId="5A3BE204">
            <w:pPr>
              <w:widowControl/>
              <w:jc w:val="left"/>
              <w:rPr>
                <w:rFonts w:ascii="仿宋" w:hAnsi="仿宋" w:eastAsia="仿宋" w:cs="Times New Roman"/>
                <w:b/>
                <w:color w:val="000000"/>
                <w:sz w:val="24"/>
                <w:szCs w:val="24"/>
              </w:rPr>
            </w:pPr>
          </w:p>
        </w:tc>
        <w:tc>
          <w:tcPr>
            <w:tcW w:w="1838" w:type="dxa"/>
            <w:vMerge w:val="continue"/>
            <w:tcBorders>
              <w:top w:val="single" w:color="auto" w:sz="4" w:space="0"/>
              <w:left w:val="single" w:color="auto" w:sz="4" w:space="0"/>
              <w:bottom w:val="nil"/>
              <w:right w:val="single" w:color="auto" w:sz="4" w:space="0"/>
            </w:tcBorders>
            <w:vAlign w:val="center"/>
          </w:tcPr>
          <w:p w14:paraId="176173A3">
            <w:pPr>
              <w:widowControl/>
              <w:jc w:val="left"/>
              <w:rPr>
                <w:rFonts w:ascii="仿宋" w:hAnsi="仿宋" w:eastAsia="仿宋" w:cs="Times New Roman"/>
                <w:b/>
                <w:color w:val="000000"/>
                <w:sz w:val="24"/>
                <w:szCs w:val="24"/>
              </w:rPr>
            </w:pPr>
          </w:p>
        </w:tc>
      </w:tr>
      <w:tr w14:paraId="3FC26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291CAA49">
            <w:pPr>
              <w:widowControl/>
              <w:jc w:val="left"/>
              <w:rPr>
                <w:rFonts w:ascii="仿宋" w:hAnsi="仿宋" w:eastAsia="仿宋" w:cs="Times New Roman"/>
                <w:b/>
                <w:color w:val="000000"/>
                <w:sz w:val="24"/>
                <w:szCs w:val="24"/>
              </w:rPr>
            </w:pPr>
          </w:p>
        </w:tc>
        <w:tc>
          <w:tcPr>
            <w:tcW w:w="1332" w:type="dxa"/>
            <w:tcBorders>
              <w:top w:val="single" w:color="auto" w:sz="4" w:space="0"/>
              <w:left w:val="single" w:color="auto" w:sz="4" w:space="0"/>
              <w:bottom w:val="nil"/>
              <w:right w:val="single" w:color="auto" w:sz="4" w:space="0"/>
            </w:tcBorders>
            <w:vAlign w:val="center"/>
          </w:tcPr>
          <w:p w14:paraId="54A827A6">
            <w:pPr>
              <w:widowControl/>
              <w:jc w:val="left"/>
              <w:rPr>
                <w:rFonts w:ascii="仿宋" w:hAnsi="仿宋" w:eastAsia="仿宋" w:cs="Times New Roman"/>
                <w:b/>
                <w:color w:val="000000"/>
                <w:sz w:val="24"/>
                <w:szCs w:val="24"/>
              </w:rPr>
            </w:pPr>
          </w:p>
        </w:tc>
        <w:tc>
          <w:tcPr>
            <w:tcW w:w="1515" w:type="dxa"/>
            <w:tcBorders>
              <w:top w:val="single" w:color="auto" w:sz="4" w:space="0"/>
              <w:left w:val="single" w:color="auto" w:sz="4" w:space="0"/>
              <w:bottom w:val="nil"/>
              <w:right w:val="single" w:color="auto" w:sz="4" w:space="0"/>
            </w:tcBorders>
            <w:vAlign w:val="center"/>
          </w:tcPr>
          <w:p w14:paraId="138EEC6F">
            <w:pPr>
              <w:widowControl/>
              <w:jc w:val="left"/>
              <w:rPr>
                <w:rFonts w:ascii="仿宋" w:hAnsi="仿宋" w:eastAsia="仿宋" w:cs="Times New Roman"/>
                <w:b/>
                <w:color w:val="000000"/>
                <w:sz w:val="24"/>
                <w:szCs w:val="24"/>
              </w:rPr>
            </w:pPr>
          </w:p>
        </w:tc>
        <w:tc>
          <w:tcPr>
            <w:tcW w:w="1560" w:type="dxa"/>
            <w:tcBorders>
              <w:top w:val="single" w:color="auto" w:sz="4" w:space="0"/>
              <w:left w:val="single" w:color="auto" w:sz="4" w:space="0"/>
              <w:bottom w:val="nil"/>
              <w:right w:val="single" w:color="auto" w:sz="4" w:space="0"/>
            </w:tcBorders>
            <w:vAlign w:val="center"/>
          </w:tcPr>
          <w:p w14:paraId="11911C9B">
            <w:pPr>
              <w:widowControl/>
              <w:jc w:val="left"/>
              <w:rPr>
                <w:rFonts w:ascii="仿宋" w:hAnsi="仿宋" w:eastAsia="仿宋" w:cs="Times New Roman"/>
                <w:b/>
                <w:color w:val="000000"/>
                <w:sz w:val="24"/>
                <w:szCs w:val="24"/>
              </w:rPr>
            </w:pPr>
          </w:p>
        </w:tc>
        <w:tc>
          <w:tcPr>
            <w:tcW w:w="1710" w:type="dxa"/>
            <w:tcBorders>
              <w:top w:val="single" w:color="auto" w:sz="4" w:space="0"/>
              <w:left w:val="single" w:color="auto" w:sz="4" w:space="0"/>
              <w:bottom w:val="nil"/>
              <w:right w:val="single" w:color="auto" w:sz="4" w:space="0"/>
            </w:tcBorders>
            <w:vAlign w:val="center"/>
          </w:tcPr>
          <w:p w14:paraId="076C926D">
            <w:pPr>
              <w:widowControl/>
              <w:jc w:val="left"/>
              <w:rPr>
                <w:rFonts w:ascii="仿宋" w:hAnsi="仿宋" w:eastAsia="仿宋" w:cs="Times New Roman"/>
                <w:b/>
                <w:color w:val="000000"/>
                <w:sz w:val="24"/>
                <w:szCs w:val="24"/>
              </w:rPr>
            </w:pPr>
          </w:p>
        </w:tc>
        <w:tc>
          <w:tcPr>
            <w:tcW w:w="1838" w:type="dxa"/>
            <w:tcBorders>
              <w:top w:val="single" w:color="auto" w:sz="4" w:space="0"/>
              <w:left w:val="single" w:color="auto" w:sz="4" w:space="0"/>
              <w:bottom w:val="nil"/>
              <w:right w:val="single" w:color="auto" w:sz="4" w:space="0"/>
            </w:tcBorders>
            <w:vAlign w:val="center"/>
          </w:tcPr>
          <w:p w14:paraId="02478BD1">
            <w:pPr>
              <w:widowControl/>
              <w:jc w:val="left"/>
              <w:rPr>
                <w:rFonts w:ascii="仿宋" w:hAnsi="仿宋" w:eastAsia="仿宋" w:cs="Times New Roman"/>
                <w:b/>
                <w:color w:val="000000"/>
                <w:sz w:val="24"/>
                <w:szCs w:val="24"/>
              </w:rPr>
            </w:pPr>
          </w:p>
        </w:tc>
      </w:tr>
      <w:tr w14:paraId="3CB18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7D5FF79B">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1332" w:type="dxa"/>
            <w:tcBorders>
              <w:top w:val="single" w:color="auto" w:sz="4" w:space="0"/>
              <w:left w:val="single" w:color="auto" w:sz="4" w:space="0"/>
              <w:bottom w:val="single" w:color="auto" w:sz="4" w:space="0"/>
              <w:right w:val="single" w:color="auto" w:sz="4" w:space="0"/>
            </w:tcBorders>
            <w:vAlign w:val="center"/>
          </w:tcPr>
          <w:p w14:paraId="47C5DDD9">
            <w:pPr>
              <w:snapToGrid w:val="0"/>
              <w:spacing w:line="400" w:lineRule="exact"/>
              <w:jc w:val="center"/>
              <w:rPr>
                <w:rFonts w:ascii="仿宋" w:hAnsi="仿宋" w:eastAsia="仿宋" w:cs="Times New Roman"/>
                <w:b/>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14:paraId="7F349BE5">
            <w:pPr>
              <w:snapToGrid w:val="0"/>
              <w:spacing w:line="400" w:lineRule="exact"/>
              <w:jc w:val="center"/>
              <w:rPr>
                <w:rFonts w:ascii="仿宋" w:hAnsi="仿宋" w:eastAsia="仿宋" w:cs="Times New Roman"/>
                <w:b/>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3ADBE7E">
            <w:pPr>
              <w:snapToGrid w:val="0"/>
              <w:spacing w:line="400" w:lineRule="exact"/>
              <w:jc w:val="center"/>
              <w:rPr>
                <w:rFonts w:ascii="仿宋" w:hAnsi="仿宋" w:eastAsia="仿宋" w:cs="Times New Roman"/>
                <w:b/>
                <w:color w:val="00000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63D5D428">
            <w:pPr>
              <w:snapToGrid w:val="0"/>
              <w:spacing w:line="400" w:lineRule="exact"/>
              <w:jc w:val="center"/>
              <w:rPr>
                <w:rFonts w:ascii="仿宋" w:hAnsi="仿宋" w:eastAsia="仿宋" w:cs="Times New Roman"/>
                <w:b/>
                <w:color w:val="00000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5C7CBCC2">
            <w:pPr>
              <w:snapToGrid w:val="0"/>
              <w:spacing w:line="400" w:lineRule="exact"/>
              <w:jc w:val="center"/>
              <w:rPr>
                <w:rFonts w:ascii="仿宋" w:hAnsi="仿宋" w:eastAsia="仿宋" w:cs="Times New Roman"/>
                <w:b/>
                <w:color w:val="000000"/>
                <w:sz w:val="24"/>
                <w:szCs w:val="24"/>
              </w:rPr>
            </w:pPr>
          </w:p>
        </w:tc>
      </w:tr>
      <w:tr w14:paraId="1CFB2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4D4EA144">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投标总价合计金额大写：小写：￥</w:t>
            </w:r>
          </w:p>
        </w:tc>
      </w:tr>
      <w:tr w14:paraId="46FCE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341FAB98">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5EB80C61">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1.此表应按项目的明细情况列项填报,在填写时，如上表不适合本项目的实际情况，可在确保投标明细内容完整的情况下，根据上表格式自行划表填写。</w:t>
            </w:r>
          </w:p>
          <w:p w14:paraId="6C30426B">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2.报价要求：项目费用包括项目实施所需的工程费、工时费、服务费、运输费、安装调试费、税费及其他一切费用。</w:t>
            </w:r>
          </w:p>
          <w:p w14:paraId="195CC6FB">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3.报价中不允许出现报价优惠等字样,投标总价合计金额应与明细报价汇总相等。投标总价不为零，报价明细表中部分产品、服务单价为零的，视作已包含在总价中。</w:t>
            </w:r>
          </w:p>
          <w:p w14:paraId="236F1A79">
            <w:pPr>
              <w:snapToGrid w:val="0"/>
              <w:rPr>
                <w:rFonts w:ascii="仿宋" w:hAnsi="仿宋" w:eastAsia="仿宋" w:cs="Times New Roman"/>
                <w:color w:val="000000"/>
                <w:sz w:val="24"/>
                <w:szCs w:val="24"/>
              </w:rPr>
            </w:pPr>
            <w:r>
              <w:rPr>
                <w:rFonts w:hint="eastAsia" w:ascii="仿宋" w:hAnsi="仿宋" w:eastAsia="仿宋" w:cs="Times New Roman"/>
                <w:b/>
                <w:color w:val="000000"/>
                <w:sz w:val="24"/>
              </w:rPr>
              <w:t>4.</w:t>
            </w:r>
            <w:r>
              <w:rPr>
                <w:rFonts w:hint="eastAsia" w:ascii="仿宋" w:hAnsi="仿宋" w:eastAsia="仿宋" w:cs="Times New Roman"/>
                <w:b/>
                <w:color w:val="000000"/>
                <w:sz w:val="24"/>
                <w:szCs w:val="24"/>
              </w:rPr>
              <w:t>开标时，招标方在电子交易平台公开投标人的报价信息，投标人对报价信息进行确认。投标人对报价信息不予确认的不影响后续评标过程。</w:t>
            </w:r>
          </w:p>
          <w:p w14:paraId="6B51F619">
            <w:pPr>
              <w:snapToGrid w:val="0"/>
              <w:rPr>
                <w:rFonts w:ascii="仿宋" w:hAnsi="仿宋" w:eastAsia="仿宋" w:cs="Times New Roman"/>
                <w:color w:val="000000"/>
                <w:sz w:val="24"/>
                <w:szCs w:val="24"/>
              </w:rPr>
            </w:pPr>
            <w:r>
              <w:rPr>
                <w:rFonts w:hint="eastAsia" w:ascii="仿宋" w:hAnsi="仿宋" w:eastAsia="仿宋" w:cs="Times New Roman"/>
                <w:b/>
                <w:color w:val="000000"/>
                <w:sz w:val="24"/>
                <w:szCs w:val="24"/>
              </w:rPr>
              <w:t>5</w:t>
            </w:r>
            <w:r>
              <w:rPr>
                <w:rFonts w:ascii="仿宋" w:hAnsi="仿宋" w:eastAsia="仿宋" w:cs="Times New Roman"/>
                <w:b/>
                <w:color w:val="000000"/>
                <w:sz w:val="24"/>
                <w:szCs w:val="24"/>
              </w:rPr>
              <w:t>.</w:t>
            </w:r>
            <w:r>
              <w:rPr>
                <w:rFonts w:hint="eastAsia" w:ascii="仿宋" w:hAnsi="仿宋" w:eastAsia="仿宋" w:cs="Times New Roman"/>
                <w:b/>
                <w:color w:val="000000"/>
                <w:sz w:val="24"/>
                <w:szCs w:val="24"/>
              </w:rPr>
              <w:t>报价低于项目预算50%的，应当在报价文件中详细阐述不影响产品质量或者诚信履约的具体原因。</w:t>
            </w:r>
          </w:p>
        </w:tc>
      </w:tr>
    </w:tbl>
    <w:p w14:paraId="3B81CBB7">
      <w:pPr>
        <w:snapToGrid w:val="0"/>
        <w:spacing w:line="40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授权代表签名：</w:t>
      </w:r>
      <w:r>
        <w:rPr>
          <w:rFonts w:hint="eastAsia" w:ascii="仿宋" w:hAnsi="仿宋" w:eastAsia="仿宋" w:cs="Times New Roman"/>
          <w:color w:val="000000"/>
          <w:sz w:val="28"/>
          <w:szCs w:val="28"/>
          <w:u w:val="single"/>
        </w:rPr>
        <w:t xml:space="preserve">                </w:t>
      </w:r>
      <w:r>
        <w:rPr>
          <w:rFonts w:hint="eastAsia" w:ascii="仿宋" w:hAnsi="仿宋" w:eastAsia="仿宋" w:cs="Times New Roman"/>
          <w:color w:val="000000"/>
          <w:sz w:val="28"/>
          <w:szCs w:val="28"/>
        </w:rPr>
        <w:t xml:space="preserve">                日期：</w:t>
      </w:r>
      <w:r>
        <w:rPr>
          <w:rFonts w:hint="eastAsia" w:ascii="仿宋" w:hAnsi="仿宋" w:eastAsia="仿宋" w:cs="Times New Roman"/>
          <w:color w:val="000000"/>
          <w:sz w:val="28"/>
          <w:szCs w:val="28"/>
          <w:u w:val="single"/>
        </w:rPr>
        <w:t xml:space="preserve">        </w:t>
      </w:r>
    </w:p>
    <w:p w14:paraId="1816C1DD">
      <w:pPr>
        <w:widowControl w:val="0"/>
        <w:spacing w:line="200" w:lineRule="exact"/>
        <w:ind w:firstLine="301"/>
        <w:jc w:val="both"/>
        <w:rPr>
          <w:rFonts w:ascii="宋体" w:hAnsi="Courier New" w:eastAsia="宋体" w:cs="Times New Roman"/>
          <w:spacing w:val="-4"/>
          <w:kern w:val="2"/>
          <w:sz w:val="18"/>
          <w:szCs w:val="20"/>
          <w:lang w:val="en-US" w:eastAsia="zh-CN" w:bidi="ar-SA"/>
        </w:rPr>
      </w:pPr>
    </w:p>
    <w:p w14:paraId="1C8C0E9E"/>
    <w:sectPr>
      <w:headerReference r:id="rId7" w:type="first"/>
      <w:footerReference r:id="rId10" w:type="first"/>
      <w:headerReference r:id="rId6" w:type="default"/>
      <w:footerReference r:id="rId8" w:type="default"/>
      <w:footerReference r:id="rId9"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456EC">
    <w:pPr>
      <w:widowControl w:val="0"/>
      <w:tabs>
        <w:tab w:val="center" w:pos="4153"/>
        <w:tab w:val="right" w:pos="8306"/>
      </w:tabs>
      <w:snapToGrid w:val="0"/>
      <w:rPr>
        <w:rFonts w:ascii="宋体" w:hAnsi="宋体" w:eastAsia="宋体" w:cs="Times New Roman"/>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3F74E">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13F74E">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3F6FF">
    <w:pPr>
      <w:widowControl w:val="0"/>
      <w:tabs>
        <w:tab w:val="center" w:pos="4153"/>
        <w:tab w:val="right" w:pos="8306"/>
      </w:tabs>
      <w:snapToGrid w:val="0"/>
      <w:rPr>
        <w:rFonts w:ascii="宋体" w:hAnsi="宋体" w:eastAsia="宋体" w:cs="Times New Roman"/>
        <w:kern w:val="2"/>
        <w:sz w:val="21"/>
        <w:szCs w:val="21"/>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57688">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3457688">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51B8">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E7BDC">
                          <w:pPr>
                            <w:pStyle w:val="3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51E7BDC">
                    <w:pPr>
                      <w:pStyle w:val="3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696C8">
    <w:pPr>
      <w:pStyle w:val="39"/>
      <w:ind w:right="720" w:firstLine="180" w:firstLineChars="1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8415B">
                          <w:pPr>
                            <w:pStyle w:val="3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78415B">
                    <w:pPr>
                      <w:pStyle w:val="39"/>
                    </w:pPr>
                    <w:r>
                      <w:fldChar w:fldCharType="begin"/>
                    </w:r>
                    <w:r>
                      <w:instrText xml:space="preserve"> PAGE  \* MERGEFORMAT </w:instrText>
                    </w:r>
                    <w:r>
                      <w:fldChar w:fldCharType="separate"/>
                    </w:r>
                    <w:r>
                      <w:t>93</w:t>
                    </w:r>
                    <w:r>
                      <w:fldChar w:fldCharType="end"/>
                    </w:r>
                  </w:p>
                </w:txbxContent>
              </v:textbox>
            </v:shape>
          </w:pict>
        </mc:Fallback>
      </mc:AlternateContent>
    </w:r>
  </w:p>
  <w:p w14:paraId="5C36FE7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158C2">
    <w:pPr>
      <w:pStyle w:val="39"/>
      <w:framePr w:wrap="around" w:vAnchor="text" w:hAnchor="margin" w:xAlign="outside" w:y="1"/>
      <w:rPr>
        <w:rStyle w:val="67"/>
      </w:rPr>
    </w:pPr>
    <w:r>
      <w:fldChar w:fldCharType="begin"/>
    </w:r>
    <w:r>
      <w:rPr>
        <w:rStyle w:val="67"/>
      </w:rPr>
      <w:instrText xml:space="preserve">PAGE  </w:instrText>
    </w:r>
    <w:r>
      <w:fldChar w:fldCharType="end"/>
    </w:r>
  </w:p>
  <w:p w14:paraId="4288AF78">
    <w:pPr>
      <w:pStyle w:val="39"/>
      <w:ind w:right="360" w:firstLine="360"/>
    </w:pPr>
  </w:p>
  <w:p w14:paraId="37D0095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04E95">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4695">
    <w:pPr>
      <w:pStyle w:val="283"/>
    </w:pPr>
  </w:p>
  <w:p w14:paraId="7CF8C5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28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29119A4"/>
    <w:rsid w:val="0CF6679F"/>
    <w:rsid w:val="19E37A74"/>
    <w:rsid w:val="1E156C87"/>
    <w:rsid w:val="23BA0DDD"/>
    <w:rsid w:val="25171665"/>
    <w:rsid w:val="2BAA429E"/>
    <w:rsid w:val="5674612B"/>
    <w:rsid w:val="5B2B14B5"/>
    <w:rsid w:val="5D3C3D86"/>
    <w:rsid w:val="614B350A"/>
    <w:rsid w:val="657422F1"/>
    <w:rsid w:val="688E788F"/>
    <w:rsid w:val="6E06112F"/>
    <w:rsid w:val="7292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30"/>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5"/>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8"/>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9"/>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0"/>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1"/>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7"/>
    <w:semiHidden/>
    <w:unhideWhenUsed/>
    <w:qFormat/>
    <w:uiPriority w:val="99"/>
    <w:pPr>
      <w:spacing w:line="200" w:lineRule="exact"/>
      <w:ind w:firstLine="301"/>
    </w:pPr>
    <w:rPr>
      <w:rFonts w:ascii="宋体" w:hAnsi="Courier New"/>
      <w:spacing w:val="-4"/>
      <w:sz w:val="18"/>
      <w:szCs w:val="20"/>
    </w:rPr>
  </w:style>
  <w:style w:type="paragraph" w:styleId="12">
    <w:name w:val="List 3"/>
    <w:basedOn w:val="1"/>
    <w:semiHidden/>
    <w:unhideWhenUsed/>
    <w:qFormat/>
    <w:uiPriority w:val="99"/>
    <w:pPr>
      <w:ind w:left="100" w:leftChars="400" w:hanging="200" w:hangingChars="200"/>
    </w:pPr>
    <w:rPr>
      <w:rFonts w:ascii="Times New Roman" w:hAnsi="Times New Roman"/>
      <w:szCs w:val="20"/>
    </w:rPr>
  </w:style>
  <w:style w:type="paragraph" w:styleId="13">
    <w:name w:val="toc 7"/>
    <w:basedOn w:val="1"/>
    <w:next w:val="1"/>
    <w:semiHidden/>
    <w:unhideWhenUsed/>
    <w:qFormat/>
    <w:uiPriority w:val="39"/>
    <w:pPr>
      <w:ind w:left="1260"/>
      <w:jc w:val="left"/>
    </w:pPr>
    <w:rPr>
      <w:rFonts w:ascii="Times New Roman" w:hAnsi="Times New Roman"/>
      <w:sz w:val="18"/>
      <w:szCs w:val="18"/>
    </w:rPr>
  </w:style>
  <w:style w:type="paragraph" w:styleId="14">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6">
    <w:name w:val="List Bullet 4"/>
    <w:basedOn w:val="1"/>
    <w:semiHidden/>
    <w:unhideWhenUsed/>
    <w:qFormat/>
    <w:uiPriority w:val="99"/>
    <w:pPr>
      <w:numPr>
        <w:ilvl w:val="0"/>
        <w:numId w:val="2"/>
      </w:numPr>
    </w:pPr>
    <w:rPr>
      <w:rFonts w:ascii="Times New Roman" w:hAnsi="Times New Roman"/>
      <w:szCs w:val="24"/>
    </w:rPr>
  </w:style>
  <w:style w:type="paragraph" w:styleId="17">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3"/>
    <w:semiHidden/>
    <w:unhideWhenUsed/>
    <w:qFormat/>
    <w:uiPriority w:val="99"/>
    <w:pPr>
      <w:ind w:firstLine="420"/>
    </w:pPr>
    <w:rPr>
      <w:szCs w:val="20"/>
    </w:rPr>
  </w:style>
  <w:style w:type="paragraph" w:styleId="19">
    <w:name w:val="caption"/>
    <w:basedOn w:val="1"/>
    <w:next w:val="1"/>
    <w:link w:val="108"/>
    <w:semiHidden/>
    <w:unhideWhenUsed/>
    <w:qFormat/>
    <w:uiPriority w:val="35"/>
    <w:pPr>
      <w:spacing w:before="152" w:after="160"/>
    </w:pPr>
    <w:rPr>
      <w:rFonts w:ascii="Arial" w:hAnsi="Arial" w:eastAsia="黑体"/>
      <w:sz w:val="20"/>
      <w:szCs w:val="20"/>
    </w:rPr>
  </w:style>
  <w:style w:type="paragraph" w:styleId="20">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2"/>
    <w:semiHidden/>
    <w:unhideWhenUsed/>
    <w:qFormat/>
    <w:uiPriority w:val="99"/>
    <w:rPr>
      <w:rFonts w:ascii="宋体"/>
      <w:sz w:val="18"/>
      <w:szCs w:val="18"/>
    </w:rPr>
  </w:style>
  <w:style w:type="paragraph" w:styleId="22">
    <w:name w:val="annotation text"/>
    <w:basedOn w:val="1"/>
    <w:link w:val="969"/>
    <w:unhideWhenUsed/>
    <w:qFormat/>
    <w:uiPriority w:val="0"/>
    <w:pPr>
      <w:jc w:val="left"/>
    </w:pPr>
  </w:style>
  <w:style w:type="paragraph" w:styleId="23">
    <w:name w:val="Salutation"/>
    <w:basedOn w:val="1"/>
    <w:next w:val="1"/>
    <w:link w:val="84"/>
    <w:semiHidden/>
    <w:unhideWhenUsed/>
    <w:qFormat/>
    <w:uiPriority w:val="99"/>
    <w:rPr>
      <w:rFonts w:ascii="宋体" w:hAnsi="Times New Roman"/>
      <w:b/>
      <w:sz w:val="28"/>
      <w:szCs w:val="20"/>
    </w:rPr>
  </w:style>
  <w:style w:type="paragraph" w:styleId="24">
    <w:name w:val="Body Text 3"/>
    <w:basedOn w:val="1"/>
    <w:link w:val="85"/>
    <w:semiHidden/>
    <w:unhideWhenUsed/>
    <w:qFormat/>
    <w:uiPriority w:val="99"/>
    <w:pPr>
      <w:snapToGrid w:val="0"/>
      <w:spacing w:before="50" w:after="50"/>
    </w:pPr>
    <w:rPr>
      <w:rFonts w:ascii="Times New Roman" w:hAnsi="宋体" w:eastAsia="仿宋_GB2312"/>
      <w:b/>
      <w:bCs/>
      <w:sz w:val="24"/>
      <w:szCs w:val="20"/>
    </w:rPr>
  </w:style>
  <w:style w:type="paragraph" w:styleId="25">
    <w:name w:val="Body Text"/>
    <w:basedOn w:val="1"/>
    <w:next w:val="26"/>
    <w:link w:val="86"/>
    <w:qFormat/>
    <w:uiPriority w:val="1"/>
    <w:pPr>
      <w:spacing w:after="120"/>
    </w:pPr>
    <w:rPr>
      <w:sz w:val="28"/>
      <w:szCs w:val="24"/>
    </w:rPr>
  </w:style>
  <w:style w:type="paragraph" w:customStyle="1" w:styleId="26">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styleId="27">
    <w:name w:val="List Number 3"/>
    <w:basedOn w:val="1"/>
    <w:semiHidden/>
    <w:unhideWhenUsed/>
    <w:qFormat/>
    <w:uiPriority w:val="99"/>
    <w:pPr>
      <w:numPr>
        <w:ilvl w:val="0"/>
        <w:numId w:val="3"/>
      </w:numPr>
    </w:pPr>
    <w:rPr>
      <w:rFonts w:ascii="Times New Roman" w:hAnsi="Times New Roman"/>
      <w:szCs w:val="24"/>
    </w:rPr>
  </w:style>
  <w:style w:type="paragraph" w:styleId="28">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semiHidden/>
    <w:unhideWhenUsed/>
    <w:qFormat/>
    <w:uiPriority w:val="39"/>
    <w:pPr>
      <w:ind w:left="840" w:leftChars="400"/>
    </w:pPr>
  </w:style>
  <w:style w:type="paragraph" w:styleId="32">
    <w:name w:val="Plain Text"/>
    <w:basedOn w:val="1"/>
    <w:link w:val="88"/>
    <w:semiHidden/>
    <w:unhideWhenUsed/>
    <w:qFormat/>
    <w:uiPriority w:val="99"/>
    <w:pPr>
      <w:spacing w:beforeLines="50" w:afterLines="50" w:line="400" w:lineRule="exact"/>
    </w:pPr>
    <w:rPr>
      <w:rFonts w:ascii="宋体" w:hAnsi="Courier New"/>
      <w:sz w:val="24"/>
      <w:szCs w:val="24"/>
    </w:rPr>
  </w:style>
  <w:style w:type="paragraph" w:styleId="33">
    <w:name w:val="List Bullet 5"/>
    <w:basedOn w:val="1"/>
    <w:semiHidden/>
    <w:unhideWhenUsed/>
    <w:qFormat/>
    <w:uiPriority w:val="99"/>
    <w:pPr>
      <w:numPr>
        <w:ilvl w:val="0"/>
        <w:numId w:val="4"/>
      </w:numPr>
    </w:pPr>
    <w:rPr>
      <w:rFonts w:ascii="Times New Roman" w:hAnsi="Times New Roman"/>
      <w:szCs w:val="24"/>
    </w:rPr>
  </w:style>
  <w:style w:type="paragraph" w:styleId="34">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89"/>
    <w:semiHidden/>
    <w:unhideWhenUsed/>
    <w:qFormat/>
    <w:uiPriority w:val="99"/>
    <w:pPr>
      <w:ind w:left="2500" w:leftChars="2500"/>
    </w:pPr>
    <w:rPr>
      <w:rFonts w:eastAsia="楷体_GB2312"/>
      <w:sz w:val="32"/>
      <w:szCs w:val="20"/>
    </w:rPr>
  </w:style>
  <w:style w:type="paragraph" w:styleId="36">
    <w:name w:val="Body Text Indent 2"/>
    <w:basedOn w:val="1"/>
    <w:link w:val="90"/>
    <w:semiHidden/>
    <w:unhideWhenUsed/>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91"/>
    <w:semiHidden/>
    <w:unhideWhenUsed/>
    <w:qFormat/>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2"/>
    <w:semiHidden/>
    <w:unhideWhenUsed/>
    <w:qFormat/>
    <w:uiPriority w:val="99"/>
    <w:rPr>
      <w:sz w:val="18"/>
      <w:szCs w:val="18"/>
    </w:rPr>
  </w:style>
  <w:style w:type="paragraph" w:styleId="39">
    <w:name w:val="footer"/>
    <w:basedOn w:val="1"/>
    <w:link w:val="819"/>
    <w:unhideWhenUsed/>
    <w:qFormat/>
    <w:uiPriority w:val="99"/>
    <w:pPr>
      <w:tabs>
        <w:tab w:val="center" w:pos="4153"/>
        <w:tab w:val="right" w:pos="8306"/>
      </w:tabs>
      <w:snapToGrid w:val="0"/>
      <w:jc w:val="left"/>
    </w:pPr>
    <w:rPr>
      <w:sz w:val="18"/>
      <w:szCs w:val="18"/>
    </w:rPr>
  </w:style>
  <w:style w:type="paragraph" w:styleId="40">
    <w:name w:val="header"/>
    <w:basedOn w:val="1"/>
    <w:link w:val="380"/>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2">
    <w:name w:val="toc 4"/>
    <w:basedOn w:val="1"/>
    <w:next w:val="1"/>
    <w:semiHidden/>
    <w:unhideWhenUsed/>
    <w:qFormat/>
    <w:uiPriority w:val="39"/>
    <w:pPr>
      <w:ind w:left="1260" w:leftChars="600"/>
    </w:pPr>
  </w:style>
  <w:style w:type="paragraph" w:styleId="43">
    <w:name w:val="Subtitle"/>
    <w:basedOn w:val="1"/>
    <w:link w:val="95"/>
    <w:qFormat/>
    <w:uiPriority w:val="11"/>
    <w:pPr>
      <w:spacing w:afterLines="50"/>
      <w:jc w:val="center"/>
    </w:pPr>
    <w:rPr>
      <w:rFonts w:ascii="Times New Roman" w:hAnsi="Times New Roman" w:eastAsia="Times New Roman"/>
      <w:sz w:val="18"/>
      <w:szCs w:val="18"/>
    </w:rPr>
  </w:style>
  <w:style w:type="paragraph" w:styleId="44">
    <w:name w:val="List"/>
    <w:basedOn w:val="1"/>
    <w:semiHidden/>
    <w:unhideWhenUsed/>
    <w:qFormat/>
    <w:uiPriority w:val="99"/>
    <w:pPr>
      <w:ind w:left="200" w:hanging="200" w:hangingChars="200"/>
    </w:pPr>
    <w:rPr>
      <w:rFonts w:ascii="Times New Roman" w:hAnsi="Times New Roman"/>
      <w:sz w:val="28"/>
      <w:szCs w:val="24"/>
    </w:rPr>
  </w:style>
  <w:style w:type="paragraph" w:styleId="45">
    <w:name w:val="footnote text"/>
    <w:basedOn w:val="1"/>
    <w:link w:val="96"/>
    <w:semiHidden/>
    <w:unhideWhenUsed/>
    <w:qFormat/>
    <w:uiPriority w:val="99"/>
    <w:pPr>
      <w:snapToGrid w:val="0"/>
      <w:jc w:val="left"/>
    </w:pPr>
    <w:rPr>
      <w:sz w:val="18"/>
      <w:szCs w:val="18"/>
    </w:rPr>
  </w:style>
  <w:style w:type="paragraph" w:styleId="46">
    <w:name w:val="toc 6"/>
    <w:basedOn w:val="1"/>
    <w:next w:val="1"/>
    <w:semiHidden/>
    <w:unhideWhenUsed/>
    <w:qFormat/>
    <w:uiPriority w:val="39"/>
    <w:pPr>
      <w:ind w:left="1050"/>
      <w:jc w:val="left"/>
    </w:pPr>
    <w:rPr>
      <w:rFonts w:ascii="Times New Roman" w:hAnsi="Times New Roman"/>
      <w:sz w:val="18"/>
      <w:szCs w:val="18"/>
    </w:rPr>
  </w:style>
  <w:style w:type="paragraph" w:styleId="47">
    <w:name w:val="Body Text Indent 3"/>
    <w:basedOn w:val="1"/>
    <w:link w:val="97"/>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semiHidden/>
    <w:unhideWhenUsed/>
    <w:qFormat/>
    <w:uiPriority w:val="39"/>
    <w:pPr>
      <w:ind w:left="1680"/>
      <w:jc w:val="left"/>
    </w:pPr>
    <w:rPr>
      <w:rFonts w:ascii="Times New Roman" w:hAnsi="Times New Roman"/>
      <w:sz w:val="18"/>
      <w:szCs w:val="18"/>
    </w:rPr>
  </w:style>
  <w:style w:type="paragraph" w:styleId="51">
    <w:name w:val="Body Text 2"/>
    <w:basedOn w:val="1"/>
    <w:link w:val="98"/>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semiHidden/>
    <w:unhideWhenUsed/>
    <w:qFormat/>
    <w:uiPriority w:val="99"/>
    <w:rPr>
      <w:rFonts w:ascii="Courier New" w:hAnsi="Courier New"/>
      <w:sz w:val="20"/>
      <w:szCs w:val="20"/>
    </w:rPr>
  </w:style>
  <w:style w:type="paragraph" w:styleId="5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semiHidden/>
    <w:unhideWhenUsed/>
    <w:qFormat/>
    <w:uiPriority w:val="99"/>
    <w:rPr>
      <w:rFonts w:ascii="Times New Roman" w:hAnsi="Times New Roman"/>
      <w:szCs w:val="20"/>
    </w:rPr>
  </w:style>
  <w:style w:type="paragraph" w:styleId="56">
    <w:name w:val="Title"/>
    <w:basedOn w:val="1"/>
    <w:link w:val="100"/>
    <w:qFormat/>
    <w:uiPriority w:val="10"/>
    <w:pPr>
      <w:spacing w:before="240" w:after="60"/>
      <w:jc w:val="center"/>
      <w:outlineLvl w:val="0"/>
    </w:pPr>
    <w:rPr>
      <w:rFonts w:ascii="Arial" w:hAnsi="Arial"/>
      <w:b/>
      <w:bCs/>
      <w:sz w:val="32"/>
      <w:szCs w:val="32"/>
    </w:rPr>
  </w:style>
  <w:style w:type="paragraph" w:styleId="57">
    <w:name w:val="annotation subject"/>
    <w:basedOn w:val="22"/>
    <w:next w:val="22"/>
    <w:link w:val="963"/>
    <w:semiHidden/>
    <w:unhideWhenUsed/>
    <w:qFormat/>
    <w:uiPriority w:val="99"/>
    <w:rPr>
      <w:b/>
      <w:bCs/>
    </w:rPr>
  </w:style>
  <w:style w:type="paragraph" w:styleId="58">
    <w:name w:val="Body Text First Indent"/>
    <w:basedOn w:val="25"/>
    <w:link w:val="103"/>
    <w:semiHidden/>
    <w:unhideWhenUsed/>
    <w:qFormat/>
    <w:uiPriority w:val="99"/>
    <w:pPr>
      <w:ind w:firstLine="420" w:firstLineChars="100"/>
    </w:pPr>
    <w:rPr>
      <w:sz w:val="21"/>
      <w:szCs w:val="22"/>
    </w:rPr>
  </w:style>
  <w:style w:type="paragraph" w:styleId="59">
    <w:name w:val="Body Text First Indent 2"/>
    <w:basedOn w:val="2"/>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semiHidden/>
    <w:unhideWhenUsed/>
    <w:qFormat/>
    <w:uiPriority w:val="99"/>
  </w:style>
  <w:style w:type="character" w:styleId="68">
    <w:name w:val="FollowedHyperlink"/>
    <w:semiHidden/>
    <w:unhideWhenUsed/>
    <w:qFormat/>
    <w:uiPriority w:val="99"/>
    <w:rPr>
      <w:color w:val="800080"/>
      <w:u w:val="single"/>
    </w:rPr>
  </w:style>
  <w:style w:type="character" w:styleId="69">
    <w:name w:val="Emphasis"/>
    <w:qFormat/>
    <w:uiPriority w:val="20"/>
    <w:rPr>
      <w:color w:val="CC0033"/>
    </w:rPr>
  </w:style>
  <w:style w:type="character" w:styleId="70">
    <w:name w:val="Hyperlink"/>
    <w:semiHidden/>
    <w:unhideWhenUsed/>
    <w:qFormat/>
    <w:uiPriority w:val="99"/>
    <w:rPr>
      <w:color w:val="0000FF"/>
      <w:u w:val="single"/>
    </w:rPr>
  </w:style>
  <w:style w:type="character" w:styleId="71">
    <w:name w:val="annotation reference"/>
    <w:unhideWhenUsed/>
    <w:qFormat/>
    <w:uiPriority w:val="99"/>
    <w:rPr>
      <w:sz w:val="21"/>
      <w:szCs w:val="21"/>
    </w:rPr>
  </w:style>
  <w:style w:type="character" w:styleId="72">
    <w:name w:val="footnote reference"/>
    <w:semiHidden/>
    <w:unhideWhenUsed/>
    <w:qFormat/>
    <w:uiPriority w:val="99"/>
    <w:rPr>
      <w:vertAlign w:val="superscript"/>
    </w:rPr>
  </w:style>
  <w:style w:type="character" w:customStyle="1" w:styleId="73">
    <w:name w:val="标题 1 字符"/>
    <w:basedOn w:val="65"/>
    <w:link w:val="3"/>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5"/>
    <w:qFormat/>
    <w:uiPriority w:val="9"/>
    <w:rPr>
      <w:rFonts w:ascii="Calibri" w:hAnsi="Calibri" w:eastAsia="宋体" w:cs="Times New Roman"/>
      <w:b/>
      <w:bCs/>
      <w:sz w:val="32"/>
      <w:szCs w:val="32"/>
    </w:rPr>
  </w:style>
  <w:style w:type="character" w:customStyle="1" w:styleId="76">
    <w:name w:val="标题 4 字符"/>
    <w:basedOn w:val="65"/>
    <w:link w:val="6"/>
    <w:qFormat/>
    <w:uiPriority w:val="0"/>
    <w:rPr>
      <w:rFonts w:ascii="Arial" w:hAnsi="Arial" w:eastAsia="黑体" w:cs="Times New Roman"/>
      <w:b/>
      <w:bCs/>
      <w:sz w:val="28"/>
      <w:szCs w:val="28"/>
    </w:rPr>
  </w:style>
  <w:style w:type="character" w:customStyle="1" w:styleId="77">
    <w:name w:val="标题 5 字符"/>
    <w:basedOn w:val="65"/>
    <w:link w:val="7"/>
    <w:qFormat/>
    <w:uiPriority w:val="0"/>
    <w:rPr>
      <w:rFonts w:ascii="Calibri" w:hAnsi="Calibri" w:eastAsia="宋体" w:cs="Times New Roman"/>
      <w:b/>
      <w:bCs/>
      <w:sz w:val="28"/>
      <w:szCs w:val="28"/>
    </w:rPr>
  </w:style>
  <w:style w:type="character" w:customStyle="1" w:styleId="78">
    <w:name w:val="标题 6 字符"/>
    <w:basedOn w:val="65"/>
    <w:link w:val="8"/>
    <w:qFormat/>
    <w:uiPriority w:val="0"/>
    <w:rPr>
      <w:rFonts w:ascii="Arial" w:hAnsi="Arial" w:eastAsia="黑体" w:cs="Times New Roman"/>
      <w:b/>
      <w:bCs/>
      <w:sz w:val="24"/>
      <w:szCs w:val="24"/>
    </w:rPr>
  </w:style>
  <w:style w:type="character" w:customStyle="1" w:styleId="79">
    <w:name w:val="标题 7 字符"/>
    <w:basedOn w:val="65"/>
    <w:link w:val="9"/>
    <w:qFormat/>
    <w:uiPriority w:val="99"/>
    <w:rPr>
      <w:rFonts w:ascii="Calibri" w:hAnsi="Calibri" w:eastAsia="宋体" w:cs="Times New Roman"/>
      <w:b/>
      <w:bCs/>
      <w:sz w:val="24"/>
      <w:szCs w:val="24"/>
    </w:rPr>
  </w:style>
  <w:style w:type="character" w:customStyle="1" w:styleId="80">
    <w:name w:val="标题 8 字符"/>
    <w:basedOn w:val="65"/>
    <w:link w:val="10"/>
    <w:qFormat/>
    <w:uiPriority w:val="99"/>
    <w:rPr>
      <w:rFonts w:ascii="Cambria" w:hAnsi="Cambria" w:eastAsia="宋体" w:cs="Times New Roman"/>
      <w:sz w:val="24"/>
      <w:szCs w:val="24"/>
    </w:rPr>
  </w:style>
  <w:style w:type="character" w:customStyle="1" w:styleId="81">
    <w:name w:val="标题 9 字符"/>
    <w:basedOn w:val="65"/>
    <w:link w:val="11"/>
    <w:qFormat/>
    <w:uiPriority w:val="99"/>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5"/>
    <w:qFormat/>
    <w:uiPriority w:val="99"/>
    <w:rPr>
      <w:rFonts w:ascii="Calibri" w:hAnsi="Calibri" w:eastAsia="宋体" w:cs="Times New Roman"/>
      <w:sz w:val="28"/>
      <w:szCs w:val="24"/>
    </w:rPr>
  </w:style>
  <w:style w:type="character" w:customStyle="1" w:styleId="87">
    <w:name w:val="正文文本缩进 字符1"/>
    <w:basedOn w:val="65"/>
    <w:link w:val="2"/>
    <w:qFormat/>
    <w:uiPriority w:val="99"/>
    <w:rPr>
      <w:rFonts w:ascii="宋体" w:hAnsi="Courier New" w:eastAsia="宋体" w:cs="Times New Roman"/>
      <w:spacing w:val="-4"/>
      <w:sz w:val="18"/>
      <w:szCs w:val="20"/>
    </w:rPr>
  </w:style>
  <w:style w:type="character" w:customStyle="1" w:styleId="88">
    <w:name w:val="纯文本 字符"/>
    <w:basedOn w:val="65"/>
    <w:link w:val="32"/>
    <w:qFormat/>
    <w:uiPriority w:val="99"/>
    <w:rPr>
      <w:rFonts w:ascii="宋体" w:hAnsi="Courier New" w:eastAsia="宋体" w:cs="Times New Roman"/>
      <w:sz w:val="24"/>
      <w:szCs w:val="24"/>
    </w:rPr>
  </w:style>
  <w:style w:type="character" w:customStyle="1" w:styleId="89">
    <w:name w:val="日期 字符"/>
    <w:basedOn w:val="65"/>
    <w:link w:val="35"/>
    <w:qFormat/>
    <w:uiPriority w:val="0"/>
    <w:rPr>
      <w:rFonts w:ascii="Calibri" w:hAnsi="Calibri" w:eastAsia="楷体_GB2312" w:cs="Times New Roman"/>
      <w:sz w:val="32"/>
      <w:szCs w:val="20"/>
    </w:rPr>
  </w:style>
  <w:style w:type="character" w:customStyle="1" w:styleId="90">
    <w:name w:val="正文文本缩进 2 字符"/>
    <w:basedOn w:val="65"/>
    <w:link w:val="36"/>
    <w:qFormat/>
    <w:uiPriority w:val="99"/>
    <w:rPr>
      <w:rFonts w:ascii="仿宋_GB2312" w:hAnsi="宋体" w:eastAsia="宋体" w:cs="Times New Roman"/>
      <w:b/>
      <w:bCs/>
      <w:color w:val="000000"/>
      <w:sz w:val="24"/>
      <w:szCs w:val="24"/>
    </w:rPr>
  </w:style>
  <w:style w:type="character" w:customStyle="1" w:styleId="91">
    <w:name w:val="尾注文本 字符"/>
    <w:basedOn w:val="65"/>
    <w:link w:val="37"/>
    <w:qFormat/>
    <w:uiPriority w:val="99"/>
    <w:rPr>
      <w:rFonts w:ascii="宋体" w:hAnsi="Calibri" w:eastAsia="宋体" w:cs="Times New Roman"/>
      <w:snapToGrid w:val="0"/>
      <w:kern w:val="0"/>
      <w:szCs w:val="20"/>
    </w:rPr>
  </w:style>
  <w:style w:type="character" w:customStyle="1" w:styleId="92">
    <w:name w:val="批注框文本 字符"/>
    <w:basedOn w:val="65"/>
    <w:link w:val="38"/>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3"/>
    <w:qFormat/>
    <w:uiPriority w:val="11"/>
    <w:rPr>
      <w:rFonts w:ascii="Times New Roman" w:hAnsi="Times New Roman" w:eastAsia="Times New Roman" w:cs="Times New Roman"/>
      <w:sz w:val="18"/>
      <w:szCs w:val="18"/>
    </w:rPr>
  </w:style>
  <w:style w:type="character" w:customStyle="1" w:styleId="96">
    <w:name w:val="脚注文本 字符"/>
    <w:basedOn w:val="65"/>
    <w:link w:val="45"/>
    <w:qFormat/>
    <w:uiPriority w:val="99"/>
    <w:rPr>
      <w:rFonts w:ascii="Calibri" w:hAnsi="Calibri" w:eastAsia="宋体" w:cs="Times New Roman"/>
      <w:sz w:val="18"/>
      <w:szCs w:val="18"/>
    </w:rPr>
  </w:style>
  <w:style w:type="character" w:customStyle="1" w:styleId="97">
    <w:name w:val="正文文本缩进 3 字符"/>
    <w:basedOn w:val="65"/>
    <w:link w:val="47"/>
    <w:qFormat/>
    <w:uiPriority w:val="99"/>
    <w:rPr>
      <w:rFonts w:ascii="仿宋_GB2312" w:hAnsi="宋体" w:eastAsia="仿宋_GB2312" w:cs="Times New Roman"/>
      <w:color w:val="000000"/>
      <w:sz w:val="24"/>
      <w:szCs w:val="24"/>
    </w:rPr>
  </w:style>
  <w:style w:type="character" w:customStyle="1" w:styleId="98">
    <w:name w:val="正文文本 2 字符"/>
    <w:basedOn w:val="65"/>
    <w:link w:val="51"/>
    <w:qFormat/>
    <w:uiPriority w:val="0"/>
    <w:rPr>
      <w:rFonts w:ascii="宋体" w:hAnsi="宋体" w:eastAsia="宋体" w:cs="Times New Roman"/>
      <w:color w:val="000000"/>
      <w:sz w:val="24"/>
      <w:szCs w:val="24"/>
    </w:rPr>
  </w:style>
  <w:style w:type="character" w:customStyle="1" w:styleId="99">
    <w:name w:val="HTML 预设格式 字符"/>
    <w:basedOn w:val="65"/>
    <w:link w:val="53"/>
    <w:qFormat/>
    <w:uiPriority w:val="99"/>
    <w:rPr>
      <w:rFonts w:ascii="Courier New" w:hAnsi="Courier New" w:eastAsia="宋体" w:cs="Times New Roman"/>
      <w:sz w:val="20"/>
      <w:szCs w:val="20"/>
    </w:rPr>
  </w:style>
  <w:style w:type="character" w:customStyle="1" w:styleId="100">
    <w:name w:val="标题 字符"/>
    <w:basedOn w:val="65"/>
    <w:link w:val="56"/>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58"/>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6"/>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8"/>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basedOn w:val="65"/>
    <w:link w:val="40"/>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9"/>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9"/>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7"/>
    <w:qFormat/>
    <w:uiPriority w:val="99"/>
    <w:pPr>
      <w:numPr>
        <w:ilvl w:val="1"/>
        <w:numId w:val="5"/>
      </w:numPr>
      <w:tabs>
        <w:tab w:val="left" w:pos="2040"/>
      </w:tabs>
      <w:spacing w:after="120"/>
      <w:ind w:left="0" w:firstLine="0"/>
    </w:pPr>
  </w:style>
  <w:style w:type="paragraph" w:customStyle="1" w:styleId="437">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1"/>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2"/>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5"/>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2"/>
    <w:next w:val="22"/>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4"/>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5"/>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8"/>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4"/>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8"/>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4"/>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5"/>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5"/>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7"/>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1"/>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26"/>
    <w:next w:val="26"/>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8"/>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2"/>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basedOn w:val="65"/>
    <w:link w:val="39"/>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5"/>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5"/>
    <w:semiHidden/>
    <w:qFormat/>
    <w:uiPriority w:val="99"/>
    <w:rPr>
      <w:rFonts w:ascii="Arial" w:hAnsi="Arial" w:eastAsia="宋体" w:cs="Arial"/>
      <w:vanish/>
      <w:sz w:val="16"/>
      <w:szCs w:val="16"/>
    </w:rPr>
  </w:style>
  <w:style w:type="character" w:customStyle="1" w:styleId="902">
    <w:name w:val="z-窗体顶端 Char1"/>
    <w:basedOn w:val="65"/>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5"/>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5"/>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3"/>
    <w:link w:val="57"/>
    <w:qFormat/>
    <w:uiPriority w:val="99"/>
    <w:rPr>
      <w:rFonts w:ascii="Calibri" w:hAnsi="Calibri" w:eastAsia="宋体" w:cs="Times New Roman"/>
      <w:b/>
      <w:bCs/>
    </w:rPr>
  </w:style>
  <w:style w:type="character" w:customStyle="1" w:styleId="964">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5">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basedOn w:val="65"/>
    <w:link w:val="22"/>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5"/>
    <w:qFormat/>
    <w:uiPriority w:val="10"/>
    <w:rPr>
      <w:rFonts w:asciiTheme="majorHAnsi" w:hAnsiTheme="majorHAnsi" w:eastAsiaTheme="majorEastAsia" w:cstheme="majorBidi"/>
      <w:b/>
      <w:bCs/>
      <w:sz w:val="32"/>
      <w:szCs w:val="32"/>
    </w:rPr>
  </w:style>
  <w:style w:type="character" w:customStyle="1" w:styleId="972">
    <w:name w:val="副标题 字符1"/>
    <w:basedOn w:val="65"/>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5"/>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5"/>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5"/>
    <w:semiHidden/>
    <w:qFormat/>
    <w:uiPriority w:val="0"/>
    <w:rPr>
      <w:rFonts w:ascii="Calibri" w:hAnsi="Calibri" w:eastAsia="宋体" w:cs="Times New Roman"/>
    </w:rPr>
  </w:style>
  <w:style w:type="character" w:customStyle="1" w:styleId="989">
    <w:name w:val="正文文本 2 字符1"/>
    <w:basedOn w:val="65"/>
    <w:semiHidden/>
    <w:qFormat/>
    <w:uiPriority w:val="0"/>
    <w:rPr>
      <w:rFonts w:ascii="Calibri" w:hAnsi="Calibri" w:eastAsia="宋体" w:cs="Times New Roman"/>
    </w:rPr>
  </w:style>
  <w:style w:type="character" w:customStyle="1" w:styleId="990">
    <w:name w:val="纯文本 字符1"/>
    <w:basedOn w:val="65"/>
    <w:semiHidden/>
    <w:qFormat/>
    <w:uiPriority w:val="99"/>
    <w:rPr>
      <w:rFonts w:hAnsi="Courier New" w:cs="Courier New" w:asciiTheme="minorEastAsia"/>
    </w:rPr>
  </w:style>
  <w:style w:type="table" w:customStyle="1" w:styleId="991">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22051</Words>
  <Characters>23555</Characters>
  <Lines>1280</Lines>
  <Paragraphs>1000</Paragraphs>
  <TotalTime>2</TotalTime>
  <ScaleCrop>false</ScaleCrop>
  <LinksUpToDate>false</LinksUpToDate>
  <CharactersWithSpaces>23652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2025-06-20T07:58:03Z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eyJoZGlkIjoiMWI1YjdhMjgwNDdhMjkxYmZiYzg1ZGJhYmFmYjE4ZjciLCJ1c2VySWQiOiIzNDQ4MjI3NzIifQ==</vt:lpwstr>
  </property>
  <property fmtid="{D5CDD505-2E9C-101B-9397-08002B2CF9AE}" pid="3" name="KSOProductBuildVer">
    <vt:lpwstr>2052-12.1.0.21541</vt:lpwstr>
  </property>
  <property fmtid="{D5CDD505-2E9C-101B-9397-08002B2CF9AE}" pid="4" name="ICV">
    <vt:lpwstr>452179FAC415465793AB23B5A1907CDE_12</vt:lpwstr>
  </property>
</Properties>
</file>