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 xml:space="preserve">服务器 </w:t>
      </w:r>
      <w:r>
        <w:t xml:space="preserve"> </w:t>
      </w:r>
      <w:r>
        <w:rPr>
          <w:rFonts w:hint="eastAsia"/>
        </w:rPr>
        <w:t>四台</w:t>
      </w:r>
    </w:p>
    <w:tbl>
      <w:tblPr>
        <w:tblStyle w:val="6"/>
        <w:tblW w:w="8296" w:type="dxa"/>
        <w:tblInd w:w="0" w:type="dxa"/>
        <w:tblLayout w:type="fixed"/>
        <w:tblCellMar>
          <w:top w:w="0" w:type="dxa"/>
          <w:left w:w="108" w:type="dxa"/>
          <w:bottom w:w="0" w:type="dxa"/>
          <w:right w:w="108" w:type="dxa"/>
        </w:tblCellMar>
      </w:tblPr>
      <w:tblGrid>
        <w:gridCol w:w="936"/>
        <w:gridCol w:w="1745"/>
        <w:gridCol w:w="5615"/>
      </w:tblGrid>
      <w:tr>
        <w:tblPrEx>
          <w:tblLayout w:type="fixed"/>
          <w:tblCellMar>
            <w:top w:w="0" w:type="dxa"/>
            <w:left w:w="108" w:type="dxa"/>
            <w:bottom w:w="0" w:type="dxa"/>
            <w:right w:w="108" w:type="dxa"/>
          </w:tblCellMar>
        </w:tblPrEx>
        <w:trPr>
          <w:trHeight w:val="439" w:hRule="atLeast"/>
        </w:trPr>
        <w:tc>
          <w:tcPr>
            <w:tcW w:w="2681" w:type="dxa"/>
            <w:gridSpan w:val="2"/>
            <w:tcBorders>
              <w:top w:val="single" w:color="auto" w:sz="4" w:space="0"/>
              <w:left w:val="single" w:color="auto" w:sz="4" w:space="0"/>
              <w:bottom w:val="single" w:color="auto" w:sz="4" w:space="0"/>
              <w:right w:val="single" w:color="auto" w:sz="4" w:space="0"/>
            </w:tcBorders>
            <w:shd w:val="clear" w:color="auto" w:fill="auto"/>
          </w:tcPr>
          <w:p>
            <w:pPr>
              <w:rPr>
                <w:b/>
                <w:bCs/>
              </w:rPr>
            </w:pPr>
            <w:r>
              <w:rPr>
                <w:rFonts w:hint="eastAsia" w:ascii="Calibri" w:hAnsi="宋体" w:cs="宋体"/>
                <w:b/>
                <w:bCs/>
                <w:kern w:val="0"/>
                <w:szCs w:val="21"/>
              </w:rPr>
              <w:t>功能及技术指标</w:t>
            </w:r>
          </w:p>
        </w:tc>
        <w:tc>
          <w:tcPr>
            <w:tcW w:w="5615" w:type="dxa"/>
            <w:tcBorders>
              <w:top w:val="single" w:color="auto" w:sz="4" w:space="0"/>
              <w:left w:val="nil"/>
              <w:bottom w:val="single" w:color="auto" w:sz="4" w:space="0"/>
              <w:right w:val="single" w:color="auto" w:sz="4" w:space="0"/>
            </w:tcBorders>
            <w:shd w:val="clear" w:color="auto" w:fill="auto"/>
          </w:tcPr>
          <w:p>
            <w:pPr>
              <w:rPr>
                <w:b/>
                <w:bCs/>
              </w:rPr>
            </w:pPr>
            <w:r>
              <w:rPr>
                <w:rFonts w:hint="eastAsia" w:ascii="Calibri" w:hAnsi="宋体" w:cs="宋体"/>
                <w:b/>
                <w:bCs/>
                <w:kern w:val="0"/>
                <w:szCs w:val="21"/>
              </w:rPr>
              <w:t>单台设备技术要求(</w:t>
            </w:r>
            <w:r>
              <w:rPr>
                <w:rFonts w:hint="eastAsia" w:ascii="Calibri" w:hAnsi="宋体" w:cs="宋体"/>
                <w:kern w:val="0"/>
                <w:szCs w:val="21"/>
              </w:rPr>
              <w:t>★</w:t>
            </w:r>
            <w:r>
              <w:rPr>
                <w:rFonts w:hint="eastAsia" w:ascii="Calibri" w:hAnsi="宋体" w:cs="宋体"/>
                <w:b/>
                <w:bCs/>
                <w:kern w:val="0"/>
                <w:szCs w:val="21"/>
              </w:rPr>
              <w:t>为关键指标，不允许负偏离)</w:t>
            </w:r>
          </w:p>
        </w:tc>
      </w:tr>
      <w:tr>
        <w:tblPrEx>
          <w:tblLayout w:type="fixed"/>
          <w:tblCellMar>
            <w:top w:w="0" w:type="dxa"/>
            <w:left w:w="108" w:type="dxa"/>
            <w:bottom w:w="0" w:type="dxa"/>
            <w:right w:w="108" w:type="dxa"/>
          </w:tblCellMar>
        </w:tblPrEx>
        <w:trPr>
          <w:trHeight w:val="300" w:hRule="atLeast"/>
        </w:trPr>
        <w:tc>
          <w:tcPr>
            <w:tcW w:w="936"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外型</w:t>
            </w:r>
          </w:p>
        </w:tc>
        <w:tc>
          <w:tcPr>
            <w:tcW w:w="1745"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服务器外型</w:t>
            </w:r>
          </w:p>
        </w:tc>
        <w:tc>
          <w:tcPr>
            <w:tcW w:w="5615"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机架式</w:t>
            </w:r>
          </w:p>
        </w:tc>
      </w:tr>
      <w:tr>
        <w:tblPrEx>
          <w:tblLayout w:type="fixed"/>
          <w:tblCellMar>
            <w:top w:w="0" w:type="dxa"/>
            <w:left w:w="108" w:type="dxa"/>
            <w:bottom w:w="0" w:type="dxa"/>
            <w:right w:w="108" w:type="dxa"/>
          </w:tblCellMar>
        </w:tblPrEx>
        <w:trPr>
          <w:trHeight w:val="300" w:hRule="atLeast"/>
        </w:trPr>
        <w:tc>
          <w:tcPr>
            <w:tcW w:w="936"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22"/>
              </w:rPr>
            </w:pPr>
          </w:p>
        </w:tc>
        <w:tc>
          <w:tcPr>
            <w:tcW w:w="1745"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服务器高度</w:t>
            </w:r>
          </w:p>
        </w:tc>
        <w:tc>
          <w:tcPr>
            <w:tcW w:w="5615"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≥2U，标配原厂导轨、</w:t>
            </w:r>
            <w:r>
              <w:rPr>
                <w:rFonts w:ascii="宋体" w:hAnsi="宋体" w:cs="宋体"/>
                <w:color w:val="000000"/>
                <w:kern w:val="0"/>
                <w:sz w:val="22"/>
              </w:rPr>
              <w:t>安全面板。</w:t>
            </w:r>
          </w:p>
        </w:tc>
      </w:tr>
      <w:tr>
        <w:tblPrEx>
          <w:tblLayout w:type="fixed"/>
          <w:tblCellMar>
            <w:top w:w="0" w:type="dxa"/>
            <w:left w:w="108" w:type="dxa"/>
            <w:bottom w:w="0" w:type="dxa"/>
            <w:right w:w="108" w:type="dxa"/>
          </w:tblCellMar>
        </w:tblPrEx>
        <w:trPr>
          <w:trHeight w:val="483" w:hRule="atLeast"/>
        </w:trPr>
        <w:tc>
          <w:tcPr>
            <w:tcW w:w="93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基本配置要求</w:t>
            </w:r>
          </w:p>
        </w:tc>
        <w:tc>
          <w:tcPr>
            <w:tcW w:w="1745"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kern w:val="0"/>
                <w:sz w:val="22"/>
              </w:rPr>
              <w:t>★</w:t>
            </w:r>
            <w:r>
              <w:rPr>
                <w:rFonts w:hint="eastAsia" w:ascii="宋体" w:hAnsi="宋体" w:cs="宋体"/>
                <w:color w:val="000000"/>
                <w:kern w:val="0"/>
                <w:sz w:val="22"/>
              </w:rPr>
              <w:t>服务器配置</w:t>
            </w:r>
          </w:p>
        </w:tc>
        <w:tc>
          <w:tcPr>
            <w:tcW w:w="5615"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配置2颗Intel 至强可扩展系列处理器</w:t>
            </w:r>
            <w:r>
              <w:rPr>
                <w:rFonts w:hint="eastAsia" w:ascii="宋体" w:hAnsi="宋体" w:cs="宋体"/>
                <w:color w:val="FF0000"/>
                <w:kern w:val="0"/>
                <w:sz w:val="22"/>
              </w:rPr>
              <w:t xml:space="preserve"> </w:t>
            </w:r>
            <w:r>
              <w:rPr>
                <w:rFonts w:hint="eastAsia" w:ascii="宋体" w:hAnsi="宋体" w:cs="宋体"/>
                <w:kern w:val="0"/>
                <w:sz w:val="22"/>
              </w:rPr>
              <w:t>4210</w:t>
            </w:r>
            <w:r>
              <w:rPr>
                <w:rFonts w:hint="eastAsia"/>
              </w:rPr>
              <w:t xml:space="preserve"> </w:t>
            </w:r>
            <w:r>
              <w:rPr>
                <w:rFonts w:hint="eastAsia" w:ascii="宋体" w:hAnsi="宋体" w:cs="宋体"/>
                <w:kern w:val="0"/>
                <w:sz w:val="22"/>
              </w:rPr>
              <w:t>(2.2GHz/10核/13.75MB/85W)，可</w:t>
            </w:r>
            <w:r>
              <w:rPr>
                <w:rFonts w:hint="eastAsia" w:ascii="宋体" w:hAnsi="宋体" w:cs="宋体"/>
                <w:color w:val="000000"/>
                <w:kern w:val="0"/>
                <w:sz w:val="22"/>
              </w:rPr>
              <w:t>支持最高205W处理器；</w:t>
            </w:r>
          </w:p>
          <w:p>
            <w:pPr>
              <w:jc w:val="left"/>
              <w:rPr>
                <w:rFonts w:ascii="宋体" w:hAnsi="宋体" w:cs="宋体"/>
                <w:color w:val="000000"/>
                <w:kern w:val="0"/>
                <w:sz w:val="22"/>
              </w:rPr>
            </w:pPr>
            <w:r>
              <w:rPr>
                <w:rFonts w:hint="eastAsia" w:ascii="宋体" w:hAnsi="宋体" w:cs="宋体"/>
                <w:color w:val="000000"/>
                <w:kern w:val="0"/>
                <w:sz w:val="22"/>
              </w:rPr>
              <w:t>内存≥</w:t>
            </w:r>
            <w:r>
              <w:rPr>
                <w:rFonts w:ascii="宋体" w:hAnsi="宋体" w:cs="宋体"/>
                <w:kern w:val="0"/>
                <w:sz w:val="22"/>
              </w:rPr>
              <w:t>128</w:t>
            </w:r>
            <w:r>
              <w:rPr>
                <w:rFonts w:hint="eastAsia" w:ascii="宋体" w:hAnsi="宋体" w:cs="宋体"/>
                <w:kern w:val="0"/>
                <w:sz w:val="22"/>
              </w:rPr>
              <w:t>GB</w:t>
            </w:r>
            <w:r>
              <w:rPr>
                <w:rFonts w:hint="eastAsia" w:ascii="宋体" w:hAnsi="宋体" w:cs="宋体"/>
                <w:color w:val="FF0000"/>
                <w:kern w:val="0"/>
                <w:sz w:val="22"/>
              </w:rPr>
              <w:t xml:space="preserve"> </w:t>
            </w:r>
            <w:r>
              <w:rPr>
                <w:rFonts w:hint="eastAsia" w:ascii="宋体" w:hAnsi="宋体" w:cs="宋体"/>
                <w:color w:val="000000"/>
                <w:kern w:val="0"/>
                <w:sz w:val="22"/>
              </w:rPr>
              <w:t>DDR4</w:t>
            </w:r>
            <w:r>
              <w:rPr>
                <w:rFonts w:ascii="宋体" w:hAnsi="宋体" w:cs="宋体"/>
                <w:color w:val="000000"/>
                <w:kern w:val="0"/>
                <w:sz w:val="22"/>
              </w:rPr>
              <w:t xml:space="preserve"> </w:t>
            </w:r>
            <w:r>
              <w:rPr>
                <w:rFonts w:hint="eastAsia" w:ascii="宋体" w:hAnsi="宋体" w:cs="宋体"/>
                <w:color w:val="000000"/>
                <w:kern w:val="0"/>
                <w:sz w:val="22"/>
              </w:rPr>
              <w:t>内存</w:t>
            </w:r>
          </w:p>
          <w:p>
            <w:pPr>
              <w:jc w:val="left"/>
              <w:rPr>
                <w:rFonts w:ascii="宋体" w:hAnsi="宋体" w:cs="宋体"/>
                <w:color w:val="000000"/>
                <w:kern w:val="0"/>
                <w:sz w:val="22"/>
              </w:rPr>
            </w:pPr>
            <w:r>
              <w:rPr>
                <w:rFonts w:hint="eastAsia" w:ascii="宋体" w:hAnsi="宋体" w:cs="宋体"/>
                <w:kern w:val="0"/>
                <w:sz w:val="22"/>
              </w:rPr>
              <w:t>硬盘≥8*</w:t>
            </w:r>
            <w:r>
              <w:rPr>
                <w:rFonts w:ascii="宋体" w:hAnsi="宋体" w:cs="宋体"/>
                <w:kern w:val="0"/>
                <w:sz w:val="22"/>
              </w:rPr>
              <w:t>1.92T</w:t>
            </w:r>
            <w:r>
              <w:rPr>
                <w:rFonts w:hint="eastAsia" w:ascii="宋体" w:hAnsi="宋体" w:cs="宋体"/>
                <w:kern w:val="0"/>
                <w:sz w:val="22"/>
              </w:rPr>
              <w:t>B</w:t>
            </w:r>
            <w:r>
              <w:rPr>
                <w:rFonts w:ascii="宋体" w:hAnsi="宋体" w:cs="宋体"/>
                <w:kern w:val="0"/>
                <w:sz w:val="22"/>
              </w:rPr>
              <w:t xml:space="preserve"> SSD</w:t>
            </w:r>
            <w:r>
              <w:rPr>
                <w:rFonts w:hint="eastAsia" w:ascii="宋体" w:hAnsi="宋体" w:cs="宋体"/>
                <w:color w:val="000000"/>
                <w:kern w:val="0"/>
                <w:sz w:val="22"/>
              </w:rPr>
              <w:t>硬盘</w:t>
            </w:r>
          </w:p>
          <w:p>
            <w:pPr>
              <w:jc w:val="left"/>
              <w:rPr>
                <w:rFonts w:hint="default" w:ascii="宋体" w:hAnsi="宋体" w:cs="宋体" w:eastAsiaTheme="minorEastAsia"/>
                <w:kern w:val="0"/>
                <w:sz w:val="22"/>
                <w:lang w:val="en-US" w:eastAsia="zh-CN"/>
              </w:rPr>
            </w:pPr>
            <w:r>
              <w:rPr>
                <w:rFonts w:hint="eastAsia" w:ascii="宋体" w:hAnsi="宋体" w:cs="宋体"/>
                <w:kern w:val="0"/>
                <w:sz w:val="22"/>
              </w:rPr>
              <w:t>配置≥</w:t>
            </w:r>
            <w:r>
              <w:rPr>
                <w:rFonts w:ascii="宋体" w:hAnsi="宋体" w:cs="宋体"/>
                <w:kern w:val="0"/>
                <w:sz w:val="22"/>
              </w:rPr>
              <w:t>8</w:t>
            </w:r>
            <w:r>
              <w:rPr>
                <w:rFonts w:hint="eastAsia" w:ascii="宋体" w:hAnsi="宋体" w:cs="宋体"/>
                <w:kern w:val="0"/>
                <w:sz w:val="22"/>
              </w:rPr>
              <w:t>个</w:t>
            </w:r>
            <w:r>
              <w:rPr>
                <w:rFonts w:ascii="宋体" w:hAnsi="宋体" w:cs="宋体"/>
                <w:kern w:val="0"/>
                <w:sz w:val="22"/>
              </w:rPr>
              <w:t>2</w:t>
            </w:r>
            <w:r>
              <w:rPr>
                <w:rFonts w:hint="eastAsia" w:ascii="宋体" w:hAnsi="宋体" w:cs="宋体"/>
                <w:kern w:val="0"/>
                <w:sz w:val="22"/>
              </w:rPr>
              <w:t>.5寸热插拔硬盘槽位，最高支持≥</w:t>
            </w:r>
            <w:r>
              <w:rPr>
                <w:rFonts w:hint="eastAsia" w:ascii="宋体" w:hAnsi="宋体" w:cs="宋体"/>
                <w:kern w:val="0"/>
                <w:sz w:val="22"/>
                <w:lang w:val="en-US" w:eastAsia="zh-CN"/>
              </w:rPr>
              <w:t>24个</w:t>
            </w:r>
          </w:p>
          <w:p>
            <w:pPr>
              <w:jc w:val="left"/>
              <w:rPr>
                <w:rFonts w:ascii="宋体" w:hAnsi="宋体" w:cs="宋体"/>
                <w:color w:val="000000"/>
                <w:kern w:val="0"/>
                <w:sz w:val="22"/>
              </w:rPr>
            </w:pPr>
            <w:r>
              <w:rPr>
                <w:rFonts w:hint="eastAsia" w:ascii="宋体" w:hAnsi="宋体" w:cs="宋体"/>
                <w:color w:val="000000"/>
                <w:kern w:val="0"/>
                <w:sz w:val="22"/>
              </w:rPr>
              <w:t>≥1个标配SAS RAID阵列卡（不占用PCIe扩展槽），支持RAID0/1/10/5/6/50/60/1E；</w:t>
            </w:r>
            <w:r>
              <w:rPr>
                <w:rFonts w:hint="eastAsia" w:ascii="宋体" w:hAnsi="宋体" w:cs="宋体"/>
                <w:color w:val="000000"/>
                <w:kern w:val="0"/>
                <w:sz w:val="22"/>
              </w:rPr>
              <w:br w:type="textWrapping"/>
            </w:r>
            <w:r>
              <w:rPr>
                <w:rFonts w:hint="eastAsia" w:ascii="宋体" w:hAnsi="宋体" w:cs="宋体"/>
                <w:color w:val="000000"/>
                <w:kern w:val="0"/>
                <w:sz w:val="22"/>
              </w:rPr>
              <w:t>≥2GB缓存，支持缓存数据保护，且后备保护时间不受限制；</w:t>
            </w:r>
          </w:p>
          <w:p>
            <w:pPr>
              <w:jc w:val="left"/>
              <w:rPr>
                <w:rFonts w:ascii="宋体" w:hAnsi="宋体" w:cs="宋体"/>
                <w:color w:val="000000"/>
                <w:kern w:val="0"/>
                <w:sz w:val="22"/>
              </w:rPr>
            </w:pPr>
            <w:r>
              <w:rPr>
                <w:rFonts w:hint="eastAsia" w:ascii="宋体" w:hAnsi="宋体" w:cs="宋体"/>
                <w:color w:val="000000"/>
                <w:kern w:val="0"/>
                <w:sz w:val="22"/>
              </w:rPr>
              <w:t>最多提供≥8个标准PCIE3.0插槽；</w:t>
            </w:r>
          </w:p>
          <w:p>
            <w:pPr>
              <w:jc w:val="left"/>
              <w:rPr>
                <w:rFonts w:ascii="宋体" w:hAnsi="宋体" w:cs="宋体"/>
                <w:kern w:val="0"/>
                <w:sz w:val="22"/>
              </w:rPr>
            </w:pPr>
            <w:r>
              <w:rPr>
                <w:rFonts w:hint="eastAsia" w:ascii="宋体" w:hAnsi="宋体" w:cs="宋体"/>
                <w:color w:val="000000"/>
                <w:kern w:val="0"/>
                <w:sz w:val="22"/>
              </w:rPr>
              <w:t>提供≥1个网卡专用插槽（不占用PCIE扩展槽），本次</w:t>
            </w:r>
            <w:r>
              <w:rPr>
                <w:rFonts w:ascii="宋体" w:hAnsi="宋体" w:cs="宋体"/>
                <w:color w:val="000000"/>
                <w:kern w:val="0"/>
                <w:sz w:val="22"/>
              </w:rPr>
              <w:t>实配</w:t>
            </w:r>
            <w:r>
              <w:rPr>
                <w:rFonts w:hint="eastAsia" w:ascii="宋体" w:hAnsi="宋体" w:cs="宋体"/>
                <w:kern w:val="0"/>
                <w:sz w:val="22"/>
              </w:rPr>
              <w:t>2个万</w:t>
            </w:r>
            <w:r>
              <w:rPr>
                <w:rFonts w:ascii="宋体" w:hAnsi="宋体" w:cs="宋体"/>
                <w:kern w:val="0"/>
                <w:sz w:val="22"/>
              </w:rPr>
              <w:t>兆</w:t>
            </w:r>
            <w:r>
              <w:rPr>
                <w:rFonts w:hint="eastAsia" w:ascii="宋体" w:hAnsi="宋体" w:cs="宋体"/>
                <w:kern w:val="0"/>
                <w:sz w:val="22"/>
              </w:rPr>
              <w:t>光</w:t>
            </w:r>
            <w:r>
              <w:rPr>
                <w:rFonts w:ascii="宋体" w:hAnsi="宋体" w:cs="宋体"/>
                <w:kern w:val="0"/>
                <w:sz w:val="22"/>
              </w:rPr>
              <w:t>口</w:t>
            </w:r>
            <w:r>
              <w:rPr>
                <w:rFonts w:hint="eastAsia" w:ascii="宋体" w:hAnsi="宋体" w:cs="宋体"/>
                <w:kern w:val="0"/>
                <w:sz w:val="22"/>
              </w:rPr>
              <w:t>；</w:t>
            </w:r>
          </w:p>
          <w:p>
            <w:pPr>
              <w:jc w:val="left"/>
              <w:rPr>
                <w:rFonts w:ascii="宋体" w:hAnsi="宋体" w:cs="宋体"/>
                <w:color w:val="000000"/>
                <w:kern w:val="0"/>
                <w:sz w:val="22"/>
              </w:rPr>
            </w:pPr>
            <w:r>
              <w:rPr>
                <w:rFonts w:hint="eastAsia" w:ascii="宋体" w:hAnsi="宋体" w:cs="宋体"/>
                <w:color w:val="000000"/>
                <w:kern w:val="0"/>
                <w:sz w:val="22"/>
              </w:rPr>
              <w:t>2个≥</w:t>
            </w:r>
            <w:r>
              <w:rPr>
                <w:rFonts w:ascii="宋体" w:hAnsi="宋体" w:cs="宋体"/>
                <w:color w:val="000000"/>
                <w:kern w:val="0"/>
                <w:sz w:val="22"/>
              </w:rPr>
              <w:t>55</w:t>
            </w:r>
            <w:r>
              <w:rPr>
                <w:rFonts w:hint="eastAsia" w:ascii="宋体" w:hAnsi="宋体" w:cs="宋体"/>
                <w:color w:val="000000"/>
                <w:kern w:val="0"/>
                <w:sz w:val="22"/>
              </w:rPr>
              <w:t>0w白金版热插拔冗余电源，支持96%能效比的钛金级电源选件；</w:t>
            </w:r>
          </w:p>
          <w:p>
            <w:pPr>
              <w:jc w:val="left"/>
              <w:rPr>
                <w:rFonts w:ascii="宋体" w:hAnsi="宋体" w:cs="宋体"/>
                <w:color w:val="000000"/>
                <w:kern w:val="0"/>
                <w:sz w:val="22"/>
              </w:rPr>
            </w:pPr>
            <w:r>
              <w:rPr>
                <w:rFonts w:hint="eastAsia" w:ascii="宋体" w:hAnsi="宋体" w:cs="宋体"/>
                <w:color w:val="000000"/>
                <w:kern w:val="0"/>
                <w:sz w:val="22"/>
              </w:rPr>
              <w:t>热插拔冗余风扇；</w:t>
            </w:r>
          </w:p>
        </w:tc>
      </w:tr>
      <w:tr>
        <w:tblPrEx>
          <w:tblLayout w:type="fixed"/>
          <w:tblCellMar>
            <w:top w:w="0" w:type="dxa"/>
            <w:left w:w="108" w:type="dxa"/>
            <w:bottom w:w="0" w:type="dxa"/>
            <w:right w:w="108" w:type="dxa"/>
          </w:tblCellMar>
        </w:tblPrEx>
        <w:trPr>
          <w:trHeight w:val="300" w:hRule="atLeast"/>
        </w:trPr>
        <w:tc>
          <w:tcPr>
            <w:tcW w:w="936"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内存</w:t>
            </w:r>
          </w:p>
        </w:tc>
        <w:tc>
          <w:tcPr>
            <w:tcW w:w="1745"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内存功能</w:t>
            </w:r>
          </w:p>
        </w:tc>
        <w:tc>
          <w:tcPr>
            <w:tcW w:w="5615"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Advanced ECC、内存在线热备</w:t>
            </w:r>
          </w:p>
        </w:tc>
      </w:tr>
      <w:tr>
        <w:tblPrEx>
          <w:tblLayout w:type="fixed"/>
          <w:tblCellMar>
            <w:top w:w="0" w:type="dxa"/>
            <w:left w:w="108" w:type="dxa"/>
            <w:bottom w:w="0" w:type="dxa"/>
            <w:right w:w="108" w:type="dxa"/>
          </w:tblCellMar>
        </w:tblPrEx>
        <w:trPr>
          <w:trHeight w:val="601" w:hRule="atLeast"/>
        </w:trPr>
        <w:tc>
          <w:tcPr>
            <w:tcW w:w="936"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22"/>
              </w:rPr>
            </w:pPr>
          </w:p>
        </w:tc>
        <w:tc>
          <w:tcPr>
            <w:tcW w:w="1745"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内存可扩展数量</w:t>
            </w:r>
          </w:p>
        </w:tc>
        <w:tc>
          <w:tcPr>
            <w:tcW w:w="5615"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可扩展≥24个内存插槽，官方支持最大容量3T。</w:t>
            </w:r>
          </w:p>
        </w:tc>
      </w:tr>
      <w:tr>
        <w:tblPrEx>
          <w:tblLayout w:type="fixed"/>
          <w:tblCellMar>
            <w:top w:w="0" w:type="dxa"/>
            <w:left w:w="108" w:type="dxa"/>
            <w:bottom w:w="0" w:type="dxa"/>
            <w:right w:w="108" w:type="dxa"/>
          </w:tblCellMar>
        </w:tblPrEx>
        <w:trPr>
          <w:trHeight w:val="300" w:hRule="atLeast"/>
        </w:trPr>
        <w:tc>
          <w:tcPr>
            <w:tcW w:w="936" w:type="dxa"/>
            <w:vMerge w:val="restart"/>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存储</w:t>
            </w:r>
          </w:p>
        </w:tc>
        <w:tc>
          <w:tcPr>
            <w:tcW w:w="1745"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硬盘托架</w:t>
            </w:r>
          </w:p>
        </w:tc>
        <w:tc>
          <w:tcPr>
            <w:tcW w:w="5615"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硬盘托架具备Raid重建时不可拔出硬盘提示指示灯。</w:t>
            </w:r>
          </w:p>
        </w:tc>
      </w:tr>
      <w:tr>
        <w:tblPrEx>
          <w:tblLayout w:type="fixed"/>
          <w:tblCellMar>
            <w:top w:w="0" w:type="dxa"/>
            <w:left w:w="108" w:type="dxa"/>
            <w:bottom w:w="0" w:type="dxa"/>
            <w:right w:w="108" w:type="dxa"/>
          </w:tblCellMar>
        </w:tblPrEx>
        <w:trPr>
          <w:trHeight w:val="300" w:hRule="atLeast"/>
        </w:trPr>
        <w:tc>
          <w:tcPr>
            <w:tcW w:w="936" w:type="dxa"/>
            <w:vMerge w:val="continue"/>
            <w:tcBorders>
              <w:top w:val="nil"/>
              <w:left w:val="single" w:color="auto" w:sz="4" w:space="0"/>
              <w:bottom w:val="single" w:color="auto" w:sz="4" w:space="0"/>
              <w:right w:val="single" w:color="auto" w:sz="4" w:space="0"/>
            </w:tcBorders>
            <w:vAlign w:val="center"/>
          </w:tcPr>
          <w:p>
            <w:pPr>
              <w:jc w:val="left"/>
              <w:rPr>
                <w:rFonts w:ascii="宋体" w:hAnsi="宋体" w:cs="宋体"/>
                <w:color w:val="000000"/>
                <w:kern w:val="0"/>
                <w:sz w:val="22"/>
              </w:rPr>
            </w:pPr>
          </w:p>
        </w:tc>
        <w:tc>
          <w:tcPr>
            <w:tcW w:w="1745"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启动盘可选项</w:t>
            </w:r>
          </w:p>
        </w:tc>
        <w:tc>
          <w:tcPr>
            <w:tcW w:w="5615"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支持双MicroSD</w:t>
            </w:r>
            <w:r>
              <w:rPr>
                <w:rFonts w:hint="eastAsia" w:ascii="宋体" w:hAnsi="宋体" w:cs="宋体"/>
                <w:color w:val="000000"/>
                <w:kern w:val="0"/>
                <w:sz w:val="22"/>
                <w:lang w:eastAsia="zh-CN"/>
              </w:rPr>
              <w:t>或</w:t>
            </w:r>
            <w:r>
              <w:rPr>
                <w:rFonts w:hint="eastAsia" w:ascii="宋体" w:hAnsi="宋体" w:cs="宋体"/>
                <w:color w:val="000000"/>
                <w:kern w:val="0"/>
                <w:sz w:val="22"/>
              </w:rPr>
              <w:t>双M.2 SSD配置RAID1，作为虚拟化或者操作系统部署盘位。</w:t>
            </w:r>
          </w:p>
        </w:tc>
      </w:tr>
      <w:tr>
        <w:tblPrEx>
          <w:tblLayout w:type="fixed"/>
          <w:tblCellMar>
            <w:top w:w="0" w:type="dxa"/>
            <w:left w:w="108" w:type="dxa"/>
            <w:bottom w:w="0" w:type="dxa"/>
            <w:right w:w="108" w:type="dxa"/>
          </w:tblCellMar>
        </w:tblPrEx>
        <w:trPr>
          <w:trHeight w:val="1202" w:hRule="atLeast"/>
        </w:trPr>
        <w:tc>
          <w:tcPr>
            <w:tcW w:w="93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bookmarkStart w:id="0" w:name="_GoBack"/>
            <w:bookmarkEnd w:id="0"/>
            <w:r>
              <w:rPr>
                <w:rFonts w:hint="eastAsia" w:ascii="宋体" w:hAnsi="宋体" w:cs="宋体"/>
                <w:color w:val="000000"/>
                <w:kern w:val="0"/>
                <w:sz w:val="22"/>
              </w:rPr>
              <w:t>接口</w:t>
            </w:r>
          </w:p>
        </w:tc>
        <w:tc>
          <w:tcPr>
            <w:tcW w:w="1745"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接口</w:t>
            </w:r>
          </w:p>
        </w:tc>
        <w:tc>
          <w:tcPr>
            <w:tcW w:w="5615" w:type="dxa"/>
            <w:tcBorders>
              <w:top w:val="nil"/>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≥5个USB3.0接口，最高可扩展至7个USB接口；</w:t>
            </w:r>
            <w:r>
              <w:rPr>
                <w:rFonts w:hint="eastAsia" w:ascii="宋体" w:hAnsi="宋体" w:cs="宋体"/>
                <w:color w:val="000000"/>
                <w:kern w:val="0"/>
                <w:sz w:val="22"/>
              </w:rPr>
              <w:br w:type="textWrapping"/>
            </w:r>
            <w:r>
              <w:rPr>
                <w:rFonts w:hint="eastAsia" w:ascii="宋体" w:hAnsi="宋体" w:cs="宋体"/>
                <w:color w:val="000000"/>
                <w:kern w:val="0"/>
                <w:sz w:val="22"/>
              </w:rPr>
              <w:t>标配1个VGA，可选配支持最高2个VGA接口；</w:t>
            </w:r>
            <w:r>
              <w:rPr>
                <w:rFonts w:hint="eastAsia" w:ascii="宋体" w:hAnsi="宋体" w:cs="宋体"/>
                <w:color w:val="000000"/>
                <w:kern w:val="0"/>
                <w:sz w:val="22"/>
              </w:rPr>
              <w:br w:type="textWrapping"/>
            </w:r>
            <w:r>
              <w:rPr>
                <w:rFonts w:hint="eastAsia" w:ascii="宋体" w:hAnsi="宋体" w:cs="宋体"/>
                <w:color w:val="000000"/>
                <w:kern w:val="0"/>
                <w:sz w:val="22"/>
              </w:rPr>
              <w:t>支持后部独立的管理端口；</w:t>
            </w:r>
            <w:r>
              <w:rPr>
                <w:rFonts w:hint="eastAsia" w:ascii="宋体" w:hAnsi="宋体" w:cs="宋体"/>
                <w:color w:val="000000"/>
                <w:kern w:val="0"/>
                <w:sz w:val="22"/>
              </w:rPr>
              <w:br w:type="textWrapping"/>
            </w:r>
            <w:r>
              <w:rPr>
                <w:rFonts w:hint="eastAsia" w:ascii="宋体" w:hAnsi="宋体" w:cs="宋体"/>
                <w:color w:val="000000"/>
                <w:kern w:val="0"/>
                <w:sz w:val="22"/>
              </w:rPr>
              <w:t>标配1个串口。</w:t>
            </w:r>
          </w:p>
        </w:tc>
      </w:tr>
      <w:tr>
        <w:tblPrEx>
          <w:tblLayout w:type="fixed"/>
          <w:tblCellMar>
            <w:top w:w="0" w:type="dxa"/>
            <w:left w:w="108" w:type="dxa"/>
            <w:bottom w:w="0" w:type="dxa"/>
            <w:right w:w="108" w:type="dxa"/>
          </w:tblCellMar>
        </w:tblPrEx>
        <w:trPr>
          <w:trHeight w:val="902" w:hRule="atLeast"/>
        </w:trPr>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可用性</w:t>
            </w:r>
          </w:p>
        </w:tc>
        <w:tc>
          <w:tcPr>
            <w:tcW w:w="1745"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工作温度</w:t>
            </w:r>
          </w:p>
        </w:tc>
        <w:tc>
          <w:tcPr>
            <w:tcW w:w="5615"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支持最高5-</w:t>
            </w:r>
            <w:r>
              <w:rPr>
                <w:rFonts w:ascii="宋体" w:hAnsi="宋体" w:cs="宋体"/>
                <w:color w:val="000000"/>
                <w:kern w:val="0"/>
                <w:sz w:val="22"/>
              </w:rPr>
              <w:t>45</w:t>
            </w:r>
            <w:r>
              <w:rPr>
                <w:rFonts w:hint="eastAsia" w:ascii="宋体" w:hAnsi="宋体" w:cs="宋体"/>
                <w:color w:val="000000"/>
                <w:kern w:val="0"/>
                <w:sz w:val="22"/>
              </w:rPr>
              <w:t>°C标准工作温度</w:t>
            </w:r>
          </w:p>
        </w:tc>
      </w:tr>
      <w:tr>
        <w:tblPrEx>
          <w:tblLayout w:type="fixed"/>
          <w:tblCellMar>
            <w:top w:w="0" w:type="dxa"/>
            <w:left w:w="108" w:type="dxa"/>
            <w:bottom w:w="0" w:type="dxa"/>
            <w:right w:w="108" w:type="dxa"/>
          </w:tblCellMar>
        </w:tblPrEx>
        <w:trPr>
          <w:trHeight w:val="1503" w:hRule="atLeast"/>
        </w:trPr>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可管理性</w:t>
            </w:r>
          </w:p>
        </w:tc>
        <w:tc>
          <w:tcPr>
            <w:tcW w:w="1745"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嵌入式管理</w:t>
            </w:r>
          </w:p>
        </w:tc>
        <w:tc>
          <w:tcPr>
            <w:tcW w:w="5615"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kern w:val="0"/>
                <w:sz w:val="22"/>
              </w:rPr>
            </w:pPr>
            <w:r>
              <w:rPr>
                <w:rFonts w:hint="eastAsia" w:ascii="宋体" w:hAnsi="宋体" w:cs="宋体"/>
                <w:color w:val="000000"/>
                <w:kern w:val="0"/>
                <w:sz w:val="22"/>
              </w:rPr>
              <w:t>配置≥1Gb独立的远程管理控制端口，可选配置前面板独立的USB管理端口。</w:t>
            </w:r>
          </w:p>
          <w:p>
            <w:pPr>
              <w:jc w:val="left"/>
              <w:rPr>
                <w:rFonts w:ascii="宋体" w:hAnsi="宋体" w:cs="宋体"/>
                <w:color w:val="000000"/>
                <w:kern w:val="0"/>
                <w:sz w:val="22"/>
              </w:rPr>
            </w:pPr>
            <w:r>
              <w:rPr>
                <w:rFonts w:hint="eastAsia" w:ascii="宋体" w:hAnsi="宋体" w:cs="宋体"/>
                <w:color w:val="000000"/>
                <w:kern w:val="0"/>
                <w:sz w:val="22"/>
              </w:rPr>
              <w:t>配置虚拟KVM功能, 可实现与操作系统无关的远程对服务器的完全控制，包括远程的开机、关机、重启、更新Firmware、虚拟软驱、虚拟光驱、虚拟文件夹等操作，提供服务器健康日记、服务器控制台录屏/回放功能，能够提供电源监控。</w:t>
            </w:r>
          </w:p>
          <w:p>
            <w:pPr>
              <w:jc w:val="left"/>
              <w:rPr>
                <w:rFonts w:ascii="宋体" w:hAnsi="宋体" w:cs="宋体"/>
                <w:color w:val="000000"/>
                <w:kern w:val="0"/>
                <w:sz w:val="22"/>
              </w:rPr>
            </w:pPr>
            <w:r>
              <w:rPr>
                <w:rFonts w:hint="eastAsia" w:ascii="宋体" w:hAnsi="宋体" w:cs="宋体"/>
                <w:color w:val="000000"/>
                <w:kern w:val="0"/>
                <w:sz w:val="22"/>
              </w:rPr>
              <w:t>配置4GB Flash，可存放系统日志，内嵌操作系统导航安装环境，实现无物理光盘介质部署操作系统。</w:t>
            </w:r>
          </w:p>
          <w:p>
            <w:pPr>
              <w:jc w:val="left"/>
              <w:rPr>
                <w:rFonts w:ascii="宋体" w:hAnsi="宋体" w:cs="宋体"/>
                <w:color w:val="000000"/>
                <w:kern w:val="0"/>
                <w:sz w:val="22"/>
              </w:rPr>
            </w:pPr>
            <w:r>
              <w:rPr>
                <w:rFonts w:hint="eastAsia" w:ascii="宋体" w:hAnsi="宋体" w:cs="宋体"/>
                <w:color w:val="000000"/>
                <w:kern w:val="0"/>
                <w:sz w:val="22"/>
              </w:rPr>
              <w:t>支持基于嵌入式管理的硬件性能调优功能，针对延迟敏感型工作负载，可实现CPU在高于额定频率之上的稳定频率输出；可实现利用预配置的配置文件，自动调优内部服务器资源；可实现在更多的处理器内核上启用英特尔睿频技术所提供的更高的性能。</w:t>
            </w:r>
          </w:p>
        </w:tc>
      </w:tr>
      <w:tr>
        <w:tblPrEx>
          <w:tblLayout w:type="fixed"/>
          <w:tblCellMar>
            <w:top w:w="0" w:type="dxa"/>
            <w:left w:w="108" w:type="dxa"/>
            <w:bottom w:w="0" w:type="dxa"/>
            <w:right w:w="108" w:type="dxa"/>
          </w:tblCellMar>
        </w:tblPrEx>
        <w:trPr>
          <w:trHeight w:val="2473" w:hRule="atLeast"/>
        </w:trPr>
        <w:tc>
          <w:tcPr>
            <w:tcW w:w="9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kern w:val="0"/>
                <w:sz w:val="22"/>
              </w:rPr>
            </w:pPr>
            <w:r>
              <w:rPr>
                <w:rFonts w:hint="eastAsia"/>
              </w:rPr>
              <w:t>★服务</w:t>
            </w:r>
          </w:p>
        </w:tc>
        <w:tc>
          <w:tcPr>
            <w:tcW w:w="1745"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kern w:val="0"/>
                <w:sz w:val="22"/>
              </w:rPr>
            </w:pPr>
            <w:r>
              <w:rPr>
                <w:rFonts w:hint="eastAsia"/>
              </w:rPr>
              <w:t>保修年限</w:t>
            </w:r>
          </w:p>
        </w:tc>
        <w:tc>
          <w:tcPr>
            <w:tcW w:w="5615"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提供3年原厂维保服务，设备生产商需在国内设有技术服务热线；要求所有硬件设备保修信息均为“余姚市卫生健康局”，可以从原厂得到查询验证；为保证原厂服务的有效执行，整机必须原配出厂，不接受改装机器；在交货过程中，供应商提供的设备必须由原厂商直接发至最终客户指定地，中途不得转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68"/>
    <w:rsid w:val="000D3862"/>
    <w:rsid w:val="000F764F"/>
    <w:rsid w:val="00135E68"/>
    <w:rsid w:val="001C202E"/>
    <w:rsid w:val="00344B06"/>
    <w:rsid w:val="00362E17"/>
    <w:rsid w:val="00384D0E"/>
    <w:rsid w:val="005A1820"/>
    <w:rsid w:val="00617A59"/>
    <w:rsid w:val="006A6B11"/>
    <w:rsid w:val="00832C45"/>
    <w:rsid w:val="00B540D0"/>
    <w:rsid w:val="00BB188E"/>
    <w:rsid w:val="00C153CC"/>
    <w:rsid w:val="00DE58DD"/>
    <w:rsid w:val="00DF61C3"/>
    <w:rsid w:val="00E203CB"/>
    <w:rsid w:val="00E46DF3"/>
    <w:rsid w:val="00F5601B"/>
    <w:rsid w:val="00FA34F2"/>
    <w:rsid w:val="117E09DC"/>
    <w:rsid w:val="47C13840"/>
    <w:rsid w:val="683142C4"/>
    <w:rsid w:val="71124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10"/>
    <w:pPr>
      <w:spacing w:before="240" w:after="60"/>
      <w:jc w:val="left"/>
      <w:outlineLvl w:val="0"/>
    </w:pPr>
    <w:rPr>
      <w:rFonts w:eastAsia="宋体" w:asciiTheme="majorHAnsi" w:hAnsiTheme="majorHAnsi" w:cstheme="majorBidi"/>
      <w:b/>
      <w:bCs/>
      <w:sz w:val="32"/>
      <w:szCs w:val="32"/>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标题 字符"/>
    <w:basedOn w:val="5"/>
    <w:link w:val="4"/>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176</Words>
  <Characters>1008</Characters>
  <Lines>8</Lines>
  <Paragraphs>2</Paragraphs>
  <TotalTime>8</TotalTime>
  <ScaleCrop>false</ScaleCrop>
  <LinksUpToDate>false</LinksUpToDate>
  <CharactersWithSpaces>1182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2021-09-18T07:32:00Z</dcterms:created>
  <dc:creator>Will-Zhangsy</dc:creator>
  <cp:lastModifiedBy>Administrator</cp:lastModifiedBy>
  <dcterms:modified xsi:type="dcterms:W3CDTF">2021-09-28T03:56:34Z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