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210" w:leftChars="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衢州市柯城区人民法院东大门及北大门电动伸缩门、车辆道闸识别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系统改造项目</w:t>
      </w:r>
    </w:p>
    <w:p>
      <w:pPr>
        <w:numPr>
          <w:ilvl w:val="0"/>
          <w:numId w:val="0"/>
        </w:numPr>
        <w:ind w:left="21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一、设备清单</w:t>
      </w:r>
    </w:p>
    <w:tbl>
      <w:tblPr>
        <w:tblStyle w:val="4"/>
        <w:tblW w:w="8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70"/>
        <w:gridCol w:w="1965"/>
        <w:gridCol w:w="2730"/>
        <w:gridCol w:w="100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人员出入摆闸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无刷通用摆闸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（左）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海康威视、捷顺、立方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无刷通用摆闸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（右）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海康威视、捷顺、立方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人员通道遥控器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海康威视、捷顺、立方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通道人脸组件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海康威视、捷顺、立方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遮阳罩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海康威视、捷顺、立方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车辆道闸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米栅栏道闸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海康威视、捷顺、立方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海康威视、捷顺、立方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出入口抓拍机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海康威视、捷顺、立方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四行屏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海康威视、捷顺、立方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立柱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海康威视、捷顺、立方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海康威视、捷顺、立方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车辆通道安装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定制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人行通道安装费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定制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伸缩门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合创辉煌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金阳光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华捷盛 、 九竹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主机驱动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金阳光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华捷盛 、 九竹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/>
    <w:p/>
    <w:p/>
    <w:p/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详细参数</w:t>
      </w:r>
    </w:p>
    <w:tbl>
      <w:tblPr>
        <w:tblStyle w:val="4"/>
        <w:tblW w:w="9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70"/>
        <w:gridCol w:w="1965"/>
        <w:gridCol w:w="5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具体参数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人员出入摆闸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无刷通用摆闸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1、产品尺寸：1500mm*200mm*960mm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2、通道宽度：550mm-1100mm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3、箱体材质：SUS304拉丝不锈钢，1.2±0.12mm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4、门翼材质：不锈钢圆管/亚克力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5、电机类型：直流无刷伺服电机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6、红外对数：12对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7、使用环境：室内外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8、设备集成门禁主控板，可扩展人脸识别组件、读卡器、二维码、指纹等多种认证方式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9、设备容量：支持6万张普通卡、3千张来宾卡、18万条事件记录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10、超级电容：闸机标配超级电容，断电后门翼自动打开（符合消防要求）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11、通行速度：20-60人每分钟，受人员情况和通行模式影响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12、电压功率：AC 100~240V/50~60HZ/ 单通道（一组通道）额定功率：320W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13、工作温度：-20℃~70℃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14、物理接口：TCP/IP,I/O,RS232,RS485S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15、整机(设备和包装)重量：L:约 67Kg ；M: 约83Kg ；R: 约70Kg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16、高级功能：翻越报警；分时段管控，最多支持8个时段常开、常闭模式设定；反潜回功能，单通道反潜回，多通道跨主机反潜回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接入柯城区人民法院海康威视综合安防平台统一管理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无刷通用摆闸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1、产品尺寸：1500mm*200mm*960mm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2、通道宽度：550mm-1100mm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3、箱体材质：SUS304拉丝不锈钢，1.2±0.12mm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4、门翼材质：不锈钢圆管/亚克力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5、电机类型：直流无刷伺服电机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6、红外对数：12对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7、使用环境：室内外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8、设备集成门禁主控板，可扩展人脸识别组件、读卡器、二维码、指纹等多种认证方式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9、设备容量：支持6万张普通卡、3千张来宾卡、18万条事件记录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10、超级电容：闸机标配超级电容，断电后门翼自动打开（符合消防要求）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11、通行速度：20-60人每分钟，受人员情况和通行模式影响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12、电压功率：AC 100~240V/50~60HZ/ 单通道（一组通道）额定功率：320W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13、工作温度：-20℃~70℃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14、物理接口：TCP/IP,I/O,RS232,RS485S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15、整机(设备和包装)重量：L:约 67Kg ；M: 约83Kg ；R: 约70Kg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16、高级功能：翻越报警；分时段管控，最多支持8个时段常开、常闭模式设定；反潜回功能，单通道反潜回，多通道跨主机反潜回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柯城区人民法院海康威视综合安防平台统一管理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人员通道遥控器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1、遥控器支持一对多：一个遥控器同时控制最多6个通道，空旷条件下遥控距离可达30m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2、遥控器包含4个按键（自上而下顺序）：进开门、关门、出开门、常开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3、发射频率：868MHz；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4、尺寸 ：80mm*36mm*20mm；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5、供电方式：碱性锌锰层叠电池  23A12V；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通道人脸组件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1、设备外观：采用10.1英寸LCD触摸显示屏；200万像素双目宽动态摄像头；采用星光级图像传感器，可适应夜间低照度环境；人脸识别距离可大于2m，支持照片视频防假；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2、设备容量：支持50000张人脸白名单，1：N人脸比对时间≤0.2s/人；支持100000笔记录存储；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3、认证方式：支持人脸比对；支持通过RS485或wiegand外接读卡器，实现刷卡；支持通过USB口外接身份证阅读器，实现人证比对；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4、通讯方式：上行通讯为TCP/IP；支持WIFI传输；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5、视频对讲：支持视频语音对讲功能；可接NVR，支持视频预览；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6、设备接口： LAN*1；RS485*1；韦根*1；USB *1；门磁*1、开门按钮*1、报警输入*2；电锁*1、报警输出*1；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7、工作电压： DC 12V/3A，需独立供电；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8、使用环境：室内外，（防护等级IP65）；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9、安装方式：通道安装；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10、产品尺寸：172mm*504.8mm*155.53mm 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11、工作温度：-30~60℃。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柯城区人民法院海康威视综合安防平台统一管理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遮阳罩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遮阳罩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车辆道闸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米栅栏道闸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包含：2个遥控器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道闸类型：栅栏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道闸方向：右向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道闸杆长：4米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运行速度：3秒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机箱材质：冷轧钢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遥控距离：≥30m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输入电压：220VAC+10%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电机驱动：交流电机</w:t>
            </w:r>
          </w:p>
          <w:p>
            <w:pPr>
              <w:pStyle w:val="7"/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电机功率：90W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11、功能特性：支持外接红绿灯警示、外接红外保护、外接地感功能，支持强冷天气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雷达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采用79GHz MMIC技术，分辨率更高，检测更稳定；</w:t>
            </w:r>
          </w:p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雷达检测距离可调，检测宽度可调，操作方便，通用性强；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3、无需学习背景，适应更多复杂现场环境；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4、采用先进的信号处理技术，可稳定检测到行人和车辆，有效防止“砸车、砸人”事故的发生。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5、采用LED灯指示雷达工作状态，状态更直观。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6、自动记录雷达的配置参数，断电重启后可恢复至之前的工作状态；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7、环境适应性强，检测性能不受电磁干扰、光照、灰尘、雨雪等外界环境影响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出入口抓拍机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1、摄像机类型：200 万像素高清摄像机，分辨率：1920*1080，帧率：25fps； 低照度效果：1/1.8"逐行扫描 CMOS，成像效果好，0.002Lux 星光级监控效果，夜间看的更清；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2、集成度高：内置 2 颗 LED 补光灯，集摄像机、护罩、 LED 补光灯、镜头、电源适配器于一体； 调试方便：采用 3.1-9mm 电动变焦镜头，支持软件自动调焦，调试更加方便，场景适应性强； 接口丰富：可直接控制道闸开/关，支持外接报警设备； 智能识别算法：丰富的智能识别算法，支持车牌、车型、车标、车身颜色识别； 黑白名单控制：支持黑、白名单的导入及对比，可直接联动道闸开闸，支持脱机运行； 多种触发模式：支持线圈触发、视频触发、雷达触发、线圈结合视频触发等多种触发模式； 可显示信息：置于停车场出入口显示欢迎信息、发布中心下发信息等 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3、显示字体：显示标准的中文和数字字符。 显示内容：可以是整个车库的空余车位余数，车牌号码，收费金额。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4、可根据上位计算机发出的指令显示不同内容 内置语音模块：可通过抓拍机支持预录语音播报，车牌号码和收费金额等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四行屏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四行，四字，双色，带语音模块及音箱，出入口室外显示屏，P4.75,抱箍安装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立柱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立杆高度1.3米，1.3米可安装抓拍单元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【出入口控制终端】【固态硬盘】【不含软件】【预装正版WIN10系统】【需用户自配显示器、键鼠】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CPU：Apollo Lake J3455平台处理器 ；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内存：4GB；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标配128G SSD，可额外选配一块3.5寸机械硬盘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其他接口：6个1000Mbps自适应网口（G2~G6为交换机，G1为独立网口，支持双网隔离）、2个RS232、2个RS485、4个USB3.0；4个开关量输入，4个继电器开关量输出、1个VGA输出接口，1路内置预留SATA接口、1个HDMI输出接口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远程管理：支持远程进行权限设置或维护管理；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工作电压:主机12VDC，外接220VAC电源适配器；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功耗:平均25w，最高50w；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工作环境温度:-10 ℃～50 ℃；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工作环境湿度:10%~90%@40℃，无凝结；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柯城区人民法院海康威视综合安防平台统一管理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功能特性：无风扇设计，集成交换机、485接口、报警2进4出、视频HDMI及VGA接口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车辆通道安装费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人行通道安装费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伸缩门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合创辉煌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独立机头结构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超大显示屏，大方美观．配双色警示灯，起到安全警示作用，美观实用．</w:t>
            </w:r>
          </w:p>
          <w:p>
            <w:pPr>
              <w:pStyle w:val="7"/>
              <w:widowControl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机头前后封板采用对流散热口技术，能有效保护电机门控，增长使用寿命．</w:t>
            </w:r>
          </w:p>
          <w:p>
            <w:pPr>
              <w:pStyle w:val="7"/>
              <w:widowControl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底板采用激光机加工制造，数据精准减少偏差，提高质量．</w:t>
            </w:r>
          </w:p>
          <w:p>
            <w:pPr>
              <w:pStyle w:val="7"/>
              <w:widowControl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独有机头孖轮设计四键槽轮轴结构，永不脱落，寿命比传统结构长2倍．</w:t>
            </w:r>
          </w:p>
          <w:p>
            <w:pPr>
              <w:pStyle w:val="7"/>
              <w:widowControl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机头底盘宽，抗风性好，装有导向摆动装置，确保门体直线运行．</w:t>
            </w:r>
          </w:p>
          <w:p>
            <w:pPr>
              <w:pStyle w:val="7"/>
              <w:widowControl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门体结构: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</w:p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门体结构：超大空间，伸缩比小，总长10米收缩只有1.7米．门体收拢后占位空间小，使道路可通行宽度达到最大化.</w:t>
            </w:r>
          </w:p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超宽底盘宽度设计,达770mm,敦实稳固,让整个门排显得更加威武雄壮,器宇轩昂,使门体的抗风能大大提升,运行更平稳.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门排设计简单大方，彰显的是厚重与华贵。。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产品可选用红外对射，压力波，红外防撞、防碰、紧急停止、手动离合、漏电保护等安全防护功能，确保客户的使用安全；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门体前面安装显示屏，运作时会滚动显示提示信息。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机头安装有开、关门限位磁敏开关，每次开、关门到位时门体都能自动停止运行。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LED显示屏：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</w:p>
          <w:p>
            <w:pPr>
              <w:numPr>
                <w:ilvl w:val="0"/>
                <w:numId w:val="4"/>
              </w:num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可选择滚动屏：红蓝三色，可滚动显示广告内容500字之内，带时间，日期。</w:t>
            </w:r>
          </w:p>
          <w:p>
            <w:pPr>
              <w:numPr>
                <w:ilvl w:val="0"/>
                <w:numId w:val="4"/>
              </w:numPr>
              <w:bidi w:val="0"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可选择固定显示屏：红蓝绿三色，固定显示闪动。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行走轮： 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采用全新耐磨PU料加全新超韧尼龙料，能够在高温或低温情况下不易爆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主机驱动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电机性能特点：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结构紧凑，性能稳定。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起动力矩大。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适应频繁正反转。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超低音设计，符合环保要求。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热保护装置及新型结构组合设计，确保开门机使用寿命。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在停电状态下，可转换手动开、关门：用离合钥匙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将离合器旋转180度。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-25℃低温环境下正常工作。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精密铝合金压铸箱体，铜涡轮，精度高，散热性能好。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额定电压/频率.220V/50HZ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额定电流：2.0A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额定输出功率：330W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工作温度：-40℃-+50℃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商务条件：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lang w:val="en-US" w:eastAsia="zh-CN"/>
        </w:rPr>
        <w:t>标记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▲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条款为实质响应，不允许负偏离,否则废标处理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为了保证产品的安全与质量可靠，中标商在合同签订前，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lang w:val="en-US" w:eastAsia="zh-CN"/>
        </w:rPr>
        <w:t>为确保系统正常统一管理，预中标商在签定合同前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必须提供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接入柯城区人民法院海康威视综合安防平台统一管理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承诺函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，如不符合，作废标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处理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val="en-US" w:eastAsia="zh-CN"/>
        </w:rPr>
        <w:t>2、因新冠疫情期间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lang w:val="en-US" w:eastAsia="zh-CN"/>
        </w:rPr>
        <w:t>、项目工期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售后服务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lang w:val="en-US" w:eastAsia="zh-CN"/>
        </w:rPr>
        <w:t>因素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val="en-US" w:eastAsia="zh-CN"/>
        </w:rPr>
        <w:t>不接受疫情风险区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供应商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lang w:eastAsia="zh-CN"/>
        </w:rPr>
        <w:t>不接受推荐品牌外产品，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接到采购单位的报修电话后须马上响应，维修服务人员应在1小时内到位，一般维修应在4小时内完毕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八小时无法解决提供相应的备用机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highlight w:val="none"/>
          <w:lang w:val="en-US" w:eastAsia="zh-CN"/>
        </w:rPr>
        <w:t xml:space="preserve"> 3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中标单位所投品牌签订合同前必须提供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eastAsia="zh-CN"/>
        </w:rPr>
        <w:t>针对本项目的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原厂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eastAsia="zh-CN"/>
        </w:rPr>
        <w:t>授权书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及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eastAsia="zh-CN"/>
        </w:rPr>
        <w:t>质保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函，无法提供原厂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eastAsia="zh-CN"/>
        </w:rPr>
        <w:t>授权书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及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eastAsia="zh-CN"/>
        </w:rPr>
        <w:t>质保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函作无效报价。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lang w:val="en-US" w:eastAsia="zh-CN"/>
        </w:rPr>
        <w:t xml:space="preserve"> 4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因办案办公工作需要，要求中标单位合同签订后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天内供货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  <w:lang w:val="en-US" w:eastAsia="zh-CN"/>
        </w:rPr>
        <w:t>天完成安装、调试、培训，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1"/>
          <w:szCs w:val="21"/>
        </w:rPr>
        <w:t>否则报价无效。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1F4C5"/>
    <w:multiLevelType w:val="singleLevel"/>
    <w:tmpl w:val="FFF1F4C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1FA4FEC"/>
    <w:multiLevelType w:val="multilevel"/>
    <w:tmpl w:val="41FA4FE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04254C"/>
    <w:multiLevelType w:val="multilevel"/>
    <w:tmpl w:val="7E04254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56A042"/>
    <w:multiLevelType w:val="singleLevel"/>
    <w:tmpl w:val="7F56A0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123D9"/>
    <w:rsid w:val="00192A50"/>
    <w:rsid w:val="0758601D"/>
    <w:rsid w:val="116E4454"/>
    <w:rsid w:val="126E692D"/>
    <w:rsid w:val="1F4123D9"/>
    <w:rsid w:val="21B80007"/>
    <w:rsid w:val="2AF02F59"/>
    <w:rsid w:val="30B85EB3"/>
    <w:rsid w:val="3B8078BB"/>
    <w:rsid w:val="4461568A"/>
    <w:rsid w:val="63827880"/>
    <w:rsid w:val="654C5CDA"/>
    <w:rsid w:val="728C0AE7"/>
    <w:rsid w:val="7784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jc w:val="left"/>
      <w:outlineLvl w:val="1"/>
    </w:pPr>
    <w:rPr>
      <w:rFonts w:ascii="Arial" w:hAnsi="Arial"/>
      <w:caps/>
      <w:kern w:val="0"/>
      <w:sz w:val="24"/>
      <w:szCs w:val="20"/>
      <w:lang w:val="en-GB"/>
    </w:rPr>
  </w:style>
  <w:style w:type="paragraph" w:styleId="3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5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2021-09-28T09:02:00Z</dcterms:created>
  <dc:creator>Administrator</dc:creator>
  <cp:lastModifiedBy>Administrator</cp:lastModifiedBy>
  <dcterms:modified xsi:type="dcterms:W3CDTF">2021-09-28T09:17:06Z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