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国家税务总局鹰潭高新技术产业开发区税务局会议室</w:t>
      </w:r>
      <w:r>
        <w:rPr>
          <w:rFonts w:hint="eastAsia" w:ascii="方正小标宋简体" w:hAnsi="方正小标宋简体" w:eastAsia="方正小标宋简体" w:cs="方正小标宋简体"/>
          <w:sz w:val="44"/>
          <w:szCs w:val="44"/>
          <w:lang w:val="en-US" w:eastAsia="zh-CN"/>
        </w:rPr>
        <w:t>全彩LED屏</w:t>
      </w:r>
      <w:r>
        <w:rPr>
          <w:rFonts w:hint="eastAsia" w:ascii="方正小标宋简体" w:hAnsi="方正小标宋简体" w:eastAsia="方正小标宋简体" w:cs="方正小标宋简体"/>
          <w:sz w:val="44"/>
          <w:szCs w:val="44"/>
        </w:rPr>
        <w:t>项目</w:t>
      </w:r>
    </w:p>
    <w:p>
      <w:pPr>
        <w:pStyle w:val="15"/>
        <w:snapToGrid w:val="0"/>
        <w:spacing w:line="560" w:lineRule="exact"/>
        <w:ind w:firstLine="0" w:firstLineChars="0"/>
        <w:rPr>
          <w:rFonts w:ascii="黑体" w:hAnsi="黑体" w:eastAsia="黑体" w:cs="黑体"/>
          <w:sz w:val="32"/>
          <w:szCs w:val="32"/>
        </w:rPr>
      </w:pPr>
      <w:r>
        <w:rPr>
          <w:rFonts w:hint="eastAsia" w:ascii="黑体" w:hAnsi="黑体" w:eastAsia="黑体" w:cs="黑体"/>
          <w:sz w:val="32"/>
          <w:szCs w:val="32"/>
        </w:rPr>
        <w:t>一、项目名称</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国家税务总局鹰潭高新技术产业开发区税务局</w:t>
      </w:r>
      <w:r>
        <w:rPr>
          <w:rFonts w:hint="eastAsia" w:ascii="仿宋_GB2312" w:hAnsi="仿宋_GB2312" w:eastAsia="仿宋_GB2312" w:cs="仿宋_GB2312"/>
          <w:sz w:val="32"/>
          <w:szCs w:val="32"/>
          <w:lang w:val="en-US" w:eastAsia="zh-CN"/>
        </w:rPr>
        <w:t>会议室全彩LED</w:t>
      </w:r>
      <w:r>
        <w:rPr>
          <w:rFonts w:hint="eastAsia" w:ascii="仿宋_GB2312" w:hAnsi="仿宋_GB2312" w:eastAsia="仿宋_GB2312" w:cs="仿宋_GB2312"/>
          <w:sz w:val="32"/>
          <w:szCs w:val="32"/>
        </w:rPr>
        <w:t>项目：</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因会议室音视频设备陈旧老化，故障频发无维修价值，为保障会议音视频效果，拟更新会议室音视频设备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新增LED屏及相关配件一套</w:t>
      </w:r>
      <w:bookmarkStart w:id="0" w:name="_GoBack"/>
      <w:bookmarkEnd w:id="0"/>
      <w:r>
        <w:rPr>
          <w:rFonts w:hint="eastAsia" w:ascii="仿宋_GB2312" w:hAnsi="仿宋_GB2312" w:eastAsia="仿宋_GB2312" w:cs="仿宋_GB2312"/>
          <w:sz w:val="32"/>
          <w:szCs w:val="32"/>
        </w:rPr>
        <w:t>。</w:t>
      </w:r>
    </w:p>
    <w:p>
      <w:pPr>
        <w:pStyle w:val="15"/>
        <w:keepNext w:val="0"/>
        <w:keepLines w:val="0"/>
        <w:pageBreakBefore w:val="0"/>
        <w:widowControl/>
        <w:kinsoku/>
        <w:wordWrap/>
        <w:overflowPunct w:val="0"/>
        <w:topLinePunct w:val="0"/>
        <w:autoSpaceDE w:val="0"/>
        <w:autoSpaceDN w:val="0"/>
        <w:bidi w:val="0"/>
        <w:adjustRightInd w:val="0"/>
        <w:snapToGrid w:val="0"/>
        <w:spacing w:line="560" w:lineRule="exact"/>
        <w:ind w:firstLine="0" w:firstLineChars="0"/>
        <w:textAlignment w:val="baseline"/>
        <w:rPr>
          <w:rFonts w:ascii="黑体" w:hAnsi="黑体" w:eastAsia="黑体" w:cs="黑体"/>
          <w:sz w:val="32"/>
          <w:szCs w:val="32"/>
        </w:rPr>
      </w:pPr>
      <w:r>
        <w:rPr>
          <w:rFonts w:hint="eastAsia" w:ascii="黑体" w:hAnsi="黑体" w:eastAsia="黑体" w:cs="黑体"/>
          <w:sz w:val="32"/>
          <w:szCs w:val="32"/>
        </w:rPr>
        <w:t>二、付款方式：</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本次预算金额1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万元。交货安装调试完毕，经验收合格后付</w:t>
      </w:r>
      <w:r>
        <w:rPr>
          <w:rFonts w:hint="eastAsia" w:ascii="仿宋_GB2312" w:hAnsi="仿宋_GB2312" w:eastAsia="仿宋_GB2312" w:cs="仿宋_GB2312"/>
          <w:sz w:val="32"/>
          <w:szCs w:val="32"/>
          <w:lang w:val="en-US" w:eastAsia="zh-CN"/>
        </w:rPr>
        <w:t>至</w:t>
      </w:r>
      <w:r>
        <w:rPr>
          <w:rFonts w:hint="eastAsia" w:ascii="仿宋_GB2312" w:hAnsi="仿宋_GB2312" w:eastAsia="仿宋_GB2312" w:cs="仿宋_GB2312"/>
          <w:sz w:val="32"/>
          <w:szCs w:val="32"/>
        </w:rPr>
        <w:t>合同价款的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keepNext w:val="0"/>
        <w:keepLines w:val="0"/>
        <w:pageBreakBefore w:val="0"/>
        <w:widowControl/>
        <w:kinsoku/>
        <w:wordWrap/>
        <w:overflowPunct w:val="0"/>
        <w:topLinePunct w:val="0"/>
        <w:autoSpaceDE w:val="0"/>
        <w:autoSpaceDN w:val="0"/>
        <w:bidi w:val="0"/>
        <w:adjustRightInd w:val="0"/>
        <w:snapToGrid w:val="0"/>
        <w:spacing w:line="560" w:lineRule="exact"/>
        <w:jc w:val="left"/>
        <w:textAlignment w:val="baseline"/>
        <w:rPr>
          <w:rFonts w:ascii="黑体" w:hAnsi="黑体" w:eastAsia="黑体" w:cs="黑体"/>
          <w:b/>
          <w:bCs/>
          <w:sz w:val="32"/>
          <w:szCs w:val="32"/>
        </w:rPr>
      </w:pPr>
      <w:r>
        <w:rPr>
          <w:rFonts w:hint="eastAsia" w:ascii="黑体" w:hAnsi="黑体" w:eastAsia="黑体" w:cs="黑体"/>
          <w:sz w:val="32"/>
          <w:szCs w:val="32"/>
        </w:rPr>
        <w:t>二、投标/响应要求</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本项目在线竞价响应供应商须符合《中华人民共和国政府采购法》第二十二条的规定，符合《关于规范政府采购供应商资格设定及资格审查的通知》第六条规定，且已在政采云税务采购网系统注册并通过资质初审的供应商。</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（二）竞价响应供应商须认真审核在线竞价采购文件所有要求，谢绝恶意低价、不按要求报价，中标后无故放弃、不按合同履行等违约行为。</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（三）投标供应商应对招标设备参数逐一响应，通过附件形式上传，禁止照搬照抄，本项目竞价产品技术参数必须全部满足或优于采购清单表格列明的技术参数，否则视为无效竞价。 并提供相对应产品说明书或手册；资料不全、虚假应标、弄虚作假的，将严格按照《税务采购网供应商管理办法》相关条款进行处理（作废标处理并列入黑名单）。</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（四）投标供应商确保其所提供的产品为符合生产厂家正规渠道的原装正品。</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预成交供应商须在投标结束后、合同签订前向采购单位提供生产厂商针对本项目的供货证明原件和售后服务承诺书原件否则视为无效投标,中标后两日内提供与投标同型号设备依照设备招标参数进行逐一验证，若存在虚假应标，将取消中标资格，并列入黑名单。如预成交供应商不提供，预成交供应商承诺自愿放弃本次竞价，采购单位根据情况追究竞价响应供应商相关责任。 </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（五）供应商所投报价包含设备款、运输、安装、调试、培训、保修等费用。各投标人应充分理解本项目需求及要求。 </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（六）中标后提供</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年原厂授权的保修及服务承诺函，签订合同后</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sz w:val="32"/>
          <w:szCs w:val="32"/>
        </w:rPr>
        <w:t>个工作日内供货。</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（七）预成交供应商未能履行以下规定程序的，视为未实质性响应本项目采购需求，按税务采购网供应商管理办法处置：</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1、投标产品不满足技术参数等项目需求。 </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2、无法按时供货、安装、调试。</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3、由于供应商原因未在规定时间内签订合同。</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本项目设备必须与采购人现有视频会议系统整合，涉及到现场安装与环境装饰配合等因素，要求中标供应商设备安装调测时不得破坏原环境装饰，投标供应商在响应本项目前需实地查勘项目现场，但踏勘费用由供应商自行承担。为保证我局办公秩序及现场勘察工作的顺利进行，参与现场勘察人员须为本公司直系员工，并提供：加盖单位公章的《现场勘查确认函》、个人身份证复印件等。资料不全者，采购人有权不予受理；参加勘察现场人员最多不超过2人，并服从采购人管理和安排。现场勘查后，采购人对供应商的《现场勘查确认函》签章确认。供应商投标时需将经采购人签章确认的《现场勘查确认函》扫描上传。未到现场进行实地勘验，未上传经采购人签章确认的《现场勘查确认函》视为未响应招标文件要求。</w:t>
      </w:r>
    </w:p>
    <w:p>
      <w:pPr>
        <w:snapToGrid w:val="0"/>
        <w:spacing w:line="560" w:lineRule="exact"/>
        <w:jc w:val="left"/>
        <w:rPr>
          <w:rFonts w:ascii="黑体" w:hAnsi="黑体" w:eastAsia="黑体" w:cs="黑体"/>
          <w:sz w:val="32"/>
          <w:szCs w:val="32"/>
        </w:rPr>
      </w:pPr>
      <w:r>
        <w:rPr>
          <w:rFonts w:hint="eastAsia" w:ascii="黑体" w:hAnsi="黑体" w:eastAsia="黑体" w:cs="黑体"/>
          <w:sz w:val="32"/>
          <w:szCs w:val="32"/>
        </w:rPr>
        <w:t>三、项目需求</w:t>
      </w:r>
    </w:p>
    <w:p>
      <w:pPr>
        <w:numPr>
          <w:ilvl w:val="0"/>
          <w:numId w:val="1"/>
        </w:numPr>
        <w:snapToGrid w:val="0"/>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楷体_GB2312" w:hAnsi="楷体_GB2312" w:eastAsia="楷体_GB2312" w:cs="楷体_GB2312"/>
          <w:sz w:val="32"/>
          <w:szCs w:val="32"/>
          <w:highlight w:val="none"/>
        </w:rPr>
        <w:t>产品要求：</w:t>
      </w:r>
    </w:p>
    <w:p>
      <w:pPr>
        <w:pStyle w:val="5"/>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1337"/>
        <w:gridCol w:w="5451"/>
        <w:gridCol w:w="857"/>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pStyle w:val="5"/>
              <w:widowControl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序号</w:t>
            </w:r>
          </w:p>
        </w:tc>
        <w:tc>
          <w:tcPr>
            <w:tcW w:w="1337" w:type="dxa"/>
            <w:vAlign w:val="center"/>
          </w:tcPr>
          <w:p>
            <w:pPr>
              <w:pStyle w:val="5"/>
              <w:widowControl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设备名称</w:t>
            </w:r>
          </w:p>
        </w:tc>
        <w:tc>
          <w:tcPr>
            <w:tcW w:w="5451" w:type="dxa"/>
            <w:vAlign w:val="center"/>
          </w:tcPr>
          <w:p>
            <w:pPr>
              <w:pStyle w:val="5"/>
              <w:widowControl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参数要求</w:t>
            </w:r>
          </w:p>
        </w:tc>
        <w:tc>
          <w:tcPr>
            <w:tcW w:w="857" w:type="dxa"/>
            <w:vAlign w:val="center"/>
          </w:tcPr>
          <w:p>
            <w:pPr>
              <w:pStyle w:val="5"/>
              <w:widowControl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数量</w:t>
            </w:r>
          </w:p>
        </w:tc>
        <w:tc>
          <w:tcPr>
            <w:tcW w:w="894" w:type="dxa"/>
            <w:vAlign w:val="center"/>
          </w:tcPr>
          <w:p>
            <w:pPr>
              <w:pStyle w:val="5"/>
              <w:widowControl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pStyle w:val="5"/>
              <w:widowControl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33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室内全彩显示屏</w:t>
            </w:r>
          </w:p>
        </w:tc>
        <w:tc>
          <w:tcPr>
            <w:tcW w:w="5451" w:type="dxa"/>
          </w:tcPr>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1.★点间距≤1.539mm；</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2.★像素密度：≥422500点/平方,采用知名封装厂家SMD表贴三合一封装；</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3.底壳材质：支持加强筋结构底壳、铝底壳设计</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4.水平/垂直相对偏差：≤1%；</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5.模块微调功能：支持以模块为单位进行三维调节,模块间精密微调，从屏体前面或者后面均可以对任何一个模块进行亚毫米级的精细微调；</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6.峰值功耗：≤500 W/㎡；</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7.白平衡最大亮度：≥ 600cd/㎡；</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8.视角：≥160°；</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9.平整度：≤0.1mm；</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10.亮度均匀性：≥97%；</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11.像素失控率：≤1*10-6，无连续失控点；</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12.色温：2000K－10000K可调；调节步长100K，并可自定义色温值；</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13.色温误差：色温为6500K时，100%、75%、50%、25%四档电平白场调节色温误差≤100K；</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14.换帧频率：50Hz&amp;60Hz；</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15.最高对比度：8000：1；</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16.灰度等级：≥13bit；</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17.色域≥120%NTSC,支持DCI-P3色域要求；</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18.刷新频率：≥3840Hz</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19.外壳防护等级：≥IP6X ；</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20.支持单点（逐点）色度和亮度校正；支持5套亮度级校正系数，多层校正及存储；支持出厂校正及现场校正；校正后亮度损失＜10%</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21.平均无故障时间（MTBF）：≥100000小时；</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22.亮度调整：具有随环境照度的变化而自动亮度调整的功能，支持手动、自动、程控 (0～100%可调)，支持无级调节；</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23.数据存储：具有模块级亮度、色度校正数据的存储及回读功能；</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24.低亮度高灰度：支持EPWM灰阶控制技术提升低灰视觉效果，支持软件实现0-100%亮度情况下，灰度8bit-22bit任意设置，亮度调节至100%时，灰度22bit；亮度调节至80%时，灰度为17bit；亮度调节至50%时，灰度为16bit；亮度调节至20%时，灰度为15bit；</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25.通讯安全：通讯接口点点连接，双向一对一设备校验身份鉴别，无组网设计，采用国家密码管理局审批的密码算法对建立的链路进行安全的加密，采用我国自主SM系列密码算法加密传输，拒绝RSA、AES等国际通用算法和MD5、SHA-1、RC4等不安全密码算法接入；</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26.屏体带有智能(黑屏)节电功能，采用PWM-SS双重节能驱动芯片，具备智能息屏功能，可根显示的不同内容来自动判断是否进入“休眠模式”，启动时又自动唤醒进入“正常模式”。“睡眠模式”功耗比“正常模式”功耗最多可降80%，开启智能节电功能比没有开启节能综合节能45%以上；</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27.防护功能：具有完全防潮、防火、耐热、防尘、防腐蚀、防静电、防电击、防电磁干扰、抗雷击、防虫、抗震、抗风保护等功能；具有电源过压、过流、短路、断路、欠压保护、断电保护、温度控制、分布上电措施；可实现远程监督控制，具有实时监控显示屏工作状态，支持高温、故障自动报警等功能，发生故障立即发送消息到指定邮箱；</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28.人眼视觉舒适度（VICO指数）试验：视觉舒适度（VICO指数）范围在0-1级，满足CSA035.2-2017标准，对人眼基本无疲劳感，去除100%紫外线，消除 80%摩尔纹；</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29.支持自动gamma矫正技术，≥20 条可选择的gamma矫正曲线，通过构造非线性校正曲线和色坐标变换系统矩阵，实现显示效果的不断改善。各项指标：色彩还原性、色温调节范围、亮度均匀性、色度均匀性、刷新率、换帧频率等，均需符合广电级标准要求；</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30.LED显示屏采用纳米光学镀膜（真空镀膜）3D防护技术，具备防尘防水、防盐雾、耐高温高湿、耐黄变、抗静电、散热均匀等功能特点；采用等离子体增强化学气相沉积（PECVD）技术，模块正面防护等级符合IP65要求</w:t>
            </w:r>
          </w:p>
          <w:p>
            <w:pPr>
              <w:pStyle w:val="5"/>
              <w:widowControl w:val="0"/>
              <w:rPr>
                <w:rFonts w:hint="eastAsia" w:ascii="仿宋" w:hAnsi="仿宋" w:eastAsia="仿宋" w:cs="仿宋"/>
                <w:sz w:val="28"/>
                <w:szCs w:val="28"/>
                <w:vertAlign w:val="baseline"/>
              </w:rPr>
            </w:pPr>
            <w:r>
              <w:rPr>
                <w:rFonts w:hint="eastAsia" w:ascii="仿宋" w:hAnsi="仿宋" w:eastAsia="仿宋" w:cs="仿宋"/>
                <w:b/>
                <w:bCs/>
                <w:sz w:val="28"/>
                <w:szCs w:val="28"/>
                <w:vertAlign w:val="baseline"/>
              </w:rPr>
              <w:t>注：以上3-30条需提供首页具有CMA、CNAS和ilac-MRA标识的检测报告证明，并加盖LED显示屏制造厂商公章;采购人有权要求中标供应商携带样品进行参数及功能查验，如未达到基础参数及功能要求，采购人将上报至财政监管部门，追究其法律责任。</w:t>
            </w:r>
          </w:p>
        </w:tc>
        <w:tc>
          <w:tcPr>
            <w:tcW w:w="85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7.32</w:t>
            </w:r>
          </w:p>
        </w:tc>
        <w:tc>
          <w:tcPr>
            <w:tcW w:w="894"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pStyle w:val="5"/>
              <w:widowControl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133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视频控制器</w:t>
            </w:r>
          </w:p>
        </w:tc>
        <w:tc>
          <w:tcPr>
            <w:tcW w:w="5451" w:type="dxa"/>
          </w:tcPr>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专业主控是针对LED显示屏工程应用领域的专业级控制系统和视频处理设备；具备丰富的视频信号接口，支持HDMI、DVI等高清数字接口，多路信号间无缝切换；支持广播级缩放及多画面显示。具备6个千兆网口输出，单机可支持最宽8192像素，或最高8192像素的LED显示屏。同时，还具备一系列丰富实用的功能，可以实现灵活的屏幕控制和高品质的图像显示，在LED显示屏工程应用领域具有显著优势。</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1.支持丰富的数字信号接口，包括2路DVI，1路HDMI，1路SDI</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2.最大输入分辨率1920*1200@60Hz，支持分辨率任意设置</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3.最大带载390万像素，最宽可达8192点，或最高可达4096点</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4.支持视频源任意切换，任意缩放</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5.支持三画面显示，位置、大小可自由调节</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6.支持HDCP1.4</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7.双USB2.0高速通讯接口，用于电脑调试和主控间任意级联</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8.支持亮度、色温调节，支持对比度、色调、饱和度调节</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9.支持低亮高灰</w:t>
            </w:r>
          </w:p>
        </w:tc>
        <w:tc>
          <w:tcPr>
            <w:tcW w:w="85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1</w:t>
            </w:r>
          </w:p>
        </w:tc>
        <w:tc>
          <w:tcPr>
            <w:tcW w:w="894"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pStyle w:val="5"/>
              <w:widowControl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133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接收卡</w:t>
            </w:r>
          </w:p>
        </w:tc>
        <w:tc>
          <w:tcPr>
            <w:tcW w:w="5451" w:type="dxa"/>
          </w:tcPr>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1、集成12路HUB75接口，无需再配转接板，更方便，成本更低</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2、减少接插连接件，减少故障点，故障率更低</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3、支持常规芯片实现高刷新、高灰度、高亮度</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4、支持市场主流常规芯片、PWM芯片、士兰芯片</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5、全新灰度引擎，低灰度表现更佳</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6、可消除单元板设计引起的某行偏暗、低灰偏红、鬼影等细节问题</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7、支持高精度的色度、亮度一体化逐点校正</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8、支持静态到128扫之间的任意扫描类型</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9、支持灵活抽点、抽行抽列、数据组偏移，可轻松实现各种异型屏、创意显示屏</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10、单卡支持24组RGB信号输出</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11、支持箱体标定标序</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12、支持超大带载面积</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13、支持DC 3.8V~5.5V超宽工作电压</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14、支持全系列常规发送设备</w:t>
            </w:r>
          </w:p>
        </w:tc>
        <w:tc>
          <w:tcPr>
            <w:tcW w:w="85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22</w:t>
            </w:r>
          </w:p>
        </w:tc>
        <w:tc>
          <w:tcPr>
            <w:tcW w:w="894"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trPr>
        <w:tc>
          <w:tcPr>
            <w:tcW w:w="749" w:type="dxa"/>
            <w:vAlign w:val="center"/>
          </w:tcPr>
          <w:p>
            <w:pPr>
              <w:pStyle w:val="5"/>
              <w:widowControl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133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屏体钢结构</w:t>
            </w:r>
          </w:p>
        </w:tc>
        <w:tc>
          <w:tcPr>
            <w:tcW w:w="5451" w:type="dxa"/>
          </w:tcPr>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1.安装结构能满足LED高清显示屏的整体均匀平滑要求，采用环保型材，结构应便于安装和调试。</w:t>
            </w:r>
          </w:p>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2.采用国标材料制作，定制装置，拆装方便；具备间距调节装置，可实现精确调节，显示模组之间的缝隙均匀，显示效果清晰；钢结构框架，所有材料采用国家标准材料施工制作，防锈防氧化处理</w:t>
            </w:r>
          </w:p>
        </w:tc>
        <w:tc>
          <w:tcPr>
            <w:tcW w:w="85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10</w:t>
            </w:r>
          </w:p>
        </w:tc>
        <w:tc>
          <w:tcPr>
            <w:tcW w:w="894"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pStyle w:val="5"/>
              <w:widowControl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133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辅材及安装</w:t>
            </w:r>
          </w:p>
        </w:tc>
        <w:tc>
          <w:tcPr>
            <w:tcW w:w="5451" w:type="dxa"/>
          </w:tcPr>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包含线材辅材及安装调试等</w:t>
            </w:r>
          </w:p>
        </w:tc>
        <w:tc>
          <w:tcPr>
            <w:tcW w:w="85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1</w:t>
            </w:r>
          </w:p>
        </w:tc>
        <w:tc>
          <w:tcPr>
            <w:tcW w:w="894"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pStyle w:val="5"/>
              <w:widowControl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w:t>
            </w:r>
          </w:p>
        </w:tc>
        <w:tc>
          <w:tcPr>
            <w:tcW w:w="133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PLC配电柜</w:t>
            </w:r>
          </w:p>
        </w:tc>
        <w:tc>
          <w:tcPr>
            <w:tcW w:w="5451" w:type="dxa"/>
          </w:tcPr>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按键启动，定时开关，遥控开关，PLC电脑控制，中控控制，集群控制,温度监测，高温断电，烟雾监测（选），漏水监测（选）声光报警（选），蓝牙控制（选）</w:t>
            </w:r>
          </w:p>
        </w:tc>
        <w:tc>
          <w:tcPr>
            <w:tcW w:w="85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1</w:t>
            </w:r>
          </w:p>
        </w:tc>
        <w:tc>
          <w:tcPr>
            <w:tcW w:w="894"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pStyle w:val="5"/>
              <w:widowControl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7</w:t>
            </w:r>
          </w:p>
        </w:tc>
        <w:tc>
          <w:tcPr>
            <w:tcW w:w="133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无线传屏器</w:t>
            </w:r>
          </w:p>
        </w:tc>
        <w:tc>
          <w:tcPr>
            <w:tcW w:w="5451" w:type="dxa"/>
          </w:tcPr>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实现最多4 画面显示，输出分辨率：单画面 4K@60fps 视频输出，DC 12V 供电，操作系统Android 9.0</w:t>
            </w:r>
          </w:p>
        </w:tc>
        <w:tc>
          <w:tcPr>
            <w:tcW w:w="85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1</w:t>
            </w:r>
          </w:p>
        </w:tc>
        <w:tc>
          <w:tcPr>
            <w:tcW w:w="894"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pStyle w:val="5"/>
              <w:widowControl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8</w:t>
            </w:r>
          </w:p>
        </w:tc>
        <w:tc>
          <w:tcPr>
            <w:tcW w:w="133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HDMI双绞线接收器</w:t>
            </w:r>
          </w:p>
        </w:tc>
        <w:tc>
          <w:tcPr>
            <w:tcW w:w="5451" w:type="dxa"/>
          </w:tcPr>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网线转HDMI</w:t>
            </w:r>
          </w:p>
        </w:tc>
        <w:tc>
          <w:tcPr>
            <w:tcW w:w="85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1</w:t>
            </w:r>
          </w:p>
        </w:tc>
        <w:tc>
          <w:tcPr>
            <w:tcW w:w="894"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pStyle w:val="5"/>
              <w:widowControl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9</w:t>
            </w:r>
          </w:p>
        </w:tc>
        <w:tc>
          <w:tcPr>
            <w:tcW w:w="133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摄像机电动升降机</w:t>
            </w:r>
          </w:p>
        </w:tc>
        <w:tc>
          <w:tcPr>
            <w:tcW w:w="5451" w:type="dxa"/>
          </w:tcPr>
          <w:p>
            <w:pPr>
              <w:pStyle w:val="5"/>
              <w:widowControl w:val="0"/>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rPr>
              <w:t>满足</w:t>
            </w:r>
            <w:r>
              <w:rPr>
                <w:rFonts w:hint="eastAsia" w:ascii="仿宋" w:hAnsi="仿宋" w:eastAsia="仿宋" w:cs="仿宋"/>
                <w:sz w:val="28"/>
                <w:szCs w:val="28"/>
                <w:vertAlign w:val="baseline"/>
                <w:lang w:val="en-US" w:eastAsia="zh-CN"/>
              </w:rPr>
              <w:t>POLY视频会议</w:t>
            </w:r>
            <w:r>
              <w:rPr>
                <w:rFonts w:hint="eastAsia" w:ascii="仿宋" w:hAnsi="仿宋" w:eastAsia="仿宋" w:cs="仿宋"/>
                <w:sz w:val="28"/>
                <w:szCs w:val="28"/>
                <w:vertAlign w:val="baseline"/>
              </w:rPr>
              <w:t>摄像机安装，行程1.5米左右</w:t>
            </w:r>
            <w:r>
              <w:rPr>
                <w:rFonts w:hint="eastAsia" w:ascii="仿宋" w:hAnsi="仿宋" w:eastAsia="仿宋" w:cs="仿宋"/>
                <w:sz w:val="28"/>
                <w:szCs w:val="28"/>
                <w:vertAlign w:val="baseline"/>
                <w:lang w:eastAsia="zh-CN"/>
              </w:rPr>
              <w:t>，</w:t>
            </w:r>
            <w:r>
              <w:rPr>
                <w:rFonts w:hint="eastAsia" w:ascii="仿宋" w:hAnsi="仿宋" w:eastAsia="仿宋" w:cs="仿宋"/>
                <w:sz w:val="28"/>
                <w:szCs w:val="28"/>
                <w:vertAlign w:val="baseline"/>
                <w:lang w:val="en-US" w:eastAsia="zh-CN"/>
              </w:rPr>
              <w:t>遥控器控制升级。</w:t>
            </w:r>
          </w:p>
        </w:tc>
        <w:tc>
          <w:tcPr>
            <w:tcW w:w="85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1</w:t>
            </w:r>
          </w:p>
        </w:tc>
        <w:tc>
          <w:tcPr>
            <w:tcW w:w="894"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pStyle w:val="5"/>
              <w:widowControl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10</w:t>
            </w:r>
          </w:p>
        </w:tc>
        <w:tc>
          <w:tcPr>
            <w:tcW w:w="133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摄像机原装延长线</w:t>
            </w:r>
          </w:p>
        </w:tc>
        <w:tc>
          <w:tcPr>
            <w:tcW w:w="5451" w:type="dxa"/>
          </w:tcPr>
          <w:p>
            <w:pPr>
              <w:pStyle w:val="5"/>
              <w:widowControl w:val="0"/>
              <w:rPr>
                <w:rFonts w:hint="eastAsia" w:ascii="仿宋" w:hAnsi="仿宋" w:eastAsia="仿宋" w:cs="仿宋"/>
                <w:sz w:val="28"/>
                <w:szCs w:val="28"/>
                <w:vertAlign w:val="baseline"/>
              </w:rPr>
            </w:pPr>
            <w:r>
              <w:rPr>
                <w:rFonts w:hint="eastAsia" w:ascii="仿宋" w:hAnsi="仿宋" w:eastAsia="仿宋" w:cs="仿宋"/>
                <w:sz w:val="28"/>
                <w:szCs w:val="28"/>
                <w:vertAlign w:val="baseline"/>
              </w:rPr>
              <w:t>15米HDCI原装延长线</w:t>
            </w:r>
          </w:p>
        </w:tc>
        <w:tc>
          <w:tcPr>
            <w:tcW w:w="85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1</w:t>
            </w:r>
          </w:p>
        </w:tc>
        <w:tc>
          <w:tcPr>
            <w:tcW w:w="894"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pStyle w:val="5"/>
              <w:widowControl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11</w:t>
            </w:r>
          </w:p>
        </w:tc>
        <w:tc>
          <w:tcPr>
            <w:tcW w:w="133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移动播控平台</w:t>
            </w:r>
          </w:p>
        </w:tc>
        <w:tc>
          <w:tcPr>
            <w:tcW w:w="5451" w:type="dxa"/>
          </w:tcPr>
          <w:p>
            <w:pPr>
              <w:pStyle w:val="5"/>
              <w:widowControl w:val="0"/>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满足多功能会议室播放及控制需求，</w:t>
            </w:r>
          </w:p>
          <w:p>
            <w:pPr>
              <w:pStyle w:val="5"/>
              <w:widowControl w:val="0"/>
              <w:numPr>
                <w:ilvl w:val="0"/>
                <w:numId w:val="2"/>
              </w:num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满足智能会议图文上屏；</w:t>
            </w:r>
          </w:p>
          <w:p>
            <w:pPr>
              <w:pStyle w:val="5"/>
              <w:widowControl w:val="0"/>
              <w:numPr>
                <w:ilvl w:val="0"/>
                <w:numId w:val="2"/>
              </w:num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满足图文资料灵活切换；</w:t>
            </w:r>
          </w:p>
          <w:p>
            <w:pPr>
              <w:pStyle w:val="5"/>
              <w:widowControl w:val="0"/>
              <w:numPr>
                <w:ilvl w:val="0"/>
                <w:numId w:val="2"/>
              </w:numP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满足视频会议便捷辅流；</w:t>
            </w:r>
          </w:p>
          <w:p>
            <w:pPr>
              <w:pStyle w:val="5"/>
              <w:widowControl w:val="0"/>
              <w:numPr>
                <w:ilvl w:val="0"/>
                <w:numId w:val="2"/>
              </w:numP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通过无线网络连接。</w:t>
            </w:r>
          </w:p>
        </w:tc>
        <w:tc>
          <w:tcPr>
            <w:tcW w:w="85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1</w:t>
            </w:r>
          </w:p>
        </w:tc>
        <w:tc>
          <w:tcPr>
            <w:tcW w:w="894"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pStyle w:val="5"/>
              <w:widowControl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12</w:t>
            </w:r>
          </w:p>
        </w:tc>
        <w:tc>
          <w:tcPr>
            <w:tcW w:w="133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固定播控平台</w:t>
            </w:r>
          </w:p>
        </w:tc>
        <w:tc>
          <w:tcPr>
            <w:tcW w:w="5451" w:type="dxa"/>
          </w:tcPr>
          <w:p>
            <w:pPr>
              <w:pStyle w:val="5"/>
              <w:widowControl w:val="0"/>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满足多功能会议室播放及控制需求，</w:t>
            </w:r>
          </w:p>
          <w:p>
            <w:pPr>
              <w:pStyle w:val="5"/>
              <w:widowControl w:val="0"/>
              <w:numPr>
                <w:ilvl w:val="0"/>
                <w:numId w:val="3"/>
              </w:num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满足智能会议图文上屏；</w:t>
            </w:r>
          </w:p>
          <w:p>
            <w:pPr>
              <w:pStyle w:val="5"/>
              <w:widowControl w:val="0"/>
              <w:numPr>
                <w:ilvl w:val="0"/>
                <w:numId w:val="3"/>
              </w:num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满足图文资料灵活切换；</w:t>
            </w:r>
          </w:p>
          <w:p>
            <w:pPr>
              <w:pStyle w:val="5"/>
              <w:widowControl w:val="0"/>
              <w:numPr>
                <w:ilvl w:val="0"/>
                <w:numId w:val="3"/>
              </w:numPr>
              <w:rPr>
                <w:rFonts w:hint="eastAsia" w:ascii="仿宋" w:hAnsi="仿宋" w:eastAsia="仿宋" w:cs="仿宋"/>
                <w:sz w:val="28"/>
                <w:szCs w:val="28"/>
                <w:vertAlign w:val="baseline"/>
              </w:rPr>
            </w:pPr>
            <w:r>
              <w:rPr>
                <w:rFonts w:hint="eastAsia" w:ascii="仿宋" w:hAnsi="仿宋" w:eastAsia="仿宋" w:cs="仿宋"/>
                <w:sz w:val="28"/>
                <w:szCs w:val="28"/>
                <w:vertAlign w:val="baseline"/>
                <w:lang w:val="en-US" w:eastAsia="zh-CN"/>
              </w:rPr>
              <w:t>满足视频会议便捷辅流；</w:t>
            </w:r>
          </w:p>
          <w:p>
            <w:pPr>
              <w:pStyle w:val="5"/>
              <w:widowControl w:val="0"/>
              <w:numPr>
                <w:ilvl w:val="0"/>
                <w:numId w:val="3"/>
              </w:numPr>
              <w:rPr>
                <w:rFonts w:hint="eastAsia" w:ascii="仿宋" w:hAnsi="仿宋" w:eastAsia="仿宋" w:cs="仿宋"/>
                <w:sz w:val="28"/>
                <w:szCs w:val="28"/>
                <w:vertAlign w:val="baseline"/>
              </w:rPr>
            </w:pPr>
            <w:r>
              <w:rPr>
                <w:rFonts w:hint="eastAsia" w:ascii="仿宋" w:hAnsi="仿宋" w:eastAsia="仿宋" w:cs="仿宋"/>
                <w:sz w:val="28"/>
                <w:szCs w:val="28"/>
                <w:vertAlign w:val="baseline"/>
                <w:lang w:val="en-US" w:eastAsia="zh-CN"/>
              </w:rPr>
              <w:t>通过有线网络连接。</w:t>
            </w:r>
          </w:p>
        </w:tc>
        <w:tc>
          <w:tcPr>
            <w:tcW w:w="85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1</w:t>
            </w:r>
          </w:p>
        </w:tc>
        <w:tc>
          <w:tcPr>
            <w:tcW w:w="894"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9" w:type="dxa"/>
            <w:vAlign w:val="center"/>
          </w:tcPr>
          <w:p>
            <w:pPr>
              <w:pStyle w:val="5"/>
              <w:widowControl w:val="0"/>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13</w:t>
            </w:r>
          </w:p>
        </w:tc>
        <w:tc>
          <w:tcPr>
            <w:tcW w:w="133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控制室线路整理及会场修复</w:t>
            </w:r>
          </w:p>
        </w:tc>
        <w:tc>
          <w:tcPr>
            <w:tcW w:w="5451" w:type="dxa"/>
          </w:tcPr>
          <w:p>
            <w:pPr>
              <w:pStyle w:val="5"/>
              <w:widowControl w:val="0"/>
              <w:numPr>
                <w:ilvl w:val="0"/>
                <w:numId w:val="4"/>
              </w:numP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根据现场情况对控制室线缆进行整理；</w:t>
            </w:r>
          </w:p>
          <w:p>
            <w:pPr>
              <w:pStyle w:val="5"/>
              <w:widowControl w:val="0"/>
              <w:numPr>
                <w:ilvl w:val="0"/>
                <w:numId w:val="4"/>
              </w:numP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优化会场现有音视频设备的线缆；</w:t>
            </w:r>
          </w:p>
          <w:p>
            <w:pPr>
              <w:pStyle w:val="5"/>
              <w:widowControl w:val="0"/>
              <w:numPr>
                <w:ilvl w:val="0"/>
                <w:numId w:val="4"/>
              </w:numP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为保证美观，避免明线，线缆隐藏布设，破坏的位置进行修复，匹配会场整体环境要求。</w:t>
            </w:r>
          </w:p>
        </w:tc>
        <w:tc>
          <w:tcPr>
            <w:tcW w:w="857"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1</w:t>
            </w:r>
          </w:p>
        </w:tc>
        <w:tc>
          <w:tcPr>
            <w:tcW w:w="894" w:type="dxa"/>
            <w:vAlign w:val="center"/>
          </w:tcPr>
          <w:p>
            <w:pPr>
              <w:keepNext w:val="0"/>
              <w:keepLines w:val="0"/>
              <w:widowControl/>
              <w:suppressLineNumbers w:val="0"/>
              <w:jc w:val="center"/>
              <w:textAlignment w:val="center"/>
              <w:rPr>
                <w:rFonts w:hint="eastAsia" w:ascii="仿宋" w:hAnsi="仿宋" w:eastAsia="仿宋" w:cs="仿宋"/>
                <w:sz w:val="28"/>
                <w:szCs w:val="28"/>
                <w:vertAlign w:val="baseline"/>
              </w:rPr>
            </w:pPr>
            <w:r>
              <w:rPr>
                <w:rFonts w:hint="eastAsia" w:ascii="仿宋" w:hAnsi="仿宋" w:eastAsia="仿宋" w:cs="仿宋"/>
                <w:i w:val="0"/>
                <w:iCs w:val="0"/>
                <w:color w:val="000000"/>
                <w:kern w:val="0"/>
                <w:sz w:val="28"/>
                <w:szCs w:val="28"/>
                <w:u w:val="none"/>
                <w:lang w:val="en-US" w:eastAsia="zh-CN" w:bidi="ar"/>
              </w:rPr>
              <w:t>次</w:t>
            </w:r>
          </w:p>
        </w:tc>
      </w:tr>
    </w:tbl>
    <w:p>
      <w:pPr>
        <w:pStyle w:val="5"/>
      </w:pP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textAlignment w:val="baseline"/>
        <w:rPr>
          <w:rFonts w:ascii="楷体_GB2312" w:hAnsi="楷体_GB2312" w:eastAsia="楷体_GB2312" w:cs="楷体_GB2312"/>
          <w:sz w:val="32"/>
          <w:szCs w:val="32"/>
        </w:rPr>
      </w:pPr>
      <w:r>
        <w:rPr>
          <w:rFonts w:hint="eastAsia" w:ascii="楷体_GB2312" w:hAnsi="楷体_GB2312" w:eastAsia="楷体_GB2312" w:cs="楷体_GB2312"/>
          <w:sz w:val="32"/>
          <w:szCs w:val="32"/>
        </w:rPr>
        <w:t>（二）其他要求：</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1、供货：要求在合同签订5个工作日内完成全部设备的到货、现场安装、现场调试，并提供必要的辅材。</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2、提供维修备件：LED显示屏需提供不少于5年使用期的维修备件保障，确保设备故障及时修复。</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现场交付与安装调试：a.负责产品的安装与现场调试服务；b.完成硬件安装与调试服务，负责设备的首次加电开机；c.负责提供安装与调试所需的接头、插座、电缆、特殊安装工具等设备、工具、备件等；d.负责提供用电超负荷时产品所需相关保护设备；e.交付产品时应提供配套的技术资料，包括但不限于：系统说明文件、用户手册（安装、操作、维护、故障排除）。</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四、项目实施要求</w:t>
      </w:r>
    </w:p>
    <w:p>
      <w:pPr>
        <w:keepNext w:val="0"/>
        <w:keepLines w:val="0"/>
        <w:pageBreakBefore w:val="0"/>
        <w:widowControl/>
        <w:kinsoku/>
        <w:wordWrap/>
        <w:overflowPunct w:val="0"/>
        <w:topLinePunct w:val="0"/>
        <w:autoSpaceDE w:val="0"/>
        <w:autoSpaceDN w:val="0"/>
        <w:bidi w:val="0"/>
        <w:adjustRightInd w:val="0"/>
        <w:spacing w:line="560" w:lineRule="exact"/>
        <w:ind w:firstLine="640" w:firstLineChars="200"/>
        <w:textAlignment w:val="baseline"/>
        <w:rPr>
          <w:rFonts w:ascii="楷体_GB2312" w:hAnsi="楷体_GB2312" w:eastAsia="楷体_GB2312" w:cs="楷体_GB2312"/>
          <w:sz w:val="32"/>
          <w:szCs w:val="32"/>
        </w:rPr>
      </w:pPr>
      <w:r>
        <w:rPr>
          <w:rFonts w:hint="eastAsia" w:ascii="楷体_GB2312" w:hAnsi="楷体_GB2312" w:eastAsia="楷体_GB2312" w:cs="楷体_GB2312"/>
          <w:sz w:val="32"/>
          <w:szCs w:val="32"/>
        </w:rPr>
        <w:t>（一）实施要求：</w:t>
      </w:r>
    </w:p>
    <w:p>
      <w:pPr>
        <w:keepNext w:val="0"/>
        <w:keepLines w:val="0"/>
        <w:pageBreakBefore w:val="0"/>
        <w:widowControl/>
        <w:kinsoku/>
        <w:wordWrap/>
        <w:overflowPunct w:val="0"/>
        <w:topLinePunct w:val="0"/>
        <w:autoSpaceDE w:val="0"/>
        <w:autoSpaceDN w:val="0"/>
        <w:bidi w:val="0"/>
        <w:adjustRightInd w:val="0"/>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投标人负责对本项目的建设、实施与服务，要求投标人根据实际需求制定项目实施方案，明确项目细则、进度安排、人员配备、组织架构、协调机制、防范风险机制等，保障顺利实现目标任务。</w:t>
      </w:r>
    </w:p>
    <w:p>
      <w:pPr>
        <w:keepNext w:val="0"/>
        <w:keepLines w:val="0"/>
        <w:pageBreakBefore w:val="0"/>
        <w:widowControl/>
        <w:numPr>
          <w:ilvl w:val="0"/>
          <w:numId w:val="5"/>
        </w:numPr>
        <w:kinsoku/>
        <w:wordWrap/>
        <w:overflowPunct w:val="0"/>
        <w:topLinePunct w:val="0"/>
        <w:autoSpaceDE w:val="0"/>
        <w:autoSpaceDN w:val="0"/>
        <w:bidi w:val="0"/>
        <w:adjustRightInd w:val="0"/>
        <w:spacing w:line="560" w:lineRule="exact"/>
        <w:ind w:firstLine="640" w:firstLineChars="200"/>
        <w:textAlignment w:val="baseline"/>
        <w:rPr>
          <w:rFonts w:ascii="楷体_GB2312" w:hAnsi="楷体_GB2312" w:eastAsia="楷体_GB2312" w:cs="楷体_GB2312"/>
          <w:sz w:val="32"/>
          <w:szCs w:val="32"/>
        </w:rPr>
      </w:pPr>
      <w:r>
        <w:rPr>
          <w:rFonts w:hint="eastAsia" w:ascii="楷体_GB2312" w:hAnsi="楷体_GB2312" w:eastAsia="楷体_GB2312" w:cs="楷体_GB2312"/>
          <w:sz w:val="32"/>
          <w:szCs w:val="32"/>
        </w:rPr>
        <w:t>培训要求：</w:t>
      </w:r>
    </w:p>
    <w:p>
      <w:pPr>
        <w:keepNext w:val="0"/>
        <w:keepLines w:val="0"/>
        <w:pageBreakBefore w:val="0"/>
        <w:widowControl/>
        <w:kinsoku/>
        <w:wordWrap/>
        <w:overflowPunct w:val="0"/>
        <w:topLinePunct w:val="0"/>
        <w:autoSpaceDE w:val="0"/>
        <w:autoSpaceDN w:val="0"/>
        <w:bidi w:val="0"/>
        <w:adjustRightInd w:val="0"/>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根据项目实际情况进行相应培训，使信息部门工作人员及其运维人员能够了解软，硬件设备的各项性能，掌握相关技术知识，并能独立操作，方便其进行安全设备的管理。须提供安装配置等实操培训课程。</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ascii="黑体" w:hAnsi="黑体" w:eastAsia="黑体" w:cs="黑体"/>
          <w:sz w:val="32"/>
          <w:szCs w:val="32"/>
        </w:rPr>
      </w:pPr>
      <w:r>
        <w:rPr>
          <w:rFonts w:hint="eastAsia" w:ascii="黑体" w:hAnsi="黑体" w:eastAsia="黑体" w:cs="黑体"/>
          <w:sz w:val="32"/>
          <w:szCs w:val="32"/>
        </w:rPr>
        <w:t>五、项目验收要求</w:t>
      </w:r>
    </w:p>
    <w:p>
      <w:pPr>
        <w:keepNext w:val="0"/>
        <w:keepLines w:val="0"/>
        <w:pageBreakBefore w:val="0"/>
        <w:widowControl/>
        <w:kinsoku/>
        <w:wordWrap/>
        <w:overflowPunct w:val="0"/>
        <w:topLinePunct w:val="0"/>
        <w:autoSpaceDE w:val="0"/>
        <w:autoSpaceDN w:val="0"/>
        <w:bidi w:val="0"/>
        <w:adjustRightInd w:val="0"/>
        <w:spacing w:line="560" w:lineRule="exact"/>
        <w:ind w:firstLine="640" w:firstLineChars="200"/>
        <w:textAlignment w:val="baseline"/>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（一）到货及验收</w:t>
      </w:r>
    </w:p>
    <w:p>
      <w:pPr>
        <w:keepNext w:val="0"/>
        <w:keepLines w:val="0"/>
        <w:pageBreakBefore w:val="0"/>
        <w:widowControl/>
        <w:kinsoku/>
        <w:wordWrap/>
        <w:overflowPunct w:val="0"/>
        <w:topLinePunct w:val="0"/>
        <w:autoSpaceDE w:val="0"/>
        <w:autoSpaceDN w:val="0"/>
        <w:bidi w:val="0"/>
        <w:adjustRightInd w:val="0"/>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1、所有设备要求制造商直发，如不是制造商直发，采购人有权拒绝收货。</w:t>
      </w:r>
    </w:p>
    <w:p>
      <w:pPr>
        <w:keepNext w:val="0"/>
        <w:keepLines w:val="0"/>
        <w:pageBreakBefore w:val="0"/>
        <w:widowControl/>
        <w:kinsoku/>
        <w:wordWrap/>
        <w:overflowPunct w:val="0"/>
        <w:topLinePunct w:val="0"/>
        <w:autoSpaceDE w:val="0"/>
        <w:autoSpaceDN w:val="0"/>
        <w:bidi w:val="0"/>
        <w:adjustRightInd w:val="0"/>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设备到货后，由中标方、使用方代表共同对所有设备进行开箱检查。对全部设备的型号、规格、数量、外型、包装及资料、文件（如装箱单、保修单、随箱介质等）等进行验收签字确认。出现损坏、数量不全、产品不符等问题时，由投标人负责解决，项目单位有拒收的权利并保留索赔权利。</w:t>
      </w:r>
    </w:p>
    <w:p>
      <w:pPr>
        <w:keepNext w:val="0"/>
        <w:keepLines w:val="0"/>
        <w:pageBreakBefore w:val="0"/>
        <w:widowControl/>
        <w:kinsoku/>
        <w:wordWrap/>
        <w:overflowPunct w:val="0"/>
        <w:topLinePunct w:val="0"/>
        <w:autoSpaceDE w:val="0"/>
        <w:autoSpaceDN w:val="0"/>
        <w:bidi w:val="0"/>
        <w:adjustRightInd w:val="0"/>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3、设备安装、调试完成后，设备稳定运行两个月后，组织验收小组进行验收。</w:t>
      </w:r>
    </w:p>
    <w:p>
      <w:pPr>
        <w:keepNext w:val="0"/>
        <w:keepLines w:val="0"/>
        <w:pageBreakBefore w:val="0"/>
        <w:widowControl/>
        <w:kinsoku/>
        <w:wordWrap/>
        <w:overflowPunct w:val="0"/>
        <w:topLinePunct w:val="0"/>
        <w:autoSpaceDE w:val="0"/>
        <w:autoSpaceDN w:val="0"/>
        <w:bidi w:val="0"/>
        <w:adjustRightInd w:val="0"/>
        <w:spacing w:line="560" w:lineRule="exact"/>
        <w:ind w:firstLine="640" w:firstLineChars="200"/>
        <w:textAlignment w:val="baseline"/>
        <w:rPr>
          <w:rFonts w:ascii="楷体_GB2312" w:hAnsi="楷体_GB2312" w:eastAsia="楷体_GB2312" w:cs="楷体_GB2312"/>
          <w:sz w:val="32"/>
          <w:szCs w:val="32"/>
        </w:rPr>
      </w:pPr>
      <w:r>
        <w:rPr>
          <w:rFonts w:hint="eastAsia" w:ascii="楷体_GB2312" w:hAnsi="楷体_GB2312" w:eastAsia="楷体_GB2312" w:cs="楷体_GB2312"/>
          <w:sz w:val="32"/>
          <w:szCs w:val="32"/>
        </w:rPr>
        <w:t>（二）项目验收文档</w:t>
      </w:r>
    </w:p>
    <w:p>
      <w:pPr>
        <w:keepNext w:val="0"/>
        <w:keepLines w:val="0"/>
        <w:pageBreakBefore w:val="0"/>
        <w:widowControl/>
        <w:kinsoku/>
        <w:wordWrap/>
        <w:overflowPunct w:val="0"/>
        <w:topLinePunct w:val="0"/>
        <w:autoSpaceDE w:val="0"/>
        <w:autoSpaceDN w:val="0"/>
        <w:bidi w:val="0"/>
        <w:adjustRightInd w:val="0"/>
        <w:spacing w:line="56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中标方应向项目单位提供下述文档：</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1、技术文件：设备安装、运行、使用、测试、诊断和维修的技术文件。</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2、系统配置：包括配置图和配件清单。</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3、安装指南：中标方应当提供所购硬件设备的安装指南。</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4、验收文档：验收时收集各项验收数据，汇总成册，并对项目系统进行综合评估。</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5、过程文档：中标方需对项目实施过程记录，并提供过程记录文档。</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left"/>
        <w:textAlignment w:val="baseline"/>
        <w:rPr>
          <w:rFonts w:ascii="黑体" w:hAnsi="黑体" w:eastAsia="黑体" w:cs="黑体"/>
          <w:sz w:val="32"/>
          <w:szCs w:val="32"/>
        </w:rPr>
      </w:pPr>
      <w:r>
        <w:rPr>
          <w:rFonts w:hint="eastAsia" w:ascii="黑体" w:hAnsi="黑体" w:eastAsia="黑体" w:cs="黑体"/>
          <w:sz w:val="32"/>
          <w:szCs w:val="32"/>
        </w:rPr>
        <w:t>六、项目技术支持服务要求</w:t>
      </w:r>
    </w:p>
    <w:p>
      <w:pPr>
        <w:keepNext w:val="0"/>
        <w:keepLines w:val="0"/>
        <w:pageBreakBefore w:val="0"/>
        <w:widowControl/>
        <w:kinsoku/>
        <w:wordWrap/>
        <w:overflowPunct w:val="0"/>
        <w:topLinePunct w:val="0"/>
        <w:autoSpaceDE w:val="0"/>
        <w:autoSpaceDN w:val="0"/>
        <w:bidi w:val="0"/>
        <w:adjustRightInd w:val="0"/>
        <w:spacing w:line="56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设备发生故障需要紧急排除时，在30分钟内作出回应，1小时内提出解决方案，3小时内赶到用户所在地进行维修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24小时内修复完成。 供应商需提供签章的《服务及质保承诺书》（格式附后），不满足要求或者不提供者视为不响应标书要求。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6"/>
        <w:keepNext w:val="0"/>
        <w:keepLines w:val="0"/>
        <w:widowControl/>
        <w:suppressLineNumbers w:val="0"/>
        <w:spacing w:before="0" w:beforeAutospacing="1" w:after="0" w:afterAutospacing="1" w:line="23" w:lineRule="atLeast"/>
        <w:ind w:left="0" w:right="0"/>
        <w:jc w:val="left"/>
      </w:pPr>
      <w:r>
        <w:t>《</w:t>
      </w:r>
      <w:r>
        <w:rPr>
          <w:rFonts w:hint="eastAsia"/>
        </w:rPr>
        <w:t>现场勘察证明函</w:t>
      </w:r>
      <w:r>
        <w:t xml:space="preserve">》格式 </w:t>
      </w:r>
    </w:p>
    <w:p>
      <w:pPr>
        <w:jc w:val="center"/>
        <w:rPr>
          <w:rFonts w:ascii="微软雅黑" w:hAnsi="微软雅黑" w:eastAsia="微软雅黑" w:cs="微软雅黑"/>
          <w:sz w:val="32"/>
        </w:rPr>
      </w:pPr>
      <w:r>
        <w:rPr>
          <w:rFonts w:ascii="微软雅黑" w:hAnsi="微软雅黑" w:eastAsia="微软雅黑" w:cs="微软雅黑"/>
          <w:sz w:val="32"/>
        </w:rPr>
        <w:t>现场勘察证明函</w:t>
      </w:r>
    </w:p>
    <w:p>
      <w:pPr>
        <w:rPr>
          <w:rFonts w:ascii="Calibri" w:hAnsi="Calibri" w:eastAsia="Calibri" w:cs="Calibri"/>
        </w:rPr>
      </w:pPr>
    </w:p>
    <w:p>
      <w:pPr>
        <w:spacing w:line="360" w:lineRule="auto"/>
        <w:rPr>
          <w:rFonts w:ascii="宋体" w:hAnsi="宋体" w:eastAsia="宋体" w:cs="宋体"/>
          <w:sz w:val="24"/>
        </w:rPr>
      </w:pPr>
      <w:r>
        <w:rPr>
          <w:rFonts w:ascii="宋体" w:hAnsi="宋体" w:eastAsia="宋体" w:cs="宋体"/>
          <w:sz w:val="24"/>
        </w:rPr>
        <w:t>致：</w:t>
      </w:r>
      <w:r>
        <w:rPr>
          <w:rFonts w:hint="eastAsia" w:ascii="宋体" w:hAnsi="宋体" w:eastAsia="宋体" w:cs="宋体"/>
          <w:sz w:val="24"/>
        </w:rPr>
        <w:t>国家税务总局鹰潭高新技术产业开发区税务局</w:t>
      </w:r>
    </w:p>
    <w:p>
      <w:pPr>
        <w:spacing w:line="360" w:lineRule="auto"/>
        <w:rPr>
          <w:rFonts w:ascii="宋体" w:hAnsi="宋体" w:eastAsia="宋体" w:cs="宋体"/>
          <w:sz w:val="24"/>
        </w:rPr>
      </w:pPr>
    </w:p>
    <w:p>
      <w:pPr>
        <w:spacing w:line="360" w:lineRule="auto"/>
        <w:ind w:firstLine="480"/>
        <w:rPr>
          <w:rFonts w:ascii="宋体" w:hAnsi="宋体" w:eastAsia="宋体" w:cs="宋体"/>
          <w:sz w:val="24"/>
        </w:rPr>
      </w:pPr>
      <w:r>
        <w:rPr>
          <w:rFonts w:ascii="宋体" w:hAnsi="宋体" w:eastAsia="宋体" w:cs="宋体"/>
          <w:sz w:val="24"/>
        </w:rPr>
        <w:t>我司有意参与贵单位组织的</w:t>
      </w:r>
      <w:r>
        <w:rPr>
          <w:rFonts w:hint="eastAsia" w:ascii="宋体" w:hAnsi="宋体" w:eastAsia="宋体" w:cs="宋体"/>
          <w:sz w:val="24"/>
          <w:u w:val="single"/>
        </w:rPr>
        <w:t>国家税务总局鹰潭高新技术产业开发区税务局会议室</w:t>
      </w:r>
      <w:r>
        <w:rPr>
          <w:rFonts w:hint="eastAsia" w:ascii="宋体" w:hAnsi="宋体" w:eastAsia="宋体" w:cs="宋体"/>
          <w:sz w:val="24"/>
          <w:u w:val="single"/>
          <w:lang w:val="en-US" w:eastAsia="zh-CN"/>
        </w:rPr>
        <w:t>视频及环境改造</w:t>
      </w:r>
      <w:r>
        <w:rPr>
          <w:rFonts w:hint="eastAsia" w:ascii="宋体" w:hAnsi="宋体" w:eastAsia="宋体" w:cs="宋体"/>
          <w:sz w:val="24"/>
          <w:u w:val="single"/>
        </w:rPr>
        <w:t>项目</w:t>
      </w:r>
      <w:r>
        <w:rPr>
          <w:rFonts w:ascii="宋体" w:hAnsi="宋体" w:eastAsia="宋体" w:cs="宋体"/>
          <w:sz w:val="24"/>
        </w:rPr>
        <w:t>的</w:t>
      </w:r>
      <w:r>
        <w:rPr>
          <w:rFonts w:hint="eastAsia" w:ascii="宋体" w:hAnsi="宋体" w:eastAsia="宋体" w:cs="宋体"/>
          <w:sz w:val="24"/>
        </w:rPr>
        <w:t>在线竞价</w:t>
      </w:r>
      <w:r>
        <w:rPr>
          <w:rFonts w:ascii="宋体" w:hAnsi="宋体" w:eastAsia="宋体" w:cs="宋体"/>
          <w:sz w:val="24"/>
        </w:rPr>
        <w:t>工作，兹委派我司项目负责人</w:t>
      </w:r>
      <w:r>
        <w:rPr>
          <w:rFonts w:ascii="宋体" w:hAnsi="宋体" w:eastAsia="宋体" w:cs="宋体"/>
          <w:sz w:val="24"/>
          <w:u w:val="single"/>
        </w:rPr>
        <w:t xml:space="preserve">    </w:t>
      </w:r>
      <w:r>
        <w:rPr>
          <w:rFonts w:hint="eastAsia" w:ascii="宋体" w:hAnsi="宋体" w:eastAsia="宋体" w:cs="宋体"/>
          <w:sz w:val="24"/>
          <w:u w:val="single"/>
          <w:lang w:val="en-US" w:eastAsia="zh-CN"/>
        </w:rPr>
        <w:t xml:space="preserve">     </w:t>
      </w:r>
      <w:r>
        <w:rPr>
          <w:rFonts w:ascii="宋体" w:hAnsi="宋体" w:eastAsia="宋体" w:cs="宋体"/>
          <w:sz w:val="24"/>
          <w:u w:val="single"/>
        </w:rPr>
        <w:t xml:space="preserve">  </w:t>
      </w:r>
      <w:r>
        <w:rPr>
          <w:rFonts w:ascii="宋体" w:hAnsi="宋体" w:eastAsia="宋体" w:cs="宋体"/>
          <w:sz w:val="24"/>
        </w:rPr>
        <w:t>（身份证号：</w:t>
      </w:r>
      <w:r>
        <w:rPr>
          <w:rFonts w:ascii="Calibri" w:hAnsi="Calibri" w:eastAsia="Calibri" w:cs="Calibri"/>
          <w:sz w:val="24"/>
          <w:u w:val="single"/>
        </w:rPr>
        <w:t xml:space="preserve">                                           </w:t>
      </w:r>
      <w:r>
        <w:rPr>
          <w:rFonts w:ascii="宋体" w:hAnsi="宋体" w:eastAsia="宋体" w:cs="宋体"/>
          <w:sz w:val="24"/>
        </w:rPr>
        <w:t>），按招标书规定要求于</w:t>
      </w:r>
      <w:r>
        <w:rPr>
          <w:rFonts w:ascii="宋体" w:hAnsi="宋体" w:eastAsia="宋体" w:cs="宋体"/>
          <w:sz w:val="24"/>
          <w:u w:val="single"/>
        </w:rPr>
        <w:t xml:space="preserve">      </w:t>
      </w:r>
      <w:r>
        <w:rPr>
          <w:rFonts w:ascii="宋体" w:hAnsi="宋体" w:eastAsia="宋体" w:cs="宋体"/>
          <w:sz w:val="24"/>
        </w:rPr>
        <w:t>年</w:t>
      </w:r>
    </w:p>
    <w:p>
      <w:pPr>
        <w:spacing w:line="360" w:lineRule="auto"/>
        <w:ind w:left="0" w:leftChars="0" w:firstLine="0" w:firstLineChars="0"/>
        <w:rPr>
          <w:rFonts w:ascii="宋体" w:hAnsi="宋体" w:eastAsia="宋体" w:cs="宋体"/>
          <w:sz w:val="24"/>
        </w:rPr>
      </w:pPr>
      <w:r>
        <w:rPr>
          <w:rFonts w:ascii="宋体" w:hAnsi="宋体" w:eastAsia="宋体" w:cs="宋体"/>
          <w:sz w:val="24"/>
          <w:u w:val="single"/>
        </w:rPr>
        <w:t xml:space="preserve">   </w:t>
      </w:r>
      <w:r>
        <w:rPr>
          <w:rFonts w:ascii="宋体" w:hAnsi="宋体" w:eastAsia="宋体" w:cs="宋体"/>
          <w:sz w:val="24"/>
        </w:rPr>
        <w:t>月</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ascii="宋体" w:hAnsi="宋体" w:eastAsia="宋体" w:cs="宋体"/>
          <w:sz w:val="24"/>
        </w:rPr>
        <w:t>日</w:t>
      </w:r>
      <w:r>
        <w:rPr>
          <w:rFonts w:hint="eastAsia" w:ascii="宋体" w:hAnsi="宋体" w:eastAsia="宋体" w:cs="宋体"/>
          <w:sz w:val="24"/>
        </w:rPr>
        <w:t>到国家税务局总局鹰潭高新技术产业开发区税务局现场勘察。请予以证明。</w:t>
      </w:r>
    </w:p>
    <w:p>
      <w:pPr>
        <w:spacing w:line="360" w:lineRule="auto"/>
        <w:rPr>
          <w:rFonts w:ascii="Calibri" w:hAnsi="Calibri" w:eastAsia="Calibri" w:cs="Calibri"/>
          <w:sz w:val="24"/>
        </w:rPr>
      </w:pPr>
      <w:r>
        <w:rPr>
          <w:rFonts w:ascii="Calibri" w:hAnsi="Calibri" w:eastAsia="Calibri" w:cs="Calibri"/>
          <w:sz w:val="24"/>
        </w:rPr>
        <w:t xml:space="preserve">               </w:t>
      </w:r>
      <w:r>
        <w:rPr>
          <w:rFonts w:ascii="宋体" w:hAnsi="宋体" w:eastAsia="宋体" w:cs="宋体"/>
          <w:sz w:val="24"/>
        </w:rPr>
        <w:t>感谢！</w:t>
      </w:r>
    </w:p>
    <w:p>
      <w:pPr>
        <w:spacing w:line="360" w:lineRule="auto"/>
        <w:ind w:firstLine="5244" w:firstLineChars="2185"/>
        <w:rPr>
          <w:rFonts w:ascii="宋体" w:hAnsi="宋体" w:eastAsia="宋体" w:cs="宋体"/>
          <w:sz w:val="24"/>
        </w:rPr>
      </w:pPr>
    </w:p>
    <w:p>
      <w:pPr>
        <w:spacing w:line="360" w:lineRule="auto"/>
        <w:ind w:firstLine="5244" w:firstLineChars="2185"/>
        <w:rPr>
          <w:rFonts w:ascii="宋体" w:hAnsi="宋体" w:eastAsia="宋体" w:cs="宋体"/>
          <w:sz w:val="24"/>
        </w:rPr>
      </w:pPr>
      <w:r>
        <w:rPr>
          <w:rFonts w:hint="eastAsia" w:ascii="宋体" w:hAnsi="宋体" w:eastAsia="宋体" w:cs="宋体"/>
          <w:sz w:val="24"/>
        </w:rPr>
        <w:t>竞价单位：</w:t>
      </w:r>
    </w:p>
    <w:p>
      <w:pPr>
        <w:spacing w:line="360" w:lineRule="auto"/>
        <w:ind w:firstLine="5244" w:firstLineChars="2185"/>
        <w:rPr>
          <w:rFonts w:ascii="Calibri" w:hAnsi="Calibri" w:eastAsia="Calibri" w:cs="Calibri"/>
          <w:sz w:val="24"/>
        </w:rPr>
      </w:pPr>
      <w:r>
        <w:rPr>
          <w:rFonts w:hint="eastAsia" w:ascii="宋体" w:hAnsi="宋体" w:eastAsia="宋体" w:cs="宋体"/>
          <w:sz w:val="24"/>
        </w:rPr>
        <w:t xml:space="preserve">日 </w:t>
      </w:r>
      <w:r>
        <w:rPr>
          <w:rFonts w:ascii="宋体" w:hAnsi="宋体" w:eastAsia="宋体" w:cs="宋体"/>
          <w:sz w:val="24"/>
        </w:rPr>
        <w:t xml:space="preserve">   </w:t>
      </w:r>
      <w:r>
        <w:rPr>
          <w:rFonts w:hint="eastAsia" w:ascii="宋体" w:hAnsi="宋体" w:eastAsia="宋体" w:cs="宋体"/>
          <w:sz w:val="24"/>
        </w:rPr>
        <w:t>期：</w:t>
      </w:r>
    </w:p>
    <w:p>
      <w:pPr>
        <w:spacing w:line="360" w:lineRule="auto"/>
        <w:rPr>
          <w:rFonts w:ascii="Calibri" w:hAnsi="Calibri" w:eastAsia="Calibri" w:cs="Calibri"/>
          <w:sz w:val="24"/>
        </w:rPr>
      </w:pPr>
      <w:r>
        <w:rPr>
          <w:rFonts w:ascii="Calibri" w:hAnsi="Calibri" w:eastAsia="Calibri" w:cs="Calibri"/>
          <w:sz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165735</wp:posOffset>
                </wp:positionV>
                <wp:extent cx="5353050" cy="19050"/>
                <wp:effectExtent l="0" t="4445" r="0" b="5080"/>
                <wp:wrapNone/>
                <wp:docPr id="1" name="AutoShape 2"/>
                <wp:cNvGraphicFramePr/>
                <a:graphic xmlns:a="http://schemas.openxmlformats.org/drawingml/2006/main">
                  <a:graphicData uri="http://schemas.microsoft.com/office/word/2010/wordprocessingShape">
                    <wps:wsp>
                      <wps:cNvCnPr>
                        <a:cxnSpLocks noChangeShapeType="1"/>
                      </wps:cNvCnPr>
                      <wps:spPr bwMode="auto">
                        <a:xfrm flipV="1">
                          <a:off x="0" y="0"/>
                          <a:ext cx="5353050" cy="19050"/>
                        </a:xfrm>
                        <a:prstGeom prst="straightConnector1">
                          <a:avLst/>
                        </a:prstGeom>
                        <a:noFill/>
                        <a:ln w="9525">
                          <a:solidFill>
                            <a:srgbClr val="000000"/>
                          </a:solidFill>
                          <a:round/>
                          <a:headEnd type="none" w="med" len="med"/>
                          <a:tailEnd type="none" w="med" len="med"/>
                        </a:ln>
                        <a:effectLst/>
                      </wps:spPr>
                      <wps:bodyPr/>
                    </wps:wsp>
                  </a:graphicData>
                </a:graphic>
              </wp:anchor>
            </w:drawing>
          </mc:Choice>
          <mc:Fallback>
            <w:pict>
              <v:shape id="AutoShape 2" o:spid="_x0000_s1026" o:spt="32" type="#_x0000_t32" style="position:absolute;left:0pt;flip:y;margin-left:0.75pt;margin-top:13.05pt;height:1.5pt;width:421.5pt;z-index:251659264;mso-width-relative:page;mso-height-relative:page;" filled="f" stroked="t" coordsize="21600,21600" o:gfxdata="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Mr+XtMAAAAHAQAADwAAAAAAAAABACAAAAAiAAAAZHJzL2Rvd25yZXYu&#10;eG1sUEsBAhQAFAAAAAgAh07iQNg7FrIAAgAAIgQAAA4AAAAAAAAAAQAgAAAAIgEAAGRycy9lMm9E&#10;b2MueG1sUEsFBgAAAAAGAAYAWQEAAJQFAAAAAA==&#10;">
                <v:fill on="f" focussize="0,0"/>
                <v:stroke color="#000000" joinstyle="round"/>
                <v:imagedata o:title=""/>
                <o:lock v:ext="edit" aspectratio="f"/>
              </v:shape>
            </w:pict>
          </mc:Fallback>
        </mc:AlternateContent>
      </w:r>
    </w:p>
    <w:p>
      <w:pPr>
        <w:spacing w:line="36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hint="eastAsia" w:ascii="宋体" w:hAnsi="宋体" w:eastAsia="宋体" w:cs="宋体"/>
          <w:sz w:val="24"/>
        </w:rPr>
        <w:t>根据《国家税务总局鹰潭高新技术产业开发区税务局会议室</w:t>
      </w:r>
      <w:r>
        <w:rPr>
          <w:rFonts w:hint="eastAsia" w:ascii="宋体" w:hAnsi="宋体" w:eastAsia="宋体" w:cs="宋体"/>
          <w:sz w:val="24"/>
          <w:lang w:val="en-US" w:eastAsia="zh-CN"/>
        </w:rPr>
        <w:t>视频及环境改造</w:t>
      </w:r>
      <w:r>
        <w:rPr>
          <w:rFonts w:hint="eastAsia" w:ascii="宋体" w:hAnsi="宋体" w:eastAsia="宋体" w:cs="宋体"/>
          <w:sz w:val="24"/>
        </w:rPr>
        <w:t>项目》要求，竞价单位对项目现场必须进行实地踏勘。现竞价单位已进行实地踏勘，获得该项目竞价所需要相关</w:t>
      </w:r>
      <w:r>
        <w:rPr>
          <w:rFonts w:ascii="宋体" w:hAnsi="宋体" w:eastAsia="宋体" w:cs="宋体"/>
          <w:sz w:val="24"/>
        </w:rPr>
        <w:t>信息</w:t>
      </w:r>
      <w:r>
        <w:rPr>
          <w:rFonts w:hint="eastAsia" w:ascii="宋体" w:hAnsi="宋体" w:eastAsia="宋体" w:cs="宋体"/>
          <w:sz w:val="24"/>
        </w:rPr>
        <w:t>和资料。</w:t>
      </w:r>
    </w:p>
    <w:p>
      <w:pPr>
        <w:spacing w:line="360" w:lineRule="auto"/>
        <w:ind w:firstLine="480" w:firstLineChars="200"/>
        <w:rPr>
          <w:rFonts w:ascii="宋体" w:hAnsi="宋体" w:eastAsia="宋体" w:cs="宋体"/>
          <w:sz w:val="24"/>
        </w:rPr>
      </w:pPr>
      <w:r>
        <w:rPr>
          <w:rFonts w:hint="eastAsia" w:ascii="宋体" w:hAnsi="宋体" w:eastAsia="宋体" w:cs="宋体"/>
          <w:sz w:val="24"/>
        </w:rPr>
        <w:t>1.经现场踏勘，该投标单位对该项目现场现状已充分了解。</w:t>
      </w:r>
    </w:p>
    <w:p>
      <w:pPr>
        <w:spacing w:line="360" w:lineRule="auto"/>
        <w:ind w:firstLine="480" w:firstLineChars="200"/>
        <w:rPr>
          <w:rFonts w:ascii="宋体" w:hAnsi="宋体" w:eastAsia="宋体" w:cs="宋体"/>
          <w:sz w:val="24"/>
        </w:rPr>
      </w:pPr>
      <w:r>
        <w:rPr>
          <w:rFonts w:hint="eastAsia" w:ascii="宋体" w:hAnsi="宋体" w:eastAsia="宋体" w:cs="宋体"/>
          <w:sz w:val="24"/>
        </w:rPr>
        <w:t>2.该竞价单位若中标，不对场地现状提供异议，不以场地、装修、</w:t>
      </w:r>
      <w:r>
        <w:rPr>
          <w:rFonts w:ascii="宋体" w:hAnsi="宋体" w:eastAsia="宋体" w:cs="宋体"/>
          <w:sz w:val="24"/>
        </w:rPr>
        <w:t>工艺等因素</w:t>
      </w:r>
      <w:r>
        <w:rPr>
          <w:rFonts w:hint="eastAsia" w:ascii="宋体" w:hAnsi="宋体" w:eastAsia="宋体" w:cs="宋体"/>
          <w:sz w:val="24"/>
        </w:rPr>
        <w:t>为由拒绝签署项目合同书或履行所约定的各项义务。</w:t>
      </w:r>
    </w:p>
    <w:p>
      <w:pPr>
        <w:spacing w:line="360" w:lineRule="auto"/>
        <w:ind w:firstLine="480" w:firstLineChars="200"/>
        <w:rPr>
          <w:rFonts w:ascii="宋体" w:hAnsi="宋体" w:eastAsia="宋体" w:cs="宋体"/>
          <w:sz w:val="24"/>
        </w:rPr>
      </w:pPr>
      <w:r>
        <w:rPr>
          <w:rFonts w:hint="eastAsia" w:ascii="宋体" w:hAnsi="宋体" w:eastAsia="宋体" w:cs="宋体"/>
          <w:sz w:val="24"/>
        </w:rPr>
        <w:t>特此证明！</w:t>
      </w:r>
    </w:p>
    <w:p>
      <w:pPr>
        <w:spacing w:line="360" w:lineRule="auto"/>
        <w:rPr>
          <w:rFonts w:ascii="宋体" w:hAnsi="宋体" w:eastAsia="宋体" w:cs="宋体"/>
          <w:sz w:val="24"/>
        </w:rPr>
      </w:pPr>
    </w:p>
    <w:p>
      <w:pPr>
        <w:spacing w:line="360" w:lineRule="auto"/>
        <w:rPr>
          <w:rFonts w:ascii="宋体" w:hAnsi="宋体" w:eastAsia="宋体" w:cs="宋体"/>
          <w:b/>
          <w:sz w:val="24"/>
        </w:rPr>
      </w:pPr>
      <w:r>
        <w:rPr>
          <w:rFonts w:hint="eastAsia" w:ascii="宋体" w:hAnsi="宋体" w:eastAsia="宋体" w:cs="宋体"/>
          <w:sz w:val="24"/>
        </w:rPr>
        <w:t>竞价单位：</w:t>
      </w:r>
      <w:r>
        <w:rPr>
          <w:rFonts w:ascii="宋体" w:hAnsi="宋体" w:eastAsia="宋体" w:cs="宋体"/>
          <w:sz w:val="24"/>
          <w:u w:val="single"/>
        </w:rPr>
        <w:t xml:space="preserve">                </w:t>
      </w:r>
      <w:r>
        <w:rPr>
          <w:rFonts w:hint="eastAsia" w:ascii="宋体" w:hAnsi="宋体" w:eastAsia="宋体" w:cs="宋体"/>
          <w:sz w:val="24"/>
        </w:rPr>
        <w:t>采购单位：国家税务总局鹰潭高新技术产业开发区税务局</w:t>
      </w:r>
    </w:p>
    <w:p>
      <w:pPr>
        <w:spacing w:line="360" w:lineRule="auto"/>
        <w:jc w:val="left"/>
        <w:rPr>
          <w:rFonts w:ascii="宋体" w:hAnsi="宋体" w:eastAsia="宋体" w:cs="宋体"/>
          <w:sz w:val="24"/>
        </w:rPr>
      </w:pPr>
      <w:r>
        <w:rPr>
          <w:rFonts w:hint="eastAsia" w:ascii="宋体" w:hAnsi="宋体" w:eastAsia="宋体" w:cs="宋体"/>
          <w:sz w:val="24"/>
        </w:rPr>
        <w:t xml:space="preserve">日    期：     年    月   日  </w:t>
      </w:r>
      <w:r>
        <w:rPr>
          <w:rFonts w:ascii="宋体" w:hAnsi="宋体" w:eastAsia="宋体" w:cs="宋体"/>
          <w:sz w:val="24"/>
        </w:rPr>
        <w:t xml:space="preserve">   </w:t>
      </w:r>
      <w:r>
        <w:rPr>
          <w:rFonts w:hint="eastAsia" w:ascii="宋体" w:hAnsi="宋体" w:eastAsia="宋体" w:cs="宋体"/>
          <w:sz w:val="24"/>
        </w:rPr>
        <w:t xml:space="preserve">      日    期：   </w:t>
      </w:r>
      <w:r>
        <w:rPr>
          <w:rFonts w:ascii="宋体" w:hAnsi="宋体" w:eastAsia="宋体" w:cs="宋体"/>
          <w:sz w:val="24"/>
        </w:rPr>
        <w:t xml:space="preserve">   </w:t>
      </w:r>
      <w:r>
        <w:rPr>
          <w:rFonts w:hint="eastAsia" w:ascii="宋体" w:hAnsi="宋体" w:eastAsia="宋体" w:cs="宋体"/>
          <w:sz w:val="24"/>
        </w:rPr>
        <w:t xml:space="preserve">年  </w:t>
      </w:r>
      <w:r>
        <w:rPr>
          <w:rFonts w:ascii="宋体" w:hAnsi="宋体" w:eastAsia="宋体" w:cs="宋体"/>
          <w:sz w:val="24"/>
        </w:rPr>
        <w:t xml:space="preserve"> </w:t>
      </w:r>
      <w:r>
        <w:rPr>
          <w:rFonts w:hint="eastAsia" w:ascii="宋体" w:hAnsi="宋体" w:eastAsia="宋体" w:cs="宋体"/>
          <w:sz w:val="24"/>
        </w:rPr>
        <w:t>月   日</w:t>
      </w:r>
    </w:p>
    <w:p>
      <w:pPr>
        <w:spacing w:line="360" w:lineRule="auto"/>
        <w:ind w:firstLine="480" w:firstLineChars="200"/>
        <w:rPr>
          <w:rFonts w:ascii="宋体" w:hAnsi="宋体" w:eastAsia="宋体" w:cs="宋体"/>
          <w:sz w:val="24"/>
        </w:rPr>
      </w:pPr>
    </w:p>
    <w:p>
      <w:pPr>
        <w:spacing w:line="360" w:lineRule="auto"/>
        <w:rPr>
          <w:rFonts w:ascii="Calibri" w:hAnsi="Calibri" w:cs="Calibri"/>
        </w:rPr>
      </w:pPr>
      <w:r>
        <w:rPr>
          <w:rFonts w:hint="eastAsia" w:ascii="Calibri" w:hAnsi="Calibri" w:cs="Calibri"/>
        </w:rPr>
        <w:t>注：本文件一式三份，采购单位留存两份，竞价单位留存一份，提交在线竞价文件时竞价单位需提供采购方带鲜章的本文件电子扫描件，中标后签订合同时本文件作为附件装订。</w:t>
      </w:r>
    </w:p>
    <w:p/>
    <w:p/>
    <w:p>
      <w:r>
        <w:br w:type="page"/>
      </w:r>
    </w:p>
    <w:p>
      <w:pPr>
        <w:pStyle w:val="6"/>
        <w:keepNext w:val="0"/>
        <w:keepLines w:val="0"/>
        <w:widowControl/>
        <w:suppressLineNumbers w:val="0"/>
        <w:spacing w:before="0" w:beforeAutospacing="1" w:after="0" w:afterAutospacing="1" w:line="23" w:lineRule="atLeast"/>
        <w:ind w:left="0" w:right="0"/>
        <w:jc w:val="left"/>
      </w:pPr>
      <w:r>
        <w:t xml:space="preserve">《服务及质保承诺书》格式 </w:t>
      </w:r>
    </w:p>
    <w:p>
      <w:pPr>
        <w:pStyle w:val="6"/>
        <w:keepNext w:val="0"/>
        <w:keepLines w:val="0"/>
        <w:widowControl/>
        <w:suppressLineNumbers w:val="0"/>
        <w:spacing w:before="0" w:beforeAutospacing="1" w:after="0" w:afterAutospacing="1" w:line="36" w:lineRule="atLeast"/>
        <w:ind w:left="0" w:right="0"/>
        <w:jc w:val="center"/>
      </w:pPr>
      <w:r>
        <w:rPr>
          <w:b/>
          <w:bCs/>
          <w:sz w:val="32"/>
          <w:szCs w:val="32"/>
        </w:rPr>
        <w:t>服务及质保承诺书</w:t>
      </w:r>
      <w:r>
        <w:t xml:space="preserve"> </w:t>
      </w:r>
    </w:p>
    <w:p>
      <w:pPr>
        <w:pStyle w:val="6"/>
        <w:keepNext w:val="0"/>
        <w:keepLines w:val="0"/>
        <w:pageBreakBefore w:val="0"/>
        <w:widowControl/>
        <w:suppressLineNumbers w:val="0"/>
        <w:kinsoku/>
        <w:wordWrap/>
        <w:overflowPunct w:val="0"/>
        <w:topLinePunct w:val="0"/>
        <w:autoSpaceDE w:val="0"/>
        <w:autoSpaceDN w:val="0"/>
        <w:bidi w:val="0"/>
        <w:adjustRightInd w:val="0"/>
        <w:snapToGrid/>
        <w:spacing w:before="0" w:beforeAutospacing="0" w:after="0" w:afterAutospacing="0" w:line="360" w:lineRule="auto"/>
        <w:ind w:left="0" w:right="0" w:firstLine="480"/>
        <w:jc w:val="left"/>
        <w:textAlignment w:val="baseline"/>
      </w:pPr>
      <w:r>
        <w:rPr>
          <w:sz w:val="24"/>
          <w:szCs w:val="24"/>
        </w:rPr>
        <w:t>本公司对《</w:t>
      </w:r>
      <w:r>
        <w:rPr>
          <w:rFonts w:hint="eastAsia"/>
          <w:sz w:val="24"/>
          <w:szCs w:val="24"/>
        </w:rPr>
        <w:t>国家税务总局鹰潭高新技术产业开发区税务局会议室</w:t>
      </w:r>
      <w:r>
        <w:rPr>
          <w:rFonts w:hint="eastAsia"/>
          <w:sz w:val="24"/>
          <w:szCs w:val="24"/>
          <w:lang w:val="en-US" w:eastAsia="zh-CN"/>
        </w:rPr>
        <w:t>视频及环境改造</w:t>
      </w:r>
      <w:r>
        <w:rPr>
          <w:rFonts w:hint="eastAsia"/>
          <w:sz w:val="24"/>
          <w:szCs w:val="24"/>
        </w:rPr>
        <w:t>项目</w:t>
      </w:r>
      <w:r>
        <w:rPr>
          <w:sz w:val="24"/>
          <w:szCs w:val="24"/>
        </w:rPr>
        <w:t>》服务及质保做出如下承诺，并愿意以下内容写入合同条款：</w:t>
      </w:r>
      <w:r>
        <w:t xml:space="preserve"> </w:t>
      </w:r>
    </w:p>
    <w:p>
      <w:pPr>
        <w:pStyle w:val="6"/>
        <w:keepNext w:val="0"/>
        <w:keepLines w:val="0"/>
        <w:pageBreakBefore w:val="0"/>
        <w:widowControl/>
        <w:suppressLineNumbers w:val="0"/>
        <w:kinsoku/>
        <w:wordWrap/>
        <w:overflowPunct w:val="0"/>
        <w:topLinePunct w:val="0"/>
        <w:autoSpaceDE w:val="0"/>
        <w:autoSpaceDN w:val="0"/>
        <w:bidi w:val="0"/>
        <w:adjustRightInd w:val="0"/>
        <w:snapToGrid/>
        <w:spacing w:before="0" w:beforeAutospacing="0" w:after="0" w:afterAutospacing="0" w:line="360" w:lineRule="auto"/>
        <w:ind w:left="0" w:right="0" w:firstLine="544"/>
        <w:jc w:val="left"/>
        <w:textAlignment w:val="baseline"/>
      </w:pPr>
      <w:r>
        <w:rPr>
          <w:sz w:val="24"/>
          <w:szCs w:val="24"/>
        </w:rPr>
        <w:t>1、</w:t>
      </w:r>
      <w:r>
        <w:rPr>
          <w:rFonts w:hint="eastAsia"/>
          <w:sz w:val="24"/>
          <w:szCs w:val="24"/>
          <w:lang w:val="en-US" w:eastAsia="zh-CN"/>
        </w:rPr>
        <w:t>三</w:t>
      </w:r>
      <w:r>
        <w:rPr>
          <w:sz w:val="24"/>
          <w:szCs w:val="24"/>
        </w:rPr>
        <w:t>年免费“三包”。</w:t>
      </w:r>
      <w:r>
        <w:t xml:space="preserve"> </w:t>
      </w:r>
    </w:p>
    <w:p>
      <w:pPr>
        <w:pStyle w:val="6"/>
        <w:keepNext w:val="0"/>
        <w:keepLines w:val="0"/>
        <w:pageBreakBefore w:val="0"/>
        <w:widowControl/>
        <w:suppressLineNumbers w:val="0"/>
        <w:kinsoku/>
        <w:wordWrap/>
        <w:overflowPunct w:val="0"/>
        <w:topLinePunct w:val="0"/>
        <w:autoSpaceDE w:val="0"/>
        <w:autoSpaceDN w:val="0"/>
        <w:bidi w:val="0"/>
        <w:adjustRightInd w:val="0"/>
        <w:snapToGrid/>
        <w:spacing w:before="0" w:beforeAutospacing="0" w:after="0" w:afterAutospacing="0" w:line="360" w:lineRule="auto"/>
        <w:ind w:left="0" w:right="0" w:firstLine="544"/>
        <w:jc w:val="left"/>
        <w:textAlignment w:val="baseline"/>
      </w:pPr>
      <w:r>
        <w:rPr>
          <w:sz w:val="24"/>
          <w:szCs w:val="24"/>
        </w:rPr>
        <w:t xml:space="preserve">自验收之日起 </w:t>
      </w:r>
      <w:r>
        <w:rPr>
          <w:sz w:val="24"/>
          <w:szCs w:val="24"/>
          <w:u w:val="single"/>
        </w:rPr>
        <w:t xml:space="preserve">三年 </w:t>
      </w:r>
      <w:r>
        <w:rPr>
          <w:sz w:val="24"/>
          <w:szCs w:val="24"/>
        </w:rPr>
        <w:t>内LED显示屏产品均严格按照“消费者权益法”和“新三包规定”等有关条例进行</w:t>
      </w:r>
      <w:r>
        <w:rPr>
          <w:sz w:val="24"/>
          <w:szCs w:val="24"/>
          <w:u w:val="single"/>
        </w:rPr>
        <w:t>免费保修服务</w:t>
      </w:r>
      <w:r>
        <w:rPr>
          <w:sz w:val="24"/>
          <w:szCs w:val="24"/>
        </w:rPr>
        <w:t>。我们提供的系统软件，</w:t>
      </w:r>
      <w:r>
        <w:rPr>
          <w:sz w:val="24"/>
          <w:szCs w:val="24"/>
          <w:u w:val="single"/>
        </w:rPr>
        <w:t>免费保修三年，终身提供免费升级。</w:t>
      </w:r>
      <w:r>
        <w:t xml:space="preserve"> </w:t>
      </w:r>
    </w:p>
    <w:p>
      <w:pPr>
        <w:pStyle w:val="6"/>
        <w:keepNext w:val="0"/>
        <w:keepLines w:val="0"/>
        <w:pageBreakBefore w:val="0"/>
        <w:widowControl/>
        <w:suppressLineNumbers w:val="0"/>
        <w:kinsoku/>
        <w:wordWrap/>
        <w:overflowPunct w:val="0"/>
        <w:topLinePunct w:val="0"/>
        <w:autoSpaceDE w:val="0"/>
        <w:autoSpaceDN w:val="0"/>
        <w:bidi w:val="0"/>
        <w:adjustRightInd w:val="0"/>
        <w:snapToGrid/>
        <w:spacing w:before="0" w:beforeAutospacing="0" w:after="0" w:afterAutospacing="0" w:line="360" w:lineRule="auto"/>
        <w:ind w:left="0" w:right="0" w:firstLine="360"/>
        <w:jc w:val="left"/>
        <w:textAlignment w:val="baseline"/>
      </w:pPr>
      <w:r>
        <w:rPr>
          <w:sz w:val="24"/>
          <w:szCs w:val="24"/>
        </w:rPr>
        <w:t>2、保修期后免费维修。</w:t>
      </w:r>
      <w:r>
        <w:t xml:space="preserve"> </w:t>
      </w:r>
    </w:p>
    <w:p>
      <w:pPr>
        <w:pStyle w:val="6"/>
        <w:keepNext w:val="0"/>
        <w:keepLines w:val="0"/>
        <w:pageBreakBefore w:val="0"/>
        <w:widowControl/>
        <w:suppressLineNumbers w:val="0"/>
        <w:kinsoku/>
        <w:wordWrap/>
        <w:overflowPunct w:val="0"/>
        <w:topLinePunct w:val="0"/>
        <w:autoSpaceDE w:val="0"/>
        <w:autoSpaceDN w:val="0"/>
        <w:bidi w:val="0"/>
        <w:adjustRightInd w:val="0"/>
        <w:snapToGrid/>
        <w:spacing w:before="0" w:beforeAutospacing="0" w:after="0" w:afterAutospacing="0" w:line="360" w:lineRule="auto"/>
        <w:ind w:left="0" w:right="0" w:firstLine="544"/>
        <w:jc w:val="left"/>
        <w:textAlignment w:val="baseline"/>
      </w:pPr>
      <w:r>
        <w:rPr>
          <w:sz w:val="24"/>
          <w:szCs w:val="24"/>
        </w:rPr>
        <w:t>保修期内免费为用户更换因质量原因引起损坏之零配件。“三包”期满后，</w:t>
      </w:r>
      <w:r>
        <w:rPr>
          <w:sz w:val="24"/>
          <w:szCs w:val="24"/>
          <w:u w:val="single"/>
        </w:rPr>
        <w:t>优惠供应零配件，</w:t>
      </w:r>
      <w:r>
        <w:rPr>
          <w:sz w:val="24"/>
          <w:szCs w:val="24"/>
        </w:rPr>
        <w:t>所有需更换之零配件</w:t>
      </w:r>
      <w:r>
        <w:rPr>
          <w:sz w:val="24"/>
          <w:szCs w:val="24"/>
          <w:u w:val="single"/>
        </w:rPr>
        <w:t>只收取成本费，不收取维修费</w:t>
      </w:r>
      <w:r>
        <w:rPr>
          <w:sz w:val="24"/>
          <w:szCs w:val="24"/>
        </w:rPr>
        <w:t>。</w:t>
      </w:r>
      <w:r>
        <w:t xml:space="preserve"> </w:t>
      </w:r>
    </w:p>
    <w:p>
      <w:pPr>
        <w:pStyle w:val="6"/>
        <w:keepNext w:val="0"/>
        <w:keepLines w:val="0"/>
        <w:pageBreakBefore w:val="0"/>
        <w:widowControl/>
        <w:suppressLineNumbers w:val="0"/>
        <w:kinsoku/>
        <w:wordWrap/>
        <w:overflowPunct w:val="0"/>
        <w:topLinePunct w:val="0"/>
        <w:autoSpaceDE w:val="0"/>
        <w:autoSpaceDN w:val="0"/>
        <w:bidi w:val="0"/>
        <w:adjustRightInd w:val="0"/>
        <w:snapToGrid/>
        <w:spacing w:before="0" w:beforeAutospacing="0" w:after="0" w:afterAutospacing="0" w:line="360" w:lineRule="auto"/>
        <w:ind w:left="0" w:right="0" w:firstLine="360"/>
        <w:jc w:val="left"/>
        <w:textAlignment w:val="baseline"/>
      </w:pPr>
      <w:r>
        <w:rPr>
          <w:sz w:val="24"/>
          <w:szCs w:val="24"/>
        </w:rPr>
        <w:t>3、30分钟内响应，1小时内抵达现场，4小时解决问题。</w:t>
      </w:r>
      <w:r>
        <w:t xml:space="preserve"> </w:t>
      </w:r>
    </w:p>
    <w:p>
      <w:pPr>
        <w:pStyle w:val="6"/>
        <w:keepNext w:val="0"/>
        <w:keepLines w:val="0"/>
        <w:pageBreakBefore w:val="0"/>
        <w:widowControl/>
        <w:suppressLineNumbers w:val="0"/>
        <w:kinsoku/>
        <w:wordWrap/>
        <w:overflowPunct w:val="0"/>
        <w:topLinePunct w:val="0"/>
        <w:autoSpaceDE w:val="0"/>
        <w:autoSpaceDN w:val="0"/>
        <w:bidi w:val="0"/>
        <w:adjustRightInd w:val="0"/>
        <w:snapToGrid/>
        <w:spacing w:before="0" w:beforeAutospacing="0" w:after="0" w:afterAutospacing="0" w:line="360" w:lineRule="auto"/>
        <w:ind w:left="0" w:right="0" w:firstLine="468"/>
        <w:jc w:val="left"/>
        <w:textAlignment w:val="baseline"/>
      </w:pPr>
      <w:r>
        <w:rPr>
          <w:sz w:val="24"/>
          <w:szCs w:val="24"/>
        </w:rPr>
        <w:t>若用户在使用过程中发生故障而无法马上解决，本公司在接到用户通知后在规定期限内修复，如不能履行，愿意接受扣款。</w:t>
      </w:r>
      <w:r>
        <w:t xml:space="preserve"> </w:t>
      </w:r>
    </w:p>
    <w:p>
      <w:pPr>
        <w:pStyle w:val="6"/>
        <w:keepNext w:val="0"/>
        <w:keepLines w:val="0"/>
        <w:pageBreakBefore w:val="0"/>
        <w:widowControl/>
        <w:suppressLineNumbers w:val="0"/>
        <w:kinsoku/>
        <w:wordWrap/>
        <w:overflowPunct w:val="0"/>
        <w:topLinePunct w:val="0"/>
        <w:autoSpaceDE w:val="0"/>
        <w:autoSpaceDN w:val="0"/>
        <w:bidi w:val="0"/>
        <w:adjustRightInd w:val="0"/>
        <w:snapToGrid/>
        <w:spacing w:before="0" w:beforeAutospacing="0" w:after="0" w:afterAutospacing="0" w:line="360" w:lineRule="auto"/>
        <w:ind w:left="0" w:right="0" w:firstLine="468"/>
        <w:jc w:val="left"/>
        <w:textAlignment w:val="baseline"/>
      </w:pPr>
      <w:r>
        <w:rPr>
          <w:sz w:val="24"/>
          <w:szCs w:val="24"/>
        </w:rPr>
        <w:t>4、紧急援助。</w:t>
      </w:r>
      <w:r>
        <w:t xml:space="preserve"> </w:t>
      </w:r>
    </w:p>
    <w:p>
      <w:pPr>
        <w:pStyle w:val="6"/>
        <w:keepNext w:val="0"/>
        <w:keepLines w:val="0"/>
        <w:pageBreakBefore w:val="0"/>
        <w:widowControl/>
        <w:suppressLineNumbers w:val="0"/>
        <w:kinsoku/>
        <w:wordWrap/>
        <w:overflowPunct w:val="0"/>
        <w:topLinePunct w:val="0"/>
        <w:autoSpaceDE w:val="0"/>
        <w:autoSpaceDN w:val="0"/>
        <w:bidi w:val="0"/>
        <w:adjustRightInd w:val="0"/>
        <w:snapToGrid/>
        <w:spacing w:before="0" w:beforeAutospacing="0" w:after="0" w:afterAutospacing="0" w:line="360" w:lineRule="auto"/>
        <w:ind w:left="0" w:right="0" w:firstLine="468"/>
        <w:jc w:val="left"/>
        <w:textAlignment w:val="baseline"/>
      </w:pPr>
      <w:r>
        <w:rPr>
          <w:sz w:val="24"/>
          <w:szCs w:val="24"/>
        </w:rPr>
        <w:t>如用户在使用过程中发生故障而无法马上排除，影响使用。本公司保证立即</w:t>
      </w:r>
      <w:r>
        <w:rPr>
          <w:sz w:val="24"/>
          <w:szCs w:val="24"/>
          <w:u w:val="single"/>
        </w:rPr>
        <w:t>免费提供原型号或更优设备替代</w:t>
      </w:r>
      <w:r>
        <w:rPr>
          <w:sz w:val="24"/>
          <w:szCs w:val="24"/>
        </w:rPr>
        <w:t>给用户使用，以保证不影响用户工作，直到用户设备修复换回为止。</w:t>
      </w:r>
      <w:r>
        <w:t xml:space="preserve"> </w:t>
      </w:r>
    </w:p>
    <w:p>
      <w:pPr>
        <w:pStyle w:val="6"/>
        <w:keepNext w:val="0"/>
        <w:keepLines w:val="0"/>
        <w:pageBreakBefore w:val="0"/>
        <w:widowControl/>
        <w:suppressLineNumbers w:val="0"/>
        <w:kinsoku/>
        <w:wordWrap/>
        <w:overflowPunct w:val="0"/>
        <w:topLinePunct w:val="0"/>
        <w:autoSpaceDE w:val="0"/>
        <w:autoSpaceDN w:val="0"/>
        <w:bidi w:val="0"/>
        <w:adjustRightInd w:val="0"/>
        <w:snapToGrid/>
        <w:spacing w:before="0" w:beforeAutospacing="0" w:after="0" w:afterAutospacing="0" w:line="360" w:lineRule="auto"/>
        <w:ind w:left="0" w:right="0" w:firstLine="468"/>
        <w:jc w:val="left"/>
        <w:textAlignment w:val="baseline"/>
      </w:pPr>
    </w:p>
    <w:p>
      <w:pPr>
        <w:pStyle w:val="6"/>
        <w:keepNext w:val="0"/>
        <w:keepLines w:val="0"/>
        <w:pageBreakBefore w:val="0"/>
        <w:widowControl/>
        <w:suppressLineNumbers w:val="0"/>
        <w:kinsoku/>
        <w:wordWrap/>
        <w:overflowPunct w:val="0"/>
        <w:topLinePunct w:val="0"/>
        <w:autoSpaceDE w:val="0"/>
        <w:autoSpaceDN w:val="0"/>
        <w:bidi w:val="0"/>
        <w:adjustRightInd w:val="0"/>
        <w:snapToGrid/>
        <w:spacing w:before="0" w:beforeAutospacing="0" w:after="0" w:afterAutospacing="0" w:line="360" w:lineRule="auto"/>
        <w:ind w:left="0" w:right="0" w:firstLine="468"/>
        <w:jc w:val="right"/>
        <w:textAlignment w:val="baseline"/>
      </w:pPr>
      <w:r>
        <w:rPr>
          <w:sz w:val="24"/>
          <w:szCs w:val="24"/>
        </w:rPr>
        <w:t>公司名称（公章）</w:t>
      </w:r>
      <w:r>
        <w:t xml:space="preserve"> </w:t>
      </w:r>
    </w:p>
    <w:p>
      <w:pPr>
        <w:pStyle w:val="6"/>
        <w:keepNext w:val="0"/>
        <w:keepLines w:val="0"/>
        <w:pageBreakBefore w:val="0"/>
        <w:widowControl/>
        <w:suppressLineNumbers w:val="0"/>
        <w:kinsoku/>
        <w:wordWrap/>
        <w:overflowPunct w:val="0"/>
        <w:topLinePunct w:val="0"/>
        <w:autoSpaceDE w:val="0"/>
        <w:autoSpaceDN w:val="0"/>
        <w:bidi w:val="0"/>
        <w:adjustRightInd w:val="0"/>
        <w:snapToGrid/>
        <w:spacing w:before="0" w:beforeAutospacing="0" w:after="0" w:afterAutospacing="0" w:line="360" w:lineRule="auto"/>
        <w:ind w:left="0" w:right="0" w:firstLine="468"/>
        <w:jc w:val="right"/>
        <w:textAlignment w:val="baseline"/>
      </w:pPr>
    </w:p>
    <w:p>
      <w:pPr>
        <w:pStyle w:val="6"/>
        <w:keepNext w:val="0"/>
        <w:keepLines w:val="0"/>
        <w:pageBreakBefore w:val="0"/>
        <w:widowControl/>
        <w:suppressLineNumbers w:val="0"/>
        <w:kinsoku/>
        <w:wordWrap/>
        <w:overflowPunct w:val="0"/>
        <w:topLinePunct w:val="0"/>
        <w:autoSpaceDE w:val="0"/>
        <w:autoSpaceDN w:val="0"/>
        <w:bidi w:val="0"/>
        <w:adjustRightInd w:val="0"/>
        <w:snapToGrid/>
        <w:spacing w:before="0" w:beforeAutospacing="0" w:after="0" w:afterAutospacing="0" w:line="360" w:lineRule="auto"/>
        <w:ind w:left="0" w:right="0" w:firstLine="468"/>
        <w:jc w:val="right"/>
        <w:textAlignment w:val="baseline"/>
      </w:pPr>
      <w:r>
        <w:rPr>
          <w:sz w:val="24"/>
          <w:szCs w:val="24"/>
        </w:rPr>
        <w:t>授权代表（签字）</w:t>
      </w:r>
      <w:r>
        <w:t xml:space="preserve"> </w:t>
      </w:r>
    </w:p>
    <w:p>
      <w:pPr>
        <w:pStyle w:val="5"/>
        <w:keepNext w:val="0"/>
        <w:keepLines w:val="0"/>
        <w:pageBreakBefore w:val="0"/>
        <w:widowControl/>
        <w:kinsoku/>
        <w:wordWrap/>
        <w:overflowPunct w:val="0"/>
        <w:topLinePunct w:val="0"/>
        <w:autoSpaceDE w:val="0"/>
        <w:autoSpaceDN w:val="0"/>
        <w:bidi w:val="0"/>
        <w:adjustRightInd w:val="0"/>
        <w:snapToGrid/>
        <w:spacing w:beforeAutospacing="0" w:afterAutospacing="0" w:line="360" w:lineRule="auto"/>
        <w:textAlignment w:val="baseline"/>
      </w:pPr>
    </w:p>
    <w:sectPr>
      <w:headerReference r:id="rId3" w:type="default"/>
      <w:footerReference r:id="rId4" w:type="default"/>
      <w:pgSz w:w="11906" w:h="16838"/>
      <w:pgMar w:top="1134" w:right="1417" w:bottom="56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r>
      <w:pict>
        <v:shape id="GSEDS_d46a6755_54780e99_1_1_2" o:spid="_x0000_s4097" o:spt="136" type="#_x0000_t136" style="position:absolute;left:0pt;height:51.3pt;width:641.5pt;mso-position-horizontal:center;mso-position-horizontal-relative:margin;mso-position-vertical:center;mso-position-vertical-relative:margin;rotation:20643840f;z-index:251659264;mso-width-relative:page;mso-height-relative:page;" fillcolor="#808080" filled="t" stroked="f" coordsize="21600,21600">
          <v:path/>
          <v:fill on="t" opacity="3932f" focussize="0,0"/>
          <v:stroke on="f"/>
          <v:imagedata o:title=""/>
          <o:lock v:ext="edit" aspectratio="t"/>
          <v:textpath on="t" fitshape="t" fitpath="t" trim="t" xscale="f" string="39406  da hua  2023-11-17" style="font-family:宋体;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4A1766"/>
    <w:multiLevelType w:val="singleLevel"/>
    <w:tmpl w:val="924A1766"/>
    <w:lvl w:ilvl="0" w:tentative="0">
      <w:start w:val="1"/>
      <w:numFmt w:val="chineseCounting"/>
      <w:suff w:val="nothing"/>
      <w:lvlText w:val="（%1）"/>
      <w:lvlJc w:val="left"/>
      <w:rPr>
        <w:rFonts w:hint="eastAsia"/>
      </w:rPr>
    </w:lvl>
  </w:abstractNum>
  <w:abstractNum w:abstractNumId="1">
    <w:nsid w:val="B380591E"/>
    <w:multiLevelType w:val="singleLevel"/>
    <w:tmpl w:val="B380591E"/>
    <w:lvl w:ilvl="0" w:tentative="0">
      <w:start w:val="1"/>
      <w:numFmt w:val="decimal"/>
      <w:suff w:val="nothing"/>
      <w:lvlText w:val="%1、"/>
      <w:lvlJc w:val="left"/>
    </w:lvl>
  </w:abstractNum>
  <w:abstractNum w:abstractNumId="2">
    <w:nsid w:val="E155B704"/>
    <w:multiLevelType w:val="singleLevel"/>
    <w:tmpl w:val="E155B704"/>
    <w:lvl w:ilvl="0" w:tentative="0">
      <w:start w:val="1"/>
      <w:numFmt w:val="decimal"/>
      <w:suff w:val="nothing"/>
      <w:lvlText w:val="%1、"/>
      <w:lvlJc w:val="left"/>
    </w:lvl>
  </w:abstractNum>
  <w:abstractNum w:abstractNumId="3">
    <w:nsid w:val="117B8D79"/>
    <w:multiLevelType w:val="singleLevel"/>
    <w:tmpl w:val="117B8D79"/>
    <w:lvl w:ilvl="0" w:tentative="0">
      <w:start w:val="2"/>
      <w:numFmt w:val="chineseCounting"/>
      <w:suff w:val="nothing"/>
      <w:lvlText w:val="（%1）"/>
      <w:lvlJc w:val="left"/>
      <w:rPr>
        <w:rFonts w:hint="eastAsia"/>
      </w:rPr>
    </w:lvl>
  </w:abstractNum>
  <w:abstractNum w:abstractNumId="4">
    <w:nsid w:val="5D401758"/>
    <w:multiLevelType w:val="singleLevel"/>
    <w:tmpl w:val="5D401758"/>
    <w:lvl w:ilvl="0" w:tentative="0">
      <w:start w:val="1"/>
      <w:numFmt w:val="decimal"/>
      <w:suff w:val="nothing"/>
      <w:lvlText w:val="%1、"/>
      <w:lvlJc w:val="left"/>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2ODEwNTQ0YWJkZDEwOTcyNWU1YTRkNjViODc2ZWQifQ=="/>
  </w:docVars>
  <w:rsids>
    <w:rsidRoot w:val="19FB1C84"/>
    <w:rsid w:val="00000673"/>
    <w:rsid w:val="00034468"/>
    <w:rsid w:val="000626F1"/>
    <w:rsid w:val="00084DD1"/>
    <w:rsid w:val="00096B58"/>
    <w:rsid w:val="000A2C01"/>
    <w:rsid w:val="000E316E"/>
    <w:rsid w:val="00102AE2"/>
    <w:rsid w:val="00132BE2"/>
    <w:rsid w:val="00136303"/>
    <w:rsid w:val="001373EB"/>
    <w:rsid w:val="00197800"/>
    <w:rsid w:val="001A6EE2"/>
    <w:rsid w:val="001E566F"/>
    <w:rsid w:val="001F1983"/>
    <w:rsid w:val="00247A28"/>
    <w:rsid w:val="002554C0"/>
    <w:rsid w:val="00262012"/>
    <w:rsid w:val="00285E1C"/>
    <w:rsid w:val="002B1A73"/>
    <w:rsid w:val="002B2752"/>
    <w:rsid w:val="002B6A9C"/>
    <w:rsid w:val="002C3483"/>
    <w:rsid w:val="002C7CDE"/>
    <w:rsid w:val="002E3FE1"/>
    <w:rsid w:val="002F0901"/>
    <w:rsid w:val="00310086"/>
    <w:rsid w:val="00335F3E"/>
    <w:rsid w:val="003641B8"/>
    <w:rsid w:val="00377727"/>
    <w:rsid w:val="00382DE5"/>
    <w:rsid w:val="003B4B01"/>
    <w:rsid w:val="003E2DB3"/>
    <w:rsid w:val="00420B15"/>
    <w:rsid w:val="004931D0"/>
    <w:rsid w:val="00517CDC"/>
    <w:rsid w:val="0056539B"/>
    <w:rsid w:val="00571246"/>
    <w:rsid w:val="005B1972"/>
    <w:rsid w:val="005C67BC"/>
    <w:rsid w:val="005D42BD"/>
    <w:rsid w:val="005E00A4"/>
    <w:rsid w:val="005E3BE6"/>
    <w:rsid w:val="00624444"/>
    <w:rsid w:val="00640AD6"/>
    <w:rsid w:val="0066348B"/>
    <w:rsid w:val="006700B8"/>
    <w:rsid w:val="006E15BA"/>
    <w:rsid w:val="00715491"/>
    <w:rsid w:val="0071733F"/>
    <w:rsid w:val="007435A7"/>
    <w:rsid w:val="007C3593"/>
    <w:rsid w:val="007C5B35"/>
    <w:rsid w:val="007D410D"/>
    <w:rsid w:val="007E0FAA"/>
    <w:rsid w:val="008641BA"/>
    <w:rsid w:val="00877CA8"/>
    <w:rsid w:val="00883363"/>
    <w:rsid w:val="008914C8"/>
    <w:rsid w:val="008C7C77"/>
    <w:rsid w:val="008E4009"/>
    <w:rsid w:val="009023AD"/>
    <w:rsid w:val="0094008E"/>
    <w:rsid w:val="00952E39"/>
    <w:rsid w:val="00997C58"/>
    <w:rsid w:val="009A1041"/>
    <w:rsid w:val="009A24AF"/>
    <w:rsid w:val="009E055F"/>
    <w:rsid w:val="009F2865"/>
    <w:rsid w:val="00AA42AE"/>
    <w:rsid w:val="00AB0363"/>
    <w:rsid w:val="00AC202B"/>
    <w:rsid w:val="00AE7F6F"/>
    <w:rsid w:val="00AF6A11"/>
    <w:rsid w:val="00B064B0"/>
    <w:rsid w:val="00B12588"/>
    <w:rsid w:val="00B625D7"/>
    <w:rsid w:val="00B64574"/>
    <w:rsid w:val="00B73463"/>
    <w:rsid w:val="00B80505"/>
    <w:rsid w:val="00B84C4A"/>
    <w:rsid w:val="00B90A17"/>
    <w:rsid w:val="00B94B82"/>
    <w:rsid w:val="00B96FC4"/>
    <w:rsid w:val="00BB762F"/>
    <w:rsid w:val="00BE545A"/>
    <w:rsid w:val="00C123B2"/>
    <w:rsid w:val="00C15EB1"/>
    <w:rsid w:val="00C41925"/>
    <w:rsid w:val="00C4464D"/>
    <w:rsid w:val="00C61F28"/>
    <w:rsid w:val="00C648AA"/>
    <w:rsid w:val="00C7643D"/>
    <w:rsid w:val="00CA0EC7"/>
    <w:rsid w:val="00CB3C49"/>
    <w:rsid w:val="00CC214E"/>
    <w:rsid w:val="00CE17CC"/>
    <w:rsid w:val="00D011A7"/>
    <w:rsid w:val="00D11B54"/>
    <w:rsid w:val="00D83B1C"/>
    <w:rsid w:val="00DD6163"/>
    <w:rsid w:val="00E1418D"/>
    <w:rsid w:val="00E21DE9"/>
    <w:rsid w:val="00E73DFD"/>
    <w:rsid w:val="00E73FA7"/>
    <w:rsid w:val="00E75C9D"/>
    <w:rsid w:val="00E87EE0"/>
    <w:rsid w:val="00EC3427"/>
    <w:rsid w:val="00EC7D12"/>
    <w:rsid w:val="00ED646E"/>
    <w:rsid w:val="00ED754C"/>
    <w:rsid w:val="00F0031F"/>
    <w:rsid w:val="00F73412"/>
    <w:rsid w:val="00FB2F5C"/>
    <w:rsid w:val="00FD5D26"/>
    <w:rsid w:val="00FE3E4A"/>
    <w:rsid w:val="01181A6D"/>
    <w:rsid w:val="02942C78"/>
    <w:rsid w:val="04351B1E"/>
    <w:rsid w:val="0BE80165"/>
    <w:rsid w:val="0C72673B"/>
    <w:rsid w:val="0D1608BE"/>
    <w:rsid w:val="0E6D39B4"/>
    <w:rsid w:val="103D1133"/>
    <w:rsid w:val="119368A8"/>
    <w:rsid w:val="14C47FEE"/>
    <w:rsid w:val="150F70F8"/>
    <w:rsid w:val="16DB6AD2"/>
    <w:rsid w:val="188E155D"/>
    <w:rsid w:val="19FB1C84"/>
    <w:rsid w:val="1EAB25D1"/>
    <w:rsid w:val="1FB17F16"/>
    <w:rsid w:val="21785653"/>
    <w:rsid w:val="21F46FA1"/>
    <w:rsid w:val="224C7EAF"/>
    <w:rsid w:val="23424157"/>
    <w:rsid w:val="2476452D"/>
    <w:rsid w:val="2618649B"/>
    <w:rsid w:val="2B940F71"/>
    <w:rsid w:val="2C3A23D6"/>
    <w:rsid w:val="30F73F84"/>
    <w:rsid w:val="311118AC"/>
    <w:rsid w:val="36F06B1E"/>
    <w:rsid w:val="3CC20698"/>
    <w:rsid w:val="3F3001E3"/>
    <w:rsid w:val="41D11FB7"/>
    <w:rsid w:val="423C3F72"/>
    <w:rsid w:val="454C4535"/>
    <w:rsid w:val="4A7337FE"/>
    <w:rsid w:val="57AD6100"/>
    <w:rsid w:val="5BE13DB4"/>
    <w:rsid w:val="5D5C2586"/>
    <w:rsid w:val="5EFC2A63"/>
    <w:rsid w:val="616D109A"/>
    <w:rsid w:val="62113185"/>
    <w:rsid w:val="62D61976"/>
    <w:rsid w:val="637E69BA"/>
    <w:rsid w:val="64E74679"/>
    <w:rsid w:val="652A4869"/>
    <w:rsid w:val="65EB7708"/>
    <w:rsid w:val="6E4467A6"/>
    <w:rsid w:val="6F0A24AE"/>
    <w:rsid w:val="6F294850"/>
    <w:rsid w:val="70414BF1"/>
    <w:rsid w:val="70EC458C"/>
    <w:rsid w:val="714444C6"/>
    <w:rsid w:val="753A5CC5"/>
    <w:rsid w:val="784D085C"/>
    <w:rsid w:val="7B1A079C"/>
    <w:rsid w:val="7C92287E"/>
    <w:rsid w:val="7E953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line="380" w:lineRule="exact"/>
    </w:pPr>
    <w:rPr>
      <w:rFonts w:ascii="Calibri" w:hAnsi="Calibri" w:cs="黑体"/>
      <w:sz w:val="24"/>
    </w:r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paragraph" w:styleId="6">
    <w:name w:val="Normal (Web)"/>
    <w:basedOn w:val="1"/>
    <w:qFormat/>
    <w:uiPriority w:val="0"/>
    <w:rPr>
      <w:sz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招标_正文2b"/>
    <w:basedOn w:val="1"/>
    <w:qFormat/>
    <w:uiPriority w:val="0"/>
    <w:pPr>
      <w:spacing w:line="360" w:lineRule="auto"/>
      <w:ind w:firstLine="482" w:firstLineChars="200"/>
    </w:pPr>
    <w:rPr>
      <w:b/>
      <w:bCs/>
      <w:sz w:val="20"/>
    </w:rPr>
  </w:style>
  <w:style w:type="paragraph" w:customStyle="1" w:styleId="11">
    <w:name w:val="列出段落1"/>
    <w:basedOn w:val="1"/>
    <w:qFormat/>
    <w:uiPriority w:val="34"/>
    <w:pPr>
      <w:ind w:firstLine="420" w:firstLineChars="200"/>
    </w:pPr>
  </w:style>
  <w:style w:type="paragraph" w:customStyle="1" w:styleId="12">
    <w:name w:val="模板缩进正文"/>
    <w:basedOn w:val="1"/>
    <w:qFormat/>
    <w:uiPriority w:val="0"/>
    <w:pPr>
      <w:ind w:firstLine="480" w:firstLineChars="200"/>
    </w:pPr>
  </w:style>
  <w:style w:type="character" w:customStyle="1" w:styleId="13">
    <w:name w:val="页眉 字符"/>
    <w:basedOn w:val="9"/>
    <w:link w:val="4"/>
    <w:qFormat/>
    <w:uiPriority w:val="0"/>
    <w:rPr>
      <w:rFonts w:ascii="Times New Roman" w:hAnsi="Times New Roman"/>
      <w:sz w:val="18"/>
      <w:szCs w:val="18"/>
    </w:rPr>
  </w:style>
  <w:style w:type="character" w:customStyle="1" w:styleId="14">
    <w:name w:val="页脚 字符"/>
    <w:basedOn w:val="9"/>
    <w:link w:val="3"/>
    <w:qFormat/>
    <w:uiPriority w:val="0"/>
    <w:rPr>
      <w:rFonts w:ascii="Times New Roman" w:hAnsi="Times New Roman"/>
      <w:sz w:val="18"/>
      <w:szCs w:val="18"/>
    </w:rPr>
  </w:style>
  <w:style w:type="paragraph" w:styleId="15">
    <w:name w:val="List Paragraph"/>
    <w:basedOn w:val="1"/>
    <w:unhideWhenUsed/>
    <w:qFormat/>
    <w:uiPriority w:val="99"/>
    <w:pPr>
      <w:ind w:firstLine="420" w:firstLineChars="200"/>
    </w:pPr>
  </w:style>
  <w:style w:type="character" w:customStyle="1" w:styleId="16">
    <w:name w:val="font81"/>
    <w:basedOn w:val="9"/>
    <w:qFormat/>
    <w:uiPriority w:val="0"/>
    <w:rPr>
      <w:rFonts w:ascii="Wingdings 2" w:hAnsi="Wingdings 2" w:eastAsia="Wingdings 2" w:cs="Wingdings 2"/>
      <w:color w:val="000000"/>
      <w:sz w:val="18"/>
      <w:szCs w:val="18"/>
      <w:u w:val="none"/>
    </w:rPr>
  </w:style>
  <w:style w:type="character" w:customStyle="1" w:styleId="17">
    <w:name w:val="font11"/>
    <w:basedOn w:val="9"/>
    <w:qFormat/>
    <w:uiPriority w:val="0"/>
    <w:rPr>
      <w:rFonts w:hint="eastAsia" w:ascii="微软雅黑" w:hAnsi="微软雅黑" w:eastAsia="微软雅黑" w:cs="微软雅黑"/>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1055</Words>
  <Characters>6019</Characters>
  <Lines>50</Lines>
  <Paragraphs>14</Paragraphs>
  <TotalTime>39</TotalTime>
  <ScaleCrop>false</ScaleCrop>
  <LinksUpToDate>false</LinksUpToDate>
  <CharactersWithSpaces>7060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2022-11-25T02:38:00Z</dcterms:created>
  <dc:creator>Administrator</dc:creator>
  <cp:lastModifiedBy>Administrator</cp:lastModifiedBy>
  <cp:lastPrinted>2022-10-08T01:08:00Z</cp:lastPrinted>
  <dcterms:modified xsi:type="dcterms:W3CDTF">2024-04-24T08:07:41Z</dcterms:modified>
  <dc:title>一、项目概述</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49C157F428A445079C063EA619EA455A_13</vt:lpwstr>
  </property>
  <property fmtid="{D5CDD505-2E9C-101B-9397-08002B2CF9AE}" pid="4" name="GSEDS_TWMT">
    <vt:lpwstr>d46a6755_b77b54e0_54780e99769533ef46e62b6f4da476e27140ceb6527fa13196ccefd117b38b21</vt:lpwstr>
  </property>
  <property fmtid="{D5CDD505-2E9C-101B-9397-08002B2CF9AE}" pid="5" name="GSEDS_HWMT_d46a6755">
    <vt:lpwstr>f24506f2_mFV3wT85Iyk3OcpOk3v/rVoO1xQ=_8QYrr15fIzUrXb1PkQr7qHBHEpdbV6sSkXCqdaqkcM1DIGcv4inTJP5Os0acTwcGAIhLk6LAd1zPWfz7m/FdBt8StEY=_9112120c</vt:lpwstr>
  </property>
</Properties>
</file>