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04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294"/>
        <w:gridCol w:w="866"/>
        <w:gridCol w:w="1976"/>
        <w:gridCol w:w="2516"/>
        <w:gridCol w:w="458"/>
        <w:gridCol w:w="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展项名称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展示技术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展厅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视频会议系统设备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声音处理装置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声音处理装置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22U，专业机柜，带PDU插座（带至少一层隔板、及螺丝配件）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无线同屏套件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投影指示系统，含画面内容定制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展厅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触摸互动系统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原厂模组屏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屏幕采用全钢化玻璃设计，防划防撞；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红外10点触控技术，免驱动；连接方式 USB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边框后壳均采用全金属材质，不接受塑料材质；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屏幕分辨率1920×1080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处理器：I7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工业主板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内存：8G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硬盘：120SSD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配套触摸屏伸缩液压安装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一体机配套多媒体成品软件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多媒体触控软件，实现对视频多媒体的调用，内容的查询，包括图像变形处理校正系统、多通道图像同步显示处理系统视频信号处理、运动补偿、消除运动图象的锯齿现象。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展厅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立面LED屏演示系统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像素点间距2.5mm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像素密度250000点/平方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屏幕水平视角不低于160度，屏幕垂直视角不低于160度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白平衡亮度：650cd/m2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亮度调节：配合光感设备对环境进行自适应调节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灰度等级：红、绿、蓝各16位编码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显示颜色：281 万亿种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换帧频率：不低于60Hz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★刷新率：不低于3800Hz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★最大对比度：不低于5000：1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平均功耗：225W/平方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★峰值功耗：650W/平方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屏体LED灯寿命：不低于10万小时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离散失控率：不大于1/10000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★白场色温：2000K-10000K可调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环境要求：工作温度范围:-10℃～40℃ ；工作湿度：10－80%RH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供电要求：AC85－264V（47－64Hz）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防护功能：抗震、阻燃、防静电、防电磁干扰，具有过流、短路、断路、过压、欠压等防护措施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供电要求：三相五线制，AC380V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开关电源：DV5; 具有电源保护:超温、过流、过压等技术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板子间连接：板子之间信号连接采用沉余连接方式。板子内部连接：最优连接方式，避免模块出现连续性故障。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★提供以上所有带★的参数，具有国家级产品质量监督检验中心出具的产品检测报告（提供报告复印件加盖公章）；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★具有电磁兼容性EMC检测认证、TUV认证机构提供的CB认证、整屏3C认证证书、信息安全管理体系认证证书、能源管理体系认证证书（提供证书复印件加盖公章）；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★提供原厂授权、质保原件。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屏体配套装置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含控制卡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：（1）可播放多种文字的各种字体、字型和不同的文字信息，能实现翻页、移动、旋转、飘雪、滚屏、闪烁等十余种显示功能。2）能播放二维、三维动画，并支持用压缩卡采集的AVI信号。3）支持4:3图像信号转换成16:9图像，并在显示屏上满屏播放。4）时钟功能：能显示星期、年、月、日、时、分、秒；可正计时和倒计时；计时精度1/10秒；具有断电保护功能。1）同步异步双模式卡，一卡同时具备同步系统和异步系统的功能，并可以在两种模式之间无缝切换。使得显示屏既能保持同步系统的灵活性和高品质显示效果，也具备异步系统的简单方便和易于操作的特点，支持智慧模组，支持箱体级全面监控模块的接入 ，支持程序任意切换。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（2）单卡控制面积：全彩：常规128*128，特殊应用可以到1024列。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（3）级联控制区域：65536*65536像素点。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（4）单网线级联卡数量：最多65536张。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（5）网口任意交换：支持，不分输入输出，任意使用，一卡同时具备同步系统和异步系统的功能，并可以在两种模式之间无缝切换。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（6）卡与卡之间的同步性：卡与卡之间以纳秒级同步，常规芯片的刷新率：静态：64*64，刷新率可达到16000Hz。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（7)灰度等级：最高14bit级灰度。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★（8）支持本地信号和网络信号在信号中断时，保留上一画面最后一帧功能；（提供首页具有CMA、CNAS和ilac-MRA标识的检测报告复印件，加盖原厂公章）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★（9）保证系统稳定性，控制系统可调整画面Gamma值/对比度/饱和度/色调/色温；（提供首页具有CMA、CNAS和ilac-MRA标识的检测报告复印件，加盖原厂公章）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、LED媒体处理器、屏体框架、专用数据线、图形工作站、显示器、声音处理装置、联动程序、辅材等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展厅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顶面LED屏演示系统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像素点间距2.5mm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像素密度250000点/平方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屏幕水平视角不低于160度，屏幕垂直视角不低于160度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白平衡亮度：650cd/m2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亮度调节：配合光感设备对环境进行自适应调节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灰度等级：红、绿、蓝各16位编码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显示颜色：281 万亿种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换帧频率：不低于60Hz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★刷新率：不低于3800Hz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★最大对比度：不低于5000：1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平均功耗：225W/平方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★峰值功耗：650W/平方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屏体LED灯寿命：不低于10万小时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离散失控率：不大于1/10000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★白场色温：2000K-10000K可调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环境要求：工作温度范围:-10℃～40℃ ；工作湿度：10－80%RH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供电要求：AC85－264V（47－64Hz）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防护功能：抗震、阻燃、防静电、防电磁干扰，具有过流、短路、断路、过压、欠压等防护措施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供电要求：三相五线制，AC380V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开关电源：DV5; 具有电源保护:超温、过流、过压等技术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板子间连接：板子之间信号连接采用沉余连接方式。板子内部连接：最优连接方式，避免模块出现连续性故障。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★提供以上所有带★的参数，具有国家级产品质量监督检验中心出具的产品检测报告（提供报告复印件加盖公章）；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★具有电磁兼容性EMC检测认证、TUV认证机构提供的CB认证、整屏3C认证证书、信息安全管理体系认证证书、能源管理体系认证证书（提供证书复印件加盖公章）；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★提供原厂授权、质保原件。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屏体配套装置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含控制卡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：（1）可播放多种文字的各种字体、字型和不同的文字信息，能实现翻页、移动、旋转、飘雪、滚屏、闪烁等十余种显示功能。2）能播放二维、三维动画，并支持用压缩卡采集的AVI信号。3）支持4:3图像信号转换成16:9图像，并在显示屏上满屏播放。4）时钟功能：能显示星期、年、月、日、时、分、秒；可正计时和倒计时；计时精度1/10秒；具有断电保护功能。1）同步异步双模式卡，一卡同时具备同步系统和异步系统的功能，并可以在两种模式之间无缝切换。使得显示屏既能保持同步系统的灵活性和高品质显示效果，也具备异步系统的简单方便和易于操作的特点，支持智慧模组，支持箱体级全面监控模块的接入 ，支持程序任意切换。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（2）单卡控制面积：全彩：常规128*128，特殊应用可以到1024列。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（3）级联控制区域：65536*65536像素点。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（4）单网线级联卡数量：最多65536张。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（5）网口任意交换：支持，不分输入输出，任意使用，一卡同时具备同步系统和异步系统的功能，并可以在两种模式之间无缝切换。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（6）卡与卡之间的同步性：卡与卡之间以纳秒级同步，常规芯片的刷新率：静态：64*64，刷新率可达到16000Hz。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（7)灰度等级：最高14bit级灰度。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★（8）支持本地信号和网络信号在信号中断时，保留上一画面最后一帧功能；（提供首页具有CMA、CNAS和ilac-MRA标识的检测报告复印件，加盖原厂公章）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★（9）保证系统稳定性，控制系统可调整画面Gamma值/对比度/饱和度/色调/色温；（提供首页具有CMA、CNAS和ilac-MRA标识的检测报告复印件，加盖原厂公章）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、LED媒体处理器、屏体框架、专用数据线、图形工作站、显示器、声音处理装置、联动程序、辅材等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建模软件及数字内容加工处理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模软件，实现对视频多媒体的调用，内容的查询，包括图像变形处理校正系统、多通道图像同步显示处理系统视频信号处理、运动补偿、消除运动图象的锯齿现象。将图片、文字、音频进行加工处理，并且整合，进行三维化动漫设计，地理信息加工处理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7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</w:tbl>
    <w:p>
      <w:pPr>
        <w:pStyle w:val="6"/>
        <w:snapToGrid w:val="0"/>
        <w:spacing w:line="360" w:lineRule="auto"/>
        <w:ind w:firstLine="0" w:firstLineChars="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其他要求：</w:t>
      </w:r>
    </w:p>
    <w:p>
      <w:pPr>
        <w:spacing w:line="360" w:lineRule="auto"/>
        <w:ind w:left="315" w:hanging="315" w:hanging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1、采购货物清单中所有设备提供贰年免费质保服务（中标后提供原厂针对本项目的授权及质保函），服务响应时间需</w:t>
      </w:r>
      <w:r>
        <w:rPr>
          <w:rFonts w:hint="eastAsia" w:ascii="宋体" w:hAnsi="宋体" w:cs="宋体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Cs w:val="21"/>
        </w:rPr>
        <w:t>小时内响应并修复完毕，否则作无效标处理。</w:t>
      </w:r>
    </w:p>
    <w:p>
      <w:pPr>
        <w:spacing w:line="360" w:lineRule="auto"/>
        <w:ind w:left="315" w:hanging="315" w:hanging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2、带“★”部分为产品主要参数，为必须满足以上技术指标，若无法提供符合要求的检测报告和相关证书（资料须原厂盖章），则为无效标。</w:t>
      </w:r>
    </w:p>
    <w:p>
      <w:pPr>
        <w:spacing w:line="360" w:lineRule="auto"/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3、供应商需</w:t>
      </w:r>
      <w:r>
        <w:rPr>
          <w:rFonts w:hint="eastAsia" w:ascii="宋体" w:hAnsi="宋体" w:cs="宋体"/>
          <w:szCs w:val="21"/>
        </w:rPr>
        <w:t>提前</w:t>
      </w:r>
      <w:r>
        <w:rPr>
          <w:rFonts w:hint="eastAsia" w:ascii="宋体" w:hAnsi="宋体" w:eastAsia="宋体" w:cs="宋体"/>
          <w:szCs w:val="21"/>
        </w:rPr>
        <w:t>进行现场踏勘，没有进行现场踏勘的供应商无中标资格，并签署现场踏勘证明文件，格式自理，中标后提供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left="315" w:hanging="315" w:hangingChars="15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eastAsia="宋体" w:cs="宋体"/>
          <w:szCs w:val="21"/>
        </w:rPr>
        <w:t>以上设备报价包含安装、调试、税金等一切费用，中标供应商不得再向业主提出额外付费要求。</w:t>
      </w:r>
    </w:p>
    <w:p>
      <w:pPr>
        <w:spacing w:line="360" w:lineRule="auto"/>
        <w:ind w:left="315" w:hanging="315" w:hangingChars="1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、为保证投标产品功能的真实性，中标供应商签订合同前提供</w:t>
      </w:r>
      <w:r>
        <w:rPr>
          <w:rFonts w:hint="eastAsia" w:ascii="宋体" w:hAnsi="宋体" w:eastAsia="宋体" w:cs="宋体"/>
          <w:szCs w:val="21"/>
          <w:lang w:val="en-US" w:eastAsia="zh-CN"/>
        </w:rPr>
        <w:t>设备</w:t>
      </w:r>
      <w:r>
        <w:rPr>
          <w:rFonts w:hint="eastAsia" w:ascii="宋体" w:hAnsi="宋体" w:eastAsia="宋体" w:cs="宋体"/>
          <w:szCs w:val="21"/>
        </w:rPr>
        <w:t>样品至用户单位进行功能演示测试，由采购人组织专家进行评审，无法符合参数条件的均取消中标资格。（如有虚假应标的行为，同时保留对该投标单位追究相关责任）。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6、需要厂家中标后3日内提供样机并且演示内容。</w:t>
      </w:r>
    </w:p>
    <w:p>
      <w:pPr>
        <w:pStyle w:val="2"/>
        <w:ind w:left="0" w:leftChars="0" w:firstLine="0" w:firstLineChars="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7、签订合同后5工作日内供货。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2958"/>
    <w:rsid w:val="00E93EB9"/>
    <w:rsid w:val="00EA7A3D"/>
    <w:rsid w:val="045E55FB"/>
    <w:rsid w:val="05B93F14"/>
    <w:rsid w:val="07015F42"/>
    <w:rsid w:val="44477DEF"/>
    <w:rsid w:val="6208773C"/>
    <w:rsid w:val="678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2021-01-18T06:12:00Z</dcterms:created>
  <dc:creator>奔跑的蜗牛</dc:creator>
  <cp:lastModifiedBy>奔跑的蜗牛</cp:lastModifiedBy>
  <dcterms:modified xsi:type="dcterms:W3CDTF">2021-01-18T06:55:53Z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