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lang w:eastAsia="zh-CN"/>
        </w:rPr>
      </w:pPr>
      <w:bookmarkStart w:id="0" w:name="_Toc441243088"/>
      <w:r>
        <w:rPr>
          <w:rFonts w:hint="eastAsia"/>
          <w:lang w:eastAsia="zh-CN"/>
        </w:rPr>
        <w:t>项目概况、设计原则及设计依据</w:t>
      </w:r>
      <w:bookmarkEnd w:id="0"/>
    </w:p>
    <w:p>
      <w:pPr>
        <w:pStyle w:val="21"/>
        <w:ind w:firstLine="480"/>
      </w:pPr>
      <w:r>
        <w:rPr>
          <w:rFonts w:hint="eastAsia"/>
        </w:rPr>
        <w:t>本项目为行政服务中心改造项目：大屏显示系统。</w:t>
      </w:r>
    </w:p>
    <w:p>
      <w:pPr>
        <w:pStyle w:val="26"/>
      </w:pPr>
      <w:bookmarkStart w:id="1" w:name="_Toc441243089"/>
      <w:r>
        <w:rPr>
          <w:rFonts w:hint="eastAsia"/>
        </w:rPr>
        <w:t>项目概况</w:t>
      </w:r>
      <w:bookmarkEnd w:id="1"/>
    </w:p>
    <w:p>
      <w:pPr>
        <w:pStyle w:val="21"/>
        <w:ind w:firstLine="480"/>
      </w:pPr>
      <w:r>
        <w:rPr>
          <w:rFonts w:hint="eastAsia"/>
        </w:rPr>
        <w:t>显示屏可用于宣传显示，同时兼顾播放广告、新闻、各类信息发布；景观亮化起到对项目整体形象美化展示作用。整个项目工程主要包括：产品制作、安装调试控制系统，并提供专用控制软件和配套设备等，完成交钥匙工程。显示屏采用逐点校正、视频图像处理、及远程控制等先进技术，具有多种程序播放模式，满足用户的不同使用需求。</w:t>
      </w:r>
    </w:p>
    <w:p>
      <w:pPr>
        <w:pStyle w:val="26"/>
      </w:pPr>
      <w:r>
        <w:rPr>
          <w:rFonts w:hint="eastAsia"/>
          <w:lang w:eastAsia="zh-CN"/>
        </w:rPr>
        <w:t>行政服务</w:t>
      </w:r>
      <w:r>
        <w:rPr>
          <w:rFonts w:hint="eastAsia"/>
        </w:rPr>
        <w:t>中心</w:t>
      </w:r>
      <w:r>
        <w:rPr>
          <w:rFonts w:hint="eastAsia"/>
          <w:lang w:eastAsia="zh-CN"/>
        </w:rPr>
        <w:t>大厅</w:t>
      </w:r>
    </w:p>
    <w:p>
      <w:pPr>
        <w:pStyle w:val="21"/>
        <w:ind w:firstLine="480"/>
      </w:pPr>
      <w:r>
        <w:t xml:space="preserve">  </w:t>
      </w:r>
      <w:r>
        <w:rPr>
          <w:rFonts w:hint="eastAsia"/>
        </w:rPr>
        <w:t>户内</w:t>
      </w:r>
      <w:r>
        <w:t>LED显示，其中显示屏用于宣传显示，同时兼顾播放新闻、各类信息发布；景观亮化起到对项目整体形象美化展示作用。整个项目工程主要包括：产品制作、安装调试控制系统，并提供专用控制软件和配套设备等，完成交钥匙工程</w:t>
      </w:r>
      <w:r>
        <w:rPr>
          <w:rFonts w:hint="eastAsia"/>
        </w:rPr>
        <w:t>。</w:t>
      </w:r>
    </w:p>
    <w:p>
      <w:pPr>
        <w:pStyle w:val="26"/>
      </w:pPr>
      <w:r>
        <w:rPr>
          <w:rFonts w:hint="eastAsia"/>
        </w:rPr>
        <w:t>户外大屏</w:t>
      </w:r>
    </w:p>
    <w:p>
      <w:pPr>
        <w:pStyle w:val="21"/>
        <w:ind w:firstLine="480"/>
      </w:pPr>
      <w:r>
        <w:rPr>
          <w:rFonts w:hint="eastAsia"/>
        </w:rPr>
        <w:t>可显示各种计算机信息、图形、图像及二、三维计算机动画，可同屏显示多种信息，如视频、文字、图像、动画等，可任意进行编排。</w:t>
      </w:r>
    </w:p>
    <w:p>
      <w:pPr>
        <w:pStyle w:val="21"/>
        <w:ind w:firstLine="480"/>
      </w:pPr>
      <w:r>
        <w:rPr>
          <w:rFonts w:hint="eastAsia"/>
        </w:rPr>
        <w:t>大型庆典、文艺活动、体育、背景图像显示、新闻发布、通知、标语、广告信息显示。</w:t>
      </w:r>
    </w:p>
    <w:p>
      <w:pPr>
        <w:pStyle w:val="21"/>
        <w:ind w:firstLine="480"/>
      </w:pPr>
      <w:r>
        <w:rPr>
          <w:rFonts w:hint="eastAsia"/>
        </w:rPr>
        <w:t>可以显示各类文本或超文本文件、显示符合我国国家标准的各种字体和字形的汉字。</w:t>
      </w:r>
    </w:p>
    <w:p>
      <w:pPr>
        <w:rPr>
          <w:sz w:val="24"/>
        </w:rPr>
      </w:pPr>
      <w:bookmarkStart w:id="2" w:name="_Toc24758"/>
      <w:bookmarkStart w:id="3" w:name="_Toc23029"/>
      <w:bookmarkStart w:id="4" w:name="_Toc31245"/>
      <w:r>
        <w:rPr>
          <w:rFonts w:hint="eastAsia"/>
          <w:sz w:val="24"/>
        </w:rPr>
        <w:t>显示方式 </w:t>
      </w:r>
      <w:bookmarkEnd w:id="2"/>
      <w:bookmarkEnd w:id="3"/>
      <w:bookmarkEnd w:id="4"/>
    </w:p>
    <w:p>
      <w:pPr>
        <w:pStyle w:val="21"/>
        <w:ind w:firstLine="480"/>
      </w:pPr>
      <w:r>
        <w:rPr>
          <w:rFonts w:hint="eastAsia"/>
        </w:rPr>
        <w:t>在显示视频信息的同时，能同步播放音频信息；</w:t>
      </w:r>
    </w:p>
    <w:p>
      <w:pPr>
        <w:pStyle w:val="21"/>
        <w:ind w:firstLine="480"/>
      </w:pPr>
      <w:r>
        <w:rPr>
          <w:rFonts w:hint="eastAsia"/>
        </w:rPr>
        <w:t>可以对视频信号做到全景、特写、特技效果的播放；</w:t>
      </w:r>
    </w:p>
    <w:p>
      <w:pPr>
        <w:pStyle w:val="21"/>
        <w:ind w:firstLine="480"/>
      </w:pPr>
      <w:r>
        <w:rPr>
          <w:rFonts w:hint="eastAsia"/>
        </w:rPr>
        <w:t>文字信息的显示可以实现插播、翻屏、滚动显示；文字翻屏或滚动的型式可以随意编辑，如左右流动、上下流动、翻页、旋转、闪烁、颜色变换。</w:t>
      </w:r>
    </w:p>
    <w:p>
      <w:pPr>
        <w:pStyle w:val="21"/>
        <w:ind w:firstLine="480"/>
      </w:pPr>
      <w:r>
        <w:rPr>
          <w:rFonts w:hint="eastAsia"/>
        </w:rPr>
        <w:t>文字信息显示时，具有中/外文同屏显示功能。</w:t>
      </w:r>
    </w:p>
    <w:p>
      <w:pPr>
        <w:pStyle w:val="21"/>
        <w:ind w:firstLine="480"/>
      </w:pPr>
      <w:r>
        <w:rPr>
          <w:rFonts w:hint="eastAsia"/>
        </w:rPr>
        <w:t>可同屏显示视频、动画、图片、文字、时钟等形式的各类节目，最多可达64个窗口。</w:t>
      </w:r>
    </w:p>
    <w:p>
      <w:pPr>
        <w:pStyle w:val="21"/>
        <w:ind w:firstLine="480"/>
      </w:pPr>
      <w:r>
        <w:rPr>
          <w:rFonts w:hint="eastAsia"/>
        </w:rPr>
        <w:t>系统能同时实现显示屏的手动控制开关、互联网远程控制开关、定时自动控制开关；</w:t>
      </w:r>
    </w:p>
    <w:p>
      <w:pPr>
        <w:pStyle w:val="21"/>
        <w:ind w:firstLine="480"/>
      </w:pPr>
      <w:r>
        <w:rPr>
          <w:rFonts w:hint="eastAsia"/>
        </w:rPr>
        <w:t>系统能根据外界环境亮度的变化自动调整显示屏的亮度；</w:t>
      </w:r>
    </w:p>
    <w:p>
      <w:pPr>
        <w:pStyle w:val="21"/>
        <w:ind w:firstLine="480"/>
      </w:pPr>
      <w:r>
        <w:rPr>
          <w:rFonts w:hint="eastAsia"/>
        </w:rPr>
        <w:t>能完成文本、图片、二维/三维动画等计算机信息的编辑以及视频文件的压缩工作；</w:t>
      </w:r>
    </w:p>
    <w:p>
      <w:pPr>
        <w:widowControl/>
        <w:jc w:val="left"/>
      </w:pPr>
      <w:r>
        <w:br w:type="page"/>
      </w:r>
    </w:p>
    <w:p>
      <w:pPr>
        <w:sectPr>
          <w:pgSz w:w="11906" w:h="16838"/>
          <w:pgMar w:top="1440" w:right="1800" w:bottom="1440" w:left="1800" w:header="851" w:footer="992" w:gutter="0"/>
          <w:cols w:space="425" w:num="1"/>
          <w:docGrid w:type="lines" w:linePitch="312" w:charSpace="0"/>
        </w:sectPr>
      </w:pPr>
    </w:p>
    <w:p>
      <w:pPr>
        <w:pStyle w:val="24"/>
        <w:rPr>
          <w:lang w:eastAsia="zh-CN"/>
        </w:rPr>
      </w:pPr>
      <w:r>
        <w:rPr>
          <w:rFonts w:hint="eastAsia"/>
          <w:lang w:eastAsia="zh-CN"/>
        </w:rPr>
        <w:t>清单</w:t>
      </w:r>
    </w:p>
    <w:p>
      <w:pPr>
        <w:pStyle w:val="26"/>
      </w:pPr>
      <w:r>
        <w:rPr>
          <w:rFonts w:hint="eastAsia"/>
        </w:rPr>
        <w:t>大屏</w:t>
      </w:r>
    </w:p>
    <w:tbl>
      <w:tblPr>
        <w:tblStyle w:val="16"/>
        <w:tblW w:w="3935" w:type="pct"/>
        <w:jc w:val="center"/>
        <w:tblLayout w:type="autofit"/>
        <w:tblCellMar>
          <w:top w:w="0" w:type="dxa"/>
          <w:left w:w="108" w:type="dxa"/>
          <w:bottom w:w="0" w:type="dxa"/>
          <w:right w:w="108" w:type="dxa"/>
        </w:tblCellMar>
      </w:tblPr>
      <w:tblGrid>
        <w:gridCol w:w="618"/>
        <w:gridCol w:w="545"/>
        <w:gridCol w:w="4107"/>
        <w:gridCol w:w="618"/>
        <w:gridCol w:w="819"/>
      </w:tblGrid>
      <w:tr>
        <w:tblPrEx>
          <w:tblCellMar>
            <w:top w:w="0" w:type="dxa"/>
            <w:left w:w="108" w:type="dxa"/>
            <w:bottom w:w="0" w:type="dxa"/>
            <w:right w:w="108" w:type="dxa"/>
          </w:tblCellMar>
        </w:tblPrEx>
        <w:trPr>
          <w:trHeight w:val="402" w:hRule="atLeast"/>
          <w:jc w:val="center"/>
        </w:trPr>
        <w:tc>
          <w:tcPr>
            <w:tcW w:w="460"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406" w:type="pct"/>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设备名称</w:t>
            </w:r>
          </w:p>
        </w:tc>
        <w:tc>
          <w:tcPr>
            <w:tcW w:w="3063" w:type="pct"/>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技术参数</w:t>
            </w:r>
          </w:p>
        </w:tc>
        <w:tc>
          <w:tcPr>
            <w:tcW w:w="460" w:type="pct"/>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w:t>
            </w:r>
          </w:p>
        </w:tc>
        <w:tc>
          <w:tcPr>
            <w:tcW w:w="608" w:type="pct"/>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数量</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宋体" w:hAnsi="宋体" w:eastAsia="宋体" w:cs="宋体"/>
                <w:kern w:val="0"/>
                <w:sz w:val="20"/>
                <w:szCs w:val="20"/>
              </w:rPr>
              <w:t>LED显示屏</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小间距LED全彩显示屏；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像素间距：1.56mm；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封装品牌：国产铜线；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箱体比例：16:9，全封闭压铸铝材质；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像素结构：LED表贴三合一；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箱体分辨率：384×216，箱体尺寸（mm）：600（W）×337.5（H）×50.9（D）；</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像素密度：409600点/㎡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光学参数：显示屏亮度≥600cd/㎡，色温3000K—10000K可调，水平、垂直视角160°，亮度均匀性≥97%，色度均匀性±0.003Cx,Cy之内，最大对比度≥3000:1；刷新率：3840Hz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电气参数：峰值功耗850W/㎡，平均功耗＜280W/㎡，供电要求110~220VAC±15%；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工作温度范围0—40℃，存储温度范围-10—50℃，工作湿度范围（RH）无结露10-60%，带包装存储湿度范围（RH）无结露10-70%。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功能特性：支持任意方向、任意尺寸、任意造型拼接，画面均匀一致，无黑线，实现真正无缝拼接。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维护方式：完全前维护，灯板电源和接收卡前维护。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冗余备份：标配单电源，可定制双电源，支持信号备份，但需要发送卡翻倍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★支持通过遥控器的操作，对图像的对比度、清晰度、饱和度、色温以及图像模式进行调节设置。（提供首页具有CNAS标识的第三方检测报告复印件并加盖厂家公章）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★支持分段校正，提升各个灰阶的显示均匀性（提供首页具有CNAS标识的第三方检测报告复印件并加盖厂家公章）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★具备智能节能功能，自动检测当前环境是否有人，无人时自动调暗屏幕画面或黑屏（提供首页具有CNAS标识的第三方检测报告复印件并加盖厂家公章）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★具备智能节能功能，自动检测当前环境是否有人，无人时自动调暗屏幕画面或黑屏（提供首页具有CNAS标识的第三方检测报告复印件并加盖厂家公章）</w:t>
            </w:r>
          </w:p>
        </w:tc>
        <w:tc>
          <w:tcPr>
            <w:tcW w:w="4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平方</w:t>
            </w:r>
          </w:p>
        </w:tc>
        <w:tc>
          <w:tcPr>
            <w:tcW w:w="6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12.744</w:t>
            </w:r>
            <w:bookmarkStart w:id="5" w:name="_GoBack"/>
            <w:bookmarkEnd w:id="5"/>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LED显示屏</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像素封装 SMD1921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像素构成 1R1G1B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像素间距（mm） 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像素密度（点/m2 ） 62500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模组尺寸（mm） 320 (W)×160（H）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模组分辨率（W×H） 80×40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驱动方式 1/10 扫描，恒流驱动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模组重量 0.45kg±0.02 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防护等级 正面 IP65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亮度（cd/m2） ≥4500cd/㎡</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亮度均匀性 ≥97%</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色温 6500-9300K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视角（°） 水平 140，垂直 140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盲点率 小于万分之一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最大功耗（W/m2） 900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平均功耗（W/m2） 300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灰度等级 红、绿、蓝各 12-16bits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显示颜色 16777216 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换帧频率（帧/秒） ≥60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刷新频率（Hz） ≥1920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亮度调节 256 级手动/自动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使用寿命（小时） ≥10 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平均无故障时间（小时） ≥5000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衰减率（工作 3 年） ≤15%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工作温度范围（℃） -20 至 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工作湿度范围（RH） 10 - 90%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★显示屏具备20条以上可选择的γ校正曲线，用户可根据要求自行调整（提供封面具有ilac-MRA、CNAS、CMA、标识盖章的权威检测报告）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★显示屏整屏平整度≤0.2mm，模组间拼缝≤0.2mm（提供封面具有ilac-MRA、CNAS、CMA、标识盖章的权威检测报告）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★100%亮度,灰度等级为≥16bit；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70%亮度,灰度等级为≥14bit；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50%亮度,灰度等级为≥13bit；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20%亮度,灰度等级为12bit；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（提供封面具有ilac-MRA、CNAS、CMA、标识盖章的权威检测报告）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★显示屏发光点中心距偏差＜1%，之内（提供封面具有ilac-MRA、CNAS、CMA、标识盖章的权威检测报告）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★显示屏垂直视角上下≥160°；水平左右≥160°， 亮度均匀性≥98%，色度均匀性±0.003Cx,Cy 之内。（提供封面具有ilac-MRA、CNAS、CMA、标识盖章的权威检测报告）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★LED显示屏工作状态下最大噪音值，产品前、后、左、右噪声与 环境背景噪声相差均不超过2.0dB(A)。 (环境背景噪声为27.5 dB(A))（提供封面具有ilac-MRA、CNAS、CMA、标识盖章的权威检测报告）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★具有电源过流、短路、过压、欠压、断电保护功能，分布上电措施；阻燃系统具有烟雾报警和温升报警功能；具有动态扫描方式LED显示屏驱动电路保护功能　（提供封面具有ilac-MRA、CNAS、CMA、标识盖章的权威检测报告）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★支持电源PFC功能，支持主动式PFC功能，电源功率因数≥0.95（满载）（提供封面具有ilac-MRA、CNAS、CMA、标识盖章的权威检测报告）</w:t>
            </w:r>
          </w:p>
        </w:tc>
        <w:tc>
          <w:tcPr>
            <w:tcW w:w="4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平方</w:t>
            </w:r>
          </w:p>
        </w:tc>
        <w:tc>
          <w:tcPr>
            <w:tcW w:w="6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20.48</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LED控制器</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1)LED全彩显示屏控制器,1路DVI，1路HDMI，1路DP。输出：8路网口输出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2)带载分辨率3840*1080@60</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视频综合平台</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8U标准机箱，满足各种规模的监控需求；标准机架式设计，运营级ATCA机箱系统；插拔式模块化设计，可根据需求灵活扩展；5槽位机箱，双电源适配器，单主控板；业务模块支持热插拔、双电源冗余、智能风扇自动调温，确保系统稳定可靠；双高速无阻塞背板设计，满足大容量视频数据高速交换的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★投标产品支持虚拟云台控制功能，具备虚拟云台控制按键，可调整球机和云台的运行速度和方向，并且支持多用户云台抢占、云台控制锁定功能（提供公安部出具的型式检验报告复印件加盖原厂商公章）;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投标产品单板支持128个漫游窗口叠加，支持窗口置顶或置底设置。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★投标产品支持1、2、4、6、8、9、12、16、32、36、48、64画面分割显示（提供公安部出具的型式检验报告复印件加盖原厂商公章）;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投标产品支持将25帧或30帧的视频转换为50或60帧。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★投标产品支持走廊模式显示功能（提供公安部出具的型式检验报告复印件加盖原厂商公章）;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投标产品对录像文件解码延时≤110ms。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★投标产品的图像切换时间＜20ms（提供公安部出具的封面具有CNAS标志的报告复印件加盖原厂商公章）;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★投标产品支持解码中断时保留最后一帧的功能，解码板不同输出口以及跨解码板的输出口之间输出色彩无色差（提供公安部出具的封面具有CNAS标志的报告复印件加盖原厂商公章）;</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sz w:val="18"/>
                <w:szCs w:val="18"/>
              </w:rPr>
            </w:pPr>
            <w:r>
              <w:rPr>
                <w:rFonts w:hint="eastAsia" w:ascii="微软雅黑" w:hAnsi="微软雅黑" w:eastAsia="微软雅黑"/>
                <w:sz w:val="18"/>
                <w:szCs w:val="18"/>
              </w:rPr>
              <w:t>视频综合平台</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8个DVI输出口，支持小间距全彩显示屏，分辨率适应性更佳;支持16路800W/64路1080P/128路720P/256路4CIF解码H.264/H.265解码；支持大屏拼接漫游；1个DB15转8路音频输出；（注意，可支持H265解码，H264和H265解码能力一致，支持海康私有264码流的解码）一块板子支持16路海康私有264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sz w:val="18"/>
                <w:szCs w:val="18"/>
              </w:rPr>
            </w:pPr>
            <w:r>
              <w:rPr>
                <w:rFonts w:hint="eastAsia" w:ascii="微软雅黑" w:hAnsi="微软雅黑" w:eastAsia="微软雅黑"/>
                <w:sz w:val="18"/>
                <w:szCs w:val="18"/>
              </w:rPr>
              <w:t>视频综合平台</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支持4路DP输入，4096*2160分辨率无编码功能，支持输入拼接，最大12个输入拼接为1个输入源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标准：DP1.2标准</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接收卡</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集成16个标准HUB75接口，免接HUB板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采用千兆网口通信，可以连接PC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支持亮色度逐点校正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支持接收卡预存画面设置。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支持温度、电压、网线通讯和视频源信号状态检测。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 5Pin 液晶模块</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16</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7</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视频处理器</w:t>
            </w:r>
          </w:p>
        </w:tc>
        <w:tc>
          <w:tcPr>
            <w:tcW w:w="3063" w:type="pct"/>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支持8核处理器，主频1.5GHz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支持1080P的视频硬解码，支持H.265 4K高清视频硬解码播放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支持U盘节目导入播放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支持HDMI输入及全屏自适应播放，支持HDMI Loop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支持同步异步双模式，应用场景灵活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支持音频输出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支持2GB运行内存，板载8GB内部存储空间，用户可用4GB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4路网口输出，支持230万像素点带载能力，最宽4096像素，最高1920像素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支持PC直连，局域网，移动终端节目发布和显示屏控制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支持双WiFi模式，自带WiFi AP，并支持WiFi Sta模式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支持集群远程发布于显示屏控制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支持多屏播放同步机制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三、框架结构部分</w:t>
            </w:r>
          </w:p>
        </w:tc>
      </w:tr>
      <w:tr>
        <w:tblPrEx>
          <w:tblCellMar>
            <w:top w:w="0" w:type="dxa"/>
            <w:left w:w="108" w:type="dxa"/>
            <w:bottom w:w="0" w:type="dxa"/>
            <w:right w:w="108" w:type="dxa"/>
          </w:tblCellMar>
        </w:tblPrEx>
        <w:trPr>
          <w:trHeight w:val="498" w:hRule="atLeast"/>
          <w:jc w:val="center"/>
        </w:trPr>
        <w:tc>
          <w:tcPr>
            <w:tcW w:w="460" w:type="pc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框架结构含安装</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平方</w:t>
            </w:r>
          </w:p>
        </w:tc>
        <w:tc>
          <w:tcPr>
            <w:tcW w:w="60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20.48</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装饰</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机械费</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散热设备</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配电柜</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LED开关电源</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100</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LED支架</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12.744</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专用配电箱</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线材</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外框结构含安装</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r>
        <w:tblPrEx>
          <w:tblCellMar>
            <w:top w:w="0" w:type="dxa"/>
            <w:left w:w="108" w:type="dxa"/>
            <w:bottom w:w="0" w:type="dxa"/>
            <w:right w:w="108" w:type="dxa"/>
          </w:tblCellMar>
        </w:tblPrEx>
        <w:trPr>
          <w:trHeight w:val="498" w:hRule="atLeast"/>
          <w:jc w:val="center"/>
        </w:trPr>
        <w:tc>
          <w:tcPr>
            <w:tcW w:w="460"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机柜</w:t>
            </w:r>
          </w:p>
        </w:tc>
        <w:tc>
          <w:tcPr>
            <w:tcW w:w="306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定制</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08" w:type="pct"/>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r>
    </w:tbl>
    <w:p/>
    <w:p/>
    <w:p>
      <w:pPr>
        <w:pStyle w:val="24"/>
        <w:rPr>
          <w:lang w:eastAsia="zh-CN"/>
        </w:rPr>
      </w:pPr>
      <w:r>
        <w:rPr>
          <w:rFonts w:hint="eastAsia"/>
          <w:lang w:eastAsia="zh-CN"/>
        </w:rPr>
        <w:t>商务</w:t>
      </w:r>
      <w:r>
        <w:rPr>
          <w:lang w:eastAsia="zh-CN"/>
        </w:rPr>
        <w:t>条款</w:t>
      </w:r>
    </w:p>
    <w:p>
      <w:pPr>
        <w:rPr>
          <w:rFonts w:ascii="Times New Roman" w:hAnsi="Times New Roman" w:eastAsia="宋体" w:cs="宋体"/>
          <w:sz w:val="24"/>
          <w:szCs w:val="21"/>
        </w:rPr>
      </w:pPr>
      <w:r>
        <w:rPr>
          <w:rFonts w:ascii="Times New Roman" w:hAnsi="Times New Roman" w:eastAsia="宋体" w:cs="宋体"/>
          <w:sz w:val="24"/>
          <w:szCs w:val="21"/>
        </w:rPr>
        <w:t>1、</w:t>
      </w:r>
      <w:r>
        <w:rPr>
          <w:rFonts w:ascii="Times New Roman" w:hAnsi="Times New Roman" w:eastAsia="宋体" w:cs="宋体"/>
          <w:sz w:val="24"/>
          <w:szCs w:val="21"/>
        </w:rPr>
        <w:tab/>
      </w:r>
      <w:r>
        <w:rPr>
          <w:rFonts w:ascii="Times New Roman" w:hAnsi="Times New Roman" w:eastAsia="宋体" w:cs="宋体"/>
          <w:sz w:val="24"/>
          <w:szCs w:val="21"/>
        </w:rPr>
        <w:t>本项目不接受推荐品牌之外的产品参与投标</w:t>
      </w:r>
    </w:p>
    <w:p>
      <w:pPr>
        <w:rPr>
          <w:rFonts w:ascii="Times New Roman" w:hAnsi="Times New Roman" w:eastAsia="宋体" w:cs="宋体"/>
          <w:sz w:val="24"/>
          <w:szCs w:val="21"/>
        </w:rPr>
      </w:pPr>
      <w:r>
        <w:rPr>
          <w:rFonts w:ascii="Times New Roman" w:hAnsi="Times New Roman" w:eastAsia="宋体" w:cs="宋体"/>
          <w:sz w:val="24"/>
          <w:szCs w:val="21"/>
        </w:rPr>
        <w:t>2、</w:t>
      </w:r>
      <w:r>
        <w:rPr>
          <w:rFonts w:ascii="Times New Roman" w:hAnsi="Times New Roman" w:eastAsia="宋体" w:cs="宋体"/>
          <w:sz w:val="24"/>
          <w:szCs w:val="21"/>
        </w:rPr>
        <w:tab/>
      </w:r>
      <w:r>
        <w:rPr>
          <w:rFonts w:ascii="Times New Roman" w:hAnsi="Times New Roman" w:eastAsia="宋体" w:cs="宋体"/>
          <w:sz w:val="24"/>
          <w:szCs w:val="21"/>
        </w:rPr>
        <w:t>投标人应该严格按照技术参数要求进行投标和报价，参数偏离为无效报价。注：如投标人不能满足询价文件要求的，请勿报价，报价单位必须认真审核招标文件所有要求，如明知不满足招标文件要求进行恶意竞争的，将根据《政采云平台电子卖场权益维护及纠纷处理规则》的规定报财政部门处理。</w:t>
      </w:r>
    </w:p>
    <w:p>
      <w:pPr>
        <w:rPr>
          <w:rFonts w:ascii="Times New Roman" w:hAnsi="Times New Roman" w:eastAsia="宋体" w:cs="宋体"/>
          <w:sz w:val="24"/>
          <w:szCs w:val="21"/>
        </w:rPr>
      </w:pPr>
      <w:r>
        <w:rPr>
          <w:rFonts w:ascii="Times New Roman" w:hAnsi="Times New Roman" w:eastAsia="宋体" w:cs="宋体"/>
          <w:sz w:val="24"/>
          <w:szCs w:val="21"/>
        </w:rPr>
        <w:t>3、</w:t>
      </w:r>
      <w:r>
        <w:rPr>
          <w:rFonts w:ascii="Times New Roman" w:hAnsi="Times New Roman" w:eastAsia="宋体" w:cs="宋体"/>
          <w:sz w:val="24"/>
          <w:szCs w:val="21"/>
        </w:rPr>
        <w:tab/>
      </w:r>
      <w:r>
        <w:rPr>
          <w:rFonts w:ascii="Times New Roman" w:hAnsi="Times New Roman" w:eastAsia="宋体" w:cs="宋体"/>
          <w:sz w:val="24"/>
          <w:szCs w:val="21"/>
        </w:rPr>
        <w:t>投标截止后，用户选择中标供应商之前，预中标供应商提供招标文件内所要求的证明材料原件预中标单位须于竞价截止时间后24小时内提供所有资料原件备查，如不提供按虚假响应处理，取消预中标资格。</w:t>
      </w:r>
    </w:p>
    <w:p>
      <w:pPr>
        <w:rPr>
          <w:rFonts w:ascii="Times New Roman" w:hAnsi="Times New Roman" w:eastAsia="宋体" w:cs="宋体"/>
          <w:sz w:val="24"/>
          <w:szCs w:val="21"/>
        </w:rPr>
      </w:pPr>
      <w:r>
        <w:rPr>
          <w:rFonts w:ascii="Times New Roman" w:hAnsi="Times New Roman" w:eastAsia="宋体" w:cs="宋体"/>
          <w:sz w:val="24"/>
          <w:szCs w:val="21"/>
        </w:rPr>
        <w:t>4、</w:t>
      </w:r>
      <w:r>
        <w:rPr>
          <w:rFonts w:ascii="Times New Roman" w:hAnsi="Times New Roman" w:eastAsia="宋体" w:cs="宋体"/>
          <w:sz w:val="24"/>
          <w:szCs w:val="21"/>
        </w:rPr>
        <w:tab/>
      </w:r>
      <w:r>
        <w:rPr>
          <w:rFonts w:ascii="Times New Roman" w:hAnsi="Times New Roman" w:eastAsia="宋体" w:cs="宋体"/>
          <w:sz w:val="24"/>
          <w:szCs w:val="21"/>
        </w:rPr>
        <w:t>本项目质保3年，签定合同前需提供针对本项目原厂质保授权书原件及售后服务承诺书原件，并加盖公章，否则视为无效标。</w:t>
      </w:r>
    </w:p>
    <w:p>
      <w:pPr>
        <w:rPr>
          <w:rFonts w:ascii="Times New Roman" w:hAnsi="Times New Roman" w:eastAsia="宋体" w:cs="宋体"/>
          <w:sz w:val="24"/>
          <w:szCs w:val="21"/>
        </w:rPr>
      </w:pPr>
      <w:r>
        <w:rPr>
          <w:rFonts w:ascii="Times New Roman" w:hAnsi="Times New Roman" w:eastAsia="宋体" w:cs="宋体"/>
          <w:sz w:val="24"/>
          <w:szCs w:val="21"/>
        </w:rPr>
        <w:t>5、</w:t>
      </w:r>
      <w:r>
        <w:rPr>
          <w:rFonts w:ascii="Times New Roman" w:hAnsi="Times New Roman" w:eastAsia="宋体" w:cs="宋体"/>
          <w:sz w:val="24"/>
          <w:szCs w:val="21"/>
        </w:rPr>
        <w:tab/>
      </w:r>
      <w:r>
        <w:rPr>
          <w:rFonts w:ascii="Times New Roman" w:hAnsi="Times New Roman" w:eastAsia="宋体" w:cs="宋体"/>
          <w:sz w:val="24"/>
          <w:szCs w:val="21"/>
        </w:rPr>
        <w:t>鉴于本次项目有时效性要求，潜在供应商须现场勘察，届时请提供相关的其代表所在公司的身份证明。中标后签合同时需出具现场勘察服务单，未参与现场勘察的供应商报价无效。</w:t>
      </w:r>
    </w:p>
    <w:p>
      <w:pPr>
        <w:rPr>
          <w:rFonts w:ascii="Times New Roman" w:hAnsi="Times New Roman" w:eastAsia="宋体" w:cs="宋体"/>
          <w:sz w:val="24"/>
          <w:szCs w:val="21"/>
        </w:rPr>
      </w:pPr>
      <w:r>
        <w:rPr>
          <w:rFonts w:ascii="Times New Roman" w:hAnsi="Times New Roman" w:eastAsia="宋体" w:cs="宋体"/>
          <w:sz w:val="24"/>
          <w:szCs w:val="21"/>
        </w:rPr>
        <w:t>6、</w:t>
      </w:r>
      <w:r>
        <w:rPr>
          <w:rFonts w:ascii="Times New Roman" w:hAnsi="Times New Roman" w:eastAsia="宋体" w:cs="宋体"/>
          <w:sz w:val="24"/>
          <w:szCs w:val="21"/>
        </w:rPr>
        <w:tab/>
      </w:r>
      <w:r>
        <w:rPr>
          <w:rFonts w:ascii="Times New Roman" w:hAnsi="Times New Roman" w:eastAsia="宋体" w:cs="宋体"/>
          <w:sz w:val="24"/>
          <w:szCs w:val="21"/>
        </w:rPr>
        <w:t>预中标供应商应在公布预中标结果后的1个工作日内，提供厂家针对本项目的授权及三年质保函原件，如不能提供原厂质保函则视为无法响应招标参数，报价无效。</w:t>
      </w:r>
    </w:p>
    <w:p>
      <w:pPr>
        <w:rPr>
          <w:rFonts w:ascii="Times New Roman" w:hAnsi="Times New Roman" w:eastAsia="宋体" w:cs="宋体"/>
          <w:sz w:val="24"/>
          <w:szCs w:val="21"/>
        </w:rPr>
      </w:pPr>
      <w:r>
        <w:rPr>
          <w:rFonts w:ascii="Times New Roman" w:hAnsi="Times New Roman" w:eastAsia="宋体" w:cs="宋体"/>
          <w:sz w:val="24"/>
          <w:szCs w:val="21"/>
        </w:rPr>
        <w:t>7、</w:t>
      </w:r>
      <w:r>
        <w:rPr>
          <w:rFonts w:ascii="Times New Roman" w:hAnsi="Times New Roman" w:eastAsia="宋体" w:cs="宋体"/>
          <w:sz w:val="24"/>
          <w:szCs w:val="21"/>
        </w:rPr>
        <w:tab/>
      </w:r>
      <w:r>
        <w:rPr>
          <w:rFonts w:ascii="Times New Roman" w:hAnsi="Times New Roman" w:eastAsia="宋体" w:cs="宋体"/>
          <w:sz w:val="24"/>
          <w:szCs w:val="21"/>
        </w:rPr>
        <w:t xml:space="preserve">为了满足服务时效性，出现故障后10分钟内服务响应、30分钟内现场服务到位、2小时内解决问题维修。所有设备在质量保质期内免费维修，维护，软件提供免费升级；免费提供人员技术培训和提供文档资料。  </w:t>
      </w:r>
    </w:p>
    <w:p>
      <w:pPr>
        <w:rPr>
          <w:rFonts w:ascii="Times New Roman" w:hAnsi="Times New Roman" w:eastAsia="宋体" w:cs="宋体"/>
          <w:sz w:val="24"/>
          <w:szCs w:val="21"/>
        </w:rPr>
      </w:pPr>
      <w:r>
        <w:rPr>
          <w:rFonts w:ascii="Times New Roman" w:hAnsi="Times New Roman" w:eastAsia="宋体" w:cs="宋体"/>
          <w:sz w:val="24"/>
          <w:szCs w:val="21"/>
        </w:rPr>
        <w:t>8、</w:t>
      </w:r>
      <w:r>
        <w:rPr>
          <w:rFonts w:ascii="Times New Roman" w:hAnsi="Times New Roman" w:eastAsia="宋体" w:cs="宋体"/>
          <w:sz w:val="24"/>
          <w:szCs w:val="21"/>
        </w:rPr>
        <w:tab/>
      </w:r>
      <w:r>
        <w:rPr>
          <w:rFonts w:ascii="Times New Roman" w:hAnsi="Times New Roman" w:eastAsia="宋体" w:cs="宋体"/>
          <w:sz w:val="24"/>
          <w:szCs w:val="21"/>
        </w:rPr>
        <w:t xml:space="preserve">本项目所提供的软、硬件产品及相基础建设工程材料按采购方的要求采购、运输、安装、调试，包括配套使用的相关软件安装调试。中标方须对整体项目的完整性负责，报价时需考虑各种因素对项目实施费用的影响，中标后不得以任何理由增加费用。 </w:t>
      </w:r>
    </w:p>
    <w:p>
      <w:r>
        <w:rPr>
          <w:rFonts w:ascii="Times New Roman" w:hAnsi="Times New Roman" w:eastAsia="宋体" w:cs="宋体"/>
          <w:sz w:val="24"/>
          <w:szCs w:val="21"/>
        </w:rPr>
        <w:t>9、</w:t>
      </w:r>
      <w:r>
        <w:rPr>
          <w:rFonts w:ascii="Times New Roman" w:hAnsi="Times New Roman" w:eastAsia="宋体" w:cs="宋体"/>
          <w:sz w:val="24"/>
          <w:szCs w:val="21"/>
        </w:rPr>
        <w:tab/>
      </w:r>
      <w:r>
        <w:rPr>
          <w:rFonts w:ascii="Times New Roman" w:hAnsi="Times New Roman" w:eastAsia="宋体" w:cs="宋体"/>
          <w:sz w:val="24"/>
          <w:szCs w:val="21"/>
        </w:rPr>
        <w:t>本项目施工期限为中标后3天完工交付。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60F1C"/>
    <w:multiLevelType w:val="multilevel"/>
    <w:tmpl w:val="0A760F1C"/>
    <w:lvl w:ilvl="0" w:tentative="0">
      <w:start w:val="1"/>
      <w:numFmt w:val="decimal"/>
      <w:pStyle w:val="22"/>
      <w:suff w:val="space"/>
      <w:lvlText w:val="第%1章"/>
      <w:lvlJc w:val="center"/>
      <w:pPr>
        <w:ind w:left="2123" w:firstLine="288"/>
      </w:pPr>
      <w:rPr>
        <w:rFonts w:hint="eastAsia" w:ascii="黑体" w:hAnsi="黑体" w:eastAsia="黑体"/>
        <w:sz w:val="36"/>
      </w:rPr>
    </w:lvl>
    <w:lvl w:ilvl="1" w:tentative="0">
      <w:start w:val="1"/>
      <w:numFmt w:val="decimal"/>
      <w:pStyle w:val="24"/>
      <w:suff w:val="space"/>
      <w:lvlText w:val="%1.%2、"/>
      <w:lvlJc w:val="left"/>
      <w:pPr>
        <w:ind w:left="0" w:firstLine="0"/>
      </w:pPr>
      <w:rPr>
        <w:rFonts w:hint="eastAsia" w:ascii="黑体" w:hAnsi="黑体" w:eastAsia="黑体"/>
        <w:sz w:val="32"/>
      </w:rPr>
    </w:lvl>
    <w:lvl w:ilvl="2" w:tentative="0">
      <w:start w:val="1"/>
      <w:numFmt w:val="decimal"/>
      <w:pStyle w:val="26"/>
      <w:suff w:val="space"/>
      <w:lvlText w:val="%1.%2.%3、"/>
      <w:lvlJc w:val="left"/>
      <w:pPr>
        <w:ind w:left="0" w:firstLine="0"/>
      </w:pPr>
      <w:rPr>
        <w:rFonts w:hint="eastAsia" w:ascii="黑体" w:hAnsi="黑体" w:eastAsia="黑体"/>
        <w:sz w:val="28"/>
      </w:rPr>
    </w:lvl>
    <w:lvl w:ilvl="3" w:tentative="0">
      <w:start w:val="1"/>
      <w:numFmt w:val="decimal"/>
      <w:pStyle w:val="28"/>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10F068CF"/>
    <w:multiLevelType w:val="multilevel"/>
    <w:tmpl w:val="10F068CF"/>
    <w:lvl w:ilvl="0" w:tentative="0">
      <w:start w:val="1"/>
      <w:numFmt w:val="decimal"/>
      <w:pStyle w:val="42"/>
      <w:suff w:val="nothing"/>
      <w:lvlText w:val="（%1）"/>
      <w:lvlJc w:val="left"/>
      <w:pPr>
        <w:ind w:left="420" w:firstLine="0"/>
      </w:pPr>
      <w:rPr>
        <w:b w:val="0"/>
        <w:bCs w:val="0"/>
        <w:i w:val="0"/>
        <w:iCs w:val="0"/>
        <w:caps w:val="0"/>
        <w:smallCaps w:val="0"/>
        <w:strike w:val="0"/>
        <w:dstrike w:val="0"/>
        <w:outline w:val="0"/>
        <w:shadow w:val="0"/>
        <w:emboss w:val="0"/>
        <w:imprint w:val="0"/>
        <w:vanish w:val="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pStyle w:val="44"/>
      <w:suff w:val="nothing"/>
      <w:lvlText w:val="%2）"/>
      <w:lvlJc w:val="left"/>
      <w:pPr>
        <w:ind w:left="840" w:hanging="1"/>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479B5BBA"/>
    <w:multiLevelType w:val="multilevel"/>
    <w:tmpl w:val="479B5BBA"/>
    <w:lvl w:ilvl="0" w:tentative="0">
      <w:start w:val="1"/>
      <w:numFmt w:val="chineseCountingThousand"/>
      <w:pStyle w:val="2"/>
      <w:suff w:val="space"/>
      <w:lvlText w:val="第 %1 章"/>
      <w:lvlJc w:val="left"/>
      <w:pPr>
        <w:ind w:left="0" w:firstLine="0"/>
      </w:pPr>
      <w:rPr>
        <w:rFonts w:hint="eastAsia"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pStyle w:val="3"/>
      <w:isLgl/>
      <w:suff w:val="space"/>
      <w:lvlText w:val="%1.%2"/>
      <w:lvlJc w:val="left"/>
      <w:pPr>
        <w:ind w:left="0" w:firstLine="0"/>
      </w:pPr>
      <w:rPr>
        <w:rFonts w:hint="eastAsia" w:ascii="Arial" w:hAnsi="Arial" w:eastAsia="黑体" w:cs="Times New Roman"/>
        <w:b w:val="0"/>
        <w:bCs w:val="0"/>
        <w:i w:val="0"/>
        <w:iCs w:val="0"/>
        <w:caps w:val="0"/>
        <w:smallCaps w:val="0"/>
        <w:strike w:val="0"/>
        <w:dstrike w:val="0"/>
        <w:outline w:val="0"/>
        <w:shadow w:val="0"/>
        <w:emboss w:val="0"/>
        <w:imprint w:val="0"/>
        <w:vanish w:val="0"/>
        <w:color w:val="auto"/>
        <w:spacing w:val="0"/>
        <w:w w:val="100"/>
        <w:kern w:val="2"/>
        <w:position w:val="0"/>
        <w:sz w:val="36"/>
        <w:u w:val="none"/>
        <w:shd w:val="clear" w:color="auto" w:fill="auto"/>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4"/>
      <w:isLgl/>
      <w:suff w:val="space"/>
      <w:lvlText w:val="%1.%2.%3"/>
      <w:lvlJc w:val="left"/>
      <w:pPr>
        <w:ind w:left="0" w:firstLine="0"/>
      </w:pPr>
      <w:rPr>
        <w:rFonts w:hint="eastAsia"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isLgl/>
      <w:suff w:val="space"/>
      <w:lvlText w:val="%1.%2.%3.%4"/>
      <w:lvlJc w:val="left"/>
      <w:pPr>
        <w:ind w:left="0" w:firstLine="0"/>
      </w:pPr>
      <w:rPr>
        <w:rFonts w:hint="default" w:ascii="Arial" w:hAnsi="Arial" w:eastAsia="黑体"/>
        <w:b w:val="0"/>
        <w:i w:val="0"/>
        <w:sz w:val="30"/>
      </w:rPr>
    </w:lvl>
    <w:lvl w:ilvl="4" w:tentative="0">
      <w:start w:val="1"/>
      <w:numFmt w:val="decimal"/>
      <w:pStyle w:val="6"/>
      <w:isLgl/>
      <w:suff w:val="space"/>
      <w:lvlText w:val="%1.%2.%3.%4.%5"/>
      <w:lvlJc w:val="left"/>
      <w:pPr>
        <w:ind w:left="0" w:firstLine="0"/>
      </w:pPr>
      <w:rPr>
        <w:rFonts w:hint="default" w:ascii="Arial" w:hAnsi="Arial" w:eastAsia="黑体"/>
        <w:b w:val="0"/>
        <w:i w:val="0"/>
        <w:sz w:val="28"/>
      </w:rPr>
    </w:lvl>
    <w:lvl w:ilvl="5" w:tentative="0">
      <w:start w:val="1"/>
      <w:numFmt w:val="decimal"/>
      <w:pStyle w:val="7"/>
      <w:isLgl/>
      <w:suff w:val="space"/>
      <w:lvlText w:val="%1.%2.%3.%4.%5.%6"/>
      <w:lvlJc w:val="left"/>
      <w:pPr>
        <w:ind w:left="0" w:firstLine="0"/>
      </w:pPr>
      <w:rPr>
        <w:rFonts w:hint="eastAsia" w:cs="Times New Roman"/>
        <w:b w:val="0"/>
        <w:bCs w:val="0"/>
        <w:i w:val="0"/>
        <w:iCs w:val="0"/>
        <w:caps w:val="0"/>
        <w:smallCaps w:val="0"/>
        <w:strike w:val="0"/>
        <w:dstrike w:val="0"/>
        <w:outline w:val="0"/>
        <w:shadow w:val="0"/>
        <w:emboss w:val="0"/>
        <w:imprint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6" w:tentative="0">
      <w:start w:val="1"/>
      <w:numFmt w:val="decimal"/>
      <w:pStyle w:val="8"/>
      <w:isLgl/>
      <w:suff w:val="space"/>
      <w:lvlText w:val="%1.%2.%3.%4.%5.%6.%7"/>
      <w:lvlJc w:val="left"/>
      <w:pPr>
        <w:ind w:left="0" w:firstLine="0"/>
      </w:pPr>
      <w:rPr>
        <w:rFonts w:hint="eastAsia" w:cs="Times New Roman"/>
        <w:b w:val="0"/>
        <w:bCs w:val="0"/>
        <w:i w:val="0"/>
        <w:iCs w:val="0"/>
        <w:caps w:val="0"/>
        <w:smallCaps w:val="0"/>
        <w:strike w:val="0"/>
        <w:dstrike w:val="0"/>
        <w:outline w:val="0"/>
        <w:shadow w:val="0"/>
        <w:emboss w:val="0"/>
        <w:imprint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7" w:tentative="0">
      <w:start w:val="1"/>
      <w:numFmt w:val="decimal"/>
      <w:pStyle w:val="9"/>
      <w:isLgl/>
      <w:suff w:val="space"/>
      <w:lvlText w:val="%1.%2.%3.%4.%5.%6.%7.%8"/>
      <w:lvlJc w:val="left"/>
      <w:pPr>
        <w:ind w:left="0" w:firstLine="0"/>
      </w:pPr>
      <w:rPr>
        <w:rFonts w:hint="eastAsia" w:cs="Times New Roman"/>
        <w:b w:val="0"/>
        <w:bCs w:val="0"/>
        <w:i w:val="0"/>
        <w:iCs w:val="0"/>
        <w:caps w:val="0"/>
        <w:smallCaps w:val="0"/>
        <w:strike w:val="0"/>
        <w:dstrike w:val="0"/>
        <w:outline w:val="0"/>
        <w:shadow w:val="0"/>
        <w:emboss w:val="0"/>
        <w:imprint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8" w:tentative="0">
      <w:start w:val="1"/>
      <w:numFmt w:val="decimal"/>
      <w:pStyle w:val="10"/>
      <w:isLgl/>
      <w:suff w:val="space"/>
      <w:lvlText w:val="%1.%2.%3.%4.%5.%6.%7.%8.%9"/>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EA"/>
    <w:rsid w:val="000A73A4"/>
    <w:rsid w:val="00101F23"/>
    <w:rsid w:val="00110EDD"/>
    <w:rsid w:val="0019766E"/>
    <w:rsid w:val="001E13AB"/>
    <w:rsid w:val="001E1AED"/>
    <w:rsid w:val="001F7E30"/>
    <w:rsid w:val="002C5B18"/>
    <w:rsid w:val="002D2402"/>
    <w:rsid w:val="003D2D99"/>
    <w:rsid w:val="003D5928"/>
    <w:rsid w:val="003E1FB0"/>
    <w:rsid w:val="004445AF"/>
    <w:rsid w:val="00496D7A"/>
    <w:rsid w:val="00583773"/>
    <w:rsid w:val="006B1042"/>
    <w:rsid w:val="006D46C1"/>
    <w:rsid w:val="006D51B7"/>
    <w:rsid w:val="006D5541"/>
    <w:rsid w:val="0073609C"/>
    <w:rsid w:val="00842AEA"/>
    <w:rsid w:val="0084545B"/>
    <w:rsid w:val="008C27A4"/>
    <w:rsid w:val="009A5BD6"/>
    <w:rsid w:val="009F2F00"/>
    <w:rsid w:val="009F3141"/>
    <w:rsid w:val="00A12874"/>
    <w:rsid w:val="00A95416"/>
    <w:rsid w:val="00AD3E7E"/>
    <w:rsid w:val="00B23B89"/>
    <w:rsid w:val="00C35048"/>
    <w:rsid w:val="00DD091A"/>
    <w:rsid w:val="00E02EE4"/>
    <w:rsid w:val="00E7708F"/>
    <w:rsid w:val="00EC69E5"/>
    <w:rsid w:val="00F07CAC"/>
    <w:rsid w:val="00F33B33"/>
    <w:rsid w:val="00FB69B9"/>
    <w:rsid w:val="00FE3761"/>
    <w:rsid w:val="2E884DFF"/>
    <w:rsid w:val="54072E19"/>
    <w:rsid w:val="5C12005A"/>
    <w:rsid w:val="5E9F74EF"/>
    <w:rsid w:val="721F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pageBreakBefore/>
      <w:numPr>
        <w:ilvl w:val="0"/>
        <w:numId w:val="1"/>
      </w:numPr>
      <w:tabs>
        <w:tab w:val="center" w:pos="0"/>
        <w:tab w:val="left" w:pos="3402"/>
        <w:tab w:val="left" w:pos="3828"/>
      </w:tabs>
      <w:spacing w:before="240" w:after="240"/>
      <w:jc w:val="center"/>
      <w:outlineLvl w:val="0"/>
    </w:pPr>
    <w:rPr>
      <w:rFonts w:ascii="黑体" w:hAnsi="黑体" w:eastAsia="黑体" w:cs="宋体"/>
      <w:bCs/>
      <w:kern w:val="0"/>
      <w:sz w:val="44"/>
      <w:szCs w:val="44"/>
    </w:rPr>
  </w:style>
  <w:style w:type="paragraph" w:styleId="3">
    <w:name w:val="heading 2"/>
    <w:basedOn w:val="1"/>
    <w:next w:val="1"/>
    <w:link w:val="33"/>
    <w:qFormat/>
    <w:uiPriority w:val="0"/>
    <w:pPr>
      <w:keepNext/>
      <w:keepLines/>
      <w:numPr>
        <w:ilvl w:val="1"/>
        <w:numId w:val="1"/>
      </w:numPr>
      <w:spacing w:before="240" w:after="120" w:line="480" w:lineRule="auto"/>
      <w:jc w:val="left"/>
      <w:outlineLvl w:val="1"/>
    </w:pPr>
    <w:rPr>
      <w:rFonts w:ascii="Times New Roman" w:hAnsi="Times New Roman" w:eastAsia="黑体" w:cs="宋体"/>
      <w:bCs/>
      <w:sz w:val="36"/>
      <w:szCs w:val="36"/>
      <w:lang w:val="zh-CN"/>
    </w:rPr>
  </w:style>
  <w:style w:type="paragraph" w:styleId="4">
    <w:name w:val="heading 3"/>
    <w:basedOn w:val="1"/>
    <w:next w:val="1"/>
    <w:link w:val="34"/>
    <w:qFormat/>
    <w:uiPriority w:val="0"/>
    <w:pPr>
      <w:keepNext/>
      <w:keepLines/>
      <w:numPr>
        <w:ilvl w:val="2"/>
        <w:numId w:val="1"/>
      </w:numPr>
      <w:spacing w:before="326" w:beforeLines="100" w:after="163" w:afterLines="50" w:line="360" w:lineRule="auto"/>
      <w:jc w:val="left"/>
      <w:outlineLvl w:val="2"/>
    </w:pPr>
    <w:rPr>
      <w:rFonts w:ascii="Times New Roman" w:hAnsi="Times New Roman" w:eastAsia="黑体" w:cs="宋体"/>
      <w:bCs/>
      <w:sz w:val="32"/>
      <w:szCs w:val="32"/>
      <w:lang w:val="zh-CN"/>
    </w:rPr>
  </w:style>
  <w:style w:type="paragraph" w:styleId="5">
    <w:name w:val="heading 4"/>
    <w:basedOn w:val="1"/>
    <w:next w:val="1"/>
    <w:link w:val="35"/>
    <w:qFormat/>
    <w:uiPriority w:val="0"/>
    <w:pPr>
      <w:keepNext/>
      <w:keepLines/>
      <w:numPr>
        <w:ilvl w:val="3"/>
        <w:numId w:val="1"/>
      </w:numPr>
      <w:tabs>
        <w:tab w:val="left" w:pos="993"/>
      </w:tabs>
      <w:spacing w:before="326" w:after="163" w:line="360" w:lineRule="auto"/>
      <w:outlineLvl w:val="3"/>
    </w:pPr>
    <w:rPr>
      <w:rFonts w:ascii="Times New Roman" w:hAnsi="Times New Roman" w:eastAsia="黑体" w:cs="宋体"/>
      <w:bCs/>
      <w:sz w:val="30"/>
      <w:szCs w:val="28"/>
      <w:lang w:val="zh-CN"/>
    </w:rPr>
  </w:style>
  <w:style w:type="paragraph" w:styleId="6">
    <w:name w:val="heading 5"/>
    <w:basedOn w:val="1"/>
    <w:next w:val="1"/>
    <w:link w:val="36"/>
    <w:qFormat/>
    <w:uiPriority w:val="0"/>
    <w:pPr>
      <w:keepNext/>
      <w:keepLines/>
      <w:numPr>
        <w:ilvl w:val="4"/>
        <w:numId w:val="1"/>
      </w:numPr>
      <w:snapToGrid w:val="0"/>
      <w:spacing w:before="163" w:beforeLines="50" w:line="360" w:lineRule="auto"/>
      <w:jc w:val="left"/>
      <w:outlineLvl w:val="4"/>
    </w:pPr>
    <w:rPr>
      <w:rFonts w:ascii="Times New Roman" w:hAnsi="Times New Roman" w:eastAsia="黑体" w:cs="宋体"/>
      <w:bCs/>
      <w:sz w:val="28"/>
      <w:szCs w:val="28"/>
    </w:rPr>
  </w:style>
  <w:style w:type="paragraph" w:styleId="7">
    <w:name w:val="heading 6"/>
    <w:basedOn w:val="1"/>
    <w:next w:val="1"/>
    <w:link w:val="37"/>
    <w:qFormat/>
    <w:uiPriority w:val="0"/>
    <w:pPr>
      <w:keepNext/>
      <w:keepLines/>
      <w:numPr>
        <w:ilvl w:val="5"/>
        <w:numId w:val="1"/>
      </w:numPr>
      <w:spacing w:before="240" w:after="64" w:line="320" w:lineRule="auto"/>
      <w:outlineLvl w:val="5"/>
    </w:pPr>
    <w:rPr>
      <w:rFonts w:ascii="Times New Roman" w:hAnsi="Times New Roman" w:eastAsia="黑体" w:cs="宋体"/>
      <w:b/>
      <w:bCs/>
      <w:sz w:val="24"/>
      <w:szCs w:val="20"/>
    </w:rPr>
  </w:style>
  <w:style w:type="paragraph" w:styleId="8">
    <w:name w:val="heading 7"/>
    <w:basedOn w:val="1"/>
    <w:next w:val="1"/>
    <w:link w:val="38"/>
    <w:unhideWhenUsed/>
    <w:qFormat/>
    <w:uiPriority w:val="0"/>
    <w:pPr>
      <w:keepNext/>
      <w:keepLines/>
      <w:numPr>
        <w:ilvl w:val="6"/>
        <w:numId w:val="1"/>
      </w:numPr>
      <w:spacing w:before="120" w:after="64" w:line="360" w:lineRule="auto"/>
      <w:jc w:val="left"/>
      <w:outlineLvl w:val="6"/>
    </w:pPr>
    <w:rPr>
      <w:rFonts w:ascii="Times New Roman" w:hAnsi="Times New Roman" w:eastAsia="宋体" w:cs="宋体"/>
      <w:bCs/>
      <w:sz w:val="24"/>
      <w:szCs w:val="24"/>
      <w:lang w:eastAsia="en-US"/>
    </w:rPr>
  </w:style>
  <w:style w:type="paragraph" w:styleId="9">
    <w:name w:val="heading 8"/>
    <w:basedOn w:val="1"/>
    <w:next w:val="1"/>
    <w:link w:val="39"/>
    <w:unhideWhenUsed/>
    <w:qFormat/>
    <w:uiPriority w:val="0"/>
    <w:pPr>
      <w:keepNext/>
      <w:keepLines/>
      <w:numPr>
        <w:ilvl w:val="7"/>
        <w:numId w:val="1"/>
      </w:numPr>
      <w:spacing w:before="240" w:after="64" w:line="319" w:lineRule="auto"/>
      <w:jc w:val="left"/>
      <w:outlineLvl w:val="7"/>
    </w:pPr>
    <w:rPr>
      <w:rFonts w:ascii="Cambria" w:hAnsi="Cambria" w:eastAsia="宋体" w:cs="Times New Roman"/>
      <w:sz w:val="24"/>
      <w:szCs w:val="24"/>
      <w:lang w:eastAsia="en-US"/>
    </w:rPr>
  </w:style>
  <w:style w:type="paragraph" w:styleId="10">
    <w:name w:val="heading 9"/>
    <w:basedOn w:val="1"/>
    <w:next w:val="1"/>
    <w:link w:val="40"/>
    <w:unhideWhenUsed/>
    <w:qFormat/>
    <w:uiPriority w:val="0"/>
    <w:pPr>
      <w:keepNext/>
      <w:keepLines/>
      <w:numPr>
        <w:ilvl w:val="8"/>
        <w:numId w:val="1"/>
      </w:numPr>
      <w:spacing w:before="240" w:after="64" w:line="320" w:lineRule="auto"/>
      <w:outlineLvl w:val="8"/>
    </w:pPr>
    <w:rPr>
      <w:rFonts w:ascii="Cambria" w:hAnsi="Cambria" w:eastAsia="宋体" w:cs="Times New Roman"/>
      <w:szCs w:val="21"/>
      <w:lang w:eastAsia="en-US"/>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29"/>
    <w:unhideWhenUsed/>
    <w:qFormat/>
    <w:uiPriority w:val="0"/>
    <w:pPr>
      <w:jc w:val="left"/>
    </w:pPr>
  </w:style>
  <w:style w:type="paragraph" w:styleId="12">
    <w:name w:val="Balloon Text"/>
    <w:basedOn w:val="1"/>
    <w:link w:val="30"/>
    <w:semiHidden/>
    <w:unhideWhenUsed/>
    <w:uiPriority w:val="99"/>
    <w:rPr>
      <w:sz w:val="18"/>
      <w:szCs w:val="18"/>
    </w:rPr>
  </w:style>
  <w:style w:type="paragraph" w:styleId="13">
    <w:name w:val="footer"/>
    <w:basedOn w:val="1"/>
    <w:link w:val="20"/>
    <w:unhideWhenUsed/>
    <w:uiPriority w:val="99"/>
    <w:pPr>
      <w:tabs>
        <w:tab w:val="center" w:pos="4153"/>
        <w:tab w:val="right" w:pos="8306"/>
      </w:tabs>
      <w:snapToGrid w:val="0"/>
      <w:jc w:val="left"/>
    </w:pPr>
    <w:rPr>
      <w:sz w:val="18"/>
      <w:szCs w:val="18"/>
    </w:rPr>
  </w:style>
  <w:style w:type="paragraph" w:styleId="14">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31"/>
    <w:semiHidden/>
    <w:unhideWhenUsed/>
    <w:uiPriority w:val="99"/>
    <w:rPr>
      <w:b/>
      <w:bCs/>
    </w:rPr>
  </w:style>
  <w:style w:type="character" w:styleId="18">
    <w:name w:val="annotation reference"/>
    <w:basedOn w:val="17"/>
    <w:unhideWhenUsed/>
    <w:qFormat/>
    <w:uiPriority w:val="0"/>
    <w:rPr>
      <w:sz w:val="21"/>
      <w:szCs w:val="21"/>
    </w:rPr>
  </w:style>
  <w:style w:type="character" w:customStyle="1" w:styleId="19">
    <w:name w:val="页眉 字符"/>
    <w:basedOn w:val="17"/>
    <w:link w:val="14"/>
    <w:uiPriority w:val="99"/>
    <w:rPr>
      <w:sz w:val="18"/>
      <w:szCs w:val="18"/>
    </w:rPr>
  </w:style>
  <w:style w:type="character" w:customStyle="1" w:styleId="20">
    <w:name w:val="页脚 字符"/>
    <w:basedOn w:val="17"/>
    <w:link w:val="13"/>
    <w:uiPriority w:val="99"/>
    <w:rPr>
      <w:sz w:val="18"/>
      <w:szCs w:val="18"/>
    </w:rPr>
  </w:style>
  <w:style w:type="paragraph" w:customStyle="1" w:styleId="21">
    <w:name w:val="样式 首行缩进:  0 字符"/>
    <w:basedOn w:val="1"/>
    <w:link w:val="41"/>
    <w:qFormat/>
    <w:uiPriority w:val="0"/>
    <w:pPr>
      <w:spacing w:line="360" w:lineRule="auto"/>
      <w:ind w:firstLine="200" w:firstLineChars="200"/>
    </w:pPr>
    <w:rPr>
      <w:rFonts w:ascii="Times New Roman" w:hAnsi="Times New Roman" w:eastAsia="宋体" w:cs="宋体"/>
      <w:sz w:val="24"/>
      <w:szCs w:val="20"/>
    </w:rPr>
  </w:style>
  <w:style w:type="paragraph" w:customStyle="1" w:styleId="22">
    <w:name w:val="1级标题"/>
    <w:basedOn w:val="23"/>
    <w:qFormat/>
    <w:uiPriority w:val="0"/>
    <w:pPr>
      <w:keepLines/>
      <w:pageBreakBefore/>
      <w:numPr>
        <w:ilvl w:val="0"/>
        <w:numId w:val="2"/>
      </w:numPr>
      <w:tabs>
        <w:tab w:val="left" w:pos="360"/>
      </w:tabs>
      <w:spacing w:before="120" w:after="120" w:line="360" w:lineRule="auto"/>
      <w:ind w:left="0" w:firstLine="0" w:firstLineChars="0"/>
      <w:contextualSpacing/>
      <w:jc w:val="center"/>
      <w:outlineLvl w:val="0"/>
    </w:pPr>
    <w:rPr>
      <w:rFonts w:ascii="黑体" w:hAnsi="黑体" w:eastAsia="黑体" w:cs="Times New Roman"/>
      <w:kern w:val="0"/>
      <w:sz w:val="36"/>
      <w:szCs w:val="36"/>
      <w:lang w:eastAsia="en-US" w:bidi="en-US"/>
    </w:rPr>
  </w:style>
  <w:style w:type="paragraph" w:styleId="23">
    <w:name w:val="List Paragraph"/>
    <w:basedOn w:val="1"/>
    <w:qFormat/>
    <w:uiPriority w:val="34"/>
    <w:pPr>
      <w:ind w:firstLine="420" w:firstLineChars="200"/>
    </w:pPr>
  </w:style>
  <w:style w:type="paragraph" w:customStyle="1" w:styleId="24">
    <w:name w:val="2级标题"/>
    <w:basedOn w:val="23"/>
    <w:link w:val="25"/>
    <w:qFormat/>
    <w:uiPriority w:val="0"/>
    <w:pPr>
      <w:keepLines/>
      <w:numPr>
        <w:ilvl w:val="1"/>
        <w:numId w:val="2"/>
      </w:numPr>
      <w:spacing w:before="120" w:line="360" w:lineRule="auto"/>
      <w:ind w:firstLineChars="0"/>
      <w:contextualSpacing/>
      <w:jc w:val="left"/>
      <w:outlineLvl w:val="1"/>
    </w:pPr>
    <w:rPr>
      <w:rFonts w:ascii="黑体" w:hAnsi="黑体" w:eastAsia="黑体" w:cs="Times New Roman"/>
      <w:kern w:val="0"/>
      <w:sz w:val="32"/>
      <w:szCs w:val="36"/>
      <w:lang w:eastAsia="en-US" w:bidi="en-US"/>
    </w:rPr>
  </w:style>
  <w:style w:type="character" w:customStyle="1" w:styleId="25">
    <w:name w:val="2级标题 Char"/>
    <w:link w:val="24"/>
    <w:uiPriority w:val="0"/>
    <w:rPr>
      <w:rFonts w:ascii="黑体" w:hAnsi="黑体" w:eastAsia="黑体" w:cs="Times New Roman"/>
      <w:kern w:val="0"/>
      <w:sz w:val="32"/>
      <w:szCs w:val="36"/>
      <w:lang w:eastAsia="en-US" w:bidi="en-US"/>
    </w:rPr>
  </w:style>
  <w:style w:type="paragraph" w:customStyle="1" w:styleId="26">
    <w:name w:val="3级标题"/>
    <w:basedOn w:val="23"/>
    <w:link w:val="27"/>
    <w:qFormat/>
    <w:uiPriority w:val="0"/>
    <w:pPr>
      <w:keepLines/>
      <w:numPr>
        <w:ilvl w:val="2"/>
        <w:numId w:val="2"/>
      </w:numPr>
      <w:spacing w:line="360" w:lineRule="auto"/>
      <w:ind w:firstLineChars="0"/>
      <w:contextualSpacing/>
      <w:jc w:val="left"/>
      <w:outlineLvl w:val="2"/>
    </w:pPr>
    <w:rPr>
      <w:rFonts w:ascii="黑体" w:hAnsi="黑体" w:eastAsia="黑体" w:cs="Times New Roman"/>
      <w:kern w:val="0"/>
      <w:sz w:val="28"/>
      <w:szCs w:val="36"/>
      <w:lang w:eastAsia="en-US" w:bidi="en-US"/>
    </w:rPr>
  </w:style>
  <w:style w:type="character" w:customStyle="1" w:styleId="27">
    <w:name w:val="3级标题 Char"/>
    <w:link w:val="26"/>
    <w:uiPriority w:val="0"/>
    <w:rPr>
      <w:rFonts w:ascii="黑体" w:hAnsi="黑体" w:eastAsia="黑体" w:cs="Times New Roman"/>
      <w:kern w:val="0"/>
      <w:sz w:val="28"/>
      <w:szCs w:val="36"/>
      <w:lang w:eastAsia="en-US" w:bidi="en-US"/>
    </w:rPr>
  </w:style>
  <w:style w:type="paragraph" w:customStyle="1" w:styleId="28">
    <w:name w:val="4级标题"/>
    <w:basedOn w:val="23"/>
    <w:qFormat/>
    <w:uiPriority w:val="0"/>
    <w:pPr>
      <w:keepLines/>
      <w:numPr>
        <w:ilvl w:val="3"/>
        <w:numId w:val="2"/>
      </w:numPr>
      <w:tabs>
        <w:tab w:val="left" w:pos="360"/>
      </w:tabs>
      <w:spacing w:line="360" w:lineRule="auto"/>
      <w:ind w:firstLine="420" w:firstLineChars="0"/>
      <w:contextualSpacing/>
      <w:jc w:val="left"/>
      <w:outlineLvl w:val="3"/>
    </w:pPr>
    <w:rPr>
      <w:rFonts w:ascii="黑体" w:hAnsi="黑体" w:eastAsia="黑体" w:cs="Times New Roman"/>
      <w:kern w:val="0"/>
      <w:sz w:val="24"/>
      <w:szCs w:val="24"/>
      <w:lang w:eastAsia="en-US" w:bidi="en-US"/>
    </w:rPr>
  </w:style>
  <w:style w:type="character" w:customStyle="1" w:styleId="29">
    <w:name w:val="批注文字 字符"/>
    <w:basedOn w:val="17"/>
    <w:link w:val="11"/>
    <w:qFormat/>
    <w:uiPriority w:val="0"/>
  </w:style>
  <w:style w:type="character" w:customStyle="1" w:styleId="30">
    <w:name w:val="批注框文本 字符"/>
    <w:basedOn w:val="17"/>
    <w:link w:val="12"/>
    <w:semiHidden/>
    <w:uiPriority w:val="99"/>
    <w:rPr>
      <w:sz w:val="18"/>
      <w:szCs w:val="18"/>
    </w:rPr>
  </w:style>
  <w:style w:type="character" w:customStyle="1" w:styleId="31">
    <w:name w:val="批注主题 字符"/>
    <w:basedOn w:val="29"/>
    <w:link w:val="15"/>
    <w:semiHidden/>
    <w:qFormat/>
    <w:uiPriority w:val="99"/>
    <w:rPr>
      <w:b/>
      <w:bCs/>
    </w:rPr>
  </w:style>
  <w:style w:type="character" w:customStyle="1" w:styleId="32">
    <w:name w:val="标题 1 字符"/>
    <w:basedOn w:val="17"/>
    <w:link w:val="2"/>
    <w:qFormat/>
    <w:uiPriority w:val="0"/>
    <w:rPr>
      <w:rFonts w:ascii="黑体" w:hAnsi="黑体" w:eastAsia="黑体" w:cs="宋体"/>
      <w:bCs/>
      <w:kern w:val="0"/>
      <w:sz w:val="44"/>
      <w:szCs w:val="44"/>
    </w:rPr>
  </w:style>
  <w:style w:type="character" w:customStyle="1" w:styleId="33">
    <w:name w:val="标题 2 字符"/>
    <w:basedOn w:val="17"/>
    <w:link w:val="3"/>
    <w:qFormat/>
    <w:uiPriority w:val="0"/>
    <w:rPr>
      <w:rFonts w:ascii="Times New Roman" w:hAnsi="Times New Roman" w:eastAsia="黑体" w:cs="宋体"/>
      <w:bCs/>
      <w:sz w:val="36"/>
      <w:szCs w:val="36"/>
      <w:lang w:val="zh-CN" w:eastAsia="zh-CN"/>
    </w:rPr>
  </w:style>
  <w:style w:type="character" w:customStyle="1" w:styleId="34">
    <w:name w:val="标题 3 字符"/>
    <w:basedOn w:val="17"/>
    <w:link w:val="4"/>
    <w:qFormat/>
    <w:uiPriority w:val="0"/>
    <w:rPr>
      <w:rFonts w:ascii="Times New Roman" w:hAnsi="Times New Roman" w:eastAsia="黑体" w:cs="宋体"/>
      <w:bCs/>
      <w:sz w:val="32"/>
      <w:szCs w:val="32"/>
      <w:lang w:val="zh-CN"/>
    </w:rPr>
  </w:style>
  <w:style w:type="character" w:customStyle="1" w:styleId="35">
    <w:name w:val="标题 4 字符"/>
    <w:basedOn w:val="17"/>
    <w:link w:val="5"/>
    <w:qFormat/>
    <w:uiPriority w:val="0"/>
    <w:rPr>
      <w:rFonts w:ascii="Times New Roman" w:hAnsi="Times New Roman" w:eastAsia="黑体" w:cs="宋体"/>
      <w:bCs/>
      <w:sz w:val="30"/>
      <w:szCs w:val="28"/>
      <w:lang w:val="zh-CN" w:eastAsia="zh-CN"/>
    </w:rPr>
  </w:style>
  <w:style w:type="character" w:customStyle="1" w:styleId="36">
    <w:name w:val="标题 5 字符"/>
    <w:basedOn w:val="17"/>
    <w:link w:val="6"/>
    <w:qFormat/>
    <w:uiPriority w:val="0"/>
    <w:rPr>
      <w:rFonts w:ascii="Times New Roman" w:hAnsi="Times New Roman" w:eastAsia="黑体" w:cs="宋体"/>
      <w:bCs/>
      <w:sz w:val="28"/>
      <w:szCs w:val="28"/>
    </w:rPr>
  </w:style>
  <w:style w:type="character" w:customStyle="1" w:styleId="37">
    <w:name w:val="标题 6 字符"/>
    <w:basedOn w:val="17"/>
    <w:link w:val="7"/>
    <w:uiPriority w:val="0"/>
    <w:rPr>
      <w:rFonts w:ascii="Times New Roman" w:hAnsi="Times New Roman" w:eastAsia="黑体" w:cs="宋体"/>
      <w:b/>
      <w:bCs/>
      <w:sz w:val="24"/>
      <w:szCs w:val="20"/>
    </w:rPr>
  </w:style>
  <w:style w:type="character" w:customStyle="1" w:styleId="38">
    <w:name w:val="标题 7 字符"/>
    <w:basedOn w:val="17"/>
    <w:link w:val="8"/>
    <w:uiPriority w:val="0"/>
    <w:rPr>
      <w:rFonts w:ascii="Times New Roman" w:hAnsi="Times New Roman" w:eastAsia="宋体" w:cs="宋体"/>
      <w:bCs/>
      <w:sz w:val="24"/>
      <w:szCs w:val="24"/>
      <w:lang w:eastAsia="en-US"/>
    </w:rPr>
  </w:style>
  <w:style w:type="character" w:customStyle="1" w:styleId="39">
    <w:name w:val="标题 8 字符"/>
    <w:basedOn w:val="17"/>
    <w:link w:val="9"/>
    <w:uiPriority w:val="0"/>
    <w:rPr>
      <w:rFonts w:ascii="Cambria" w:hAnsi="Cambria" w:eastAsia="宋体" w:cs="Times New Roman"/>
      <w:sz w:val="24"/>
      <w:szCs w:val="24"/>
      <w:lang w:eastAsia="en-US"/>
    </w:rPr>
  </w:style>
  <w:style w:type="character" w:customStyle="1" w:styleId="40">
    <w:name w:val="标题 9 字符"/>
    <w:basedOn w:val="17"/>
    <w:link w:val="10"/>
    <w:uiPriority w:val="0"/>
    <w:rPr>
      <w:rFonts w:ascii="Cambria" w:hAnsi="Cambria" w:eastAsia="宋体" w:cs="Times New Roman"/>
      <w:szCs w:val="21"/>
      <w:lang w:eastAsia="en-US"/>
    </w:rPr>
  </w:style>
  <w:style w:type="character" w:customStyle="1" w:styleId="41">
    <w:name w:val="样式 首行缩进:  0 字符 Char"/>
    <w:link w:val="21"/>
    <w:qFormat/>
    <w:locked/>
    <w:uiPriority w:val="0"/>
    <w:rPr>
      <w:rFonts w:ascii="Times New Roman" w:hAnsi="Times New Roman" w:eastAsia="宋体" w:cs="宋体"/>
      <w:sz w:val="24"/>
      <w:szCs w:val="20"/>
    </w:rPr>
  </w:style>
  <w:style w:type="paragraph" w:customStyle="1" w:styleId="42">
    <w:name w:val="正文（1）"/>
    <w:basedOn w:val="1"/>
    <w:link w:val="43"/>
    <w:qFormat/>
    <w:uiPriority w:val="0"/>
    <w:pPr>
      <w:numPr>
        <w:ilvl w:val="0"/>
        <w:numId w:val="3"/>
      </w:numPr>
      <w:spacing w:line="360" w:lineRule="auto"/>
    </w:pPr>
    <w:rPr>
      <w:rFonts w:ascii="Times New Roman" w:hAnsi="Times New Roman" w:eastAsia="宋体"/>
      <w:sz w:val="24"/>
      <w:szCs w:val="21"/>
    </w:rPr>
  </w:style>
  <w:style w:type="character" w:customStyle="1" w:styleId="43">
    <w:name w:val="正文（1） Char"/>
    <w:link w:val="42"/>
    <w:uiPriority w:val="0"/>
    <w:rPr>
      <w:rFonts w:ascii="Times New Roman" w:hAnsi="Times New Roman" w:eastAsia="宋体"/>
      <w:sz w:val="24"/>
      <w:szCs w:val="21"/>
    </w:rPr>
  </w:style>
  <w:style w:type="paragraph" w:customStyle="1" w:styleId="44">
    <w:name w:val="正文1）"/>
    <w:basedOn w:val="42"/>
    <w:qFormat/>
    <w:uiPriority w:val="0"/>
    <w:pPr>
      <w:numPr>
        <w:ilvl w:val="1"/>
      </w:numPr>
      <w:tabs>
        <w:tab w:val="left" w:pos="360"/>
      </w:tabs>
    </w:pPr>
  </w:style>
  <w:style w:type="character" w:customStyle="1" w:styleId="45">
    <w:name w:val="着重标记"/>
    <w:qFormat/>
    <w:uiPriority w:val="0"/>
    <w:rPr>
      <w:shd w:val="clear" w:color="auto" w:fill="FFC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748</Words>
  <Characters>4269</Characters>
  <Lines>35</Lines>
  <Paragraphs>10</Paragraphs>
  <TotalTime>9</TotalTime>
  <ScaleCrop>false</ScaleCrop>
  <LinksUpToDate>false</LinksUpToDate>
  <CharactersWithSpaces>5007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2021-05-18T01:07:00Z</dcterms:created>
  <dc:creator>牟燕瓴</dc:creator>
  <cp:lastModifiedBy>风</cp:lastModifiedBy>
  <dcterms:modified xsi:type="dcterms:W3CDTF">2021-08-30T07:54:46Z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5FF32580ADB84A39897FD8045A3A03B5</vt:lpwstr>
  </property>
</Properties>
</file>