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hAnsi="黑体" w:eastAsia="黑体"/>
          <w:sz w:val="44"/>
          <w:szCs w:val="44"/>
        </w:rPr>
      </w:pPr>
      <w:r>
        <w:rPr>
          <w:rFonts w:hint="eastAsia" w:ascii="黑体" w:hAnsi="黑体" w:eastAsia="黑体"/>
          <w:sz w:val="44"/>
          <w:szCs w:val="44"/>
        </w:rPr>
        <w:t>国家税务总局安顺市税务局“直播间”</w:t>
      </w:r>
    </w:p>
    <w:p>
      <w:pPr>
        <w:jc w:val="center"/>
        <w:rPr>
          <w:rFonts w:ascii="黑体" w:hAnsi="黑体" w:eastAsia="黑体"/>
          <w:sz w:val="44"/>
          <w:szCs w:val="44"/>
        </w:rPr>
      </w:pPr>
      <w:r>
        <w:rPr>
          <w:rFonts w:hint="eastAsia" w:ascii="黑体" w:hAnsi="黑体" w:eastAsia="黑体"/>
          <w:sz w:val="44"/>
          <w:szCs w:val="44"/>
        </w:rPr>
        <w:t>音视频设备及控制系统采购项目在线竞价文件</w:t>
      </w:r>
    </w:p>
    <w:p>
      <w:pPr>
        <w:pStyle w:val="2"/>
      </w:pPr>
    </w:p>
    <w:p>
      <w:pPr>
        <w:pStyle w:val="8"/>
        <w:numPr>
          <w:ilvl w:val="0"/>
          <w:numId w:val="1"/>
        </w:numPr>
        <w:adjustRightInd w:val="0"/>
        <w:snapToGrid w:val="0"/>
        <w:spacing w:line="312" w:lineRule="auto"/>
        <w:ind w:firstLine="0" w:firstLineChars="0"/>
        <w:jc w:val="left"/>
        <w:rPr>
          <w:rFonts w:ascii="仿宋" w:hAnsi="仿宋" w:eastAsia="仿宋"/>
          <w:b/>
          <w:sz w:val="30"/>
          <w:szCs w:val="30"/>
        </w:rPr>
      </w:pPr>
      <w:r>
        <w:rPr>
          <w:rFonts w:hint="eastAsia" w:ascii="仿宋" w:hAnsi="仿宋" w:eastAsia="仿宋"/>
          <w:b/>
          <w:sz w:val="30"/>
          <w:szCs w:val="30"/>
        </w:rPr>
        <w:t>采购单位：国家税务总局安顺市税务局</w:t>
      </w:r>
    </w:p>
    <w:p>
      <w:pPr>
        <w:pStyle w:val="8"/>
        <w:adjustRightInd w:val="0"/>
        <w:snapToGrid w:val="0"/>
        <w:spacing w:line="312" w:lineRule="auto"/>
        <w:ind w:firstLine="0" w:firstLineChars="0"/>
        <w:jc w:val="left"/>
        <w:rPr>
          <w:rFonts w:ascii="仿宋" w:hAnsi="仿宋" w:eastAsia="仿宋"/>
          <w:b/>
          <w:sz w:val="30"/>
          <w:szCs w:val="30"/>
        </w:rPr>
      </w:pPr>
      <w:r>
        <w:rPr>
          <w:rFonts w:hint="eastAsia" w:ascii="仿宋" w:hAnsi="仿宋" w:eastAsia="仿宋"/>
          <w:b/>
          <w:sz w:val="30"/>
          <w:szCs w:val="30"/>
        </w:rPr>
        <w:t>二、项目名称：国家税务总局安顺市税务局“直播间”音视频设备及控制系统采购项目</w:t>
      </w:r>
    </w:p>
    <w:p>
      <w:pPr>
        <w:rPr>
          <w:rFonts w:ascii="仿宋" w:hAnsi="仿宋" w:eastAsia="仿宋"/>
          <w:b/>
          <w:sz w:val="30"/>
          <w:szCs w:val="30"/>
        </w:rPr>
      </w:pPr>
      <w:r>
        <w:rPr>
          <w:rFonts w:hint="eastAsia" w:ascii="仿宋" w:hAnsi="仿宋" w:eastAsia="仿宋"/>
          <w:b/>
          <w:sz w:val="30"/>
          <w:szCs w:val="30"/>
        </w:rPr>
        <w:t>三、采购商务要求及设备指标参数要求</w:t>
      </w:r>
    </w:p>
    <w:p>
      <w:pPr>
        <w:jc w:val="left"/>
        <w:rPr>
          <w:b/>
          <w:bCs/>
          <w:sz w:val="32"/>
          <w:szCs w:val="32"/>
        </w:rPr>
      </w:pPr>
      <w:r>
        <w:rPr>
          <w:rFonts w:hint="eastAsia"/>
          <w:b/>
          <w:bCs/>
          <w:sz w:val="32"/>
          <w:szCs w:val="32"/>
        </w:rPr>
        <w:t>3.1、在线竞价采购商务要求</w:t>
      </w:r>
    </w:p>
    <w:p>
      <w:pPr>
        <w:numPr>
          <w:ilvl w:val="0"/>
          <w:numId w:val="2"/>
        </w:numPr>
        <w:spacing w:line="360" w:lineRule="auto"/>
        <w:ind w:firstLine="480"/>
        <w:rPr>
          <w:sz w:val="24"/>
        </w:rPr>
      </w:pPr>
      <w:r>
        <w:rPr>
          <w:rFonts w:hint="eastAsia"/>
          <w:sz w:val="24"/>
        </w:rPr>
        <w:t>本项目在线竞价响应供应商须是符合《中华人民共和国政府采购法》第二十二条的规定，符合《关于规范政府采购供应商资格设定及资格审查的通知》第六条规定且已在政采云税务采购网系统注册并通过资质初审的供应商。</w:t>
      </w:r>
    </w:p>
    <w:p>
      <w:pPr>
        <w:numPr>
          <w:ilvl w:val="0"/>
          <w:numId w:val="2"/>
        </w:numPr>
        <w:spacing w:line="360" w:lineRule="auto"/>
        <w:ind w:firstLine="480"/>
        <w:rPr>
          <w:rFonts w:hint="eastAsia"/>
          <w:sz w:val="24"/>
        </w:rPr>
      </w:pPr>
      <w:r>
        <w:rPr>
          <w:rFonts w:hint="eastAsia"/>
          <w:sz w:val="24"/>
        </w:rPr>
        <w:t>竞价响应供应商须认真审核在线竞价采购文件所有要求，如明知不满足采购文件要求进行恶意竞争的，将根据《政采云平台电子卖场权益维护及纠纷处理规则》和政府采购相关规定，报财政部门、国家税务总局处理，涉嫌犯罪的，移送司法机关处理。请供应商在响应报价前仔细评估自身履约能力，谢绝恶意低价、不按要求报价、中标后无故放弃、不按合同履行等违约行为。对出现此类行为的预成交供应商，将根据在线询价违约处理规则，依法依规提请政采云平台进行处罚，处罚内容包括停止推送报价信息、禁止报价、协议暂停、罚款、诚信体系中记录不良行为或黑名单等，记入政府采购诚信档案。</w:t>
      </w:r>
    </w:p>
    <w:p>
      <w:pPr>
        <w:numPr>
          <w:ilvl w:val="0"/>
          <w:numId w:val="2"/>
        </w:numPr>
        <w:spacing w:line="360" w:lineRule="auto"/>
        <w:ind w:firstLine="480"/>
        <w:rPr>
          <w:rFonts w:hint="eastAsia"/>
          <w:sz w:val="24"/>
        </w:rPr>
      </w:pPr>
      <w:r>
        <w:rPr>
          <w:rFonts w:hint="eastAsia"/>
          <w:sz w:val="24"/>
        </w:rPr>
        <w:t>本项目控制总价为</w:t>
      </w:r>
      <w:r>
        <w:rPr>
          <w:rFonts w:hint="eastAsia"/>
          <w:sz w:val="24"/>
          <w:lang w:eastAsia="zh-CN"/>
        </w:rPr>
        <w:t>（含税）</w:t>
      </w:r>
      <w:r>
        <w:rPr>
          <w:rFonts w:hint="eastAsia"/>
          <w:sz w:val="24"/>
          <w:lang w:val="en-US" w:eastAsia="zh-CN"/>
        </w:rPr>
        <w:t>200,000.00</w:t>
      </w:r>
      <w:r>
        <w:rPr>
          <w:rFonts w:hint="eastAsia"/>
          <w:sz w:val="24"/>
        </w:rPr>
        <w:t>元</w:t>
      </w:r>
      <w:r>
        <w:rPr>
          <w:rFonts w:hint="eastAsia"/>
          <w:sz w:val="24"/>
          <w:lang w:val="en-US" w:eastAsia="zh-CN"/>
        </w:rPr>
        <w:t xml:space="preserve"> </w:t>
      </w:r>
      <w:r>
        <w:rPr>
          <w:rFonts w:hint="eastAsia"/>
          <w:sz w:val="24"/>
          <w:lang w:eastAsia="zh-CN"/>
        </w:rPr>
        <w:t>以内</w:t>
      </w:r>
      <w:r>
        <w:rPr>
          <w:rFonts w:hint="eastAsia"/>
          <w:sz w:val="24"/>
        </w:rPr>
        <w:t>。</w:t>
      </w:r>
      <w:r>
        <w:rPr>
          <w:rFonts w:hint="eastAsia"/>
          <w:sz w:val="24"/>
          <w:lang w:eastAsia="zh-CN"/>
        </w:rPr>
        <w:t>（大写：贰拾万整以内）</w:t>
      </w:r>
    </w:p>
    <w:p>
      <w:pPr>
        <w:numPr>
          <w:ilvl w:val="0"/>
          <w:numId w:val="2"/>
        </w:numPr>
        <w:spacing w:line="360" w:lineRule="auto"/>
        <w:ind w:firstLine="480"/>
        <w:rPr>
          <w:color w:val="000000" w:themeColor="text1"/>
          <w:sz w:val="24"/>
          <w14:textFill>
            <w14:solidFill>
              <w14:schemeClr w14:val="tx1"/>
            </w14:solidFill>
          </w14:textFill>
        </w:rPr>
      </w:pPr>
      <w:r>
        <w:rPr>
          <w:rFonts w:hint="eastAsia"/>
          <w:sz w:val="24"/>
        </w:rPr>
        <w:t>本项目涉及重新装修部分，请供应商竞价前务必前往现场了解勘探，取得由采购单位出具的《现场勘察证明函》。竞价单位在响应报价时必须同时</w:t>
      </w:r>
      <w:r>
        <w:rPr>
          <w:sz w:val="24"/>
        </w:rPr>
        <w:t>上传采购方盖鲜章</w:t>
      </w:r>
      <w:r>
        <w:rPr>
          <w:rFonts w:hint="eastAsia"/>
          <w:sz w:val="24"/>
        </w:rPr>
        <w:t>的《现场勘察证明函》（电子扫描</w:t>
      </w:r>
      <w:r>
        <w:rPr>
          <w:sz w:val="24"/>
        </w:rPr>
        <w:t>件</w:t>
      </w:r>
      <w:r>
        <w:rPr>
          <w:rFonts w:hint="eastAsia"/>
          <w:sz w:val="24"/>
        </w:rPr>
        <w:t>），否则视为没有实质性响应竞价。</w:t>
      </w:r>
      <w:r>
        <w:rPr>
          <w:rFonts w:hint="eastAsia"/>
          <w:color w:val="000000" w:themeColor="text1"/>
          <w:sz w:val="24"/>
          <w14:textFill>
            <w14:solidFill>
              <w14:schemeClr w14:val="tx1"/>
            </w14:solidFill>
          </w14:textFill>
        </w:rPr>
        <w:t>采购单位联系人：</w:t>
      </w:r>
      <w:r>
        <w:rPr>
          <w:rFonts w:hint="eastAsia"/>
          <w:color w:val="000000" w:themeColor="text1"/>
          <w:sz w:val="24"/>
          <w:lang w:val="en-US" w:eastAsia="zh-CN"/>
          <w14:textFill>
            <w14:solidFill>
              <w14:schemeClr w14:val="tx1"/>
            </w14:solidFill>
          </w14:textFill>
        </w:rPr>
        <w:t>周鲲</w:t>
      </w:r>
      <w:r>
        <w:rPr>
          <w:rFonts w:hint="eastAsia"/>
          <w:color w:val="000000" w:themeColor="text1"/>
          <w:sz w:val="24"/>
          <w14:textFill>
            <w14:solidFill>
              <w14:schemeClr w14:val="tx1"/>
            </w14:solidFill>
          </w14:textFill>
        </w:rPr>
        <w:t>（联系电话：</w:t>
      </w:r>
      <w:r>
        <w:rPr>
          <w:rFonts w:hint="eastAsia"/>
          <w:color w:val="000000" w:themeColor="text1"/>
          <w:sz w:val="24"/>
          <w:lang w:val="en-US" w:eastAsia="zh-CN"/>
          <w14:textFill>
            <w14:solidFill>
              <w14:schemeClr w14:val="tx1"/>
            </w14:solidFill>
          </w14:textFill>
        </w:rPr>
        <w:t>13765359922</w:t>
      </w:r>
      <w:r>
        <w:rPr>
          <w:rFonts w:hint="eastAsia"/>
          <w:color w:val="000000" w:themeColor="text1"/>
          <w:sz w:val="24"/>
          <w14:textFill>
            <w14:solidFill>
              <w14:schemeClr w14:val="tx1"/>
            </w14:solidFill>
          </w14:textFill>
        </w:rPr>
        <w:t>）；现场勘察联系人：</w:t>
      </w:r>
      <w:r>
        <w:rPr>
          <w:rFonts w:hint="eastAsia"/>
          <w:color w:val="000000" w:themeColor="text1"/>
          <w:sz w:val="24"/>
          <w:lang w:eastAsia="zh-CN"/>
          <w14:textFill>
            <w14:solidFill>
              <w14:schemeClr w14:val="tx1"/>
            </w14:solidFill>
          </w14:textFill>
        </w:rPr>
        <w:t>周鲲</w:t>
      </w:r>
      <w:r>
        <w:rPr>
          <w:rFonts w:hint="eastAsia"/>
          <w:color w:val="000000" w:themeColor="text1"/>
          <w:sz w:val="24"/>
          <w14:textFill>
            <w14:solidFill>
              <w14:schemeClr w14:val="tx1"/>
            </w14:solidFill>
          </w14:textFill>
        </w:rPr>
        <w:t>（联系电话：</w:t>
      </w:r>
      <w:r>
        <w:rPr>
          <w:rFonts w:hint="eastAsia"/>
          <w:color w:val="000000" w:themeColor="text1"/>
          <w:sz w:val="24"/>
          <w:lang w:val="en-US" w:eastAsia="zh-CN"/>
          <w14:textFill>
            <w14:solidFill>
              <w14:schemeClr w14:val="tx1"/>
            </w14:solidFill>
          </w14:textFill>
        </w:rPr>
        <w:t>13765359922</w:t>
      </w:r>
      <w:r>
        <w:rPr>
          <w:rFonts w:hint="eastAsia"/>
          <w:color w:val="000000" w:themeColor="text1"/>
          <w:sz w:val="24"/>
          <w14:textFill>
            <w14:solidFill>
              <w14:schemeClr w14:val="tx1"/>
            </w14:solidFill>
          </w14:textFill>
        </w:rPr>
        <w:t>），采购单位</w:t>
      </w:r>
      <w:r>
        <w:rPr>
          <w:rFonts w:hint="eastAsia"/>
          <w:color w:val="000000" w:themeColor="text1"/>
          <w:sz w:val="24"/>
          <w:lang w:eastAsia="zh-CN"/>
          <w14:textFill>
            <w14:solidFill>
              <w14:schemeClr w14:val="tx1"/>
            </w14:solidFill>
          </w14:textFill>
        </w:rPr>
        <w:t>办公</w:t>
      </w:r>
      <w:r>
        <w:rPr>
          <w:rFonts w:hint="eastAsia"/>
          <w:color w:val="000000" w:themeColor="text1"/>
          <w:sz w:val="24"/>
          <w14:textFill>
            <w14:solidFill>
              <w14:schemeClr w14:val="tx1"/>
            </w14:solidFill>
          </w14:textFill>
        </w:rPr>
        <w:t>地址：国家税务总局安顺市税务局（贵州省安顺市西秀区龙泉路11号）。</w:t>
      </w:r>
      <w:r>
        <w:rPr>
          <w:color w:val="000000" w:themeColor="text1"/>
          <w:sz w:val="24"/>
          <w14:textFill>
            <w14:solidFill>
              <w14:schemeClr w14:val="tx1"/>
            </w14:solidFill>
          </w14:textFill>
        </w:rPr>
        <w:t>现场</w:t>
      </w:r>
      <w:r>
        <w:rPr>
          <w:rFonts w:hint="eastAsia"/>
          <w:color w:val="000000" w:themeColor="text1"/>
          <w:sz w:val="24"/>
          <w14:textFill>
            <w14:solidFill>
              <w14:schemeClr w14:val="tx1"/>
            </w14:solidFill>
          </w14:textFill>
        </w:rPr>
        <w:t>勘察</w:t>
      </w:r>
      <w:r>
        <w:rPr>
          <w:color w:val="000000" w:themeColor="text1"/>
          <w:sz w:val="24"/>
          <w14:textFill>
            <w14:solidFill>
              <w14:schemeClr w14:val="tx1"/>
            </w14:solidFill>
          </w14:textFill>
        </w:rPr>
        <w:t>时间：竞价公告发出之日至竞价结束之日期间的正常办公时间</w:t>
      </w:r>
      <w:r>
        <w:rPr>
          <w:rFonts w:hint="eastAsia"/>
          <w:color w:val="000000" w:themeColor="text1"/>
          <w:sz w:val="24"/>
          <w14:textFill>
            <w14:solidFill>
              <w14:schemeClr w14:val="tx1"/>
            </w14:solidFill>
          </w14:textFill>
        </w:rPr>
        <w:t>。</w:t>
      </w:r>
    </w:p>
    <w:p>
      <w:pPr>
        <w:numPr>
          <w:ilvl w:val="0"/>
          <w:numId w:val="2"/>
        </w:numPr>
        <w:spacing w:line="360" w:lineRule="auto"/>
        <w:ind w:firstLine="480"/>
        <w:rPr>
          <w:sz w:val="24"/>
        </w:rPr>
      </w:pPr>
      <w:r>
        <w:rPr>
          <w:rFonts w:hint="eastAsia"/>
          <w:sz w:val="24"/>
        </w:rPr>
        <w:t>竞价响应供应商须按照采购需求确保其所提供的产品为符合生产厂家正规渠道的原装正品。为保证产品为原装正品，本次竞价供应商须在竞价同时通过附件向采购单位提供产品主要技术参数证明文件，否则视为无效报价。</w:t>
      </w:r>
    </w:p>
    <w:p>
      <w:pPr>
        <w:numPr>
          <w:ilvl w:val="0"/>
          <w:numId w:val="2"/>
        </w:numPr>
        <w:spacing w:line="360" w:lineRule="auto"/>
        <w:rPr>
          <w:sz w:val="24"/>
        </w:rPr>
      </w:pPr>
      <w:r>
        <w:rPr>
          <w:rFonts w:hint="eastAsia"/>
          <w:sz w:val="24"/>
        </w:rPr>
        <w:t>本项目所采购设备需提供不少于3年原厂维保服务，第一年内设备若遇到</w:t>
      </w:r>
      <w:bookmarkStart w:id="0" w:name="_GoBack"/>
      <w:bookmarkEnd w:id="0"/>
      <w:r>
        <w:rPr>
          <w:rFonts w:hint="eastAsia"/>
          <w:sz w:val="24"/>
        </w:rPr>
        <w:t>故障，需更换全新同档次或以上设备替代。提供不低于以下故障保修服务：提供7*24小时技术支持服务。一小时到达现场，两个小时内解决问题，若未能解决问题，则1个工作日内免费提供备机。本次竞价供应商须在竞价同时向采购单位提交售后服务承诺函，否则可视为竞价不符合技术指标要求，属实质性不响应，采购人有权按照无效标处理。</w:t>
      </w:r>
    </w:p>
    <w:p>
      <w:pPr>
        <w:numPr>
          <w:ilvl w:val="0"/>
          <w:numId w:val="2"/>
        </w:numPr>
        <w:spacing w:line="360" w:lineRule="auto"/>
        <w:rPr>
          <w:sz w:val="24"/>
        </w:rPr>
      </w:pPr>
      <w:r>
        <w:rPr>
          <w:rFonts w:hint="eastAsia"/>
          <w:sz w:val="24"/>
        </w:rPr>
        <w:t>供应商所提供的产品及配件必须是原厂原包装全新正品，产品质量符合国家相关标准及安全规范。供应商须对采购文件要求的技术参数逐一测试，不满足技术要求的货物将被拒收。需提供原厂工程师免费设备集成安装、调试、服务等，设备安装调试完毕后，采购单位组织对整个系统进行验收，检查是否达到合同规定的要求。验收时无法达到规定标准的，采购方可作为作废竞价成交结果处理，并按规定对供应商予以处罚和进行网上通报处理。验收时厂家代表必须在场，否则不予验收。</w:t>
      </w:r>
    </w:p>
    <w:p>
      <w:pPr>
        <w:numPr>
          <w:ilvl w:val="0"/>
          <w:numId w:val="2"/>
        </w:numPr>
        <w:spacing w:line="360" w:lineRule="auto"/>
        <w:rPr>
          <w:sz w:val="24"/>
        </w:rPr>
      </w:pPr>
      <w:r>
        <w:rPr>
          <w:rFonts w:hint="eastAsia"/>
          <w:sz w:val="24"/>
          <w:lang w:eastAsia="zh-CN"/>
        </w:rPr>
        <w:t>本项目涉及直播间场地的重新装修，乙方要与直播间基装方做好沟通对接，提前与基装方确定设备安装所需预埋的各种音视频线路及其他电路，保证所有设备与基础装修的有效衔接。</w:t>
      </w:r>
    </w:p>
    <w:p>
      <w:pPr>
        <w:numPr>
          <w:ilvl w:val="0"/>
          <w:numId w:val="2"/>
        </w:numPr>
        <w:spacing w:line="360" w:lineRule="auto"/>
        <w:rPr>
          <w:sz w:val="24"/>
        </w:rPr>
      </w:pPr>
      <w:r>
        <w:rPr>
          <w:rFonts w:hint="eastAsia"/>
          <w:sz w:val="24"/>
        </w:rPr>
        <w:t>乙方在签订合同前提供原厂针对本项目出具的服务承诺函，承诺内容须包含本项目要求提供的原厂服务内容。合同签订后按照甲方要求期限内完成全部设备的到货、现场集成安装调试，并提供必要的辅材</w:t>
      </w:r>
      <w:r>
        <w:rPr>
          <w:rFonts w:hint="eastAsia"/>
          <w:sz w:val="24"/>
          <w:lang w:eastAsia="zh-CN"/>
        </w:rPr>
        <w:t>线材</w:t>
      </w:r>
      <w:r>
        <w:rPr>
          <w:rFonts w:hint="eastAsia"/>
          <w:sz w:val="24"/>
        </w:rPr>
        <w:t>，同时完成相关培训任务。</w:t>
      </w:r>
    </w:p>
    <w:p>
      <w:pPr>
        <w:numPr>
          <w:ilvl w:val="0"/>
          <w:numId w:val="2"/>
        </w:numPr>
        <w:spacing w:line="360" w:lineRule="auto"/>
        <w:rPr>
          <w:sz w:val="24"/>
        </w:rPr>
      </w:pPr>
      <w:r>
        <w:rPr>
          <w:rFonts w:hint="eastAsia"/>
          <w:sz w:val="24"/>
        </w:rPr>
        <w:t>商务及服务条款、技术参数内要求的相关资料、证书，竞价供应商须在报价同时向采购单位提供，否则按无效竞价处理。如中标人未能履行以下规定程序的，视为未实质性响应本项目采购需求，按税务采购网供应商管理办法处置 （1）投标产品未按照技术参数要求提供主要技术参数证明文件的；（2）技术参数或配置要求中需要提供的技术参数证明文件在签订合同前提交原件或原件复印件并加盖产品厂商公章进行核验；（3）无法按时供货；（4）由于投标人原因未在规定的时间内签订合同的。</w:t>
      </w:r>
    </w:p>
    <w:p>
      <w:pPr>
        <w:numPr>
          <w:ilvl w:val="0"/>
          <w:numId w:val="2"/>
        </w:numPr>
        <w:spacing w:line="360" w:lineRule="auto"/>
        <w:rPr>
          <w:sz w:val="24"/>
        </w:rPr>
      </w:pPr>
      <w:r>
        <w:rPr>
          <w:rFonts w:hint="eastAsia"/>
          <w:sz w:val="24"/>
        </w:rPr>
        <w:t>竞价设备参数指标不得低于附件中设备参数指标。</w:t>
      </w:r>
    </w:p>
    <w:p>
      <w:pPr>
        <w:numPr>
          <w:ilvl w:val="0"/>
          <w:numId w:val="2"/>
        </w:numPr>
        <w:spacing w:line="360" w:lineRule="auto"/>
        <w:rPr>
          <w:sz w:val="24"/>
        </w:rPr>
      </w:pPr>
      <w:r>
        <w:rPr>
          <w:rFonts w:hint="eastAsia"/>
          <w:sz w:val="24"/>
        </w:rPr>
        <w:t>本项目不接受超预算报价。</w:t>
      </w:r>
    </w:p>
    <w:p>
      <w:pPr>
        <w:numPr>
          <w:ilvl w:val="0"/>
          <w:numId w:val="2"/>
        </w:numPr>
        <w:spacing w:line="360" w:lineRule="auto"/>
        <w:rPr>
          <w:sz w:val="24"/>
        </w:rPr>
      </w:pPr>
      <w:r>
        <w:rPr>
          <w:rFonts w:hint="eastAsia"/>
          <w:sz w:val="24"/>
        </w:rPr>
        <w:t>本项目不接受联合体参加。</w:t>
      </w:r>
    </w:p>
    <w:p>
      <w:pPr>
        <w:numPr>
          <w:ilvl w:val="0"/>
          <w:numId w:val="2"/>
        </w:numPr>
        <w:spacing w:line="360" w:lineRule="auto"/>
        <w:rPr>
          <w:sz w:val="24"/>
        </w:rPr>
      </w:pPr>
      <w:r>
        <w:rPr>
          <w:rFonts w:hint="eastAsia"/>
          <w:sz w:val="24"/>
        </w:rPr>
        <w:t>供应商和所供产品必须全部满足技术和商务要求、服务条款和商务条件。合同签署后供应商不满足以上各项要求和指标，采购方有权终止合同，并且有权要求退赔。</w:t>
      </w:r>
    </w:p>
    <w:p>
      <w:pPr>
        <w:pStyle w:val="3"/>
        <w:rPr>
          <w:rFonts w:hint="eastAsia" w:ascii="宋体" w:hAnsi="宋体"/>
          <w:sz w:val="24"/>
        </w:rPr>
      </w:pPr>
      <w:r>
        <w:rPr>
          <w:rFonts w:hint="eastAsia"/>
          <w:sz w:val="24"/>
        </w:rPr>
        <w:t>十五、</w:t>
      </w:r>
      <w:r>
        <w:rPr>
          <w:rFonts w:hint="eastAsia" w:ascii="宋体" w:hAnsi="宋体"/>
          <w:sz w:val="24"/>
        </w:rPr>
        <w:t>本项目不得以任何形式转包分包，进场施工人员我单位将做进场人员资格审查，不合格当违约处理</w:t>
      </w:r>
      <w:r>
        <w:rPr>
          <w:rFonts w:hint="eastAsia" w:ascii="宋体" w:hAnsi="宋体"/>
          <w:sz w:val="24"/>
          <w:lang w:val="en-US" w:eastAsia="zh-CN"/>
        </w:rPr>
        <w:t>；具体权利义务以签订的合同约定为准</w:t>
      </w:r>
      <w:r>
        <w:rPr>
          <w:rFonts w:hint="eastAsia" w:ascii="宋体" w:hAnsi="宋体"/>
          <w:sz w:val="24"/>
        </w:rPr>
        <w:t>。</w:t>
      </w:r>
    </w:p>
    <w:p>
      <w:pPr>
        <w:pStyle w:val="2"/>
      </w:pPr>
    </w:p>
    <w:p/>
    <w:p>
      <w:pPr>
        <w:pStyle w:val="2"/>
      </w:pPr>
    </w:p>
    <w:p/>
    <w:p>
      <w:pPr>
        <w:pStyle w:val="2"/>
      </w:pPr>
    </w:p>
    <w:p/>
    <w:p>
      <w:pPr>
        <w:pStyle w:val="2"/>
      </w:pPr>
    </w:p>
    <w:p/>
    <w:p>
      <w:pPr>
        <w:pStyle w:val="2"/>
      </w:pPr>
    </w:p>
    <w:p/>
    <w:p>
      <w:pPr>
        <w:rPr>
          <w:b/>
          <w:bCs/>
          <w:sz w:val="32"/>
          <w:szCs w:val="32"/>
        </w:rPr>
      </w:pPr>
      <w:r>
        <w:rPr>
          <w:rFonts w:hint="eastAsia"/>
          <w:b/>
          <w:bCs/>
          <w:sz w:val="32"/>
          <w:szCs w:val="32"/>
        </w:rPr>
        <w:t>3.2、技术参数或配置要求</w:t>
      </w:r>
    </w:p>
    <w:tbl>
      <w:tblPr>
        <w:tblStyle w:val="6"/>
        <w:tblW w:w="14474" w:type="dxa"/>
        <w:tblInd w:w="93" w:type="dxa"/>
        <w:tblLayout w:type="fixed"/>
        <w:tblCellMar>
          <w:top w:w="0" w:type="dxa"/>
          <w:left w:w="108" w:type="dxa"/>
          <w:bottom w:w="0" w:type="dxa"/>
          <w:right w:w="108" w:type="dxa"/>
        </w:tblCellMar>
      </w:tblPr>
      <w:tblGrid>
        <w:gridCol w:w="747"/>
        <w:gridCol w:w="2610"/>
        <w:gridCol w:w="7998"/>
        <w:gridCol w:w="851"/>
        <w:gridCol w:w="567"/>
        <w:gridCol w:w="1701"/>
      </w:tblGrid>
      <w:tr>
        <w:tblPrEx>
          <w:tblCellMar>
            <w:top w:w="0" w:type="dxa"/>
            <w:left w:w="108" w:type="dxa"/>
            <w:bottom w:w="0" w:type="dxa"/>
            <w:right w:w="108" w:type="dxa"/>
          </w:tblCellMar>
        </w:tblPrEx>
        <w:trPr>
          <w:trHeight w:val="40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sz w:val="22"/>
                <w:szCs w:val="22"/>
              </w:rPr>
            </w:pPr>
            <w:r>
              <w:rPr>
                <w:rFonts w:hint="eastAsia" w:ascii="宋体" w:hAnsi="宋体" w:cs="宋体"/>
                <w:b/>
                <w:bCs/>
                <w:kern w:val="0"/>
                <w:sz w:val="22"/>
                <w:szCs w:val="22"/>
              </w:rPr>
              <w:t>序号</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sz w:val="22"/>
                <w:szCs w:val="22"/>
              </w:rPr>
            </w:pPr>
            <w:r>
              <w:rPr>
                <w:rFonts w:hint="eastAsia" w:ascii="宋体" w:hAnsi="宋体" w:cs="宋体"/>
                <w:b/>
                <w:bCs/>
                <w:kern w:val="0"/>
                <w:sz w:val="22"/>
                <w:szCs w:val="22"/>
              </w:rPr>
              <w:t>名称</w:t>
            </w:r>
          </w:p>
        </w:tc>
        <w:tc>
          <w:tcPr>
            <w:tcW w:w="7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sz w:val="22"/>
                <w:szCs w:val="22"/>
              </w:rPr>
            </w:pPr>
            <w:r>
              <w:rPr>
                <w:rFonts w:hint="eastAsia" w:ascii="宋体" w:hAnsi="宋体" w:cs="宋体"/>
                <w:b/>
                <w:bCs/>
                <w:kern w:val="0"/>
                <w:sz w:val="22"/>
                <w:szCs w:val="22"/>
              </w:rPr>
              <w:t>产品参数/需求</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sz w:val="22"/>
                <w:szCs w:val="22"/>
              </w:rPr>
            </w:pPr>
            <w:r>
              <w:rPr>
                <w:rFonts w:hint="eastAsia" w:ascii="宋体" w:hAnsi="宋体" w:cs="宋体"/>
                <w:b/>
                <w:bCs/>
                <w:kern w:val="0"/>
                <w:sz w:val="22"/>
                <w:szCs w:val="22"/>
              </w:rPr>
              <w:t>数量</w:t>
            </w:r>
          </w:p>
        </w:tc>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sz w:val="22"/>
                <w:szCs w:val="22"/>
              </w:rPr>
            </w:pPr>
            <w:r>
              <w:rPr>
                <w:rFonts w:hint="eastAsia" w:ascii="宋体" w:hAnsi="宋体" w:cs="宋体"/>
                <w:b/>
                <w:bCs/>
                <w:kern w:val="0"/>
                <w:sz w:val="22"/>
                <w:szCs w:val="22"/>
              </w:rPr>
              <w:t>单位</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b/>
                <w:bCs/>
                <w:kern w:val="0"/>
                <w:sz w:val="22"/>
                <w:szCs w:val="22"/>
              </w:rPr>
            </w:pPr>
            <w:r>
              <w:rPr>
                <w:rFonts w:hint="eastAsia" w:ascii="宋体" w:hAnsi="宋体" w:cs="宋体"/>
                <w:b/>
                <w:bCs/>
                <w:kern w:val="0"/>
                <w:sz w:val="22"/>
                <w:szCs w:val="22"/>
              </w:rPr>
              <w:t>备注</w:t>
            </w:r>
          </w:p>
        </w:tc>
      </w:tr>
      <w:tr>
        <w:tblPrEx>
          <w:tblCellMar>
            <w:top w:w="0" w:type="dxa"/>
            <w:left w:w="108" w:type="dxa"/>
            <w:bottom w:w="0" w:type="dxa"/>
            <w:right w:w="108" w:type="dxa"/>
          </w:tblCellMar>
        </w:tblPrEx>
        <w:trPr>
          <w:trHeight w:val="9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直播间整套灯光设备</w:t>
            </w:r>
          </w:p>
        </w:tc>
        <w:tc>
          <w:tcPr>
            <w:tcW w:w="7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整套灯光组合能满足直播、录播、拍视频的灯光需要</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顶装平板灯</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光照充足均匀，显色指数高于90%</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轮廓灯</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光照轮廓分明，突出主体，显色指数高于90%</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 xml:space="preserve">3.移动补光灯   </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供电：100v-240v~50/60Hz</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功率：不小于300W</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色温：2800k~6500k</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100%光照度（Lux）≈117000</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 xml:space="preserve">CRI：平均≥96 </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TLCI：平均≥97</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2.4GHz控制距离：≥50米</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控制方式：2.4Ghz控制/蓝牙APP控制/灯体控制</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 xml:space="preserve"> 显色性能佳，还原物体真实色彩，内置降噪模式无干扰</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套</w:t>
            </w:r>
          </w:p>
        </w:tc>
        <w:tc>
          <w:tcPr>
            <w:tcW w:w="1701" w:type="dxa"/>
            <w:tcBorders>
              <w:top w:val="single" w:color="000000" w:sz="4" w:space="0"/>
              <w:left w:val="single" w:color="000000" w:sz="4" w:space="0"/>
              <w:bottom w:val="single" w:color="000000" w:sz="4" w:space="0"/>
              <w:right w:val="single" w:color="000000" w:sz="4" w:space="0"/>
            </w:tcBorders>
          </w:tcPr>
          <w:p>
            <w:pPr>
              <w:jc w:val="left"/>
              <w:rPr>
                <w:rFonts w:hint="eastAsia" w:ascii="仿宋_GB2312" w:hAnsi="仿宋_GB2312" w:eastAsia="仿宋_GB2312" w:cs="仿宋_GB2312"/>
                <w:b w:val="0"/>
                <w:bCs w:val="0"/>
                <w:sz w:val="21"/>
                <w:szCs w:val="21"/>
              </w:rPr>
            </w:pPr>
          </w:p>
          <w:p>
            <w:pPr>
              <w:jc w:val="left"/>
              <w:rPr>
                <w:rFonts w:hint="eastAsia" w:ascii="仿宋_GB2312" w:hAnsi="仿宋_GB2312" w:eastAsia="仿宋_GB2312" w:cs="仿宋_GB2312"/>
                <w:b w:val="0"/>
                <w:bCs w:val="0"/>
                <w:sz w:val="21"/>
                <w:szCs w:val="21"/>
              </w:rPr>
            </w:pPr>
          </w:p>
          <w:p>
            <w:pPr>
              <w:jc w:val="left"/>
              <w:rPr>
                <w:rFonts w:hint="eastAsia" w:ascii="仿宋_GB2312" w:hAnsi="仿宋_GB2312" w:eastAsia="仿宋_GB2312" w:cs="仿宋_GB2312"/>
                <w:b w:val="0"/>
                <w:bCs w:val="0"/>
                <w:sz w:val="21"/>
                <w:szCs w:val="21"/>
              </w:rPr>
            </w:pPr>
          </w:p>
          <w:p>
            <w:pPr>
              <w:jc w:val="left"/>
              <w:rPr>
                <w:rFonts w:hint="eastAsia" w:ascii="仿宋_GB2312" w:hAnsi="仿宋_GB2312" w:eastAsia="仿宋_GB2312" w:cs="仿宋_GB2312"/>
                <w:b w:val="0"/>
                <w:bCs w:val="0"/>
                <w:sz w:val="21"/>
                <w:szCs w:val="21"/>
              </w:rPr>
            </w:pPr>
          </w:p>
          <w:p>
            <w:pPr>
              <w:jc w:val="left"/>
              <w:rPr>
                <w:rFonts w:hint="eastAsia" w:ascii="仿宋_GB2312" w:hAnsi="仿宋_GB2312" w:eastAsia="仿宋_GB2312" w:cs="仿宋_GB2312"/>
                <w:b w:val="0"/>
                <w:bCs w:val="0"/>
                <w:sz w:val="21"/>
                <w:szCs w:val="21"/>
              </w:rPr>
            </w:pPr>
          </w:p>
          <w:p>
            <w:pPr>
              <w:ind w:firstLine="210" w:firstLineChars="100"/>
              <w:jc w:val="left"/>
              <w:rPr>
                <w:rFonts w:hint="eastAsia" w:ascii="仿宋_GB2312" w:hAnsi="仿宋_GB2312" w:eastAsia="仿宋_GB2312" w:cs="仿宋_GB2312"/>
                <w:b w:val="0"/>
                <w:bCs w:val="0"/>
                <w:sz w:val="21"/>
                <w:szCs w:val="21"/>
              </w:rPr>
            </w:pPr>
          </w:p>
          <w:p>
            <w:pPr>
              <w:ind w:firstLine="210" w:firstLineChars="100"/>
              <w:jc w:val="left"/>
              <w:rPr>
                <w:rFonts w:hint="eastAsia" w:ascii="仿宋_GB2312" w:hAnsi="仿宋_GB2312" w:eastAsia="仿宋_GB2312" w:cs="仿宋_GB2312"/>
                <w:b w:val="0"/>
                <w:bCs w:val="0"/>
                <w:sz w:val="21"/>
                <w:szCs w:val="21"/>
              </w:rPr>
            </w:pPr>
          </w:p>
          <w:p>
            <w:pPr>
              <w:ind w:firstLine="210" w:firstLineChars="100"/>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提供满足顶装、移动</w:t>
            </w:r>
            <w:r>
              <w:rPr>
                <w:rFonts w:hint="eastAsia" w:ascii="仿宋_GB2312" w:hAnsi="仿宋_GB2312" w:eastAsia="仿宋_GB2312" w:cs="仿宋_GB2312"/>
                <w:b w:val="0"/>
                <w:bCs w:val="0"/>
                <w:sz w:val="21"/>
                <w:szCs w:val="21"/>
                <w:lang w:eastAsia="zh-CN"/>
              </w:rPr>
              <w:t>灯光</w:t>
            </w:r>
            <w:r>
              <w:rPr>
                <w:rFonts w:hint="eastAsia" w:ascii="仿宋_GB2312" w:hAnsi="仿宋_GB2312" w:eastAsia="仿宋_GB2312" w:cs="仿宋_GB2312"/>
                <w:b w:val="0"/>
                <w:bCs w:val="0"/>
                <w:sz w:val="21"/>
                <w:szCs w:val="21"/>
              </w:rPr>
              <w:t>等的支架配件并安装</w:t>
            </w:r>
          </w:p>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981"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bidi="ar"/>
              </w:rPr>
              <w:t>电动升降</w:t>
            </w:r>
            <w:r>
              <w:rPr>
                <w:rFonts w:hint="eastAsia" w:ascii="仿宋_GB2312" w:hAnsi="仿宋_GB2312" w:eastAsia="仿宋_GB2312" w:cs="仿宋_GB2312"/>
                <w:b w:val="0"/>
                <w:bCs w:val="0"/>
                <w:color w:val="000000"/>
                <w:kern w:val="0"/>
                <w:sz w:val="21"/>
                <w:szCs w:val="21"/>
                <w:lang w:eastAsia="zh-CN" w:bidi="ar"/>
              </w:rPr>
              <w:t>背景幕</w:t>
            </w:r>
          </w:p>
        </w:tc>
        <w:tc>
          <w:tcPr>
            <w:tcW w:w="7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2"/>
              <w:jc w:val="left"/>
              <w:rPr>
                <w:rFonts w:hint="eastAsia" w:ascii="仿宋_GB2312" w:hAnsi="仿宋_GB2312" w:eastAsia="仿宋_GB2312" w:cs="仿宋_GB2312"/>
                <w:b w:val="0"/>
                <w:bCs w:val="0"/>
                <w:sz w:val="21"/>
                <w:szCs w:val="21"/>
                <w:lang w:eastAsia="zh-CN"/>
              </w:rPr>
            </w:pPr>
            <w:r>
              <w:rPr>
                <w:rFonts w:hint="eastAsia" w:ascii="仿宋_GB2312" w:hAnsi="仿宋_GB2312" w:eastAsia="仿宋_GB2312" w:cs="仿宋_GB2312"/>
                <w:b w:val="0"/>
                <w:bCs w:val="0"/>
                <w:sz w:val="21"/>
                <w:szCs w:val="21"/>
              </w:rPr>
              <w:t>牛津布料，颜色纯正，静音电机，电动操控</w:t>
            </w:r>
            <w:r>
              <w:rPr>
                <w:rFonts w:hint="eastAsia" w:ascii="仿宋_GB2312" w:hAnsi="仿宋_GB2312" w:eastAsia="仿宋_GB2312" w:cs="仿宋_GB2312"/>
                <w:b w:val="0"/>
                <w:bCs w:val="0"/>
                <w:sz w:val="21"/>
                <w:szCs w:val="21"/>
                <w:lang w:eastAsia="zh-CN"/>
              </w:rPr>
              <w:t>，支持多轴多色，幕布可换</w:t>
            </w:r>
          </w:p>
          <w:p>
            <w:pPr>
              <w:pStyle w:val="2"/>
              <w:jc w:val="left"/>
              <w:rPr>
                <w:rFonts w:hint="eastAsia" w:ascii="仿宋_GB2312" w:hAnsi="仿宋_GB2312" w:eastAsia="仿宋_GB2312" w:cs="仿宋_GB2312"/>
                <w:b w:val="0"/>
                <w:bCs w:val="0"/>
                <w:sz w:val="21"/>
                <w:szCs w:val="21"/>
                <w:lang w:eastAsia="zh-CN"/>
              </w:rPr>
            </w:pPr>
            <w:r>
              <w:rPr>
                <w:rFonts w:hint="eastAsia" w:ascii="仿宋_GB2312" w:hAnsi="仿宋_GB2312" w:eastAsia="仿宋_GB2312" w:cs="仿宋_GB2312"/>
                <w:b w:val="0"/>
                <w:bCs w:val="0"/>
                <w:sz w:val="21"/>
                <w:szCs w:val="21"/>
              </w:rPr>
              <w:t>幕面尺寸能基本覆盖现成背景墙体（墙面尺寸：4.7*2.65M）</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套</w:t>
            </w:r>
          </w:p>
        </w:tc>
        <w:tc>
          <w:tcPr>
            <w:tcW w:w="1701" w:type="dxa"/>
            <w:tcBorders>
              <w:top w:val="single" w:color="000000" w:sz="4" w:space="0"/>
              <w:left w:val="single" w:color="000000" w:sz="4" w:space="0"/>
              <w:bottom w:val="single" w:color="000000" w:sz="4" w:space="0"/>
              <w:right w:val="single" w:color="000000" w:sz="4" w:space="0"/>
            </w:tcBorders>
          </w:tcPr>
          <w:p>
            <w:pPr>
              <w:jc w:val="left"/>
              <w:rPr>
                <w:rFonts w:hint="eastAsia"/>
                <w:lang w:eastAsia="zh-CN"/>
              </w:rPr>
            </w:pPr>
          </w:p>
          <w:p>
            <w:pPr>
              <w:pStyle w:val="2"/>
              <w:jc w:val="center"/>
              <w:rPr>
                <w:rFonts w:hint="eastAsia"/>
                <w:lang w:eastAsia="zh-CN"/>
              </w:rPr>
            </w:pPr>
          </w:p>
        </w:tc>
      </w:tr>
      <w:tr>
        <w:tblPrEx>
          <w:tblCellMar>
            <w:top w:w="0" w:type="dxa"/>
            <w:left w:w="108" w:type="dxa"/>
            <w:bottom w:w="0" w:type="dxa"/>
            <w:right w:w="108" w:type="dxa"/>
          </w:tblCellMar>
        </w:tblPrEx>
        <w:trPr>
          <w:trHeight w:val="667"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3</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eastAsia="zh-CN" w:bidi="ar"/>
              </w:rPr>
            </w:pPr>
            <w:r>
              <w:rPr>
                <w:rFonts w:hint="eastAsia" w:ascii="仿宋_GB2312" w:hAnsi="仿宋_GB2312" w:eastAsia="仿宋_GB2312" w:cs="仿宋_GB2312"/>
                <w:b w:val="0"/>
                <w:bCs w:val="0"/>
                <w:color w:val="000000"/>
                <w:kern w:val="0"/>
                <w:sz w:val="21"/>
                <w:szCs w:val="21"/>
                <w:lang w:eastAsia="zh-CN" w:bidi="ar"/>
              </w:rPr>
              <w:t>便携式移动绿幕</w:t>
            </w:r>
          </w:p>
        </w:tc>
        <w:tc>
          <w:tcPr>
            <w:tcW w:w="7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仿宋_GB2312" w:hAnsi="仿宋_GB2312" w:eastAsia="仿宋_GB2312" w:cs="仿宋_GB2312"/>
                <w:b w:val="0"/>
                <w:bCs w:val="0"/>
                <w:sz w:val="21"/>
                <w:szCs w:val="21"/>
                <w:lang w:eastAsia="zh-CN"/>
              </w:rPr>
            </w:pPr>
            <w:r>
              <w:rPr>
                <w:rFonts w:hint="eastAsia" w:ascii="仿宋_GB2312" w:hAnsi="仿宋_GB2312" w:eastAsia="仿宋_GB2312" w:cs="仿宋_GB2312"/>
                <w:b w:val="0"/>
                <w:bCs w:val="0"/>
                <w:sz w:val="21"/>
                <w:szCs w:val="21"/>
                <w:lang w:eastAsia="zh-CN"/>
              </w:rPr>
              <w:t>便携式免安装地拉式绿幕，</w:t>
            </w:r>
            <w:r>
              <w:rPr>
                <w:rFonts w:hint="eastAsia" w:ascii="仿宋_GB2312" w:hAnsi="仿宋_GB2312" w:eastAsia="仿宋_GB2312" w:cs="仿宋_GB2312"/>
                <w:b w:val="0"/>
                <w:bCs w:val="0"/>
                <w:sz w:val="21"/>
                <w:szCs w:val="21"/>
              </w:rPr>
              <w:t>牛津布料，颜色纯正，</w:t>
            </w:r>
            <w:r>
              <w:rPr>
                <w:rFonts w:hint="eastAsia" w:ascii="仿宋_GB2312" w:hAnsi="仿宋_GB2312" w:eastAsia="仿宋_GB2312" w:cs="仿宋_GB2312"/>
                <w:b w:val="0"/>
                <w:bCs w:val="0"/>
                <w:sz w:val="21"/>
                <w:szCs w:val="21"/>
                <w:lang w:eastAsia="zh-CN"/>
              </w:rPr>
              <w:t>金属底座，提拉高度任意选择，</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3米宽*2</w:t>
            </w:r>
            <w:r>
              <w:rPr>
                <w:rFonts w:hint="eastAsia" w:ascii="仿宋_GB2312" w:hAnsi="仿宋_GB2312" w:eastAsia="仿宋_GB2312" w:cs="仿宋_GB2312"/>
                <w:b w:val="0"/>
                <w:bCs w:val="0"/>
                <w:sz w:val="21"/>
                <w:szCs w:val="21"/>
                <w:lang w:val="en-US" w:eastAsia="zh-CN"/>
              </w:rPr>
              <w:t>.5</w:t>
            </w:r>
            <w:r>
              <w:rPr>
                <w:rFonts w:hint="eastAsia" w:ascii="仿宋_GB2312" w:hAnsi="仿宋_GB2312" w:eastAsia="仿宋_GB2312" w:cs="仿宋_GB2312"/>
                <w:b w:val="0"/>
                <w:bCs w:val="0"/>
                <w:sz w:val="21"/>
                <w:szCs w:val="21"/>
              </w:rPr>
              <w:t>米高</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1</w:t>
            </w:r>
          </w:p>
        </w:tc>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lang w:eastAsia="zh-CN"/>
              </w:rPr>
            </w:pPr>
            <w:r>
              <w:rPr>
                <w:rFonts w:hint="eastAsia" w:ascii="仿宋_GB2312" w:hAnsi="仿宋_GB2312" w:eastAsia="仿宋_GB2312" w:cs="仿宋_GB2312"/>
                <w:b w:val="0"/>
                <w:bCs w:val="0"/>
                <w:kern w:val="0"/>
                <w:sz w:val="21"/>
                <w:szCs w:val="21"/>
                <w:lang w:eastAsia="zh-CN"/>
              </w:rPr>
              <w:t>个</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5217"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台式声卡</w:t>
            </w:r>
          </w:p>
        </w:tc>
        <w:tc>
          <w:tcPr>
            <w:tcW w:w="7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支持蓝牙5.0连接；支持直播场景音效；</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供电类型:直流供电</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信噪比(D/A):103dB</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动态范围(D/A):101dB</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信噪比(A/D):100dB</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动态范围(A/D):98dB</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总谐波失真(D/A):-90dB</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总谐波失真(A/D):-88dB</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输入接口：</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3.5mm   4个</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48V话筒（卡侬）*1</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CTYPE-C  2个</w:t>
            </w:r>
          </w:p>
          <w:p>
            <w:pPr>
              <w:pStyle w:val="2"/>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输出接口：</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kern w:val="0"/>
                <w:sz w:val="21"/>
                <w:szCs w:val="21"/>
              </w:rPr>
              <w:t>3.5mm  1个</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6.35mm</w:t>
            </w:r>
            <w:r>
              <w:rPr>
                <w:rFonts w:hint="eastAsia" w:ascii="仿宋_GB2312" w:hAnsi="仿宋_GB2312" w:eastAsia="仿宋_GB2312" w:cs="仿宋_GB2312"/>
                <w:b w:val="0"/>
                <w:bCs w:val="0"/>
                <w:kern w:val="0"/>
                <w:sz w:val="21"/>
                <w:szCs w:val="21"/>
              </w:rPr>
              <w:t xml:space="preserve"> 1个</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个</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9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lang w:eastAsia="zh-CN"/>
              </w:rPr>
            </w:pPr>
            <w:r>
              <w:rPr>
                <w:rFonts w:hint="eastAsia" w:ascii="仿宋_GB2312" w:hAnsi="仿宋_GB2312" w:eastAsia="仿宋_GB2312" w:cs="仿宋_GB2312"/>
                <w:b w:val="0"/>
                <w:bCs w:val="0"/>
                <w:kern w:val="0"/>
                <w:sz w:val="21"/>
                <w:szCs w:val="21"/>
                <w:lang w:val="en-US" w:eastAsia="zh-CN"/>
              </w:rPr>
              <w:t>5</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调音台</w:t>
            </w:r>
          </w:p>
        </w:tc>
        <w:tc>
          <w:tcPr>
            <w:tcW w:w="7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四路输入</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一键混响；</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AUX内录功能；</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供电口Type-C；</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有效果器；</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单独通道静音；</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48V幻象供电通道；</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个</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611"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lang w:eastAsia="zh-CN"/>
              </w:rPr>
            </w:pPr>
            <w:r>
              <w:rPr>
                <w:rFonts w:hint="eastAsia" w:ascii="仿宋_GB2312" w:hAnsi="仿宋_GB2312" w:eastAsia="仿宋_GB2312" w:cs="仿宋_GB2312"/>
                <w:b w:val="0"/>
                <w:bCs w:val="0"/>
                <w:kern w:val="0"/>
                <w:sz w:val="21"/>
                <w:szCs w:val="21"/>
                <w:lang w:val="en-US" w:eastAsia="zh-CN"/>
              </w:rPr>
              <w:t>6</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多机位导播台</w:t>
            </w:r>
          </w:p>
        </w:tc>
        <w:tc>
          <w:tcPr>
            <w:tcW w:w="7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4路</w:t>
            </w:r>
            <w:r>
              <w:rPr>
                <w:rFonts w:hint="eastAsia" w:ascii="仿宋_GB2312" w:hAnsi="仿宋_GB2312" w:eastAsia="仿宋_GB2312" w:cs="仿宋_GB2312"/>
                <w:b w:val="0"/>
                <w:bCs w:val="0"/>
                <w:sz w:val="21"/>
                <w:szCs w:val="21"/>
              </w:rPr>
              <w:t>HDMI输入</w:t>
            </w:r>
            <w:r>
              <w:rPr>
                <w:rFonts w:hint="eastAsia" w:ascii="仿宋_GB2312" w:hAnsi="仿宋_GB2312" w:eastAsia="仿宋_GB2312" w:cs="仿宋_GB2312"/>
                <w:b w:val="0"/>
                <w:bCs w:val="0"/>
                <w:kern w:val="0"/>
                <w:sz w:val="21"/>
                <w:szCs w:val="21"/>
              </w:rPr>
              <w:t xml:space="preserve"> ；</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输出接口总数2</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辅助输出接口总数1</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音频输入接口总数2*3.5mm立体声小型插孔</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kern w:val="0"/>
                <w:sz w:val="21"/>
                <w:szCs w:val="21"/>
              </w:rPr>
              <w:t>4路</w:t>
            </w:r>
            <w:r>
              <w:rPr>
                <w:rFonts w:hint="eastAsia" w:ascii="仿宋_GB2312" w:hAnsi="仿宋_GB2312" w:eastAsia="仿宋_GB2312" w:cs="仿宋_GB2312"/>
                <w:b w:val="0"/>
                <w:bCs w:val="0"/>
                <w:sz w:val="21"/>
                <w:szCs w:val="21"/>
              </w:rPr>
              <w:t>HDMI A类 可以切换10bit HD 2通道嵌入式音频</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视频输入再同步 所有4路HDMI输入</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帧率和格式转换器  所有4路HDMI输入均配备</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HDMI节目输出  1</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有多画面分割功能，可显示4路摄影机、媒体、预监和节目画面以及记录、直播和音频状态。</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个</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2844"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7</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监听耳机</w:t>
            </w:r>
          </w:p>
        </w:tc>
        <w:tc>
          <w:tcPr>
            <w:tcW w:w="7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头戴式监听耳机</w:t>
            </w:r>
          </w:p>
          <w:p>
            <w:pPr>
              <w:widowControl/>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线长：3米</w:t>
            </w:r>
          </w:p>
          <w:p>
            <w:pPr>
              <w:pStyle w:val="2"/>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驱动单元：40mm动圈式</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输出功率：500mW</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最高输入功率：1000mW</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灵敏度：106dB/mW</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频率响应10~20000Hz</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抗阻：63ohms at 1kHz</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副</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40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8</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动圈手持麦克风</w:t>
            </w:r>
          </w:p>
        </w:tc>
        <w:tc>
          <w:tcPr>
            <w:tcW w:w="7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声学原理：Dynamic</w:t>
            </w:r>
          </w:p>
          <w:p>
            <w:pPr>
              <w:widowControl/>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频率范围：75Hz - 18kHz</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输出阻抗：320Ω</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灵敏度：-56.0dB re 1 Volt/Pascal (1.60mV @ 94 dB SPL) +/- 2 dB @ 1kHz</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等效噪音水平(A-加权)：360.00gm</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等效噪音水平(A-加权)：171.00mmH x51.50mmW x51.50mmD</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个</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3855"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9</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电容式</w:t>
            </w:r>
          </w:p>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播报台面话筒</w:t>
            </w:r>
          </w:p>
        </w:tc>
        <w:tc>
          <w:tcPr>
            <w:tcW w:w="7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声学原理：压力梯度</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有源电子：驻极体电容器，A/D和USB接口</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拾音类型：心形指向</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频率范围：20Hz - 20kHz</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输入SPL@1%THD：121dB(A加权，符合IEC651)</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采样率：48kHz</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总线供电：是</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位深度：24位</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模拟输出：3.5mm耳机</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2</w:t>
            </w:r>
          </w:p>
        </w:tc>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个</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343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10</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监听音响</w:t>
            </w:r>
          </w:p>
        </w:tc>
        <w:tc>
          <w:tcPr>
            <w:tcW w:w="7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音频输入：Line In1、Line In2、蓝牙</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蓝牙版本：V5.3</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蓝牙解码：SBCILDAC</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倒相管：椭圆形倒相管</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额定声频率响应范围：55Hz-20kHz</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遥控器：支持</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APP：支持</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Hi-Res Audio：支持</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Hi-Res：支持</w:t>
            </w:r>
          </w:p>
          <w:p>
            <w:pPr>
              <w:widowControl/>
              <w:jc w:val="left"/>
              <w:textAlignment w:val="cente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kern w:val="0"/>
                <w:sz w:val="21"/>
                <w:szCs w:val="21"/>
              </w:rPr>
              <w:t>AudioWireless：支持</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套</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654"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11</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无线耳返</w:t>
            </w:r>
          </w:p>
        </w:tc>
        <w:tc>
          <w:tcPr>
            <w:tcW w:w="7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支持2个主播无线入耳式单耳耳返，接收导播间的语音指挥</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套</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3413"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12</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无线一拖二领夹麦克风</w:t>
            </w:r>
          </w:p>
          <w:p>
            <w:pPr>
              <w:pStyle w:val="2"/>
              <w:rPr>
                <w:rFonts w:hint="eastAsia" w:ascii="仿宋_GB2312" w:hAnsi="仿宋_GB2312" w:eastAsia="仿宋_GB2312" w:cs="仿宋_GB2312"/>
                <w:b w:val="0"/>
                <w:bCs w:val="0"/>
                <w:sz w:val="21"/>
                <w:szCs w:val="21"/>
              </w:rPr>
            </w:pPr>
          </w:p>
        </w:tc>
        <w:tc>
          <w:tcPr>
            <w:tcW w:w="7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支持一体式收纳开盖即用；支持磁吸；无损内录；触控屏快速调参；可与手机、相机、电脑连接；</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麦克风指向性：全指向</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频率响应：低切功能关:50 Hz-20 kHz  低切功能开:150Hz-20 KHz</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最大声压级：114 dB SPL</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最大输入电平(3.5mm)：-17 dBV(THD &lt; 0.1%)</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等效噪声：23 dBA</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监听接口输出功率：最大输出功率22mW@1kHz,32Q</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最大传输距离：250米(FCC)   160米(CE)</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副</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344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13</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2"/>
              <w:jc w:val="cente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视频处理站</w:t>
            </w:r>
          </w:p>
        </w:tc>
        <w:tc>
          <w:tcPr>
            <w:tcW w:w="7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仿宋_GB2312" w:hAnsi="仿宋_GB2312" w:eastAsia="仿宋_GB2312" w:cs="仿宋_GB2312"/>
                <w:b w:val="0"/>
                <w:bCs w:val="0"/>
                <w:sz w:val="21"/>
                <w:szCs w:val="21"/>
                <w:lang w:val="en-US" w:eastAsia="zh-CN"/>
              </w:rPr>
            </w:pPr>
            <w:r>
              <w:rPr>
                <w:rFonts w:hint="eastAsia" w:ascii="仿宋_GB2312" w:hAnsi="仿宋_GB2312" w:eastAsia="仿宋_GB2312" w:cs="仿宋_GB2312"/>
                <w:b w:val="0"/>
                <w:bCs w:val="0"/>
                <w:sz w:val="21"/>
                <w:szCs w:val="21"/>
                <w:lang w:eastAsia="zh-CN"/>
              </w:rPr>
              <w:t>屏幕</w:t>
            </w:r>
            <w:r>
              <w:rPr>
                <w:rFonts w:hint="eastAsia" w:ascii="仿宋_GB2312" w:hAnsi="仿宋_GB2312" w:eastAsia="仿宋_GB2312" w:cs="仿宋_GB2312"/>
                <w:b w:val="0"/>
                <w:bCs w:val="0"/>
                <w:sz w:val="21"/>
                <w:szCs w:val="21"/>
                <w:lang w:val="en-US" w:eastAsia="zh-CN"/>
              </w:rPr>
              <w:t xml:space="preserve">   34英寸曲面显示器、分辨率3440*1440、刷新率 165Hz HDR10 、屏幕比例21:9</w:t>
            </w:r>
          </w:p>
          <w:p>
            <w:pPr>
              <w:rPr>
                <w:rFonts w:hint="default" w:ascii="仿宋_GB2312" w:hAnsi="仿宋_GB2312" w:eastAsia="仿宋_GB2312" w:cs="仿宋_GB2312"/>
                <w:b w:val="0"/>
                <w:bCs w:val="0"/>
                <w:sz w:val="21"/>
                <w:szCs w:val="21"/>
                <w:lang w:val="en-US"/>
              </w:rPr>
            </w:pPr>
            <w:r>
              <w:rPr>
                <w:rFonts w:hint="eastAsia" w:ascii="仿宋_GB2312" w:hAnsi="仿宋_GB2312" w:eastAsia="仿宋_GB2312" w:cs="仿宋_GB2312"/>
                <w:b w:val="0"/>
                <w:bCs w:val="0"/>
                <w:sz w:val="21"/>
                <w:szCs w:val="21"/>
                <w:lang w:val="en-US" w:eastAsia="zh-CN"/>
              </w:rPr>
              <w:t xml:space="preserve">       响应时间1ms、对比度4000:1 、色域124%sRGB 102%NTSC   </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处理器  Intel酷睿i913900K 24核32线程</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散热器  水冷</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主板    华硕Z790-PD4</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显卡    NVIDIA Quadro RTX A4000 16GB GDDR6</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内存    32G DDR4320MHz(16G*2)</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固态硬盘   三星PM9A11TNVMe M.2高速固态</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硬盘    西数4T红盘</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电源    金牌全模850W</w:t>
            </w:r>
          </w:p>
          <w:p>
            <w:pPr>
              <w:pStyle w:val="2"/>
              <w:rPr>
                <w:rFonts w:hint="eastAsia" w:ascii="仿宋_GB2312" w:hAnsi="仿宋_GB2312" w:eastAsia="仿宋_GB2312" w:cs="仿宋_GB2312"/>
                <w:b w:val="0"/>
                <w:bCs w:val="0"/>
                <w:sz w:val="21"/>
                <w:szCs w:val="21"/>
              </w:rPr>
            </w:pP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lang w:eastAsia="zh-CN"/>
              </w:rPr>
            </w:pPr>
            <w:r>
              <w:rPr>
                <w:rFonts w:hint="eastAsia" w:ascii="仿宋_GB2312" w:hAnsi="仿宋_GB2312" w:eastAsia="仿宋_GB2312" w:cs="仿宋_GB2312"/>
                <w:b w:val="0"/>
                <w:bCs w:val="0"/>
                <w:kern w:val="0"/>
                <w:sz w:val="21"/>
                <w:szCs w:val="21"/>
                <w:lang w:eastAsia="zh-CN"/>
              </w:rPr>
              <w:t>套</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1133"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14</w:t>
            </w:r>
          </w:p>
        </w:tc>
        <w:tc>
          <w:tcPr>
            <w:tcW w:w="2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移动图形处理站</w:t>
            </w:r>
          </w:p>
        </w:tc>
        <w:tc>
          <w:tcPr>
            <w:tcW w:w="7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lang w:eastAsia="zh-CN"/>
              </w:rPr>
            </w:pPr>
            <w:r>
              <w:rPr>
                <w:rFonts w:hint="eastAsia" w:ascii="仿宋_GB2312" w:hAnsi="仿宋_GB2312" w:eastAsia="仿宋_GB2312" w:cs="仿宋_GB2312"/>
                <w:b w:val="0"/>
                <w:bCs w:val="0"/>
                <w:kern w:val="0"/>
                <w:sz w:val="21"/>
                <w:szCs w:val="21"/>
              </w:rPr>
              <w:t>支持手写操作，主流硬件配置（i7+16GB+1TB）</w:t>
            </w:r>
            <w:r>
              <w:rPr>
                <w:rFonts w:hint="eastAsia" w:ascii="仿宋_GB2312" w:hAnsi="仿宋_GB2312" w:eastAsia="仿宋_GB2312" w:cs="仿宋_GB2312"/>
                <w:b w:val="0"/>
                <w:bCs w:val="0"/>
                <w:kern w:val="0"/>
                <w:sz w:val="21"/>
                <w:szCs w:val="21"/>
                <w:lang w:eastAsia="zh-CN"/>
              </w:rPr>
              <w:t>；</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可在平板和电脑模式之间方便切换</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2</w:t>
            </w:r>
          </w:p>
        </w:tc>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lang w:eastAsia="zh-CN"/>
              </w:rPr>
            </w:pPr>
            <w:r>
              <w:rPr>
                <w:rFonts w:hint="eastAsia" w:ascii="仿宋_GB2312" w:hAnsi="仿宋_GB2312" w:eastAsia="仿宋_GB2312" w:cs="仿宋_GB2312"/>
                <w:b w:val="0"/>
                <w:bCs w:val="0"/>
                <w:kern w:val="0"/>
                <w:sz w:val="21"/>
                <w:szCs w:val="21"/>
                <w:lang w:eastAsia="zh-CN"/>
              </w:rPr>
              <w:t>套</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bl>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br w:type="page"/>
      </w:r>
    </w:p>
    <w:tbl>
      <w:tblPr>
        <w:tblStyle w:val="6"/>
        <w:tblW w:w="14474" w:type="dxa"/>
        <w:tblInd w:w="93" w:type="dxa"/>
        <w:tblLayout w:type="fixed"/>
        <w:tblCellMar>
          <w:top w:w="0" w:type="dxa"/>
          <w:left w:w="108" w:type="dxa"/>
          <w:bottom w:w="0" w:type="dxa"/>
          <w:right w:w="108" w:type="dxa"/>
        </w:tblCellMar>
      </w:tblPr>
      <w:tblGrid>
        <w:gridCol w:w="747"/>
        <w:gridCol w:w="2834"/>
        <w:gridCol w:w="7774"/>
        <w:gridCol w:w="769"/>
        <w:gridCol w:w="649"/>
        <w:gridCol w:w="1701"/>
      </w:tblGrid>
      <w:tr>
        <w:tblPrEx>
          <w:tblCellMar>
            <w:top w:w="0" w:type="dxa"/>
            <w:left w:w="108" w:type="dxa"/>
            <w:bottom w:w="0" w:type="dxa"/>
            <w:right w:w="108" w:type="dxa"/>
          </w:tblCellMar>
        </w:tblPrEx>
        <w:trPr>
          <w:trHeight w:val="7258"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2"/>
              <w:rPr>
                <w:rFonts w:hint="default" w:ascii="仿宋_GB2312" w:hAnsi="仿宋_GB2312" w:eastAsia="仿宋_GB2312" w:cs="仿宋_GB2312"/>
                <w:b w:val="0"/>
                <w:bCs w:val="0"/>
                <w:sz w:val="21"/>
                <w:szCs w:val="21"/>
                <w:lang w:val="en-US" w:eastAsia="zh-CN"/>
              </w:rPr>
            </w:pPr>
            <w:r>
              <w:rPr>
                <w:rFonts w:hint="eastAsia" w:ascii="仿宋_GB2312" w:hAnsi="仿宋_GB2312" w:eastAsia="仿宋_GB2312" w:cs="仿宋_GB2312"/>
                <w:b w:val="0"/>
                <w:bCs w:val="0"/>
                <w:sz w:val="21"/>
                <w:szCs w:val="21"/>
                <w:lang w:val="en-US" w:eastAsia="zh-CN"/>
              </w:rPr>
              <w:t>15</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24寸双屏提词器</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p>
          <w:p>
            <w:pPr>
              <w:pStyle w:val="2"/>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①多层介质膜无色差高级分光镜2mm超薄分光镜，透反比7:3，具有提词器反射亮度高，拍摄透光好，消除因分光镜存在色差而导致拍摄图像颜色失真的现象；</w:t>
            </w:r>
          </w:p>
          <w:p>
            <w:pP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②遮光罩采用尼龙复合板制作，采用反向拉链设计，可避免漏光对播音造成的影响；</w:t>
            </w:r>
          </w:p>
          <w:p>
            <w:pPr>
              <w:pStyle w:val="2"/>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③专用可调整升降支架，根据不同的拍摄相机，可快捷的进行前后和上下调整；</w:t>
            </w:r>
          </w:p>
          <w:p>
            <w:pP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④专用文稿控制器，2.4G静音控制器，穿墙传输不低于15米，可操作静音按键控制文稿无级变速、暂停、逐行、逐段、逐屏搜索、前后翻页、速进速退，性能稳定可靠，操作得心应手，无任何噪声；</w:t>
            </w:r>
          </w:p>
          <w:p>
            <w:pPr>
              <w:pStyle w:val="2"/>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⑤支持多屏正像显示 播音、导播、推稿员及多语种同期声译员看到同样清晰的正像文稿图像，同时提供HDMI，VGA多种接口；</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⑥两个播音员可分别选择不同的背景色和字色方便双人播；</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⑦支持txt、rtf、word等格式文本，并支持直接打开图片，word，PPT，视频等文件，高分辨率的彩显，清晰度高，字迹清晰；</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⑧系统自动记录演播稿，当发生异常停电事故后再加电时自动寻找并且打开演播稿，并保证演播稿的完整性；</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⑨相对滚动时间、当前时间可同屏显示，任意设置大小、颜色，一目了然，更易把握节奏；重要语句可通过颜色标明；</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⑩键盘、鼠标、控制手柄均可，字幕速度变化范围可随意调节，可在U盘、微机和摄像三种方式间相互切换；</w:t>
            </w:r>
          </w:p>
          <w:p>
            <w:pPr>
              <w:pStyle w:val="2"/>
              <w:rPr>
                <w:rFonts w:hint="eastAsia" w:ascii="仿宋_GB2312" w:hAnsi="仿宋_GB2312" w:eastAsia="仿宋_GB2312" w:cs="仿宋_GB2312"/>
                <w:b w:val="0"/>
                <w:bCs w:val="0"/>
                <w:kern w:val="0"/>
                <w:sz w:val="21"/>
                <w:szCs w:val="21"/>
              </w:rPr>
            </w:pPr>
          </w:p>
          <w:p>
            <w:pPr>
              <w:pStyle w:val="2"/>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配：无线遥控器、脚踏遥控器</w:t>
            </w:r>
          </w:p>
          <w:p>
            <w:pPr>
              <w:rPr>
                <w:rFonts w:hint="eastAsia" w:ascii="仿宋_GB2312" w:hAnsi="仿宋_GB2312" w:eastAsia="仿宋_GB2312" w:cs="仿宋_GB2312"/>
                <w:b w:val="0"/>
                <w:bCs w:val="0"/>
                <w:sz w:val="21"/>
                <w:szCs w:val="21"/>
              </w:rPr>
            </w:pP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台</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78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16</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视频采集卡</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支持至少两路HDMI输入，两路音频输入，配备HDMI环出接口</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个</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8113"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17</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全画幅微单数码相机机身</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5轴防抖系统；</w:t>
            </w:r>
          </w:p>
          <w:p>
            <w:pPr>
              <w:pStyle w:val="2"/>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4D对焦；</w:t>
            </w:r>
          </w:p>
          <w:p>
            <w:pPr>
              <w:pStyle w:val="2"/>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约3300万像素全画幅背照式ExmorR CMOS影像传感器，可提供数据高速读取、高感光低噪点和高精度的色彩表现；</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相机支持在Super35mm模式下采用全像素读取4K60p视频规格实现高画质的视频拍摄；</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支持全画幅7K超采样的4K 30p；</w:t>
            </w:r>
          </w:p>
          <w:p>
            <w:pPr>
              <w:pStyle w:val="2"/>
              <w:numPr>
                <w:ilvl w:val="0"/>
                <w:numId w:val="3"/>
              </w:num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bit色深和4:2:2色彩采样；</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支持帧内编码；</w:t>
            </w:r>
          </w:p>
          <w:p>
            <w:pP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可作为高质量直播摄像头使用，通过USB线缆(支持UVC和UAC)连接到电脑或智能手机时，可变身为高品质直播摄像头，提供4K高画质视频；</w:t>
            </w:r>
          </w:p>
          <w:p>
            <w:pP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USB连接电脑时支持流媒体传输；</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支持内置陀螺仪元数据能实现后期防抖稳定；</w:t>
            </w:r>
          </w:p>
          <w:p>
            <w:pPr>
              <w:pStyle w:val="2"/>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可支持E卡扣镜头选择；</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支持焦点快速转换的自动对焦辅助*8；</w:t>
            </w:r>
          </w:p>
          <w:p>
            <w:pPr>
              <w:pStyle w:val="2"/>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数字音频接口；</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kern w:val="0"/>
                <w:sz w:val="21"/>
                <w:szCs w:val="21"/>
              </w:rPr>
              <w:t>侧翻式可变角度液晶触摸屏；</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5GHz /2.4GHz Wi-Fi传输；</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USBType-C端口提供与1000BASE-T以太网的直接连接以实现快速有线FTP数据传输；</w:t>
            </w:r>
          </w:p>
          <w:p>
            <w:pPr>
              <w:rPr>
                <w:rFonts w:hint="eastAsia" w:ascii="仿宋_GB2312" w:hAnsi="仿宋_GB2312" w:eastAsia="仿宋_GB2312" w:cs="仿宋_GB2312"/>
                <w:b w:val="0"/>
                <w:bCs w:val="0"/>
                <w:sz w:val="21"/>
                <w:szCs w:val="21"/>
              </w:rPr>
            </w:pP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台</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40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18</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全画幅微单数码相机镜头</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2"/>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--镜头1</w:t>
            </w:r>
          </w:p>
          <w:p>
            <w:pPr>
              <w:pStyle w:val="2"/>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E卡口，FE 24-70mm 恒定F2.8光圈</w:t>
            </w:r>
          </w:p>
          <w:p>
            <w:pP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24mm处最近对焦距离在0.21米左右，70mm处最近对焦距离在0.3米左右，镜头重量不超过700克。</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在进行30张/秒高速连拍或者录制4K 120p视频时，也可持续精准自动对焦。</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具有独立光圈环。</w:t>
            </w:r>
          </w:p>
          <w:p>
            <w:pPr>
              <w:pStyle w:val="2"/>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---镜头2</w:t>
            </w:r>
          </w:p>
          <w:p>
            <w:pPr>
              <w:pStyle w:val="2"/>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E卡口，FE 16-35mm 恒定F2.8光圈 超广角变焦镜头</w:t>
            </w:r>
          </w:p>
          <w:p>
            <w:pP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sz w:val="21"/>
                <w:szCs w:val="21"/>
              </w:rPr>
              <w:t>最近对焦距离为0.22米，最大放大倍率为0.32倍。</w:t>
            </w:r>
            <w:r>
              <w:rPr>
                <w:rFonts w:hint="eastAsia" w:ascii="仿宋_GB2312" w:hAnsi="仿宋_GB2312" w:eastAsia="仿宋_GB2312" w:cs="仿宋_GB2312"/>
                <w:b w:val="0"/>
                <w:bCs w:val="0"/>
                <w:kern w:val="0"/>
                <w:sz w:val="21"/>
                <w:szCs w:val="21"/>
              </w:rPr>
              <w:t>镜头重量不超过550克。</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镜头能抑制变焦过程中的重心偏移实现稳定拍摄。</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2</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个</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40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19</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原装相机电池</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sz w:val="21"/>
                <w:szCs w:val="21"/>
              </w:rPr>
              <w:t>与全画幅微单数码相机机身匹配的原装电池</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2</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块</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1062"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20</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直播用相机模拟电池</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sz w:val="21"/>
                <w:szCs w:val="21"/>
              </w:rPr>
              <w:t>支持全画幅微单数码相机直播时直接连接电源的直播用模拟电池</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2</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块</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40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21</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电池座充</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sz w:val="21"/>
                <w:szCs w:val="21"/>
              </w:rPr>
              <w:t>支持全画幅微单数码相机2块电池同时充电的座充</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个</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40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22</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无线图传</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支持6公里全高清60fps 图传；</w:t>
            </w:r>
          </w:p>
          <w:p>
            <w:pPr>
              <w:pStyle w:val="2"/>
              <w:jc w:val="left"/>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无接收端数量限制；</w:t>
            </w:r>
          </w:p>
          <w:p>
            <w:pPr>
              <w:jc w:val="left"/>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三频段无感自动跳帧；</w:t>
            </w:r>
          </w:p>
          <w:p>
            <w:pPr>
              <w:pStyle w:val="2"/>
              <w:jc w:val="left"/>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接收监看一体化；</w:t>
            </w:r>
          </w:p>
          <w:p>
            <w:pPr>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可独立录制并存于microSD 卡；</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具备 1080p/60fps 传输规格，传输码率高达40Mbps，同时支持 16-bit 48kHz 实时音频监听；</w:t>
            </w:r>
          </w:p>
          <w:p>
            <w:pPr>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提供对频连接方式，并支持 AES256-bit 加密算法，充分保障拍摄画面的信息安全；</w:t>
            </w:r>
          </w:p>
          <w:p>
            <w:pPr>
              <w:jc w:val="left"/>
              <w:rPr>
                <w:rFonts w:hint="eastAsia" w:ascii="仿宋_GB2312" w:hAnsi="仿宋_GB2312" w:eastAsia="仿宋_GB2312" w:cs="仿宋_GB2312"/>
                <w:b w:val="0"/>
                <w:bCs w:val="0"/>
                <w:sz w:val="21"/>
                <w:szCs w:val="21"/>
              </w:rPr>
            </w:pP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套</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40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23</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相机稳定器</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具备3千克负载能力；</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可承载主流微单及镜头；</w:t>
            </w:r>
          </w:p>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无线蓝牙快门；</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12小时续航，支持快充；</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双层快装板；</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自动轴锁；</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云台增稳、搭配云台模式切换开关、前置拨轮、单手可操控；</w:t>
            </w:r>
          </w:p>
          <w:p>
            <w:pPr>
              <w:rPr>
                <w:rFonts w:hint="eastAsia" w:ascii="仿宋_GB2312" w:hAnsi="仿宋_GB2312" w:eastAsia="仿宋_GB2312" w:cs="仿宋_GB2312"/>
                <w:b w:val="0"/>
                <w:bCs w:val="0"/>
                <w:sz w:val="21"/>
                <w:szCs w:val="21"/>
              </w:rPr>
            </w:pP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套</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需另陪一块电池手柄</w:t>
            </w:r>
          </w:p>
        </w:tc>
      </w:tr>
      <w:tr>
        <w:tblPrEx>
          <w:tblCellMar>
            <w:top w:w="0" w:type="dxa"/>
            <w:left w:w="108" w:type="dxa"/>
            <w:bottom w:w="0" w:type="dxa"/>
            <w:right w:w="108" w:type="dxa"/>
          </w:tblCellMar>
        </w:tblPrEx>
        <w:trPr>
          <w:trHeight w:val="1732"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24</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三角架</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碳纤材质,高度5节伸缩可调，展开高度1570mm</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360°全景云台，可垂直、水平多角度调节；</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相机快速拆装，阻尼手柄，阻尼感良好；</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三角中轴，脚架收拢更贴合，直径约60mm；</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个</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944"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25</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便携式补光灯</w:t>
            </w:r>
            <w:r>
              <w:rPr>
                <w:rFonts w:hint="eastAsia" w:ascii="仿宋_GB2312" w:hAnsi="仿宋_GB2312" w:eastAsia="仿宋_GB2312" w:cs="仿宋_GB2312"/>
                <w:b w:val="0"/>
                <w:bCs w:val="0"/>
                <w:color w:val="000000"/>
                <w:kern w:val="0"/>
                <w:sz w:val="21"/>
                <w:szCs w:val="21"/>
                <w:lang w:eastAsia="zh-CN" w:bidi="ar"/>
              </w:rPr>
              <w:t>、补光</w:t>
            </w:r>
            <w:r>
              <w:rPr>
                <w:rFonts w:hint="eastAsia" w:ascii="仿宋_GB2312" w:hAnsi="仿宋_GB2312" w:eastAsia="仿宋_GB2312" w:cs="仿宋_GB2312"/>
                <w:b w:val="0"/>
                <w:bCs w:val="0"/>
                <w:color w:val="000000"/>
                <w:kern w:val="0"/>
                <w:sz w:val="21"/>
                <w:szCs w:val="21"/>
                <w:lang w:bidi="ar"/>
              </w:rPr>
              <w:t>棒</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2"/>
              <w:rPr>
                <w:rFonts w:hint="eastAsia" w:ascii="仿宋_GB2312" w:hAnsi="仿宋_GB2312" w:eastAsia="仿宋_GB2312" w:cs="仿宋_GB2312"/>
                <w:b w:val="0"/>
                <w:bCs w:val="0"/>
                <w:sz w:val="21"/>
                <w:szCs w:val="21"/>
                <w:lang w:eastAsia="zh-CN"/>
              </w:rPr>
            </w:pPr>
            <w:r>
              <w:rPr>
                <w:rFonts w:hint="eastAsia" w:ascii="仿宋_GB2312" w:hAnsi="仿宋_GB2312" w:eastAsia="仿宋_GB2312" w:cs="仿宋_GB2312"/>
                <w:b w:val="0"/>
                <w:bCs w:val="0"/>
                <w:sz w:val="21"/>
                <w:szCs w:val="21"/>
                <w:lang w:eastAsia="zh-CN"/>
              </w:rPr>
              <w:t>补光灯：</w:t>
            </w:r>
          </w:p>
          <w:p>
            <w:pPr>
              <w:pStyle w:val="2"/>
              <w:rPr>
                <w:rFonts w:hint="eastAsia" w:ascii="仿宋_GB2312" w:hAnsi="仿宋_GB2312" w:eastAsia="仿宋_GB2312" w:cs="仿宋_GB2312"/>
                <w:b w:val="0"/>
                <w:bCs w:val="0"/>
                <w:sz w:val="21"/>
                <w:szCs w:val="21"/>
                <w:lang w:val="en-US" w:eastAsia="zh-CN"/>
              </w:rPr>
            </w:pPr>
            <w:r>
              <w:rPr>
                <w:rFonts w:hint="eastAsia" w:ascii="仿宋_GB2312" w:hAnsi="仿宋_GB2312" w:eastAsia="仿宋_GB2312" w:cs="仿宋_GB2312"/>
                <w:b w:val="0"/>
                <w:bCs w:val="0"/>
                <w:sz w:val="21"/>
                <w:szCs w:val="21"/>
                <w:lang w:eastAsia="zh-CN"/>
              </w:rPr>
              <w:t>最大功率</w:t>
            </w:r>
            <w:r>
              <w:rPr>
                <w:rFonts w:hint="eastAsia" w:ascii="仿宋_GB2312" w:hAnsi="仿宋_GB2312" w:eastAsia="仿宋_GB2312" w:cs="仿宋_GB2312"/>
                <w:b w:val="0"/>
                <w:bCs w:val="0"/>
                <w:sz w:val="21"/>
                <w:szCs w:val="21"/>
                <w:lang w:val="en-US" w:eastAsia="zh-CN"/>
              </w:rPr>
              <w:t>30W,</w:t>
            </w:r>
            <w:r>
              <w:rPr>
                <w:rFonts w:hint="eastAsia" w:ascii="仿宋_GB2312" w:hAnsi="仿宋_GB2312" w:eastAsia="仿宋_GB2312" w:cs="仿宋_GB2312"/>
                <w:b w:val="0"/>
                <w:bCs w:val="0"/>
                <w:sz w:val="21"/>
                <w:szCs w:val="21"/>
                <w:lang w:eastAsia="zh-CN"/>
              </w:rPr>
              <w:t>外拍便携双色调节，色温</w:t>
            </w:r>
            <w:r>
              <w:rPr>
                <w:rFonts w:hint="eastAsia" w:ascii="仿宋_GB2312" w:hAnsi="仿宋_GB2312" w:eastAsia="仿宋_GB2312" w:cs="仿宋_GB2312"/>
                <w:b w:val="0"/>
                <w:bCs w:val="0"/>
                <w:sz w:val="21"/>
                <w:szCs w:val="21"/>
                <w:lang w:val="en-US" w:eastAsia="zh-CN"/>
              </w:rPr>
              <w:t>3300-5600K，显示度</w:t>
            </w:r>
            <w:r>
              <w:rPr>
                <w:rFonts w:hint="eastAsia" w:ascii="仿宋_GB2312" w:hAnsi="仿宋_GB2312" w:eastAsia="仿宋_GB2312" w:cs="仿宋_GB2312"/>
                <w:b w:val="0"/>
                <w:bCs w:val="0"/>
                <w:sz w:val="21"/>
                <w:szCs w:val="21"/>
              </w:rPr>
              <w:t>＞95</w:t>
            </w:r>
            <w:r>
              <w:rPr>
                <w:rFonts w:hint="eastAsia" w:ascii="仿宋_GB2312" w:hAnsi="仿宋_GB2312" w:eastAsia="仿宋_GB2312" w:cs="仿宋_GB2312"/>
                <w:b w:val="0"/>
                <w:bCs w:val="0"/>
                <w:sz w:val="21"/>
                <w:szCs w:val="21"/>
                <w:lang w:eastAsia="zh-CN"/>
              </w:rPr>
              <w:t>，</w:t>
            </w:r>
            <w:r>
              <w:rPr>
                <w:rFonts w:hint="eastAsia" w:ascii="仿宋_GB2312" w:hAnsi="仿宋_GB2312" w:eastAsia="仿宋_GB2312" w:cs="仿宋_GB2312"/>
                <w:b w:val="0"/>
                <w:bCs w:val="0"/>
                <w:sz w:val="21"/>
                <w:szCs w:val="21"/>
              </w:rPr>
              <w:t>0%-100%亮度调节</w:t>
            </w:r>
            <w:r>
              <w:rPr>
                <w:rFonts w:hint="eastAsia" w:ascii="仿宋_GB2312" w:hAnsi="仿宋_GB2312" w:eastAsia="仿宋_GB2312" w:cs="仿宋_GB2312"/>
                <w:b w:val="0"/>
                <w:bCs w:val="0"/>
                <w:sz w:val="21"/>
                <w:szCs w:val="21"/>
                <w:lang w:eastAsia="zh-CN"/>
              </w:rPr>
              <w:t>，</w:t>
            </w:r>
          </w:p>
          <w:p>
            <w:pPr>
              <w:pStyle w:val="2"/>
              <w:rPr>
                <w:rFonts w:hint="eastAsia" w:ascii="仿宋_GB2312" w:hAnsi="仿宋_GB2312" w:eastAsia="仿宋_GB2312" w:cs="仿宋_GB2312"/>
                <w:b w:val="0"/>
                <w:bCs w:val="0"/>
                <w:sz w:val="21"/>
                <w:szCs w:val="21"/>
                <w:lang w:eastAsia="zh-CN"/>
              </w:rPr>
            </w:pPr>
            <w:r>
              <w:rPr>
                <w:rFonts w:hint="eastAsia" w:ascii="仿宋_GB2312" w:hAnsi="仿宋_GB2312" w:eastAsia="仿宋_GB2312" w:cs="仿宋_GB2312"/>
                <w:b w:val="0"/>
                <w:bCs w:val="0"/>
                <w:sz w:val="21"/>
                <w:szCs w:val="21"/>
              </w:rPr>
              <w:t>双色补光棒</w:t>
            </w:r>
            <w:r>
              <w:rPr>
                <w:rFonts w:hint="eastAsia" w:ascii="仿宋_GB2312" w:hAnsi="仿宋_GB2312" w:eastAsia="仿宋_GB2312" w:cs="仿宋_GB2312"/>
                <w:b w:val="0"/>
                <w:bCs w:val="0"/>
                <w:sz w:val="21"/>
                <w:szCs w:val="21"/>
                <w:lang w:eastAsia="zh-CN"/>
              </w:rPr>
              <w:t>：</w:t>
            </w:r>
          </w:p>
          <w:p>
            <w:pPr>
              <w:pStyle w:val="2"/>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sz w:val="21"/>
                <w:szCs w:val="21"/>
              </w:rPr>
              <w:t>最大功率23W；无线遥控；显色指数＞95；最大光照度5800；0%-100%亮度调节</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lang w:val="en-US" w:eastAsia="zh-CN"/>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lang w:val="en-US" w:eastAsia="zh-CN"/>
              </w:rPr>
              <w:t>套</w:t>
            </w:r>
          </w:p>
        </w:tc>
        <w:tc>
          <w:tcPr>
            <w:tcW w:w="17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eastAsia="zh-CN"/>
              </w:rPr>
              <w:t>包含：</w:t>
            </w:r>
            <w:r>
              <w:rPr>
                <w:rFonts w:hint="eastAsia" w:ascii="仿宋_GB2312" w:hAnsi="仿宋_GB2312" w:eastAsia="仿宋_GB2312" w:cs="仿宋_GB2312"/>
                <w:b w:val="0"/>
                <w:bCs w:val="0"/>
                <w:kern w:val="0"/>
                <w:sz w:val="21"/>
                <w:szCs w:val="21"/>
                <w:lang w:val="en-US" w:eastAsia="zh-CN"/>
              </w:rPr>
              <w:t>1</w:t>
            </w:r>
            <w:r>
              <w:rPr>
                <w:rFonts w:hint="eastAsia" w:ascii="仿宋_GB2312" w:hAnsi="仿宋_GB2312" w:eastAsia="仿宋_GB2312" w:cs="仿宋_GB2312"/>
                <w:b w:val="0"/>
                <w:bCs w:val="0"/>
                <w:kern w:val="0"/>
                <w:sz w:val="21"/>
                <w:szCs w:val="21"/>
                <w:lang w:eastAsia="zh-CN"/>
              </w:rPr>
              <w:t>个补光灯</w:t>
            </w:r>
            <w:r>
              <w:rPr>
                <w:rFonts w:hint="eastAsia" w:ascii="仿宋_GB2312" w:hAnsi="仿宋_GB2312" w:eastAsia="仿宋_GB2312" w:cs="仿宋_GB2312"/>
                <w:b w:val="0"/>
                <w:bCs w:val="0"/>
                <w:kern w:val="0"/>
                <w:sz w:val="21"/>
                <w:szCs w:val="21"/>
                <w:lang w:val="en-US" w:eastAsia="zh-CN"/>
              </w:rPr>
              <w:t>1根补光棒</w:t>
            </w:r>
          </w:p>
        </w:tc>
      </w:tr>
      <w:tr>
        <w:tblPrEx>
          <w:tblCellMar>
            <w:top w:w="0" w:type="dxa"/>
            <w:left w:w="108" w:type="dxa"/>
            <w:bottom w:w="0" w:type="dxa"/>
            <w:right w:w="108" w:type="dxa"/>
          </w:tblCellMar>
        </w:tblPrEx>
        <w:trPr>
          <w:trHeight w:val="674"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26</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便携式反光板</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80CM 圆形 金银双面</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2</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张</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40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27</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color w:val="000000"/>
                <w:kern w:val="0"/>
                <w:sz w:val="21"/>
                <w:szCs w:val="21"/>
                <w:lang w:bidi="ar"/>
              </w:rPr>
              <w:t>SD卡</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容量：256GB</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读速度：277MB/s</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写速度：150MB/s</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2</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张</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40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28</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color w:val="000000"/>
                <w:kern w:val="0"/>
                <w:sz w:val="21"/>
                <w:szCs w:val="21"/>
                <w:lang w:bidi="ar"/>
              </w:rPr>
              <w:t>读卡器</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USB3.1</w:t>
            </w:r>
          </w:p>
          <w:p>
            <w:pPr>
              <w:pStyle w:val="2"/>
              <w:jc w:val="left"/>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能够满足全速率以上SD卡</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个</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40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29</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color w:val="000000"/>
                <w:kern w:val="0"/>
                <w:sz w:val="21"/>
                <w:szCs w:val="21"/>
                <w:lang w:bidi="ar"/>
              </w:rPr>
              <w:t>单反外景麦克风</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textAlignment w:val="cente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适配以上单反的麦克风</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即插即用；兼容电脑/相机；3.5MM接口；具有可靠的减震装置</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个</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400"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30</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color w:val="000000"/>
                <w:kern w:val="0"/>
                <w:sz w:val="21"/>
                <w:szCs w:val="21"/>
                <w:lang w:bidi="ar"/>
              </w:rPr>
              <w:t>电动滑轨</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材质：铝合金+碳纤维；</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供电模式：电池供电</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尺寸：120cm</w:t>
            </w:r>
          </w:p>
          <w:p>
            <w:pPr>
              <w:pStyle w:val="2"/>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产品兼容：单反、DV、摄像机等设备；</w:t>
            </w:r>
          </w:p>
          <w:p>
            <w:pPr>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需包含支撑杆</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套</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723"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31</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color w:val="000000"/>
                <w:kern w:val="0"/>
                <w:sz w:val="21"/>
                <w:szCs w:val="21"/>
                <w:lang w:bidi="ar"/>
              </w:rPr>
              <w:t>摄像双肩背包</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sz w:val="21"/>
                <w:szCs w:val="21"/>
              </w:rPr>
              <w:t>外出拍摄，双肩，可实现机身、镜头、闪光灯等分区放置；防震防水防尘</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个</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707"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32</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折叠户外拉车</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用于外出拍摄时装载运输设备（如三脚架、电动滑轨及其他拍摄机器）</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个</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707"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33</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eastAsia="zh-CN" w:bidi="ar"/>
              </w:rPr>
            </w:pPr>
            <w:r>
              <w:rPr>
                <w:rFonts w:hint="eastAsia" w:ascii="仿宋_GB2312" w:hAnsi="仿宋_GB2312" w:eastAsia="仿宋_GB2312" w:cs="仿宋_GB2312"/>
                <w:b w:val="0"/>
                <w:bCs w:val="0"/>
                <w:color w:val="000000"/>
                <w:kern w:val="0"/>
                <w:sz w:val="21"/>
                <w:szCs w:val="21"/>
                <w:lang w:eastAsia="zh-CN" w:bidi="ar"/>
              </w:rPr>
              <w:t>空调</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一拖二静音空调供直播间和导播间使用；</w:t>
            </w:r>
          </w:p>
          <w:p>
            <w:pPr>
              <w:widowControl/>
              <w:jc w:val="left"/>
              <w:textAlignment w:val="center"/>
              <w:rPr>
                <w:rFonts w:hint="default" w:ascii="仿宋_GB2312" w:hAnsi="仿宋_GB2312" w:eastAsia="仿宋_GB2312" w:cs="仿宋_GB2312"/>
                <w:b w:val="0"/>
                <w:bCs w:val="0"/>
                <w:color w:val="000000"/>
                <w:kern w:val="0"/>
                <w:sz w:val="21"/>
                <w:szCs w:val="21"/>
                <w:lang w:val="en-US" w:eastAsia="zh-CN" w:bidi="ar"/>
              </w:rPr>
            </w:pPr>
            <w:r>
              <w:rPr>
                <w:rFonts w:hint="eastAsia" w:ascii="仿宋_GB2312" w:hAnsi="仿宋_GB2312" w:eastAsia="仿宋_GB2312" w:cs="仿宋_GB2312"/>
                <w:b w:val="0"/>
                <w:bCs w:val="0"/>
                <w:color w:val="000000"/>
                <w:kern w:val="0"/>
                <w:sz w:val="21"/>
                <w:szCs w:val="21"/>
                <w:lang w:val="en-US" w:eastAsia="zh-CN" w:bidi="ar"/>
              </w:rPr>
              <w:t>直播间由风道供风，保证直播间安静无噪声</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lang w:eastAsia="zh-CN"/>
              </w:rPr>
            </w:pPr>
            <w:r>
              <w:rPr>
                <w:rFonts w:hint="eastAsia" w:ascii="仿宋_GB2312" w:hAnsi="仿宋_GB2312" w:eastAsia="仿宋_GB2312" w:cs="仿宋_GB2312"/>
                <w:b w:val="0"/>
                <w:bCs w:val="0"/>
                <w:kern w:val="0"/>
                <w:sz w:val="21"/>
                <w:szCs w:val="21"/>
                <w:lang w:eastAsia="zh-CN"/>
              </w:rPr>
              <w:t>套</w:t>
            </w:r>
          </w:p>
        </w:tc>
        <w:tc>
          <w:tcPr>
            <w:tcW w:w="1701" w:type="dxa"/>
            <w:tcBorders>
              <w:top w:val="single" w:color="000000" w:sz="4" w:space="0"/>
              <w:left w:val="single" w:color="000000" w:sz="4" w:space="0"/>
              <w:bottom w:val="single" w:color="000000" w:sz="4" w:space="0"/>
              <w:right w:val="single" w:color="000000" w:sz="4" w:space="0"/>
            </w:tcBorders>
          </w:tcPr>
          <w:p>
            <w:pPr>
              <w:widowControl/>
              <w:jc w:val="both"/>
              <w:textAlignment w:val="center"/>
              <w:rPr>
                <w:rFonts w:hint="eastAsia" w:ascii="仿宋_GB2312" w:hAnsi="仿宋_GB2312" w:eastAsia="仿宋_GB2312" w:cs="仿宋_GB2312"/>
                <w:b w:val="0"/>
                <w:bCs w:val="0"/>
                <w:kern w:val="0"/>
                <w:sz w:val="21"/>
                <w:szCs w:val="21"/>
                <w:lang w:eastAsia="zh-CN"/>
              </w:rPr>
            </w:pPr>
          </w:p>
        </w:tc>
      </w:tr>
      <w:tr>
        <w:tblPrEx>
          <w:tblCellMar>
            <w:top w:w="0" w:type="dxa"/>
            <w:left w:w="108" w:type="dxa"/>
            <w:bottom w:w="0" w:type="dxa"/>
            <w:right w:w="108" w:type="dxa"/>
          </w:tblCellMar>
        </w:tblPrEx>
        <w:trPr>
          <w:trHeight w:val="707"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34</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eastAsia="zh-CN" w:bidi="ar"/>
              </w:rPr>
            </w:pPr>
            <w:r>
              <w:rPr>
                <w:rFonts w:hint="eastAsia" w:ascii="仿宋_GB2312" w:hAnsi="仿宋_GB2312" w:eastAsia="仿宋_GB2312" w:cs="仿宋_GB2312"/>
                <w:b w:val="0"/>
                <w:bCs w:val="0"/>
                <w:color w:val="000000"/>
                <w:kern w:val="0"/>
                <w:sz w:val="21"/>
                <w:szCs w:val="21"/>
                <w:lang w:bidi="ar"/>
              </w:rPr>
              <w:t>满足直播间的配套</w:t>
            </w:r>
            <w:r>
              <w:rPr>
                <w:rFonts w:hint="eastAsia" w:ascii="仿宋_GB2312" w:hAnsi="仿宋_GB2312" w:eastAsia="仿宋_GB2312" w:cs="仿宋_GB2312"/>
                <w:b w:val="0"/>
                <w:bCs w:val="0"/>
                <w:color w:val="000000"/>
                <w:kern w:val="0"/>
                <w:sz w:val="21"/>
                <w:szCs w:val="21"/>
                <w:lang w:eastAsia="zh-CN" w:bidi="ar"/>
              </w:rPr>
              <w:t>配件、</w:t>
            </w:r>
            <w:r>
              <w:rPr>
                <w:rFonts w:hint="eastAsia" w:ascii="仿宋_GB2312" w:hAnsi="仿宋_GB2312" w:eastAsia="仿宋_GB2312" w:cs="仿宋_GB2312"/>
                <w:b w:val="0"/>
                <w:bCs w:val="0"/>
                <w:color w:val="000000"/>
                <w:kern w:val="0"/>
                <w:sz w:val="21"/>
                <w:szCs w:val="21"/>
                <w:lang w:bidi="ar"/>
              </w:rPr>
              <w:t>线材</w:t>
            </w:r>
            <w:r>
              <w:rPr>
                <w:rFonts w:hint="eastAsia" w:ascii="仿宋_GB2312" w:hAnsi="仿宋_GB2312" w:eastAsia="仿宋_GB2312" w:cs="仿宋_GB2312"/>
                <w:b w:val="0"/>
                <w:bCs w:val="0"/>
                <w:color w:val="000000"/>
                <w:kern w:val="0"/>
                <w:sz w:val="21"/>
                <w:szCs w:val="21"/>
                <w:lang w:eastAsia="zh-CN" w:bidi="ar"/>
              </w:rPr>
              <w:t>等</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sz w:val="21"/>
                <w:szCs w:val="21"/>
              </w:rPr>
              <w:t>完成直播间设备的所需集成的所有线材及配件等</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项</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r>
        <w:tblPrEx>
          <w:tblCellMar>
            <w:top w:w="0" w:type="dxa"/>
            <w:left w:w="108" w:type="dxa"/>
            <w:bottom w:w="0" w:type="dxa"/>
            <w:right w:w="108" w:type="dxa"/>
          </w:tblCellMar>
        </w:tblPrEx>
        <w:trPr>
          <w:trHeight w:val="833" w:hRule="atLeast"/>
        </w:trPr>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仿宋_GB2312" w:hAnsi="仿宋_GB2312" w:eastAsia="仿宋_GB2312" w:cs="仿宋_GB2312"/>
                <w:b w:val="0"/>
                <w:bCs w:val="0"/>
                <w:kern w:val="0"/>
                <w:sz w:val="21"/>
                <w:szCs w:val="21"/>
                <w:lang w:val="en-US" w:eastAsia="zh-CN"/>
              </w:rPr>
            </w:pPr>
            <w:r>
              <w:rPr>
                <w:rFonts w:hint="eastAsia" w:ascii="仿宋_GB2312" w:hAnsi="仿宋_GB2312" w:eastAsia="仿宋_GB2312" w:cs="仿宋_GB2312"/>
                <w:b w:val="0"/>
                <w:bCs w:val="0"/>
                <w:kern w:val="0"/>
                <w:sz w:val="21"/>
                <w:szCs w:val="21"/>
                <w:lang w:val="en-US" w:eastAsia="zh-CN"/>
              </w:rPr>
              <w:t>35</w:t>
            </w:r>
          </w:p>
        </w:tc>
        <w:tc>
          <w:tcPr>
            <w:tcW w:w="2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color w:val="000000"/>
                <w:kern w:val="0"/>
                <w:sz w:val="21"/>
                <w:szCs w:val="21"/>
                <w:lang w:bidi="ar"/>
              </w:rPr>
            </w:pPr>
            <w:r>
              <w:rPr>
                <w:rFonts w:hint="eastAsia" w:ascii="仿宋_GB2312" w:hAnsi="仿宋_GB2312" w:eastAsia="仿宋_GB2312" w:cs="仿宋_GB2312"/>
                <w:b w:val="0"/>
                <w:bCs w:val="0"/>
                <w:color w:val="000000"/>
                <w:kern w:val="0"/>
                <w:sz w:val="21"/>
                <w:szCs w:val="21"/>
                <w:lang w:bidi="ar"/>
              </w:rPr>
              <w:t>所有设备安装、集成</w:t>
            </w:r>
          </w:p>
        </w:tc>
        <w:tc>
          <w:tcPr>
            <w:tcW w:w="7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完成所有设备的安装、集成，对于若出现互斥的设备，进行合理化的调配</w:t>
            </w:r>
          </w:p>
        </w:tc>
        <w:tc>
          <w:tcPr>
            <w:tcW w:w="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1</w:t>
            </w:r>
          </w:p>
        </w:tc>
        <w:tc>
          <w:tcPr>
            <w:tcW w:w="6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_GB2312" w:hAnsi="仿宋_GB2312" w:eastAsia="仿宋_GB2312" w:cs="仿宋_GB2312"/>
                <w:b w:val="0"/>
                <w:bCs w:val="0"/>
                <w:kern w:val="0"/>
                <w:sz w:val="21"/>
                <w:szCs w:val="21"/>
              </w:rPr>
            </w:pPr>
            <w:r>
              <w:rPr>
                <w:rFonts w:hint="eastAsia" w:ascii="仿宋_GB2312" w:hAnsi="仿宋_GB2312" w:eastAsia="仿宋_GB2312" w:cs="仿宋_GB2312"/>
                <w:b w:val="0"/>
                <w:bCs w:val="0"/>
                <w:kern w:val="0"/>
                <w:sz w:val="21"/>
                <w:szCs w:val="21"/>
              </w:rPr>
              <w:t>项</w:t>
            </w:r>
          </w:p>
        </w:tc>
        <w:tc>
          <w:tcPr>
            <w:tcW w:w="1701" w:type="dxa"/>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仿宋_GB2312" w:hAnsi="仿宋_GB2312" w:eastAsia="仿宋_GB2312" w:cs="仿宋_GB2312"/>
                <w:b w:val="0"/>
                <w:bCs w:val="0"/>
                <w:kern w:val="0"/>
                <w:sz w:val="21"/>
                <w:szCs w:val="21"/>
              </w:rPr>
            </w:pPr>
          </w:p>
        </w:tc>
      </w:tr>
    </w:tbl>
    <w:p>
      <w:pPr>
        <w:pStyle w:val="2"/>
        <w:rPr>
          <w:rFonts w:hint="eastAsia" w:ascii="仿宋_GB2312" w:hAnsi="仿宋_GB2312" w:eastAsia="仿宋_GB2312" w:cs="仿宋_GB2312"/>
          <w:b w:val="0"/>
          <w:bCs w:val="0"/>
          <w:sz w:val="21"/>
          <w:szCs w:val="21"/>
        </w:rPr>
      </w:pPr>
    </w:p>
    <w:sectPr>
      <w:pgSz w:w="16838" w:h="11906" w:orient="landscape"/>
      <w:pgMar w:top="1803" w:right="1440" w:bottom="1803" w:left="1440"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A2F84BB"/>
    <w:multiLevelType w:val="singleLevel"/>
    <w:tmpl w:val="2A2F84BB"/>
    <w:lvl w:ilvl="0" w:tentative="0">
      <w:start w:val="10"/>
      <w:numFmt w:val="decimal"/>
      <w:suff w:val="nothing"/>
      <w:lvlText w:val="%1-"/>
      <w:lvlJc w:val="left"/>
    </w:lvl>
  </w:abstractNum>
  <w:abstractNum w:abstractNumId="1">
    <w:nsid w:val="330FCB1B"/>
    <w:multiLevelType w:val="singleLevel"/>
    <w:tmpl w:val="330FCB1B"/>
    <w:lvl w:ilvl="0" w:tentative="0">
      <w:start w:val="1"/>
      <w:numFmt w:val="chineseCounting"/>
      <w:suff w:val="nothing"/>
      <w:lvlText w:val="%1、"/>
      <w:lvlJc w:val="left"/>
      <w:pPr>
        <w:ind w:left="28"/>
      </w:pPr>
      <w:rPr>
        <w:rFonts w:hint="eastAsia"/>
      </w:rPr>
    </w:lvl>
  </w:abstractNum>
  <w:abstractNum w:abstractNumId="2">
    <w:nsid w:val="618493DD"/>
    <w:multiLevelType w:val="singleLevel"/>
    <w:tmpl w:val="618493DD"/>
    <w:lvl w:ilvl="0" w:tentative="0">
      <w:start w:val="1"/>
      <w:numFmt w:val="chineseCounting"/>
      <w:suff w:val="nothing"/>
      <w:lvlText w:val="%1、"/>
      <w:lvlJc w:val="left"/>
      <w:pPr>
        <w:ind w:left="-480" w:firstLine="420"/>
      </w:pPr>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8"/>
  <w:doNotDisplayPageBoundaries w:val="1"/>
  <w:bordersDoNotSurroundHeader w:val="1"/>
  <w:bordersDoNotSurroundFooter w:val="1"/>
  <w:documentProtection w:enforcement="0"/>
  <w:defaultTabStop w:val="420"/>
  <w:drawingGridVerticalSpacing w:val="159"/>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MxMDBlNjY5YWI1ZGViNWNlMzhjOWQyNjdiODA2YWYifQ=="/>
  </w:docVars>
  <w:rsids>
    <w:rsidRoot w:val="00172A27"/>
    <w:rsid w:val="0001023A"/>
    <w:rsid w:val="00027215"/>
    <w:rsid w:val="000540A4"/>
    <w:rsid w:val="000654BD"/>
    <w:rsid w:val="000B2A43"/>
    <w:rsid w:val="000C7968"/>
    <w:rsid w:val="00100445"/>
    <w:rsid w:val="0010222F"/>
    <w:rsid w:val="00112D2C"/>
    <w:rsid w:val="0013153B"/>
    <w:rsid w:val="00143EE6"/>
    <w:rsid w:val="00153F98"/>
    <w:rsid w:val="00172A27"/>
    <w:rsid w:val="00183168"/>
    <w:rsid w:val="001951BC"/>
    <w:rsid w:val="001D1A27"/>
    <w:rsid w:val="001E4348"/>
    <w:rsid w:val="00200442"/>
    <w:rsid w:val="002961AF"/>
    <w:rsid w:val="002A55D9"/>
    <w:rsid w:val="002A5EBA"/>
    <w:rsid w:val="00346BCB"/>
    <w:rsid w:val="00356ADB"/>
    <w:rsid w:val="003671D0"/>
    <w:rsid w:val="00397D39"/>
    <w:rsid w:val="003D1D1B"/>
    <w:rsid w:val="004149DE"/>
    <w:rsid w:val="004240F9"/>
    <w:rsid w:val="004261EE"/>
    <w:rsid w:val="00435071"/>
    <w:rsid w:val="0045714E"/>
    <w:rsid w:val="00462A97"/>
    <w:rsid w:val="00463764"/>
    <w:rsid w:val="004D5B41"/>
    <w:rsid w:val="004F2AA6"/>
    <w:rsid w:val="0051030C"/>
    <w:rsid w:val="00510580"/>
    <w:rsid w:val="005337FC"/>
    <w:rsid w:val="00537A37"/>
    <w:rsid w:val="0055521C"/>
    <w:rsid w:val="0056230F"/>
    <w:rsid w:val="0057669C"/>
    <w:rsid w:val="005847A1"/>
    <w:rsid w:val="00597F4A"/>
    <w:rsid w:val="005B1EDA"/>
    <w:rsid w:val="00601442"/>
    <w:rsid w:val="00614621"/>
    <w:rsid w:val="00647F2A"/>
    <w:rsid w:val="006634A8"/>
    <w:rsid w:val="006B6C11"/>
    <w:rsid w:val="006D39A9"/>
    <w:rsid w:val="006D3C28"/>
    <w:rsid w:val="006D65F4"/>
    <w:rsid w:val="006D7BC9"/>
    <w:rsid w:val="00753D63"/>
    <w:rsid w:val="007A088C"/>
    <w:rsid w:val="007A4750"/>
    <w:rsid w:val="007B1C68"/>
    <w:rsid w:val="007D282A"/>
    <w:rsid w:val="007F5663"/>
    <w:rsid w:val="008000ED"/>
    <w:rsid w:val="008555F1"/>
    <w:rsid w:val="00870AB7"/>
    <w:rsid w:val="008E493D"/>
    <w:rsid w:val="00900861"/>
    <w:rsid w:val="00926D24"/>
    <w:rsid w:val="00943DDB"/>
    <w:rsid w:val="009A12A6"/>
    <w:rsid w:val="009D602A"/>
    <w:rsid w:val="009F7B6A"/>
    <w:rsid w:val="00A10145"/>
    <w:rsid w:val="00A1308C"/>
    <w:rsid w:val="00A307CF"/>
    <w:rsid w:val="00A522A1"/>
    <w:rsid w:val="00A83828"/>
    <w:rsid w:val="00A87BCF"/>
    <w:rsid w:val="00B551C6"/>
    <w:rsid w:val="00B55B3F"/>
    <w:rsid w:val="00B6389D"/>
    <w:rsid w:val="00B673F2"/>
    <w:rsid w:val="00BA2145"/>
    <w:rsid w:val="00BB5ABA"/>
    <w:rsid w:val="00BD6767"/>
    <w:rsid w:val="00BE0B1B"/>
    <w:rsid w:val="00C32C5C"/>
    <w:rsid w:val="00C55060"/>
    <w:rsid w:val="00C641DA"/>
    <w:rsid w:val="00CB56D5"/>
    <w:rsid w:val="00CB7303"/>
    <w:rsid w:val="00D07EA9"/>
    <w:rsid w:val="00D10A55"/>
    <w:rsid w:val="00D14BB9"/>
    <w:rsid w:val="00D7328B"/>
    <w:rsid w:val="00DD6D72"/>
    <w:rsid w:val="00E22FA2"/>
    <w:rsid w:val="00E5544D"/>
    <w:rsid w:val="00EA1225"/>
    <w:rsid w:val="00EE2C1D"/>
    <w:rsid w:val="00EF6B64"/>
    <w:rsid w:val="00EF7282"/>
    <w:rsid w:val="00F05521"/>
    <w:rsid w:val="00F35D39"/>
    <w:rsid w:val="00F4339A"/>
    <w:rsid w:val="00F62AFE"/>
    <w:rsid w:val="00FA069F"/>
    <w:rsid w:val="00FD51BD"/>
    <w:rsid w:val="01847C8D"/>
    <w:rsid w:val="02BF0F17"/>
    <w:rsid w:val="043D0F3B"/>
    <w:rsid w:val="06065548"/>
    <w:rsid w:val="066A1827"/>
    <w:rsid w:val="07C53B03"/>
    <w:rsid w:val="09EC3A27"/>
    <w:rsid w:val="09F441DB"/>
    <w:rsid w:val="0B2F31E8"/>
    <w:rsid w:val="0C8278CB"/>
    <w:rsid w:val="0CA350DD"/>
    <w:rsid w:val="0F1C5055"/>
    <w:rsid w:val="0F2563F6"/>
    <w:rsid w:val="0F4B48EC"/>
    <w:rsid w:val="10F46F4A"/>
    <w:rsid w:val="115F02EA"/>
    <w:rsid w:val="12972B11"/>
    <w:rsid w:val="13010CDD"/>
    <w:rsid w:val="134E086A"/>
    <w:rsid w:val="13AF0634"/>
    <w:rsid w:val="13DF448B"/>
    <w:rsid w:val="146E7161"/>
    <w:rsid w:val="1513234B"/>
    <w:rsid w:val="15E170A9"/>
    <w:rsid w:val="17FD24FB"/>
    <w:rsid w:val="184A4280"/>
    <w:rsid w:val="18C96E4C"/>
    <w:rsid w:val="1A7075C0"/>
    <w:rsid w:val="1B5A7C65"/>
    <w:rsid w:val="1BCF2CE4"/>
    <w:rsid w:val="1C10672E"/>
    <w:rsid w:val="1C5A78AA"/>
    <w:rsid w:val="1D590A35"/>
    <w:rsid w:val="1E4C7D38"/>
    <w:rsid w:val="1E567848"/>
    <w:rsid w:val="1E9375F4"/>
    <w:rsid w:val="1F121428"/>
    <w:rsid w:val="2070700F"/>
    <w:rsid w:val="212A7CEB"/>
    <w:rsid w:val="213C5E1A"/>
    <w:rsid w:val="22221E5C"/>
    <w:rsid w:val="22324752"/>
    <w:rsid w:val="22DA285C"/>
    <w:rsid w:val="23773744"/>
    <w:rsid w:val="23F073B8"/>
    <w:rsid w:val="24D64800"/>
    <w:rsid w:val="26864004"/>
    <w:rsid w:val="27B65440"/>
    <w:rsid w:val="27D83AE1"/>
    <w:rsid w:val="27DA63B5"/>
    <w:rsid w:val="28E961FC"/>
    <w:rsid w:val="2A0F0C69"/>
    <w:rsid w:val="2ACA60C4"/>
    <w:rsid w:val="2AD006AB"/>
    <w:rsid w:val="2B213D29"/>
    <w:rsid w:val="2B2B6F28"/>
    <w:rsid w:val="2B7C42A4"/>
    <w:rsid w:val="2E2302F0"/>
    <w:rsid w:val="2F921F74"/>
    <w:rsid w:val="2FAA0B5E"/>
    <w:rsid w:val="30784E50"/>
    <w:rsid w:val="312A39EE"/>
    <w:rsid w:val="331007CE"/>
    <w:rsid w:val="33A23687"/>
    <w:rsid w:val="35890D43"/>
    <w:rsid w:val="35EC5E94"/>
    <w:rsid w:val="36592A9B"/>
    <w:rsid w:val="37010F68"/>
    <w:rsid w:val="37313B18"/>
    <w:rsid w:val="37AA59CF"/>
    <w:rsid w:val="38E71E55"/>
    <w:rsid w:val="3ABA00A5"/>
    <w:rsid w:val="3D8E3A72"/>
    <w:rsid w:val="3D8F0A2E"/>
    <w:rsid w:val="3F067638"/>
    <w:rsid w:val="3F13723E"/>
    <w:rsid w:val="3FD15E98"/>
    <w:rsid w:val="41FC61A7"/>
    <w:rsid w:val="427A6160"/>
    <w:rsid w:val="42E45EE2"/>
    <w:rsid w:val="431A624E"/>
    <w:rsid w:val="43897C79"/>
    <w:rsid w:val="43A318F9"/>
    <w:rsid w:val="43F137B3"/>
    <w:rsid w:val="44944B08"/>
    <w:rsid w:val="44C6606D"/>
    <w:rsid w:val="476B6DA4"/>
    <w:rsid w:val="4B962B49"/>
    <w:rsid w:val="4BA723B1"/>
    <w:rsid w:val="4C1E1AF9"/>
    <w:rsid w:val="4C341C88"/>
    <w:rsid w:val="4C96649F"/>
    <w:rsid w:val="4E002090"/>
    <w:rsid w:val="4E7F75D8"/>
    <w:rsid w:val="4F805F4D"/>
    <w:rsid w:val="4F8B79B1"/>
    <w:rsid w:val="508A1E29"/>
    <w:rsid w:val="50B66C5A"/>
    <w:rsid w:val="51D713AE"/>
    <w:rsid w:val="52033D21"/>
    <w:rsid w:val="5253362F"/>
    <w:rsid w:val="534E3E61"/>
    <w:rsid w:val="54040192"/>
    <w:rsid w:val="541977FF"/>
    <w:rsid w:val="5669167D"/>
    <w:rsid w:val="56A900C8"/>
    <w:rsid w:val="57E207EA"/>
    <w:rsid w:val="58022741"/>
    <w:rsid w:val="58227D66"/>
    <w:rsid w:val="584442C0"/>
    <w:rsid w:val="585C7429"/>
    <w:rsid w:val="587E37BC"/>
    <w:rsid w:val="5AFC0468"/>
    <w:rsid w:val="5C741409"/>
    <w:rsid w:val="5C8D581E"/>
    <w:rsid w:val="5CF64305"/>
    <w:rsid w:val="5EAA09AA"/>
    <w:rsid w:val="5EEE21E1"/>
    <w:rsid w:val="5EEE5CC7"/>
    <w:rsid w:val="5FDE0AD6"/>
    <w:rsid w:val="6027554E"/>
    <w:rsid w:val="60ED125E"/>
    <w:rsid w:val="616337F8"/>
    <w:rsid w:val="616F2204"/>
    <w:rsid w:val="635A6928"/>
    <w:rsid w:val="63D23E09"/>
    <w:rsid w:val="63E405A1"/>
    <w:rsid w:val="64455110"/>
    <w:rsid w:val="64915A72"/>
    <w:rsid w:val="64D771FD"/>
    <w:rsid w:val="64E92EE4"/>
    <w:rsid w:val="662F72F1"/>
    <w:rsid w:val="67220C03"/>
    <w:rsid w:val="677C4B46"/>
    <w:rsid w:val="678E2172"/>
    <w:rsid w:val="687E15AE"/>
    <w:rsid w:val="68A22F85"/>
    <w:rsid w:val="69480A02"/>
    <w:rsid w:val="6C8540C1"/>
    <w:rsid w:val="6CEC67B2"/>
    <w:rsid w:val="6D813DE0"/>
    <w:rsid w:val="6E3D3472"/>
    <w:rsid w:val="6E44077C"/>
    <w:rsid w:val="6ED8209F"/>
    <w:rsid w:val="6FA0200B"/>
    <w:rsid w:val="70991F9B"/>
    <w:rsid w:val="714F0EB4"/>
    <w:rsid w:val="71725299"/>
    <w:rsid w:val="739006D8"/>
    <w:rsid w:val="74CE1570"/>
    <w:rsid w:val="74E7523A"/>
    <w:rsid w:val="754D1541"/>
    <w:rsid w:val="766A68B9"/>
    <w:rsid w:val="7940316B"/>
    <w:rsid w:val="7A0F7511"/>
    <w:rsid w:val="7A7A7281"/>
    <w:rsid w:val="7E066FDB"/>
    <w:rsid w:val="7E9975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style>
  <w:style w:type="paragraph" w:styleId="3">
    <w:name w:val="annotation text"/>
    <w:basedOn w:val="1"/>
    <w:qFormat/>
    <w:uiPriority w:val="0"/>
    <w:pPr>
      <w:jc w:val="left"/>
    </w:pPr>
  </w:style>
  <w:style w:type="paragraph" w:styleId="4">
    <w:name w:val="footer"/>
    <w:basedOn w:val="1"/>
    <w:link w:val="10"/>
    <w:qFormat/>
    <w:uiPriority w:val="0"/>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customStyle="1" w:styleId="8">
    <w:name w:val="列出段落2"/>
    <w:basedOn w:val="1"/>
    <w:qFormat/>
    <w:uiPriority w:val="0"/>
    <w:pPr>
      <w:ind w:firstLine="420" w:firstLineChars="200"/>
    </w:pPr>
    <w:rPr>
      <w:rFonts w:ascii="Calibri" w:hAnsi="Calibri"/>
      <w:szCs w:val="21"/>
    </w:rPr>
  </w:style>
  <w:style w:type="character" w:customStyle="1" w:styleId="9">
    <w:name w:val="页眉 字符"/>
    <w:basedOn w:val="7"/>
    <w:link w:val="5"/>
    <w:qFormat/>
    <w:uiPriority w:val="0"/>
    <w:rPr>
      <w:kern w:val="2"/>
      <w:sz w:val="18"/>
      <w:szCs w:val="18"/>
    </w:rPr>
  </w:style>
  <w:style w:type="character" w:customStyle="1" w:styleId="10">
    <w:name w:val="页脚 字符"/>
    <w:basedOn w:val="7"/>
    <w:link w:val="4"/>
    <w:qFormat/>
    <w:uiPriority w:val="0"/>
    <w:rPr>
      <w:kern w:val="2"/>
      <w:sz w:val="18"/>
      <w:szCs w:val="18"/>
    </w:rPr>
  </w:style>
  <w:style w:type="paragraph" w:styleId="11">
    <w:name w:val="List Paragraph"/>
    <w:basedOn w:val="1"/>
    <w:qFormat/>
    <w:uiPriority w:val="34"/>
    <w:pPr>
      <w:ind w:firstLine="420" w:firstLineChars="200"/>
    </w:pPr>
    <w:rPr>
      <w:rFonts w:asciiTheme="minorHAnsi" w:hAnsiTheme="minorHAnsi" w:eastAsiaTheme="minorEastAsia" w:cstheme="minorBidi"/>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 </Company>
  <Pages>14</Pages>
  <Words>895</Words>
  <Characters>5103</Characters>
  <Lines>42</Lines>
  <Paragraphs>11</Paragraphs>
  <TotalTime>1</TotalTime>
  <ScaleCrop>false</ScaleCrop>
  <LinksUpToDate>false</LinksUpToDate>
  <CharactersWithSpaces>5987</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2023-09-19T02:29:00Z</dcterms:created>
  <dc:creator>Administrator</dc:creator>
  <cp:lastModifiedBy>余蕾</cp:lastModifiedBy>
  <dcterms:modified xsi:type="dcterms:W3CDTF">2023-11-15T01:01:57Z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y fmtid="{D5CDD505-2E9C-101B-9397-08002B2CF9AE}" pid="3" name="ICV">
    <vt:lpwstr>293CEFC128064432AC889E73974E5CA8</vt:lpwstr>
  </property>
</Properties>
</file>