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07" w:rsidRDefault="006500D0">
      <w:pPr>
        <w:pStyle w:val="1"/>
        <w:rPr>
          <w:rFonts w:ascii="黑体" w:eastAsia="黑体" w:hAnsi="宋体" w:cs="Times New Roman"/>
          <w:sz w:val="30"/>
          <w:szCs w:val="30"/>
        </w:rPr>
      </w:pPr>
      <w:r>
        <w:rPr>
          <w:rFonts w:ascii="黑体" w:eastAsia="黑体" w:hAnsi="宋体" w:cs="黑体" w:hint="eastAsia"/>
          <w:sz w:val="30"/>
          <w:szCs w:val="30"/>
        </w:rPr>
        <w:t>技术参数要求</w:t>
      </w:r>
    </w:p>
    <w:tbl>
      <w:tblPr>
        <w:tblW w:w="9015"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653"/>
        <w:gridCol w:w="1374"/>
        <w:gridCol w:w="6988"/>
      </w:tblGrid>
      <w:tr w:rsidR="001B4F07">
        <w:trPr>
          <w:trHeight w:val="360"/>
          <w:tblHeader/>
          <w:jc w:val="center"/>
        </w:trPr>
        <w:tc>
          <w:tcPr>
            <w:tcW w:w="9015" w:type="dxa"/>
            <w:gridSpan w:val="3"/>
            <w:tcBorders>
              <w:top w:val="single" w:sz="4" w:space="0" w:color="auto"/>
            </w:tcBorders>
            <w:vAlign w:val="center"/>
          </w:tcPr>
          <w:p w:rsidR="001B4F07" w:rsidRDefault="006500D0">
            <w:pPr>
              <w:spacing w:line="360" w:lineRule="auto"/>
              <w:jc w:val="center"/>
              <w:rPr>
                <w:rFonts w:ascii="黑体" w:eastAsia="黑体" w:cs="Times New Roman"/>
                <w:b/>
                <w:bCs/>
              </w:rPr>
            </w:pPr>
            <w:r>
              <w:rPr>
                <w:rFonts w:ascii="黑体" w:eastAsia="黑体" w:hAnsi="宋体" w:cs="黑体" w:hint="eastAsia"/>
                <w:b/>
                <w:bCs/>
              </w:rPr>
              <w:t>招标要求</w:t>
            </w:r>
          </w:p>
        </w:tc>
      </w:tr>
      <w:tr w:rsidR="001B4F07">
        <w:trPr>
          <w:trHeight w:val="360"/>
          <w:tblHeader/>
          <w:jc w:val="center"/>
        </w:trPr>
        <w:tc>
          <w:tcPr>
            <w:tcW w:w="653" w:type="dxa"/>
            <w:vAlign w:val="center"/>
          </w:tcPr>
          <w:p w:rsidR="001B4F07" w:rsidRDefault="006500D0">
            <w:pPr>
              <w:spacing w:line="360" w:lineRule="auto"/>
              <w:rPr>
                <w:rFonts w:ascii="黑体" w:eastAsia="黑体" w:cs="Times New Roman"/>
                <w:b/>
                <w:bCs/>
              </w:rPr>
            </w:pPr>
            <w:r>
              <w:rPr>
                <w:rFonts w:ascii="黑体" w:eastAsia="黑体" w:hAnsi="宋体" w:cs="黑体" w:hint="eastAsia"/>
                <w:b/>
                <w:bCs/>
              </w:rPr>
              <w:t>序号</w:t>
            </w:r>
          </w:p>
        </w:tc>
        <w:tc>
          <w:tcPr>
            <w:tcW w:w="1374" w:type="dxa"/>
            <w:tcBorders>
              <w:right w:val="single" w:sz="4" w:space="0" w:color="auto"/>
            </w:tcBorders>
            <w:vAlign w:val="center"/>
          </w:tcPr>
          <w:p w:rsidR="001B4F07" w:rsidRDefault="006500D0">
            <w:pPr>
              <w:spacing w:line="360" w:lineRule="auto"/>
              <w:jc w:val="center"/>
              <w:rPr>
                <w:rFonts w:ascii="黑体" w:eastAsia="黑体" w:cs="Times New Roman"/>
                <w:b/>
                <w:bCs/>
              </w:rPr>
            </w:pPr>
            <w:r>
              <w:rPr>
                <w:rFonts w:ascii="黑体" w:eastAsia="黑体" w:hAnsi="宋体" w:cs="黑体" w:hint="eastAsia"/>
                <w:b/>
                <w:bCs/>
              </w:rPr>
              <w:t>项目</w:t>
            </w:r>
          </w:p>
        </w:tc>
        <w:tc>
          <w:tcPr>
            <w:tcW w:w="6988" w:type="dxa"/>
            <w:tcBorders>
              <w:left w:val="single" w:sz="4" w:space="0" w:color="auto"/>
            </w:tcBorders>
            <w:vAlign w:val="center"/>
          </w:tcPr>
          <w:p w:rsidR="001B4F07" w:rsidRDefault="006500D0">
            <w:pPr>
              <w:spacing w:line="360" w:lineRule="auto"/>
              <w:jc w:val="center"/>
              <w:rPr>
                <w:rFonts w:ascii="黑体" w:eastAsia="黑体" w:cs="Times New Roman"/>
                <w:b/>
                <w:bCs/>
              </w:rPr>
            </w:pPr>
            <w:r>
              <w:rPr>
                <w:rFonts w:ascii="黑体" w:eastAsia="黑体" w:hAnsi="宋体" w:cs="黑体" w:hint="eastAsia"/>
                <w:b/>
                <w:bCs/>
              </w:rPr>
              <w:t>配置要求</w:t>
            </w:r>
          </w:p>
        </w:tc>
      </w:tr>
      <w:tr w:rsidR="001B4F07">
        <w:trPr>
          <w:trHeight w:val="360"/>
          <w:tblHeader/>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1</w:t>
            </w:r>
          </w:p>
        </w:tc>
        <w:tc>
          <w:tcPr>
            <w:tcW w:w="1374" w:type="dxa"/>
            <w:tcBorders>
              <w:right w:val="single" w:sz="4" w:space="0" w:color="auto"/>
            </w:tcBorders>
            <w:vAlign w:val="center"/>
          </w:tcPr>
          <w:p w:rsidR="001B4F07" w:rsidRDefault="006500D0">
            <w:pPr>
              <w:spacing w:line="360" w:lineRule="auto"/>
              <w:rPr>
                <w:rFonts w:ascii="宋体" w:eastAsia="宋体" w:hAnsi="宋体" w:cs="宋体"/>
              </w:rPr>
            </w:pPr>
            <w:r>
              <w:rPr>
                <w:rFonts w:ascii="宋体" w:eastAsia="宋体" w:hAnsi="宋体" w:cs="宋体" w:hint="eastAsia"/>
              </w:rPr>
              <w:t>机型</w:t>
            </w:r>
          </w:p>
        </w:tc>
        <w:tc>
          <w:tcPr>
            <w:tcW w:w="6988" w:type="dxa"/>
            <w:tcBorders>
              <w:left w:val="single" w:sz="4" w:space="0" w:color="auto"/>
            </w:tcBorders>
            <w:vAlign w:val="center"/>
          </w:tcPr>
          <w:p w:rsidR="001B4F07" w:rsidRDefault="006500D0">
            <w:pPr>
              <w:spacing w:line="360" w:lineRule="auto"/>
              <w:rPr>
                <w:rFonts w:cs="宋体"/>
                <w:b/>
                <w:bCs/>
                <w:kern w:val="0"/>
                <w:sz w:val="20"/>
                <w:szCs w:val="20"/>
              </w:rPr>
            </w:pPr>
            <w:r>
              <w:rPr>
                <w:rFonts w:cs="宋体" w:hint="eastAsia"/>
                <w:b/>
                <w:bCs/>
                <w:kern w:val="0"/>
                <w:sz w:val="20"/>
                <w:szCs w:val="20"/>
              </w:rPr>
              <w:t>台式机M420-D211  17台</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2</w:t>
            </w:r>
          </w:p>
        </w:tc>
        <w:tc>
          <w:tcPr>
            <w:tcW w:w="1374" w:type="dxa"/>
            <w:tcBorders>
              <w:right w:val="single" w:sz="4" w:space="0" w:color="auto"/>
            </w:tcBorders>
            <w:vAlign w:val="center"/>
          </w:tcPr>
          <w:p w:rsidR="001B4F07" w:rsidRDefault="006500D0">
            <w:pPr>
              <w:spacing w:line="360" w:lineRule="auto"/>
              <w:rPr>
                <w:rFonts w:ascii="宋体" w:eastAsia="宋体" w:hAnsi="宋体" w:cs="Times New Roman"/>
              </w:rPr>
            </w:pPr>
            <w:r>
              <w:rPr>
                <w:rFonts w:ascii="宋体" w:eastAsia="宋体" w:hAnsi="宋体" w:cs="宋体" w:hint="eastAsia"/>
                <w:color w:val="000000"/>
              </w:rPr>
              <w:t>★</w:t>
            </w:r>
            <w:r>
              <w:rPr>
                <w:rFonts w:ascii="宋体" w:eastAsia="宋体" w:hAnsi="宋体" w:cs="宋体" w:hint="eastAsia"/>
              </w:rPr>
              <w:t>处理器</w:t>
            </w:r>
          </w:p>
        </w:tc>
        <w:tc>
          <w:tcPr>
            <w:tcW w:w="6988" w:type="dxa"/>
            <w:tcBorders>
              <w:left w:val="single" w:sz="4" w:space="0" w:color="auto"/>
            </w:tcBorders>
            <w:vAlign w:val="center"/>
          </w:tcPr>
          <w:p w:rsidR="001B4F07" w:rsidRDefault="006500D0">
            <w:pPr>
              <w:spacing w:line="360" w:lineRule="auto"/>
              <w:rPr>
                <w:rFonts w:ascii="宋体" w:eastAsia="宋体" w:hAnsi="宋体" w:cs="Times New Roman"/>
              </w:rPr>
            </w:pPr>
            <w:r>
              <w:rPr>
                <w:rFonts w:ascii="宋体" w:hAnsi="宋体" w:hint="eastAsia"/>
                <w:color w:val="000000"/>
                <w:sz w:val="24"/>
                <w:szCs w:val="24"/>
              </w:rPr>
              <w:t>Intel</w:t>
            </w:r>
            <w:r>
              <w:rPr>
                <w:rFonts w:ascii="宋体" w:hAnsi="宋体" w:hint="eastAsia"/>
                <w:color w:val="000000"/>
                <w:sz w:val="24"/>
                <w:szCs w:val="24"/>
              </w:rPr>
              <w:t>酷睿</w:t>
            </w:r>
            <w:r>
              <w:rPr>
                <w:rFonts w:ascii="宋体" w:hAnsi="宋体" w:hint="eastAsia"/>
                <w:color w:val="000000"/>
                <w:sz w:val="24"/>
                <w:szCs w:val="24"/>
              </w:rPr>
              <w:t xml:space="preserve">  i5-9500</w:t>
            </w:r>
            <w:r>
              <w:rPr>
                <w:rFonts w:ascii="宋体" w:hAnsi="宋体" w:hint="eastAsia"/>
                <w:color w:val="000000"/>
                <w:sz w:val="24"/>
                <w:szCs w:val="24"/>
              </w:rPr>
              <w:t>处理器</w:t>
            </w:r>
            <w:r>
              <w:rPr>
                <w:rFonts w:ascii="宋体" w:hAnsi="宋体" w:hint="eastAsia"/>
                <w:color w:val="000000"/>
                <w:sz w:val="24"/>
                <w:szCs w:val="24"/>
              </w:rPr>
              <w:t xml:space="preserve"> </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3</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主板</w:t>
            </w:r>
          </w:p>
        </w:tc>
        <w:tc>
          <w:tcPr>
            <w:tcW w:w="6988" w:type="dxa"/>
            <w:vAlign w:val="center"/>
          </w:tcPr>
          <w:p w:rsidR="001B4F07" w:rsidRDefault="006500D0">
            <w:pPr>
              <w:spacing w:line="360" w:lineRule="auto"/>
              <w:rPr>
                <w:rFonts w:ascii="宋体" w:eastAsia="宋体" w:hAnsi="宋体" w:cs="宋体"/>
              </w:rPr>
            </w:pPr>
            <w:r>
              <w:rPr>
                <w:rFonts w:ascii="宋体" w:hAnsi="宋体" w:hint="eastAsia"/>
                <w:color w:val="000000"/>
                <w:sz w:val="24"/>
                <w:szCs w:val="24"/>
              </w:rPr>
              <w:t>Intel 300</w:t>
            </w:r>
            <w:r>
              <w:rPr>
                <w:rFonts w:ascii="宋体" w:hAnsi="宋体" w:hint="eastAsia"/>
                <w:color w:val="000000"/>
                <w:sz w:val="24"/>
                <w:szCs w:val="24"/>
              </w:rPr>
              <w:t>系列以上芯片组</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4</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★内存</w:t>
            </w:r>
          </w:p>
        </w:tc>
        <w:tc>
          <w:tcPr>
            <w:tcW w:w="6988" w:type="dxa"/>
            <w:vAlign w:val="center"/>
          </w:tcPr>
          <w:p w:rsidR="001B4F07" w:rsidRDefault="006500D0" w:rsidP="00C87CFF">
            <w:pPr>
              <w:spacing w:line="360" w:lineRule="auto"/>
              <w:rPr>
                <w:rFonts w:ascii="宋体" w:eastAsia="宋体" w:hAnsi="宋体" w:cs="宋体"/>
              </w:rPr>
            </w:pPr>
            <w:r>
              <w:rPr>
                <w:rFonts w:cs="Times New Roman" w:hint="eastAsia"/>
                <w:color w:val="000000"/>
              </w:rPr>
              <w:t>配置</w:t>
            </w:r>
            <w:r w:rsidR="00C87CFF">
              <w:rPr>
                <w:rFonts w:cs="Times New Roman" w:hint="eastAsia"/>
                <w:color w:val="000000"/>
              </w:rPr>
              <w:t>8</w:t>
            </w:r>
            <w:r>
              <w:rPr>
                <w:rFonts w:cs="Times New Roman" w:hint="eastAsia"/>
                <w:color w:val="000000"/>
              </w:rPr>
              <w:t>G DDR4 2400MHz 内存 ，2个内存插槽</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5</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★硬盘</w:t>
            </w:r>
          </w:p>
        </w:tc>
        <w:tc>
          <w:tcPr>
            <w:tcW w:w="6988" w:type="dxa"/>
            <w:vAlign w:val="center"/>
          </w:tcPr>
          <w:p w:rsidR="001B4F07" w:rsidRDefault="006500D0">
            <w:pPr>
              <w:spacing w:line="360" w:lineRule="auto"/>
              <w:rPr>
                <w:rFonts w:ascii="宋体" w:eastAsia="宋体" w:hAnsi="宋体" w:cs="宋体"/>
              </w:rPr>
            </w:pPr>
            <w:r>
              <w:rPr>
                <w:rFonts w:cs="Times New Roman" w:hint="eastAsia"/>
                <w:color w:val="000000"/>
              </w:rPr>
              <w:t xml:space="preserve">256GB M.2接口 NVMe协议 TLC +1TSATA硬盘 </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6</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★显卡</w:t>
            </w:r>
          </w:p>
        </w:tc>
        <w:tc>
          <w:tcPr>
            <w:tcW w:w="6988" w:type="dxa"/>
            <w:vAlign w:val="center"/>
          </w:tcPr>
          <w:p w:rsidR="001B4F07" w:rsidRDefault="006500D0">
            <w:pPr>
              <w:spacing w:line="360" w:lineRule="auto"/>
              <w:rPr>
                <w:rFonts w:ascii="宋体" w:eastAsia="宋体" w:hAnsi="宋体" w:cs="宋体"/>
              </w:rPr>
            </w:pPr>
            <w:r>
              <w:rPr>
                <w:rFonts w:ascii="宋体" w:hAnsi="宋体" w:hint="eastAsia"/>
                <w:color w:val="000000"/>
                <w:sz w:val="24"/>
                <w:szCs w:val="24"/>
              </w:rPr>
              <w:t>2G</w:t>
            </w:r>
            <w:r>
              <w:rPr>
                <w:rFonts w:ascii="宋体" w:hAnsi="宋体" w:hint="eastAsia"/>
                <w:color w:val="000000"/>
                <w:sz w:val="24"/>
                <w:szCs w:val="24"/>
              </w:rPr>
              <w:t>独立显卡</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7</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网卡</w:t>
            </w:r>
          </w:p>
        </w:tc>
        <w:tc>
          <w:tcPr>
            <w:tcW w:w="6988" w:type="dxa"/>
            <w:vAlign w:val="center"/>
          </w:tcPr>
          <w:p w:rsidR="001B4F07" w:rsidRDefault="006500D0">
            <w:pPr>
              <w:spacing w:line="360" w:lineRule="auto"/>
              <w:rPr>
                <w:rFonts w:ascii="宋体" w:eastAsia="宋体" w:hAnsi="宋体" w:cs="宋体"/>
              </w:rPr>
            </w:pPr>
            <w:r>
              <w:rPr>
                <w:rFonts w:ascii="宋体" w:eastAsia="宋体" w:hAnsi="宋体" w:cs="宋体" w:hint="eastAsia"/>
              </w:rPr>
              <w:t>集成10/100/1000M以太网卡；</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8</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接口</w:t>
            </w:r>
          </w:p>
        </w:tc>
        <w:tc>
          <w:tcPr>
            <w:tcW w:w="6988" w:type="dxa"/>
            <w:vAlign w:val="center"/>
          </w:tcPr>
          <w:p w:rsidR="001B4F07" w:rsidRDefault="006500D0">
            <w:pPr>
              <w:spacing w:line="360" w:lineRule="auto"/>
              <w:rPr>
                <w:rFonts w:ascii="宋体" w:eastAsia="宋体" w:hAnsi="宋体" w:cs="宋体"/>
              </w:rPr>
            </w:pPr>
            <w:r>
              <w:rPr>
                <w:rFonts w:ascii="宋体" w:eastAsia="宋体" w:hAnsi="宋体" w:cs="宋体" w:hint="eastAsia"/>
              </w:rPr>
              <w:t>10个USB 接口(前置6个USB 3.1 G1，后置4个USB 2.0)、1组PS/2接口、1个串口、VGA+HDMI接口（VGA非转接）； </w:t>
            </w:r>
          </w:p>
        </w:tc>
      </w:tr>
      <w:tr w:rsidR="001B4F07">
        <w:trPr>
          <w:trHeight w:val="48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9</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键盘、鼠标</w:t>
            </w:r>
          </w:p>
        </w:tc>
        <w:tc>
          <w:tcPr>
            <w:tcW w:w="6988" w:type="dxa"/>
          </w:tcPr>
          <w:p w:rsidR="001B4F07" w:rsidRDefault="006500D0">
            <w:pPr>
              <w:spacing w:line="360" w:lineRule="auto"/>
              <w:rPr>
                <w:rFonts w:ascii="宋体" w:eastAsia="宋体" w:hAnsi="宋体" w:cs="宋体"/>
              </w:rPr>
            </w:pPr>
            <w:r>
              <w:rPr>
                <w:rFonts w:ascii="宋体" w:eastAsia="宋体" w:hAnsi="宋体" w:cs="宋体"/>
              </w:rPr>
              <w:t>原厂防水键盘、抗菌鼠标；</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rPr>
              <w:t>10</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安全特性</w:t>
            </w:r>
          </w:p>
        </w:tc>
        <w:tc>
          <w:tcPr>
            <w:tcW w:w="6988" w:type="dxa"/>
          </w:tcPr>
          <w:p w:rsidR="001B4F07" w:rsidRDefault="006500D0">
            <w:pPr>
              <w:spacing w:line="360" w:lineRule="auto"/>
              <w:rPr>
                <w:rFonts w:ascii="宋体" w:eastAsia="宋体" w:hAnsi="宋体" w:cs="宋体"/>
              </w:rPr>
            </w:pPr>
            <w:r>
              <w:rPr>
                <w:rFonts w:cs="Times New Roman"/>
                <w:color w:val="000000"/>
              </w:rPr>
              <w:t>USB屏蔽技术，仅识别USB键盘、鼠标，无法识别其他USB读取设备，有效防止数据泄露；</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rPr>
              <w:t>11</w:t>
            </w:r>
          </w:p>
        </w:tc>
        <w:tc>
          <w:tcPr>
            <w:tcW w:w="1374" w:type="dxa"/>
            <w:vAlign w:val="center"/>
          </w:tcPr>
          <w:p w:rsidR="001B4F07" w:rsidRDefault="006500D0">
            <w:pPr>
              <w:pStyle w:val="ac"/>
              <w:spacing w:before="100" w:beforeAutospacing="1" w:after="100" w:afterAutospacing="1"/>
              <w:ind w:firstLineChars="0" w:firstLine="0"/>
              <w:rPr>
                <w:rFonts w:cs="Times New Roman"/>
                <w:color w:val="000000"/>
              </w:rPr>
            </w:pPr>
            <w:r>
              <w:rPr>
                <w:rFonts w:cs="Times New Roman" w:hint="eastAsia"/>
                <w:color w:val="000000"/>
              </w:rPr>
              <w:t>机箱</w:t>
            </w:r>
          </w:p>
        </w:tc>
        <w:tc>
          <w:tcPr>
            <w:tcW w:w="6988" w:type="dxa"/>
            <w:vAlign w:val="center"/>
          </w:tcPr>
          <w:p w:rsidR="001B4F07" w:rsidRDefault="006500D0">
            <w:pPr>
              <w:pStyle w:val="ac"/>
              <w:spacing w:before="100" w:beforeAutospacing="1" w:after="100" w:afterAutospacing="1"/>
              <w:ind w:firstLineChars="0" w:firstLine="0"/>
              <w:rPr>
                <w:rFonts w:cs="Times New Roman"/>
                <w:color w:val="000000"/>
              </w:rPr>
            </w:pPr>
            <w:r>
              <w:rPr>
                <w:rFonts w:cs="Times New Roman" w:hint="eastAsia"/>
                <w:color w:val="000000"/>
              </w:rPr>
              <w:t>标准MATX立式机箱，使用蜂窝散热及二级进风口设计，散热更为有效；配置顶置电源开关键、顶置提手方便提拿，机箱体积小巧，≤15L</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12</w:t>
            </w:r>
          </w:p>
        </w:tc>
        <w:tc>
          <w:tcPr>
            <w:tcW w:w="1374" w:type="dxa"/>
            <w:vAlign w:val="center"/>
          </w:tcPr>
          <w:p w:rsidR="001B4F07" w:rsidRDefault="006500D0">
            <w:pPr>
              <w:pStyle w:val="ac"/>
              <w:spacing w:before="100" w:beforeAutospacing="1" w:after="100" w:afterAutospacing="1"/>
              <w:ind w:firstLineChars="0" w:firstLine="0"/>
              <w:rPr>
                <w:rFonts w:cs="Times New Roman"/>
                <w:color w:val="000000"/>
              </w:rPr>
            </w:pPr>
            <w:r>
              <w:rPr>
                <w:rFonts w:cs="Times New Roman" w:hint="eastAsia"/>
                <w:color w:val="000000"/>
              </w:rPr>
              <w:t>环保功能</w:t>
            </w:r>
          </w:p>
        </w:tc>
        <w:tc>
          <w:tcPr>
            <w:tcW w:w="6988" w:type="dxa"/>
            <w:vAlign w:val="center"/>
          </w:tcPr>
          <w:p w:rsidR="001B4F07" w:rsidRDefault="006500D0">
            <w:pPr>
              <w:pStyle w:val="ac"/>
              <w:spacing w:before="100" w:beforeAutospacing="1" w:after="100" w:afterAutospacing="1"/>
              <w:ind w:firstLineChars="0" w:firstLine="0"/>
              <w:rPr>
                <w:rFonts w:cs="Times New Roman"/>
                <w:color w:val="000000"/>
              </w:rPr>
            </w:pPr>
            <w:r>
              <w:rPr>
                <w:rFonts w:cs="Times New Roman" w:hint="eastAsia"/>
                <w:color w:val="000000"/>
              </w:rPr>
              <w:t>可拆卸防尘罩，光触媒风扇，具有光触媒功能，可有效清除空气中的苯、甲醛、TVOC和细菌，提供国家权威机构的检测报告。</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rPr>
              <w:t>1</w:t>
            </w:r>
            <w:r>
              <w:rPr>
                <w:rFonts w:ascii="宋体" w:eastAsia="宋体" w:hAnsi="宋体" w:cs="宋体" w:hint="eastAsia"/>
              </w:rPr>
              <w:t>3</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rPr>
              <w:t>扩展槽</w:t>
            </w:r>
          </w:p>
        </w:tc>
        <w:tc>
          <w:tcPr>
            <w:tcW w:w="6988" w:type="dxa"/>
            <w:vAlign w:val="center"/>
          </w:tcPr>
          <w:p w:rsidR="001B4F07" w:rsidRDefault="006500D0">
            <w:pPr>
              <w:spacing w:line="360" w:lineRule="auto"/>
              <w:rPr>
                <w:rFonts w:ascii="宋体" w:eastAsia="宋体" w:hAnsi="宋体" w:cs="宋体"/>
              </w:rPr>
            </w:pPr>
            <w:r>
              <w:rPr>
                <w:rFonts w:ascii="宋体" w:eastAsia="宋体" w:hAnsi="宋体" w:cs="宋体"/>
              </w:rPr>
              <w:t>1个PCI-E*16、2个PCI-E*1 槽位</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14</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电源</w:t>
            </w:r>
          </w:p>
        </w:tc>
        <w:tc>
          <w:tcPr>
            <w:tcW w:w="6988" w:type="dxa"/>
            <w:vAlign w:val="center"/>
          </w:tcPr>
          <w:p w:rsidR="001B4F07" w:rsidRDefault="006500D0">
            <w:pPr>
              <w:spacing w:line="360" w:lineRule="auto"/>
              <w:rPr>
                <w:rFonts w:ascii="宋体" w:eastAsia="宋体" w:hAnsi="宋体" w:cs="宋体"/>
              </w:rPr>
            </w:pPr>
            <w:r>
              <w:rPr>
                <w:rFonts w:cs="Times New Roman" w:hint="eastAsia"/>
                <w:color w:val="000000"/>
              </w:rPr>
              <w:t>≤190W节能电源</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15</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光驱</w:t>
            </w:r>
          </w:p>
        </w:tc>
        <w:tc>
          <w:tcPr>
            <w:tcW w:w="6988" w:type="dxa"/>
            <w:vAlign w:val="center"/>
          </w:tcPr>
          <w:p w:rsidR="001B4F07" w:rsidRDefault="006500D0">
            <w:pPr>
              <w:spacing w:line="360" w:lineRule="auto"/>
              <w:rPr>
                <w:rFonts w:cs="Times New Roman"/>
                <w:color w:val="000000"/>
              </w:rPr>
            </w:pPr>
            <w:r>
              <w:rPr>
                <w:rFonts w:cs="Times New Roman" w:hint="eastAsia"/>
                <w:color w:val="000000"/>
              </w:rPr>
              <w:t>DVD-RW 刻录光驱</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lastRenderedPageBreak/>
              <w:t>16</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操作系统</w:t>
            </w:r>
          </w:p>
        </w:tc>
        <w:tc>
          <w:tcPr>
            <w:tcW w:w="6988" w:type="dxa"/>
            <w:vAlign w:val="center"/>
          </w:tcPr>
          <w:p w:rsidR="001B4F07" w:rsidRDefault="006500D0">
            <w:pPr>
              <w:spacing w:line="360" w:lineRule="auto"/>
              <w:rPr>
                <w:rFonts w:cs="Times New Roman"/>
                <w:color w:val="000000"/>
              </w:rPr>
            </w:pPr>
            <w:r>
              <w:rPr>
                <w:rFonts w:cs="Times New Roman" w:hint="eastAsia"/>
                <w:color w:val="000000"/>
              </w:rPr>
              <w:t xml:space="preserve">预装Windows 10正版操作系统 </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17</w:t>
            </w:r>
          </w:p>
        </w:tc>
        <w:tc>
          <w:tcPr>
            <w:tcW w:w="1374" w:type="dxa"/>
            <w:vAlign w:val="center"/>
          </w:tcPr>
          <w:p w:rsidR="001B4F07" w:rsidRDefault="006500D0">
            <w:pPr>
              <w:spacing w:line="360" w:lineRule="auto"/>
              <w:rPr>
                <w:rFonts w:ascii="宋体" w:eastAsia="宋体" w:hAnsi="宋体" w:cs="宋体"/>
              </w:rPr>
            </w:pPr>
            <w:r>
              <w:rPr>
                <w:rFonts w:ascii="宋体" w:eastAsia="宋体" w:hAnsi="宋体" w:cs="宋体" w:hint="eastAsia"/>
              </w:rPr>
              <w:t>整机认证</w:t>
            </w:r>
          </w:p>
        </w:tc>
        <w:tc>
          <w:tcPr>
            <w:tcW w:w="6988" w:type="dxa"/>
            <w:vAlign w:val="center"/>
          </w:tcPr>
          <w:p w:rsidR="001B4F07" w:rsidRDefault="006500D0">
            <w:pPr>
              <w:spacing w:line="360" w:lineRule="auto"/>
              <w:rPr>
                <w:rFonts w:ascii="宋体" w:eastAsia="宋体" w:hAnsi="宋体" w:cs="宋体"/>
              </w:rPr>
            </w:pPr>
            <w:r>
              <w:rPr>
                <w:rFonts w:ascii="宋体" w:eastAsia="宋体" w:hAnsi="宋体" w:cs="宋体" w:hint="eastAsia"/>
              </w:rPr>
              <w:t>3C认证、整机防雷测试</w:t>
            </w:r>
          </w:p>
        </w:tc>
      </w:tr>
      <w:tr w:rsidR="001B4F07">
        <w:trPr>
          <w:trHeight w:val="360"/>
          <w:jc w:val="center"/>
        </w:trPr>
        <w:tc>
          <w:tcPr>
            <w:tcW w:w="653" w:type="dxa"/>
            <w:vAlign w:val="center"/>
          </w:tcPr>
          <w:p w:rsidR="001B4F07" w:rsidRDefault="006500D0">
            <w:pPr>
              <w:spacing w:line="360" w:lineRule="auto"/>
              <w:rPr>
                <w:rFonts w:ascii="宋体" w:eastAsia="宋体" w:hAnsi="宋体" w:cs="宋体"/>
              </w:rPr>
            </w:pPr>
            <w:r>
              <w:rPr>
                <w:rFonts w:ascii="宋体" w:eastAsia="宋体" w:hAnsi="宋体" w:cs="宋体" w:hint="eastAsia"/>
              </w:rPr>
              <w:t>18</w:t>
            </w:r>
          </w:p>
        </w:tc>
        <w:tc>
          <w:tcPr>
            <w:tcW w:w="1374" w:type="dxa"/>
            <w:vAlign w:val="center"/>
          </w:tcPr>
          <w:p w:rsidR="001B4F07" w:rsidRDefault="006500D0">
            <w:pPr>
              <w:spacing w:line="360" w:lineRule="auto"/>
              <w:rPr>
                <w:rFonts w:ascii="宋体" w:eastAsia="宋体" w:hAnsi="宋体" w:cs="Times New Roman"/>
              </w:rPr>
            </w:pPr>
            <w:r>
              <w:rPr>
                <w:rFonts w:ascii="宋体" w:eastAsia="宋体" w:hAnsi="宋体" w:cs="宋体" w:hint="eastAsia"/>
              </w:rPr>
              <w:t>★售后服务</w:t>
            </w:r>
          </w:p>
        </w:tc>
        <w:tc>
          <w:tcPr>
            <w:tcW w:w="6988" w:type="dxa"/>
            <w:vAlign w:val="center"/>
          </w:tcPr>
          <w:p w:rsidR="001B4F07" w:rsidRDefault="006500D0">
            <w:pPr>
              <w:pStyle w:val="ac"/>
              <w:spacing w:before="100" w:beforeAutospacing="1" w:after="100" w:afterAutospacing="1"/>
              <w:ind w:firstLineChars="0" w:firstLine="0"/>
              <w:rPr>
                <w:rFonts w:cs="Times New Roman"/>
                <w:color w:val="000000"/>
              </w:rPr>
            </w:pPr>
            <w:r>
              <w:rPr>
                <w:rFonts w:hint="eastAsia"/>
                <w:color w:val="000000"/>
              </w:rPr>
              <w:t>1、原厂工程师三</w:t>
            </w:r>
            <w:r>
              <w:rPr>
                <w:color w:val="000000"/>
              </w:rPr>
              <w:t>年</w:t>
            </w:r>
            <w:r>
              <w:rPr>
                <w:rFonts w:hint="eastAsia"/>
                <w:color w:val="000000"/>
              </w:rPr>
              <w:t>保修，365天全年无休，第二自然日上门服务</w:t>
            </w:r>
            <w:r>
              <w:rPr>
                <w:rFonts w:cs="Times New Roman" w:hint="eastAsia"/>
                <w:color w:val="000000"/>
              </w:rPr>
              <w:t>；以上服务信息原厂</w:t>
            </w:r>
            <w:r>
              <w:rPr>
                <w:rFonts w:cs="Times New Roman"/>
                <w:color w:val="000000"/>
              </w:rPr>
              <w:t>400/800</w:t>
            </w:r>
            <w:r>
              <w:rPr>
                <w:rFonts w:cs="Times New Roman" w:hint="eastAsia"/>
                <w:color w:val="000000"/>
              </w:rPr>
              <w:t>售后电话或官网可查，出厂日期不得早于中标日期</w:t>
            </w:r>
            <w:bookmarkStart w:id="0" w:name="_GoBack"/>
            <w:bookmarkEnd w:id="0"/>
            <w:r w:rsidR="000A0D7A">
              <w:rPr>
                <w:rFonts w:cs="Times New Roman" w:hint="eastAsia"/>
                <w:color w:val="000000"/>
              </w:rPr>
              <w:t>，</w:t>
            </w:r>
            <w:r w:rsidR="000A0D7A" w:rsidRPr="000A0D7A">
              <w:rPr>
                <w:rFonts w:cs="Times New Roman" w:hint="eastAsia"/>
                <w:color w:val="000000"/>
              </w:rPr>
              <w:t>最终用户为：“镇海区人民检察院”。</w:t>
            </w:r>
          </w:p>
          <w:p w:rsidR="001B4F07" w:rsidRDefault="006500D0">
            <w:pPr>
              <w:pStyle w:val="ac"/>
              <w:spacing w:before="100" w:beforeAutospacing="1" w:after="100" w:afterAutospacing="1"/>
              <w:ind w:firstLineChars="0" w:firstLine="0"/>
              <w:rPr>
                <w:rFonts w:cs="Times New Roman"/>
                <w:color w:val="000000"/>
              </w:rPr>
            </w:pPr>
            <w:r>
              <w:rPr>
                <w:rFonts w:cs="Times New Roman" w:hint="eastAsia"/>
                <w:color w:val="000000"/>
              </w:rPr>
              <w:t>2、提供制造厂商原厂售后服务通过客户联络中心标准体系（CCCS）钻石五星级认证。制造厂商自有设计中心通过工业和信息化部国家级工业设计中心认定（工信部官网可查）</w:t>
            </w:r>
          </w:p>
          <w:p w:rsidR="001B4F07" w:rsidRDefault="006500D0">
            <w:pPr>
              <w:pStyle w:val="ac"/>
              <w:spacing w:before="100" w:beforeAutospacing="1" w:after="100" w:afterAutospacing="1"/>
              <w:ind w:firstLineChars="0" w:firstLine="0"/>
              <w:rPr>
                <w:rFonts w:cs="Times New Roman"/>
                <w:color w:val="000000"/>
              </w:rPr>
            </w:pPr>
            <w:r>
              <w:rPr>
                <w:rFonts w:cs="Times New Roman" w:hint="eastAsia"/>
                <w:color w:val="000000"/>
              </w:rPr>
              <w:t>3、要求原厂商原包装直发客户，货到时原厂工程师上门验机服务</w:t>
            </w:r>
          </w:p>
          <w:p w:rsidR="001B4F07" w:rsidRDefault="006500D0">
            <w:pPr>
              <w:spacing w:line="360" w:lineRule="auto"/>
              <w:rPr>
                <w:rFonts w:ascii="宋体" w:eastAsia="宋体" w:hAnsi="宋体" w:cs="Times New Roman"/>
              </w:rPr>
            </w:pPr>
            <w:r>
              <w:rPr>
                <w:rFonts w:cs="Times New Roman" w:hint="eastAsia"/>
                <w:color w:val="000000"/>
              </w:rPr>
              <w:t>签订合同时提供原厂商服务承诺函原件</w:t>
            </w:r>
          </w:p>
        </w:tc>
      </w:tr>
      <w:tr w:rsidR="001B4F07">
        <w:trPr>
          <w:trHeight w:val="360"/>
          <w:jc w:val="center"/>
        </w:trPr>
        <w:tc>
          <w:tcPr>
            <w:tcW w:w="653" w:type="dxa"/>
            <w:tcBorders>
              <w:bottom w:val="single" w:sz="4" w:space="0" w:color="auto"/>
            </w:tcBorders>
            <w:vAlign w:val="center"/>
          </w:tcPr>
          <w:p w:rsidR="001B4F07" w:rsidRDefault="006500D0">
            <w:pPr>
              <w:spacing w:line="360" w:lineRule="auto"/>
              <w:rPr>
                <w:rFonts w:ascii="宋体" w:eastAsia="宋体" w:hAnsi="宋体" w:cs="宋体"/>
              </w:rPr>
            </w:pPr>
            <w:r>
              <w:rPr>
                <w:rFonts w:ascii="宋体" w:eastAsia="宋体" w:hAnsi="宋体" w:cs="宋体" w:hint="eastAsia"/>
              </w:rPr>
              <w:t>19</w:t>
            </w:r>
          </w:p>
        </w:tc>
        <w:tc>
          <w:tcPr>
            <w:tcW w:w="1374" w:type="dxa"/>
            <w:tcBorders>
              <w:bottom w:val="single" w:sz="4" w:space="0" w:color="auto"/>
            </w:tcBorders>
            <w:vAlign w:val="center"/>
          </w:tcPr>
          <w:p w:rsidR="001B4F07" w:rsidRDefault="006500D0">
            <w:pPr>
              <w:spacing w:line="360" w:lineRule="auto"/>
              <w:rPr>
                <w:rFonts w:ascii="宋体" w:eastAsia="宋体" w:hAnsi="宋体" w:cs="宋体"/>
              </w:rPr>
            </w:pPr>
            <w:r>
              <w:rPr>
                <w:rFonts w:cs="宋体" w:hint="eastAsia"/>
                <w:b/>
                <w:bCs/>
                <w:kern w:val="0"/>
                <w:sz w:val="22"/>
              </w:rPr>
              <w:t>管理软件</w:t>
            </w:r>
          </w:p>
        </w:tc>
        <w:tc>
          <w:tcPr>
            <w:tcW w:w="6988" w:type="dxa"/>
            <w:tcBorders>
              <w:bottom w:val="single" w:sz="4" w:space="0" w:color="auto"/>
            </w:tcBorders>
            <w:vAlign w:val="center"/>
          </w:tcPr>
          <w:p w:rsidR="001B4F07" w:rsidRDefault="006500D0">
            <w:pPr>
              <w:widowControl/>
              <w:rPr>
                <w:rFonts w:cs="Times New Roman"/>
                <w:color w:val="000000"/>
              </w:rPr>
            </w:pPr>
            <w:r>
              <w:rPr>
                <w:rFonts w:cs="Times New Roman" w:hint="eastAsia"/>
                <w:color w:val="000000"/>
              </w:rPr>
              <w:t>1、通过与主机同一品牌智能云教室管理软件实现所有的计算机终端集中统一管理，能实现以下操作功能，并于投标时提供功能截图。（非同一品牌需要提供六年的升级维保服务）</w:t>
            </w:r>
          </w:p>
          <w:p w:rsidR="001B4F07" w:rsidRDefault="006500D0">
            <w:pPr>
              <w:widowControl/>
              <w:rPr>
                <w:rFonts w:cs="Times New Roman"/>
                <w:color w:val="000000"/>
              </w:rPr>
            </w:pPr>
            <w:r>
              <w:rPr>
                <w:rFonts w:cs="Times New Roman" w:hint="eastAsia"/>
                <w:color w:val="000000"/>
              </w:rPr>
              <w:t>2、无需安装任何硬件，终端连上网络就可以启动进入各种Windows桌面云环境。</w:t>
            </w:r>
          </w:p>
          <w:p w:rsidR="001B4F07" w:rsidRDefault="006500D0">
            <w:pPr>
              <w:widowControl/>
              <w:rPr>
                <w:rFonts w:cs="Times New Roman"/>
                <w:color w:val="000000"/>
              </w:rPr>
            </w:pPr>
            <w:r>
              <w:rPr>
                <w:rFonts w:cs="Times New Roman" w:hint="eastAsia"/>
                <w:color w:val="000000"/>
              </w:rPr>
              <w:t>3、断网和服务端宕机，终端都可以使用，不影响正常上课教学。</w:t>
            </w:r>
          </w:p>
          <w:p w:rsidR="001B4F07" w:rsidRDefault="006500D0">
            <w:pPr>
              <w:widowControl/>
              <w:rPr>
                <w:rFonts w:cs="Times New Roman"/>
                <w:color w:val="000000"/>
              </w:rPr>
            </w:pPr>
            <w:r>
              <w:rPr>
                <w:rFonts w:cs="Times New Roman" w:hint="eastAsia"/>
                <w:color w:val="000000"/>
              </w:rPr>
              <w:t>4、不管客户端是关机或开机状态，系统都可以统一给所有客户端进行软件安装、删除等维护工作，并能不影响已经开机的客户端的正常使用，客户</w:t>
            </w:r>
            <w:r>
              <w:rPr>
                <w:rFonts w:cs="Times New Roman" w:hint="eastAsia"/>
                <w:color w:val="000000"/>
              </w:rPr>
              <w:lastRenderedPageBreak/>
              <w:t>端开机或重启后就能使用新装软件和系统。</w:t>
            </w:r>
          </w:p>
          <w:p w:rsidR="001B4F07" w:rsidRDefault="006500D0">
            <w:pPr>
              <w:widowControl/>
              <w:rPr>
                <w:rFonts w:cs="Times New Roman"/>
                <w:color w:val="000000"/>
              </w:rPr>
            </w:pPr>
            <w:r>
              <w:rPr>
                <w:rFonts w:cs="Times New Roman" w:hint="eastAsia"/>
                <w:color w:val="000000"/>
              </w:rPr>
              <w:t>5、镜像库中的分区镜像可由任何系统调用，支持同一分区镜像供多个系统使用，达到分区共享目的，无论系统镜像如何变化，数据镜像可保持一致。</w:t>
            </w:r>
          </w:p>
          <w:p w:rsidR="001B4F07" w:rsidRDefault="006500D0">
            <w:pPr>
              <w:widowControl/>
              <w:rPr>
                <w:rFonts w:cs="Times New Roman"/>
                <w:color w:val="000000"/>
              </w:rPr>
            </w:pPr>
            <w:r>
              <w:rPr>
                <w:rFonts w:cs="Times New Roman" w:hint="eastAsia"/>
                <w:color w:val="000000"/>
              </w:rPr>
              <w:t>6、服务端以扇区流的方式，将创建的虚拟硬盘模板真实的部署到客户端，实现与系统无关性，多个系统只需要一次部署就完成。</w:t>
            </w:r>
          </w:p>
          <w:p w:rsidR="001B4F07" w:rsidRDefault="006500D0">
            <w:pPr>
              <w:widowControl/>
              <w:rPr>
                <w:rFonts w:cs="Times New Roman"/>
                <w:color w:val="000000"/>
              </w:rPr>
            </w:pPr>
            <w:r>
              <w:rPr>
                <w:rFonts w:cs="Times New Roman" w:hint="eastAsia"/>
                <w:color w:val="000000"/>
              </w:rPr>
              <w:t>7、支持按需和完全部署两种方式向客户端交付数据，均采用动态、实时、增量的原则，可以实现只部署系统分区或者数据分区。</w:t>
            </w:r>
          </w:p>
          <w:p w:rsidR="001B4F07" w:rsidRDefault="006500D0">
            <w:pPr>
              <w:widowControl/>
              <w:rPr>
                <w:rFonts w:cs="Times New Roman"/>
                <w:color w:val="000000"/>
              </w:rPr>
            </w:pPr>
            <w:r>
              <w:rPr>
                <w:rFonts w:cs="Times New Roman" w:hint="eastAsia"/>
                <w:color w:val="000000"/>
              </w:rPr>
              <w:t>8、智能代理机制，实现负载均衡，保证部署效率和客户端的正常使用。</w:t>
            </w:r>
          </w:p>
          <w:p w:rsidR="001B4F07" w:rsidRDefault="006500D0">
            <w:pPr>
              <w:widowControl/>
              <w:rPr>
                <w:rFonts w:cs="Times New Roman"/>
                <w:color w:val="000000"/>
              </w:rPr>
            </w:pPr>
            <w:r>
              <w:rPr>
                <w:rFonts w:cs="Times New Roman" w:hint="eastAsia"/>
                <w:color w:val="000000"/>
              </w:rPr>
              <w:t>9、部署过程中，根据管理策略自动修改IP地址和计算机名称。</w:t>
            </w:r>
          </w:p>
          <w:p w:rsidR="001B4F07" w:rsidRDefault="006500D0">
            <w:pPr>
              <w:widowControl/>
              <w:rPr>
                <w:rFonts w:cs="Times New Roman"/>
                <w:color w:val="000000"/>
              </w:rPr>
            </w:pPr>
            <w:r>
              <w:rPr>
                <w:rFonts w:cs="Times New Roman" w:hint="eastAsia"/>
                <w:color w:val="000000"/>
              </w:rPr>
              <w:t>10、服务端可以识别并将差异化的信息保存在终端硬盘中，避免每次启动提示安装信息。</w:t>
            </w:r>
          </w:p>
          <w:p w:rsidR="001B4F07" w:rsidRDefault="006500D0">
            <w:pPr>
              <w:widowControl/>
              <w:rPr>
                <w:rFonts w:cs="Times New Roman"/>
                <w:color w:val="000000"/>
              </w:rPr>
            </w:pPr>
            <w:r>
              <w:rPr>
                <w:rFonts w:cs="Times New Roman" w:hint="eastAsia"/>
                <w:color w:val="000000"/>
              </w:rPr>
              <w:t>11、客户端不需要对硬盘进行任何的操作，不需要分区和预装软件，连上服务端即可使用。</w:t>
            </w:r>
          </w:p>
          <w:p w:rsidR="001B4F07" w:rsidRDefault="006500D0">
            <w:pPr>
              <w:widowControl/>
              <w:rPr>
                <w:rFonts w:cs="Times New Roman"/>
                <w:color w:val="000000"/>
              </w:rPr>
            </w:pPr>
            <w:r>
              <w:rPr>
                <w:rFonts w:cs="Times New Roman" w:hint="eastAsia"/>
                <w:color w:val="000000"/>
              </w:rPr>
              <w:t>12、客户端不依赖网络和服务端可自我还原，支持分区每次、每天、每周、月、手动等多种还原方式。</w:t>
            </w:r>
          </w:p>
          <w:p w:rsidR="001B4F07" w:rsidRDefault="006500D0">
            <w:pPr>
              <w:widowControl/>
              <w:rPr>
                <w:rFonts w:cs="Times New Roman"/>
                <w:color w:val="000000"/>
              </w:rPr>
            </w:pPr>
            <w:r>
              <w:rPr>
                <w:rFonts w:cs="Times New Roman" w:hint="eastAsia"/>
                <w:color w:val="000000"/>
              </w:rPr>
              <w:t>13、客户端启动界面提供管理接口，断网的情况下，管理员也可以更新系统和应用软件。</w:t>
            </w:r>
          </w:p>
          <w:p w:rsidR="001B4F07" w:rsidRDefault="006500D0">
            <w:pPr>
              <w:widowControl/>
              <w:rPr>
                <w:rFonts w:cs="Times New Roman"/>
                <w:color w:val="000000"/>
              </w:rPr>
            </w:pPr>
            <w:r>
              <w:rPr>
                <w:rFonts w:cs="Times New Roman" w:hint="eastAsia"/>
                <w:color w:val="000000"/>
              </w:rPr>
              <w:t>14、系统引导选单显示开启与禁用，实现对当前不使用的系统进行屏蔽。</w:t>
            </w:r>
          </w:p>
          <w:p w:rsidR="001B4F07" w:rsidRDefault="006500D0">
            <w:pPr>
              <w:widowControl/>
              <w:rPr>
                <w:rFonts w:cs="Times New Roman"/>
                <w:color w:val="000000"/>
              </w:rPr>
            </w:pPr>
            <w:r>
              <w:rPr>
                <w:rFonts w:cs="Times New Roman" w:hint="eastAsia"/>
                <w:color w:val="000000"/>
              </w:rPr>
              <w:t>15、支持硬盘剩余空间智能调配，满足多系统时硬盘容量不足的问题。</w:t>
            </w:r>
          </w:p>
          <w:p w:rsidR="001B4F07" w:rsidRDefault="006500D0">
            <w:pPr>
              <w:widowControl/>
              <w:rPr>
                <w:rFonts w:cs="Times New Roman"/>
                <w:color w:val="000000"/>
              </w:rPr>
            </w:pPr>
            <w:r>
              <w:rPr>
                <w:rFonts w:cs="Times New Roman" w:hint="eastAsia"/>
                <w:color w:val="000000"/>
              </w:rPr>
              <w:lastRenderedPageBreak/>
              <w:t>16、支持包括3DMAX、Autocad、Maya2010以上等大型软件的运行。</w:t>
            </w:r>
          </w:p>
          <w:p w:rsidR="001B4F07" w:rsidRDefault="006500D0">
            <w:pPr>
              <w:spacing w:line="360" w:lineRule="auto"/>
              <w:rPr>
                <w:rFonts w:ascii="宋体" w:eastAsia="宋体" w:hAnsi="宋体" w:cs="宋体"/>
              </w:rPr>
            </w:pPr>
            <w:r>
              <w:rPr>
                <w:rFonts w:cs="Times New Roman" w:hint="eastAsia"/>
                <w:color w:val="000000"/>
              </w:rPr>
              <w:t>17、支持机房原有产品实现互通统一管理</w:t>
            </w:r>
          </w:p>
        </w:tc>
      </w:tr>
    </w:tbl>
    <w:p w:rsidR="001B4F07" w:rsidRDefault="001B4F07">
      <w:pPr>
        <w:rPr>
          <w:rFonts w:cs="Times New Roman"/>
        </w:rPr>
      </w:pPr>
    </w:p>
    <w:p w:rsidR="001B4F07" w:rsidRDefault="001B4F07">
      <w:pPr>
        <w:rPr>
          <w:rFonts w:cs="Times New Roman"/>
        </w:rPr>
      </w:pPr>
    </w:p>
    <w:p w:rsidR="001B4F07" w:rsidRDefault="001B4F07">
      <w:pPr>
        <w:rPr>
          <w:rFonts w:cs="Times New Roman"/>
        </w:rPr>
      </w:pPr>
    </w:p>
    <w:p w:rsidR="001B4F07" w:rsidRDefault="001B4F07">
      <w:pPr>
        <w:rPr>
          <w:rFonts w:cs="Times New Roman"/>
        </w:rPr>
      </w:pPr>
    </w:p>
    <w:p w:rsidR="001B4F07" w:rsidRDefault="001B4F07">
      <w:pPr>
        <w:rPr>
          <w:rFonts w:cs="Times New Roman"/>
        </w:rPr>
      </w:pPr>
    </w:p>
    <w:p w:rsidR="001B4F07" w:rsidRDefault="001B4F07">
      <w:pPr>
        <w:rPr>
          <w:rFonts w:cs="Times New Roman"/>
        </w:rPr>
      </w:pPr>
    </w:p>
    <w:p w:rsidR="001B4F07" w:rsidRDefault="001B4F07">
      <w:pPr>
        <w:rPr>
          <w:rFonts w:cs="Times New Roman"/>
        </w:rPr>
      </w:pPr>
    </w:p>
    <w:p w:rsidR="001B4F07" w:rsidRDefault="001B4F07">
      <w:pPr>
        <w:rPr>
          <w:rFonts w:cs="Times New Roman"/>
        </w:rPr>
      </w:pPr>
    </w:p>
    <w:p w:rsidR="001B4F07" w:rsidRDefault="001B4F07">
      <w:pPr>
        <w:rPr>
          <w:rFonts w:cs="Times New Roman"/>
        </w:rPr>
      </w:pPr>
    </w:p>
    <w:sectPr w:rsidR="001B4F07" w:rsidSect="001B4F0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80E" w:rsidRDefault="0083380E" w:rsidP="001B4F07">
      <w:r>
        <w:separator/>
      </w:r>
    </w:p>
  </w:endnote>
  <w:endnote w:type="continuationSeparator" w:id="1">
    <w:p w:rsidR="0083380E" w:rsidRDefault="0083380E" w:rsidP="001B4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80E" w:rsidRDefault="0083380E" w:rsidP="001B4F07">
      <w:r>
        <w:separator/>
      </w:r>
    </w:p>
  </w:footnote>
  <w:footnote w:type="continuationSeparator" w:id="1">
    <w:p w:rsidR="0083380E" w:rsidRDefault="0083380E" w:rsidP="001B4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07" w:rsidRDefault="001B4F07">
    <w:pPr>
      <w:pStyle w:val="a6"/>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56AF1"/>
    <w:rsid w:val="00014662"/>
    <w:rsid w:val="00037844"/>
    <w:rsid w:val="0007711D"/>
    <w:rsid w:val="000822AD"/>
    <w:rsid w:val="00082514"/>
    <w:rsid w:val="000A0D7A"/>
    <w:rsid w:val="000C37E1"/>
    <w:rsid w:val="000C7A8B"/>
    <w:rsid w:val="000D6798"/>
    <w:rsid w:val="000D7657"/>
    <w:rsid w:val="000E55B2"/>
    <w:rsid w:val="001060A1"/>
    <w:rsid w:val="001166FF"/>
    <w:rsid w:val="001306E5"/>
    <w:rsid w:val="00156AF1"/>
    <w:rsid w:val="00175336"/>
    <w:rsid w:val="0018133B"/>
    <w:rsid w:val="001A40D6"/>
    <w:rsid w:val="001A5602"/>
    <w:rsid w:val="001A753B"/>
    <w:rsid w:val="001B4F07"/>
    <w:rsid w:val="001C0C1A"/>
    <w:rsid w:val="00241AED"/>
    <w:rsid w:val="00245C89"/>
    <w:rsid w:val="00287A09"/>
    <w:rsid w:val="002A6A43"/>
    <w:rsid w:val="002C4666"/>
    <w:rsid w:val="002F3C6B"/>
    <w:rsid w:val="0033708F"/>
    <w:rsid w:val="00343FAD"/>
    <w:rsid w:val="00370496"/>
    <w:rsid w:val="003765A3"/>
    <w:rsid w:val="003B7450"/>
    <w:rsid w:val="00402CAD"/>
    <w:rsid w:val="004178CD"/>
    <w:rsid w:val="00423FB0"/>
    <w:rsid w:val="00437C08"/>
    <w:rsid w:val="0045224D"/>
    <w:rsid w:val="00453663"/>
    <w:rsid w:val="00462843"/>
    <w:rsid w:val="00487975"/>
    <w:rsid w:val="00491157"/>
    <w:rsid w:val="004F0A11"/>
    <w:rsid w:val="00523352"/>
    <w:rsid w:val="005351A6"/>
    <w:rsid w:val="005402FD"/>
    <w:rsid w:val="00565A82"/>
    <w:rsid w:val="00567841"/>
    <w:rsid w:val="00573222"/>
    <w:rsid w:val="00576F9A"/>
    <w:rsid w:val="00580FCF"/>
    <w:rsid w:val="005846D0"/>
    <w:rsid w:val="005A636C"/>
    <w:rsid w:val="005B34C1"/>
    <w:rsid w:val="00615703"/>
    <w:rsid w:val="006500D0"/>
    <w:rsid w:val="00674B0E"/>
    <w:rsid w:val="006A6F59"/>
    <w:rsid w:val="006B44DC"/>
    <w:rsid w:val="006E2446"/>
    <w:rsid w:val="006E27C4"/>
    <w:rsid w:val="006F0C72"/>
    <w:rsid w:val="00710BA7"/>
    <w:rsid w:val="00771CAB"/>
    <w:rsid w:val="00776676"/>
    <w:rsid w:val="00783C72"/>
    <w:rsid w:val="0079051C"/>
    <w:rsid w:val="007C3032"/>
    <w:rsid w:val="007F230F"/>
    <w:rsid w:val="008076B3"/>
    <w:rsid w:val="00816A04"/>
    <w:rsid w:val="0083380E"/>
    <w:rsid w:val="00854A35"/>
    <w:rsid w:val="0085519B"/>
    <w:rsid w:val="0087380A"/>
    <w:rsid w:val="008E3070"/>
    <w:rsid w:val="008E4D94"/>
    <w:rsid w:val="00927495"/>
    <w:rsid w:val="00930229"/>
    <w:rsid w:val="00931272"/>
    <w:rsid w:val="009360A3"/>
    <w:rsid w:val="00943766"/>
    <w:rsid w:val="00954CA3"/>
    <w:rsid w:val="00965FD8"/>
    <w:rsid w:val="00976302"/>
    <w:rsid w:val="00982C20"/>
    <w:rsid w:val="009F4258"/>
    <w:rsid w:val="00A071DC"/>
    <w:rsid w:val="00A15022"/>
    <w:rsid w:val="00A730FA"/>
    <w:rsid w:val="00A84602"/>
    <w:rsid w:val="00AF1DB5"/>
    <w:rsid w:val="00B03CE9"/>
    <w:rsid w:val="00B2438C"/>
    <w:rsid w:val="00B715C5"/>
    <w:rsid w:val="00BB01E0"/>
    <w:rsid w:val="00BD3124"/>
    <w:rsid w:val="00C01C92"/>
    <w:rsid w:val="00C61DDC"/>
    <w:rsid w:val="00C633DF"/>
    <w:rsid w:val="00C7361A"/>
    <w:rsid w:val="00C87CFF"/>
    <w:rsid w:val="00CA6405"/>
    <w:rsid w:val="00CB6283"/>
    <w:rsid w:val="00CC4C05"/>
    <w:rsid w:val="00D334AC"/>
    <w:rsid w:val="00D55040"/>
    <w:rsid w:val="00DB02A2"/>
    <w:rsid w:val="00DC1F83"/>
    <w:rsid w:val="00DC72CD"/>
    <w:rsid w:val="00E73DF1"/>
    <w:rsid w:val="00E73EF1"/>
    <w:rsid w:val="00E77606"/>
    <w:rsid w:val="00E83847"/>
    <w:rsid w:val="00EB51E3"/>
    <w:rsid w:val="00EC1C77"/>
    <w:rsid w:val="00EE27CC"/>
    <w:rsid w:val="00F01EB2"/>
    <w:rsid w:val="00F16B57"/>
    <w:rsid w:val="00F40441"/>
    <w:rsid w:val="00F60ED9"/>
    <w:rsid w:val="00F62ED1"/>
    <w:rsid w:val="00F704BD"/>
    <w:rsid w:val="00FB635A"/>
    <w:rsid w:val="00FF11B4"/>
    <w:rsid w:val="037C1E9B"/>
    <w:rsid w:val="03FE752F"/>
    <w:rsid w:val="06910B0F"/>
    <w:rsid w:val="0D390A3C"/>
    <w:rsid w:val="0D45015E"/>
    <w:rsid w:val="0F0743B4"/>
    <w:rsid w:val="0F8A7E42"/>
    <w:rsid w:val="138009EB"/>
    <w:rsid w:val="1AD16B4F"/>
    <w:rsid w:val="35CD1EC6"/>
    <w:rsid w:val="3BDE17FD"/>
    <w:rsid w:val="41F6129E"/>
    <w:rsid w:val="43630D9D"/>
    <w:rsid w:val="490C50B5"/>
    <w:rsid w:val="4D5B17D2"/>
    <w:rsid w:val="546079A7"/>
    <w:rsid w:val="57B50A45"/>
    <w:rsid w:val="6B386F3F"/>
    <w:rsid w:val="74FE1BAD"/>
    <w:rsid w:val="755D7F81"/>
    <w:rsid w:val="7BEE3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Document Map" w:unhideWhenUsed="0" w:qFormat="1"/>
    <w:lsdException w:name="HTML Cite" w:qFormat="1"/>
    <w:lsdException w:name="HTML Code" w:qFormat="1"/>
    <w:lsdException w:name="HTML Definition" w:qFormat="1"/>
    <w:lsdException w:name="HTML Variable"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07"/>
    <w:pPr>
      <w:widowControl w:val="0"/>
      <w:jc w:val="both"/>
    </w:pPr>
    <w:rPr>
      <w:rFonts w:ascii="等线" w:eastAsia="等线" w:hAnsi="等线" w:cs="等线"/>
      <w:kern w:val="2"/>
      <w:sz w:val="21"/>
      <w:szCs w:val="21"/>
    </w:rPr>
  </w:style>
  <w:style w:type="paragraph" w:styleId="1">
    <w:name w:val="heading 1"/>
    <w:basedOn w:val="a"/>
    <w:next w:val="a"/>
    <w:link w:val="1Char"/>
    <w:uiPriority w:val="99"/>
    <w:qFormat/>
    <w:rsid w:val="001B4F07"/>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1B4F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1B4F07"/>
    <w:rPr>
      <w:rFonts w:ascii="宋体" w:eastAsia="宋体" w:cs="宋体"/>
      <w:sz w:val="18"/>
      <w:szCs w:val="18"/>
    </w:rPr>
  </w:style>
  <w:style w:type="paragraph" w:styleId="a4">
    <w:name w:val="Balloon Text"/>
    <w:basedOn w:val="a"/>
    <w:link w:val="Char0"/>
    <w:uiPriority w:val="99"/>
    <w:semiHidden/>
    <w:qFormat/>
    <w:rsid w:val="001B4F07"/>
    <w:rPr>
      <w:sz w:val="18"/>
      <w:szCs w:val="18"/>
    </w:rPr>
  </w:style>
  <w:style w:type="paragraph" w:styleId="a5">
    <w:name w:val="footer"/>
    <w:basedOn w:val="a"/>
    <w:link w:val="Char1"/>
    <w:uiPriority w:val="99"/>
    <w:qFormat/>
    <w:rsid w:val="001B4F07"/>
    <w:pPr>
      <w:tabs>
        <w:tab w:val="center" w:pos="4153"/>
        <w:tab w:val="right" w:pos="8306"/>
      </w:tabs>
      <w:snapToGrid w:val="0"/>
      <w:jc w:val="left"/>
    </w:pPr>
    <w:rPr>
      <w:sz w:val="18"/>
      <w:szCs w:val="18"/>
    </w:rPr>
  </w:style>
  <w:style w:type="paragraph" w:styleId="a6">
    <w:name w:val="header"/>
    <w:basedOn w:val="a"/>
    <w:link w:val="Char2"/>
    <w:uiPriority w:val="99"/>
    <w:qFormat/>
    <w:rsid w:val="001B4F0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sid w:val="001B4F07"/>
    <w:rPr>
      <w:rFonts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locked/>
    <w:rsid w:val="001B4F07"/>
  </w:style>
  <w:style w:type="character" w:styleId="a9">
    <w:name w:val="FollowedHyperlink"/>
    <w:basedOn w:val="a0"/>
    <w:uiPriority w:val="99"/>
    <w:semiHidden/>
    <w:unhideWhenUsed/>
    <w:qFormat/>
    <w:rsid w:val="001B4F07"/>
    <w:rPr>
      <w:color w:val="004F80"/>
      <w:u w:val="none"/>
    </w:rPr>
  </w:style>
  <w:style w:type="character" w:styleId="aa">
    <w:name w:val="Emphasis"/>
    <w:basedOn w:val="a0"/>
    <w:qFormat/>
    <w:locked/>
    <w:rsid w:val="001B4F07"/>
  </w:style>
  <w:style w:type="character" w:styleId="HTML">
    <w:name w:val="HTML Definition"/>
    <w:basedOn w:val="a0"/>
    <w:uiPriority w:val="99"/>
    <w:semiHidden/>
    <w:unhideWhenUsed/>
    <w:qFormat/>
    <w:rsid w:val="001B4F07"/>
  </w:style>
  <w:style w:type="character" w:styleId="HTML0">
    <w:name w:val="HTML Variable"/>
    <w:basedOn w:val="a0"/>
    <w:uiPriority w:val="99"/>
    <w:semiHidden/>
    <w:unhideWhenUsed/>
    <w:qFormat/>
    <w:rsid w:val="001B4F07"/>
  </w:style>
  <w:style w:type="character" w:styleId="ab">
    <w:name w:val="Hyperlink"/>
    <w:basedOn w:val="a0"/>
    <w:uiPriority w:val="99"/>
    <w:semiHidden/>
    <w:unhideWhenUsed/>
    <w:qFormat/>
    <w:rsid w:val="001B4F07"/>
    <w:rPr>
      <w:color w:val="004F80"/>
      <w:u w:val="none"/>
    </w:rPr>
  </w:style>
  <w:style w:type="character" w:styleId="HTML1">
    <w:name w:val="HTML Code"/>
    <w:basedOn w:val="a0"/>
    <w:uiPriority w:val="99"/>
    <w:semiHidden/>
    <w:unhideWhenUsed/>
    <w:qFormat/>
    <w:rsid w:val="001B4F07"/>
    <w:rPr>
      <w:rFonts w:ascii="Courier New" w:hAnsi="Courier New"/>
      <w:sz w:val="20"/>
    </w:rPr>
  </w:style>
  <w:style w:type="character" w:styleId="HTML2">
    <w:name w:val="HTML Cite"/>
    <w:basedOn w:val="a0"/>
    <w:uiPriority w:val="99"/>
    <w:semiHidden/>
    <w:unhideWhenUsed/>
    <w:qFormat/>
    <w:rsid w:val="001B4F07"/>
  </w:style>
  <w:style w:type="character" w:customStyle="1" w:styleId="1Char">
    <w:name w:val="标题 1 Char"/>
    <w:basedOn w:val="a0"/>
    <w:link w:val="1"/>
    <w:uiPriority w:val="99"/>
    <w:qFormat/>
    <w:locked/>
    <w:rsid w:val="001B4F07"/>
    <w:rPr>
      <w:b/>
      <w:bCs/>
      <w:kern w:val="44"/>
      <w:sz w:val="44"/>
      <w:szCs w:val="44"/>
    </w:rPr>
  </w:style>
  <w:style w:type="character" w:customStyle="1" w:styleId="3Char">
    <w:name w:val="标题 3 Char"/>
    <w:basedOn w:val="a0"/>
    <w:link w:val="3"/>
    <w:uiPriority w:val="99"/>
    <w:semiHidden/>
    <w:qFormat/>
    <w:locked/>
    <w:rsid w:val="001B4F07"/>
    <w:rPr>
      <w:b/>
      <w:bCs/>
      <w:sz w:val="32"/>
      <w:szCs w:val="32"/>
    </w:rPr>
  </w:style>
  <w:style w:type="character" w:customStyle="1" w:styleId="Char2">
    <w:name w:val="页眉 Char"/>
    <w:basedOn w:val="a0"/>
    <w:link w:val="a6"/>
    <w:uiPriority w:val="99"/>
    <w:qFormat/>
    <w:locked/>
    <w:rsid w:val="001B4F07"/>
    <w:rPr>
      <w:sz w:val="18"/>
      <w:szCs w:val="18"/>
    </w:rPr>
  </w:style>
  <w:style w:type="character" w:customStyle="1" w:styleId="Char1">
    <w:name w:val="页脚 Char"/>
    <w:basedOn w:val="a0"/>
    <w:link w:val="a5"/>
    <w:uiPriority w:val="99"/>
    <w:qFormat/>
    <w:locked/>
    <w:rsid w:val="001B4F07"/>
    <w:rPr>
      <w:sz w:val="18"/>
      <w:szCs w:val="18"/>
    </w:rPr>
  </w:style>
  <w:style w:type="character" w:customStyle="1" w:styleId="Char0">
    <w:name w:val="批注框文本 Char"/>
    <w:basedOn w:val="a0"/>
    <w:link w:val="a4"/>
    <w:uiPriority w:val="99"/>
    <w:semiHidden/>
    <w:qFormat/>
    <w:locked/>
    <w:rsid w:val="001B4F07"/>
    <w:rPr>
      <w:sz w:val="18"/>
      <w:szCs w:val="18"/>
    </w:rPr>
  </w:style>
  <w:style w:type="paragraph" w:styleId="ac">
    <w:name w:val="List Paragraph"/>
    <w:basedOn w:val="a"/>
    <w:uiPriority w:val="99"/>
    <w:qFormat/>
    <w:rsid w:val="001B4F07"/>
    <w:pPr>
      <w:ind w:firstLineChars="200" w:firstLine="420"/>
    </w:pPr>
  </w:style>
  <w:style w:type="character" w:customStyle="1" w:styleId="Char">
    <w:name w:val="文档结构图 Char"/>
    <w:basedOn w:val="a0"/>
    <w:link w:val="a3"/>
    <w:uiPriority w:val="99"/>
    <w:semiHidden/>
    <w:qFormat/>
    <w:locked/>
    <w:rsid w:val="001B4F07"/>
    <w:rPr>
      <w:rFonts w:ascii="宋体" w:eastAsia="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246</Words>
  <Characters>1405</Characters>
  <Application>Microsoft Office Word</Application>
  <DocSecurity>0</DocSecurity>
  <Lines>11</Lines>
  <Paragraphs>3</Paragraphs>
  <ScaleCrop>false</ScaleCrop>
  <Company>微软中国</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Windows User</cp:lastModifiedBy>
  <cp:revision>5</cp:revision>
  <dcterms:created xsi:type="dcterms:W3CDTF">2019-05-07T08:23:00Z</dcterms:created>
  <dcterms:modified xsi:type="dcterms:W3CDTF">2020-07-09T02:44:00Z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