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r>
        <w:rPr>
          <w:rFonts w:hint="eastAsia" w:ascii="黑体" w:hAnsi="黑体" w:eastAsia="黑体"/>
          <w:sz w:val="44"/>
          <w:szCs w:val="44"/>
        </w:rPr>
        <w:t>国家税务总局南京市税务局</w:t>
      </w:r>
    </w:p>
    <w:p>
      <w:pPr>
        <w:jc w:val="center"/>
        <w:rPr>
          <w:rFonts w:ascii="黑体" w:hAnsi="黑体" w:eastAsia="黑体"/>
          <w:sz w:val="44"/>
          <w:szCs w:val="44"/>
        </w:rPr>
      </w:pPr>
      <w:r>
        <w:rPr>
          <w:rFonts w:hint="eastAsia" w:ascii="黑体" w:hAnsi="黑体" w:eastAsia="黑体"/>
          <w:sz w:val="44"/>
          <w:szCs w:val="44"/>
        </w:rPr>
        <w:t>数据安全治理设备竞价文件</w:t>
      </w:r>
    </w:p>
    <w:p>
      <w:pPr>
        <w:pStyle w:val="5"/>
      </w:pPr>
    </w:p>
    <w:p>
      <w:pPr>
        <w:pStyle w:val="15"/>
        <w:numPr>
          <w:ilvl w:val="0"/>
          <w:numId w:val="1"/>
        </w:numPr>
        <w:adjustRightInd w:val="0"/>
        <w:spacing w:line="360" w:lineRule="auto"/>
        <w:ind w:firstLine="0" w:firstLineChars="0"/>
        <w:jc w:val="left"/>
        <w:rPr>
          <w:rFonts w:ascii="仿宋" w:hAnsi="仿宋" w:eastAsia="仿宋"/>
          <w:b/>
          <w:sz w:val="30"/>
          <w:szCs w:val="30"/>
        </w:rPr>
      </w:pPr>
      <w:r>
        <w:rPr>
          <w:rFonts w:hint="eastAsia" w:ascii="仿宋" w:hAnsi="仿宋" w:eastAsia="仿宋"/>
          <w:b/>
          <w:sz w:val="30"/>
          <w:szCs w:val="30"/>
        </w:rPr>
        <w:t>采购单位：国家税务总局南京市税务局</w:t>
      </w:r>
    </w:p>
    <w:p>
      <w:pPr>
        <w:pStyle w:val="15"/>
        <w:numPr>
          <w:ilvl w:val="0"/>
          <w:numId w:val="1"/>
        </w:numPr>
        <w:adjustRightInd w:val="0"/>
        <w:spacing w:line="360" w:lineRule="auto"/>
        <w:ind w:firstLine="0" w:firstLineChars="0"/>
        <w:jc w:val="left"/>
        <w:rPr>
          <w:rFonts w:ascii="仿宋" w:hAnsi="仿宋" w:eastAsia="仿宋"/>
          <w:b/>
          <w:sz w:val="30"/>
          <w:szCs w:val="30"/>
        </w:rPr>
      </w:pPr>
      <w:r>
        <w:rPr>
          <w:rFonts w:hint="eastAsia" w:ascii="仿宋" w:hAnsi="仿宋" w:eastAsia="仿宋"/>
          <w:b/>
          <w:sz w:val="30"/>
          <w:szCs w:val="30"/>
        </w:rPr>
        <w:t>项目名称：国家税务总局南京市税务局数据安全治理设备</w:t>
      </w:r>
    </w:p>
    <w:p>
      <w:pPr>
        <w:pStyle w:val="15"/>
        <w:numPr>
          <w:ilvl w:val="0"/>
          <w:numId w:val="1"/>
        </w:numPr>
        <w:adjustRightInd w:val="0"/>
        <w:spacing w:line="360" w:lineRule="auto"/>
        <w:ind w:firstLine="0" w:firstLineChars="0"/>
        <w:jc w:val="left"/>
        <w:rPr>
          <w:rFonts w:ascii="仿宋" w:hAnsi="仿宋" w:eastAsia="仿宋"/>
          <w:b/>
          <w:sz w:val="30"/>
          <w:szCs w:val="30"/>
        </w:rPr>
      </w:pPr>
      <w:r>
        <w:rPr>
          <w:rFonts w:hint="eastAsia" w:ascii="仿宋" w:hAnsi="仿宋" w:eastAsia="仿宋"/>
          <w:b/>
          <w:sz w:val="30"/>
          <w:szCs w:val="30"/>
        </w:rPr>
        <w:t>采购商务要求及设备指标参数要求</w:t>
      </w:r>
    </w:p>
    <w:p>
      <w:pPr>
        <w:jc w:val="left"/>
        <w:rPr>
          <w:b/>
          <w:bCs/>
          <w:sz w:val="32"/>
          <w:szCs w:val="32"/>
        </w:rPr>
      </w:pPr>
      <w:r>
        <w:rPr>
          <w:rFonts w:hint="eastAsia"/>
          <w:b/>
          <w:bCs/>
          <w:sz w:val="32"/>
          <w:szCs w:val="32"/>
        </w:rPr>
        <w:t>3.1 在线竞价采购商务要求</w:t>
      </w:r>
    </w:p>
    <w:p>
      <w:pPr>
        <w:numPr>
          <w:ilvl w:val="0"/>
          <w:numId w:val="2"/>
        </w:numPr>
        <w:spacing w:line="360" w:lineRule="auto"/>
        <w:ind w:firstLine="480"/>
        <w:rPr>
          <w:sz w:val="24"/>
        </w:rPr>
      </w:pPr>
      <w:r>
        <w:rPr>
          <w:rFonts w:hint="eastAsia"/>
          <w:sz w:val="24"/>
        </w:rPr>
        <w:t>本项目在线竞价响应供应商须是符合《中华人民共和国政府采购法》第二十二条的规定，符合《关于规范政府采购供应商资格设定及资格审查的通知》第六条规定且已在政采云税务采购网系统注册并通过资质初审的供应商。</w:t>
      </w:r>
    </w:p>
    <w:p>
      <w:pPr>
        <w:numPr>
          <w:ilvl w:val="0"/>
          <w:numId w:val="2"/>
        </w:numPr>
        <w:spacing w:line="360" w:lineRule="auto"/>
        <w:ind w:firstLine="480"/>
        <w:rPr>
          <w:rFonts w:eastAsia="微软雅黑"/>
        </w:rPr>
      </w:pPr>
      <w:r>
        <w:rPr>
          <w:rFonts w:hint="eastAsia"/>
          <w:sz w:val="24"/>
        </w:rPr>
        <w:t>竞价响应供应商须认真审核在线竞价采购文件所有要求，如明知不满足采购文件要求进行恶意竞争的，将根据《政采云平台电子卖场权益维护及纠纷处理规则》和政府采购相关规定，报财政部门、国家税务总局处理，涉嫌犯罪的，移送司法机关处理。请供应商在响应报价前仔细评估自身履约能力，不得实施恶意低价、不按要求报价、中标后无故放弃、不按合同履行等违约行为；对出现此类行为的预成交供应商，将根据在线询价违约处理规则，依法依规提请政采云平台进行处罚，处罚内容包括停止推送报价信息、禁止报价、协议暂停、罚款、诚信体系中记录不良行为或黑名单等，记入政府采购诚信档案。</w:t>
      </w:r>
    </w:p>
    <w:p>
      <w:pPr>
        <w:numPr>
          <w:ilvl w:val="0"/>
          <w:numId w:val="2"/>
        </w:numPr>
        <w:spacing w:line="360" w:lineRule="auto"/>
        <w:rPr>
          <w:color w:val="auto"/>
          <w:sz w:val="24"/>
        </w:rPr>
      </w:pPr>
      <w:r>
        <w:rPr>
          <w:rFonts w:hint="eastAsia"/>
          <w:sz w:val="24"/>
        </w:rPr>
        <w:t>本项目预算含税</w:t>
      </w:r>
      <w:r>
        <w:rPr>
          <w:rFonts w:hint="eastAsia"/>
          <w:color w:val="auto"/>
          <w:sz w:val="24"/>
        </w:rPr>
        <w:t>金额为45万元，数量1</w:t>
      </w:r>
      <w:r>
        <w:rPr>
          <w:rFonts w:hint="eastAsia"/>
          <w:color w:val="auto"/>
          <w:sz w:val="24"/>
          <w:lang w:val="en-US" w:eastAsia="zh-CN"/>
        </w:rPr>
        <w:t>套</w:t>
      </w:r>
      <w:r>
        <w:rPr>
          <w:rFonts w:hint="eastAsia"/>
          <w:color w:val="auto"/>
          <w:sz w:val="24"/>
        </w:rPr>
        <w:t>，项目实施地点为南京市税务局</w:t>
      </w:r>
      <w:r>
        <w:rPr>
          <w:rFonts w:hint="eastAsia"/>
          <w:color w:val="auto"/>
          <w:sz w:val="24"/>
          <w:lang w:val="en-US" w:eastAsia="zh-CN"/>
        </w:rPr>
        <w:t>金汇大厦</w:t>
      </w:r>
      <w:r>
        <w:rPr>
          <w:rFonts w:hint="eastAsia"/>
          <w:color w:val="auto"/>
          <w:sz w:val="24"/>
        </w:rPr>
        <w:t>机房。</w:t>
      </w:r>
    </w:p>
    <w:p>
      <w:pPr>
        <w:numPr>
          <w:ilvl w:val="0"/>
          <w:numId w:val="2"/>
        </w:numPr>
        <w:spacing w:line="360" w:lineRule="auto"/>
        <w:ind w:firstLine="480"/>
        <w:rPr>
          <w:color w:val="auto"/>
          <w:sz w:val="24"/>
        </w:rPr>
      </w:pPr>
      <w:r>
        <w:rPr>
          <w:rFonts w:hint="eastAsia"/>
          <w:color w:val="auto"/>
          <w:sz w:val="24"/>
        </w:rPr>
        <w:t>竞价响应供应商须参照采购需求中建议的品牌提供产品，并确保其所提供的产品为符合生产厂家正规渠道的原装正品。</w:t>
      </w:r>
    </w:p>
    <w:p>
      <w:pPr>
        <w:numPr>
          <w:ilvl w:val="0"/>
          <w:numId w:val="2"/>
        </w:numPr>
        <w:spacing w:line="360" w:lineRule="auto"/>
        <w:rPr>
          <w:color w:val="auto"/>
          <w:sz w:val="24"/>
        </w:rPr>
      </w:pPr>
      <w:r>
        <w:rPr>
          <w:rFonts w:hint="eastAsia"/>
          <w:color w:val="auto"/>
          <w:sz w:val="24"/>
        </w:rPr>
        <w:t>竞价公告的商品清单中“技术参数或配置要求”表中标记“★”的为主要技术参数；主要技术参数不满足为实质性不响应，其他参数不响应超过三项的视为实质性不响应。</w:t>
      </w:r>
    </w:p>
    <w:p>
      <w:pPr>
        <w:numPr>
          <w:ilvl w:val="0"/>
          <w:numId w:val="2"/>
        </w:numPr>
        <w:spacing w:line="360" w:lineRule="auto"/>
        <w:rPr>
          <w:sz w:val="24"/>
        </w:rPr>
      </w:pPr>
      <w:r>
        <w:rPr>
          <w:rFonts w:hint="eastAsia"/>
          <w:color w:val="auto"/>
          <w:sz w:val="24"/>
        </w:rPr>
        <w:t>本项目所采购设备</w:t>
      </w:r>
      <w:r>
        <w:rPr>
          <w:rFonts w:hint="eastAsia"/>
          <w:color w:val="auto"/>
          <w:sz w:val="24"/>
          <w:lang w:val="en-US" w:eastAsia="zh-CN"/>
        </w:rPr>
        <w:t>及软件</w:t>
      </w:r>
      <w:r>
        <w:rPr>
          <w:rFonts w:hint="eastAsia"/>
          <w:color w:val="auto"/>
          <w:sz w:val="24"/>
        </w:rPr>
        <w:t>须提供不少于3年原厂维保及升级</w:t>
      </w:r>
      <w:r>
        <w:rPr>
          <w:rFonts w:hint="eastAsia"/>
          <w:sz w:val="24"/>
        </w:rPr>
        <w:t>服务，质保期时间自最终验收合格并交付使用之日（以时间在后者为准）起计算。为确保供应商提供的产品品质及后续质保服务，投标产品需要提供由设备生产厂商出具的加盖公章的维保服务承诺函，否则视为竞价不符合技术指标要求，属实质性不响应，本次竞价无效。</w:t>
      </w:r>
    </w:p>
    <w:p>
      <w:pPr>
        <w:numPr>
          <w:ilvl w:val="0"/>
          <w:numId w:val="2"/>
        </w:numPr>
        <w:spacing w:line="360" w:lineRule="auto"/>
        <w:rPr>
          <w:sz w:val="24"/>
        </w:rPr>
      </w:pPr>
      <w:r>
        <w:rPr>
          <w:rFonts w:hint="eastAsia"/>
          <w:sz w:val="24"/>
        </w:rPr>
        <w:t>竞价成交结果公告公示后必须在七个工作日内与采购单位签定合同，合同签订后1个月内完成全部设备的到货，设备到货后1个月内完成现场集成安装调试，并提供必要的辅材，同时完成相关培训任务。</w:t>
      </w:r>
    </w:p>
    <w:p>
      <w:pPr>
        <w:numPr>
          <w:ilvl w:val="0"/>
          <w:numId w:val="2"/>
        </w:numPr>
        <w:spacing w:line="360" w:lineRule="auto"/>
        <w:rPr>
          <w:sz w:val="24"/>
        </w:rPr>
      </w:pPr>
      <w:r>
        <w:rPr>
          <w:rFonts w:hint="eastAsia"/>
          <w:sz w:val="24"/>
        </w:rPr>
        <w:t>商务及服务条款、技术参数内要求的相关资料、证书，竞价供应商须在报价同时通过附件向采购单位提供，否则本次竞价无效。如中标人未能履行以下规定程序的，视为未实质性响应本项目采购需求，按税务采购网供应商管理办法处置：（1）投标产品未按照技术参数要求提供主要技术参数证明文件的；（2）技术参数或配置要求中需要提供的技术参数证明文件未能在签订合同前提交原件或原件复印件并加盖产品厂商公章进行核验；（3）无法按时供货；（4）由于投标人原因未在规定的时间内签订合同的。</w:t>
      </w:r>
    </w:p>
    <w:p>
      <w:pPr>
        <w:numPr>
          <w:ilvl w:val="0"/>
          <w:numId w:val="2"/>
        </w:numPr>
        <w:spacing w:line="360" w:lineRule="auto"/>
        <w:rPr>
          <w:sz w:val="24"/>
        </w:rPr>
      </w:pPr>
      <w:r>
        <w:rPr>
          <w:rFonts w:hint="eastAsia"/>
          <w:sz w:val="24"/>
        </w:rPr>
        <w:t>竞价设备参数指标不得低于附件中设备参数指标。</w:t>
      </w:r>
    </w:p>
    <w:p>
      <w:pPr>
        <w:numPr>
          <w:ilvl w:val="0"/>
          <w:numId w:val="2"/>
        </w:numPr>
        <w:spacing w:line="360" w:lineRule="auto"/>
        <w:rPr>
          <w:sz w:val="24"/>
        </w:rPr>
      </w:pPr>
      <w:r>
        <w:rPr>
          <w:rFonts w:hint="eastAsia"/>
          <w:sz w:val="24"/>
        </w:rPr>
        <w:t>本项目不接受超预算报价。</w:t>
      </w:r>
    </w:p>
    <w:p>
      <w:pPr>
        <w:numPr>
          <w:ilvl w:val="0"/>
          <w:numId w:val="2"/>
        </w:numPr>
        <w:spacing w:line="360" w:lineRule="auto"/>
        <w:rPr>
          <w:sz w:val="24"/>
        </w:rPr>
      </w:pPr>
      <w:r>
        <w:rPr>
          <w:rFonts w:hint="eastAsia"/>
          <w:sz w:val="24"/>
        </w:rPr>
        <w:t>本项目不接受联合体参加。</w:t>
      </w:r>
    </w:p>
    <w:p>
      <w:pPr>
        <w:numPr>
          <w:ilvl w:val="0"/>
          <w:numId w:val="2"/>
        </w:numPr>
        <w:spacing w:line="360" w:lineRule="auto"/>
        <w:rPr>
          <w:sz w:val="24"/>
        </w:rPr>
      </w:pPr>
      <w:r>
        <w:rPr>
          <w:rFonts w:hint="eastAsia"/>
          <w:sz w:val="24"/>
        </w:rPr>
        <w:t>供应商和所供产品必须全部满足技术和商务要求、服务条款和商务条件；供应商担保采购单位使用其提供的产品及服务不侵犯第三方知识产权。合同签署后供应商不满足以上各项要求和指标，采购单位有权终止合同，并且有权要求退赔。</w:t>
      </w:r>
    </w:p>
    <w:p>
      <w:pPr>
        <w:numPr>
          <w:ilvl w:val="0"/>
          <w:numId w:val="2"/>
        </w:numPr>
        <w:spacing w:line="360" w:lineRule="auto"/>
        <w:rPr>
          <w:rFonts w:ascii="宋体" w:hAnsi="宋体"/>
          <w:sz w:val="24"/>
        </w:rPr>
      </w:pPr>
      <w:r>
        <w:rPr>
          <w:rFonts w:hint="eastAsia" w:ascii="宋体" w:hAnsi="宋体"/>
          <w:sz w:val="24"/>
        </w:rPr>
        <w:t>本项目不得以任何形式转包分包，采购单位将对进场施工人员做资格审查，不合格当违约处理。</w:t>
      </w:r>
    </w:p>
    <w:p>
      <w:pPr>
        <w:numPr>
          <w:ilvl w:val="0"/>
          <w:numId w:val="2"/>
        </w:numPr>
        <w:spacing w:line="360" w:lineRule="auto"/>
        <w:rPr>
          <w:rFonts w:ascii="宋体" w:hAnsi="宋体"/>
          <w:color w:val="auto"/>
          <w:sz w:val="24"/>
        </w:rPr>
      </w:pPr>
      <w:r>
        <w:rPr>
          <w:rFonts w:hint="eastAsia" w:ascii="宋体" w:hAnsi="宋体"/>
          <w:sz w:val="24"/>
        </w:rPr>
        <w:t>付款方式：本合同项下的全部货物安装调试完毕并经最终验收合格，且收到货物生产厂商针对本项目开具的维保服务承诺函后30个工作日内，</w:t>
      </w:r>
      <w:r>
        <w:rPr>
          <w:rFonts w:hint="eastAsia" w:ascii="宋体" w:hAnsi="宋体"/>
          <w:color w:val="auto"/>
          <w:sz w:val="24"/>
        </w:rPr>
        <w:t>在收到供应商开具的正式发票后，采购单位向供应商支付全部合同价款。</w:t>
      </w:r>
    </w:p>
    <w:p>
      <w:pPr>
        <w:pStyle w:val="5"/>
      </w:pPr>
    </w:p>
    <w:p>
      <w:pPr>
        <w:pStyle w:val="5"/>
      </w:pPr>
    </w:p>
    <w:p>
      <w:pPr>
        <w:jc w:val="left"/>
        <w:rPr>
          <w:b/>
          <w:bCs/>
          <w:sz w:val="32"/>
          <w:szCs w:val="32"/>
        </w:rPr>
      </w:pPr>
    </w:p>
    <w:p>
      <w:pPr>
        <w:pStyle w:val="5"/>
        <w:rPr>
          <w:b/>
          <w:bCs/>
          <w:sz w:val="32"/>
          <w:szCs w:val="32"/>
        </w:rPr>
      </w:pPr>
    </w:p>
    <w:p>
      <w:pPr>
        <w:jc w:val="left"/>
        <w:rPr>
          <w:b/>
          <w:bCs/>
          <w:sz w:val="32"/>
          <w:szCs w:val="32"/>
        </w:rPr>
      </w:pPr>
    </w:p>
    <w:p>
      <w:pPr>
        <w:rPr>
          <w:b/>
          <w:bCs/>
          <w:sz w:val="32"/>
          <w:szCs w:val="32"/>
        </w:rPr>
      </w:pPr>
      <w:r>
        <w:rPr>
          <w:rFonts w:hint="eastAsia"/>
          <w:b/>
          <w:bCs/>
          <w:sz w:val="32"/>
          <w:szCs w:val="32"/>
        </w:rPr>
        <w:t>3.2 技术参数和配置要求</w:t>
      </w:r>
    </w:p>
    <w:tbl>
      <w:tblPr>
        <w:tblStyle w:val="12"/>
        <w:tblW w:w="8391" w:type="dxa"/>
        <w:jc w:val="center"/>
        <w:tblLayout w:type="autofit"/>
        <w:tblCellMar>
          <w:top w:w="0" w:type="dxa"/>
          <w:left w:w="108" w:type="dxa"/>
          <w:bottom w:w="0" w:type="dxa"/>
          <w:right w:w="108" w:type="dxa"/>
        </w:tblCellMar>
      </w:tblPr>
      <w:tblGrid>
        <w:gridCol w:w="811"/>
        <w:gridCol w:w="1096"/>
        <w:gridCol w:w="6484"/>
      </w:tblGrid>
      <w:tr>
        <w:tblPrEx>
          <w:tblCellMar>
            <w:top w:w="0" w:type="dxa"/>
            <w:left w:w="108" w:type="dxa"/>
            <w:bottom w:w="0" w:type="dxa"/>
            <w:right w:w="108" w:type="dxa"/>
          </w:tblCellMar>
        </w:tblPrEx>
        <w:trPr>
          <w:trHeight w:val="448"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jc w:val="center"/>
              <w:rPr>
                <w:b/>
                <w:bCs/>
                <w:szCs w:val="21"/>
              </w:rPr>
            </w:pPr>
            <w:r>
              <w:rPr>
                <w:rFonts w:hint="eastAsia"/>
                <w:b/>
                <w:bCs/>
                <w:szCs w:val="21"/>
              </w:rPr>
              <w:t>序号</w:t>
            </w:r>
          </w:p>
        </w:tc>
        <w:tc>
          <w:tcPr>
            <w:tcW w:w="1096" w:type="dxa"/>
            <w:tcBorders>
              <w:top w:val="single" w:color="auto" w:sz="4" w:space="0"/>
              <w:left w:val="nil"/>
              <w:bottom w:val="single" w:color="auto" w:sz="4" w:space="0"/>
              <w:right w:val="single" w:color="auto" w:sz="4" w:space="0"/>
            </w:tcBorders>
            <w:vAlign w:val="center"/>
          </w:tcPr>
          <w:p>
            <w:pPr>
              <w:jc w:val="center"/>
              <w:rPr>
                <w:b/>
                <w:bCs/>
                <w:szCs w:val="21"/>
              </w:rPr>
            </w:pPr>
            <w:r>
              <w:rPr>
                <w:b/>
                <w:bCs/>
                <w:szCs w:val="21"/>
              </w:rPr>
              <w:t>指标项</w:t>
            </w:r>
          </w:p>
        </w:tc>
        <w:tc>
          <w:tcPr>
            <w:tcW w:w="6484" w:type="dxa"/>
            <w:tcBorders>
              <w:top w:val="single" w:color="auto" w:sz="4" w:space="0"/>
              <w:left w:val="nil"/>
              <w:bottom w:val="single" w:color="auto" w:sz="4" w:space="0"/>
              <w:right w:val="single" w:color="auto" w:sz="4" w:space="0"/>
            </w:tcBorders>
            <w:vAlign w:val="center"/>
          </w:tcPr>
          <w:p>
            <w:pPr>
              <w:jc w:val="center"/>
              <w:rPr>
                <w:b/>
                <w:bCs/>
                <w:szCs w:val="21"/>
              </w:rPr>
            </w:pPr>
            <w:r>
              <w:rPr>
                <w:b/>
                <w:bCs/>
                <w:szCs w:val="21"/>
              </w:rPr>
              <w:t>指标要求</w:t>
            </w:r>
          </w:p>
        </w:tc>
      </w:tr>
      <w:tr>
        <w:tblPrEx>
          <w:tblCellMar>
            <w:top w:w="0" w:type="dxa"/>
            <w:left w:w="108" w:type="dxa"/>
            <w:bottom w:w="0" w:type="dxa"/>
            <w:right w:w="108" w:type="dxa"/>
          </w:tblCellMar>
        </w:tblPrEx>
        <w:trPr>
          <w:trHeight w:val="285" w:hRule="atLeast"/>
          <w:jc w:val="center"/>
        </w:trPr>
        <w:tc>
          <w:tcPr>
            <w:tcW w:w="811" w:type="dxa"/>
            <w:tcBorders>
              <w:top w:val="nil"/>
              <w:left w:val="single" w:color="auto" w:sz="4" w:space="0"/>
              <w:bottom w:val="single" w:color="auto" w:sz="4" w:space="0"/>
              <w:right w:val="single" w:color="auto" w:sz="4" w:space="0"/>
            </w:tcBorders>
            <w:vAlign w:val="center"/>
          </w:tcPr>
          <w:p>
            <w:pPr>
              <w:pStyle w:val="25"/>
              <w:numPr>
                <w:ilvl w:val="0"/>
                <w:numId w:val="3"/>
              </w:numPr>
              <w:ind w:left="630"/>
              <w:jc w:val="center"/>
              <w:rPr>
                <w:szCs w:val="21"/>
              </w:rPr>
            </w:pPr>
          </w:p>
        </w:tc>
        <w:tc>
          <w:tcPr>
            <w:tcW w:w="1096" w:type="dxa"/>
            <w:tcBorders>
              <w:top w:val="nil"/>
              <w:left w:val="nil"/>
              <w:bottom w:val="single" w:color="auto" w:sz="4" w:space="0"/>
              <w:right w:val="single" w:color="auto" w:sz="4" w:space="0"/>
            </w:tcBorders>
            <w:vAlign w:val="center"/>
          </w:tcPr>
          <w:p>
            <w:pPr>
              <w:jc w:val="center"/>
              <w:rPr>
                <w:rFonts w:hint="eastAsia" w:eastAsia="宋体"/>
                <w:szCs w:val="21"/>
                <w:lang w:val="en-US" w:eastAsia="zh-CN"/>
              </w:rPr>
            </w:pPr>
            <w:r>
              <w:rPr>
                <w:szCs w:val="21"/>
              </w:rPr>
              <w:t>硬件</w:t>
            </w:r>
            <w:r>
              <w:rPr>
                <w:rFonts w:hint="eastAsia"/>
                <w:szCs w:val="21"/>
                <w:lang w:val="en-US" w:eastAsia="zh-CN"/>
              </w:rPr>
              <w:t>平台</w:t>
            </w:r>
            <w:r>
              <w:rPr>
                <w:rFonts w:hint="eastAsia"/>
                <w:szCs w:val="21"/>
              </w:rPr>
              <w:t>配置</w:t>
            </w:r>
            <w:r>
              <w:rPr>
                <w:rFonts w:hint="eastAsia"/>
                <w:szCs w:val="21"/>
                <w:lang w:val="en-US" w:eastAsia="zh-CN"/>
              </w:rPr>
              <w:t>要求</w:t>
            </w:r>
          </w:p>
        </w:tc>
        <w:tc>
          <w:tcPr>
            <w:tcW w:w="6484" w:type="dxa"/>
            <w:tcBorders>
              <w:top w:val="nil"/>
              <w:left w:val="nil"/>
              <w:bottom w:val="single" w:color="auto" w:sz="4" w:space="0"/>
              <w:right w:val="single" w:color="auto" w:sz="4" w:space="0"/>
            </w:tcBorders>
            <w:vAlign w:val="center"/>
          </w:tcPr>
          <w:p>
            <w:pPr>
              <w:rPr>
                <w:szCs w:val="21"/>
              </w:rPr>
            </w:pPr>
            <w:r>
              <w:rPr>
                <w:rFonts w:hint="eastAsia"/>
                <w:sz w:val="24"/>
              </w:rPr>
              <w:t>★</w:t>
            </w:r>
            <w:r>
              <w:rPr>
                <w:rFonts w:hint="eastAsia"/>
                <w:szCs w:val="21"/>
                <w:lang w:val="en-US" w:eastAsia="zh-CN"/>
              </w:rPr>
              <w:t>1台</w:t>
            </w:r>
            <w:r>
              <w:rPr>
                <w:szCs w:val="21"/>
              </w:rPr>
              <w:t>，2U机架式</w:t>
            </w:r>
            <w:r>
              <w:rPr>
                <w:rFonts w:hint="eastAsia"/>
                <w:szCs w:val="21"/>
              </w:rPr>
              <w:t>服务器硬件平台（非工控机）</w:t>
            </w:r>
            <w:r>
              <w:rPr>
                <w:rFonts w:hint="eastAsia"/>
                <w:szCs w:val="21"/>
                <w:lang w:eastAsia="zh-CN"/>
              </w:rPr>
              <w:t>，</w:t>
            </w:r>
            <w:r>
              <w:rPr>
                <w:szCs w:val="21"/>
              </w:rPr>
              <w:t>双电源，</w:t>
            </w:r>
            <w:r>
              <w:rPr>
                <w:rFonts w:hint="eastAsia"/>
                <w:szCs w:val="21"/>
              </w:rPr>
              <w:t>2颗CPU，单颗CPU内核≥16</w:t>
            </w:r>
            <w:r>
              <w:rPr>
                <w:szCs w:val="21"/>
              </w:rPr>
              <w:t>核，内存</w:t>
            </w:r>
            <w:r>
              <w:rPr>
                <w:rFonts w:hint="eastAsia"/>
                <w:szCs w:val="21"/>
              </w:rPr>
              <w:t>≥256</w:t>
            </w:r>
            <w:r>
              <w:rPr>
                <w:szCs w:val="21"/>
              </w:rPr>
              <w:t>G</w:t>
            </w:r>
            <w:r>
              <w:rPr>
                <w:rFonts w:hint="eastAsia"/>
                <w:szCs w:val="21"/>
              </w:rPr>
              <w:t>B</w:t>
            </w:r>
            <w:r>
              <w:rPr>
                <w:szCs w:val="21"/>
              </w:rPr>
              <w:t>，</w:t>
            </w:r>
            <w:r>
              <w:rPr>
                <w:rFonts w:hint="eastAsia" w:asciiTheme="minorEastAsia" w:hAnsiTheme="minorEastAsia" w:eastAsiaTheme="minorEastAsia" w:cstheme="minorEastAsia"/>
                <w:sz w:val="24"/>
              </w:rPr>
              <w:t>固态硬盘容量≧1.8Tb，SAS硬盘容量≥24TB，RAID</w:t>
            </w:r>
            <w:r>
              <w:rPr>
                <w:rFonts w:hint="eastAsia" w:asciiTheme="minorEastAsia" w:hAnsiTheme="minorEastAsia" w:eastAsiaTheme="minorEastAsia" w:cstheme="minorEastAsia"/>
                <w:sz w:val="24"/>
                <w:lang w:val="en-US" w:eastAsia="zh-CN"/>
              </w:rPr>
              <w:t xml:space="preserve"> 5</w:t>
            </w:r>
            <w:r>
              <w:rPr>
                <w:rFonts w:hint="eastAsia" w:asciiTheme="minorEastAsia" w:hAnsiTheme="minorEastAsia" w:eastAsiaTheme="minorEastAsia" w:cstheme="minorEastAsia"/>
                <w:sz w:val="24"/>
              </w:rPr>
              <w:t>，可使用硬盘槽位≥12个，</w:t>
            </w:r>
            <w:r>
              <w:rPr>
                <w:rFonts w:hint="eastAsia"/>
                <w:szCs w:val="21"/>
              </w:rPr>
              <w:t>≥2个千兆电口，≥2个万兆光口</w:t>
            </w:r>
          </w:p>
        </w:tc>
      </w:tr>
      <w:tr>
        <w:tblPrEx>
          <w:tblCellMar>
            <w:top w:w="0" w:type="dxa"/>
            <w:left w:w="108" w:type="dxa"/>
            <w:bottom w:w="0" w:type="dxa"/>
            <w:right w:w="108" w:type="dxa"/>
          </w:tblCellMar>
        </w:tblPrEx>
        <w:trPr>
          <w:trHeight w:val="285" w:hRule="atLeast"/>
          <w:jc w:val="center"/>
        </w:trPr>
        <w:tc>
          <w:tcPr>
            <w:tcW w:w="811" w:type="dxa"/>
            <w:tcBorders>
              <w:top w:val="nil"/>
              <w:left w:val="single" w:color="auto" w:sz="4" w:space="0"/>
              <w:bottom w:val="single" w:color="auto" w:sz="4" w:space="0"/>
              <w:right w:val="single" w:color="auto" w:sz="4" w:space="0"/>
            </w:tcBorders>
            <w:vAlign w:val="center"/>
          </w:tcPr>
          <w:p>
            <w:pPr>
              <w:pStyle w:val="25"/>
              <w:numPr>
                <w:ilvl w:val="0"/>
                <w:numId w:val="3"/>
              </w:numPr>
              <w:ind w:left="630" w:leftChars="0" w:hanging="420" w:firstLineChars="0"/>
              <w:jc w:val="center"/>
              <w:rPr>
                <w:rFonts w:ascii="Times New Roman" w:hAnsi="Times New Roman" w:eastAsia="宋体" w:cs="Times New Roman"/>
                <w:color w:val="auto"/>
                <w:kern w:val="2"/>
                <w:sz w:val="21"/>
                <w:szCs w:val="21"/>
                <w:lang w:val="en-US" w:eastAsia="zh-CN" w:bidi="ar-SA"/>
              </w:rPr>
            </w:pPr>
          </w:p>
        </w:tc>
        <w:tc>
          <w:tcPr>
            <w:tcW w:w="1096" w:type="dxa"/>
            <w:vMerge w:val="restart"/>
            <w:tcBorders>
              <w:top w:val="nil"/>
              <w:left w:val="nil"/>
              <w:right w:val="single" w:color="auto" w:sz="4" w:space="0"/>
            </w:tcBorders>
            <w:vAlign w:val="center"/>
          </w:tcPr>
          <w:p>
            <w:pPr>
              <w:jc w:val="left"/>
              <w:rPr>
                <w:rFonts w:hint="eastAsia" w:ascii="Times New Roman" w:hAnsi="Times New Roman" w:eastAsia="宋体" w:cs="Times New Roman"/>
                <w:color w:val="auto"/>
                <w:kern w:val="2"/>
                <w:sz w:val="24"/>
                <w:szCs w:val="24"/>
                <w:lang w:val="en-US" w:eastAsia="zh-CN" w:bidi="ar-SA"/>
              </w:rPr>
            </w:pPr>
            <w:r>
              <w:rPr>
                <w:rFonts w:hint="eastAsia" w:eastAsia="宋体"/>
                <w:color w:val="auto"/>
                <w:szCs w:val="21"/>
                <w:lang w:val="en-US" w:eastAsia="zh-CN"/>
              </w:rPr>
              <w:t>流量</w:t>
            </w:r>
            <w:r>
              <w:rPr>
                <w:rFonts w:hint="eastAsia"/>
                <w:color w:val="auto"/>
                <w:szCs w:val="21"/>
                <w:lang w:val="en-US" w:eastAsia="zh-CN"/>
              </w:rPr>
              <w:t>镜像</w:t>
            </w:r>
            <w:r>
              <w:rPr>
                <w:rFonts w:hint="eastAsia" w:eastAsia="宋体"/>
                <w:color w:val="auto"/>
                <w:szCs w:val="21"/>
                <w:lang w:val="en-US" w:eastAsia="zh-CN"/>
              </w:rPr>
              <w:t>采集工具</w:t>
            </w:r>
          </w:p>
        </w:tc>
        <w:tc>
          <w:tcPr>
            <w:tcW w:w="6484" w:type="dxa"/>
            <w:tcBorders>
              <w:top w:val="nil"/>
              <w:left w:val="nil"/>
              <w:bottom w:val="single" w:color="auto" w:sz="4" w:space="0"/>
              <w:right w:val="single" w:color="auto" w:sz="4" w:space="0"/>
            </w:tcBorders>
            <w:vAlign w:val="center"/>
          </w:tcPr>
          <w:p>
            <w:pPr>
              <w:rPr>
                <w:rFonts w:hint="eastAsia" w:ascii="Times New Roman" w:hAnsi="Times New Roman" w:eastAsia="宋体" w:cs="Times New Roman"/>
                <w:color w:val="auto"/>
                <w:kern w:val="2"/>
                <w:sz w:val="21"/>
                <w:szCs w:val="21"/>
                <w:lang w:val="en-US" w:eastAsia="zh-CN" w:bidi="ar-SA"/>
              </w:rPr>
            </w:pPr>
            <w:r>
              <w:rPr>
                <w:rFonts w:hint="eastAsia"/>
                <w:color w:val="auto"/>
                <w:sz w:val="24"/>
              </w:rPr>
              <w:t>★</w:t>
            </w:r>
            <w:r>
              <w:rPr>
                <w:rFonts w:hint="eastAsia"/>
                <w:color w:val="auto"/>
                <w:szCs w:val="21"/>
                <w:lang w:val="en-US" w:eastAsia="zh-CN"/>
              </w:rPr>
              <w:t>1台，</w:t>
            </w:r>
            <w:r>
              <w:rPr>
                <w:rFonts w:hint="eastAsia" w:eastAsia="宋体"/>
                <w:color w:val="auto"/>
                <w:szCs w:val="21"/>
                <w:lang w:val="en-US" w:eastAsia="zh-CN"/>
              </w:rPr>
              <w:t>旁路部署，支持 4 个 100GE QSFP28/40GE QSFP+（配置2个40GE QSFP+多模 MPO接口模块），24 个 10GE SFP+/1GE SFP 业务接口（配6个万兆光口模块和6个千兆光口模块）和24个千兆电口，接口子卡可替换，1+1 冗余电源，整机报文转发吞吐量不小于664Gbps；</w:t>
            </w:r>
          </w:p>
        </w:tc>
      </w:tr>
      <w:tr>
        <w:tblPrEx>
          <w:tblCellMar>
            <w:top w:w="0" w:type="dxa"/>
            <w:left w:w="108" w:type="dxa"/>
            <w:bottom w:w="0" w:type="dxa"/>
            <w:right w:w="108" w:type="dxa"/>
          </w:tblCellMar>
        </w:tblPrEx>
        <w:trPr>
          <w:trHeight w:val="90" w:hRule="atLeast"/>
          <w:jc w:val="center"/>
        </w:trPr>
        <w:tc>
          <w:tcPr>
            <w:tcW w:w="811" w:type="dxa"/>
            <w:tcBorders>
              <w:top w:val="nil"/>
              <w:left w:val="single" w:color="auto" w:sz="4" w:space="0"/>
              <w:bottom w:val="single" w:color="auto" w:sz="4" w:space="0"/>
              <w:right w:val="single" w:color="auto" w:sz="4" w:space="0"/>
            </w:tcBorders>
            <w:vAlign w:val="center"/>
          </w:tcPr>
          <w:p>
            <w:pPr>
              <w:pStyle w:val="25"/>
              <w:numPr>
                <w:ilvl w:val="0"/>
                <w:numId w:val="3"/>
              </w:numPr>
              <w:ind w:left="630" w:leftChars="0" w:hanging="420" w:firstLineChars="0"/>
              <w:jc w:val="center"/>
              <w:rPr>
                <w:rFonts w:ascii="Times New Roman" w:hAnsi="Times New Roman" w:eastAsia="宋体" w:cs="Times New Roman"/>
                <w:color w:val="auto"/>
                <w:kern w:val="2"/>
                <w:sz w:val="21"/>
                <w:szCs w:val="21"/>
                <w:lang w:val="en-US" w:eastAsia="zh-CN" w:bidi="ar-SA"/>
              </w:rPr>
            </w:pPr>
          </w:p>
        </w:tc>
        <w:tc>
          <w:tcPr>
            <w:tcW w:w="1096" w:type="dxa"/>
            <w:vMerge w:val="continue"/>
            <w:tcBorders>
              <w:left w:val="nil"/>
              <w:right w:val="single" w:color="auto" w:sz="4" w:space="0"/>
            </w:tcBorders>
            <w:vAlign w:val="center"/>
          </w:tcPr>
          <w:p>
            <w:pPr>
              <w:jc w:val="center"/>
              <w:rPr>
                <w:rFonts w:hint="eastAsia"/>
                <w:color w:val="auto"/>
                <w:szCs w:val="21"/>
              </w:rPr>
            </w:pPr>
          </w:p>
        </w:tc>
        <w:tc>
          <w:tcPr>
            <w:tcW w:w="6484" w:type="dxa"/>
            <w:vMerge w:val="restart"/>
            <w:tcBorders>
              <w:top w:val="nil"/>
              <w:left w:val="nil"/>
              <w:right w:val="single" w:color="auto" w:sz="4" w:space="0"/>
            </w:tcBorders>
            <w:vAlign w:val="center"/>
          </w:tcPr>
          <w:p>
            <w:pPr>
              <w:rPr>
                <w:rFonts w:hint="eastAsia" w:ascii="Times New Roman" w:hAnsi="Times New Roman" w:eastAsia="宋体" w:cs="Times New Roman"/>
                <w:color w:val="auto"/>
                <w:kern w:val="2"/>
                <w:sz w:val="21"/>
                <w:szCs w:val="21"/>
                <w:lang w:val="en-US" w:eastAsia="zh-CN" w:bidi="ar-SA"/>
              </w:rPr>
            </w:pPr>
            <w:r>
              <w:rPr>
                <w:rFonts w:hint="eastAsia"/>
                <w:color w:val="auto"/>
                <w:sz w:val="24"/>
              </w:rPr>
              <w:t>★</w:t>
            </w:r>
            <w:r>
              <w:rPr>
                <w:rFonts w:hint="eastAsia" w:eastAsia="宋体"/>
                <w:color w:val="auto"/>
                <w:szCs w:val="21"/>
                <w:lang w:val="en-US" w:eastAsia="zh-CN"/>
              </w:rPr>
              <w:t>支持基于硬件的OSI L2-L4层流量过滤，可基于源MAC、目的MAC、源IP、目的IP、协议号、源端口、目的端口、物理端口号、VLAN的报文过滤,支持自定义其中的任意组合</w:t>
            </w:r>
            <w:r>
              <w:rPr>
                <w:rFonts w:hint="eastAsia"/>
                <w:color w:val="auto"/>
                <w:szCs w:val="21"/>
                <w:lang w:val="en-US" w:eastAsia="zh-CN"/>
              </w:rPr>
              <w:t>；</w:t>
            </w:r>
            <w:r>
              <w:rPr>
                <w:rFonts w:hint="eastAsia" w:eastAsia="宋体"/>
                <w:color w:val="auto"/>
                <w:szCs w:val="21"/>
                <w:lang w:val="en-US" w:eastAsia="zh-CN"/>
              </w:rPr>
              <w:t>支持基于协议与应用的分类过滤策略，支持URL过滤规则</w:t>
            </w:r>
            <w:r>
              <w:rPr>
                <w:rFonts w:hint="eastAsia"/>
                <w:color w:val="auto"/>
                <w:szCs w:val="21"/>
                <w:lang w:val="en-US" w:eastAsia="zh-CN"/>
              </w:rPr>
              <w:t>；</w:t>
            </w:r>
            <w:r>
              <w:rPr>
                <w:rFonts w:hint="eastAsia" w:eastAsia="宋体"/>
                <w:color w:val="auto"/>
                <w:szCs w:val="21"/>
                <w:lang w:val="en-US" w:eastAsia="zh-CN"/>
              </w:rPr>
              <w:t>支持报文去重，自定义报文去重参数，包括但不限于：五元组、tcpflag、ip_id、payload、checksum；支持无限次报文去重；支持配置报文去重窗口时间；支持对接入的HTTPS、FTPS、POP3S、SMTPS、IMAPS协议加密流量进行解密，TLS版本需支持1.2和1.3</w:t>
            </w:r>
            <w:r>
              <w:rPr>
                <w:rFonts w:hint="eastAsia"/>
                <w:color w:val="auto"/>
                <w:szCs w:val="21"/>
                <w:lang w:val="en-US" w:eastAsia="zh-CN"/>
              </w:rPr>
              <w:t>；</w:t>
            </w:r>
          </w:p>
        </w:tc>
      </w:tr>
      <w:tr>
        <w:tblPrEx>
          <w:tblCellMar>
            <w:top w:w="0" w:type="dxa"/>
            <w:left w:w="108" w:type="dxa"/>
            <w:bottom w:w="0" w:type="dxa"/>
            <w:right w:w="108" w:type="dxa"/>
          </w:tblCellMar>
        </w:tblPrEx>
        <w:trPr>
          <w:trHeight w:val="285" w:hRule="atLeast"/>
          <w:jc w:val="center"/>
        </w:trPr>
        <w:tc>
          <w:tcPr>
            <w:tcW w:w="811" w:type="dxa"/>
            <w:tcBorders>
              <w:top w:val="nil"/>
              <w:left w:val="single" w:color="auto" w:sz="4" w:space="0"/>
              <w:bottom w:val="single" w:color="auto" w:sz="4" w:space="0"/>
              <w:right w:val="single" w:color="auto" w:sz="4" w:space="0"/>
            </w:tcBorders>
            <w:vAlign w:val="center"/>
          </w:tcPr>
          <w:p>
            <w:pPr>
              <w:pStyle w:val="25"/>
              <w:numPr>
                <w:ilvl w:val="0"/>
                <w:numId w:val="3"/>
              </w:numPr>
              <w:ind w:left="630" w:leftChars="0" w:hanging="420" w:firstLineChars="0"/>
              <w:jc w:val="center"/>
              <w:rPr>
                <w:rFonts w:ascii="Times New Roman" w:hAnsi="Times New Roman" w:eastAsia="宋体" w:cs="Times New Roman"/>
                <w:color w:val="auto"/>
                <w:kern w:val="2"/>
                <w:sz w:val="21"/>
                <w:szCs w:val="21"/>
                <w:lang w:val="en-US" w:eastAsia="zh-CN" w:bidi="ar-SA"/>
              </w:rPr>
            </w:pPr>
          </w:p>
        </w:tc>
        <w:tc>
          <w:tcPr>
            <w:tcW w:w="1096" w:type="dxa"/>
            <w:vMerge w:val="continue"/>
            <w:tcBorders>
              <w:left w:val="nil"/>
              <w:right w:val="single" w:color="auto" w:sz="4" w:space="0"/>
            </w:tcBorders>
            <w:vAlign w:val="center"/>
          </w:tcPr>
          <w:p>
            <w:pPr>
              <w:jc w:val="center"/>
              <w:rPr>
                <w:rFonts w:hint="eastAsia"/>
                <w:color w:val="auto"/>
                <w:szCs w:val="21"/>
              </w:rPr>
            </w:pPr>
          </w:p>
        </w:tc>
        <w:tc>
          <w:tcPr>
            <w:tcW w:w="6484" w:type="dxa"/>
            <w:vMerge w:val="continue"/>
            <w:tcBorders>
              <w:left w:val="nil"/>
              <w:bottom w:val="single" w:color="auto" w:sz="4" w:space="0"/>
              <w:right w:val="single" w:color="auto" w:sz="4" w:space="0"/>
            </w:tcBorders>
            <w:vAlign w:val="center"/>
          </w:tcPr>
          <w:p>
            <w:pPr>
              <w:rPr>
                <w:rFonts w:hint="eastAsia" w:ascii="Times New Roman" w:hAnsi="Times New Roman" w:eastAsia="宋体" w:cs="Times New Roman"/>
                <w:color w:val="auto"/>
                <w:kern w:val="2"/>
                <w:sz w:val="21"/>
                <w:szCs w:val="21"/>
                <w:lang w:val="en-US" w:eastAsia="zh-CN" w:bidi="ar-SA"/>
              </w:rPr>
            </w:pPr>
          </w:p>
        </w:tc>
      </w:tr>
      <w:tr>
        <w:tblPrEx>
          <w:tblCellMar>
            <w:top w:w="0" w:type="dxa"/>
            <w:left w:w="108" w:type="dxa"/>
            <w:bottom w:w="0" w:type="dxa"/>
            <w:right w:w="108" w:type="dxa"/>
          </w:tblCellMar>
        </w:tblPrEx>
        <w:trPr>
          <w:trHeight w:val="285" w:hRule="atLeast"/>
          <w:jc w:val="center"/>
        </w:trPr>
        <w:tc>
          <w:tcPr>
            <w:tcW w:w="811" w:type="dxa"/>
            <w:tcBorders>
              <w:top w:val="nil"/>
              <w:left w:val="single" w:color="auto" w:sz="4" w:space="0"/>
              <w:bottom w:val="single" w:color="auto" w:sz="4" w:space="0"/>
              <w:right w:val="single" w:color="auto" w:sz="4" w:space="0"/>
            </w:tcBorders>
            <w:vAlign w:val="center"/>
          </w:tcPr>
          <w:p>
            <w:pPr>
              <w:pStyle w:val="25"/>
              <w:numPr>
                <w:ilvl w:val="0"/>
                <w:numId w:val="3"/>
              </w:numPr>
              <w:ind w:left="630" w:leftChars="0" w:hanging="420" w:firstLineChars="0"/>
              <w:jc w:val="center"/>
              <w:rPr>
                <w:rFonts w:ascii="Times New Roman" w:hAnsi="Times New Roman" w:eastAsia="宋体" w:cs="Times New Roman"/>
                <w:color w:val="auto"/>
                <w:kern w:val="2"/>
                <w:sz w:val="21"/>
                <w:szCs w:val="21"/>
                <w:lang w:val="en-US" w:eastAsia="zh-CN" w:bidi="ar-SA"/>
              </w:rPr>
            </w:pPr>
          </w:p>
        </w:tc>
        <w:tc>
          <w:tcPr>
            <w:tcW w:w="1096" w:type="dxa"/>
            <w:vMerge w:val="continue"/>
            <w:tcBorders>
              <w:left w:val="nil"/>
              <w:bottom w:val="single" w:color="auto" w:sz="4" w:space="0"/>
              <w:right w:val="single" w:color="auto" w:sz="4" w:space="0"/>
            </w:tcBorders>
            <w:vAlign w:val="center"/>
          </w:tcPr>
          <w:p>
            <w:pPr>
              <w:jc w:val="center"/>
              <w:rPr>
                <w:rFonts w:hint="eastAsia"/>
                <w:color w:val="auto"/>
                <w:szCs w:val="21"/>
              </w:rPr>
            </w:pPr>
          </w:p>
        </w:tc>
        <w:tc>
          <w:tcPr>
            <w:tcW w:w="6484" w:type="dxa"/>
            <w:tcBorders>
              <w:top w:val="nil"/>
              <w:left w:val="nil"/>
              <w:bottom w:val="single" w:color="auto" w:sz="4" w:space="0"/>
              <w:right w:val="single" w:color="auto" w:sz="4" w:space="0"/>
            </w:tcBorders>
            <w:vAlign w:val="center"/>
          </w:tcPr>
          <w:p>
            <w:pPr>
              <w:rPr>
                <w:rFonts w:hint="eastAsia" w:eastAsia="宋体"/>
                <w:color w:val="auto"/>
                <w:szCs w:val="21"/>
                <w:lang w:val="en-US" w:eastAsia="zh-CN"/>
              </w:rPr>
            </w:pPr>
            <w:r>
              <w:rPr>
                <w:rFonts w:hint="eastAsia" w:eastAsia="宋体"/>
                <w:color w:val="auto"/>
                <w:szCs w:val="21"/>
                <w:lang w:val="en-US" w:eastAsia="zh-CN"/>
              </w:rPr>
              <w:t>支持命令行管理和配置，支持关闭Telnet，启用SSH对设备进行命令行管理配置；支持图形化管理和配置；</w:t>
            </w:r>
          </w:p>
        </w:tc>
      </w:tr>
      <w:tr>
        <w:tblPrEx>
          <w:tblCellMar>
            <w:top w:w="0" w:type="dxa"/>
            <w:left w:w="108" w:type="dxa"/>
            <w:bottom w:w="0" w:type="dxa"/>
            <w:right w:w="108" w:type="dxa"/>
          </w:tblCellMar>
        </w:tblPrEx>
        <w:trPr>
          <w:trHeight w:val="285" w:hRule="atLeast"/>
          <w:jc w:val="center"/>
        </w:trPr>
        <w:tc>
          <w:tcPr>
            <w:tcW w:w="811" w:type="dxa"/>
            <w:tcBorders>
              <w:top w:val="nil"/>
              <w:left w:val="single" w:color="auto" w:sz="4" w:space="0"/>
              <w:bottom w:val="single" w:color="auto" w:sz="4" w:space="0"/>
              <w:right w:val="single" w:color="auto" w:sz="4" w:space="0"/>
            </w:tcBorders>
            <w:vAlign w:val="center"/>
          </w:tcPr>
          <w:p>
            <w:pPr>
              <w:pStyle w:val="25"/>
              <w:numPr>
                <w:ilvl w:val="0"/>
                <w:numId w:val="3"/>
              </w:numPr>
              <w:ind w:left="630"/>
              <w:jc w:val="center"/>
              <w:rPr>
                <w:szCs w:val="21"/>
              </w:rPr>
            </w:pPr>
          </w:p>
        </w:tc>
        <w:tc>
          <w:tcPr>
            <w:tcW w:w="1096" w:type="dxa"/>
            <w:tcBorders>
              <w:top w:val="nil"/>
              <w:left w:val="nil"/>
              <w:bottom w:val="single" w:color="auto" w:sz="4" w:space="0"/>
              <w:right w:val="single" w:color="auto" w:sz="4" w:space="0"/>
            </w:tcBorders>
            <w:vAlign w:val="center"/>
          </w:tcPr>
          <w:p>
            <w:pPr>
              <w:jc w:val="center"/>
              <w:rPr>
                <w:szCs w:val="21"/>
              </w:rPr>
            </w:pPr>
            <w:r>
              <w:rPr>
                <w:rFonts w:hint="eastAsia"/>
                <w:szCs w:val="21"/>
              </w:rPr>
              <w:t>使用许可</w:t>
            </w:r>
          </w:p>
        </w:tc>
        <w:tc>
          <w:tcPr>
            <w:tcW w:w="6484" w:type="dxa"/>
            <w:tcBorders>
              <w:top w:val="nil"/>
              <w:left w:val="nil"/>
              <w:bottom w:val="single" w:color="auto" w:sz="4" w:space="0"/>
              <w:right w:val="single" w:color="auto" w:sz="4" w:space="0"/>
            </w:tcBorders>
            <w:vAlign w:val="center"/>
          </w:tcPr>
          <w:p>
            <w:pPr>
              <w:rPr>
                <w:szCs w:val="21"/>
              </w:rPr>
            </w:pPr>
            <w:r>
              <w:rPr>
                <w:rFonts w:hint="eastAsia"/>
                <w:sz w:val="24"/>
              </w:rPr>
              <w:t>★</w:t>
            </w:r>
            <w:r>
              <w:rPr>
                <w:rFonts w:hint="eastAsia"/>
                <w:szCs w:val="21"/>
              </w:rPr>
              <w:t>本</w:t>
            </w:r>
            <w:r>
              <w:rPr>
                <w:rFonts w:hint="eastAsia"/>
                <w:szCs w:val="21"/>
                <w:lang w:val="en-US" w:eastAsia="zh-CN"/>
              </w:rPr>
              <w:t>项目产品</w:t>
            </w:r>
            <w:r>
              <w:rPr>
                <w:rFonts w:hint="eastAsia"/>
                <w:szCs w:val="21"/>
              </w:rPr>
              <w:t>管理的数据库实例、表、字段、数据文件等不受许可数量限制</w:t>
            </w:r>
          </w:p>
        </w:tc>
      </w:tr>
      <w:tr>
        <w:tblPrEx>
          <w:tblCellMar>
            <w:top w:w="0" w:type="dxa"/>
            <w:left w:w="108" w:type="dxa"/>
            <w:bottom w:w="0" w:type="dxa"/>
            <w:right w:w="108" w:type="dxa"/>
          </w:tblCellMar>
        </w:tblPrEx>
        <w:trPr>
          <w:trHeight w:val="295" w:hRule="atLeast"/>
          <w:jc w:val="center"/>
        </w:trPr>
        <w:tc>
          <w:tcPr>
            <w:tcW w:w="811" w:type="dxa"/>
            <w:tcBorders>
              <w:top w:val="nil"/>
              <w:left w:val="single" w:color="auto" w:sz="4" w:space="0"/>
              <w:bottom w:val="single" w:color="auto" w:sz="4" w:space="0"/>
              <w:right w:val="single" w:color="auto" w:sz="4" w:space="0"/>
            </w:tcBorders>
            <w:vAlign w:val="center"/>
          </w:tcPr>
          <w:p>
            <w:pPr>
              <w:pStyle w:val="25"/>
              <w:numPr>
                <w:ilvl w:val="0"/>
                <w:numId w:val="3"/>
              </w:numPr>
              <w:ind w:left="630"/>
              <w:jc w:val="center"/>
              <w:rPr>
                <w:szCs w:val="21"/>
              </w:rPr>
            </w:pPr>
          </w:p>
        </w:tc>
        <w:tc>
          <w:tcPr>
            <w:tcW w:w="1096" w:type="dxa"/>
            <w:vMerge w:val="restart"/>
            <w:tcBorders>
              <w:top w:val="nil"/>
              <w:left w:val="nil"/>
              <w:right w:val="single" w:color="auto" w:sz="4" w:space="0"/>
            </w:tcBorders>
            <w:vAlign w:val="center"/>
          </w:tcPr>
          <w:p>
            <w:pPr>
              <w:jc w:val="center"/>
              <w:rPr>
                <w:szCs w:val="21"/>
              </w:rPr>
            </w:pPr>
            <w:r>
              <w:rPr>
                <w:szCs w:val="21"/>
              </w:rPr>
              <w:t>数据</w:t>
            </w:r>
            <w:r>
              <w:rPr>
                <w:rFonts w:hint="eastAsia"/>
                <w:szCs w:val="21"/>
              </w:rPr>
              <w:t>库</w:t>
            </w:r>
            <w:r>
              <w:rPr>
                <w:szCs w:val="21"/>
              </w:rPr>
              <w:t>资产管理</w:t>
            </w:r>
          </w:p>
        </w:tc>
        <w:tc>
          <w:tcPr>
            <w:tcW w:w="6484" w:type="dxa"/>
            <w:tcBorders>
              <w:top w:val="nil"/>
              <w:left w:val="nil"/>
              <w:bottom w:val="single" w:color="auto" w:sz="4" w:space="0"/>
              <w:right w:val="single" w:color="auto" w:sz="4" w:space="0"/>
            </w:tcBorders>
            <w:vAlign w:val="center"/>
          </w:tcPr>
          <w:p>
            <w:pPr>
              <w:rPr>
                <w:szCs w:val="21"/>
              </w:rPr>
            </w:pPr>
            <w:r>
              <w:rPr>
                <w:szCs w:val="21"/>
              </w:rPr>
              <w:t>支持多种数据源，包括</w:t>
            </w:r>
            <w:r>
              <w:rPr>
                <w:rFonts w:hint="eastAsia"/>
                <w:szCs w:val="21"/>
              </w:rPr>
              <w:t>但不限于</w:t>
            </w:r>
            <w:r>
              <w:rPr>
                <w:szCs w:val="21"/>
              </w:rPr>
              <w:t>：Oracle、SQL Server、MySQL、PostgreSQL、Hive、Greenplum</w:t>
            </w:r>
            <w:r>
              <w:rPr>
                <w:rFonts w:hint="eastAsia"/>
                <w:szCs w:val="21"/>
              </w:rPr>
              <w:t>、ElasticSearch、南大通用</w:t>
            </w:r>
            <w:r>
              <w:rPr>
                <w:szCs w:val="21"/>
              </w:rPr>
              <w:t>GBase、</w:t>
            </w:r>
            <w:r>
              <w:rPr>
                <w:rFonts w:hint="eastAsia"/>
                <w:szCs w:val="21"/>
              </w:rPr>
              <w:t>人大金仓、</w:t>
            </w:r>
            <w:r>
              <w:rPr>
                <w:szCs w:val="21"/>
              </w:rPr>
              <w:t>达梦</w:t>
            </w:r>
            <w:r>
              <w:rPr>
                <w:rFonts w:hint="eastAsia"/>
                <w:szCs w:val="21"/>
              </w:rPr>
              <w:t>、</w:t>
            </w:r>
            <w:r>
              <w:rPr>
                <w:rFonts w:hint="eastAsia" w:eastAsia="仿宋_GB2312"/>
                <w:color w:val="000000"/>
                <w:kern w:val="0"/>
                <w:sz w:val="20"/>
                <w:szCs w:val="20"/>
                <w:lang w:bidi="ar"/>
              </w:rPr>
              <w:t>Gau</w:t>
            </w:r>
            <w:r>
              <w:rPr>
                <w:rFonts w:eastAsia="仿宋_GB2312"/>
                <w:color w:val="000000"/>
                <w:kern w:val="0"/>
                <w:sz w:val="20"/>
                <w:szCs w:val="20"/>
                <w:lang w:bidi="ar"/>
              </w:rPr>
              <w:t>ss DB</w:t>
            </w:r>
            <w:r>
              <w:rPr>
                <w:szCs w:val="21"/>
              </w:rPr>
              <w:t>等多种数据库及数据仓库。</w:t>
            </w:r>
          </w:p>
        </w:tc>
      </w:tr>
      <w:tr>
        <w:tblPrEx>
          <w:tblCellMar>
            <w:top w:w="0" w:type="dxa"/>
            <w:left w:w="108" w:type="dxa"/>
            <w:bottom w:w="0" w:type="dxa"/>
            <w:right w:w="108" w:type="dxa"/>
          </w:tblCellMar>
        </w:tblPrEx>
        <w:trPr>
          <w:trHeight w:val="720" w:hRule="atLeast"/>
          <w:jc w:val="center"/>
        </w:trPr>
        <w:tc>
          <w:tcPr>
            <w:tcW w:w="811" w:type="dxa"/>
            <w:tcBorders>
              <w:top w:val="nil"/>
              <w:left w:val="single" w:color="auto" w:sz="4" w:space="0"/>
              <w:bottom w:val="single" w:color="auto" w:sz="4" w:space="0"/>
              <w:right w:val="single" w:color="auto" w:sz="4" w:space="0"/>
            </w:tcBorders>
            <w:vAlign w:val="center"/>
          </w:tcPr>
          <w:p>
            <w:pPr>
              <w:pStyle w:val="25"/>
              <w:numPr>
                <w:ilvl w:val="0"/>
                <w:numId w:val="3"/>
              </w:numPr>
              <w:ind w:left="630"/>
              <w:jc w:val="center"/>
              <w:rPr>
                <w:szCs w:val="21"/>
              </w:rPr>
            </w:pPr>
          </w:p>
        </w:tc>
        <w:tc>
          <w:tcPr>
            <w:tcW w:w="1096" w:type="dxa"/>
            <w:vMerge w:val="continue"/>
            <w:tcBorders>
              <w:left w:val="nil"/>
              <w:right w:val="single" w:color="auto" w:sz="4" w:space="0"/>
            </w:tcBorders>
            <w:vAlign w:val="center"/>
          </w:tcPr>
          <w:p>
            <w:pPr>
              <w:jc w:val="center"/>
              <w:rPr>
                <w:szCs w:val="21"/>
              </w:rPr>
            </w:pPr>
          </w:p>
        </w:tc>
        <w:tc>
          <w:tcPr>
            <w:tcW w:w="6484" w:type="dxa"/>
            <w:tcBorders>
              <w:top w:val="nil"/>
              <w:left w:val="nil"/>
              <w:bottom w:val="single" w:color="auto" w:sz="4" w:space="0"/>
              <w:right w:val="single" w:color="auto" w:sz="4" w:space="0"/>
            </w:tcBorders>
            <w:vAlign w:val="center"/>
          </w:tcPr>
          <w:p>
            <w:pPr>
              <w:rPr>
                <w:szCs w:val="21"/>
              </w:rPr>
            </w:pPr>
            <w:r>
              <w:rPr>
                <w:szCs w:val="21"/>
              </w:rPr>
              <w:t>可</w:t>
            </w:r>
            <w:r>
              <w:rPr>
                <w:rFonts w:hint="eastAsia"/>
                <w:szCs w:val="21"/>
              </w:rPr>
              <w:t>根据</w:t>
            </w:r>
            <w:r>
              <w:rPr>
                <w:szCs w:val="21"/>
              </w:rPr>
              <w:t>指定IP段的范围进行搜索</w:t>
            </w:r>
            <w:r>
              <w:rPr>
                <w:rFonts w:hint="eastAsia"/>
                <w:szCs w:val="21"/>
              </w:rPr>
              <w:t>，</w:t>
            </w:r>
            <w:r>
              <w:rPr>
                <w:szCs w:val="21"/>
              </w:rPr>
              <w:t>自动发现数据库的基本信息</w:t>
            </w:r>
            <w:r>
              <w:rPr>
                <w:rFonts w:hint="eastAsia"/>
                <w:szCs w:val="21"/>
              </w:rPr>
              <w:t>，</w:t>
            </w:r>
            <w:r>
              <w:rPr>
                <w:szCs w:val="21"/>
              </w:rPr>
              <w:t>包括：数据库服务器IP地址</w:t>
            </w:r>
            <w:r>
              <w:rPr>
                <w:rFonts w:hint="eastAsia"/>
                <w:szCs w:val="21"/>
              </w:rPr>
              <w:t>、</w:t>
            </w:r>
            <w:r>
              <w:rPr>
                <w:szCs w:val="21"/>
              </w:rPr>
              <w:t>端口号、数据库类型等。</w:t>
            </w:r>
          </w:p>
        </w:tc>
      </w:tr>
      <w:tr>
        <w:tblPrEx>
          <w:tblCellMar>
            <w:top w:w="0" w:type="dxa"/>
            <w:left w:w="108" w:type="dxa"/>
            <w:bottom w:w="0" w:type="dxa"/>
            <w:right w:w="108" w:type="dxa"/>
          </w:tblCellMar>
        </w:tblPrEx>
        <w:trPr>
          <w:trHeight w:val="335" w:hRule="atLeast"/>
          <w:jc w:val="center"/>
        </w:trPr>
        <w:tc>
          <w:tcPr>
            <w:tcW w:w="811" w:type="dxa"/>
            <w:tcBorders>
              <w:top w:val="nil"/>
              <w:left w:val="single" w:color="auto" w:sz="4" w:space="0"/>
              <w:right w:val="single" w:color="auto" w:sz="4" w:space="0"/>
            </w:tcBorders>
            <w:vAlign w:val="center"/>
          </w:tcPr>
          <w:p>
            <w:pPr>
              <w:pStyle w:val="25"/>
              <w:numPr>
                <w:ilvl w:val="0"/>
                <w:numId w:val="3"/>
              </w:numPr>
              <w:ind w:left="630"/>
              <w:jc w:val="center"/>
              <w:rPr>
                <w:szCs w:val="21"/>
              </w:rPr>
            </w:pPr>
          </w:p>
        </w:tc>
        <w:tc>
          <w:tcPr>
            <w:tcW w:w="1096" w:type="dxa"/>
            <w:vMerge w:val="continue"/>
            <w:tcBorders>
              <w:left w:val="nil"/>
              <w:bottom w:val="single" w:color="000000" w:sz="4" w:space="0"/>
              <w:right w:val="single" w:color="auto" w:sz="4" w:space="0"/>
            </w:tcBorders>
            <w:vAlign w:val="center"/>
          </w:tcPr>
          <w:p>
            <w:pPr>
              <w:jc w:val="left"/>
              <w:rPr>
                <w:szCs w:val="21"/>
              </w:rPr>
            </w:pPr>
          </w:p>
        </w:tc>
        <w:tc>
          <w:tcPr>
            <w:tcW w:w="6484" w:type="dxa"/>
            <w:tcBorders>
              <w:top w:val="nil"/>
              <w:left w:val="nil"/>
              <w:bottom w:val="single" w:color="auto" w:sz="4" w:space="0"/>
              <w:right w:val="single" w:color="auto" w:sz="4" w:space="0"/>
            </w:tcBorders>
            <w:vAlign w:val="center"/>
          </w:tcPr>
          <w:p>
            <w:pPr>
              <w:rPr>
                <w:szCs w:val="21"/>
              </w:rPr>
            </w:pPr>
            <w:r>
              <w:rPr>
                <w:szCs w:val="21"/>
              </w:rPr>
              <w:t>用户</w:t>
            </w:r>
            <w:r>
              <w:rPr>
                <w:rFonts w:hint="eastAsia"/>
                <w:szCs w:val="21"/>
              </w:rPr>
              <w:t>可</w:t>
            </w:r>
            <w:r>
              <w:rPr>
                <w:szCs w:val="21"/>
              </w:rPr>
              <w:t>对</w:t>
            </w:r>
            <w:r>
              <w:rPr>
                <w:rFonts w:hint="eastAsia"/>
                <w:szCs w:val="21"/>
              </w:rPr>
              <w:t>自动</w:t>
            </w:r>
            <w:r>
              <w:rPr>
                <w:szCs w:val="21"/>
              </w:rPr>
              <w:t>发现</w:t>
            </w:r>
            <w:r>
              <w:rPr>
                <w:rFonts w:hint="eastAsia"/>
                <w:szCs w:val="21"/>
              </w:rPr>
              <w:t>或</w:t>
            </w:r>
            <w:r>
              <w:rPr>
                <w:szCs w:val="21"/>
              </w:rPr>
              <w:t>手动添加的数据库编辑信息，包括数据库版本号、描述、组织机构、</w:t>
            </w:r>
            <w:r>
              <w:rPr>
                <w:rFonts w:hint="eastAsia"/>
                <w:szCs w:val="21"/>
              </w:rPr>
              <w:t>所属</w:t>
            </w:r>
            <w:r>
              <w:rPr>
                <w:szCs w:val="21"/>
              </w:rPr>
              <w:t>业务系统等。</w:t>
            </w:r>
          </w:p>
        </w:tc>
      </w:tr>
      <w:tr>
        <w:tblPrEx>
          <w:tblCellMar>
            <w:top w:w="0" w:type="dxa"/>
            <w:left w:w="108" w:type="dxa"/>
            <w:bottom w:w="0" w:type="dxa"/>
            <w:right w:w="108" w:type="dxa"/>
          </w:tblCellMar>
        </w:tblPrEx>
        <w:trPr>
          <w:trHeight w:val="1230" w:hRule="atLeast"/>
          <w:jc w:val="center"/>
        </w:trPr>
        <w:tc>
          <w:tcPr>
            <w:tcW w:w="811" w:type="dxa"/>
            <w:tcBorders>
              <w:top w:val="nil"/>
              <w:left w:val="single" w:color="auto" w:sz="4" w:space="0"/>
              <w:bottom w:val="single" w:color="auto" w:sz="4" w:space="0"/>
              <w:right w:val="single" w:color="auto" w:sz="4" w:space="0"/>
            </w:tcBorders>
            <w:vAlign w:val="center"/>
          </w:tcPr>
          <w:p>
            <w:pPr>
              <w:pStyle w:val="25"/>
              <w:numPr>
                <w:ilvl w:val="0"/>
                <w:numId w:val="3"/>
              </w:numPr>
              <w:ind w:left="630"/>
              <w:jc w:val="center"/>
              <w:rPr>
                <w:szCs w:val="21"/>
              </w:rPr>
            </w:pPr>
          </w:p>
        </w:tc>
        <w:tc>
          <w:tcPr>
            <w:tcW w:w="1096" w:type="dxa"/>
            <w:vMerge w:val="restart"/>
            <w:tcBorders>
              <w:top w:val="nil"/>
              <w:left w:val="single" w:color="auto" w:sz="4" w:space="0"/>
              <w:bottom w:val="single" w:color="000000" w:sz="4" w:space="0"/>
              <w:right w:val="single" w:color="auto" w:sz="4" w:space="0"/>
            </w:tcBorders>
            <w:vAlign w:val="center"/>
          </w:tcPr>
          <w:p>
            <w:pPr>
              <w:jc w:val="center"/>
              <w:rPr>
                <w:szCs w:val="21"/>
              </w:rPr>
            </w:pPr>
            <w:r>
              <w:rPr>
                <w:szCs w:val="21"/>
              </w:rPr>
              <w:t>敏感数据自动发现</w:t>
            </w:r>
          </w:p>
        </w:tc>
        <w:tc>
          <w:tcPr>
            <w:tcW w:w="6484" w:type="dxa"/>
            <w:tcBorders>
              <w:top w:val="nil"/>
              <w:left w:val="nil"/>
              <w:bottom w:val="single" w:color="auto" w:sz="4" w:space="0"/>
              <w:right w:val="single" w:color="auto" w:sz="4" w:space="0"/>
            </w:tcBorders>
            <w:vAlign w:val="center"/>
          </w:tcPr>
          <w:p>
            <w:pPr>
              <w:rPr>
                <w:szCs w:val="21"/>
              </w:rPr>
            </w:pPr>
            <w:r>
              <w:rPr>
                <w:rFonts w:hint="eastAsia"/>
                <w:sz w:val="24"/>
              </w:rPr>
              <w:t>★</w:t>
            </w:r>
            <w:r>
              <w:rPr>
                <w:szCs w:val="21"/>
              </w:rPr>
              <w:t>内置敏感数据特征库</w:t>
            </w:r>
            <w:r>
              <w:rPr>
                <w:rFonts w:hint="eastAsia"/>
                <w:szCs w:val="21"/>
              </w:rPr>
              <w:t>，能够自动识别</w:t>
            </w:r>
            <w:r>
              <w:rPr>
                <w:szCs w:val="21"/>
              </w:rPr>
              <w:t>身份证、通用证件号、银行卡号、电话号码（手机、座机）、中文姓名、中文地址、企业名称、日期、税号、统一社会信用代码、组织机构代码、工商注册号、海关编号、ip地址、mac地址、车牌号、车架号、港澳通行证</w:t>
            </w:r>
            <w:r>
              <w:rPr>
                <w:rFonts w:hint="eastAsia"/>
                <w:szCs w:val="21"/>
              </w:rPr>
              <w:t>等</w:t>
            </w:r>
            <w:r>
              <w:rPr>
                <w:szCs w:val="21"/>
              </w:rPr>
              <w:t>敏感信息。</w:t>
            </w:r>
          </w:p>
        </w:tc>
      </w:tr>
      <w:tr>
        <w:tblPrEx>
          <w:tblCellMar>
            <w:top w:w="0" w:type="dxa"/>
            <w:left w:w="108" w:type="dxa"/>
            <w:bottom w:w="0" w:type="dxa"/>
            <w:right w:w="108" w:type="dxa"/>
          </w:tblCellMar>
        </w:tblPrEx>
        <w:trPr>
          <w:trHeight w:val="495" w:hRule="atLeast"/>
          <w:jc w:val="center"/>
        </w:trPr>
        <w:tc>
          <w:tcPr>
            <w:tcW w:w="811" w:type="dxa"/>
            <w:tcBorders>
              <w:top w:val="nil"/>
              <w:left w:val="single" w:color="auto" w:sz="4" w:space="0"/>
              <w:bottom w:val="single" w:color="auto" w:sz="4" w:space="0"/>
              <w:right w:val="single" w:color="auto" w:sz="4" w:space="0"/>
            </w:tcBorders>
            <w:vAlign w:val="center"/>
          </w:tcPr>
          <w:p>
            <w:pPr>
              <w:pStyle w:val="25"/>
              <w:numPr>
                <w:ilvl w:val="0"/>
                <w:numId w:val="3"/>
              </w:numPr>
              <w:ind w:left="630"/>
              <w:jc w:val="center"/>
              <w:rPr>
                <w:szCs w:val="21"/>
              </w:rPr>
            </w:pPr>
          </w:p>
        </w:tc>
        <w:tc>
          <w:tcPr>
            <w:tcW w:w="1096" w:type="dxa"/>
            <w:vMerge w:val="continue"/>
            <w:tcBorders>
              <w:top w:val="nil"/>
              <w:left w:val="single" w:color="auto" w:sz="4" w:space="0"/>
              <w:bottom w:val="single" w:color="000000" w:sz="4" w:space="0"/>
              <w:right w:val="single" w:color="auto" w:sz="4" w:space="0"/>
            </w:tcBorders>
            <w:vAlign w:val="center"/>
          </w:tcPr>
          <w:p>
            <w:pPr>
              <w:jc w:val="left"/>
              <w:rPr>
                <w:szCs w:val="21"/>
              </w:rPr>
            </w:pPr>
          </w:p>
        </w:tc>
        <w:tc>
          <w:tcPr>
            <w:tcW w:w="6484" w:type="dxa"/>
            <w:tcBorders>
              <w:top w:val="nil"/>
              <w:left w:val="nil"/>
              <w:bottom w:val="single" w:color="auto" w:sz="4" w:space="0"/>
              <w:right w:val="single" w:color="auto" w:sz="4" w:space="0"/>
            </w:tcBorders>
            <w:vAlign w:val="center"/>
          </w:tcPr>
          <w:p>
            <w:pPr>
              <w:rPr>
                <w:szCs w:val="21"/>
              </w:rPr>
            </w:pPr>
            <w:r>
              <w:rPr>
                <w:rFonts w:hint="eastAsia"/>
                <w:szCs w:val="21"/>
              </w:rPr>
              <w:t>针对数据库资产进行字段内容级的深度扫描，基于预置的敏感数据特征库，通过扫描发现数据库中存储的敏感数据，帮助梳理敏感数据在数据库资产中的分布情况。</w:t>
            </w:r>
          </w:p>
        </w:tc>
      </w:tr>
      <w:tr>
        <w:tblPrEx>
          <w:tblCellMar>
            <w:top w:w="0" w:type="dxa"/>
            <w:left w:w="108" w:type="dxa"/>
            <w:bottom w:w="0" w:type="dxa"/>
            <w:right w:w="108" w:type="dxa"/>
          </w:tblCellMar>
        </w:tblPrEx>
        <w:trPr>
          <w:trHeight w:val="285" w:hRule="atLeast"/>
          <w:jc w:val="center"/>
        </w:trPr>
        <w:tc>
          <w:tcPr>
            <w:tcW w:w="811" w:type="dxa"/>
            <w:tcBorders>
              <w:top w:val="nil"/>
              <w:left w:val="single" w:color="auto" w:sz="4" w:space="0"/>
              <w:bottom w:val="single" w:color="auto" w:sz="4" w:space="0"/>
              <w:right w:val="single" w:color="auto" w:sz="4" w:space="0"/>
            </w:tcBorders>
            <w:vAlign w:val="center"/>
          </w:tcPr>
          <w:p>
            <w:pPr>
              <w:pStyle w:val="25"/>
              <w:numPr>
                <w:ilvl w:val="0"/>
                <w:numId w:val="3"/>
              </w:numPr>
              <w:ind w:left="630"/>
              <w:jc w:val="center"/>
              <w:rPr>
                <w:szCs w:val="21"/>
              </w:rPr>
            </w:pPr>
          </w:p>
        </w:tc>
        <w:tc>
          <w:tcPr>
            <w:tcW w:w="1096" w:type="dxa"/>
            <w:vMerge w:val="continue"/>
            <w:tcBorders>
              <w:top w:val="nil"/>
              <w:left w:val="single" w:color="auto" w:sz="4" w:space="0"/>
              <w:bottom w:val="single" w:color="000000" w:sz="4" w:space="0"/>
              <w:right w:val="single" w:color="auto" w:sz="4" w:space="0"/>
            </w:tcBorders>
            <w:vAlign w:val="center"/>
          </w:tcPr>
          <w:p>
            <w:pPr>
              <w:jc w:val="left"/>
              <w:rPr>
                <w:szCs w:val="21"/>
              </w:rPr>
            </w:pPr>
          </w:p>
        </w:tc>
        <w:tc>
          <w:tcPr>
            <w:tcW w:w="6484" w:type="dxa"/>
            <w:tcBorders>
              <w:top w:val="nil"/>
              <w:left w:val="nil"/>
              <w:bottom w:val="single" w:color="auto" w:sz="4" w:space="0"/>
              <w:right w:val="single" w:color="auto" w:sz="4" w:space="0"/>
            </w:tcBorders>
            <w:vAlign w:val="center"/>
          </w:tcPr>
          <w:p>
            <w:pPr>
              <w:rPr>
                <w:szCs w:val="21"/>
              </w:rPr>
            </w:pPr>
            <w:r>
              <w:rPr>
                <w:rFonts w:hint="eastAsia"/>
                <w:szCs w:val="21"/>
              </w:rPr>
              <w:t>针对文件系统进行文件内容的深度扫描，基于预置的敏感数据字典库，扫描发现文件系统中存储的敏感数据，帮助梳理敏感数据在文件资产中的分布情况。</w:t>
            </w:r>
          </w:p>
        </w:tc>
      </w:tr>
      <w:tr>
        <w:tblPrEx>
          <w:tblCellMar>
            <w:top w:w="0" w:type="dxa"/>
            <w:left w:w="108" w:type="dxa"/>
            <w:bottom w:w="0" w:type="dxa"/>
            <w:right w:w="108" w:type="dxa"/>
          </w:tblCellMar>
        </w:tblPrEx>
        <w:trPr>
          <w:trHeight w:val="720" w:hRule="atLeast"/>
          <w:jc w:val="center"/>
        </w:trPr>
        <w:tc>
          <w:tcPr>
            <w:tcW w:w="811" w:type="dxa"/>
            <w:tcBorders>
              <w:top w:val="nil"/>
              <w:left w:val="single" w:color="auto" w:sz="4" w:space="0"/>
              <w:bottom w:val="single" w:color="auto" w:sz="4" w:space="0"/>
              <w:right w:val="single" w:color="auto" w:sz="4" w:space="0"/>
            </w:tcBorders>
            <w:vAlign w:val="center"/>
          </w:tcPr>
          <w:p>
            <w:pPr>
              <w:pStyle w:val="25"/>
              <w:numPr>
                <w:ilvl w:val="0"/>
                <w:numId w:val="3"/>
              </w:numPr>
              <w:ind w:left="630"/>
              <w:jc w:val="center"/>
              <w:rPr>
                <w:szCs w:val="21"/>
              </w:rPr>
            </w:pPr>
          </w:p>
        </w:tc>
        <w:tc>
          <w:tcPr>
            <w:tcW w:w="1096" w:type="dxa"/>
            <w:vMerge w:val="continue"/>
            <w:tcBorders>
              <w:top w:val="nil"/>
              <w:left w:val="single" w:color="auto" w:sz="4" w:space="0"/>
              <w:bottom w:val="single" w:color="000000" w:sz="4" w:space="0"/>
              <w:right w:val="single" w:color="auto" w:sz="4" w:space="0"/>
            </w:tcBorders>
            <w:vAlign w:val="center"/>
          </w:tcPr>
          <w:p>
            <w:pPr>
              <w:jc w:val="left"/>
              <w:rPr>
                <w:szCs w:val="21"/>
              </w:rPr>
            </w:pPr>
          </w:p>
        </w:tc>
        <w:tc>
          <w:tcPr>
            <w:tcW w:w="6484" w:type="dxa"/>
            <w:tcBorders>
              <w:top w:val="nil"/>
              <w:left w:val="nil"/>
              <w:bottom w:val="single" w:color="auto" w:sz="4" w:space="0"/>
              <w:right w:val="single" w:color="auto" w:sz="4" w:space="0"/>
            </w:tcBorders>
            <w:vAlign w:val="center"/>
          </w:tcPr>
          <w:p>
            <w:pPr>
              <w:rPr>
                <w:szCs w:val="21"/>
              </w:rPr>
            </w:pPr>
            <w:r>
              <w:rPr>
                <w:rFonts w:hint="eastAsia"/>
                <w:szCs w:val="21"/>
              </w:rPr>
              <w:t>用户可</w:t>
            </w:r>
            <w:r>
              <w:rPr>
                <w:szCs w:val="21"/>
              </w:rPr>
              <w:t>在</w:t>
            </w:r>
            <w:r>
              <w:rPr>
                <w:rFonts w:hint="eastAsia"/>
                <w:szCs w:val="21"/>
              </w:rPr>
              <w:t>WEB</w:t>
            </w:r>
            <w:r>
              <w:rPr>
                <w:szCs w:val="21"/>
              </w:rPr>
              <w:t>界面</w:t>
            </w:r>
            <w:r>
              <w:rPr>
                <w:rFonts w:hint="eastAsia"/>
                <w:szCs w:val="21"/>
              </w:rPr>
              <w:t>对敏感数据的特征规则进行配置和管理，支持自定义具有行业特性的敏感特征模板</w:t>
            </w:r>
          </w:p>
        </w:tc>
      </w:tr>
      <w:tr>
        <w:tblPrEx>
          <w:tblCellMar>
            <w:top w:w="0" w:type="dxa"/>
            <w:left w:w="108" w:type="dxa"/>
            <w:bottom w:w="0" w:type="dxa"/>
            <w:right w:w="108" w:type="dxa"/>
          </w:tblCellMar>
        </w:tblPrEx>
        <w:trPr>
          <w:trHeight w:val="540" w:hRule="atLeast"/>
          <w:jc w:val="center"/>
        </w:trPr>
        <w:tc>
          <w:tcPr>
            <w:tcW w:w="811" w:type="dxa"/>
            <w:tcBorders>
              <w:top w:val="nil"/>
              <w:left w:val="single" w:color="auto" w:sz="4" w:space="0"/>
              <w:bottom w:val="single" w:color="auto" w:sz="4" w:space="0"/>
              <w:right w:val="single" w:color="auto" w:sz="4" w:space="0"/>
            </w:tcBorders>
            <w:vAlign w:val="center"/>
          </w:tcPr>
          <w:p>
            <w:pPr>
              <w:pStyle w:val="25"/>
              <w:numPr>
                <w:ilvl w:val="0"/>
                <w:numId w:val="3"/>
              </w:numPr>
              <w:ind w:left="630"/>
              <w:jc w:val="center"/>
              <w:rPr>
                <w:szCs w:val="21"/>
              </w:rPr>
            </w:pPr>
          </w:p>
        </w:tc>
        <w:tc>
          <w:tcPr>
            <w:tcW w:w="1096" w:type="dxa"/>
            <w:vMerge w:val="restart"/>
            <w:tcBorders>
              <w:top w:val="nil"/>
              <w:left w:val="single" w:color="auto" w:sz="4" w:space="0"/>
              <w:right w:val="single" w:color="auto" w:sz="4" w:space="0"/>
            </w:tcBorders>
            <w:vAlign w:val="center"/>
          </w:tcPr>
          <w:p>
            <w:pPr>
              <w:jc w:val="center"/>
              <w:rPr>
                <w:szCs w:val="21"/>
              </w:rPr>
            </w:pPr>
            <w:r>
              <w:rPr>
                <w:rFonts w:hint="eastAsia"/>
                <w:szCs w:val="21"/>
              </w:rPr>
              <w:t>数据分类分级</w:t>
            </w:r>
          </w:p>
        </w:tc>
        <w:tc>
          <w:tcPr>
            <w:tcW w:w="6484" w:type="dxa"/>
            <w:tcBorders>
              <w:top w:val="nil"/>
              <w:left w:val="nil"/>
              <w:bottom w:val="single" w:color="auto" w:sz="4" w:space="0"/>
              <w:right w:val="single" w:color="auto" w:sz="4" w:space="0"/>
            </w:tcBorders>
            <w:vAlign w:val="center"/>
          </w:tcPr>
          <w:p>
            <w:pPr>
              <w:rPr>
                <w:rFonts w:ascii="Segoe UI Symbol" w:hAnsi="Segoe UI Symbol" w:cs="Segoe UI Symbol"/>
                <w:szCs w:val="21"/>
              </w:rPr>
            </w:pPr>
            <w:r>
              <w:rPr>
                <w:rFonts w:hint="eastAsia"/>
                <w:sz w:val="24"/>
              </w:rPr>
              <w:t>★</w:t>
            </w:r>
            <w:r>
              <w:rPr>
                <w:rFonts w:hint="eastAsia"/>
                <w:szCs w:val="21"/>
              </w:rPr>
              <w:t>支持基于模板设置分类分级规则：规则至少支持库名、表名、表描述、字段名、字段描述、匹配方式和匹配内容；规则支持正则、精确匹配等；支持规则条件表达式，可设置多个条件之间的与或逻辑关系</w:t>
            </w:r>
            <w:r>
              <w:rPr>
                <w:szCs w:val="21"/>
              </w:rPr>
              <w:t>。</w:t>
            </w:r>
            <w:r>
              <w:rPr>
                <w:rFonts w:hint="eastAsia"/>
                <w:szCs w:val="21"/>
              </w:rPr>
              <w:t>支持根据税务行业分类分级规范自定义数据分类分级模板。</w:t>
            </w:r>
          </w:p>
        </w:tc>
      </w:tr>
      <w:tr>
        <w:tblPrEx>
          <w:tblCellMar>
            <w:top w:w="0" w:type="dxa"/>
            <w:left w:w="108" w:type="dxa"/>
            <w:bottom w:w="0" w:type="dxa"/>
            <w:right w:w="108" w:type="dxa"/>
          </w:tblCellMar>
        </w:tblPrEx>
        <w:trPr>
          <w:trHeight w:val="303" w:hRule="atLeast"/>
          <w:jc w:val="center"/>
        </w:trPr>
        <w:tc>
          <w:tcPr>
            <w:tcW w:w="811" w:type="dxa"/>
            <w:tcBorders>
              <w:top w:val="nil"/>
              <w:left w:val="single" w:color="auto" w:sz="4" w:space="0"/>
              <w:bottom w:val="single" w:color="auto" w:sz="4" w:space="0"/>
              <w:right w:val="single" w:color="auto" w:sz="4" w:space="0"/>
            </w:tcBorders>
            <w:vAlign w:val="center"/>
          </w:tcPr>
          <w:p>
            <w:pPr>
              <w:pStyle w:val="25"/>
              <w:numPr>
                <w:ilvl w:val="0"/>
                <w:numId w:val="3"/>
              </w:numPr>
              <w:ind w:left="630"/>
              <w:jc w:val="center"/>
              <w:rPr>
                <w:szCs w:val="21"/>
              </w:rPr>
            </w:pPr>
          </w:p>
        </w:tc>
        <w:tc>
          <w:tcPr>
            <w:tcW w:w="1096" w:type="dxa"/>
            <w:vMerge w:val="continue"/>
            <w:tcBorders>
              <w:left w:val="single" w:color="auto" w:sz="4" w:space="0"/>
              <w:right w:val="single" w:color="auto" w:sz="4" w:space="0"/>
            </w:tcBorders>
            <w:vAlign w:val="center"/>
          </w:tcPr>
          <w:p>
            <w:pPr>
              <w:jc w:val="center"/>
              <w:rPr>
                <w:szCs w:val="21"/>
              </w:rPr>
            </w:pPr>
          </w:p>
        </w:tc>
        <w:tc>
          <w:tcPr>
            <w:tcW w:w="6484" w:type="dxa"/>
            <w:tcBorders>
              <w:top w:val="nil"/>
              <w:left w:val="nil"/>
              <w:bottom w:val="single" w:color="auto" w:sz="4" w:space="0"/>
              <w:right w:val="single" w:color="auto" w:sz="4" w:space="0"/>
            </w:tcBorders>
            <w:vAlign w:val="center"/>
          </w:tcPr>
          <w:p>
            <w:pPr>
              <w:rPr>
                <w:szCs w:val="21"/>
              </w:rPr>
            </w:pPr>
            <w:r>
              <w:rPr>
                <w:szCs w:val="21"/>
              </w:rPr>
              <w:t>根据选定的分类分级标准进行数据库关联，系统根据对应的分类分级的规则</w:t>
            </w:r>
            <w:r>
              <w:rPr>
                <w:rFonts w:hint="eastAsia"/>
                <w:szCs w:val="21"/>
              </w:rPr>
              <w:t>，通过特征分析等方法进行识别，利用精准匹配，对目标数据自动分类分级</w:t>
            </w:r>
            <w:r>
              <w:rPr>
                <w:szCs w:val="21"/>
              </w:rPr>
              <w:t>。</w:t>
            </w:r>
            <w:r>
              <w:rPr>
                <w:rFonts w:hint="eastAsia"/>
                <w:szCs w:val="21"/>
              </w:rPr>
              <w:t>对于未识别的数据字段和识别后需要修改的字段，用户可手动编辑该字段的分类分级结果，最终以用户手动修改为准，修改后同步更新至分类分级列表中。</w:t>
            </w:r>
          </w:p>
        </w:tc>
      </w:tr>
      <w:tr>
        <w:tblPrEx>
          <w:tblCellMar>
            <w:top w:w="0" w:type="dxa"/>
            <w:left w:w="108" w:type="dxa"/>
            <w:bottom w:w="0" w:type="dxa"/>
            <w:right w:w="108" w:type="dxa"/>
          </w:tblCellMar>
        </w:tblPrEx>
        <w:trPr>
          <w:trHeight w:val="540" w:hRule="atLeast"/>
          <w:jc w:val="center"/>
        </w:trPr>
        <w:tc>
          <w:tcPr>
            <w:tcW w:w="811" w:type="dxa"/>
            <w:tcBorders>
              <w:top w:val="nil"/>
              <w:left w:val="single" w:color="auto" w:sz="4" w:space="0"/>
              <w:bottom w:val="single" w:color="auto" w:sz="4" w:space="0"/>
              <w:right w:val="single" w:color="auto" w:sz="4" w:space="0"/>
            </w:tcBorders>
            <w:vAlign w:val="center"/>
          </w:tcPr>
          <w:p>
            <w:pPr>
              <w:pStyle w:val="25"/>
              <w:numPr>
                <w:ilvl w:val="0"/>
                <w:numId w:val="3"/>
              </w:numPr>
              <w:ind w:left="630"/>
              <w:jc w:val="center"/>
              <w:rPr>
                <w:szCs w:val="21"/>
              </w:rPr>
            </w:pPr>
          </w:p>
        </w:tc>
        <w:tc>
          <w:tcPr>
            <w:tcW w:w="1096" w:type="dxa"/>
            <w:vMerge w:val="continue"/>
            <w:tcBorders>
              <w:left w:val="single" w:color="auto" w:sz="4" w:space="0"/>
              <w:right w:val="single" w:color="auto" w:sz="4" w:space="0"/>
            </w:tcBorders>
            <w:vAlign w:val="center"/>
          </w:tcPr>
          <w:p>
            <w:pPr>
              <w:jc w:val="center"/>
              <w:rPr>
                <w:szCs w:val="21"/>
              </w:rPr>
            </w:pPr>
          </w:p>
        </w:tc>
        <w:tc>
          <w:tcPr>
            <w:tcW w:w="6484" w:type="dxa"/>
            <w:tcBorders>
              <w:top w:val="nil"/>
              <w:left w:val="nil"/>
              <w:bottom w:val="single" w:color="auto" w:sz="4" w:space="0"/>
              <w:right w:val="single" w:color="auto" w:sz="4" w:space="0"/>
            </w:tcBorders>
            <w:vAlign w:val="center"/>
          </w:tcPr>
          <w:p>
            <w:pPr>
              <w:rPr>
                <w:szCs w:val="21"/>
              </w:rPr>
            </w:pPr>
            <w:r>
              <w:rPr>
                <w:rFonts w:hint="eastAsia"/>
                <w:szCs w:val="21"/>
              </w:rPr>
              <w:t>可以创建分类分级任务，系统按照设定的分类分级模板对字段或数据内容进行匹配识别，用户可手动编辑字段的分类分级结果，修改后同步更新至分类分级列表中。</w:t>
            </w:r>
          </w:p>
        </w:tc>
      </w:tr>
      <w:tr>
        <w:tblPrEx>
          <w:tblCellMar>
            <w:top w:w="0" w:type="dxa"/>
            <w:left w:w="108" w:type="dxa"/>
            <w:bottom w:w="0" w:type="dxa"/>
            <w:right w:w="108" w:type="dxa"/>
          </w:tblCellMar>
        </w:tblPrEx>
        <w:trPr>
          <w:trHeight w:val="540" w:hRule="atLeast"/>
          <w:jc w:val="center"/>
        </w:trPr>
        <w:tc>
          <w:tcPr>
            <w:tcW w:w="811" w:type="dxa"/>
            <w:tcBorders>
              <w:top w:val="nil"/>
              <w:left w:val="single" w:color="auto" w:sz="4" w:space="0"/>
              <w:bottom w:val="single" w:color="auto" w:sz="4" w:space="0"/>
              <w:right w:val="single" w:color="auto" w:sz="4" w:space="0"/>
            </w:tcBorders>
            <w:vAlign w:val="center"/>
          </w:tcPr>
          <w:p>
            <w:pPr>
              <w:pStyle w:val="25"/>
              <w:numPr>
                <w:ilvl w:val="0"/>
                <w:numId w:val="3"/>
              </w:numPr>
              <w:ind w:left="630"/>
              <w:jc w:val="center"/>
              <w:rPr>
                <w:szCs w:val="21"/>
              </w:rPr>
            </w:pPr>
          </w:p>
        </w:tc>
        <w:tc>
          <w:tcPr>
            <w:tcW w:w="1096" w:type="dxa"/>
            <w:vMerge w:val="continue"/>
            <w:tcBorders>
              <w:left w:val="single" w:color="auto" w:sz="4" w:space="0"/>
              <w:bottom w:val="single" w:color="000000" w:sz="4" w:space="0"/>
              <w:right w:val="single" w:color="auto" w:sz="4" w:space="0"/>
            </w:tcBorders>
            <w:vAlign w:val="center"/>
          </w:tcPr>
          <w:p>
            <w:pPr>
              <w:jc w:val="center"/>
              <w:rPr>
                <w:szCs w:val="21"/>
              </w:rPr>
            </w:pPr>
          </w:p>
        </w:tc>
        <w:tc>
          <w:tcPr>
            <w:tcW w:w="6484" w:type="dxa"/>
            <w:tcBorders>
              <w:top w:val="nil"/>
              <w:left w:val="nil"/>
              <w:bottom w:val="single" w:color="auto" w:sz="4" w:space="0"/>
              <w:right w:val="single" w:color="auto" w:sz="4" w:space="0"/>
            </w:tcBorders>
            <w:vAlign w:val="center"/>
          </w:tcPr>
          <w:p>
            <w:pPr>
              <w:rPr>
                <w:szCs w:val="21"/>
              </w:rPr>
            </w:pPr>
            <w:r>
              <w:rPr>
                <w:rFonts w:hint="eastAsia"/>
                <w:bCs/>
              </w:rPr>
              <w:t>分类分级结果支持手工导出和提供开放接口供其它系统调用，用于数据库安全审计、数据脱敏等策略使用。</w:t>
            </w:r>
          </w:p>
        </w:tc>
      </w:tr>
      <w:tr>
        <w:tblPrEx>
          <w:tblCellMar>
            <w:top w:w="0" w:type="dxa"/>
            <w:left w:w="108" w:type="dxa"/>
            <w:bottom w:w="0" w:type="dxa"/>
            <w:right w:w="108" w:type="dxa"/>
          </w:tblCellMar>
        </w:tblPrEx>
        <w:trPr>
          <w:trHeight w:val="556" w:hRule="atLeast"/>
          <w:jc w:val="center"/>
        </w:trPr>
        <w:tc>
          <w:tcPr>
            <w:tcW w:w="811" w:type="dxa"/>
            <w:tcBorders>
              <w:top w:val="nil"/>
              <w:left w:val="single" w:color="auto" w:sz="4" w:space="0"/>
              <w:bottom w:val="single" w:color="auto" w:sz="4" w:space="0"/>
              <w:right w:val="single" w:color="auto" w:sz="4" w:space="0"/>
            </w:tcBorders>
            <w:vAlign w:val="center"/>
          </w:tcPr>
          <w:p>
            <w:pPr>
              <w:pStyle w:val="25"/>
              <w:numPr>
                <w:ilvl w:val="0"/>
                <w:numId w:val="3"/>
              </w:numPr>
              <w:ind w:left="630"/>
              <w:jc w:val="center"/>
              <w:rPr>
                <w:szCs w:val="21"/>
              </w:rPr>
            </w:pPr>
          </w:p>
        </w:tc>
        <w:tc>
          <w:tcPr>
            <w:tcW w:w="1096" w:type="dxa"/>
            <w:tcBorders>
              <w:top w:val="nil"/>
              <w:left w:val="single" w:color="auto" w:sz="4" w:space="0"/>
              <w:bottom w:val="single" w:color="000000" w:sz="4" w:space="0"/>
              <w:right w:val="single" w:color="auto" w:sz="4" w:space="0"/>
            </w:tcBorders>
            <w:vAlign w:val="center"/>
          </w:tcPr>
          <w:p>
            <w:pPr>
              <w:jc w:val="center"/>
              <w:rPr>
                <w:rFonts w:ascii="Times New Roman" w:hAnsi="Times New Roman" w:eastAsia="宋体" w:cs="Times New Roman"/>
                <w:kern w:val="2"/>
                <w:sz w:val="21"/>
                <w:szCs w:val="21"/>
                <w:lang w:val="en-US" w:eastAsia="zh-CN" w:bidi="ar-SA"/>
              </w:rPr>
            </w:pPr>
            <w:r>
              <w:rPr>
                <w:szCs w:val="21"/>
              </w:rPr>
              <w:t>数据安全事件监测</w:t>
            </w:r>
          </w:p>
        </w:tc>
        <w:tc>
          <w:tcPr>
            <w:tcW w:w="6484" w:type="dxa"/>
            <w:tcBorders>
              <w:top w:val="nil"/>
              <w:left w:val="nil"/>
              <w:bottom w:val="single" w:color="auto" w:sz="4" w:space="0"/>
              <w:right w:val="single" w:color="auto" w:sz="4" w:space="0"/>
            </w:tcBorders>
            <w:vAlign w:val="center"/>
          </w:tcPr>
          <w:p>
            <w:pPr>
              <w:rPr>
                <w:rFonts w:ascii="Times New Roman" w:hAnsi="Times New Roman" w:eastAsia="宋体" w:cs="Times New Roman"/>
                <w:kern w:val="2"/>
                <w:sz w:val="21"/>
                <w:szCs w:val="21"/>
                <w:lang w:val="en-US" w:eastAsia="zh-CN" w:bidi="ar-SA"/>
              </w:rPr>
            </w:pPr>
            <w:r>
              <w:rPr>
                <w:szCs w:val="21"/>
              </w:rPr>
              <w:t>支持针对网络流量中可能存在的数据安全异常行为进行监测；支持通过内置的异常行为告警规则及用户根据模板自定义的规则，对命中数据安全规则的流量进行告警，通过列表的方式展示安全事件，事件类型包括但不限于网络扫描、漏洞利用、可疑流量、恶意程序、流量内容监测等</w:t>
            </w:r>
          </w:p>
        </w:tc>
      </w:tr>
      <w:tr>
        <w:tblPrEx>
          <w:tblCellMar>
            <w:top w:w="0" w:type="dxa"/>
            <w:left w:w="108" w:type="dxa"/>
            <w:bottom w:w="0" w:type="dxa"/>
            <w:right w:w="108" w:type="dxa"/>
          </w:tblCellMar>
        </w:tblPrEx>
        <w:trPr>
          <w:trHeight w:val="804" w:hRule="atLeast"/>
          <w:jc w:val="center"/>
        </w:trPr>
        <w:tc>
          <w:tcPr>
            <w:tcW w:w="811" w:type="dxa"/>
            <w:tcBorders>
              <w:top w:val="nil"/>
              <w:left w:val="single" w:color="auto" w:sz="4" w:space="0"/>
              <w:bottom w:val="single" w:color="auto" w:sz="4" w:space="0"/>
              <w:right w:val="single" w:color="auto" w:sz="4" w:space="0"/>
            </w:tcBorders>
            <w:vAlign w:val="center"/>
          </w:tcPr>
          <w:p>
            <w:pPr>
              <w:pStyle w:val="25"/>
              <w:numPr>
                <w:ilvl w:val="0"/>
                <w:numId w:val="3"/>
              </w:numPr>
              <w:ind w:left="630"/>
              <w:jc w:val="center"/>
              <w:rPr>
                <w:szCs w:val="21"/>
              </w:rPr>
            </w:pPr>
          </w:p>
        </w:tc>
        <w:tc>
          <w:tcPr>
            <w:tcW w:w="1096" w:type="dxa"/>
            <w:tcBorders>
              <w:top w:val="nil"/>
              <w:left w:val="single" w:color="auto" w:sz="4" w:space="0"/>
              <w:bottom w:val="single" w:color="000000" w:sz="4" w:space="0"/>
              <w:right w:val="single" w:color="auto" w:sz="4" w:space="0"/>
            </w:tcBorders>
            <w:vAlign w:val="center"/>
          </w:tcPr>
          <w:p>
            <w:pPr>
              <w:jc w:val="left"/>
              <w:rPr>
                <w:szCs w:val="21"/>
              </w:rPr>
            </w:pPr>
            <w:r>
              <w:rPr>
                <w:rFonts w:hint="eastAsia"/>
                <w:szCs w:val="21"/>
              </w:rPr>
              <w:t>数据资产安全态势</w:t>
            </w:r>
          </w:p>
        </w:tc>
        <w:tc>
          <w:tcPr>
            <w:tcW w:w="6484" w:type="dxa"/>
            <w:tcBorders>
              <w:top w:val="nil"/>
              <w:left w:val="nil"/>
              <w:bottom w:val="single" w:color="auto" w:sz="4" w:space="0"/>
              <w:right w:val="single" w:color="auto" w:sz="4" w:space="0"/>
            </w:tcBorders>
            <w:vAlign w:val="center"/>
          </w:tcPr>
          <w:p>
            <w:pPr>
              <w:rPr>
                <w:szCs w:val="21"/>
              </w:rPr>
            </w:pPr>
            <w:r>
              <w:rPr>
                <w:szCs w:val="21"/>
              </w:rPr>
              <w:t>支持大屏展示数据资产安全态势，包含：数据库连接统计分析、文件系统统计分析、业务系统统计分析、数据存储资产类型统计、分类分级进展、分类分级占比、敏感数据扫描进展、命中敏感词特征性、敏感等级占比、实时数据库访问等信息</w:t>
            </w:r>
          </w:p>
        </w:tc>
      </w:tr>
      <w:tr>
        <w:tblPrEx>
          <w:tblCellMar>
            <w:top w:w="0" w:type="dxa"/>
            <w:left w:w="108" w:type="dxa"/>
            <w:bottom w:w="0" w:type="dxa"/>
            <w:right w:w="108" w:type="dxa"/>
          </w:tblCellMar>
        </w:tblPrEx>
        <w:trPr>
          <w:trHeight w:val="513" w:hRule="atLeast"/>
          <w:jc w:val="center"/>
        </w:trPr>
        <w:tc>
          <w:tcPr>
            <w:tcW w:w="811" w:type="dxa"/>
            <w:tcBorders>
              <w:top w:val="nil"/>
              <w:left w:val="single" w:color="auto" w:sz="4" w:space="0"/>
              <w:bottom w:val="single" w:color="auto" w:sz="4" w:space="0"/>
              <w:right w:val="single" w:color="auto" w:sz="4" w:space="0"/>
            </w:tcBorders>
            <w:vAlign w:val="center"/>
          </w:tcPr>
          <w:p>
            <w:pPr>
              <w:pStyle w:val="25"/>
              <w:numPr>
                <w:ilvl w:val="0"/>
                <w:numId w:val="3"/>
              </w:numPr>
              <w:ind w:left="630"/>
              <w:jc w:val="center"/>
              <w:rPr>
                <w:szCs w:val="21"/>
              </w:rPr>
            </w:pPr>
          </w:p>
        </w:tc>
        <w:tc>
          <w:tcPr>
            <w:tcW w:w="1096" w:type="dxa"/>
            <w:tcBorders>
              <w:top w:val="nil"/>
              <w:left w:val="single" w:color="auto" w:sz="4" w:space="0"/>
              <w:bottom w:val="single" w:color="000000" w:sz="4" w:space="0"/>
              <w:right w:val="single" w:color="auto" w:sz="4" w:space="0"/>
            </w:tcBorders>
            <w:vAlign w:val="center"/>
          </w:tcPr>
          <w:p>
            <w:pPr>
              <w:jc w:val="left"/>
              <w:rPr>
                <w:szCs w:val="21"/>
              </w:rPr>
            </w:pPr>
            <w:r>
              <w:rPr>
                <w:rFonts w:hint="eastAsia"/>
                <w:szCs w:val="21"/>
              </w:rPr>
              <w:t>数据风险安全态势</w:t>
            </w:r>
          </w:p>
        </w:tc>
        <w:tc>
          <w:tcPr>
            <w:tcW w:w="6484" w:type="dxa"/>
            <w:tcBorders>
              <w:top w:val="nil"/>
              <w:left w:val="nil"/>
              <w:bottom w:val="single" w:color="auto" w:sz="4" w:space="0"/>
              <w:right w:val="single" w:color="auto" w:sz="4" w:space="0"/>
            </w:tcBorders>
            <w:vAlign w:val="center"/>
          </w:tcPr>
          <w:p>
            <w:pPr>
              <w:rPr>
                <w:szCs w:val="21"/>
              </w:rPr>
            </w:pPr>
            <w:r>
              <w:rPr>
                <w:rFonts w:hint="eastAsia"/>
                <w:szCs w:val="21"/>
              </w:rPr>
              <w:t>支持大屏展示数据安全风险态势，包含：流量统计与分析、漏洞统计与分析、异常行为资产排名、安全事件与趋势等信息</w:t>
            </w:r>
          </w:p>
        </w:tc>
      </w:tr>
      <w:tr>
        <w:tblPrEx>
          <w:tblCellMar>
            <w:top w:w="0" w:type="dxa"/>
            <w:left w:w="108" w:type="dxa"/>
            <w:bottom w:w="0" w:type="dxa"/>
            <w:right w:w="108" w:type="dxa"/>
          </w:tblCellMar>
        </w:tblPrEx>
        <w:trPr>
          <w:trHeight w:val="480" w:hRule="atLeast"/>
          <w:jc w:val="center"/>
        </w:trPr>
        <w:tc>
          <w:tcPr>
            <w:tcW w:w="811" w:type="dxa"/>
            <w:tcBorders>
              <w:top w:val="nil"/>
              <w:left w:val="single" w:color="auto" w:sz="4" w:space="0"/>
              <w:bottom w:val="single" w:color="auto" w:sz="4" w:space="0"/>
              <w:right w:val="single" w:color="auto" w:sz="4" w:space="0"/>
            </w:tcBorders>
            <w:vAlign w:val="center"/>
          </w:tcPr>
          <w:p>
            <w:pPr>
              <w:pStyle w:val="25"/>
              <w:numPr>
                <w:ilvl w:val="0"/>
                <w:numId w:val="3"/>
              </w:numPr>
              <w:ind w:left="630"/>
              <w:jc w:val="center"/>
              <w:rPr>
                <w:szCs w:val="21"/>
              </w:rPr>
            </w:pPr>
          </w:p>
        </w:tc>
        <w:tc>
          <w:tcPr>
            <w:tcW w:w="1096" w:type="dxa"/>
            <w:vMerge w:val="restart"/>
            <w:tcBorders>
              <w:top w:val="nil"/>
              <w:left w:val="single" w:color="auto" w:sz="4" w:space="0"/>
              <w:bottom w:val="single" w:color="000000" w:sz="4" w:space="0"/>
              <w:right w:val="single" w:color="auto" w:sz="4" w:space="0"/>
            </w:tcBorders>
            <w:vAlign w:val="center"/>
          </w:tcPr>
          <w:p>
            <w:pPr>
              <w:jc w:val="center"/>
              <w:rPr>
                <w:szCs w:val="21"/>
              </w:rPr>
            </w:pPr>
            <w:r>
              <w:rPr>
                <w:szCs w:val="21"/>
              </w:rPr>
              <w:t>任务管理</w:t>
            </w:r>
          </w:p>
        </w:tc>
        <w:tc>
          <w:tcPr>
            <w:tcW w:w="6484" w:type="dxa"/>
            <w:tcBorders>
              <w:top w:val="nil"/>
              <w:left w:val="nil"/>
              <w:bottom w:val="single" w:color="auto" w:sz="4" w:space="0"/>
              <w:right w:val="single" w:color="auto" w:sz="4" w:space="0"/>
            </w:tcBorders>
            <w:vAlign w:val="center"/>
          </w:tcPr>
          <w:p>
            <w:pPr>
              <w:rPr>
                <w:szCs w:val="21"/>
              </w:rPr>
            </w:pPr>
            <w:r>
              <w:rPr>
                <w:szCs w:val="21"/>
              </w:rPr>
              <w:t>资产发现任务：系统可支持用户自定义IP段的范围进行数据库搜索扫描</w:t>
            </w:r>
          </w:p>
        </w:tc>
      </w:tr>
      <w:tr>
        <w:tblPrEx>
          <w:tblCellMar>
            <w:top w:w="0" w:type="dxa"/>
            <w:left w:w="108" w:type="dxa"/>
            <w:bottom w:w="0" w:type="dxa"/>
            <w:right w:w="108" w:type="dxa"/>
          </w:tblCellMar>
        </w:tblPrEx>
        <w:trPr>
          <w:trHeight w:val="480" w:hRule="atLeast"/>
          <w:jc w:val="center"/>
        </w:trPr>
        <w:tc>
          <w:tcPr>
            <w:tcW w:w="811" w:type="dxa"/>
            <w:tcBorders>
              <w:top w:val="nil"/>
              <w:left w:val="single" w:color="auto" w:sz="4" w:space="0"/>
              <w:bottom w:val="nil"/>
              <w:right w:val="single" w:color="auto" w:sz="4" w:space="0"/>
            </w:tcBorders>
            <w:vAlign w:val="center"/>
          </w:tcPr>
          <w:p>
            <w:pPr>
              <w:pStyle w:val="25"/>
              <w:numPr>
                <w:ilvl w:val="0"/>
                <w:numId w:val="3"/>
              </w:numPr>
              <w:ind w:left="630"/>
              <w:jc w:val="center"/>
              <w:rPr>
                <w:szCs w:val="21"/>
              </w:rPr>
            </w:pPr>
          </w:p>
        </w:tc>
        <w:tc>
          <w:tcPr>
            <w:tcW w:w="1096" w:type="dxa"/>
            <w:vMerge w:val="continue"/>
            <w:tcBorders>
              <w:top w:val="nil"/>
              <w:left w:val="single" w:color="auto" w:sz="4" w:space="0"/>
              <w:bottom w:val="nil"/>
              <w:right w:val="single" w:color="auto" w:sz="4" w:space="0"/>
            </w:tcBorders>
            <w:vAlign w:val="center"/>
          </w:tcPr>
          <w:p>
            <w:pPr>
              <w:jc w:val="left"/>
              <w:rPr>
                <w:szCs w:val="21"/>
              </w:rPr>
            </w:pPr>
          </w:p>
        </w:tc>
        <w:tc>
          <w:tcPr>
            <w:tcW w:w="6484" w:type="dxa"/>
            <w:tcBorders>
              <w:top w:val="nil"/>
              <w:left w:val="nil"/>
              <w:bottom w:val="nil"/>
              <w:right w:val="single" w:color="auto" w:sz="4" w:space="0"/>
            </w:tcBorders>
            <w:vAlign w:val="center"/>
          </w:tcPr>
          <w:p>
            <w:pPr>
              <w:rPr>
                <w:szCs w:val="21"/>
              </w:rPr>
            </w:pPr>
            <w:r>
              <w:rPr>
                <w:rFonts w:hint="eastAsia"/>
                <w:szCs w:val="21"/>
                <w:lang w:val="en-US" w:eastAsia="zh-CN"/>
              </w:rPr>
              <w:t>敏感数据发现</w:t>
            </w:r>
            <w:r>
              <w:rPr>
                <w:szCs w:val="21"/>
              </w:rPr>
              <w:t>任务：系统支持定时、定期自动执行敏感数据发现任务的功能。支持按照日期、时间对任务进行定时。</w:t>
            </w:r>
          </w:p>
        </w:tc>
      </w:tr>
      <w:tr>
        <w:tblPrEx>
          <w:tblCellMar>
            <w:top w:w="0" w:type="dxa"/>
            <w:left w:w="108" w:type="dxa"/>
            <w:bottom w:w="0" w:type="dxa"/>
            <w:right w:w="108" w:type="dxa"/>
          </w:tblCellMar>
        </w:tblPrEx>
        <w:trPr>
          <w:trHeight w:val="437"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pStyle w:val="25"/>
              <w:numPr>
                <w:ilvl w:val="0"/>
                <w:numId w:val="3"/>
              </w:numPr>
              <w:ind w:left="630"/>
              <w:jc w:val="center"/>
              <w:rPr>
                <w:szCs w:val="21"/>
              </w:rPr>
            </w:pPr>
          </w:p>
        </w:tc>
        <w:tc>
          <w:tcPr>
            <w:tcW w:w="1096" w:type="dxa"/>
            <w:tcBorders>
              <w:top w:val="single" w:color="auto" w:sz="4" w:space="0"/>
              <w:left w:val="single" w:color="auto" w:sz="4" w:space="0"/>
              <w:bottom w:val="single" w:color="000000" w:sz="4" w:space="0"/>
              <w:right w:val="single" w:color="auto" w:sz="4" w:space="0"/>
            </w:tcBorders>
            <w:vAlign w:val="center"/>
          </w:tcPr>
          <w:p>
            <w:pPr>
              <w:rPr>
                <w:szCs w:val="21"/>
              </w:rPr>
            </w:pPr>
            <w:r>
              <w:rPr>
                <w:rFonts w:hint="eastAsia"/>
                <w:szCs w:val="21"/>
              </w:rPr>
              <w:t>产品资质</w:t>
            </w:r>
          </w:p>
        </w:tc>
        <w:tc>
          <w:tcPr>
            <w:tcW w:w="6484" w:type="dxa"/>
            <w:tcBorders>
              <w:top w:val="single" w:color="auto" w:sz="4" w:space="0"/>
              <w:left w:val="nil"/>
              <w:bottom w:val="single" w:color="auto" w:sz="4" w:space="0"/>
              <w:right w:val="single" w:color="auto" w:sz="4" w:space="0"/>
            </w:tcBorders>
            <w:vAlign w:val="center"/>
          </w:tcPr>
          <w:p>
            <w:pPr>
              <w:rPr>
                <w:szCs w:val="21"/>
              </w:rPr>
            </w:pPr>
            <w:r>
              <w:rPr>
                <w:rFonts w:hint="eastAsia"/>
                <w:szCs w:val="21"/>
              </w:rPr>
              <w:t>★提供国家版权局颁发的《计算机软件著作权登记证书》。</w:t>
            </w:r>
          </w:p>
        </w:tc>
      </w:tr>
    </w:tbl>
    <w:p>
      <w:pPr>
        <w:rPr>
          <w:rFonts w:hint="default" w:eastAsia="宋体"/>
          <w:lang w:val="en-US" w:eastAsia="zh-CN"/>
        </w:rPr>
      </w:pPr>
      <w:r>
        <w:rPr>
          <w:rFonts w:hint="eastAsia"/>
        </w:rPr>
        <w:t>说明：以上技术要求中，“★”为关键性指标，不允许偏离。</w:t>
      </w:r>
      <w:r>
        <w:rPr>
          <w:rFonts w:hint="eastAsia"/>
          <w:lang w:val="en-US" w:eastAsia="zh-CN"/>
        </w:rPr>
        <w:t>单个产品型</w:t>
      </w:r>
      <w:bookmarkStart w:id="0" w:name="_GoBack"/>
      <w:bookmarkEnd w:id="0"/>
      <w:r>
        <w:rPr>
          <w:rFonts w:hint="eastAsia"/>
          <w:lang w:val="en-US" w:eastAsia="zh-CN"/>
        </w:rPr>
        <w:t>号无法满足全部需求的，可以通过多个产品型号组合，须在报价时写明所有产品型号。</w:t>
      </w:r>
    </w:p>
    <w:p>
      <w:pPr>
        <w:ind w:firstLine="630" w:firstLineChars="300"/>
      </w:pPr>
      <w:r>
        <w:rPr>
          <w:rFonts w:hint="eastAsia"/>
        </w:rPr>
        <w:t>建议品牌：安华金和、中新赛克等</w:t>
      </w:r>
    </w:p>
    <w:p>
      <w:pPr>
        <w:rPr>
          <w:color w:val="FF0000"/>
        </w:rPr>
      </w:pPr>
    </w:p>
    <w:p>
      <w:pPr>
        <w:rPr>
          <w:b/>
          <w:bCs/>
          <w:sz w:val="32"/>
          <w:szCs w:val="32"/>
        </w:rPr>
      </w:pPr>
      <w:r>
        <w:rPr>
          <w:rFonts w:hint="eastAsia"/>
          <w:b/>
          <w:bCs/>
          <w:sz w:val="32"/>
          <w:szCs w:val="32"/>
        </w:rPr>
        <w:t>3.3 项目实施要求</w:t>
      </w:r>
    </w:p>
    <w:p>
      <w:pPr>
        <w:widowControl/>
        <w:numPr>
          <w:ilvl w:val="0"/>
          <w:numId w:val="4"/>
        </w:numPr>
        <w:spacing w:line="360" w:lineRule="auto"/>
        <w:ind w:left="-480" w:firstLine="480" w:firstLineChars="200"/>
        <w:rPr>
          <w:sz w:val="24"/>
        </w:rPr>
      </w:pPr>
      <w:r>
        <w:rPr>
          <w:rFonts w:hint="eastAsia"/>
          <w:sz w:val="24"/>
        </w:rPr>
        <w:t>采购单位监督和管理设备集成安装实施工作。</w:t>
      </w:r>
    </w:p>
    <w:p>
      <w:pPr>
        <w:widowControl/>
        <w:numPr>
          <w:ilvl w:val="0"/>
          <w:numId w:val="4"/>
        </w:numPr>
        <w:spacing w:line="360" w:lineRule="auto"/>
        <w:ind w:left="-480" w:firstLine="480" w:firstLineChars="200"/>
        <w:rPr>
          <w:sz w:val="24"/>
        </w:rPr>
      </w:pPr>
      <w:r>
        <w:rPr>
          <w:rFonts w:hint="eastAsia"/>
          <w:sz w:val="24"/>
        </w:rPr>
        <w:t>供应商所提供的产品及配件必须是原厂原包装全新正品，产品质量符合国家相关标准及安全规范。设备到货时，所有外包装箱箱体无严重破损或变形，封条应完整无缺，内包装应符合标准运输包装要求，拆箱后设备主体外表无任何磕碰、碎裂、划伤痕迹。运输途中设备出现任何问题，全部由供应商负责解决。</w:t>
      </w:r>
    </w:p>
    <w:p>
      <w:pPr>
        <w:widowControl/>
        <w:numPr>
          <w:ilvl w:val="0"/>
          <w:numId w:val="4"/>
        </w:numPr>
        <w:spacing w:line="360" w:lineRule="auto"/>
        <w:ind w:left="-480" w:firstLine="480" w:firstLineChars="200"/>
        <w:rPr>
          <w:sz w:val="24"/>
        </w:rPr>
      </w:pPr>
      <w:r>
        <w:rPr>
          <w:rFonts w:hint="eastAsia"/>
          <w:sz w:val="24"/>
        </w:rPr>
        <w:t>供应商须对采购文件要求的技术参数逐一测试，不满足技术要求的货物将被拒收。</w:t>
      </w:r>
    </w:p>
    <w:p>
      <w:pPr>
        <w:numPr>
          <w:ilvl w:val="0"/>
          <w:numId w:val="4"/>
        </w:numPr>
        <w:spacing w:line="360" w:lineRule="auto"/>
        <w:ind w:left="-480" w:firstLine="480" w:firstLineChars="200"/>
        <w:rPr>
          <w:sz w:val="24"/>
        </w:rPr>
      </w:pPr>
      <w:r>
        <w:rPr>
          <w:rFonts w:hint="eastAsia"/>
          <w:sz w:val="24"/>
        </w:rPr>
        <w:t>供应商必须按采购单位要求完成设备的安装、配置、测试、优化等工作，包括网络布线、系统配置、操作系统安装、管理控制台配置。供应商须提供本次项目采购所有设备需要的强弱电缆、光纤、跳线等材料和配件。</w:t>
      </w:r>
    </w:p>
    <w:p>
      <w:pPr>
        <w:numPr>
          <w:ilvl w:val="0"/>
          <w:numId w:val="4"/>
        </w:numPr>
        <w:spacing w:line="360" w:lineRule="auto"/>
        <w:ind w:left="-48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应针对南京市税务局涉税费系统深入研究数据业务现状，综合形成数据分类分级和安全治理解决方案，从制度建设、数据分类分级到分类分级结果应用，提供完善的、流程化的路径指引，为数据分类分级和安全治理提供有力支撑</w:t>
      </w:r>
      <w:r>
        <w:rPr>
          <w:rFonts w:hint="eastAsia" w:asciiTheme="minorEastAsia" w:hAnsiTheme="minorEastAsia" w:eastAsiaTheme="minorEastAsia" w:cstheme="minorEastAsia"/>
          <w:sz w:val="24"/>
          <w:lang w:eastAsia="zh-CN"/>
        </w:rPr>
        <w:t>：</w:t>
      </w:r>
    </w:p>
    <w:p>
      <w:pPr>
        <w:adjustRightInd w:val="0"/>
        <w:snapToGrid w:val="0"/>
        <w:spacing w:line="440" w:lineRule="exact"/>
        <w:ind w:left="-420" w:leftChars="-200" w:firstLine="64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梳理数据资产现状。针对以电子形式记录的数据表、数据项、数据文件等数据内容，整理和识别已收集的数据资源，形成数据资源列表。汇总数据资源调研结果，以及数据安全分类分级工具自动识别数据源结果，初步整理输出单位数据资产清单。根据初步资产清单制定符合单位实际业务场景和数据情况的分类分级标准。</w:t>
      </w:r>
    </w:p>
    <w:p>
      <w:pPr>
        <w:adjustRightInd w:val="0"/>
        <w:snapToGrid w:val="0"/>
        <w:spacing w:line="440" w:lineRule="exact"/>
        <w:ind w:left="-420" w:leftChars="-200" w:firstLine="64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（2）完善数据分类分级标准规范。落实国家相关法律法规、监管机构对数据安全管理的要求（包含但不限于《网络安全法》《数据安全法》《个人信息保护法》《信息安全技术 政务信息共享 数据安全技术要求》等），在完善的数据分类分级模型、方法指导下，根据政策法规形成数据分类分级标准，明确各类数据的保护要求及措施，形成分类分级标准和策略文档。</w:t>
      </w:r>
    </w:p>
    <w:p>
      <w:pPr>
        <w:adjustRightInd w:val="0"/>
        <w:snapToGrid w:val="0"/>
        <w:spacing w:line="440" w:lineRule="exact"/>
        <w:ind w:left="-420" w:leftChars="-200" w:firstLine="64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（3）开展数据资产分类分级。根据数据分类分级管理规范要求，通过数据安全分类分级工具和人工审核修改的方式开展数据分类分级，形成数据分类分级清单。分类分级对象约2600张数据表</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74000个数据字段。</w:t>
      </w:r>
    </w:p>
    <w:p>
      <w:pPr>
        <w:adjustRightInd w:val="0"/>
        <w:snapToGrid w:val="0"/>
        <w:spacing w:line="440" w:lineRule="exact"/>
        <w:ind w:left="-420" w:leftChars="-200" w:firstLine="64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实施数据安全风险评估。对照《中华人民共和国数据安全法》《江苏省数据安全风险评估规范》以及总局、省局和南京市其它数据安全、分级分类方面的规范及要求，对南京市税务局数据共享交换平台、房产一体化平台系统等三个应用系统开展安全风险评估。识别数据处理活动、数据安全威胁、数据安全脆弱性、数据安全措施，并对照数据分类分级管控要求找出不足。围绕数据、数据处理活动，对已识别的数据安全威胁、脆弱性、安全措施进行风险分析预评价，明确风险接受程度及风险处置措施，编制《数据安全风险评估报告》，给出数据安全整改建议，并制定详细的数据防护治理方案。按采购单位要求，开展一次数据安全应急演练。</w:t>
      </w:r>
    </w:p>
    <w:p>
      <w:pPr>
        <w:adjustRightInd w:val="0"/>
        <w:snapToGrid w:val="0"/>
        <w:spacing w:line="440" w:lineRule="exact"/>
        <w:ind w:left="-420" w:leftChars="-200" w:firstLine="64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增强数据安全防护能力。基于数据分类分级结果，结合数据场景设计方案，明确不同敏感级别的数据安全管控策略和措施，依据现有监管要求建立数据安全管理体系框架。优化和完善数据安全管理制度及管控策略，明晰各级别数据的安全管理要求，构建各业务领域的场景化数据安全矩阵。基于数据安全生命周期内，对于现有的各系统业务流转中的敏感数据，提出相应的安全管控策略及工具，实现数据安全全生命周期保障。包括但不限于终端数据安全建设、网络数据防泄漏建设、数据权限管控、业务系统数据保护、数据交换安全、数据安全态势感知、数据泄漏实时监测等方面。</w:t>
      </w:r>
    </w:p>
    <w:p>
      <w:pPr>
        <w:adjustRightInd w:val="0"/>
        <w:snapToGrid w:val="0"/>
        <w:spacing w:line="440" w:lineRule="exact"/>
        <w:ind w:left="-420" w:leftChars="-200" w:firstLine="64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（6）交付文档要求：本项目需提交的交付文档包含不限于： 《数据分类分级标准》、《数据安全管理制度》、《数据资产清单》、《敏感数据风险评估报告》、《数据安全防护优化方案》、《数据安全治理平台总体设计》。</w:t>
      </w:r>
    </w:p>
    <w:p>
      <w:pPr>
        <w:adjustRightInd w:val="0"/>
        <w:snapToGrid w:val="0"/>
        <w:spacing w:line="440" w:lineRule="exact"/>
        <w:ind w:left="-420" w:leftChars="-200" w:firstLine="64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（7）实施团队要求：项目团队人员数量应不少于4人，项目成员团队成员应具备完成同类项目的经验，具备相应的学历证书、资质证书，且必须全职、全程参与本项目工作。项目团队成员应具备ORACLE OCP、CCRC-DSO（中国网络安全审查技术与认证中心数据安全官认证证书）认证、数据安全能力成熟度模型测评师证书或CISP-DSG（注册数据安全治理专业人员）认证等证书。</w:t>
      </w:r>
    </w:p>
    <w:p>
      <w:pPr>
        <w:pStyle w:val="5"/>
      </w:pPr>
    </w:p>
    <w:p>
      <w:pPr>
        <w:pStyle w:val="5"/>
      </w:pPr>
      <w:r>
        <w:rPr>
          <w:rFonts w:hint="eastAsia"/>
          <w:b/>
          <w:bCs/>
          <w:sz w:val="32"/>
          <w:szCs w:val="32"/>
        </w:rPr>
        <w:t>3.4 售后服务要求</w:t>
      </w:r>
    </w:p>
    <w:p>
      <w:pPr>
        <w:widowControl/>
        <w:numPr>
          <w:ilvl w:val="0"/>
          <w:numId w:val="5"/>
        </w:numPr>
        <w:spacing w:line="360" w:lineRule="auto"/>
        <w:ind w:left="-480" w:firstLine="480" w:firstLineChars="200"/>
        <w:rPr>
          <w:sz w:val="24"/>
        </w:rPr>
      </w:pPr>
      <w:r>
        <w:rPr>
          <w:rFonts w:hint="eastAsia"/>
          <w:sz w:val="24"/>
        </w:rPr>
        <w:t>为保证数据安全，本次采购所有设备的存储介质（含机械硬盘、固态盘）在质保期内发生故障更换后，所有权仍归采购单位，其他单位和人员不得带离现场。</w:t>
      </w:r>
    </w:p>
    <w:p>
      <w:pPr>
        <w:widowControl/>
        <w:numPr>
          <w:ilvl w:val="0"/>
          <w:numId w:val="5"/>
        </w:numPr>
        <w:spacing w:line="360" w:lineRule="auto"/>
        <w:ind w:left="-480" w:firstLine="480" w:firstLineChars="200"/>
        <w:rPr>
          <w:sz w:val="24"/>
        </w:rPr>
      </w:pPr>
      <w:r>
        <w:rPr>
          <w:rFonts w:hint="eastAsia"/>
          <w:sz w:val="24"/>
        </w:rPr>
        <w:t>供应商在质保期内必须提供所有设备整机（包括所有相关部件）的硬件质保服务和软件的维护、配置，在质保期内提供非人为损坏造成的设备故障免费维修，免费技术咨询、免费设备软件版本升级、协助安装操作系统、制作设备标签等维保服务。</w:t>
      </w:r>
    </w:p>
    <w:p>
      <w:pPr>
        <w:widowControl/>
        <w:numPr>
          <w:ilvl w:val="0"/>
          <w:numId w:val="5"/>
        </w:numPr>
        <w:spacing w:line="360" w:lineRule="auto"/>
        <w:ind w:left="-480" w:firstLine="480" w:firstLineChars="200"/>
        <w:rPr>
          <w:sz w:val="24"/>
        </w:rPr>
      </w:pPr>
      <w:r>
        <w:rPr>
          <w:rFonts w:hint="eastAsia"/>
          <w:sz w:val="24"/>
        </w:rPr>
        <w:t>本项目质保期内的设备维护保障服务和部件备件供均为全包模式。维修维护所需用的专业化工具和装备，均由供应商自备，不再另收取需方费用。</w:t>
      </w:r>
    </w:p>
    <w:p>
      <w:pPr>
        <w:widowControl/>
        <w:numPr>
          <w:ilvl w:val="0"/>
          <w:numId w:val="5"/>
        </w:numPr>
        <w:spacing w:line="360" w:lineRule="auto"/>
        <w:ind w:left="-480" w:firstLine="480" w:firstLineChars="200"/>
        <w:rPr>
          <w:sz w:val="24"/>
        </w:rPr>
      </w:pPr>
      <w:r>
        <w:rPr>
          <w:rFonts w:hint="eastAsia"/>
          <w:sz w:val="24"/>
        </w:rPr>
        <w:t>供应商应对本次采购所有设备免费提供必要的操作系统、相关设备硬件系统的微码、补丁等升级服务、安全漏洞修补、系统统资源优化等服务。供应商服务过程中所提供的软硬件产品，须保证拥有合法的使用权。</w:t>
      </w:r>
    </w:p>
    <w:p>
      <w:pPr>
        <w:widowControl/>
        <w:numPr>
          <w:ilvl w:val="0"/>
          <w:numId w:val="5"/>
        </w:numPr>
        <w:spacing w:line="360" w:lineRule="auto"/>
        <w:ind w:left="-480" w:firstLine="480" w:firstLineChars="200"/>
        <w:rPr>
          <w:sz w:val="24"/>
        </w:rPr>
      </w:pPr>
      <w:r>
        <w:rPr>
          <w:rFonts w:hint="eastAsia"/>
          <w:sz w:val="24"/>
        </w:rPr>
        <w:t>采购单位提出技术支持请求后，供应商须在1小时内响应；当系统发生硬件故障时，在4小时内提供现场服务，在服务人员到现场后6小时内尽力恢复系统正常运行；如设备故障6小时内无法恢复，并影响业务系统正常运行，需在确认无法恢复后10小时内采取更换备品、备件等应急措施，使业务系统尽快恢复运行；当更换备品、备件不能解决硬件故障时，应在故障发生24小时内提供同档次或更高配置的设备对故障设备进行替换，完成配置，保证业务正常运转，直至故障设备修复后重新部署回原节点。</w:t>
      </w:r>
    </w:p>
    <w:p>
      <w:pPr>
        <w:widowControl/>
        <w:numPr>
          <w:ilvl w:val="0"/>
          <w:numId w:val="5"/>
        </w:numPr>
        <w:spacing w:line="360" w:lineRule="auto"/>
        <w:ind w:left="-480" w:firstLine="480" w:firstLineChars="200"/>
        <w:rPr>
          <w:sz w:val="24"/>
        </w:rPr>
      </w:pPr>
      <w:r>
        <w:rPr>
          <w:rFonts w:hint="eastAsia"/>
          <w:sz w:val="24"/>
        </w:rPr>
        <w:t>供应商如未能在上述规定时间内解决故障并恢复系统运行，采购单位有权动用设备原厂商的技术力量和备品、备件，或请其他专业公司进行维修，所有费用由供应商支付。</w:t>
      </w:r>
    </w:p>
    <w:p>
      <w:pPr>
        <w:widowControl/>
        <w:numPr>
          <w:ilvl w:val="0"/>
          <w:numId w:val="5"/>
        </w:numPr>
        <w:spacing w:line="360" w:lineRule="auto"/>
        <w:ind w:left="-480" w:firstLine="480" w:firstLineChars="200"/>
        <w:rPr>
          <w:sz w:val="24"/>
        </w:rPr>
      </w:pPr>
      <w:r>
        <w:rPr>
          <w:rFonts w:hint="eastAsia"/>
          <w:sz w:val="24"/>
        </w:rPr>
        <w:t>在质保期内如采购单位有需求，供应商免费对参保设备提供配置调整和调试服务，为采购单位提供参保设备上架、下架、跳线理线（包括网线和电源线）、制作标签等服务工作；协助采购单位做好配置管理，对维保设备配置信息进行采集、更新和统计，维护相关设备配置信息表。</w:t>
      </w:r>
    </w:p>
    <w:p>
      <w:pPr>
        <w:widowControl/>
        <w:numPr>
          <w:ilvl w:val="0"/>
          <w:numId w:val="5"/>
        </w:numPr>
        <w:spacing w:line="360" w:lineRule="auto"/>
        <w:ind w:left="-480" w:firstLine="480" w:firstLineChars="200"/>
        <w:rPr>
          <w:sz w:val="24"/>
        </w:rPr>
      </w:pPr>
      <w:r>
        <w:rPr>
          <w:rFonts w:hint="eastAsia"/>
          <w:sz w:val="24"/>
        </w:rPr>
        <w:t>如采购单位因某一时期运维工作内容增加、紧急事件处理等需增加现场技术支持人员服务的，供应商需安排相应技术人员免费协助开展相关工作。</w:t>
      </w:r>
    </w:p>
    <w:p>
      <w:pPr>
        <w:pStyle w:val="5"/>
      </w:pPr>
      <w:r>
        <w:rPr>
          <w:rFonts w:hint="eastAsia"/>
          <w:b/>
          <w:bCs/>
          <w:sz w:val="32"/>
          <w:szCs w:val="32"/>
        </w:rPr>
        <w:t>3.5绿色数据中心要求</w:t>
      </w:r>
    </w:p>
    <w:p>
      <w:pPr>
        <w:widowControl/>
        <w:numPr>
          <w:ilvl w:val="255"/>
          <w:numId w:val="0"/>
        </w:numPr>
        <w:spacing w:line="360" w:lineRule="auto"/>
        <w:ind w:left="-420" w:leftChars="-200" w:firstLine="480" w:firstLineChars="200"/>
        <w:rPr>
          <w:sz w:val="24"/>
        </w:rPr>
      </w:pPr>
      <w:r>
        <w:rPr>
          <w:rFonts w:hint="eastAsia"/>
          <w:sz w:val="24"/>
        </w:rPr>
        <w:t>本项目所采购的产品需满足《绿色数据中心政府采购需求标准（试行）》（财库【2023】7号）中“数据中心信息（IT）设备及配套设备要求”的通用要求，项目验收时需提供第三方检测报告或第三方认证证书，无法提供的视为验收不通过，供应商需承担违约责任。</w:t>
      </w:r>
    </w:p>
    <w:p>
      <w:pPr>
        <w:pStyle w:val="5"/>
        <w:rPr>
          <w:b/>
          <w:bCs/>
          <w:sz w:val="32"/>
          <w:szCs w:val="32"/>
        </w:rPr>
      </w:pPr>
      <w:r>
        <w:rPr>
          <w:rFonts w:hint="eastAsia"/>
          <w:b/>
          <w:bCs/>
          <w:sz w:val="32"/>
          <w:szCs w:val="32"/>
        </w:rPr>
        <w:t>3.6 其他要求</w:t>
      </w:r>
    </w:p>
    <w:p>
      <w:pPr>
        <w:widowControl/>
        <w:spacing w:line="360" w:lineRule="auto"/>
        <w:ind w:left="-420" w:leftChars="-200" w:firstLine="480" w:firstLineChars="200"/>
        <w:rPr>
          <w:sz w:val="24"/>
        </w:rPr>
      </w:pPr>
      <w:r>
        <w:rPr>
          <w:rFonts w:hint="eastAsia"/>
          <w:sz w:val="24"/>
        </w:rPr>
        <w:t>一、供应商及其工作人员，应当遵守国家税务总局、江苏省税务局及南京市税务局的相关安全保密规定，在签订合同时，同时要与采购单位签订保密协议，双方必须对合作过程中涉及的税务工作信息资料、秘密、业务需求、协议、系统设计、技术成果等内容和相关事务保密。</w:t>
      </w:r>
    </w:p>
    <w:p>
      <w:pPr>
        <w:widowControl/>
        <w:spacing w:line="360" w:lineRule="auto"/>
        <w:ind w:left="-420" w:leftChars="-200" w:firstLine="480" w:firstLineChars="200"/>
        <w:rPr>
          <w:sz w:val="24"/>
        </w:rPr>
      </w:pPr>
      <w:r>
        <w:rPr>
          <w:rFonts w:hint="eastAsia"/>
          <w:sz w:val="24"/>
        </w:rPr>
        <w:t>二、供应链安全管理要求：按照采购单位关于加强税务信息化供应链安全管理工作的具体要求，作为信息化资源和服务提供的供应商，有义务保证所提供产品、服务和管理的安全性。包括配合开展背景审查、设置网络安全负责人、加强安全意识和技能考核、及时报告重大事项、建立应急响应机制等承诺条款（详见附件承诺书）。</w:t>
      </w:r>
    </w:p>
    <w:p>
      <w:pPr>
        <w:widowControl/>
        <w:spacing w:line="360" w:lineRule="auto"/>
        <w:ind w:left="-420" w:leftChars="-200" w:firstLine="480" w:firstLineChars="200"/>
        <w:rPr>
          <w:sz w:val="24"/>
        </w:rPr>
      </w:pPr>
      <w:r>
        <w:rPr>
          <w:rFonts w:hint="eastAsia"/>
          <w:sz w:val="24"/>
        </w:rPr>
        <w:t>以上关于供应链管理的要求，在签订合同时必须做出遵守承诺，未签署承诺书的视为无效合同。</w:t>
      </w:r>
    </w:p>
    <w:p>
      <w:pPr>
        <w:rPr>
          <w:sz w:val="24"/>
        </w:rPr>
      </w:pPr>
      <w:r>
        <w:rPr>
          <w:rFonts w:hint="eastAsia"/>
          <w:sz w:val="24"/>
        </w:rPr>
        <w:br w:type="page"/>
      </w:r>
    </w:p>
    <w:p>
      <w:pPr>
        <w:widowControl/>
        <w:overflowPunct w:val="0"/>
        <w:autoSpaceDE w:val="0"/>
        <w:autoSpaceDN w:val="0"/>
        <w:adjustRightInd w:val="0"/>
        <w:jc w:val="left"/>
        <w:rPr>
          <w:rFonts w:ascii="宋体" w:hAnsi="宋体" w:cs="宋体"/>
          <w:b/>
          <w:bCs/>
          <w:sz w:val="22"/>
        </w:rPr>
      </w:pPr>
      <w:r>
        <w:rPr>
          <w:rFonts w:hint="eastAsia" w:ascii="宋体" w:hAnsi="宋体" w:cs="宋体"/>
          <w:b/>
          <w:bCs/>
          <w:kern w:val="0"/>
          <w:sz w:val="22"/>
          <w:lang w:bidi="ar"/>
        </w:rPr>
        <w:t>附件：              税务信息化供应链安全管理承诺书</w:t>
      </w:r>
    </w:p>
    <w:p>
      <w:pPr>
        <w:widowControl/>
        <w:overflowPunct w:val="0"/>
        <w:autoSpaceDE w:val="0"/>
        <w:autoSpaceDN w:val="0"/>
        <w:adjustRightInd w:val="0"/>
        <w:rPr>
          <w:rFonts w:ascii="宋体" w:hAnsi="宋体" w:cs="宋体"/>
          <w:szCs w:val="21"/>
        </w:rPr>
      </w:pPr>
    </w:p>
    <w:p>
      <w:pPr>
        <w:widowControl/>
        <w:overflowPunct w:val="0"/>
        <w:autoSpaceDE w:val="0"/>
        <w:autoSpaceDN w:val="0"/>
        <w:adjustRightInd w:val="0"/>
        <w:rPr>
          <w:rFonts w:ascii="宋体" w:hAnsi="宋体" w:cs="宋体"/>
          <w:szCs w:val="21"/>
        </w:rPr>
      </w:pPr>
      <w:r>
        <w:rPr>
          <w:rFonts w:hint="eastAsia" w:ascii="宋体" w:hAnsi="宋体" w:cs="宋体"/>
          <w:kern w:val="0"/>
          <w:szCs w:val="21"/>
          <w:lang w:bidi="ar"/>
        </w:rPr>
        <w:t>国家税务总局南京市税务局：</w:t>
      </w:r>
    </w:p>
    <w:p>
      <w:pPr>
        <w:widowControl/>
        <w:overflowPunct w:val="0"/>
        <w:autoSpaceDE w:val="0"/>
        <w:autoSpaceDN w:val="0"/>
        <w:adjustRightInd w:val="0"/>
        <w:ind w:firstLine="640"/>
        <w:rPr>
          <w:rFonts w:ascii="宋体" w:hAnsi="宋体" w:cs="宋体"/>
          <w:szCs w:val="21"/>
        </w:rPr>
      </w:pPr>
      <w:r>
        <w:rPr>
          <w:rFonts w:hint="eastAsia" w:ascii="宋体" w:hAnsi="宋体" w:cs="宋体"/>
          <w:kern w:val="0"/>
          <w:szCs w:val="21"/>
          <w:lang w:bidi="ar"/>
        </w:rPr>
        <w:t>为确保国家税务总局南京市税务局税务信息化供应链安全，我单位郑重承诺：</w:t>
      </w:r>
    </w:p>
    <w:p>
      <w:pPr>
        <w:widowControl/>
        <w:overflowPunct w:val="0"/>
        <w:autoSpaceDE w:val="0"/>
        <w:autoSpaceDN w:val="0"/>
        <w:adjustRightInd w:val="0"/>
        <w:ind w:firstLine="640"/>
        <w:rPr>
          <w:rFonts w:ascii="宋体" w:hAnsi="宋体" w:cs="宋体"/>
          <w:szCs w:val="21"/>
        </w:rPr>
      </w:pPr>
      <w:r>
        <w:rPr>
          <w:rFonts w:hint="eastAsia" w:ascii="宋体" w:hAnsi="宋体" w:cs="宋体"/>
          <w:kern w:val="0"/>
          <w:szCs w:val="21"/>
          <w:lang w:bidi="ar"/>
        </w:rPr>
        <w:t>1.</w:t>
      </w:r>
      <w:r>
        <w:rPr>
          <w:rFonts w:hint="eastAsia" w:ascii="宋体" w:hAnsi="宋体" w:cs="宋体"/>
          <w:b/>
          <w:bCs/>
          <w:kern w:val="0"/>
          <w:szCs w:val="21"/>
          <w:lang w:bidi="ar"/>
        </w:rPr>
        <w:t>配合开展背景审查工作。</w:t>
      </w:r>
      <w:r>
        <w:rPr>
          <w:rFonts w:hint="eastAsia" w:ascii="宋体" w:hAnsi="宋体" w:cs="宋体"/>
          <w:kern w:val="0"/>
          <w:szCs w:val="21"/>
          <w:lang w:bidi="ar"/>
        </w:rPr>
        <w:t>遵守国家网络安全政策法规和税务机关各项网络安全规章制度，与局方签订保密协议，提交单位网络安全承诺书，项目实施人员及驻场人员提交个人网络安全承诺书及包括无犯罪记录证明在内的背景审查材料。定期对聘用离职税务人员情况进行排查，建立相关资料档案，确保人员安全可信。</w:t>
      </w:r>
    </w:p>
    <w:p>
      <w:pPr>
        <w:widowControl/>
        <w:overflowPunct w:val="0"/>
        <w:autoSpaceDE w:val="0"/>
        <w:autoSpaceDN w:val="0"/>
        <w:adjustRightInd w:val="0"/>
        <w:ind w:firstLine="640"/>
        <w:rPr>
          <w:rFonts w:ascii="宋体" w:hAnsi="宋体" w:cs="宋体"/>
          <w:szCs w:val="21"/>
        </w:rPr>
      </w:pPr>
      <w:r>
        <w:rPr>
          <w:rFonts w:hint="eastAsia" w:ascii="宋体" w:hAnsi="宋体" w:cs="宋体"/>
          <w:kern w:val="0"/>
          <w:szCs w:val="21"/>
          <w:lang w:bidi="ar"/>
        </w:rPr>
        <w:t>2.</w:t>
      </w:r>
      <w:r>
        <w:rPr>
          <w:rFonts w:hint="eastAsia" w:ascii="宋体" w:hAnsi="宋体" w:cs="宋体"/>
          <w:b/>
          <w:bCs/>
          <w:kern w:val="0"/>
          <w:szCs w:val="21"/>
          <w:lang w:bidi="ar"/>
        </w:rPr>
        <w:t>设置网络安全负责人。</w:t>
      </w:r>
      <w:r>
        <w:rPr>
          <w:rFonts w:hint="eastAsia" w:ascii="宋体" w:hAnsi="宋体" w:cs="宋体"/>
          <w:kern w:val="0"/>
          <w:szCs w:val="21"/>
          <w:lang w:bidi="ar"/>
        </w:rPr>
        <w:t>建立网络安全负责人制度，为本项目配备一名具备独立决策能力并保持相对稳定的负责人，在项目实施的全过程负责网络安全工作，组织落实各项网络安全要求。</w:t>
      </w:r>
    </w:p>
    <w:p>
      <w:pPr>
        <w:widowControl/>
        <w:overflowPunct w:val="0"/>
        <w:autoSpaceDE w:val="0"/>
        <w:autoSpaceDN w:val="0"/>
        <w:adjustRightInd w:val="0"/>
        <w:ind w:firstLine="640"/>
        <w:rPr>
          <w:rFonts w:ascii="宋体" w:hAnsi="宋体" w:cs="宋体"/>
          <w:szCs w:val="21"/>
        </w:rPr>
      </w:pPr>
      <w:r>
        <w:rPr>
          <w:rFonts w:hint="eastAsia" w:ascii="宋体" w:hAnsi="宋体" w:cs="宋体"/>
          <w:kern w:val="0"/>
          <w:szCs w:val="21"/>
          <w:lang w:bidi="ar"/>
        </w:rPr>
        <w:t>3.</w:t>
      </w:r>
      <w:r>
        <w:rPr>
          <w:rFonts w:hint="eastAsia" w:ascii="宋体" w:hAnsi="宋体" w:cs="宋体"/>
          <w:b/>
          <w:bCs/>
          <w:kern w:val="0"/>
          <w:szCs w:val="21"/>
          <w:lang w:bidi="ar"/>
        </w:rPr>
        <w:t>加强安全意识和技能考核。</w:t>
      </w:r>
      <w:r>
        <w:rPr>
          <w:rFonts w:hint="eastAsia" w:ascii="宋体" w:hAnsi="宋体" w:cs="宋体"/>
          <w:kern w:val="0"/>
          <w:szCs w:val="21"/>
          <w:lang w:bidi="ar"/>
        </w:rPr>
        <w:t>项目实施前，确保对参与人员开展了网络和数据安全法律法规、税务系统网络和数据安全相关规定要求、安全技能、保密常识等方面的教育培训并考核合格；项目开展期间，配合局方检查我单位对项目参与人员开展相关安全培训、考核及警示教育情况，确保通过教育培训不断提高我单位项目参与人员的网络和数据安全意识及保密意识。</w:t>
      </w:r>
    </w:p>
    <w:p>
      <w:pPr>
        <w:widowControl/>
        <w:overflowPunct w:val="0"/>
        <w:autoSpaceDE w:val="0"/>
        <w:autoSpaceDN w:val="0"/>
        <w:adjustRightInd w:val="0"/>
        <w:ind w:firstLine="640"/>
        <w:rPr>
          <w:rFonts w:ascii="宋体" w:hAnsi="宋体" w:cs="宋体"/>
          <w:szCs w:val="21"/>
        </w:rPr>
      </w:pPr>
      <w:r>
        <w:rPr>
          <w:rFonts w:hint="eastAsia" w:ascii="宋体" w:hAnsi="宋体" w:cs="宋体"/>
          <w:kern w:val="0"/>
          <w:szCs w:val="21"/>
          <w:lang w:bidi="ar"/>
        </w:rPr>
        <w:t>4.</w:t>
      </w:r>
      <w:r>
        <w:rPr>
          <w:rFonts w:hint="eastAsia" w:ascii="宋体" w:hAnsi="宋体" w:cs="宋体"/>
          <w:b/>
          <w:bCs/>
          <w:kern w:val="0"/>
          <w:szCs w:val="21"/>
          <w:lang w:bidi="ar"/>
        </w:rPr>
        <w:t>及时报告重大事项。</w:t>
      </w:r>
      <w:r>
        <w:rPr>
          <w:rFonts w:hint="eastAsia" w:ascii="宋体" w:hAnsi="宋体" w:cs="宋体"/>
          <w:kern w:val="0"/>
          <w:szCs w:val="21"/>
          <w:lang w:bidi="ar"/>
        </w:rPr>
        <w:t>及时向局方报告我单位发生的可能影响网络安全的重大事项，包括负责人及重要工作人员变更、业务转型、合并重组、投资并购等。</w:t>
      </w:r>
    </w:p>
    <w:p>
      <w:pPr>
        <w:widowControl/>
        <w:overflowPunct w:val="0"/>
        <w:autoSpaceDE w:val="0"/>
        <w:autoSpaceDN w:val="0"/>
        <w:adjustRightInd w:val="0"/>
        <w:ind w:firstLine="640"/>
        <w:rPr>
          <w:rFonts w:ascii="宋体" w:hAnsi="宋体" w:cs="宋体"/>
          <w:szCs w:val="21"/>
        </w:rPr>
      </w:pPr>
      <w:r>
        <w:rPr>
          <w:rFonts w:hint="eastAsia" w:ascii="宋体" w:hAnsi="宋体" w:cs="宋体"/>
          <w:kern w:val="0"/>
          <w:szCs w:val="21"/>
          <w:lang w:bidi="ar"/>
        </w:rPr>
        <w:t>5.</w:t>
      </w:r>
      <w:r>
        <w:rPr>
          <w:rFonts w:hint="eastAsia" w:ascii="宋体" w:hAnsi="宋体" w:cs="宋体"/>
          <w:b/>
          <w:bCs/>
          <w:kern w:val="0"/>
          <w:szCs w:val="21"/>
          <w:lang w:bidi="ar"/>
        </w:rPr>
        <w:t>建立应急响应机制。</w:t>
      </w:r>
      <w:r>
        <w:rPr>
          <w:rFonts w:hint="eastAsia" w:ascii="宋体" w:hAnsi="宋体" w:cs="宋体"/>
          <w:kern w:val="0"/>
          <w:szCs w:val="21"/>
          <w:lang w:bidi="ar"/>
        </w:rPr>
        <w:t>项目开发建设前，我单位将编制并提交基于项目场景的供应链安全事件应急响应预案，明确相关职责和应急处置流程；根据应急响应预案定期进行应急演练；配合局方定期检查我单位开展应急演练的记录等情况，确保快速有效处置供应链安全事件。</w:t>
      </w:r>
    </w:p>
    <w:p>
      <w:pPr>
        <w:widowControl/>
        <w:overflowPunct w:val="0"/>
        <w:autoSpaceDE w:val="0"/>
        <w:autoSpaceDN w:val="0"/>
        <w:adjustRightInd w:val="0"/>
        <w:ind w:firstLine="640"/>
        <w:rPr>
          <w:rFonts w:ascii="宋体" w:hAnsi="宋体" w:cs="宋体"/>
          <w:szCs w:val="21"/>
        </w:rPr>
      </w:pPr>
      <w:r>
        <w:rPr>
          <w:rFonts w:hint="eastAsia" w:ascii="宋体" w:hAnsi="宋体" w:cs="宋体"/>
          <w:kern w:val="0"/>
          <w:szCs w:val="21"/>
          <w:lang w:bidi="ar"/>
        </w:rPr>
        <w:t>6.</w:t>
      </w:r>
      <w:r>
        <w:rPr>
          <w:rFonts w:hint="eastAsia" w:ascii="宋体" w:hAnsi="宋体" w:cs="宋体"/>
          <w:b/>
          <w:bCs/>
          <w:kern w:val="0"/>
          <w:szCs w:val="21"/>
          <w:lang w:bidi="ar"/>
        </w:rPr>
        <w:t>开发场所安全管理</w:t>
      </w:r>
      <w:r>
        <w:rPr>
          <w:rFonts w:hint="eastAsia" w:ascii="宋体" w:hAnsi="宋体" w:cs="宋体"/>
          <w:kern w:val="0"/>
          <w:szCs w:val="21"/>
          <w:lang w:bidi="ar"/>
        </w:rPr>
        <w:t>。配合局方核查我单位的软件研发工作场所及开发测试环境，保证搭建专用的开发测试环境，配置安全可信的开发管理工具，设置可靠的权限管理策略，确保项目研发安全可控、开发场所安全可控可信。</w:t>
      </w:r>
    </w:p>
    <w:p>
      <w:pPr>
        <w:widowControl/>
        <w:overflowPunct w:val="0"/>
        <w:autoSpaceDE w:val="0"/>
        <w:autoSpaceDN w:val="0"/>
        <w:adjustRightInd w:val="0"/>
        <w:ind w:firstLine="640"/>
        <w:rPr>
          <w:rFonts w:ascii="宋体" w:hAnsi="宋体" w:cs="宋体"/>
          <w:szCs w:val="21"/>
        </w:rPr>
      </w:pPr>
      <w:r>
        <w:rPr>
          <w:rFonts w:hint="eastAsia" w:ascii="宋体" w:hAnsi="宋体" w:cs="宋体"/>
          <w:kern w:val="0"/>
          <w:szCs w:val="21"/>
          <w:lang w:bidi="ar"/>
        </w:rPr>
        <w:t>7.</w:t>
      </w:r>
      <w:r>
        <w:rPr>
          <w:rFonts w:hint="eastAsia" w:ascii="宋体" w:hAnsi="宋体" w:cs="宋体"/>
          <w:b/>
          <w:bCs/>
          <w:kern w:val="0"/>
          <w:szCs w:val="21"/>
          <w:lang w:bidi="ar"/>
        </w:rPr>
        <w:t>局方开发环境安全管理。</w:t>
      </w:r>
      <w:r>
        <w:rPr>
          <w:rFonts w:hint="eastAsia" w:ascii="宋体" w:hAnsi="宋体" w:cs="宋体"/>
          <w:kern w:val="0"/>
          <w:szCs w:val="21"/>
          <w:lang w:bidi="ar"/>
        </w:rPr>
        <w:t>在局方开展软件开发测试工作的现场工作人员，将严格遵守局方供应链厂商管理规范，未经批准不使用自带电脑和移动存储介质，不变更办公场所和办公设备，不安装非必要的应用程序和组件，不擅自复制、使用和修改文档、数据以及其他开发测试资料。</w:t>
      </w:r>
    </w:p>
    <w:p>
      <w:pPr>
        <w:widowControl/>
        <w:overflowPunct w:val="0"/>
        <w:autoSpaceDE w:val="0"/>
        <w:autoSpaceDN w:val="0"/>
        <w:adjustRightInd w:val="0"/>
        <w:ind w:firstLine="640"/>
        <w:rPr>
          <w:rFonts w:ascii="宋体" w:hAnsi="宋体" w:cs="宋体"/>
          <w:szCs w:val="21"/>
        </w:rPr>
      </w:pPr>
      <w:r>
        <w:rPr>
          <w:rFonts w:hint="eastAsia" w:ascii="宋体" w:hAnsi="宋体" w:cs="宋体"/>
          <w:kern w:val="0"/>
          <w:szCs w:val="21"/>
          <w:lang w:bidi="ar"/>
        </w:rPr>
        <w:t>8.</w:t>
      </w:r>
      <w:r>
        <w:rPr>
          <w:rFonts w:hint="eastAsia" w:ascii="宋体" w:hAnsi="宋体" w:cs="宋体"/>
          <w:b/>
          <w:bCs/>
          <w:kern w:val="0"/>
          <w:szCs w:val="21"/>
          <w:lang w:bidi="ar"/>
        </w:rPr>
        <w:t>产品和服务安全管理。</w:t>
      </w:r>
      <w:r>
        <w:rPr>
          <w:rFonts w:hint="eastAsia" w:ascii="宋体" w:hAnsi="宋体" w:cs="宋体"/>
          <w:kern w:val="0"/>
          <w:szCs w:val="21"/>
          <w:lang w:bidi="ar"/>
        </w:rPr>
        <w:t>我单位提供的产品及服务满足国家认可的网络安全规范和认证要求，我单位负责的定制开发软件将配合局方开展网络安全“三同步”测评，我单位在项目中使用的重要供应链产品将按照局方要求形成供应链产品清单提交局方审核。</w:t>
      </w:r>
    </w:p>
    <w:p>
      <w:pPr>
        <w:widowControl/>
        <w:overflowPunct w:val="0"/>
        <w:autoSpaceDE w:val="0"/>
        <w:autoSpaceDN w:val="0"/>
        <w:adjustRightInd w:val="0"/>
        <w:ind w:firstLine="640"/>
        <w:rPr>
          <w:rFonts w:ascii="宋体" w:hAnsi="宋体" w:cs="宋体"/>
          <w:szCs w:val="21"/>
        </w:rPr>
      </w:pPr>
      <w:r>
        <w:rPr>
          <w:rFonts w:hint="eastAsia" w:ascii="宋体" w:hAnsi="宋体" w:cs="宋体"/>
          <w:kern w:val="0"/>
          <w:szCs w:val="21"/>
          <w:lang w:bidi="ar"/>
        </w:rPr>
        <w:t>9.</w:t>
      </w:r>
      <w:r>
        <w:rPr>
          <w:rFonts w:hint="eastAsia" w:ascii="宋体" w:hAnsi="宋体" w:cs="宋体"/>
          <w:b/>
          <w:bCs/>
          <w:kern w:val="0"/>
          <w:szCs w:val="21"/>
          <w:lang w:bidi="ar"/>
        </w:rPr>
        <w:t>第三方组件安全管理。</w:t>
      </w:r>
      <w:r>
        <w:rPr>
          <w:rFonts w:hint="eastAsia" w:ascii="宋体" w:hAnsi="宋体" w:cs="宋体"/>
          <w:kern w:val="0"/>
          <w:szCs w:val="21"/>
          <w:lang w:bidi="ar"/>
        </w:rPr>
        <w:t>我单位将在局方统一管理下定期对提供的产品进行安全风险评估和漏洞扫描，做好漏洞评估、漏洞修复和版本升级工作，形成第三方组件（含自行开发且多项目共用的基础框架及组件）清单和安全分析报告，及时更新第三方组件相关信息并报送局方。我单位将采取有效措施保障第三方组件安全，原则上禁用存在高风险隐患或已停止维护的第三方组件。我单位确保产品中使用的开源代码符合开源许可协议要求。</w:t>
      </w:r>
    </w:p>
    <w:p>
      <w:pPr>
        <w:widowControl/>
        <w:overflowPunct w:val="0"/>
        <w:autoSpaceDE w:val="0"/>
        <w:autoSpaceDN w:val="0"/>
        <w:adjustRightInd w:val="0"/>
        <w:ind w:firstLine="640"/>
        <w:rPr>
          <w:rFonts w:ascii="宋体" w:hAnsi="宋体" w:cs="宋体"/>
          <w:szCs w:val="21"/>
        </w:rPr>
      </w:pPr>
      <w:r>
        <w:rPr>
          <w:rFonts w:hint="eastAsia" w:ascii="宋体" w:hAnsi="宋体" w:cs="宋体"/>
          <w:kern w:val="0"/>
          <w:szCs w:val="21"/>
          <w:lang w:bidi="ar"/>
        </w:rPr>
        <w:t>10.</w:t>
      </w:r>
      <w:r>
        <w:rPr>
          <w:rFonts w:hint="eastAsia" w:ascii="宋体" w:hAnsi="宋体" w:cs="宋体"/>
          <w:b/>
          <w:bCs/>
          <w:kern w:val="0"/>
          <w:szCs w:val="21"/>
          <w:lang w:bidi="ar"/>
        </w:rPr>
        <w:t>代码平台安全管理。</w:t>
      </w:r>
      <w:r>
        <w:rPr>
          <w:rFonts w:hint="eastAsia" w:ascii="宋体" w:hAnsi="宋体" w:cs="宋体"/>
          <w:kern w:val="0"/>
          <w:szCs w:val="21"/>
          <w:lang w:bidi="ar"/>
        </w:rPr>
        <w:t>项目开发建设时，如需设立代码管理平台，我单位将配置独立的、不与互联网连接的内部代码管理平台，搭建具备权限管控功能的统一版本控制系统，将全部源代码纳入管理，并制定安全编码规范，严禁开发人员未经授权或越权访问和违规开发。我单位将配合局方开展安全审查，严禁将源代码上传第三方平台，严禁使用互联网代码托管平台，防止代码泄露和后门植入。</w:t>
      </w:r>
    </w:p>
    <w:p>
      <w:pPr>
        <w:widowControl/>
        <w:overflowPunct w:val="0"/>
        <w:autoSpaceDE w:val="0"/>
        <w:autoSpaceDN w:val="0"/>
        <w:adjustRightInd w:val="0"/>
        <w:ind w:firstLine="640"/>
        <w:rPr>
          <w:rFonts w:ascii="宋体" w:hAnsi="宋体" w:cs="宋体"/>
          <w:szCs w:val="21"/>
        </w:rPr>
      </w:pPr>
      <w:r>
        <w:rPr>
          <w:rFonts w:hint="eastAsia" w:ascii="宋体" w:hAnsi="宋体" w:cs="宋体"/>
          <w:kern w:val="0"/>
          <w:szCs w:val="21"/>
          <w:lang w:bidi="ar"/>
        </w:rPr>
        <w:t>11.</w:t>
      </w:r>
      <w:r>
        <w:rPr>
          <w:rFonts w:hint="eastAsia" w:ascii="宋体" w:hAnsi="宋体" w:cs="宋体"/>
          <w:b/>
          <w:bCs/>
          <w:kern w:val="0"/>
          <w:szCs w:val="21"/>
          <w:lang w:bidi="ar"/>
        </w:rPr>
        <w:t>源代码安全自查。</w:t>
      </w:r>
      <w:r>
        <w:rPr>
          <w:rFonts w:hint="eastAsia" w:ascii="宋体" w:hAnsi="宋体" w:cs="宋体"/>
          <w:kern w:val="0"/>
          <w:szCs w:val="21"/>
          <w:lang w:bidi="ar"/>
        </w:rPr>
        <w:t>我单位将设置专用代码审计场所，采用工具与人工核查相结合的方式开展工作，形成源代码审计报告提交局方。我单位将采取必要的手段确保源代码不外泄，对审计中发现的问题及时解决。</w:t>
      </w:r>
    </w:p>
    <w:p>
      <w:pPr>
        <w:widowControl/>
        <w:overflowPunct w:val="0"/>
        <w:autoSpaceDE w:val="0"/>
        <w:autoSpaceDN w:val="0"/>
        <w:adjustRightInd w:val="0"/>
        <w:ind w:firstLine="640"/>
        <w:rPr>
          <w:rFonts w:ascii="宋体" w:hAnsi="宋体" w:cs="宋体"/>
          <w:szCs w:val="21"/>
        </w:rPr>
      </w:pPr>
      <w:r>
        <w:rPr>
          <w:rFonts w:hint="eastAsia" w:ascii="宋体" w:hAnsi="宋体" w:cs="宋体"/>
          <w:kern w:val="0"/>
          <w:szCs w:val="21"/>
          <w:lang w:bidi="ar"/>
        </w:rPr>
        <w:t>12.</w:t>
      </w:r>
      <w:r>
        <w:rPr>
          <w:rFonts w:hint="eastAsia" w:ascii="宋体" w:hAnsi="宋体" w:cs="宋体"/>
          <w:b/>
          <w:bCs/>
          <w:kern w:val="0"/>
          <w:szCs w:val="21"/>
          <w:lang w:bidi="ar"/>
        </w:rPr>
        <w:t>测试数据安全管控。</w:t>
      </w:r>
      <w:r>
        <w:rPr>
          <w:rFonts w:hint="eastAsia" w:ascii="宋体" w:hAnsi="宋体" w:cs="宋体"/>
          <w:kern w:val="0"/>
          <w:szCs w:val="21"/>
          <w:lang w:bidi="ar"/>
        </w:rPr>
        <w:t>为保障测试数据安全，我单位将明确脱敏字段需求，规范测试数据使用权限，切断数据拷出途径，根据局方规定申请用于测试的税务脱敏数据，并确保测试数据安全。</w:t>
      </w:r>
    </w:p>
    <w:p>
      <w:pPr>
        <w:widowControl/>
        <w:overflowPunct w:val="0"/>
        <w:autoSpaceDE w:val="0"/>
        <w:autoSpaceDN w:val="0"/>
        <w:adjustRightInd w:val="0"/>
        <w:ind w:firstLine="640"/>
        <w:rPr>
          <w:rFonts w:ascii="宋体" w:hAnsi="宋体" w:cs="宋体"/>
          <w:szCs w:val="21"/>
        </w:rPr>
      </w:pPr>
      <w:r>
        <w:rPr>
          <w:rFonts w:hint="eastAsia" w:ascii="宋体" w:hAnsi="宋体" w:cs="宋体"/>
          <w:kern w:val="0"/>
          <w:szCs w:val="21"/>
          <w:lang w:bidi="ar"/>
        </w:rPr>
        <w:t>13.</w:t>
      </w:r>
      <w:r>
        <w:rPr>
          <w:rFonts w:hint="eastAsia" w:ascii="宋体" w:hAnsi="宋体" w:cs="宋体"/>
          <w:b/>
          <w:bCs/>
          <w:kern w:val="0"/>
          <w:szCs w:val="21"/>
          <w:lang w:bidi="ar"/>
        </w:rPr>
        <w:t>安全“三同步”管理。</w:t>
      </w:r>
      <w:r>
        <w:rPr>
          <w:rFonts w:hint="eastAsia" w:ascii="宋体" w:hAnsi="宋体" w:cs="宋体"/>
          <w:kern w:val="0"/>
          <w:szCs w:val="21"/>
          <w:lang w:bidi="ar"/>
        </w:rPr>
        <w:t>应用系统开发上线前，我单位将配合局方安全管理要求，形成供应链产品清单、第三方组件使用清单、源代码审计报告等相关内容，汇总至系统安全“三同步”材料一并提交局方审核。</w:t>
      </w:r>
    </w:p>
    <w:p>
      <w:pPr>
        <w:widowControl/>
        <w:overflowPunct w:val="0"/>
        <w:autoSpaceDE w:val="0"/>
        <w:autoSpaceDN w:val="0"/>
        <w:adjustRightInd w:val="0"/>
        <w:ind w:firstLine="640"/>
        <w:rPr>
          <w:rFonts w:ascii="宋体" w:hAnsi="宋体" w:cs="宋体"/>
          <w:szCs w:val="21"/>
        </w:rPr>
      </w:pPr>
      <w:r>
        <w:rPr>
          <w:rFonts w:hint="eastAsia" w:ascii="宋体" w:hAnsi="宋体" w:cs="宋体"/>
          <w:kern w:val="0"/>
          <w:szCs w:val="21"/>
          <w:lang w:bidi="ar"/>
        </w:rPr>
        <w:t>14.</w:t>
      </w:r>
      <w:r>
        <w:rPr>
          <w:rFonts w:hint="eastAsia" w:ascii="宋体" w:hAnsi="宋体" w:cs="宋体"/>
          <w:b/>
          <w:bCs/>
          <w:kern w:val="0"/>
          <w:szCs w:val="21"/>
          <w:lang w:bidi="ar"/>
        </w:rPr>
        <w:t>权限和数据安全管理。</w:t>
      </w:r>
      <w:r>
        <w:rPr>
          <w:rFonts w:hint="eastAsia" w:ascii="宋体" w:hAnsi="宋体" w:cs="宋体"/>
          <w:kern w:val="0"/>
          <w:szCs w:val="21"/>
          <w:lang w:bidi="ar"/>
        </w:rPr>
        <w:t>我单位工作人员遵从局方最小化授权要求，按照工作所需向局方提前申请各类账户，不试图获取超范围权限，获得批准后使用。我单位工作人员遵从局方运维规范，未经同意不擅自访问、修改或删除税费数据，不私自截留涉税相关数据，不变更涉税相关数据用途、用法，不公开、转让或向第三方提供涉税相关数据，配合局方做好税费数据操作全程记录和留痕工作。</w:t>
      </w:r>
    </w:p>
    <w:p>
      <w:pPr>
        <w:widowControl/>
        <w:overflowPunct w:val="0"/>
        <w:autoSpaceDE w:val="0"/>
        <w:autoSpaceDN w:val="0"/>
        <w:adjustRightInd w:val="0"/>
        <w:ind w:firstLine="640"/>
        <w:rPr>
          <w:rFonts w:ascii="宋体" w:hAnsi="宋体" w:cs="宋体"/>
          <w:szCs w:val="21"/>
        </w:rPr>
      </w:pPr>
      <w:r>
        <w:rPr>
          <w:rFonts w:hint="eastAsia" w:ascii="宋体" w:hAnsi="宋体" w:cs="宋体"/>
          <w:kern w:val="0"/>
          <w:szCs w:val="21"/>
          <w:lang w:bidi="ar"/>
        </w:rPr>
        <w:t>15.</w:t>
      </w:r>
      <w:r>
        <w:rPr>
          <w:rFonts w:hint="eastAsia" w:ascii="宋体" w:hAnsi="宋体" w:cs="宋体"/>
          <w:b/>
          <w:bCs/>
          <w:kern w:val="0"/>
          <w:szCs w:val="21"/>
          <w:lang w:bidi="ar"/>
        </w:rPr>
        <w:t>基础设施安全管理。</w:t>
      </w:r>
      <w:r>
        <w:rPr>
          <w:rFonts w:hint="eastAsia" w:ascii="宋体" w:hAnsi="宋体" w:cs="宋体"/>
          <w:kern w:val="0"/>
          <w:szCs w:val="21"/>
          <w:lang w:bidi="ar"/>
        </w:rPr>
        <w:t>我单位工作人员遵从局方日常运维行为安全管理要求，未经局方批准不进入基础设施场地，未经授权不访问、维护、维修基础设施，运维期间不携带个人电脑、U盘、未授权软件安装包等工具，不向第三方提供基础设施场地设计图、设备部署图等有关信息。</w:t>
      </w:r>
    </w:p>
    <w:p>
      <w:pPr>
        <w:widowControl/>
        <w:overflowPunct w:val="0"/>
        <w:autoSpaceDE w:val="0"/>
        <w:autoSpaceDN w:val="0"/>
        <w:adjustRightInd w:val="0"/>
        <w:ind w:firstLine="640"/>
        <w:rPr>
          <w:rFonts w:ascii="宋体" w:hAnsi="宋体" w:cs="宋体"/>
          <w:szCs w:val="21"/>
        </w:rPr>
      </w:pPr>
      <w:r>
        <w:rPr>
          <w:rFonts w:hint="eastAsia" w:ascii="宋体" w:hAnsi="宋体" w:cs="宋体"/>
          <w:kern w:val="0"/>
          <w:szCs w:val="21"/>
          <w:lang w:bidi="ar"/>
        </w:rPr>
        <w:t>16.</w:t>
      </w:r>
      <w:r>
        <w:rPr>
          <w:rFonts w:hint="eastAsia" w:ascii="宋体" w:hAnsi="宋体" w:cs="宋体"/>
          <w:b/>
          <w:bCs/>
          <w:kern w:val="0"/>
          <w:szCs w:val="21"/>
          <w:lang w:bidi="ar"/>
        </w:rPr>
        <w:t>风险隐患管理。</w:t>
      </w:r>
      <w:r>
        <w:rPr>
          <w:rFonts w:hint="eastAsia" w:ascii="宋体" w:hAnsi="宋体" w:cs="宋体"/>
          <w:kern w:val="0"/>
          <w:szCs w:val="21"/>
          <w:lang w:bidi="ar"/>
        </w:rPr>
        <w:t>我单位将及时向局方报告发现的网络安全漏洞、缺陷、数据泄露或其他重大网络安全风险，不公开或向第三方提供。我单位将定期检查所使用产品及第三方组件，存在高危漏洞的及时通过限制访问、更新补丁、版本升级、设备防护等措施进行加固处置；对于停止维护的产品及第三方组件，评估是否存在高危漏洞，如存在无法修复的高危漏洞，将考虑升级版本或更换产品及第三方组件。</w:t>
      </w:r>
    </w:p>
    <w:p>
      <w:pPr>
        <w:widowControl/>
        <w:overflowPunct w:val="0"/>
        <w:autoSpaceDE w:val="0"/>
        <w:autoSpaceDN w:val="0"/>
        <w:adjustRightInd w:val="0"/>
        <w:ind w:firstLine="640"/>
        <w:rPr>
          <w:rFonts w:ascii="宋体" w:hAnsi="宋体" w:cs="宋体"/>
          <w:szCs w:val="21"/>
        </w:rPr>
      </w:pPr>
      <w:r>
        <w:rPr>
          <w:rFonts w:hint="eastAsia" w:ascii="宋体" w:hAnsi="宋体" w:cs="宋体"/>
          <w:kern w:val="0"/>
          <w:szCs w:val="21"/>
          <w:lang w:bidi="ar"/>
        </w:rPr>
        <w:t>17.</w:t>
      </w:r>
      <w:r>
        <w:rPr>
          <w:rFonts w:hint="eastAsia" w:ascii="宋体" w:hAnsi="宋体" w:cs="宋体"/>
          <w:b/>
          <w:bCs/>
          <w:kern w:val="0"/>
          <w:szCs w:val="21"/>
          <w:lang w:bidi="ar"/>
        </w:rPr>
        <w:t>自查报告要求。</w:t>
      </w:r>
      <w:r>
        <w:rPr>
          <w:rFonts w:hint="eastAsia" w:ascii="宋体" w:hAnsi="宋体" w:cs="宋体"/>
          <w:kern w:val="0"/>
          <w:szCs w:val="21"/>
          <w:lang w:bidi="ar"/>
        </w:rPr>
        <w:t>我单位将配合局方严格落实供应链厂商在风险控制、审计巡查、应急处置等方面的工作要求，根据各项要求的落实情况，撰写年度供应链安全自查报告并提交给局方。</w:t>
      </w:r>
    </w:p>
    <w:p>
      <w:pPr>
        <w:widowControl/>
        <w:overflowPunct w:val="0"/>
        <w:autoSpaceDE w:val="0"/>
        <w:autoSpaceDN w:val="0"/>
        <w:adjustRightInd w:val="0"/>
        <w:ind w:firstLine="640"/>
        <w:rPr>
          <w:rFonts w:ascii="宋体" w:hAnsi="宋体" w:cs="宋体"/>
          <w:szCs w:val="21"/>
        </w:rPr>
      </w:pPr>
      <w:r>
        <w:rPr>
          <w:rFonts w:hint="eastAsia" w:ascii="宋体" w:hAnsi="宋体" w:cs="宋体"/>
          <w:kern w:val="0"/>
          <w:szCs w:val="21"/>
          <w:lang w:bidi="ar"/>
        </w:rPr>
        <w:t>18.</w:t>
      </w:r>
      <w:r>
        <w:rPr>
          <w:rFonts w:hint="eastAsia" w:ascii="宋体" w:hAnsi="宋体" w:cs="宋体"/>
          <w:b/>
          <w:bCs/>
          <w:kern w:val="0"/>
          <w:szCs w:val="21"/>
          <w:lang w:bidi="ar"/>
        </w:rPr>
        <w:t>履约履职要求。</w:t>
      </w:r>
      <w:r>
        <w:rPr>
          <w:rFonts w:hint="eastAsia" w:ascii="宋体" w:hAnsi="宋体" w:cs="宋体"/>
          <w:kern w:val="0"/>
          <w:szCs w:val="21"/>
          <w:lang w:bidi="ar"/>
        </w:rPr>
        <w:t>我单位将严格遵守采购合同、项目采购需求说明书、协议、承诺书等文件中的安全相关条款，若履行网络安全责任不到位、造成安全事件或产生不良影响的行为，依照相应条款处理。</w:t>
      </w:r>
    </w:p>
    <w:p>
      <w:pPr>
        <w:widowControl/>
        <w:overflowPunct w:val="0"/>
        <w:autoSpaceDE w:val="0"/>
        <w:autoSpaceDN w:val="0"/>
        <w:adjustRightInd w:val="0"/>
        <w:ind w:firstLine="640"/>
        <w:rPr>
          <w:rFonts w:ascii="宋体" w:hAnsi="宋体" w:cs="宋体"/>
          <w:szCs w:val="21"/>
        </w:rPr>
      </w:pPr>
      <w:r>
        <w:rPr>
          <w:rFonts w:hint="eastAsia" w:ascii="宋体" w:hAnsi="宋体" w:cs="宋体"/>
          <w:kern w:val="0"/>
          <w:szCs w:val="21"/>
          <w:lang w:bidi="ar"/>
        </w:rPr>
        <w:t>19.</w:t>
      </w:r>
      <w:r>
        <w:rPr>
          <w:rFonts w:hint="eastAsia" w:ascii="宋体" w:hAnsi="宋体" w:cs="宋体"/>
          <w:b/>
          <w:bCs/>
          <w:kern w:val="0"/>
          <w:szCs w:val="21"/>
          <w:lang w:bidi="ar"/>
        </w:rPr>
        <w:t>安全审查要求。</w:t>
      </w:r>
      <w:r>
        <w:rPr>
          <w:rFonts w:hint="eastAsia" w:ascii="宋体" w:hAnsi="宋体" w:cs="宋体"/>
          <w:kern w:val="0"/>
          <w:szCs w:val="21"/>
          <w:lang w:bidi="ar"/>
        </w:rPr>
        <w:t>我单位按照《网络安全审查办法》的要求，承诺不利用提供产品和服务的便利条件非法获取数据、非法控制和操纵设备，无正当理由不中断产品供应或必要的技术支持服务等，否则依照法律规定处理。</w:t>
      </w:r>
    </w:p>
    <w:p>
      <w:pPr>
        <w:widowControl/>
        <w:overflowPunct w:val="0"/>
        <w:autoSpaceDE w:val="0"/>
        <w:autoSpaceDN w:val="0"/>
        <w:adjustRightInd w:val="0"/>
        <w:snapToGrid w:val="0"/>
        <w:ind w:firstLine="640"/>
        <w:rPr>
          <w:rFonts w:ascii="宋体" w:hAnsi="宋体" w:cs="宋体"/>
          <w:szCs w:val="21"/>
        </w:rPr>
      </w:pPr>
      <w:r>
        <w:rPr>
          <w:rFonts w:hint="eastAsia" w:ascii="宋体" w:hAnsi="宋体" w:cs="宋体"/>
          <w:kern w:val="0"/>
          <w:szCs w:val="21"/>
          <w:lang w:bidi="ar"/>
        </w:rPr>
        <w:t>20.</w:t>
      </w:r>
      <w:r>
        <w:rPr>
          <w:rFonts w:hint="eastAsia" w:ascii="宋体" w:hAnsi="宋体" w:cs="宋体"/>
          <w:b/>
          <w:bCs/>
          <w:kern w:val="0"/>
          <w:szCs w:val="21"/>
          <w:lang w:bidi="ar"/>
        </w:rPr>
        <w:t>项目验收要求。</w:t>
      </w:r>
      <w:r>
        <w:rPr>
          <w:rFonts w:hint="eastAsia" w:ascii="宋体" w:hAnsi="宋体" w:cs="宋体"/>
          <w:kern w:val="0"/>
          <w:szCs w:val="21"/>
          <w:lang w:bidi="ar"/>
        </w:rPr>
        <w:t>我单位将落实局方供应链安全管理各项规定，按照国家相关法律法规开展安全审查、安全评估、渗透测试等，并将落实情况作为项目验收材料提交局方审核。</w:t>
      </w:r>
    </w:p>
    <w:p>
      <w:pPr>
        <w:widowControl/>
        <w:overflowPunct w:val="0"/>
        <w:autoSpaceDE w:val="0"/>
        <w:autoSpaceDN w:val="0"/>
        <w:adjustRightInd w:val="0"/>
        <w:ind w:firstLine="640"/>
        <w:rPr>
          <w:rFonts w:ascii="宋体" w:hAnsi="宋体" w:cs="宋体"/>
          <w:szCs w:val="21"/>
        </w:rPr>
      </w:pPr>
    </w:p>
    <w:p>
      <w:pPr>
        <w:widowControl/>
        <w:overflowPunct w:val="0"/>
        <w:autoSpaceDE w:val="0"/>
        <w:autoSpaceDN w:val="0"/>
        <w:adjustRightInd w:val="0"/>
        <w:ind w:firstLine="640"/>
        <w:rPr>
          <w:rFonts w:ascii="宋体" w:hAnsi="宋体" w:cs="宋体"/>
          <w:szCs w:val="21"/>
        </w:rPr>
      </w:pPr>
      <w:r>
        <w:rPr>
          <w:rFonts w:hint="eastAsia" w:ascii="宋体" w:hAnsi="宋体" w:cs="宋体"/>
          <w:kern w:val="0"/>
          <w:szCs w:val="21"/>
          <w:lang w:bidi="ar"/>
        </w:rPr>
        <w:t>我单位承诺遵守相关法律法规及本承诺书有关规定。若违反相关规定，贵单位有权对我单位及工作人员的违规违纪行为按签订合同、协议、承诺书等相关条款进行处理。涉嫌违法犯罪的移交有关部门依照相应法律法规处理。</w:t>
      </w:r>
    </w:p>
    <w:p>
      <w:pPr>
        <w:widowControl/>
        <w:overflowPunct w:val="0"/>
        <w:autoSpaceDE w:val="0"/>
        <w:autoSpaceDN w:val="0"/>
        <w:adjustRightInd w:val="0"/>
        <w:ind w:firstLine="640"/>
        <w:rPr>
          <w:rFonts w:ascii="宋体" w:hAnsi="宋体" w:cs="宋体"/>
          <w:szCs w:val="21"/>
        </w:rPr>
      </w:pPr>
    </w:p>
    <w:p>
      <w:pPr>
        <w:widowControl/>
        <w:overflowPunct w:val="0"/>
        <w:autoSpaceDE w:val="0"/>
        <w:autoSpaceDN w:val="0"/>
        <w:adjustRightInd w:val="0"/>
        <w:ind w:firstLine="4059" w:firstLineChars="1933"/>
        <w:jc w:val="left"/>
        <w:rPr>
          <w:rFonts w:ascii="宋体" w:hAnsi="宋体" w:cs="宋体"/>
          <w:szCs w:val="21"/>
        </w:rPr>
      </w:pPr>
      <w:r>
        <w:rPr>
          <w:rFonts w:hint="eastAsia" w:ascii="宋体" w:hAnsi="宋体" w:cs="宋体"/>
          <w:kern w:val="0"/>
          <w:szCs w:val="21"/>
          <w:lang w:bidi="ar"/>
        </w:rPr>
        <w:t xml:space="preserve">承诺单位（公章）：      </w:t>
      </w:r>
    </w:p>
    <w:p>
      <w:pPr>
        <w:pStyle w:val="2"/>
        <w:rPr>
          <w:color w:val="auto"/>
        </w:rPr>
      </w:pPr>
      <w:r>
        <w:rPr>
          <w:rFonts w:hint="eastAsia" w:ascii="宋体" w:hAnsi="宋体" w:eastAsia="宋体" w:cs="宋体"/>
          <w:color w:val="auto"/>
          <w:kern w:val="0"/>
          <w:szCs w:val="21"/>
          <w:lang w:bidi="ar"/>
        </w:rPr>
        <w:t xml:space="preserve">日期：          </w:t>
      </w: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Segoe UI Symbol">
    <w:panose1 w:val="020B0502040204020203"/>
    <w:charset w:val="00"/>
    <w:family w:val="swiss"/>
    <w:pitch w:val="default"/>
    <w:sig w:usb0="8000006F" w:usb1="1200FBEF" w:usb2="0004C000" w:usb3="00000000"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0641F1"/>
    <w:multiLevelType w:val="singleLevel"/>
    <w:tmpl w:val="9D0641F1"/>
    <w:lvl w:ilvl="0" w:tentative="0">
      <w:start w:val="1"/>
      <w:numFmt w:val="chineseCounting"/>
      <w:suff w:val="nothing"/>
      <w:lvlText w:val="%1、"/>
      <w:lvlJc w:val="left"/>
      <w:pPr>
        <w:ind w:left="0" w:firstLine="420"/>
      </w:pPr>
      <w:rPr>
        <w:rFonts w:hint="eastAsia"/>
      </w:rPr>
    </w:lvl>
  </w:abstractNum>
  <w:abstractNum w:abstractNumId="1">
    <w:nsid w:val="AD9F3C5D"/>
    <w:multiLevelType w:val="singleLevel"/>
    <w:tmpl w:val="AD9F3C5D"/>
    <w:lvl w:ilvl="0" w:tentative="0">
      <w:start w:val="1"/>
      <w:numFmt w:val="chineseCounting"/>
      <w:suff w:val="nothing"/>
      <w:lvlText w:val="%1、"/>
      <w:lvlJc w:val="left"/>
      <w:pPr>
        <w:ind w:left="0" w:firstLine="420"/>
      </w:pPr>
      <w:rPr>
        <w:rFonts w:hint="eastAsia"/>
      </w:rPr>
    </w:lvl>
  </w:abstractNum>
  <w:abstractNum w:abstractNumId="2">
    <w:nsid w:val="0A3CCBD1"/>
    <w:multiLevelType w:val="multilevel"/>
    <w:tmpl w:val="0A3CCBD1"/>
    <w:lvl w:ilvl="0" w:tentative="0">
      <w:start w:val="1"/>
      <w:numFmt w:val="decimal"/>
      <w:suff w:val="nothing"/>
      <w:lvlText w:val="%1."/>
      <w:lvlJc w:val="left"/>
      <w:pPr>
        <w:ind w:left="420" w:hanging="420"/>
      </w:pPr>
      <w:rPr>
        <w:rFonts w:hint="default" w:ascii="Times New Roman" w:hAnsi="Times New Roman" w:eastAsia="宋体"/>
        <w:b/>
        <w:i w:val="0"/>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30FCB1B"/>
    <w:multiLevelType w:val="singleLevel"/>
    <w:tmpl w:val="330FCB1B"/>
    <w:lvl w:ilvl="0" w:tentative="0">
      <w:start w:val="1"/>
      <w:numFmt w:val="chineseCounting"/>
      <w:suff w:val="nothing"/>
      <w:lvlText w:val="%1、"/>
      <w:lvlJc w:val="left"/>
      <w:pPr>
        <w:ind w:left="28"/>
      </w:pPr>
      <w:rPr>
        <w:rFonts w:hint="eastAsia"/>
      </w:rPr>
    </w:lvl>
  </w:abstractNum>
  <w:abstractNum w:abstractNumId="4">
    <w:nsid w:val="618493DD"/>
    <w:multiLevelType w:val="singleLevel"/>
    <w:tmpl w:val="618493DD"/>
    <w:lvl w:ilvl="0" w:tentative="0">
      <w:start w:val="1"/>
      <w:numFmt w:val="chineseCounting"/>
      <w:suff w:val="nothing"/>
      <w:lvlText w:val="%1、"/>
      <w:lvlJc w:val="left"/>
      <w:pPr>
        <w:ind w:left="-480" w:firstLine="420"/>
      </w:pPr>
      <w:rPr>
        <w:rFonts w:hint="eastAsia"/>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wMTBmMjc4MDg5ZmJmODNhMTFkZDRhMTg2MDEyNDMifQ=="/>
  </w:docVars>
  <w:rsids>
    <w:rsidRoot w:val="00172A27"/>
    <w:rsid w:val="00027215"/>
    <w:rsid w:val="000540A4"/>
    <w:rsid w:val="000654BD"/>
    <w:rsid w:val="000B4472"/>
    <w:rsid w:val="000C7968"/>
    <w:rsid w:val="00100445"/>
    <w:rsid w:val="0010222F"/>
    <w:rsid w:val="00103159"/>
    <w:rsid w:val="00112D2C"/>
    <w:rsid w:val="00143EE6"/>
    <w:rsid w:val="00153F98"/>
    <w:rsid w:val="00172A27"/>
    <w:rsid w:val="00183168"/>
    <w:rsid w:val="001D1A27"/>
    <w:rsid w:val="00216B0D"/>
    <w:rsid w:val="002303DF"/>
    <w:rsid w:val="00233061"/>
    <w:rsid w:val="002A5EBA"/>
    <w:rsid w:val="00312484"/>
    <w:rsid w:val="00346BCB"/>
    <w:rsid w:val="00397D39"/>
    <w:rsid w:val="003C320F"/>
    <w:rsid w:val="003F7A8C"/>
    <w:rsid w:val="004149DE"/>
    <w:rsid w:val="004240F9"/>
    <w:rsid w:val="00435071"/>
    <w:rsid w:val="0045714E"/>
    <w:rsid w:val="00462A97"/>
    <w:rsid w:val="00463764"/>
    <w:rsid w:val="004D5B41"/>
    <w:rsid w:val="004F2AA6"/>
    <w:rsid w:val="0051030C"/>
    <w:rsid w:val="005337FC"/>
    <w:rsid w:val="00537A37"/>
    <w:rsid w:val="00540D60"/>
    <w:rsid w:val="0055521C"/>
    <w:rsid w:val="0056230F"/>
    <w:rsid w:val="0057669C"/>
    <w:rsid w:val="005847A1"/>
    <w:rsid w:val="00597F4A"/>
    <w:rsid w:val="005A77C0"/>
    <w:rsid w:val="005B1EDA"/>
    <w:rsid w:val="005B3271"/>
    <w:rsid w:val="005F3D5E"/>
    <w:rsid w:val="00601442"/>
    <w:rsid w:val="00614621"/>
    <w:rsid w:val="00632A62"/>
    <w:rsid w:val="00647F2A"/>
    <w:rsid w:val="006634A8"/>
    <w:rsid w:val="006B6C11"/>
    <w:rsid w:val="006D39A9"/>
    <w:rsid w:val="006D3C28"/>
    <w:rsid w:val="007102F3"/>
    <w:rsid w:val="007521BD"/>
    <w:rsid w:val="00753D63"/>
    <w:rsid w:val="007A088C"/>
    <w:rsid w:val="007A4750"/>
    <w:rsid w:val="007B1C68"/>
    <w:rsid w:val="007D282A"/>
    <w:rsid w:val="007E415D"/>
    <w:rsid w:val="007F5663"/>
    <w:rsid w:val="008000ED"/>
    <w:rsid w:val="00816135"/>
    <w:rsid w:val="008538F6"/>
    <w:rsid w:val="008555F1"/>
    <w:rsid w:val="00870AB7"/>
    <w:rsid w:val="00894E41"/>
    <w:rsid w:val="00896319"/>
    <w:rsid w:val="00930D2F"/>
    <w:rsid w:val="0094338D"/>
    <w:rsid w:val="00943DDB"/>
    <w:rsid w:val="00964B3B"/>
    <w:rsid w:val="00987E8C"/>
    <w:rsid w:val="00990325"/>
    <w:rsid w:val="009A12A6"/>
    <w:rsid w:val="009C7A72"/>
    <w:rsid w:val="009F7B6A"/>
    <w:rsid w:val="00A0051F"/>
    <w:rsid w:val="00A1308C"/>
    <w:rsid w:val="00A307CF"/>
    <w:rsid w:val="00A522A1"/>
    <w:rsid w:val="00A83828"/>
    <w:rsid w:val="00A94F55"/>
    <w:rsid w:val="00A97487"/>
    <w:rsid w:val="00AD726A"/>
    <w:rsid w:val="00AF46CE"/>
    <w:rsid w:val="00B55B3F"/>
    <w:rsid w:val="00B6389D"/>
    <w:rsid w:val="00B673F2"/>
    <w:rsid w:val="00BA1E52"/>
    <w:rsid w:val="00BA2145"/>
    <w:rsid w:val="00BB5ABA"/>
    <w:rsid w:val="00BD6767"/>
    <w:rsid w:val="00BE0B1B"/>
    <w:rsid w:val="00C01A66"/>
    <w:rsid w:val="00C55060"/>
    <w:rsid w:val="00CB7761"/>
    <w:rsid w:val="00CC08BC"/>
    <w:rsid w:val="00CF5EEA"/>
    <w:rsid w:val="00D07EA9"/>
    <w:rsid w:val="00D10A55"/>
    <w:rsid w:val="00D14BB9"/>
    <w:rsid w:val="00D7328B"/>
    <w:rsid w:val="00DA39AB"/>
    <w:rsid w:val="00DD6D72"/>
    <w:rsid w:val="00E22FA2"/>
    <w:rsid w:val="00E5544D"/>
    <w:rsid w:val="00EA1225"/>
    <w:rsid w:val="00ED3F78"/>
    <w:rsid w:val="00F05521"/>
    <w:rsid w:val="00F62AFE"/>
    <w:rsid w:val="00FA069F"/>
    <w:rsid w:val="00FA5763"/>
    <w:rsid w:val="00FC3E02"/>
    <w:rsid w:val="00FD51BD"/>
    <w:rsid w:val="01847C8D"/>
    <w:rsid w:val="02C92423"/>
    <w:rsid w:val="03F63365"/>
    <w:rsid w:val="06065548"/>
    <w:rsid w:val="066A1827"/>
    <w:rsid w:val="06B409F8"/>
    <w:rsid w:val="06E4669D"/>
    <w:rsid w:val="07C53B03"/>
    <w:rsid w:val="09F441DB"/>
    <w:rsid w:val="0B2F31E8"/>
    <w:rsid w:val="0B651B02"/>
    <w:rsid w:val="0C8278CB"/>
    <w:rsid w:val="0F1C5055"/>
    <w:rsid w:val="0F2563F6"/>
    <w:rsid w:val="0FFF6611"/>
    <w:rsid w:val="10F46F4A"/>
    <w:rsid w:val="12972B11"/>
    <w:rsid w:val="17FD24FB"/>
    <w:rsid w:val="19026C4A"/>
    <w:rsid w:val="1A4E2659"/>
    <w:rsid w:val="1B5A7C65"/>
    <w:rsid w:val="1C5A78AA"/>
    <w:rsid w:val="1CC97DAF"/>
    <w:rsid w:val="1E246BB1"/>
    <w:rsid w:val="1E4C7D38"/>
    <w:rsid w:val="213C5E1A"/>
    <w:rsid w:val="226524D8"/>
    <w:rsid w:val="22DA285C"/>
    <w:rsid w:val="23026437"/>
    <w:rsid w:val="23773744"/>
    <w:rsid w:val="23F073B8"/>
    <w:rsid w:val="24D64800"/>
    <w:rsid w:val="251C199C"/>
    <w:rsid w:val="27B65440"/>
    <w:rsid w:val="27DA63B5"/>
    <w:rsid w:val="292D4B0E"/>
    <w:rsid w:val="29871042"/>
    <w:rsid w:val="2A0F0C69"/>
    <w:rsid w:val="2B2B6F28"/>
    <w:rsid w:val="2B5616C0"/>
    <w:rsid w:val="2B597A55"/>
    <w:rsid w:val="2BDD57F0"/>
    <w:rsid w:val="2D267485"/>
    <w:rsid w:val="2E2302F0"/>
    <w:rsid w:val="2E864E16"/>
    <w:rsid w:val="2F382E6E"/>
    <w:rsid w:val="2F921F74"/>
    <w:rsid w:val="309A0E56"/>
    <w:rsid w:val="325A7646"/>
    <w:rsid w:val="331007CE"/>
    <w:rsid w:val="35890D43"/>
    <w:rsid w:val="35EF2454"/>
    <w:rsid w:val="36537D6A"/>
    <w:rsid w:val="36A77100"/>
    <w:rsid w:val="37313B18"/>
    <w:rsid w:val="37AA59CF"/>
    <w:rsid w:val="3BEB0B2F"/>
    <w:rsid w:val="3D8E3A72"/>
    <w:rsid w:val="3E395633"/>
    <w:rsid w:val="3F067638"/>
    <w:rsid w:val="3FD15E98"/>
    <w:rsid w:val="41FC61A7"/>
    <w:rsid w:val="427A6160"/>
    <w:rsid w:val="42E45EE2"/>
    <w:rsid w:val="431A624E"/>
    <w:rsid w:val="43897C79"/>
    <w:rsid w:val="43F137B3"/>
    <w:rsid w:val="474F208F"/>
    <w:rsid w:val="476B6DA4"/>
    <w:rsid w:val="479C5910"/>
    <w:rsid w:val="47EF5C0D"/>
    <w:rsid w:val="4C341C88"/>
    <w:rsid w:val="4F805F4D"/>
    <w:rsid w:val="506618AC"/>
    <w:rsid w:val="508A1E29"/>
    <w:rsid w:val="50B66C5A"/>
    <w:rsid w:val="52033D21"/>
    <w:rsid w:val="53070C4B"/>
    <w:rsid w:val="534E3E61"/>
    <w:rsid w:val="538452A3"/>
    <w:rsid w:val="54040192"/>
    <w:rsid w:val="54071A30"/>
    <w:rsid w:val="541977FF"/>
    <w:rsid w:val="5669167D"/>
    <w:rsid w:val="56A900C8"/>
    <w:rsid w:val="57E207EA"/>
    <w:rsid w:val="585C7429"/>
    <w:rsid w:val="58690F0C"/>
    <w:rsid w:val="587E37BC"/>
    <w:rsid w:val="593373A2"/>
    <w:rsid w:val="595F4BE2"/>
    <w:rsid w:val="5AFC0468"/>
    <w:rsid w:val="5C124CEF"/>
    <w:rsid w:val="5C884F7D"/>
    <w:rsid w:val="5C8D581E"/>
    <w:rsid w:val="5CF64305"/>
    <w:rsid w:val="5E3D2C1E"/>
    <w:rsid w:val="5EAA09AA"/>
    <w:rsid w:val="5F85303B"/>
    <w:rsid w:val="60ED125E"/>
    <w:rsid w:val="61714686"/>
    <w:rsid w:val="636F67B5"/>
    <w:rsid w:val="63D23E09"/>
    <w:rsid w:val="64455110"/>
    <w:rsid w:val="64D771FD"/>
    <w:rsid w:val="65085512"/>
    <w:rsid w:val="662F72F1"/>
    <w:rsid w:val="68A22F85"/>
    <w:rsid w:val="6B316A07"/>
    <w:rsid w:val="6C482B28"/>
    <w:rsid w:val="6C8501A4"/>
    <w:rsid w:val="6F2227EF"/>
    <w:rsid w:val="6FA0200B"/>
    <w:rsid w:val="714F0EB4"/>
    <w:rsid w:val="71725299"/>
    <w:rsid w:val="71AD37BF"/>
    <w:rsid w:val="72115F01"/>
    <w:rsid w:val="723B5FB8"/>
    <w:rsid w:val="74E7523A"/>
    <w:rsid w:val="75475CD9"/>
    <w:rsid w:val="755E52C9"/>
    <w:rsid w:val="783A7399"/>
    <w:rsid w:val="78C446EE"/>
    <w:rsid w:val="7940316B"/>
    <w:rsid w:val="7A0F7511"/>
    <w:rsid w:val="7A27440F"/>
    <w:rsid w:val="7A510A91"/>
    <w:rsid w:val="7A7A7281"/>
    <w:rsid w:val="7ACB7736"/>
    <w:rsid w:val="7BA52261"/>
    <w:rsid w:val="7BA73965"/>
    <w:rsid w:val="7E997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iPriority="99" w:semiHidden="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9"/>
    <w:pPr>
      <w:keepNext/>
      <w:spacing w:before="80" w:after="80"/>
      <w:textAlignment w:val="baseline"/>
      <w:outlineLvl w:val="3"/>
    </w:pPr>
    <w:rPr>
      <w:rFonts w:ascii="Arial" w:hAnsi="Arial" w:eastAsia="黑体" w:cs="Arial"/>
      <w:bCs/>
      <w:color w:val="800000"/>
      <w:szCs w:val="22"/>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3">
    <w:name w:val="Normal Indent"/>
    <w:basedOn w:val="1"/>
    <w:next w:val="1"/>
    <w:qFormat/>
    <w:uiPriority w:val="0"/>
    <w:pPr>
      <w:adjustRightInd w:val="0"/>
      <w:ind w:firstLine="420"/>
      <w:jc w:val="left"/>
      <w:textAlignment w:val="baseline"/>
    </w:pPr>
    <w:rPr>
      <w:rFonts w:eastAsia="楷体_GB2312"/>
      <w:sz w:val="28"/>
      <w:szCs w:val="20"/>
    </w:rPr>
  </w:style>
  <w:style w:type="paragraph" w:styleId="4">
    <w:name w:val="annotation text"/>
    <w:basedOn w:val="1"/>
    <w:link w:val="21"/>
    <w:qFormat/>
    <w:uiPriority w:val="0"/>
    <w:pPr>
      <w:jc w:val="left"/>
    </w:pPr>
  </w:style>
  <w:style w:type="paragraph" w:styleId="5">
    <w:name w:val="Body Text"/>
    <w:basedOn w:val="1"/>
    <w:next w:val="3"/>
    <w:qFormat/>
    <w:uiPriority w:val="0"/>
  </w:style>
  <w:style w:type="paragraph" w:styleId="6">
    <w:name w:val="Block Text"/>
    <w:basedOn w:val="1"/>
    <w:qFormat/>
    <w:uiPriority w:val="99"/>
    <w:pPr>
      <w:spacing w:after="120"/>
      <w:ind w:left="1440" w:leftChars="700" w:right="1440" w:rightChars="700"/>
    </w:pPr>
    <w:rPr>
      <w:rFonts w:ascii="Calibri" w:hAnsi="Calibri"/>
      <w:szCs w:val="22"/>
    </w:rPr>
  </w:style>
  <w:style w:type="paragraph" w:styleId="7">
    <w:name w:val="index 4"/>
    <w:basedOn w:val="1"/>
    <w:next w:val="1"/>
    <w:unhideWhenUsed/>
    <w:qFormat/>
    <w:uiPriority w:val="99"/>
    <w:pPr>
      <w:ind w:left="600" w:leftChars="600"/>
    </w:pPr>
    <w:rPr>
      <w:rFonts w:ascii="Verdana" w:hAnsi="Verdana"/>
      <w:szCs w:val="20"/>
    </w:rPr>
  </w:style>
  <w:style w:type="paragraph" w:styleId="8">
    <w:name w:val="Balloon Text"/>
    <w:basedOn w:val="1"/>
    <w:link w:val="19"/>
    <w:qFormat/>
    <w:uiPriority w:val="0"/>
    <w:rPr>
      <w:sz w:val="18"/>
      <w:szCs w:val="18"/>
    </w:rPr>
  </w:style>
  <w:style w:type="paragraph" w:styleId="9">
    <w:name w:val="footer"/>
    <w:basedOn w:val="1"/>
    <w:link w:val="17"/>
    <w:qFormat/>
    <w:uiPriority w:val="0"/>
    <w:pPr>
      <w:tabs>
        <w:tab w:val="center" w:pos="4153"/>
        <w:tab w:val="right" w:pos="8306"/>
      </w:tabs>
      <w:snapToGrid w:val="0"/>
      <w:jc w:val="left"/>
    </w:pPr>
    <w:rPr>
      <w:sz w:val="18"/>
      <w:szCs w:val="18"/>
    </w:rPr>
  </w:style>
  <w:style w:type="paragraph" w:styleId="10">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1">
    <w:name w:val="annotation subject"/>
    <w:basedOn w:val="4"/>
    <w:next w:val="4"/>
    <w:link w:val="22"/>
    <w:qFormat/>
    <w:uiPriority w:val="0"/>
    <w:rPr>
      <w:b/>
      <w:bCs/>
    </w:rPr>
  </w:style>
  <w:style w:type="character" w:styleId="14">
    <w:name w:val="annotation reference"/>
    <w:basedOn w:val="13"/>
    <w:qFormat/>
    <w:uiPriority w:val="0"/>
    <w:rPr>
      <w:sz w:val="21"/>
      <w:szCs w:val="21"/>
    </w:rPr>
  </w:style>
  <w:style w:type="paragraph" w:customStyle="1" w:styleId="15">
    <w:name w:val="列出段落2"/>
    <w:basedOn w:val="1"/>
    <w:qFormat/>
    <w:uiPriority w:val="0"/>
    <w:pPr>
      <w:ind w:firstLine="420" w:firstLineChars="200"/>
    </w:pPr>
    <w:rPr>
      <w:rFonts w:ascii="Calibri" w:hAnsi="Calibri"/>
      <w:szCs w:val="21"/>
    </w:rPr>
  </w:style>
  <w:style w:type="character" w:customStyle="1" w:styleId="16">
    <w:name w:val="页眉 字符"/>
    <w:basedOn w:val="13"/>
    <w:link w:val="10"/>
    <w:qFormat/>
    <w:uiPriority w:val="0"/>
    <w:rPr>
      <w:kern w:val="2"/>
      <w:sz w:val="18"/>
      <w:szCs w:val="18"/>
    </w:rPr>
  </w:style>
  <w:style w:type="character" w:customStyle="1" w:styleId="17">
    <w:name w:val="页脚 字符"/>
    <w:basedOn w:val="13"/>
    <w:link w:val="9"/>
    <w:qFormat/>
    <w:uiPriority w:val="0"/>
    <w:rPr>
      <w:kern w:val="2"/>
      <w:sz w:val="18"/>
      <w:szCs w:val="18"/>
    </w:rPr>
  </w:style>
  <w:style w:type="paragraph" w:customStyle="1" w:styleId="18">
    <w:name w:val="列出段落1"/>
    <w:basedOn w:val="1"/>
    <w:qFormat/>
    <w:uiPriority w:val="34"/>
    <w:pPr>
      <w:ind w:firstLine="420" w:firstLineChars="200"/>
    </w:pPr>
    <w:rPr>
      <w:rFonts w:asciiTheme="minorHAnsi" w:hAnsiTheme="minorHAnsi" w:eastAsiaTheme="minorEastAsia" w:cstheme="minorBidi"/>
      <w:szCs w:val="22"/>
    </w:rPr>
  </w:style>
  <w:style w:type="character" w:customStyle="1" w:styleId="19">
    <w:name w:val="批注框文本 字符"/>
    <w:basedOn w:val="13"/>
    <w:link w:val="8"/>
    <w:qFormat/>
    <w:uiPriority w:val="0"/>
    <w:rPr>
      <w:kern w:val="2"/>
      <w:sz w:val="18"/>
      <w:szCs w:val="18"/>
    </w:rPr>
  </w:style>
  <w:style w:type="paragraph" w:customStyle="1" w:styleId="20">
    <w:name w:val="列表段落1"/>
    <w:basedOn w:val="1"/>
    <w:qFormat/>
    <w:uiPriority w:val="34"/>
    <w:pPr>
      <w:ind w:firstLine="420" w:firstLineChars="200"/>
    </w:pPr>
    <w:rPr>
      <w:rFonts w:ascii="Calibri" w:hAnsi="Calibri" w:cs="黑体"/>
      <w:szCs w:val="22"/>
    </w:rPr>
  </w:style>
  <w:style w:type="character" w:customStyle="1" w:styleId="21">
    <w:name w:val="批注文字 字符"/>
    <w:basedOn w:val="13"/>
    <w:link w:val="4"/>
    <w:qFormat/>
    <w:uiPriority w:val="0"/>
    <w:rPr>
      <w:kern w:val="2"/>
      <w:sz w:val="21"/>
      <w:szCs w:val="24"/>
    </w:rPr>
  </w:style>
  <w:style w:type="character" w:customStyle="1" w:styleId="22">
    <w:name w:val="批注主题 字符"/>
    <w:basedOn w:val="21"/>
    <w:link w:val="11"/>
    <w:qFormat/>
    <w:uiPriority w:val="0"/>
    <w:rPr>
      <w:b/>
      <w:bCs/>
      <w:kern w:val="2"/>
      <w:sz w:val="21"/>
      <w:szCs w:val="24"/>
    </w:rPr>
  </w:style>
  <w:style w:type="paragraph" w:customStyle="1" w:styleId="23">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4">
    <w:name w:val="方案表格"/>
    <w:basedOn w:val="1"/>
    <w:qFormat/>
    <w:uiPriority w:val="0"/>
    <w:pPr>
      <w:adjustRightInd w:val="0"/>
      <w:snapToGrid w:val="0"/>
      <w:contextualSpacing/>
    </w:pPr>
    <w:rPr>
      <w:szCs w:val="21"/>
    </w:rPr>
  </w:style>
  <w:style w:type="paragraph" w:styleId="25">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9046</Words>
  <Characters>349</Characters>
  <Lines>2</Lines>
  <Paragraphs>18</Paragraphs>
  <TotalTime>181</TotalTime>
  <ScaleCrop>false</ScaleCrop>
  <LinksUpToDate>false</LinksUpToDate>
  <CharactersWithSpaces>9377</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2023-12-05T08:54:00Z</dcterms:created>
  <dc:creator>Administrator</dc:creator>
  <cp:lastModifiedBy>zy</cp:lastModifiedBy>
  <dcterms:modified xsi:type="dcterms:W3CDTF">2023-12-26T08:25:22Z</dcterms:modified>
  <dc:title>国家税务总局南京市税务局</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29CE4DA7602E4DD7BDC884A646D1C494_13</vt:lpwstr>
  </property>
</Properties>
</file>