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宋体" w:hAnsi="宋体" w:eastAsia="宋体" w:cs="Times New Roman"/>
          <w:b/>
          <w:bCs/>
          <w:color w:val="000000" w:themeColor="text1"/>
          <w:szCs w:val="21"/>
          <w14:textFill>
            <w14:solidFill>
              <w14:schemeClr w14:val="tx1"/>
            </w14:solidFill>
          </w14:textFill>
        </w:rPr>
      </w:pPr>
      <w:r>
        <w:rPr>
          <w:rFonts w:hint="eastAsia" w:ascii="宋体" w:hAnsi="宋体" w:eastAsia="宋体" w:cs="Times New Roman"/>
          <w:b/>
          <w:bCs/>
          <w:color w:val="000000" w:themeColor="text1"/>
          <w:szCs w:val="21"/>
          <w14:textFill>
            <w14:solidFill>
              <w14:schemeClr w14:val="tx1"/>
            </w14:solidFill>
          </w14:textFill>
        </w:rPr>
        <w:t>附件一</w:t>
      </w:r>
    </w:p>
    <w:p>
      <w:pPr>
        <w:spacing w:before="240" w:after="60" w:line="400" w:lineRule="exact"/>
        <w:jc w:val="center"/>
        <w:outlineLvl w:val="0"/>
        <w:rPr>
          <w:rFonts w:ascii="宋体" w:hAnsi="宋体" w:eastAsia="宋体" w:cs="Arial"/>
          <w:color w:val="000000" w:themeColor="text1"/>
          <w:kern w:val="0"/>
          <w:sz w:val="32"/>
          <w:szCs w:val="32"/>
          <w14:textFill>
            <w14:solidFill>
              <w14:schemeClr w14:val="tx1"/>
            </w14:solidFill>
          </w14:textFill>
        </w:rPr>
      </w:pPr>
      <w:bookmarkStart w:id="0" w:name="_Toc420497838"/>
      <w:bookmarkStart w:id="1" w:name="_Toc363487552"/>
      <w:r>
        <w:rPr>
          <w:rFonts w:hint="eastAsia" w:ascii="Arial" w:hAnsi="Arial" w:eastAsia="宋体" w:cs="Arial"/>
          <w:b/>
          <w:bCs/>
          <w:color w:val="000000" w:themeColor="text1"/>
          <w:kern w:val="0"/>
          <w:sz w:val="32"/>
          <w:szCs w:val="32"/>
          <w14:textFill>
            <w14:solidFill>
              <w14:schemeClr w14:val="tx1"/>
            </w14:solidFill>
          </w14:textFill>
        </w:rPr>
        <w:t xml:space="preserve">  采购内容及要求</w:t>
      </w:r>
      <w:bookmarkStart w:id="2" w:name="_Ref314676480"/>
      <w:bookmarkEnd w:id="2"/>
    </w:p>
    <w:p>
      <w:pPr>
        <w:spacing w:line="360" w:lineRule="auto"/>
        <w:ind w:firstLine="420" w:firstLineChars="200"/>
        <w:rPr>
          <w:rFonts w:asciiTheme="minorEastAsia" w:hAnsiTheme="minorEastAsia" w:cstheme="minorEastAsia"/>
          <w:color w:val="000000" w:themeColor="text1"/>
          <w:szCs w:val="21"/>
          <w14:textFill>
            <w14:solidFill>
              <w14:schemeClr w14:val="tx1"/>
            </w14:solidFill>
          </w14:textFill>
        </w:rPr>
      </w:pPr>
    </w:p>
    <w:p>
      <w:pPr>
        <w:spacing w:line="360" w:lineRule="auto"/>
        <w:ind w:firstLine="431" w:firstLineChars="196"/>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1. 本项目为康居物业员工团体意外险保险业务招标筛选合格承保机构一名。</w:t>
      </w:r>
    </w:p>
    <w:p>
      <w:pPr>
        <w:spacing w:line="360" w:lineRule="auto"/>
        <w:ind w:firstLine="431" w:firstLineChars="196"/>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2. 投标人必须对项目内所有内容进行投标，不允许只对其中部分内容进行</w:t>
      </w:r>
      <w:r>
        <w:rPr>
          <w:rFonts w:hint="eastAsia" w:ascii="宋体" w:hAnsi="宋体"/>
          <w:bCs/>
          <w:color w:val="000000" w:themeColor="text1"/>
          <w:sz w:val="22"/>
          <w:lang w:val="en-US" w:eastAsia="zh-CN"/>
          <w14:textFill>
            <w14:solidFill>
              <w14:schemeClr w14:val="tx1"/>
            </w14:solidFill>
          </w14:textFill>
        </w:rPr>
        <w:t>报价</w:t>
      </w:r>
      <w:bookmarkStart w:id="3" w:name="_GoBack"/>
      <w:bookmarkEnd w:id="3"/>
      <w:r>
        <w:rPr>
          <w:rFonts w:hint="eastAsia" w:ascii="宋体" w:hAnsi="宋体"/>
          <w:bCs/>
          <w:color w:val="000000" w:themeColor="text1"/>
          <w:sz w:val="22"/>
          <w14:textFill>
            <w14:solidFill>
              <w14:schemeClr w14:val="tx1"/>
            </w14:solidFill>
          </w14:textFill>
        </w:rPr>
        <w:t>。</w:t>
      </w:r>
    </w:p>
    <w:p>
      <w:pPr>
        <w:spacing w:line="360" w:lineRule="auto"/>
        <w:ind w:firstLine="431" w:firstLineChars="196"/>
        <w:rPr>
          <w:rFonts w:hint="eastAsia"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3. 承保期限：一年.</w:t>
      </w:r>
    </w:p>
    <w:p>
      <w:pPr>
        <w:spacing w:line="360" w:lineRule="auto"/>
        <w:ind w:firstLine="431" w:firstLineChars="196"/>
        <w:rPr>
          <w:rFonts w:hint="default" w:ascii="宋体" w:hAnsi="宋体" w:eastAsiaTheme="minorEastAsia"/>
          <w:bCs/>
          <w:color w:val="000000" w:themeColor="text1"/>
          <w:sz w:val="22"/>
          <w:lang w:val="en-US" w:eastAsia="zh-CN"/>
          <w14:textFill>
            <w14:solidFill>
              <w14:schemeClr w14:val="tx1"/>
            </w14:solidFill>
          </w14:textFill>
        </w:rPr>
      </w:pPr>
      <w:r>
        <w:rPr>
          <w:rFonts w:hint="eastAsia" w:ascii="宋体" w:hAnsi="宋体"/>
          <w:bCs/>
          <w:color w:val="000000" w:themeColor="text1"/>
          <w:sz w:val="22"/>
          <w:highlight w:val="none"/>
          <w:lang w:val="en-US" w:eastAsia="zh-CN"/>
          <w14:textFill>
            <w14:solidFill>
              <w14:schemeClr w14:val="tx1"/>
            </w14:solidFill>
          </w14:textFill>
        </w:rPr>
        <w:t xml:space="preserve">4.被保险人员：正式职工、临时工（16周岁（含）-75周岁（含））   </w:t>
      </w:r>
    </w:p>
    <w:p>
      <w:pPr>
        <w:spacing w:line="360" w:lineRule="auto"/>
        <w:ind w:firstLine="431" w:firstLineChars="196"/>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lang w:val="en-US" w:eastAsia="zh-CN"/>
          <w14:textFill>
            <w14:solidFill>
              <w14:schemeClr w14:val="tx1"/>
            </w14:solidFill>
          </w14:textFill>
        </w:rPr>
        <w:t>5</w:t>
      </w:r>
      <w:r>
        <w:rPr>
          <w:rFonts w:hint="eastAsia" w:ascii="宋体" w:hAnsi="宋体"/>
          <w:bCs/>
          <w:color w:val="000000" w:themeColor="text1"/>
          <w:sz w:val="22"/>
          <w14:textFill>
            <w14:solidFill>
              <w14:schemeClr w14:val="tx1"/>
            </w14:solidFill>
          </w14:textFill>
        </w:rPr>
        <w:t>.保险内容：</w:t>
      </w:r>
    </w:p>
    <w:p>
      <w:pPr>
        <w:spacing w:line="360" w:lineRule="auto"/>
        <w:ind w:firstLine="431" w:firstLineChars="196"/>
        <w:rPr>
          <w:rFonts w:ascii="宋体" w:hAnsi="宋体" w:eastAsia="宋体" w:cs="Times New Roman"/>
          <w:bCs/>
          <w:color w:val="000000" w:themeColor="text1"/>
          <w:sz w:val="22"/>
          <w14:textFill>
            <w14:solidFill>
              <w14:schemeClr w14:val="tx1"/>
            </w14:solidFill>
          </w14:textFill>
        </w:rPr>
      </w:pPr>
      <w:r>
        <w:rPr>
          <w:rFonts w:hint="eastAsia" w:ascii="宋体" w:hAnsi="宋体" w:eastAsia="宋体" w:cs="Times New Roman"/>
          <w:bCs/>
          <w:color w:val="000000" w:themeColor="text1"/>
          <w:sz w:val="22"/>
          <w14:textFill>
            <w14:solidFill>
              <w14:schemeClr w14:val="tx1"/>
            </w14:solidFill>
          </w14:textFill>
        </w:rPr>
        <w:t>保障险种：</w:t>
      </w:r>
      <w:r>
        <w:rPr>
          <w:rFonts w:hint="eastAsia" w:ascii="宋体" w:hAnsi="宋体" w:eastAsia="宋体" w:cs="Times New Roman"/>
          <w:bCs/>
          <w:color w:val="000000" w:themeColor="text1"/>
          <w:sz w:val="22"/>
          <w:lang w:eastAsia="zh-CN"/>
          <w14:textFill>
            <w14:solidFill>
              <w14:schemeClr w14:val="tx1"/>
            </w14:solidFill>
          </w14:textFill>
        </w:rPr>
        <w:t>团体</w:t>
      </w:r>
      <w:r>
        <w:rPr>
          <w:rFonts w:hint="eastAsia" w:ascii="宋体" w:hAnsi="宋体" w:eastAsia="宋体" w:cs="Times New Roman"/>
          <w:bCs/>
          <w:color w:val="000000" w:themeColor="text1"/>
          <w:sz w:val="22"/>
          <w14:textFill>
            <w14:solidFill>
              <w14:schemeClr w14:val="tx1"/>
            </w14:solidFill>
          </w14:textFill>
        </w:rPr>
        <w:t>意外伤害保险（扩展新冠肺炎责任）及附加意外医疗保险(扩展丙类)、附加突发急性病身故保险、附加意外住院津贴保险</w:t>
      </w:r>
    </w:p>
    <w:tbl>
      <w:tblPr>
        <w:tblStyle w:val="4"/>
        <w:tblW w:w="8880" w:type="dxa"/>
        <w:tblInd w:w="0" w:type="dxa"/>
        <w:tblLayout w:type="fixed"/>
        <w:tblCellMar>
          <w:top w:w="15" w:type="dxa"/>
          <w:left w:w="15" w:type="dxa"/>
          <w:bottom w:w="15" w:type="dxa"/>
          <w:right w:w="15" w:type="dxa"/>
        </w:tblCellMar>
      </w:tblPr>
      <w:tblGrid>
        <w:gridCol w:w="2970"/>
        <w:gridCol w:w="1543"/>
        <w:gridCol w:w="4367"/>
      </w:tblGrid>
      <w:tr>
        <w:tblPrEx>
          <w:tblCellMar>
            <w:top w:w="15" w:type="dxa"/>
            <w:left w:w="15" w:type="dxa"/>
            <w:bottom w:w="15" w:type="dxa"/>
            <w:right w:w="15" w:type="dxa"/>
          </w:tblCellMar>
        </w:tblPrEx>
        <w:trPr>
          <w:trHeight w:val="44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保险责任</w:t>
            </w:r>
          </w:p>
        </w:tc>
        <w:tc>
          <w:tcPr>
            <w:tcW w:w="1543" w:type="dxa"/>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保额/人</w:t>
            </w:r>
          </w:p>
        </w:tc>
        <w:tc>
          <w:tcPr>
            <w:tcW w:w="4367" w:type="dxa"/>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说明</w:t>
            </w:r>
          </w:p>
        </w:tc>
      </w:tr>
      <w:tr>
        <w:tblPrEx>
          <w:tblCellMar>
            <w:top w:w="15" w:type="dxa"/>
            <w:left w:w="15" w:type="dxa"/>
            <w:bottom w:w="15" w:type="dxa"/>
            <w:right w:w="15" w:type="dxa"/>
          </w:tblCellMar>
        </w:tblPrEx>
        <w:trPr>
          <w:trHeight w:val="685" w:hRule="atLeast"/>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1、新冠确诊保险金</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10000元</w:t>
            </w:r>
          </w:p>
        </w:tc>
        <w:tc>
          <w:tcPr>
            <w:tcW w:w="4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 经医院确诊新冠肺炎，给付确诊金</w:t>
            </w:r>
          </w:p>
        </w:tc>
      </w:tr>
      <w:tr>
        <w:tblPrEx>
          <w:tblCellMar>
            <w:top w:w="15" w:type="dxa"/>
            <w:left w:w="15" w:type="dxa"/>
            <w:bottom w:w="15" w:type="dxa"/>
            <w:right w:w="15" w:type="dxa"/>
          </w:tblCellMar>
        </w:tblPrEx>
        <w:trPr>
          <w:trHeight w:val="485" w:hRule="atLeast"/>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2、意外身故/意外伤残</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100000元</w:t>
            </w:r>
          </w:p>
        </w:tc>
        <w:tc>
          <w:tcPr>
            <w:tcW w:w="4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 残疾参照行业标准1-10级281项比例给付，扩 展新冠肺炎导致的身故与残疾</w:t>
            </w:r>
            <w:r>
              <w:rPr>
                <w:rFonts w:hint="eastAsia" w:ascii="宋体" w:hAnsi="宋体" w:eastAsia="宋体" w:cs="宋体"/>
                <w:color w:val="000000" w:themeColor="text1"/>
                <w:kern w:val="0"/>
                <w:szCs w:val="21"/>
                <w:lang w:eastAsia="zh-CN"/>
                <w14:textFill>
                  <w14:solidFill>
                    <w14:schemeClr w14:val="tx1"/>
                  </w14:solidFill>
                </w14:textFill>
              </w:rPr>
              <w:t>责任。</w:t>
            </w:r>
          </w:p>
        </w:tc>
      </w:tr>
      <w:tr>
        <w:tblPrEx>
          <w:tblCellMar>
            <w:top w:w="15" w:type="dxa"/>
            <w:left w:w="15" w:type="dxa"/>
            <w:bottom w:w="15" w:type="dxa"/>
            <w:right w:w="15" w:type="dxa"/>
          </w:tblCellMar>
        </w:tblPrEx>
        <w:trPr>
          <w:trHeight w:val="570" w:hRule="atLeast"/>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3</w:t>
            </w:r>
            <w:r>
              <w:rPr>
                <w:rFonts w:hint="eastAsia" w:ascii="宋体" w:hAnsi="宋体" w:eastAsia="宋体" w:cs="宋体"/>
                <w:color w:val="000000" w:themeColor="text1"/>
                <w:kern w:val="0"/>
                <w:sz w:val="22"/>
                <w14:textFill>
                  <w14:solidFill>
                    <w14:schemeClr w14:val="tx1"/>
                  </w14:solidFill>
                </w14:textFill>
              </w:rPr>
              <w:t>、突发急性病身故</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30000元</w:t>
            </w:r>
          </w:p>
        </w:tc>
        <w:tc>
          <w:tcPr>
            <w:tcW w:w="4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 急性病发病之日起10天内</w:t>
            </w:r>
          </w:p>
        </w:tc>
      </w:tr>
      <w:tr>
        <w:tblPrEx>
          <w:tblCellMar>
            <w:top w:w="15" w:type="dxa"/>
            <w:left w:w="15" w:type="dxa"/>
            <w:bottom w:w="15" w:type="dxa"/>
            <w:right w:w="15" w:type="dxa"/>
          </w:tblCellMar>
        </w:tblPrEx>
        <w:trPr>
          <w:trHeight w:val="425" w:hRule="atLeast"/>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4</w:t>
            </w:r>
            <w:r>
              <w:rPr>
                <w:rFonts w:hint="eastAsia" w:ascii="宋体" w:hAnsi="宋体" w:eastAsia="宋体" w:cs="宋体"/>
                <w:color w:val="000000" w:themeColor="text1"/>
                <w:kern w:val="0"/>
                <w:sz w:val="22"/>
                <w14:textFill>
                  <w14:solidFill>
                    <w14:schemeClr w14:val="tx1"/>
                  </w14:solidFill>
                </w14:textFill>
              </w:rPr>
              <w:t>、意外医疗</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10000元</w:t>
            </w:r>
          </w:p>
        </w:tc>
        <w:tc>
          <w:tcPr>
            <w:tcW w:w="4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 0免赔，100%赔付（扩展</w:t>
            </w:r>
            <w:r>
              <w:rPr>
                <w:rFonts w:hint="eastAsia" w:ascii="宋体" w:hAnsi="宋体" w:eastAsia="宋体" w:cs="宋体"/>
                <w:color w:val="000000" w:themeColor="text1"/>
                <w:kern w:val="0"/>
                <w:szCs w:val="21"/>
                <w:lang w:eastAsia="zh-CN"/>
                <w14:textFill>
                  <w14:solidFill>
                    <w14:schemeClr w14:val="tx1"/>
                  </w14:solidFill>
                </w14:textFill>
              </w:rPr>
              <w:t>乙类、</w:t>
            </w:r>
            <w:r>
              <w:rPr>
                <w:rFonts w:hint="eastAsia" w:ascii="宋体" w:hAnsi="宋体" w:eastAsia="宋体" w:cs="宋体"/>
                <w:color w:val="000000" w:themeColor="text1"/>
                <w:kern w:val="0"/>
                <w:szCs w:val="21"/>
                <w14:textFill>
                  <w14:solidFill>
                    <w14:schemeClr w14:val="tx1"/>
                  </w14:solidFill>
                </w14:textFill>
              </w:rPr>
              <w:t>丙类药100%）</w:t>
            </w:r>
          </w:p>
        </w:tc>
      </w:tr>
      <w:tr>
        <w:tblPrEx>
          <w:tblCellMar>
            <w:top w:w="15" w:type="dxa"/>
            <w:left w:w="15" w:type="dxa"/>
            <w:bottom w:w="15" w:type="dxa"/>
            <w:right w:w="15" w:type="dxa"/>
          </w:tblCellMar>
        </w:tblPrEx>
        <w:trPr>
          <w:trHeight w:val="470" w:hRule="atLeast"/>
        </w:trPr>
        <w:tc>
          <w:tcPr>
            <w:tcW w:w="29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5</w:t>
            </w:r>
            <w:r>
              <w:rPr>
                <w:rFonts w:hint="eastAsia" w:ascii="宋体" w:hAnsi="宋体" w:eastAsia="宋体" w:cs="宋体"/>
                <w:color w:val="000000" w:themeColor="text1"/>
                <w:kern w:val="0"/>
                <w:sz w:val="22"/>
                <w14:textFill>
                  <w14:solidFill>
                    <w14:schemeClr w14:val="tx1"/>
                  </w14:solidFill>
                </w14:textFill>
              </w:rPr>
              <w:t>、意外住院津贴</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50元/天</w:t>
            </w:r>
          </w:p>
        </w:tc>
        <w:tc>
          <w:tcPr>
            <w:tcW w:w="4367" w:type="dxa"/>
            <w:tcBorders>
              <w:top w:val="single" w:color="000000" w:sz="4" w:space="0"/>
              <w:left w:val="single" w:color="000000" w:sz="4" w:space="0"/>
              <w:bottom w:val="single" w:color="000000" w:sz="4" w:space="0"/>
              <w:right w:val="single" w:color="000000" w:sz="4" w:space="0"/>
            </w:tcBorders>
            <w:vAlign w:val="center"/>
          </w:tcPr>
          <w:p>
            <w:pPr>
              <w:widowControl w:val="0"/>
              <w:spacing w:beforeLines="0" w:afterLines="0"/>
              <w:jc w:val="left"/>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 最高180天</w:t>
            </w:r>
            <w:r>
              <w:rPr>
                <w:rFonts w:hint="eastAsia" w:ascii="宋体" w:hAnsi="宋体" w:eastAsia="宋体" w:cs="宋体"/>
                <w:color w:val="000000" w:themeColor="text1"/>
                <w:kern w:val="0"/>
                <w:szCs w:val="21"/>
                <w:lang w:eastAsia="zh-CN"/>
                <w14:textFill>
                  <w14:solidFill>
                    <w14:schemeClr w14:val="tx1"/>
                  </w14:solidFill>
                </w14:textFill>
              </w:rPr>
              <w:t>，含</w:t>
            </w:r>
            <w:r>
              <w:rPr>
                <w:rFonts w:hint="eastAsia" w:ascii="宋体" w:hAnsi="宋体" w:eastAsia="宋体"/>
                <w:color w:val="000000" w:themeColor="text1"/>
                <w:sz w:val="21"/>
                <w14:textFill>
                  <w14:solidFill>
                    <w14:schemeClr w14:val="tx1"/>
                  </w14:solidFill>
                </w14:textFill>
              </w:rPr>
              <w:t>重症监护病房津贴</w:t>
            </w:r>
            <w:r>
              <w:rPr>
                <w:rFonts w:hint="eastAsia" w:ascii="宋体" w:hAnsi="宋体" w:eastAsia="宋体"/>
                <w:color w:val="000000" w:themeColor="text1"/>
                <w:sz w:val="21"/>
                <w:lang w:eastAsia="zh-CN"/>
                <w14:textFill>
                  <w14:solidFill>
                    <w14:schemeClr w14:val="tx1"/>
                  </w14:solidFill>
                </w14:textFill>
              </w:rPr>
              <w:t>责任，最高</w:t>
            </w:r>
            <w:r>
              <w:rPr>
                <w:rFonts w:hint="eastAsia" w:ascii="宋体" w:hAnsi="宋体" w:eastAsia="宋体"/>
                <w:color w:val="000000" w:themeColor="text1"/>
                <w:sz w:val="21"/>
                <w:lang w:val="en-US" w:eastAsia="zh-CN"/>
                <w14:textFill>
                  <w14:solidFill>
                    <w14:schemeClr w14:val="tx1"/>
                  </w14:solidFill>
                </w14:textFill>
              </w:rPr>
              <w:t>30天</w:t>
            </w:r>
            <w:r>
              <w:rPr>
                <w:rFonts w:hint="eastAsia" w:ascii="宋体" w:hAnsi="宋体" w:eastAsia="宋体"/>
                <w:color w:val="000000" w:themeColor="text1"/>
                <w:sz w:val="21"/>
                <w:lang w:eastAsia="zh-CN"/>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经医院确诊新冠肺炎并导致住院治疗，可适用于重症住院津贴保险金责任，最高30天</w:t>
            </w:r>
          </w:p>
        </w:tc>
      </w:tr>
      <w:tr>
        <w:tblPrEx>
          <w:tblCellMar>
            <w:top w:w="15" w:type="dxa"/>
            <w:left w:w="15" w:type="dxa"/>
            <w:bottom w:w="15" w:type="dxa"/>
            <w:right w:w="15" w:type="dxa"/>
          </w:tblCellMar>
        </w:tblPrEx>
        <w:trPr>
          <w:trHeight w:val="1104" w:hRule="atLeast"/>
        </w:trPr>
        <w:tc>
          <w:tcPr>
            <w:tcW w:w="88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意外残疾参照行业标准，以《人身保险伤残评定标准》为鉴定标准；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给付比例1-10级依次为保额的100% 90% 80% 70% 60% 50% 40% 30% 20% 10%</w:t>
            </w:r>
          </w:p>
        </w:tc>
      </w:tr>
    </w:tbl>
    <w:p>
      <w:pPr>
        <w:spacing w:line="360" w:lineRule="auto"/>
        <w:ind w:firstLine="431" w:firstLineChars="196"/>
        <w:rPr>
          <w:rFonts w:ascii="宋体" w:hAnsi="宋体"/>
          <w:bCs/>
          <w:color w:val="000000" w:themeColor="text1"/>
          <w:sz w:val="22"/>
          <w14:textFill>
            <w14:solidFill>
              <w14:schemeClr w14:val="tx1"/>
            </w14:solidFill>
          </w14:textFill>
        </w:rPr>
      </w:pPr>
      <w:r>
        <w:rPr>
          <w:rFonts w:hint="eastAsia" w:ascii="宋体" w:hAnsi="宋体" w:eastAsia="宋体" w:cs="Times New Roman"/>
          <w:bCs/>
          <w:color w:val="000000" w:themeColor="text1"/>
          <w:sz w:val="22"/>
          <w14:textFill>
            <w14:solidFill>
              <w14:schemeClr w14:val="tx1"/>
            </w14:solidFill>
          </w14:textFill>
        </w:rPr>
        <w:t>员工职业：（1-4类）行政、厨师、清洁、车管、绿化养护、管理、监控、保安、电工</w:t>
      </w:r>
      <w:r>
        <w:rPr>
          <w:rFonts w:hint="eastAsia" w:ascii="宋体" w:hAnsi="宋体"/>
          <w:bCs/>
          <w:color w:val="000000" w:themeColor="text1"/>
          <w:sz w:val="22"/>
          <w14:textFill>
            <w14:solidFill>
              <w14:schemeClr w14:val="tx1"/>
            </w14:solidFill>
          </w14:textFill>
        </w:rPr>
        <w:t>。</w:t>
      </w:r>
    </w:p>
    <w:p>
      <w:pPr>
        <w:spacing w:line="360" w:lineRule="auto"/>
        <w:ind w:firstLine="433" w:firstLineChars="196"/>
        <w:rPr>
          <w:rFonts w:ascii="宋体" w:hAnsi="宋体"/>
          <w:b/>
          <w:color w:val="000000" w:themeColor="text1"/>
          <w:sz w:val="22"/>
          <w14:textFill>
            <w14:solidFill>
              <w14:schemeClr w14:val="tx1"/>
            </w14:solidFill>
          </w14:textFill>
        </w:rPr>
      </w:pPr>
      <w:r>
        <w:rPr>
          <w:rFonts w:hint="eastAsia" w:ascii="宋体" w:hAnsi="宋体"/>
          <w:b/>
          <w:color w:val="000000" w:themeColor="text1"/>
          <w:sz w:val="22"/>
          <w:lang w:val="en-US" w:eastAsia="zh-CN"/>
          <w14:textFill>
            <w14:solidFill>
              <w14:schemeClr w14:val="tx1"/>
            </w14:solidFill>
          </w14:textFill>
        </w:rPr>
        <w:t>6</w:t>
      </w:r>
      <w:r>
        <w:rPr>
          <w:rFonts w:hint="eastAsia" w:ascii="宋体" w:hAnsi="宋体"/>
          <w:b/>
          <w:color w:val="000000" w:themeColor="text1"/>
          <w:sz w:val="22"/>
          <w14:textFill>
            <w14:solidFill>
              <w14:schemeClr w14:val="tx1"/>
            </w14:solidFill>
          </w14:textFill>
        </w:rPr>
        <w:t>.理赔服务</w:t>
      </w:r>
    </w:p>
    <w:p>
      <w:pPr>
        <w:spacing w:line="360" w:lineRule="auto"/>
        <w:ind w:firstLine="431" w:firstLineChars="196"/>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lang w:val="en-US" w:eastAsia="zh-CN"/>
          <w14:textFill>
            <w14:solidFill>
              <w14:schemeClr w14:val="tx1"/>
            </w14:solidFill>
          </w14:textFill>
        </w:rPr>
        <w:t>6</w:t>
      </w:r>
      <w:r>
        <w:rPr>
          <w:rFonts w:hint="eastAsia" w:ascii="宋体" w:hAnsi="宋体"/>
          <w:bCs/>
          <w:color w:val="000000" w:themeColor="text1"/>
          <w:sz w:val="22"/>
          <w14:textFill>
            <w14:solidFill>
              <w14:schemeClr w14:val="tx1"/>
            </w14:solidFill>
          </w14:textFill>
        </w:rPr>
        <w:t>.1发生保险事故后，乙方应在接到甲方电话或书面通知后给予理赔慰问，指导办理理赔。</w:t>
      </w:r>
    </w:p>
    <w:p>
      <w:pPr>
        <w:spacing w:line="360" w:lineRule="auto"/>
        <w:ind w:firstLine="431" w:firstLineChars="196"/>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lang w:val="en-US" w:eastAsia="zh-CN"/>
          <w14:textFill>
            <w14:solidFill>
              <w14:schemeClr w14:val="tx1"/>
            </w14:solidFill>
          </w14:textFill>
        </w:rPr>
        <w:t>6</w:t>
      </w:r>
      <w:r>
        <w:rPr>
          <w:rFonts w:hint="eastAsia" w:ascii="宋体" w:hAnsi="宋体"/>
          <w:bCs/>
          <w:color w:val="000000" w:themeColor="text1"/>
          <w:sz w:val="22"/>
          <w14:textFill>
            <w14:solidFill>
              <w14:schemeClr w14:val="tx1"/>
            </w14:solidFill>
          </w14:textFill>
        </w:rPr>
        <w:t>.2乙方在与甲方共同进行初步查验后，形成事故问询记录并由甲方或甲方员工签字确认，作为理赔资料使用。</w:t>
      </w:r>
    </w:p>
    <w:p>
      <w:pPr>
        <w:spacing w:line="360" w:lineRule="auto"/>
        <w:ind w:firstLine="433" w:firstLineChars="196"/>
        <w:rPr>
          <w:rFonts w:ascii="宋体" w:hAnsi="宋体"/>
          <w:b/>
          <w:color w:val="000000" w:themeColor="text1"/>
          <w:sz w:val="22"/>
          <w14:textFill>
            <w14:solidFill>
              <w14:schemeClr w14:val="tx1"/>
            </w14:solidFill>
          </w14:textFill>
        </w:rPr>
      </w:pPr>
      <w:r>
        <w:rPr>
          <w:rFonts w:hint="eastAsia" w:ascii="宋体" w:hAnsi="宋体"/>
          <w:b/>
          <w:color w:val="000000" w:themeColor="text1"/>
          <w:sz w:val="22"/>
          <w:lang w:val="en-US" w:eastAsia="zh-CN"/>
          <w14:textFill>
            <w14:solidFill>
              <w14:schemeClr w14:val="tx1"/>
            </w14:solidFill>
          </w14:textFill>
        </w:rPr>
        <w:t>7</w:t>
      </w:r>
      <w:r>
        <w:rPr>
          <w:rFonts w:hint="eastAsia" w:ascii="宋体" w:hAnsi="宋体"/>
          <w:b/>
          <w:color w:val="000000" w:themeColor="text1"/>
          <w:sz w:val="22"/>
          <w14:textFill>
            <w14:solidFill>
              <w14:schemeClr w14:val="tx1"/>
            </w14:solidFill>
          </w14:textFill>
        </w:rPr>
        <w:t>、取证鉴定和定损</w:t>
      </w:r>
    </w:p>
    <w:p>
      <w:pPr>
        <w:spacing w:line="360" w:lineRule="auto"/>
        <w:ind w:firstLine="431" w:firstLineChars="196"/>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A、 甲方根据乙方的合理要求准备各项单证。</w:t>
      </w:r>
    </w:p>
    <w:p>
      <w:pPr>
        <w:spacing w:line="360" w:lineRule="auto"/>
        <w:ind w:firstLine="431" w:firstLineChars="196"/>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B、 对于保险事故是否属于保险责任范围较难确定或双方对保险责任有严重分歧时，由双方协商决定聘请评估机构做最后鉴定。鉴定费用由责任方承担。</w:t>
      </w:r>
    </w:p>
    <w:p>
      <w:pPr>
        <w:spacing w:line="360" w:lineRule="auto"/>
        <w:ind w:firstLine="431" w:firstLineChars="196"/>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C、乙方在接到甲方的索赔单证后，应填写索赔单证签收单，并且必须在5个工作日内一次性提出索赔单证是否齐全；如果不齐全，在以后的理赔处理中，乙方可以根据甲方提供了齐全的索赔单证的时间对理赔期限作相应的调整。但乙方最多只能两次提出要求甲方补齐索赔单证。如果在五个工作日内未提出异议，在以后的理赔处理中，就不能以索赔单证不齐全而提出拒赔或要求延长理赔期限。</w:t>
      </w:r>
    </w:p>
    <w:p>
      <w:pPr>
        <w:spacing w:line="360" w:lineRule="auto"/>
        <w:ind w:firstLine="431" w:firstLineChars="196"/>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lang w:val="en-US" w:eastAsia="zh-CN"/>
          <w14:textFill>
            <w14:solidFill>
              <w14:schemeClr w14:val="tx1"/>
            </w14:solidFill>
          </w14:textFill>
        </w:rPr>
        <w:t>D</w:t>
      </w:r>
      <w:r>
        <w:rPr>
          <w:rFonts w:hint="eastAsia" w:ascii="宋体" w:hAnsi="宋体"/>
          <w:bCs/>
          <w:color w:val="000000" w:themeColor="text1"/>
          <w:sz w:val="22"/>
          <w14:textFill>
            <w14:solidFill>
              <w14:schemeClr w14:val="tx1"/>
            </w14:solidFill>
          </w14:textFill>
        </w:rPr>
        <w:t>、支付赔款后，如乙方有需求，甲方</w:t>
      </w:r>
      <w:r>
        <w:rPr>
          <w:rFonts w:hint="eastAsia" w:ascii="宋体" w:hAnsi="宋体"/>
          <w:bCs/>
          <w:color w:val="000000" w:themeColor="text1"/>
          <w:sz w:val="22"/>
          <w:lang w:eastAsia="zh-CN"/>
          <w14:textFill>
            <w14:solidFill>
              <w14:schemeClr w14:val="tx1"/>
            </w14:solidFill>
          </w14:textFill>
        </w:rPr>
        <w:t>需</w:t>
      </w:r>
      <w:r>
        <w:rPr>
          <w:rFonts w:hint="eastAsia" w:ascii="宋体" w:hAnsi="宋体"/>
          <w:bCs/>
          <w:color w:val="000000" w:themeColor="text1"/>
          <w:sz w:val="22"/>
          <w14:textFill>
            <w14:solidFill>
              <w14:schemeClr w14:val="tx1"/>
            </w14:solidFill>
          </w14:textFill>
        </w:rPr>
        <w:t>提供理赔批单说明赔付金额。</w:t>
      </w:r>
    </w:p>
    <w:p>
      <w:pPr>
        <w:spacing w:line="360" w:lineRule="auto"/>
        <w:ind w:firstLine="433" w:firstLineChars="196"/>
        <w:rPr>
          <w:rFonts w:ascii="宋体" w:hAnsi="宋体"/>
          <w:b/>
          <w:color w:val="000000" w:themeColor="text1"/>
          <w:sz w:val="22"/>
          <w14:textFill>
            <w14:solidFill>
              <w14:schemeClr w14:val="tx1"/>
            </w14:solidFill>
          </w14:textFill>
        </w:rPr>
      </w:pPr>
      <w:r>
        <w:rPr>
          <w:rFonts w:hint="eastAsia" w:ascii="宋体" w:hAnsi="宋体"/>
          <w:b/>
          <w:color w:val="000000" w:themeColor="text1"/>
          <w:sz w:val="22"/>
          <w:lang w:val="en-US" w:eastAsia="zh-CN"/>
          <w14:textFill>
            <w14:solidFill>
              <w14:schemeClr w14:val="tx1"/>
            </w14:solidFill>
          </w14:textFill>
        </w:rPr>
        <w:t>8</w:t>
      </w:r>
      <w:r>
        <w:rPr>
          <w:rFonts w:hint="eastAsia" w:ascii="宋体" w:hAnsi="宋体"/>
          <w:b/>
          <w:color w:val="000000" w:themeColor="text1"/>
          <w:sz w:val="22"/>
          <w14:textFill>
            <w14:solidFill>
              <w14:schemeClr w14:val="tx1"/>
            </w14:solidFill>
          </w14:textFill>
        </w:rPr>
        <w:t>、理赔期限</w:t>
      </w:r>
    </w:p>
    <w:p>
      <w:pPr>
        <w:spacing w:line="360" w:lineRule="auto"/>
        <w:ind w:firstLine="431" w:firstLineChars="196"/>
        <w:rPr>
          <w:rFonts w:hint="eastAsia"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对于属于保险责任的，且赔偿金额明确的，乙方在收到甲方齐全的索赔单证后十日内支付赔款，疑难案件三十日内支付赔款。</w:t>
      </w:r>
    </w:p>
    <w:p>
      <w:pPr>
        <w:spacing w:line="360" w:lineRule="auto"/>
        <w:ind w:firstLine="433" w:firstLineChars="196"/>
        <w:rPr>
          <w:rFonts w:ascii="宋体" w:hAnsi="宋体"/>
          <w:b/>
          <w:color w:val="000000" w:themeColor="text1"/>
          <w:sz w:val="22"/>
          <w14:textFill>
            <w14:solidFill>
              <w14:schemeClr w14:val="tx1"/>
            </w14:solidFill>
          </w14:textFill>
        </w:rPr>
      </w:pPr>
      <w:r>
        <w:rPr>
          <w:rFonts w:hint="eastAsia" w:ascii="宋体" w:hAnsi="宋体"/>
          <w:b/>
          <w:color w:val="000000" w:themeColor="text1"/>
          <w:sz w:val="22"/>
          <w:lang w:val="en-US" w:eastAsia="zh-CN"/>
          <w14:textFill>
            <w14:solidFill>
              <w14:schemeClr w14:val="tx1"/>
            </w14:solidFill>
          </w14:textFill>
        </w:rPr>
        <w:t>9</w:t>
      </w:r>
      <w:r>
        <w:rPr>
          <w:rFonts w:hint="eastAsia" w:ascii="宋体" w:hAnsi="宋体"/>
          <w:b/>
          <w:color w:val="000000" w:themeColor="text1"/>
          <w:sz w:val="22"/>
          <w14:textFill>
            <w14:solidFill>
              <w14:schemeClr w14:val="tx1"/>
            </w14:solidFill>
          </w14:textFill>
        </w:rPr>
        <w:t>.付款方式</w:t>
      </w:r>
    </w:p>
    <w:p>
      <w:pPr>
        <w:spacing w:line="400" w:lineRule="exact"/>
        <w:ind w:firstLine="440" w:firstLineChars="200"/>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在合同签订后7个工作日内，甲方向乙方一次性支付合同金额的100%（乙方须开具全额的增值税发票并经甲方签字盖章）</w:t>
      </w:r>
    </w:p>
    <w:p>
      <w:pPr>
        <w:widowControl/>
        <w:jc w:val="left"/>
        <w:rPr>
          <w:rFonts w:ascii="宋体" w:hAnsi="宋体"/>
          <w:bCs/>
          <w:color w:val="000000" w:themeColor="text1"/>
          <w:sz w:val="22"/>
          <w14:textFill>
            <w14:solidFill>
              <w14:schemeClr w14:val="tx1"/>
            </w14:solidFill>
          </w14:textFill>
        </w:rPr>
      </w:pPr>
      <w:r>
        <w:rPr>
          <w:rFonts w:ascii="宋体" w:hAnsi="宋体"/>
          <w:bCs/>
          <w:color w:val="000000" w:themeColor="text1"/>
          <w:sz w:val="22"/>
          <w14:textFill>
            <w14:solidFill>
              <w14:schemeClr w14:val="tx1"/>
            </w14:solidFill>
          </w14:textFill>
        </w:rPr>
        <w:br w:type="page"/>
      </w:r>
      <w:bookmarkEnd w:id="0"/>
      <w:bookmarkEnd w:id="1"/>
    </w:p>
    <w:p>
      <w:pPr>
        <w:spacing w:line="460" w:lineRule="exact"/>
        <w:rPr>
          <w:rFonts w:hint="eastAsia" w:ascii="Arial" w:hAnsi="Arial" w:eastAsia="宋体" w:cs="Arial"/>
          <w:b/>
          <w:bCs/>
          <w:color w:val="000000" w:themeColor="text1"/>
          <w:kern w:val="0"/>
          <w:sz w:val="32"/>
          <w:szCs w:val="32"/>
          <w14:textFill>
            <w14:solidFill>
              <w14:schemeClr w14:val="tx1"/>
            </w14:solidFill>
          </w14:textFill>
        </w:rPr>
      </w:pPr>
      <w:r>
        <w:rPr>
          <w:rFonts w:hint="eastAsia" w:ascii="宋体" w:hAnsi="宋体" w:eastAsia="宋体" w:cs="Times New Roman"/>
          <w:b/>
          <w:bCs/>
          <w:color w:val="000000" w:themeColor="text1"/>
          <w:szCs w:val="21"/>
          <w14:textFill>
            <w14:solidFill>
              <w14:schemeClr w14:val="tx1"/>
            </w14:solidFill>
          </w14:textFill>
        </w:rPr>
        <w:t>附件二</w:t>
      </w:r>
    </w:p>
    <w:p>
      <w:pPr>
        <w:spacing w:line="400" w:lineRule="exact"/>
        <w:ind w:firstLine="2731" w:firstLineChars="850"/>
        <w:rPr>
          <w:rFonts w:ascii="Arial" w:hAnsi="Arial" w:eastAsia="宋体" w:cs="Arial"/>
          <w:b/>
          <w:bCs/>
          <w:color w:val="000000" w:themeColor="text1"/>
          <w:kern w:val="0"/>
          <w:sz w:val="32"/>
          <w:szCs w:val="32"/>
          <w14:textFill>
            <w14:solidFill>
              <w14:schemeClr w14:val="tx1"/>
            </w14:solidFill>
          </w14:textFill>
        </w:rPr>
      </w:pPr>
      <w:r>
        <w:rPr>
          <w:rFonts w:hint="eastAsia" w:ascii="Arial" w:hAnsi="Arial" w:eastAsia="宋体" w:cs="Arial"/>
          <w:b/>
          <w:bCs/>
          <w:color w:val="000000" w:themeColor="text1"/>
          <w:kern w:val="0"/>
          <w:sz w:val="32"/>
          <w:szCs w:val="32"/>
          <w14:textFill>
            <w14:solidFill>
              <w14:schemeClr w14:val="tx1"/>
            </w14:solidFill>
          </w14:textFill>
        </w:rPr>
        <w:t>合同格式（参考格式）</w:t>
      </w:r>
    </w:p>
    <w:p>
      <w:pPr>
        <w:ind w:left="105" w:leftChars="50" w:firstLine="440" w:firstLineChars="200"/>
        <w:jc w:val="left"/>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甲方（投保人）：温州市康居物业管理有限公司</w:t>
      </w:r>
    </w:p>
    <w:p>
      <w:pPr>
        <w:ind w:left="105" w:leftChars="50"/>
        <w:jc w:val="left"/>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 xml:space="preserve">    乙方（保险人）：</w:t>
      </w:r>
    </w:p>
    <w:p>
      <w:pPr>
        <w:spacing w:line="480" w:lineRule="exact"/>
        <w:ind w:left="105" w:leftChars="50"/>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 xml:space="preserve">    第一条、服务内容</w:t>
      </w:r>
    </w:p>
    <w:p>
      <w:pPr>
        <w:pStyle w:val="2"/>
        <w:spacing w:after="0" w:line="480" w:lineRule="exact"/>
        <w:ind w:left="105" w:leftChars="50"/>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本次服务范围为康居物业员工团体意外险</w:t>
      </w:r>
    </w:p>
    <w:p>
      <w:pPr>
        <w:spacing w:line="480" w:lineRule="exact"/>
        <w:ind w:left="105" w:leftChars="50"/>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 xml:space="preserve">    第二条、服务要求</w:t>
      </w:r>
    </w:p>
    <w:p>
      <w:pPr>
        <w:spacing w:line="480" w:lineRule="exact"/>
        <w:ind w:left="105" w:leftChars="50" w:firstLine="420"/>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 xml:space="preserve"> 严格按照</w:t>
      </w:r>
      <w:r>
        <w:rPr>
          <w:rFonts w:hint="eastAsia" w:ascii="宋体" w:hAnsi="宋体" w:eastAsia="宋体" w:cs="宋体"/>
          <w:color w:val="000000" w:themeColor="text1"/>
          <w:sz w:val="22"/>
          <w:lang w:eastAsia="zh-CN"/>
          <w14:textFill>
            <w14:solidFill>
              <w14:schemeClr w14:val="tx1"/>
            </w14:solidFill>
          </w14:textFill>
        </w:rPr>
        <w:t>中标文件中的服务内容</w:t>
      </w:r>
      <w:r>
        <w:rPr>
          <w:rFonts w:hint="eastAsia" w:ascii="宋体" w:hAnsi="宋体" w:eastAsia="宋体" w:cs="宋体"/>
          <w:color w:val="000000" w:themeColor="text1"/>
          <w:sz w:val="22"/>
          <w14:textFill>
            <w14:solidFill>
              <w14:schemeClr w14:val="tx1"/>
            </w14:solidFill>
          </w14:textFill>
        </w:rPr>
        <w:t>及要求执行。</w:t>
      </w:r>
    </w:p>
    <w:p>
      <w:pPr>
        <w:spacing w:line="480" w:lineRule="exact"/>
        <w:ind w:left="105" w:leftChars="50" w:firstLine="440" w:firstLineChars="200"/>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1、甲方员工出险后，乙方应根据服务承诺，对事故进行及时处理并支付赔款。</w:t>
      </w:r>
    </w:p>
    <w:p>
      <w:pPr>
        <w:spacing w:line="480" w:lineRule="exact"/>
        <w:ind w:left="105" w:leftChars="50" w:firstLine="440" w:firstLineChars="200"/>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2、乙方必须指派一名员工为甲方服务，主动及时协助投保方处理赔款事宜。</w:t>
      </w:r>
    </w:p>
    <w:p>
      <w:pPr>
        <w:spacing w:line="480" w:lineRule="exact"/>
        <w:ind w:left="105" w:leftChars="50" w:firstLine="440" w:firstLineChars="200"/>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3、投保方在保险期内的一切事故赔款事宜，直接与乙方办理。</w:t>
      </w:r>
    </w:p>
    <w:p>
      <w:pPr>
        <w:spacing w:line="480" w:lineRule="exact"/>
        <w:ind w:left="105" w:leftChars="50" w:firstLine="420"/>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 xml:space="preserve"> 如乙方未按照</w:t>
      </w:r>
      <w:r>
        <w:rPr>
          <w:rFonts w:hint="eastAsia" w:ascii="宋体" w:hAnsi="宋体" w:eastAsia="宋体" w:cs="宋体"/>
          <w:color w:val="000000" w:themeColor="text1"/>
          <w:sz w:val="22"/>
          <w:lang w:eastAsia="zh-CN"/>
          <w14:textFill>
            <w14:solidFill>
              <w14:schemeClr w14:val="tx1"/>
            </w14:solidFill>
          </w14:textFill>
        </w:rPr>
        <w:t>中标文件中的服务内容</w:t>
      </w:r>
      <w:r>
        <w:rPr>
          <w:rFonts w:hint="eastAsia" w:ascii="宋体" w:hAnsi="宋体" w:eastAsia="宋体" w:cs="宋体"/>
          <w:color w:val="000000" w:themeColor="text1"/>
          <w:sz w:val="22"/>
          <w14:textFill>
            <w14:solidFill>
              <w14:schemeClr w14:val="tx1"/>
            </w14:solidFill>
          </w14:textFill>
        </w:rPr>
        <w:t>及要求执行，甲方有权单方终止合作。</w:t>
      </w:r>
    </w:p>
    <w:p>
      <w:pPr>
        <w:spacing w:line="480" w:lineRule="exact"/>
        <w:ind w:left="105" w:leftChars="50" w:firstLine="420"/>
        <w:rPr>
          <w:rFonts w:ascii="宋体" w:hAnsi="宋体" w:eastAsia="宋体" w:cs="宋体"/>
          <w:bCs/>
          <w:color w:val="000000" w:themeColor="text1"/>
          <w:sz w:val="22"/>
          <w14:textFill>
            <w14:solidFill>
              <w14:schemeClr w14:val="tx1"/>
            </w14:solidFill>
          </w14:textFill>
        </w:rPr>
      </w:pPr>
      <w:r>
        <w:rPr>
          <w:rFonts w:hint="eastAsia" w:ascii="宋体" w:hAnsi="宋体" w:eastAsia="宋体" w:cs="宋体"/>
          <w:bCs/>
          <w:color w:val="000000" w:themeColor="text1"/>
          <w:sz w:val="22"/>
          <w14:textFill>
            <w14:solidFill>
              <w14:schemeClr w14:val="tx1"/>
            </w14:solidFill>
          </w14:textFill>
        </w:rPr>
        <w:t xml:space="preserve"> 第三条、</w:t>
      </w:r>
      <w:r>
        <w:rPr>
          <w:rFonts w:hint="eastAsia" w:ascii="宋体" w:hAnsi="宋体" w:eastAsia="宋体" w:cs="宋体"/>
          <w:color w:val="000000" w:themeColor="text1"/>
          <w:sz w:val="22"/>
          <w14:textFill>
            <w14:solidFill>
              <w14:schemeClr w14:val="tx1"/>
            </w14:solidFill>
          </w14:textFill>
        </w:rPr>
        <w:t>解决合同纠纷方式</w:t>
      </w:r>
    </w:p>
    <w:p>
      <w:pPr>
        <w:spacing w:line="480" w:lineRule="exact"/>
        <w:ind w:left="982" w:leftChars="258" w:hanging="440" w:hangingChars="200"/>
        <w:rPr>
          <w:rFonts w:ascii="宋体" w:hAnsi="宋体" w:eastAsia="宋体" w:cs="宋体"/>
          <w:color w:val="000000" w:themeColor="text1"/>
          <w:sz w:val="22"/>
          <w14:textFill>
            <w14:solidFill>
              <w14:schemeClr w14:val="tx1"/>
            </w14:solidFill>
          </w14:textFill>
        </w:rPr>
      </w:pPr>
      <w:r>
        <w:rPr>
          <w:rFonts w:hint="eastAsia" w:ascii="宋体" w:hAnsi="宋体" w:eastAsia="宋体" w:cs="宋体"/>
          <w:bCs/>
          <w:color w:val="000000" w:themeColor="text1"/>
          <w:sz w:val="22"/>
          <w14:textFill>
            <w14:solidFill>
              <w14:schemeClr w14:val="tx1"/>
            </w14:solidFill>
          </w14:textFill>
        </w:rPr>
        <w:t>1、</w:t>
      </w:r>
      <w:r>
        <w:rPr>
          <w:rFonts w:hint="eastAsia" w:ascii="宋体" w:hAnsi="宋体" w:eastAsia="宋体" w:cs="宋体"/>
          <w:color w:val="000000" w:themeColor="text1"/>
          <w:sz w:val="22"/>
          <w14:textFill>
            <w14:solidFill>
              <w14:schemeClr w14:val="tx1"/>
            </w14:solidFill>
          </w14:textFill>
        </w:rPr>
        <w:t>解决合同纠纷方式：由双方友好协商解决，协商未成再向服务合同签订地人民法院起诉。</w:t>
      </w:r>
    </w:p>
    <w:p>
      <w:pPr>
        <w:spacing w:line="480" w:lineRule="exact"/>
        <w:ind w:left="105" w:leftChars="50" w:firstLine="440" w:firstLineChars="200"/>
        <w:rPr>
          <w:rFonts w:ascii="宋体" w:hAnsi="宋体" w:eastAsia="宋体" w:cs="宋体"/>
          <w:color w:val="000000" w:themeColor="text1"/>
          <w:sz w:val="22"/>
          <w14:textFill>
            <w14:solidFill>
              <w14:schemeClr w14:val="tx1"/>
            </w14:solidFill>
          </w14:textFill>
        </w:rPr>
      </w:pPr>
      <w:r>
        <w:rPr>
          <w:rFonts w:hint="eastAsia" w:ascii="宋体" w:hAnsi="宋体" w:eastAsia="宋体" w:cs="宋体"/>
          <w:bCs/>
          <w:color w:val="000000" w:themeColor="text1"/>
          <w:sz w:val="22"/>
          <w14:textFill>
            <w14:solidFill>
              <w14:schemeClr w14:val="tx1"/>
            </w14:solidFill>
          </w14:textFill>
        </w:rPr>
        <w:t>2、</w:t>
      </w:r>
      <w:r>
        <w:rPr>
          <w:rFonts w:hint="eastAsia" w:ascii="宋体" w:hAnsi="宋体" w:eastAsia="宋体" w:cs="宋体"/>
          <w:color w:val="000000" w:themeColor="text1"/>
          <w:sz w:val="22"/>
          <w14:textFill>
            <w14:solidFill>
              <w14:schemeClr w14:val="tx1"/>
            </w14:solidFill>
          </w14:textFill>
        </w:rPr>
        <w:t>仲裁裁决为最终裁决，对甲方、投保方和乙方均有约束力。</w:t>
      </w:r>
    </w:p>
    <w:p>
      <w:pPr>
        <w:spacing w:line="480" w:lineRule="exact"/>
        <w:ind w:left="105" w:leftChars="50" w:firstLine="330" w:firstLineChars="150"/>
        <w:rPr>
          <w:rFonts w:ascii="宋体" w:hAnsi="宋体" w:eastAsia="宋体" w:cs="宋体"/>
          <w:color w:val="000000" w:themeColor="text1"/>
          <w:sz w:val="22"/>
          <w14:textFill>
            <w14:solidFill>
              <w14:schemeClr w14:val="tx1"/>
            </w14:solidFill>
          </w14:textFill>
        </w:rPr>
      </w:pPr>
      <w:r>
        <w:rPr>
          <w:rFonts w:hint="eastAsia" w:ascii="宋体" w:hAnsi="宋体" w:eastAsia="宋体" w:cs="宋体"/>
          <w:bCs/>
          <w:color w:val="000000" w:themeColor="text1"/>
          <w:sz w:val="22"/>
          <w14:textFill>
            <w14:solidFill>
              <w14:schemeClr w14:val="tx1"/>
            </w14:solidFill>
          </w14:textFill>
        </w:rPr>
        <w:t xml:space="preserve"> 3、</w:t>
      </w:r>
      <w:r>
        <w:rPr>
          <w:rFonts w:hint="eastAsia" w:ascii="宋体" w:hAnsi="宋体" w:eastAsia="宋体" w:cs="宋体"/>
          <w:color w:val="000000" w:themeColor="text1"/>
          <w:sz w:val="22"/>
          <w14:textFill>
            <w14:solidFill>
              <w14:schemeClr w14:val="tx1"/>
            </w14:solidFill>
          </w14:textFill>
        </w:rPr>
        <w:t>在仲裁期间，本合同应继续履行。</w:t>
      </w:r>
    </w:p>
    <w:p>
      <w:pPr>
        <w:spacing w:line="480" w:lineRule="exact"/>
        <w:ind w:left="105" w:leftChars="50" w:firstLine="440" w:firstLineChars="200"/>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Cs/>
          <w:color w:val="000000" w:themeColor="text1"/>
          <w:sz w:val="22"/>
          <w14:textFill>
            <w14:solidFill>
              <w14:schemeClr w14:val="tx1"/>
            </w14:solidFill>
          </w14:textFill>
        </w:rPr>
        <w:t>第四条、合同有效期</w:t>
      </w:r>
    </w:p>
    <w:p>
      <w:pPr>
        <w:spacing w:line="480" w:lineRule="exact"/>
        <w:ind w:left="105" w:leftChars="50" w:firstLine="440" w:firstLineChars="200"/>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本合同有效期为</w:t>
      </w:r>
      <w:r>
        <w:rPr>
          <w:rFonts w:hint="eastAsia" w:ascii="宋体" w:hAnsi="宋体" w:eastAsia="宋体" w:cs="宋体"/>
          <w:bCs/>
          <w:color w:val="000000" w:themeColor="text1"/>
          <w:sz w:val="22"/>
          <w14:textFill>
            <w14:solidFill>
              <w14:schemeClr w14:val="tx1"/>
            </w14:solidFill>
          </w14:textFill>
        </w:rPr>
        <w:t>自</w:t>
      </w:r>
      <w:r>
        <w:rPr>
          <w:rFonts w:hint="eastAsia" w:ascii="宋体" w:hAnsi="宋体" w:eastAsia="宋体" w:cs="宋体"/>
          <w:bCs/>
          <w:color w:val="000000" w:themeColor="text1"/>
          <w:sz w:val="22"/>
          <w:highlight w:val="none"/>
          <w14:textFill>
            <w14:solidFill>
              <w14:schemeClr w14:val="tx1"/>
            </w14:solidFill>
          </w14:textFill>
        </w:rPr>
        <w:t xml:space="preserve">2021年 </w:t>
      </w:r>
      <w:r>
        <w:rPr>
          <w:rFonts w:hint="eastAsia" w:ascii="宋体" w:hAnsi="宋体" w:eastAsia="宋体" w:cs="宋体"/>
          <w:bCs/>
          <w:color w:val="000000" w:themeColor="text1"/>
          <w:sz w:val="22"/>
          <w:highlight w:val="none"/>
          <w:lang w:val="en-US" w:eastAsia="zh-CN"/>
          <w14:textFill>
            <w14:solidFill>
              <w14:schemeClr w14:val="tx1"/>
            </w14:solidFill>
          </w14:textFill>
        </w:rPr>
        <w:t>4</w:t>
      </w:r>
      <w:r>
        <w:rPr>
          <w:rFonts w:hint="eastAsia" w:ascii="宋体" w:hAnsi="宋体" w:eastAsia="宋体" w:cs="宋体"/>
          <w:bCs/>
          <w:color w:val="000000" w:themeColor="text1"/>
          <w:sz w:val="22"/>
          <w:highlight w:val="none"/>
          <w14:textFill>
            <w14:solidFill>
              <w14:schemeClr w14:val="tx1"/>
            </w14:solidFill>
          </w14:textFill>
        </w:rPr>
        <w:t xml:space="preserve"> 月</w:t>
      </w:r>
      <w:r>
        <w:rPr>
          <w:rFonts w:hint="eastAsia" w:ascii="宋体" w:hAnsi="宋体" w:eastAsia="宋体" w:cs="宋体"/>
          <w:bCs/>
          <w:color w:val="000000" w:themeColor="text1"/>
          <w:sz w:val="22"/>
          <w:highlight w:val="none"/>
          <w:lang w:val="en-US" w:eastAsia="zh-CN"/>
          <w14:textFill>
            <w14:solidFill>
              <w14:schemeClr w14:val="tx1"/>
            </w14:solidFill>
          </w14:textFill>
        </w:rPr>
        <w:t>20</w:t>
      </w:r>
      <w:r>
        <w:rPr>
          <w:rFonts w:hint="eastAsia" w:ascii="宋体" w:hAnsi="宋体" w:eastAsia="宋体" w:cs="宋体"/>
          <w:bCs/>
          <w:color w:val="000000" w:themeColor="text1"/>
          <w:sz w:val="22"/>
          <w:highlight w:val="none"/>
          <w14:textFill>
            <w14:solidFill>
              <w14:schemeClr w14:val="tx1"/>
            </w14:solidFill>
          </w14:textFill>
        </w:rPr>
        <w:t xml:space="preserve">日起至2022年 </w:t>
      </w:r>
      <w:r>
        <w:rPr>
          <w:rFonts w:hint="eastAsia" w:ascii="宋体" w:hAnsi="宋体" w:eastAsia="宋体" w:cs="宋体"/>
          <w:bCs/>
          <w:color w:val="000000" w:themeColor="text1"/>
          <w:sz w:val="22"/>
          <w:highlight w:val="none"/>
          <w:lang w:val="en-US" w:eastAsia="zh-CN"/>
          <w14:textFill>
            <w14:solidFill>
              <w14:schemeClr w14:val="tx1"/>
            </w14:solidFill>
          </w14:textFill>
        </w:rPr>
        <w:t>4</w:t>
      </w:r>
      <w:r>
        <w:rPr>
          <w:rFonts w:hint="eastAsia" w:ascii="宋体" w:hAnsi="宋体" w:eastAsia="宋体" w:cs="宋体"/>
          <w:bCs/>
          <w:color w:val="000000" w:themeColor="text1"/>
          <w:sz w:val="22"/>
          <w:highlight w:val="none"/>
          <w14:textFill>
            <w14:solidFill>
              <w14:schemeClr w14:val="tx1"/>
            </w14:solidFill>
          </w14:textFill>
        </w:rPr>
        <w:t xml:space="preserve"> 月</w:t>
      </w:r>
      <w:r>
        <w:rPr>
          <w:rFonts w:hint="eastAsia" w:ascii="宋体" w:hAnsi="宋体" w:eastAsia="宋体" w:cs="宋体"/>
          <w:bCs/>
          <w:color w:val="000000" w:themeColor="text1"/>
          <w:sz w:val="22"/>
          <w:highlight w:val="none"/>
          <w:lang w:val="en-US" w:eastAsia="zh-CN"/>
          <w14:textFill>
            <w14:solidFill>
              <w14:schemeClr w14:val="tx1"/>
            </w14:solidFill>
          </w14:textFill>
        </w:rPr>
        <w:t>19</w:t>
      </w:r>
      <w:r>
        <w:rPr>
          <w:rFonts w:hint="eastAsia" w:ascii="宋体" w:hAnsi="宋体" w:eastAsia="宋体" w:cs="宋体"/>
          <w:bCs/>
          <w:color w:val="000000" w:themeColor="text1"/>
          <w:sz w:val="22"/>
          <w:highlight w:val="none"/>
          <w14:textFill>
            <w14:solidFill>
              <w14:schemeClr w14:val="tx1"/>
            </w14:solidFill>
          </w14:textFill>
        </w:rPr>
        <w:t xml:space="preserve"> 日。</w:t>
      </w:r>
    </w:p>
    <w:p>
      <w:pPr>
        <w:spacing w:line="480" w:lineRule="exact"/>
        <w:ind w:left="660" w:hanging="660" w:hangingChars="300"/>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 xml:space="preserve">     第五条、本项目的询价文件，乙方的投标文件均作为签订本合同的依据与组成部分，与本合同具有同等效力。若有歧义，以有利于甲方（投保方）为准。</w:t>
      </w:r>
    </w:p>
    <w:p>
      <w:pPr>
        <w:spacing w:line="480" w:lineRule="exact"/>
        <w:ind w:left="105" w:leftChars="50" w:firstLine="440" w:firstLineChars="200"/>
        <w:rPr>
          <w:rFonts w:ascii="宋体" w:hAnsi="宋体" w:eastAsia="宋体" w:cs="宋体"/>
          <w:b/>
          <w:bCs/>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第六条、本合同一式贰份，甲方执壹份、乙方执壹份，由双方盖公章后生效。</w:t>
      </w:r>
    </w:p>
    <w:p>
      <w:pPr>
        <w:spacing w:line="480" w:lineRule="exact"/>
        <w:rPr>
          <w:rFonts w:ascii="宋体" w:hAnsi="宋体" w:eastAsia="宋体" w:cs="宋体"/>
          <w:color w:val="000000" w:themeColor="text1"/>
          <w:sz w:val="22"/>
          <w14:textFill>
            <w14:solidFill>
              <w14:schemeClr w14:val="tx1"/>
            </w14:solidFill>
          </w14:textFill>
        </w:rPr>
      </w:pPr>
    </w:p>
    <w:p>
      <w:pPr>
        <w:spacing w:line="480" w:lineRule="exact"/>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 xml:space="preserve">甲方（盖章）：                   </w:t>
      </w:r>
      <w:r>
        <w:rPr>
          <w:rFonts w:hint="eastAsia" w:ascii="宋体" w:hAnsi="宋体" w:eastAsia="宋体" w:cs="宋体"/>
          <w:color w:val="000000" w:themeColor="text1"/>
          <w:sz w:val="22"/>
          <w:lang w:val="en-US" w:eastAsia="zh-CN"/>
          <w14:textFill>
            <w14:solidFill>
              <w14:schemeClr w14:val="tx1"/>
            </w14:solidFill>
          </w14:textFill>
        </w:rPr>
        <w:t xml:space="preserve">          </w:t>
      </w:r>
      <w:r>
        <w:rPr>
          <w:rFonts w:hint="eastAsia" w:ascii="宋体" w:hAnsi="宋体" w:eastAsia="宋体" w:cs="宋体"/>
          <w:color w:val="000000" w:themeColor="text1"/>
          <w:sz w:val="22"/>
          <w14:textFill>
            <w14:solidFill>
              <w14:schemeClr w14:val="tx1"/>
            </w14:solidFill>
          </w14:textFill>
        </w:rPr>
        <w:t>乙方（盖章）：</w:t>
      </w:r>
    </w:p>
    <w:p>
      <w:pPr>
        <w:tabs>
          <w:tab w:val="left" w:pos="1647"/>
        </w:tabs>
        <w:rPr>
          <w:rFonts w:ascii="宋体" w:hAnsi="宋体" w:eastAsia="宋体" w:cs="宋体"/>
          <w:color w:val="000000" w:themeColor="text1"/>
          <w:sz w:val="22"/>
          <w14:textFill>
            <w14:solidFill>
              <w14:schemeClr w14:val="tx1"/>
            </w14:solidFill>
          </w14:textFill>
        </w:rPr>
      </w:pPr>
    </w:p>
    <w:p>
      <w:pPr>
        <w:tabs>
          <w:tab w:val="left" w:pos="1647"/>
        </w:tabs>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 xml:space="preserve">委托代表（签字） ：             </w:t>
      </w:r>
      <w:r>
        <w:rPr>
          <w:rFonts w:hint="eastAsia" w:ascii="宋体" w:hAnsi="宋体" w:eastAsia="宋体" w:cs="宋体"/>
          <w:color w:val="000000" w:themeColor="text1"/>
          <w:sz w:val="22"/>
          <w:lang w:val="en-US" w:eastAsia="zh-CN"/>
          <w14:textFill>
            <w14:solidFill>
              <w14:schemeClr w14:val="tx1"/>
            </w14:solidFill>
          </w14:textFill>
        </w:rPr>
        <w:t xml:space="preserve">          </w:t>
      </w:r>
      <w:r>
        <w:rPr>
          <w:rFonts w:hint="eastAsia" w:ascii="宋体" w:hAnsi="宋体" w:eastAsia="宋体" w:cs="宋体"/>
          <w:color w:val="000000" w:themeColor="text1"/>
          <w:sz w:val="22"/>
          <w14:textFill>
            <w14:solidFill>
              <w14:schemeClr w14:val="tx1"/>
            </w14:solidFill>
          </w14:textFill>
        </w:rPr>
        <w:t>委托代表（签字）：</w:t>
      </w:r>
    </w:p>
    <w:p>
      <w:pPr>
        <w:tabs>
          <w:tab w:val="left" w:pos="1647"/>
        </w:tabs>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 xml:space="preserve">开户行：                        </w:t>
      </w:r>
      <w:r>
        <w:rPr>
          <w:rFonts w:hint="eastAsia" w:ascii="宋体" w:hAnsi="宋体" w:eastAsia="宋体" w:cs="宋体"/>
          <w:color w:val="000000" w:themeColor="text1"/>
          <w:sz w:val="22"/>
          <w:lang w:val="en-US" w:eastAsia="zh-CN"/>
          <w14:textFill>
            <w14:solidFill>
              <w14:schemeClr w14:val="tx1"/>
            </w14:solidFill>
          </w14:textFill>
        </w:rPr>
        <w:t xml:space="preserve">          </w:t>
      </w:r>
      <w:r>
        <w:rPr>
          <w:rFonts w:hint="eastAsia" w:ascii="宋体" w:hAnsi="宋体" w:eastAsia="宋体" w:cs="宋体"/>
          <w:color w:val="000000" w:themeColor="text1"/>
          <w:sz w:val="22"/>
          <w14:textFill>
            <w14:solidFill>
              <w14:schemeClr w14:val="tx1"/>
            </w14:solidFill>
          </w14:textFill>
        </w:rPr>
        <w:t>开户行：</w:t>
      </w:r>
    </w:p>
    <w:p>
      <w:pPr>
        <w:tabs>
          <w:tab w:val="left" w:pos="1647"/>
        </w:tabs>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 xml:space="preserve">账号：                          </w:t>
      </w:r>
      <w:r>
        <w:rPr>
          <w:rFonts w:hint="eastAsia" w:ascii="宋体" w:hAnsi="宋体" w:eastAsia="宋体" w:cs="宋体"/>
          <w:color w:val="000000" w:themeColor="text1"/>
          <w:sz w:val="22"/>
          <w:lang w:val="en-US" w:eastAsia="zh-CN"/>
          <w14:textFill>
            <w14:solidFill>
              <w14:schemeClr w14:val="tx1"/>
            </w14:solidFill>
          </w14:textFill>
        </w:rPr>
        <w:t xml:space="preserve">          </w:t>
      </w:r>
      <w:r>
        <w:rPr>
          <w:rFonts w:hint="eastAsia" w:ascii="宋体" w:hAnsi="宋体" w:eastAsia="宋体" w:cs="宋体"/>
          <w:color w:val="000000" w:themeColor="text1"/>
          <w:sz w:val="22"/>
          <w14:textFill>
            <w14:solidFill>
              <w14:schemeClr w14:val="tx1"/>
            </w14:solidFill>
          </w14:textFill>
        </w:rPr>
        <w:t xml:space="preserve">账号： </w:t>
      </w:r>
    </w:p>
    <w:p>
      <w:pPr>
        <w:tabs>
          <w:tab w:val="left" w:pos="1647"/>
        </w:tabs>
        <w:rPr>
          <w:rFonts w:ascii="宋体" w:hAnsi="宋体" w:eastAsia="宋体" w:cs="宋体"/>
          <w:color w:val="000000" w:themeColor="text1"/>
          <w:sz w:val="22"/>
          <w14:textFill>
            <w14:solidFill>
              <w14:schemeClr w14:val="tx1"/>
            </w14:solidFill>
          </w14:textFill>
        </w:rPr>
      </w:pPr>
    </w:p>
    <w:p>
      <w:pPr>
        <w:tabs>
          <w:tab w:val="left" w:pos="1647"/>
        </w:tabs>
        <w:rPr>
          <w:rFonts w:ascii="宋体" w:hAnsi="宋体" w:eastAsia="宋体" w:cs="宋体"/>
          <w:color w:val="000000" w:themeColor="text1"/>
          <w:sz w:val="22"/>
          <w14:textFill>
            <w14:solidFill>
              <w14:schemeClr w14:val="tx1"/>
            </w14:solidFill>
          </w14:textFill>
        </w:rPr>
      </w:pPr>
    </w:p>
    <w:p>
      <w:pPr>
        <w:tabs>
          <w:tab w:val="left" w:pos="1647"/>
        </w:tabs>
        <w:ind w:firstLine="5500" w:firstLineChars="2500"/>
        <w:rPr>
          <w:color w:val="000000" w:themeColor="text1"/>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签订日期：</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9130D"/>
    <w:rsid w:val="06486D91"/>
    <w:rsid w:val="120C51CC"/>
    <w:rsid w:val="22E527DA"/>
    <w:rsid w:val="2BC152A5"/>
    <w:rsid w:val="321E6514"/>
    <w:rsid w:val="46D17F23"/>
    <w:rsid w:val="50CB2F9C"/>
    <w:rsid w:val="5FB802CB"/>
    <w:rsid w:val="73382E3A"/>
    <w:rsid w:val="752B514B"/>
    <w:rsid w:val="7E851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Calibri" w:hAnsi="Calibri" w:eastAsia="宋体" w:cs="Times New Roman"/>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2021-03-17T07:42:00Z</dcterms:created>
  <dc:creator>administer</dc:creator>
  <cp:lastModifiedBy>林毅</cp:lastModifiedBy>
  <dcterms:modified xsi:type="dcterms:W3CDTF">2021-03-31T01:41:52Z</dcterms:modified>
  <dc:title>附件一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