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44"/>
          <w:szCs w:val="44"/>
          <w:lang w:eastAsia="zh-CN"/>
        </w:rPr>
      </w:pPr>
      <w:r>
        <w:rPr>
          <w:rFonts w:hint="eastAsia"/>
          <w:b/>
          <w:bCs/>
          <w:sz w:val="44"/>
          <w:szCs w:val="44"/>
          <w:lang w:eastAsia="zh-CN"/>
        </w:rPr>
        <w:t>询价文件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151515"/>
          <w:sz w:val="24"/>
          <w:szCs w:val="24"/>
          <w:shd w:val="clear" w:color="auto" w:fill="FFFFFF"/>
          <w:lang w:eastAsia="zh-CN"/>
        </w:rPr>
      </w:pPr>
      <w:r>
        <w:rPr>
          <w:rFonts w:hint="eastAsia" w:ascii="宋体" w:hAnsi="宋体" w:eastAsia="宋体" w:cs="宋体"/>
          <w:color w:val="151515"/>
          <w:sz w:val="24"/>
          <w:szCs w:val="24"/>
          <w:shd w:val="clear" w:color="auto" w:fill="FFFFFF"/>
        </w:rPr>
        <w:t>根据《中华人民共和国政府采购法》等有关规定，经武义县财政局政府采购监管科301901[2019]3号</w:t>
      </w:r>
      <w:r>
        <w:rPr>
          <w:rFonts w:hint="eastAsia" w:ascii="宋体" w:hAnsi="宋体" w:eastAsia="宋体" w:cs="宋体"/>
          <w:color w:val="151515"/>
          <w:sz w:val="24"/>
          <w:szCs w:val="24"/>
          <w:shd w:val="clear" w:color="auto" w:fill="FFFFFF"/>
          <w:lang w:eastAsia="zh-CN"/>
        </w:rPr>
        <w:t>采购计划</w:t>
      </w:r>
      <w:r>
        <w:rPr>
          <w:rFonts w:hint="eastAsia" w:ascii="宋体" w:hAnsi="宋体" w:eastAsia="宋体" w:cs="宋体"/>
          <w:color w:val="151515"/>
          <w:sz w:val="24"/>
          <w:szCs w:val="24"/>
          <w:shd w:val="clear" w:color="auto" w:fill="FFFFFF"/>
        </w:rPr>
        <w:t>批准，就</w:t>
      </w:r>
      <w:r>
        <w:rPr>
          <w:rFonts w:hint="eastAsia" w:ascii="宋体" w:hAnsi="宋体" w:eastAsia="宋体" w:cs="宋体"/>
          <w:color w:val="151515"/>
          <w:sz w:val="24"/>
          <w:szCs w:val="24"/>
          <w:shd w:val="clear" w:color="auto" w:fill="FFFFFF"/>
          <w:lang w:eastAsia="zh-CN"/>
        </w:rPr>
        <w:t>武义县壶山水厂管网延伸工程（古义片）——PE100给水管及管件采购</w:t>
      </w:r>
      <w:r>
        <w:rPr>
          <w:rFonts w:hint="eastAsia" w:ascii="宋体" w:hAnsi="宋体" w:eastAsia="宋体" w:cs="宋体"/>
          <w:color w:val="151515"/>
          <w:sz w:val="24"/>
          <w:szCs w:val="24"/>
          <w:shd w:val="clear" w:color="auto" w:fill="FFFFFF"/>
        </w:rPr>
        <w:t>进行</w:t>
      </w:r>
      <w:r>
        <w:rPr>
          <w:rFonts w:hint="eastAsia" w:ascii="宋体" w:hAnsi="宋体" w:eastAsia="宋体" w:cs="宋体"/>
          <w:color w:val="151515"/>
          <w:sz w:val="24"/>
          <w:szCs w:val="24"/>
          <w:shd w:val="clear" w:color="auto" w:fill="FFFFFF"/>
          <w:lang w:eastAsia="zh-CN"/>
        </w:rPr>
        <w:t>在线</w:t>
      </w:r>
      <w:r>
        <w:rPr>
          <w:rFonts w:hint="eastAsia" w:ascii="宋体" w:hAnsi="宋体" w:eastAsia="宋体" w:cs="宋体"/>
          <w:color w:val="151515"/>
          <w:sz w:val="24"/>
          <w:szCs w:val="24"/>
          <w:shd w:val="clear" w:color="auto" w:fill="FFFFFF"/>
        </w:rPr>
        <w:t>询价，欢迎国内合格的供应商前来参加</w:t>
      </w:r>
      <w:r>
        <w:rPr>
          <w:rFonts w:hint="eastAsia" w:ascii="宋体" w:hAnsi="宋体" w:eastAsia="宋体" w:cs="宋体"/>
          <w:color w:val="151515"/>
          <w:sz w:val="24"/>
          <w:szCs w:val="24"/>
          <w:shd w:val="clear" w:color="auto" w:fill="FFFFFF"/>
          <w:lang w:eastAsia="zh-CN"/>
        </w:rPr>
        <w:t>。</w:t>
      </w:r>
    </w:p>
    <w:p>
      <w:pPr>
        <w:spacing w:line="240" w:lineRule="auto"/>
        <w:rPr>
          <w:rFonts w:hint="eastAsia" w:ascii="宋体" w:hAnsi="宋体" w:eastAsia="宋体" w:cs="宋体"/>
          <w:color w:val="151515"/>
          <w:sz w:val="30"/>
          <w:szCs w:val="30"/>
          <w:shd w:val="clear" w:color="auto" w:fill="FFFFFF"/>
          <w:lang w:eastAsia="zh-CN"/>
        </w:rPr>
      </w:pPr>
      <w:r>
        <w:rPr>
          <w:rFonts w:hint="eastAsia"/>
          <w:b/>
          <w:bCs/>
          <w:sz w:val="30"/>
          <w:szCs w:val="30"/>
          <w:lang w:eastAsia="zh-CN"/>
        </w:rPr>
        <w:t>一、</w:t>
      </w:r>
      <w:r>
        <w:rPr>
          <w:rFonts w:hint="eastAsia"/>
          <w:b/>
          <w:bCs/>
          <w:sz w:val="30"/>
          <w:szCs w:val="30"/>
        </w:rPr>
        <w:t>询价项目概况（内容、用途、数量、简要技术要求）：</w:t>
      </w:r>
    </w:p>
    <w:tbl>
      <w:tblPr>
        <w:tblStyle w:val="5"/>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2830"/>
        <w:gridCol w:w="3501"/>
        <w:gridCol w:w="958"/>
        <w:gridCol w:w="971"/>
        <w:gridCol w:w="13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2830"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项目</w:t>
            </w:r>
            <w:r>
              <w:rPr>
                <w:rFonts w:hint="eastAsia" w:ascii="宋体" w:hAnsi="宋体" w:cs="宋体"/>
                <w:color w:val="000000"/>
                <w:kern w:val="0"/>
                <w:sz w:val="24"/>
                <w:szCs w:val="24"/>
              </w:rPr>
              <w:t>名称</w:t>
            </w:r>
          </w:p>
        </w:tc>
        <w:tc>
          <w:tcPr>
            <w:tcW w:w="3501"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项目内容</w:t>
            </w:r>
          </w:p>
        </w:tc>
        <w:tc>
          <w:tcPr>
            <w:tcW w:w="958"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数量</w:t>
            </w:r>
          </w:p>
        </w:tc>
        <w:tc>
          <w:tcPr>
            <w:tcW w:w="971" w:type="dxa"/>
            <w:tcBorders>
              <w:top w:val="outset" w:color="000000" w:sz="6" w:space="0"/>
              <w:left w:val="outset" w:color="000000" w:sz="6" w:space="0"/>
              <w:bottom w:val="outset" w:color="000000" w:sz="6" w:space="0"/>
              <w:right w:val="outset" w:color="000000"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30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widowControl/>
              <w:jc w:val="center"/>
              <w:rPr>
                <w:rFonts w:hint="eastAsia" w:ascii="宋体" w:hAnsi="宋体" w:cs="宋体"/>
                <w:kern w:val="0"/>
                <w:sz w:val="24"/>
                <w:szCs w:val="24"/>
              </w:rPr>
            </w:pPr>
            <w:r>
              <w:rPr>
                <w:rFonts w:hint="eastAsia" w:ascii="宋体" w:hAnsi="宋体" w:cs="宋体"/>
                <w:bCs/>
                <w:color w:val="000000"/>
                <w:sz w:val="24"/>
              </w:rPr>
              <w:t>最高限价总价（元）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134" w:hRule="exact"/>
          <w:jc w:val="center"/>
        </w:trPr>
        <w:tc>
          <w:tcPr>
            <w:tcW w:w="2830" w:type="dxa"/>
            <w:tcBorders>
              <w:top w:val="outset" w:color="000000" w:sz="6" w:space="0"/>
              <w:left w:val="outset" w:color="000000" w:sz="6" w:space="0"/>
              <w:right w:val="outset" w:color="000000" w:sz="6" w:space="0"/>
            </w:tcBorders>
            <w:noWrap w:val="0"/>
            <w:tcMar>
              <w:top w:w="0" w:type="dxa"/>
              <w:left w:w="0" w:type="dxa"/>
              <w:bottom w:w="0" w:type="dxa"/>
              <w:right w:w="0" w:type="dxa"/>
            </w:tcMar>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武义县壶山水厂管网延伸工程（古义片）——PE100给水管及管件采购</w:t>
            </w:r>
          </w:p>
        </w:tc>
        <w:tc>
          <w:tcPr>
            <w:tcW w:w="3501" w:type="dxa"/>
            <w:tcBorders>
              <w:top w:val="outset" w:color="000000" w:sz="6" w:space="0"/>
              <w:left w:val="outset" w:color="000000" w:sz="6" w:space="0"/>
              <w:right w:val="outset" w:color="000000" w:sz="6"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PE100级高密度聚乙烯给水管</w:t>
            </w:r>
            <w:r>
              <w:rPr>
                <w:rFonts w:hint="eastAsia" w:ascii="宋体" w:hAnsi="宋体" w:cs="宋体"/>
                <w:kern w:val="0"/>
                <w:sz w:val="24"/>
                <w:szCs w:val="24"/>
                <w:lang w:val="en-US" w:eastAsia="zh-CN"/>
              </w:rPr>
              <w:t>DN110、</w:t>
            </w:r>
            <w:r>
              <w:rPr>
                <w:rFonts w:hint="eastAsia" w:ascii="宋体" w:hAnsi="宋体" w:cs="宋体"/>
                <w:kern w:val="0"/>
                <w:sz w:val="24"/>
                <w:szCs w:val="24"/>
              </w:rPr>
              <w:t>PE100级高密度聚乙烯给水管</w:t>
            </w:r>
            <w:r>
              <w:rPr>
                <w:rFonts w:hint="eastAsia" w:ascii="宋体" w:hAnsi="宋体" w:cs="宋体"/>
                <w:kern w:val="0"/>
                <w:sz w:val="24"/>
                <w:szCs w:val="24"/>
                <w:lang w:val="en-US" w:eastAsia="zh-CN"/>
              </w:rPr>
              <w:t>DN75、PE三通DN110</w:t>
            </w:r>
          </w:p>
        </w:tc>
        <w:tc>
          <w:tcPr>
            <w:tcW w:w="958" w:type="dxa"/>
            <w:tcBorders>
              <w:top w:val="outset" w:color="000000" w:sz="6" w:space="0"/>
              <w:left w:val="outset" w:color="000000" w:sz="6" w:space="0"/>
              <w:right w:val="outset" w:color="000000" w:sz="6"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971" w:type="dxa"/>
            <w:tcBorders>
              <w:top w:val="outset" w:color="000000" w:sz="6" w:space="0"/>
              <w:left w:val="outset" w:color="000000" w:sz="6" w:space="0"/>
              <w:bottom w:val="outset" w:color="000000" w:sz="6" w:space="0"/>
              <w:right w:val="outset" w:color="000000" w:sz="6" w:space="0"/>
            </w:tcBorders>
            <w:noWrap w:val="0"/>
            <w:vAlign w:val="center"/>
          </w:tcPr>
          <w:p>
            <w:pPr>
              <w:jc w:val="center"/>
              <w:rPr>
                <w:rFonts w:ascii="宋体" w:hAnsi="宋体" w:cs="宋体"/>
                <w:kern w:val="0"/>
                <w:sz w:val="24"/>
                <w:szCs w:val="24"/>
              </w:rPr>
            </w:pPr>
            <w:r>
              <w:rPr>
                <w:rFonts w:ascii="宋体" w:hAnsi="宋体" w:cs="宋体"/>
                <w:kern w:val="0"/>
                <w:sz w:val="24"/>
                <w:szCs w:val="24"/>
              </w:rPr>
              <w:t>批</w:t>
            </w:r>
          </w:p>
        </w:tc>
        <w:tc>
          <w:tcPr>
            <w:tcW w:w="1304" w:type="dxa"/>
            <w:tcBorders>
              <w:top w:val="outset" w:color="000000" w:sz="6" w:space="0"/>
              <w:left w:val="outset" w:color="000000" w:sz="6" w:space="0"/>
              <w:right w:val="outset" w:color="000000" w:sz="6" w:space="0"/>
            </w:tcBorders>
            <w:noWrap w:val="0"/>
            <w:tcMar>
              <w:top w:w="0" w:type="dxa"/>
              <w:left w:w="0" w:type="dxa"/>
              <w:bottom w:w="0" w:type="dxa"/>
              <w:right w:w="0"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293314</w:t>
            </w:r>
          </w:p>
        </w:tc>
      </w:tr>
    </w:tbl>
    <w:p>
      <w:pPr>
        <w:spacing w:line="240" w:lineRule="auto"/>
        <w:rPr>
          <w:rFonts w:hint="eastAsia"/>
          <w:b/>
          <w:bCs/>
          <w:sz w:val="30"/>
          <w:szCs w:val="30"/>
          <w:lang w:eastAsia="zh-CN"/>
        </w:rPr>
      </w:pPr>
      <w:r>
        <w:rPr>
          <w:rFonts w:hint="eastAsia"/>
          <w:b/>
          <w:bCs/>
          <w:sz w:val="30"/>
          <w:szCs w:val="30"/>
          <w:lang w:eastAsia="zh-CN"/>
        </w:rPr>
        <w:t>二、投标人资格要求：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151515"/>
          <w:sz w:val="24"/>
          <w:szCs w:val="24"/>
          <w:shd w:val="clear" w:color="auto" w:fill="FFFFFF"/>
        </w:rPr>
      </w:pPr>
      <w:r>
        <w:rPr>
          <w:rFonts w:hint="eastAsia" w:ascii="宋体" w:hAnsi="宋体" w:eastAsia="宋体" w:cs="宋体"/>
          <w:color w:val="151515"/>
          <w:sz w:val="24"/>
          <w:szCs w:val="24"/>
          <w:shd w:val="clear" w:color="auto" w:fill="FFFFFF"/>
        </w:rPr>
        <w:t>符合《中华人民共和国政府采购法》第二十二条的规定，符合《关于规范政府采购供应商资格设定及资格审查的通知》第六条规定且已在本系统注册并通过资质初审的供应商。</w:t>
      </w:r>
    </w:p>
    <w:p>
      <w:pPr>
        <w:spacing w:line="240" w:lineRule="auto"/>
        <w:rPr>
          <w:rFonts w:hint="eastAsia"/>
          <w:b/>
          <w:bCs/>
          <w:sz w:val="30"/>
          <w:szCs w:val="30"/>
          <w:lang w:eastAsia="zh-CN"/>
        </w:rPr>
      </w:pPr>
      <w:r>
        <w:rPr>
          <w:rFonts w:hint="eastAsia"/>
          <w:b/>
          <w:bCs/>
          <w:sz w:val="30"/>
          <w:szCs w:val="30"/>
          <w:lang w:eastAsia="zh-CN"/>
        </w:rPr>
        <w:t>三、项目清单：</w:t>
      </w:r>
    </w:p>
    <w:tbl>
      <w:tblPr>
        <w:tblStyle w:val="5"/>
        <w:tblW w:w="9422" w:type="dxa"/>
        <w:jc w:val="center"/>
        <w:tblLayout w:type="fixed"/>
        <w:tblCellMar>
          <w:top w:w="0" w:type="dxa"/>
          <w:left w:w="0" w:type="dxa"/>
          <w:bottom w:w="0" w:type="dxa"/>
          <w:right w:w="0" w:type="dxa"/>
        </w:tblCellMar>
      </w:tblPr>
      <w:tblGrid>
        <w:gridCol w:w="655"/>
        <w:gridCol w:w="1643"/>
        <w:gridCol w:w="2154"/>
        <w:gridCol w:w="917"/>
        <w:gridCol w:w="867"/>
        <w:gridCol w:w="1270"/>
        <w:gridCol w:w="880"/>
        <w:gridCol w:w="1036"/>
      </w:tblGrid>
      <w:tr>
        <w:tblPrEx>
          <w:tblCellMar>
            <w:top w:w="0" w:type="dxa"/>
            <w:left w:w="0" w:type="dxa"/>
            <w:bottom w:w="0" w:type="dxa"/>
            <w:right w:w="0" w:type="dxa"/>
          </w:tblCellMar>
        </w:tblPrEx>
        <w:trPr>
          <w:trHeight w:val="600" w:hRule="atLeast"/>
          <w:jc w:val="center"/>
        </w:trPr>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管材</w:t>
            </w:r>
          </w:p>
        </w:tc>
        <w:tc>
          <w:tcPr>
            <w:tcW w:w="21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w:t>
            </w:r>
          </w:p>
        </w:tc>
        <w:tc>
          <w:tcPr>
            <w:tcW w:w="86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单价(元/m、元/个)</w:t>
            </w:r>
          </w:p>
        </w:tc>
        <w:tc>
          <w:tcPr>
            <w:tcW w:w="8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总价(元)</w:t>
            </w:r>
          </w:p>
        </w:tc>
        <w:tc>
          <w:tcPr>
            <w:tcW w:w="103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推荐品牌</w:t>
            </w:r>
          </w:p>
        </w:tc>
      </w:tr>
      <w:tr>
        <w:tblPrEx>
          <w:tblCellMar>
            <w:top w:w="0" w:type="dxa"/>
            <w:left w:w="0" w:type="dxa"/>
            <w:bottom w:w="0" w:type="dxa"/>
            <w:right w:w="0" w:type="dxa"/>
          </w:tblCellMar>
        </w:tblPrEx>
        <w:trPr>
          <w:trHeight w:val="600" w:hRule="atLeast"/>
          <w:jc w:val="center"/>
        </w:trPr>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sz w:val="24"/>
                <w:szCs w:val="24"/>
                <w:u w:val="none"/>
              </w:rPr>
            </w:pPr>
            <w:r>
              <w:rPr>
                <w:rFonts w:hint="eastAsia" w:ascii="宋体" w:hAnsi="宋体" w:eastAsia="宋体" w:cs="宋体"/>
                <w:i w:val="0"/>
                <w:color w:val="000000"/>
                <w:spacing w:val="-11"/>
                <w:kern w:val="0"/>
                <w:sz w:val="24"/>
                <w:szCs w:val="24"/>
                <w:u w:val="none"/>
                <w:lang w:val="en-US" w:eastAsia="zh-CN" w:bidi="ar"/>
              </w:rPr>
              <w:t>PE100级高密度聚乙烯给水管</w:t>
            </w:r>
          </w:p>
        </w:tc>
        <w:tc>
          <w:tcPr>
            <w:tcW w:w="2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24"/>
                <w:szCs w:val="24"/>
                <w:u w:val="none"/>
                <w:lang w:val="en-US" w:eastAsia="zh-CN" w:bidi="ar"/>
              </w:rPr>
            </w:pPr>
            <w:r>
              <w:rPr>
                <w:rFonts w:hint="eastAsia" w:ascii="宋体" w:hAnsi="宋体" w:eastAsia="宋体" w:cs="宋体"/>
                <w:i w:val="0"/>
                <w:color w:val="000000"/>
                <w:spacing w:val="-11"/>
                <w:kern w:val="0"/>
                <w:sz w:val="24"/>
                <w:szCs w:val="24"/>
                <w:u w:val="none"/>
                <w:lang w:val="en-US" w:eastAsia="zh-CN" w:bidi="ar"/>
              </w:rPr>
              <w:t>PN≥1.25MPa 110*8.1</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6320</w:t>
            </w:r>
          </w:p>
        </w:tc>
        <w:tc>
          <w:tcPr>
            <w:tcW w:w="86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米</w:t>
            </w:r>
          </w:p>
        </w:tc>
        <w:tc>
          <w:tcPr>
            <w:tcW w:w="12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43.25</w:t>
            </w:r>
          </w:p>
        </w:tc>
        <w:tc>
          <w:tcPr>
            <w:tcW w:w="8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273340</w:t>
            </w:r>
          </w:p>
        </w:tc>
        <w:tc>
          <w:tcPr>
            <w:tcW w:w="103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伟星、枫叶、中财</w:t>
            </w:r>
          </w:p>
        </w:tc>
      </w:tr>
      <w:tr>
        <w:tblPrEx>
          <w:tblCellMar>
            <w:top w:w="0" w:type="dxa"/>
            <w:left w:w="0" w:type="dxa"/>
            <w:bottom w:w="0" w:type="dxa"/>
            <w:right w:w="0" w:type="dxa"/>
          </w:tblCellMar>
        </w:tblPrEx>
        <w:trPr>
          <w:trHeight w:val="600" w:hRule="atLeast"/>
          <w:jc w:val="center"/>
        </w:trPr>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sz w:val="24"/>
                <w:szCs w:val="24"/>
                <w:u w:val="none"/>
              </w:rPr>
            </w:pPr>
            <w:r>
              <w:rPr>
                <w:rFonts w:hint="eastAsia" w:ascii="宋体" w:hAnsi="宋体" w:eastAsia="宋体" w:cs="宋体"/>
                <w:i w:val="0"/>
                <w:color w:val="000000"/>
                <w:spacing w:val="-11"/>
                <w:kern w:val="0"/>
                <w:sz w:val="24"/>
                <w:szCs w:val="24"/>
                <w:u w:val="none"/>
                <w:lang w:val="en-US" w:eastAsia="zh-CN" w:bidi="ar"/>
              </w:rPr>
              <w:t>PE100级高密度聚乙烯给水管</w:t>
            </w:r>
          </w:p>
        </w:tc>
        <w:tc>
          <w:tcPr>
            <w:tcW w:w="2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24"/>
                <w:szCs w:val="24"/>
                <w:u w:val="none"/>
                <w:lang w:val="en-US" w:eastAsia="zh-CN" w:bidi="ar"/>
              </w:rPr>
            </w:pPr>
            <w:r>
              <w:rPr>
                <w:rFonts w:hint="eastAsia" w:ascii="宋体" w:hAnsi="宋体" w:eastAsia="宋体" w:cs="宋体"/>
                <w:i w:val="0"/>
                <w:color w:val="000000"/>
                <w:spacing w:val="-11"/>
                <w:kern w:val="0"/>
                <w:sz w:val="24"/>
                <w:szCs w:val="24"/>
                <w:u w:val="none"/>
                <w:lang w:val="en-US" w:eastAsia="zh-CN" w:bidi="ar"/>
              </w:rPr>
              <w:t>PN≥1.25MPa 75*5.6</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1090</w:t>
            </w:r>
          </w:p>
        </w:tc>
        <w:tc>
          <w:tcPr>
            <w:tcW w:w="86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米</w:t>
            </w:r>
          </w:p>
        </w:tc>
        <w:tc>
          <w:tcPr>
            <w:tcW w:w="127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18.15</w:t>
            </w:r>
          </w:p>
        </w:tc>
        <w:tc>
          <w:tcPr>
            <w:tcW w:w="8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19784</w:t>
            </w:r>
          </w:p>
        </w:tc>
        <w:tc>
          <w:tcPr>
            <w:tcW w:w="103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伟星、枫叶、中财</w:t>
            </w:r>
          </w:p>
        </w:tc>
      </w:tr>
      <w:tr>
        <w:tblPrEx>
          <w:tblCellMar>
            <w:top w:w="0" w:type="dxa"/>
            <w:left w:w="0" w:type="dxa"/>
            <w:bottom w:w="0" w:type="dxa"/>
            <w:right w:w="0" w:type="dxa"/>
          </w:tblCellMar>
        </w:tblPrEx>
        <w:trPr>
          <w:trHeight w:val="600" w:hRule="atLeast"/>
          <w:jc w:val="center"/>
        </w:trPr>
        <w:tc>
          <w:tcPr>
            <w:tcW w:w="65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PE三通</w:t>
            </w:r>
          </w:p>
        </w:tc>
        <w:tc>
          <w:tcPr>
            <w:tcW w:w="215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DN110*50</w:t>
            </w:r>
          </w:p>
        </w:tc>
        <w:tc>
          <w:tcPr>
            <w:tcW w:w="9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6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8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190</w:t>
            </w:r>
          </w:p>
        </w:tc>
        <w:tc>
          <w:tcPr>
            <w:tcW w:w="10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伟星、枫叶、中财</w:t>
            </w:r>
          </w:p>
        </w:tc>
      </w:tr>
      <w:tr>
        <w:tblPrEx>
          <w:tblCellMar>
            <w:top w:w="0" w:type="dxa"/>
            <w:left w:w="0" w:type="dxa"/>
            <w:bottom w:w="0" w:type="dxa"/>
            <w:right w:w="0" w:type="dxa"/>
          </w:tblCellMar>
        </w:tblPrEx>
        <w:trPr>
          <w:trHeight w:val="600" w:hRule="atLeast"/>
          <w:jc w:val="center"/>
        </w:trPr>
        <w:tc>
          <w:tcPr>
            <w:tcW w:w="65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Cs/>
                <w:color w:val="000000"/>
                <w:sz w:val="24"/>
                <w:lang w:val="en-US" w:eastAsia="zh-CN"/>
              </w:rPr>
            </w:pPr>
            <w:r>
              <w:rPr>
                <w:rFonts w:hint="eastAsia" w:ascii="宋体" w:hAnsi="宋体" w:cs="宋体"/>
                <w:bCs/>
                <w:color w:val="000000"/>
                <w:sz w:val="24"/>
                <w:lang w:val="en-US" w:eastAsia="zh-CN"/>
              </w:rPr>
              <w:t>4</w:t>
            </w:r>
          </w:p>
        </w:tc>
        <w:tc>
          <w:tcPr>
            <w:tcW w:w="8767" w:type="dxa"/>
            <w:gridSpan w:val="7"/>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000000"/>
                <w:sz w:val="24"/>
                <w:lang w:eastAsia="zh-CN"/>
              </w:rPr>
            </w:pPr>
            <w:r>
              <w:rPr>
                <w:rFonts w:hint="eastAsia" w:ascii="宋体" w:hAnsi="宋体" w:cs="宋体"/>
                <w:bCs/>
                <w:color w:val="000000"/>
                <w:sz w:val="24"/>
                <w:lang w:eastAsia="zh-CN"/>
              </w:rPr>
              <w:t>合计：</w:t>
            </w:r>
            <w:r>
              <w:rPr>
                <w:rFonts w:hint="eastAsia" w:ascii="宋体" w:hAnsi="宋体" w:eastAsia="宋体" w:cs="宋体"/>
                <w:i w:val="0"/>
                <w:color w:val="000000"/>
                <w:kern w:val="0"/>
                <w:sz w:val="24"/>
                <w:szCs w:val="24"/>
                <w:u w:val="none"/>
                <w:lang w:val="en-US" w:eastAsia="zh-CN" w:bidi="ar"/>
              </w:rPr>
              <w:t>293314</w:t>
            </w:r>
            <w:r>
              <w:rPr>
                <w:rFonts w:hint="eastAsia" w:ascii="宋体" w:hAnsi="宋体" w:cs="宋体"/>
                <w:bCs/>
                <w:color w:val="000000"/>
                <w:sz w:val="24"/>
              </w:rPr>
              <w:t>元</w:t>
            </w:r>
          </w:p>
        </w:tc>
      </w:tr>
    </w:tbl>
    <w:p>
      <w:pPr>
        <w:pStyle w:val="4"/>
        <w:keepNext w:val="0"/>
        <w:keepLines w:val="0"/>
        <w:pageBreakBefore w:val="0"/>
        <w:widowControl/>
        <w:kinsoku/>
        <w:wordWrap/>
        <w:overflowPunct w:val="0"/>
        <w:topLinePunct w:val="0"/>
        <w:autoSpaceDE w:val="0"/>
        <w:autoSpaceDN w:val="0"/>
        <w:bidi w:val="0"/>
        <w:adjustRightInd w:val="0"/>
        <w:snapToGrid/>
        <w:spacing w:before="157" w:beforeLines="50" w:after="157" w:afterLines="50" w:line="400" w:lineRule="exact"/>
        <w:jc w:val="both"/>
        <w:textAlignment w:val="baseline"/>
        <w:rPr>
          <w:rFonts w:ascii="宋体" w:hAnsi="宋体" w:cs="宋体"/>
          <w:b/>
          <w:kern w:val="0"/>
          <w:sz w:val="24"/>
        </w:rPr>
      </w:pPr>
      <w:r>
        <w:rPr>
          <w:rFonts w:hint="eastAsia" w:hAnsi="宋体" w:cs="宋体"/>
          <w:b/>
          <w:kern w:val="0"/>
          <w:sz w:val="24"/>
          <w:lang w:eastAsia="zh-CN"/>
        </w:rPr>
        <w:t>注：</w:t>
      </w:r>
      <w:r>
        <w:rPr>
          <w:rFonts w:hint="eastAsia" w:hAnsi="宋体" w:cs="宋体"/>
          <w:b/>
          <w:bCs/>
          <w:i w:val="0"/>
          <w:color w:val="000000"/>
          <w:kern w:val="0"/>
          <w:sz w:val="24"/>
          <w:szCs w:val="24"/>
          <w:u w:val="none"/>
          <w:lang w:val="en-US" w:eastAsia="zh-CN" w:bidi="ar"/>
        </w:rPr>
        <w:t>本清单“</w:t>
      </w:r>
      <w:r>
        <w:rPr>
          <w:rFonts w:hint="eastAsia" w:ascii="宋体" w:hAnsi="宋体" w:eastAsia="宋体" w:cs="宋体"/>
          <w:b/>
          <w:bCs/>
          <w:i w:val="0"/>
          <w:color w:val="000000"/>
          <w:kern w:val="0"/>
          <w:sz w:val="24"/>
          <w:szCs w:val="24"/>
          <w:u w:val="none"/>
          <w:lang w:val="en-US" w:eastAsia="zh-CN" w:bidi="ar"/>
        </w:rPr>
        <w:t>单价</w:t>
      </w:r>
      <w:r>
        <w:rPr>
          <w:rFonts w:hint="eastAsia" w:hAnsi="宋体" w:cs="宋体"/>
          <w:b/>
          <w:bCs/>
          <w:i w:val="0"/>
          <w:color w:val="000000"/>
          <w:kern w:val="0"/>
          <w:sz w:val="24"/>
          <w:szCs w:val="24"/>
          <w:u w:val="none"/>
          <w:lang w:val="en-US" w:eastAsia="zh-CN" w:bidi="ar"/>
        </w:rPr>
        <w:t>”参</w:t>
      </w:r>
      <w:r>
        <w:rPr>
          <w:rFonts w:hint="eastAsia" w:ascii="宋体" w:hAnsi="宋体" w:eastAsia="宋体" w:cs="宋体"/>
          <w:b/>
          <w:bCs/>
          <w:i w:val="0"/>
          <w:color w:val="000000"/>
          <w:kern w:val="0"/>
          <w:sz w:val="24"/>
          <w:szCs w:val="24"/>
          <w:u w:val="none"/>
          <w:lang w:val="en-US" w:eastAsia="zh-CN" w:bidi="ar"/>
        </w:rPr>
        <w:t>考2019年7月份</w:t>
      </w:r>
      <w:r>
        <w:rPr>
          <w:rFonts w:hint="eastAsia" w:hAnsi="宋体" w:cs="宋体"/>
          <w:b/>
          <w:bCs/>
          <w:i w:val="0"/>
          <w:color w:val="000000"/>
          <w:kern w:val="0"/>
          <w:sz w:val="24"/>
          <w:szCs w:val="24"/>
          <w:u w:val="none"/>
          <w:lang w:val="en-US" w:eastAsia="zh-CN" w:bidi="ar"/>
        </w:rPr>
        <w:t>金华市</w:t>
      </w:r>
      <w:r>
        <w:rPr>
          <w:rFonts w:hint="eastAsia" w:ascii="宋体" w:hAnsi="宋体" w:eastAsia="宋体" w:cs="宋体"/>
          <w:b/>
          <w:bCs/>
          <w:i w:val="0"/>
          <w:color w:val="000000"/>
          <w:kern w:val="0"/>
          <w:sz w:val="24"/>
          <w:szCs w:val="24"/>
          <w:u w:val="none"/>
          <w:lang w:val="en-US" w:eastAsia="zh-CN" w:bidi="ar"/>
        </w:rPr>
        <w:t>含税信息价。</w:t>
      </w:r>
      <w:r>
        <w:rPr>
          <w:rFonts w:ascii="宋体" w:hAnsi="宋体" w:cs="宋体"/>
          <w:b/>
          <w:kern w:val="0"/>
          <w:sz w:val="24"/>
        </w:rPr>
        <w:t>本清单所列仅为估计数量，具体结算以实际采购数量为准。</w:t>
      </w:r>
    </w:p>
    <w:p>
      <w:pPr>
        <w:spacing w:line="240" w:lineRule="auto"/>
        <w:rPr>
          <w:rFonts w:hint="eastAsia"/>
          <w:b/>
          <w:bCs/>
          <w:sz w:val="30"/>
          <w:szCs w:val="30"/>
          <w:lang w:eastAsia="zh-CN"/>
        </w:rPr>
      </w:pPr>
      <w:r>
        <w:rPr>
          <w:rFonts w:hint="eastAsia"/>
          <w:b/>
          <w:bCs/>
          <w:sz w:val="30"/>
          <w:szCs w:val="30"/>
          <w:lang w:eastAsia="zh-CN"/>
        </w:rPr>
        <w:t>四、技术参数：</w:t>
      </w:r>
    </w:p>
    <w:p>
      <w:pPr>
        <w:spacing w:line="440" w:lineRule="exact"/>
        <w:ind w:firstLine="482" w:firstLineChars="200"/>
        <w:rPr>
          <w:rFonts w:hint="eastAsia" w:ascii="宋体"/>
          <w:b/>
          <w:color w:val="000000"/>
          <w:kern w:val="0"/>
          <w:sz w:val="24"/>
        </w:rPr>
      </w:pPr>
      <w:r>
        <w:rPr>
          <w:rFonts w:hint="eastAsia" w:ascii="宋体"/>
          <w:b/>
          <w:color w:val="000000"/>
          <w:kern w:val="0"/>
          <w:sz w:val="24"/>
        </w:rPr>
        <w:t>说明：</w:t>
      </w:r>
    </w:p>
    <w:p>
      <w:pPr>
        <w:widowControl/>
        <w:spacing w:line="440" w:lineRule="exact"/>
        <w:ind w:firstLine="360" w:firstLineChars="150"/>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PE管材、管件上应有厂家出厂时的永久性标志。管材与配件压力等级相配套。</w:t>
      </w:r>
    </w:p>
    <w:p>
      <w:pPr>
        <w:widowControl/>
        <w:spacing w:line="440" w:lineRule="exact"/>
        <w:ind w:firstLine="360" w:firstLineChars="150"/>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本项目所需的货物是</w:t>
      </w:r>
      <w:r>
        <w:rPr>
          <w:rFonts w:hint="eastAsia" w:ascii="宋体" w:hAnsi="宋体" w:cs="宋体"/>
          <w:kern w:val="0"/>
          <w:sz w:val="24"/>
          <w:lang w:eastAsia="zh-CN"/>
        </w:rPr>
        <w:t>武义县壶山水厂管网延伸工程（古义片）——PE100给水管及管件采购项目</w:t>
      </w:r>
      <w:r>
        <w:rPr>
          <w:rFonts w:ascii="宋体" w:hAnsi="宋体" w:cs="宋体"/>
          <w:kern w:val="0"/>
          <w:sz w:val="24"/>
        </w:rPr>
        <w:t>所需的管材和</w:t>
      </w:r>
      <w:r>
        <w:rPr>
          <w:rFonts w:hint="eastAsia" w:ascii="宋体" w:hAnsi="宋体" w:cs="宋体"/>
          <w:kern w:val="0"/>
          <w:sz w:val="24"/>
          <w:lang w:eastAsia="zh-CN"/>
        </w:rPr>
        <w:t>管件</w:t>
      </w:r>
      <w:r>
        <w:rPr>
          <w:rFonts w:ascii="宋体" w:hAnsi="宋体" w:cs="宋体"/>
          <w:kern w:val="0"/>
          <w:sz w:val="24"/>
        </w:rPr>
        <w:t>。</w:t>
      </w:r>
      <w:r>
        <w:rPr>
          <w:rFonts w:hint="eastAsia" w:ascii="宋体" w:hAnsi="宋体" w:cs="宋体"/>
          <w:kern w:val="0"/>
          <w:sz w:val="24"/>
        </w:rPr>
        <w:t xml:space="preserve">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若在实际供货中，管材或</w:t>
      </w:r>
      <w:r>
        <w:rPr>
          <w:rFonts w:hint="eastAsia" w:ascii="宋体" w:hAnsi="宋体" w:cs="宋体"/>
          <w:color w:val="000000"/>
          <w:sz w:val="24"/>
          <w:lang w:eastAsia="zh-CN"/>
        </w:rPr>
        <w:t>管件</w:t>
      </w:r>
      <w:r>
        <w:rPr>
          <w:rFonts w:hint="eastAsia" w:ascii="宋体" w:hAnsi="宋体" w:cs="宋体"/>
          <w:color w:val="000000"/>
          <w:sz w:val="24"/>
        </w:rPr>
        <w:t>的规格型号不在清单范围内的，有信息价的则以信息价</w:t>
      </w:r>
      <w:r>
        <w:rPr>
          <w:rFonts w:hint="eastAsia" w:ascii="宋体" w:hAnsi="宋体" w:cs="宋体"/>
          <w:snapToGrid w:val="0"/>
          <w:sz w:val="24"/>
        </w:rPr>
        <w:t>的价格按</w:t>
      </w:r>
      <w:r>
        <w:rPr>
          <w:rFonts w:hint="eastAsia" w:ascii="宋体" w:hAnsi="宋体" w:cs="宋体"/>
          <w:snapToGrid w:val="0"/>
          <w:color w:val="000000"/>
          <w:sz w:val="24"/>
        </w:rPr>
        <w:t>中标</w:t>
      </w:r>
      <w:r>
        <w:rPr>
          <w:rFonts w:hint="eastAsia" w:ascii="宋体" w:hAnsi="宋体" w:cs="宋体"/>
          <w:snapToGrid w:val="0"/>
          <w:color w:val="000000"/>
          <w:sz w:val="24"/>
          <w:lang w:eastAsia="zh-CN"/>
        </w:rPr>
        <w:t>价</w:t>
      </w:r>
      <w:r>
        <w:rPr>
          <w:rFonts w:hint="eastAsia" w:ascii="宋体" w:hAnsi="宋体" w:cs="宋体"/>
          <w:snapToGrid w:val="0"/>
          <w:color w:val="000000"/>
          <w:sz w:val="24"/>
        </w:rPr>
        <w:t>同比例下浮。没有信息价的单价由供货单位与招标单位询价确定后按中标</w:t>
      </w:r>
      <w:r>
        <w:rPr>
          <w:rFonts w:hint="eastAsia" w:ascii="宋体" w:hAnsi="宋体" w:cs="宋体"/>
          <w:snapToGrid w:val="0"/>
          <w:color w:val="000000"/>
          <w:sz w:val="24"/>
          <w:lang w:eastAsia="zh-CN"/>
        </w:rPr>
        <w:t>价</w:t>
      </w:r>
      <w:r>
        <w:rPr>
          <w:rFonts w:hint="eastAsia" w:ascii="宋体" w:hAnsi="宋体" w:cs="宋体"/>
          <w:snapToGrid w:val="0"/>
          <w:color w:val="000000"/>
          <w:sz w:val="24"/>
        </w:rPr>
        <w:t>同比例下浮。</w:t>
      </w:r>
    </w:p>
    <w:p>
      <w:pPr>
        <w:spacing w:line="240" w:lineRule="auto"/>
        <w:rPr>
          <w:rFonts w:hint="eastAsia"/>
          <w:b/>
          <w:bCs/>
          <w:sz w:val="30"/>
          <w:szCs w:val="30"/>
          <w:lang w:eastAsia="zh-CN"/>
        </w:rPr>
      </w:pPr>
      <w:r>
        <w:rPr>
          <w:rFonts w:hint="eastAsia"/>
          <w:b/>
          <w:bCs/>
          <w:sz w:val="30"/>
          <w:szCs w:val="30"/>
          <w:lang w:eastAsia="zh-CN"/>
        </w:rPr>
        <w:t>五、质量要求及标准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napToGrid w:val="0"/>
          <w:color w:val="000000"/>
          <w:sz w:val="24"/>
          <w:lang w:eastAsia="zh-CN"/>
        </w:rPr>
      </w:pPr>
      <w:r>
        <w:rPr>
          <w:rFonts w:hint="eastAsia" w:ascii="宋体" w:hAnsi="宋体"/>
          <w:color w:val="000000"/>
          <w:sz w:val="24"/>
        </w:rPr>
        <w:t>1、</w:t>
      </w:r>
      <w:r>
        <w:rPr>
          <w:rFonts w:hint="eastAsia" w:ascii="宋体" w:hAnsi="宋体"/>
          <w:color w:val="000000"/>
          <w:sz w:val="24"/>
          <w:lang w:eastAsia="zh-CN"/>
        </w:rPr>
        <w:t>中标人</w:t>
      </w:r>
      <w:r>
        <w:rPr>
          <w:rFonts w:hint="eastAsia" w:ascii="宋体" w:hAnsi="宋体"/>
          <w:color w:val="000000"/>
          <w:sz w:val="24"/>
        </w:rPr>
        <w:t>提供</w:t>
      </w:r>
      <w:r>
        <w:rPr>
          <w:rFonts w:hint="eastAsia" w:ascii="宋体" w:hAnsi="宋体" w:cs="宋体"/>
          <w:snapToGrid w:val="0"/>
          <w:color w:val="000000"/>
          <w:sz w:val="24"/>
          <w:lang w:eastAsia="zh-CN"/>
        </w:rPr>
        <w:t>的管材及管件必须符合中华人民共和国国家及行业标准且必须是全新的。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napToGrid w:val="0"/>
          <w:color w:val="000000"/>
          <w:sz w:val="24"/>
          <w:lang w:eastAsia="zh-CN"/>
        </w:rPr>
      </w:pPr>
      <w:r>
        <w:rPr>
          <w:rFonts w:hint="eastAsia" w:ascii="宋体" w:hAnsi="宋体" w:cs="宋体"/>
          <w:snapToGrid w:val="0"/>
          <w:color w:val="000000"/>
          <w:sz w:val="24"/>
          <w:lang w:val="en-US" w:eastAsia="zh-CN"/>
        </w:rPr>
        <w:t>2</w:t>
      </w:r>
      <w:r>
        <w:rPr>
          <w:rFonts w:hint="eastAsia" w:ascii="宋体" w:hAnsi="宋体" w:cs="宋体"/>
          <w:snapToGrid w:val="0"/>
          <w:color w:val="000000"/>
          <w:sz w:val="24"/>
          <w:lang w:eastAsia="zh-CN"/>
        </w:rPr>
        <w:t>、中标人提供的管材及管件经检测合格并经甲方同意后再按规定期限运抵项目所在地。在中标人提供的管材及管件的质量问题发生争议时，由使用单位送有资质的第三方进行质量鉴定。鉴定后若管材及管件符合质量标准的，鉴定费由招标人承担；不符合质量标准的，鉴定费由中标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napToGrid w:val="0"/>
          <w:color w:val="000000"/>
          <w:sz w:val="24"/>
          <w:lang w:eastAsia="zh-CN"/>
        </w:rPr>
      </w:pPr>
      <w:r>
        <w:rPr>
          <w:rFonts w:hint="eastAsia" w:ascii="宋体" w:hAnsi="宋体" w:cs="宋体"/>
          <w:snapToGrid w:val="0"/>
          <w:color w:val="000000"/>
          <w:sz w:val="24"/>
          <w:lang w:val="en-US" w:eastAsia="zh-CN"/>
        </w:rPr>
        <w:t>3</w:t>
      </w:r>
      <w:r>
        <w:rPr>
          <w:rFonts w:hint="eastAsia" w:ascii="宋体" w:hAnsi="宋体" w:cs="宋体"/>
          <w:snapToGrid w:val="0"/>
          <w:color w:val="000000"/>
          <w:sz w:val="24"/>
          <w:lang w:eastAsia="zh-CN"/>
        </w:rPr>
        <w:t xml:space="preserve">、范围：规定用聚乙烯树脂为主要原料的材料，经挤出成型的给水用聚乙烯管材（以下简称管材）的产品规格、技术要求、试验方法、检验规则、标志、包装、运输、贮存。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宋体"/>
          <w:snapToGrid w:val="0"/>
          <w:color w:val="000000"/>
          <w:sz w:val="24"/>
          <w:lang w:eastAsia="zh-CN"/>
        </w:rPr>
      </w:pPr>
      <w:r>
        <w:rPr>
          <w:rFonts w:hint="eastAsia" w:ascii="宋体" w:hAnsi="宋体" w:cs="宋体"/>
          <w:snapToGrid w:val="0"/>
          <w:color w:val="000000"/>
          <w:sz w:val="24"/>
          <w:lang w:val="en-US" w:eastAsia="zh-CN"/>
        </w:rPr>
        <w:t>4</w:t>
      </w:r>
      <w:r>
        <w:rPr>
          <w:rFonts w:hint="eastAsia" w:ascii="宋体" w:hAnsi="宋体" w:cs="宋体"/>
          <w:snapToGrid w:val="0"/>
          <w:color w:val="000000"/>
          <w:sz w:val="24"/>
          <w:lang w:eastAsia="zh-CN"/>
        </w:rPr>
        <w:t xml:space="preserve">、引用标准：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 13663-2000给水用聚乙烯（PE）管材</w:t>
      </w:r>
      <w:r>
        <w:rPr>
          <w:rFonts w:hint="eastAsia" w:ascii="宋体"/>
          <w:color w:val="000000"/>
          <w:kern w:val="0"/>
          <w:sz w:val="24"/>
        </w:rPr>
        <w:t xml:space="preserve"> </w:t>
      </w:r>
      <w:r>
        <w:rPr>
          <w:rFonts w:ascii="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GB/T2918—1998塑料试样状态调节和试验的标准环境（idtIS0291</w:t>
      </w:r>
      <w:r>
        <w:rPr>
          <w:rFonts w:hint="eastAsia" w:ascii="宋体"/>
          <w:color w:val="000000"/>
          <w:kern w:val="0"/>
          <w:sz w:val="24"/>
        </w:rPr>
        <w:t>；</w:t>
      </w:r>
      <w:r>
        <w:rPr>
          <w:rFonts w:ascii="宋体"/>
          <w:color w:val="000000"/>
          <w:kern w:val="0"/>
          <w:sz w:val="24"/>
        </w:rPr>
        <w:t>1997）</w:t>
      </w:r>
      <w:r>
        <w:rPr>
          <w:rFonts w:hint="eastAsia" w:ascii="宋体"/>
          <w:color w:val="000000"/>
          <w:kern w:val="0"/>
          <w:sz w:val="24"/>
        </w:rPr>
        <w:t xml:space="preserve"> </w:t>
      </w:r>
      <w:r>
        <w:rPr>
          <w:rFonts w:ascii="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GB/T3681—1983塑料自然气候曝露试验方法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GB/T3682—1983热塑性塑料熔体流动速率试验方法</w:t>
      </w:r>
      <w:r>
        <w:rPr>
          <w:rFonts w:hint="eastAsia" w:ascii="宋体"/>
          <w:color w:val="000000"/>
          <w:kern w:val="0"/>
          <w:sz w:val="24"/>
        </w:rPr>
        <w:t xml:space="preserve"> </w:t>
      </w:r>
      <w:r>
        <w:rPr>
          <w:rFonts w:ascii="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GB/T6i11—1985长期恒定内压下热塑性塑料管材耐破坏时间的测定方法（eqvISO/DP1167：1978）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GB/T6671.2—1986聚乙烯（PE）管材纵向回缩率的测定（idtISO2506:1981）</w:t>
      </w:r>
      <w:r>
        <w:rPr>
          <w:rFonts w:hint="eastAsia" w:ascii="宋体"/>
          <w:color w:val="000000"/>
          <w:kern w:val="0"/>
          <w:sz w:val="24"/>
        </w:rPr>
        <w:t xml:space="preserve"> </w:t>
      </w:r>
      <w:r>
        <w:rPr>
          <w:rFonts w:ascii="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GB/T8804.2—1988热塑性塑料管材拉伸性能试验方法聚乙烯管材（eqvISO/DIS3504—2）</w:t>
      </w:r>
      <w:r>
        <w:rPr>
          <w:rFonts w:hint="eastAsia" w:ascii="宋体"/>
          <w:color w:val="000000"/>
          <w:kern w:val="0"/>
          <w:sz w:val="24"/>
        </w:rPr>
        <w:t xml:space="preserve"> </w:t>
      </w:r>
      <w:r>
        <w:rPr>
          <w:rFonts w:ascii="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GB/T8806—1988塑料管材尺寸测量方法（eqvISO3126：1974）</w:t>
      </w:r>
      <w:r>
        <w:rPr>
          <w:rFonts w:hint="eastAsia" w:ascii="宋体"/>
          <w:color w:val="000000"/>
          <w:kern w:val="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color w:val="000000"/>
          <w:kern w:val="0"/>
          <w:sz w:val="24"/>
        </w:rPr>
      </w:pPr>
      <w:r>
        <w:rPr>
          <w:rFonts w:ascii="宋体"/>
          <w:color w:val="000000"/>
          <w:kern w:val="0"/>
          <w:sz w:val="24"/>
        </w:rPr>
        <w:t>GB/T13021—1991聚乙烯管材和管件炭黑含量的测定热失重法（neqISO6964:1986）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kern w:val="0"/>
          <w:sz w:val="24"/>
        </w:rPr>
      </w:pPr>
      <w:r>
        <w:rPr>
          <w:rFonts w:ascii="宋体"/>
          <w:color w:val="000000"/>
          <w:kern w:val="0"/>
          <w:sz w:val="24"/>
        </w:rPr>
        <w:t>GB/T17219—1998生活饮用水输配水设备及防护材料的安全性评价标准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color w:val="000000"/>
          <w:kern w:val="0"/>
          <w:sz w:val="24"/>
        </w:rPr>
      </w:pPr>
      <w:r>
        <w:rPr>
          <w:rFonts w:ascii="宋体"/>
          <w:color w:val="000000"/>
          <w:kern w:val="0"/>
          <w:sz w:val="24"/>
        </w:rPr>
        <w:t>GB/T17391—1998聚乙烯管材与管件热稳定性试验方法(eqvISO/TR10837:1991)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color w:val="000000"/>
          <w:kern w:val="0"/>
          <w:sz w:val="24"/>
        </w:rPr>
      </w:pPr>
      <w:r>
        <w:rPr>
          <w:rFonts w:ascii="宋体"/>
          <w:color w:val="000000"/>
          <w:kern w:val="0"/>
          <w:sz w:val="24"/>
        </w:rPr>
        <w:t>GB/T18251—2000聚烯烃管材、管件和混配料中颜料及炭黑分散的测定方法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olor w:val="000000"/>
          <w:spacing w:val="-2"/>
          <w:kern w:val="0"/>
          <w:sz w:val="24"/>
        </w:rPr>
      </w:pPr>
      <w:r>
        <w:rPr>
          <w:rFonts w:ascii="宋体"/>
          <w:color w:val="000000"/>
          <w:kern w:val="0"/>
          <w:sz w:val="24"/>
        </w:rPr>
        <w:t>GB/T18252—2000塑料管道系</w:t>
      </w:r>
      <w:r>
        <w:rPr>
          <w:rFonts w:ascii="宋体"/>
          <w:color w:val="000000"/>
          <w:spacing w:val="-2"/>
          <w:kern w:val="0"/>
          <w:sz w:val="24"/>
        </w:rPr>
        <w:t>统用外推法对热塑性塑料管材长期静液压强度的测定</w:t>
      </w:r>
    </w:p>
    <w:p>
      <w:pPr>
        <w:spacing w:line="240" w:lineRule="auto"/>
        <w:rPr>
          <w:rFonts w:hint="eastAsia"/>
          <w:b/>
          <w:bCs/>
          <w:sz w:val="30"/>
          <w:szCs w:val="30"/>
          <w:lang w:eastAsia="zh-CN"/>
        </w:rPr>
      </w:pPr>
      <w:r>
        <w:rPr>
          <w:rFonts w:hint="eastAsia"/>
          <w:b/>
          <w:bCs/>
          <w:sz w:val="30"/>
          <w:szCs w:val="30"/>
          <w:lang w:eastAsia="zh-CN"/>
        </w:rPr>
        <w:t>六、采购服务及技术要求</w:t>
      </w:r>
    </w:p>
    <w:p>
      <w:pPr>
        <w:spacing w:line="380" w:lineRule="exact"/>
        <w:ind w:firstLine="480" w:firstLineChars="200"/>
        <w:rPr>
          <w:rFonts w:hint="eastAsia" w:ascii="宋体"/>
          <w:color w:val="000000"/>
          <w:kern w:val="0"/>
          <w:sz w:val="24"/>
        </w:rPr>
      </w:pPr>
      <w:r>
        <w:rPr>
          <w:rFonts w:hint="eastAsia" w:ascii="宋体"/>
          <w:color w:val="000000"/>
          <w:kern w:val="0"/>
          <w:sz w:val="24"/>
        </w:rPr>
        <w:t>1、服务要求</w:t>
      </w:r>
    </w:p>
    <w:p>
      <w:pPr>
        <w:spacing w:line="380" w:lineRule="exact"/>
        <w:ind w:firstLine="480" w:firstLineChars="200"/>
        <w:rPr>
          <w:rFonts w:hint="eastAsia" w:ascii="宋体" w:eastAsia="宋体"/>
          <w:color w:val="000000"/>
          <w:kern w:val="0"/>
          <w:sz w:val="24"/>
          <w:lang w:eastAsia="zh-CN"/>
        </w:rPr>
      </w:pPr>
      <w:r>
        <w:rPr>
          <w:rFonts w:hint="eastAsia" w:ascii="宋体"/>
          <w:color w:val="000000"/>
          <w:kern w:val="0"/>
          <w:sz w:val="24"/>
        </w:rPr>
        <w:t>(1)</w:t>
      </w:r>
      <w:r>
        <w:rPr>
          <w:rFonts w:hint="eastAsia" w:ascii="宋体"/>
          <w:color w:val="000000"/>
          <w:kern w:val="0"/>
          <w:sz w:val="24"/>
          <w:lang w:eastAsia="zh-CN"/>
        </w:rPr>
        <w:t>投标人需向招标人</w:t>
      </w:r>
      <w:r>
        <w:rPr>
          <w:rFonts w:hint="eastAsia" w:ascii="宋体"/>
          <w:color w:val="000000"/>
          <w:kern w:val="0"/>
          <w:sz w:val="24"/>
        </w:rPr>
        <w:t>提</w:t>
      </w:r>
      <w:r>
        <w:rPr>
          <w:rFonts w:hint="eastAsia" w:ascii="宋体"/>
          <w:color w:val="000000"/>
          <w:kern w:val="0"/>
          <w:sz w:val="24"/>
          <w:lang w:eastAsia="zh-CN"/>
        </w:rPr>
        <w:t>供应标的</w:t>
      </w:r>
      <w:r>
        <w:rPr>
          <w:rFonts w:hint="eastAsia" w:ascii="宋体"/>
          <w:color w:val="000000"/>
          <w:kern w:val="0"/>
          <w:sz w:val="24"/>
          <w:lang w:val="en-US" w:eastAsia="zh-CN"/>
        </w:rPr>
        <w:t>PE100级高密度聚乙烯给水管</w:t>
      </w:r>
      <w:r>
        <w:rPr>
          <w:rFonts w:hint="eastAsia" w:ascii="宋体"/>
          <w:color w:val="000000"/>
          <w:kern w:val="0"/>
          <w:sz w:val="24"/>
          <w:lang w:eastAsia="zh-CN"/>
        </w:rPr>
        <w:t>样品，规格要求为</w:t>
      </w:r>
      <w:r>
        <w:rPr>
          <w:rFonts w:hint="eastAsia" w:ascii="宋体"/>
          <w:color w:val="000000"/>
          <w:kern w:val="0"/>
          <w:sz w:val="24"/>
          <w:lang w:val="en-US" w:eastAsia="zh-CN"/>
        </w:rPr>
        <w:t>PN≥1.25MPa 110*8.1</w:t>
      </w:r>
      <w:r>
        <w:rPr>
          <w:rFonts w:hint="eastAsia" w:ascii="宋体"/>
          <w:color w:val="000000"/>
          <w:kern w:val="0"/>
          <w:sz w:val="24"/>
          <w:lang w:eastAsia="zh-CN"/>
        </w:rPr>
        <w:t>的PE100级，长度为100cm。</w:t>
      </w:r>
      <w:r>
        <w:rPr>
          <w:rFonts w:hint="eastAsia" w:ascii="宋体"/>
          <w:b/>
          <w:bCs/>
          <w:color w:val="000000"/>
          <w:kern w:val="0"/>
          <w:sz w:val="24"/>
          <w:lang w:eastAsia="zh-CN"/>
        </w:rPr>
        <w:t>如提供的样品不满足招标需求，按废标处理。</w:t>
      </w:r>
    </w:p>
    <w:p>
      <w:pPr>
        <w:spacing w:line="380" w:lineRule="exact"/>
        <w:ind w:firstLine="480" w:firstLineChars="200"/>
        <w:rPr>
          <w:rFonts w:hint="eastAsia" w:ascii="宋体"/>
          <w:b/>
          <w:bCs/>
          <w:color w:val="000000"/>
          <w:kern w:val="0"/>
          <w:sz w:val="24"/>
          <w:lang w:eastAsia="zh-CN"/>
        </w:rPr>
      </w:pPr>
      <w:r>
        <w:rPr>
          <w:rFonts w:hint="eastAsia" w:ascii="宋体"/>
          <w:color w:val="000000"/>
          <w:kern w:val="0"/>
          <w:sz w:val="24"/>
        </w:rPr>
        <w:t>投标人需向招标人提供</w:t>
      </w:r>
      <w:r>
        <w:rPr>
          <w:rFonts w:hint="eastAsia" w:ascii="宋体"/>
          <w:color w:val="000000"/>
          <w:kern w:val="0"/>
          <w:sz w:val="24"/>
          <w:lang w:eastAsia="zh-CN"/>
        </w:rPr>
        <w:t>应标</w:t>
      </w:r>
      <w:r>
        <w:rPr>
          <w:rFonts w:hint="eastAsia" w:ascii="宋体"/>
          <w:color w:val="000000"/>
          <w:kern w:val="0"/>
          <w:sz w:val="24"/>
        </w:rPr>
        <w:t>的材料名称、规格型号、技术要求、质量要求、数量、交货办法和售后服务的承诺</w:t>
      </w:r>
      <w:r>
        <w:rPr>
          <w:rFonts w:hint="eastAsia" w:ascii="宋体"/>
          <w:color w:val="000000"/>
          <w:kern w:val="0"/>
          <w:sz w:val="24"/>
          <w:lang w:eastAsia="zh-CN"/>
        </w:rPr>
        <w:t>，</w:t>
      </w:r>
      <w:r>
        <w:rPr>
          <w:rFonts w:hint="eastAsia" w:ascii="宋体"/>
          <w:b/>
          <w:bCs/>
          <w:color w:val="000000"/>
          <w:kern w:val="0"/>
          <w:sz w:val="24"/>
          <w:lang w:eastAsia="zh-CN"/>
        </w:rPr>
        <w:t>否则按废标处理。</w:t>
      </w:r>
    </w:p>
    <w:p>
      <w:pPr>
        <w:spacing w:line="380" w:lineRule="exact"/>
        <w:ind w:firstLine="480" w:firstLineChars="200"/>
        <w:rPr>
          <w:rFonts w:hint="eastAsia" w:ascii="宋体"/>
          <w:color w:val="000000"/>
          <w:kern w:val="0"/>
          <w:sz w:val="24"/>
        </w:rPr>
      </w:pPr>
      <w:r>
        <w:rPr>
          <w:rFonts w:hint="eastAsia" w:ascii="宋体"/>
          <w:color w:val="000000"/>
          <w:kern w:val="0"/>
          <w:sz w:val="24"/>
        </w:rPr>
        <w:t>(2)投标人应向招标人提供产品的有关技术资料</w:t>
      </w:r>
      <w:r>
        <w:rPr>
          <w:rFonts w:hint="eastAsia" w:ascii="宋体"/>
          <w:color w:val="000000"/>
          <w:kern w:val="0"/>
          <w:sz w:val="24"/>
          <w:lang w:eastAsia="zh-CN"/>
        </w:rPr>
        <w:t>，</w:t>
      </w:r>
      <w:r>
        <w:rPr>
          <w:rFonts w:hint="eastAsia" w:ascii="宋体"/>
          <w:b/>
          <w:bCs/>
          <w:color w:val="000000"/>
          <w:kern w:val="0"/>
          <w:sz w:val="24"/>
          <w:lang w:eastAsia="zh-CN"/>
        </w:rPr>
        <w:t>否则按废标处理</w:t>
      </w:r>
      <w:r>
        <w:rPr>
          <w:rFonts w:hint="eastAsia" w:ascii="宋体"/>
          <w:color w:val="000000"/>
          <w:kern w:val="0"/>
          <w:sz w:val="24"/>
        </w:rPr>
        <w:t>。</w:t>
      </w:r>
    </w:p>
    <w:p>
      <w:pPr>
        <w:spacing w:line="380" w:lineRule="exact"/>
        <w:ind w:firstLine="472" w:firstLineChars="200"/>
        <w:rPr>
          <w:rFonts w:hint="eastAsia" w:ascii="宋体"/>
          <w:color w:val="000000"/>
          <w:spacing w:val="-2"/>
          <w:kern w:val="0"/>
          <w:sz w:val="24"/>
        </w:rPr>
      </w:pPr>
      <w:r>
        <w:rPr>
          <w:rFonts w:hint="eastAsia" w:ascii="宋体"/>
          <w:color w:val="000000"/>
          <w:spacing w:val="-2"/>
          <w:kern w:val="0"/>
          <w:sz w:val="24"/>
        </w:rPr>
        <w:t>(3)投标人应负责材料的运输、装卸，运达招标人指定</w:t>
      </w:r>
      <w:r>
        <w:rPr>
          <w:rFonts w:hint="eastAsia" w:ascii="宋体"/>
          <w:color w:val="000000"/>
          <w:spacing w:val="-2"/>
          <w:kern w:val="0"/>
          <w:sz w:val="24"/>
          <w:lang w:eastAsia="zh-CN"/>
        </w:rPr>
        <w:t>地点</w:t>
      </w:r>
      <w:r>
        <w:rPr>
          <w:rFonts w:hint="eastAsia" w:ascii="宋体"/>
          <w:color w:val="000000"/>
          <w:spacing w:val="-2"/>
          <w:kern w:val="0"/>
          <w:sz w:val="24"/>
        </w:rPr>
        <w:t>，并不收任何费用。</w:t>
      </w:r>
    </w:p>
    <w:p>
      <w:pPr>
        <w:spacing w:line="380" w:lineRule="exact"/>
        <w:ind w:firstLine="480" w:firstLineChars="200"/>
        <w:rPr>
          <w:rFonts w:hint="eastAsia" w:ascii="宋体"/>
          <w:color w:val="000000"/>
          <w:kern w:val="0"/>
          <w:sz w:val="24"/>
        </w:rPr>
      </w:pPr>
      <w:r>
        <w:rPr>
          <w:rFonts w:hint="eastAsia" w:ascii="宋体"/>
          <w:color w:val="000000"/>
          <w:kern w:val="0"/>
          <w:sz w:val="24"/>
        </w:rPr>
        <w:t>(4)投标人</w:t>
      </w:r>
      <w:r>
        <w:rPr>
          <w:rFonts w:hint="eastAsia" w:ascii="宋体"/>
          <w:color w:val="000000"/>
          <w:kern w:val="0"/>
          <w:sz w:val="24"/>
          <w:lang w:eastAsia="zh-CN"/>
        </w:rPr>
        <w:t>承诺</w:t>
      </w:r>
      <w:r>
        <w:rPr>
          <w:rFonts w:hint="eastAsia" w:ascii="宋体"/>
          <w:color w:val="000000"/>
          <w:kern w:val="0"/>
          <w:sz w:val="24"/>
        </w:rPr>
        <w:t>在接到招标人发货通知后，24小时内立即作出回应，并保证在120小时内将材料运达指定场地。</w:t>
      </w:r>
    </w:p>
    <w:p>
      <w:pPr>
        <w:spacing w:line="380" w:lineRule="exact"/>
        <w:ind w:firstLine="480" w:firstLineChars="200"/>
        <w:rPr>
          <w:rFonts w:hint="eastAsia" w:ascii="宋体"/>
          <w:color w:val="000000"/>
          <w:kern w:val="0"/>
          <w:sz w:val="24"/>
          <w:lang w:eastAsia="zh-CN"/>
        </w:rPr>
      </w:pPr>
      <w:r>
        <w:rPr>
          <w:rFonts w:hint="eastAsia" w:ascii="宋体"/>
          <w:color w:val="000000"/>
          <w:kern w:val="0"/>
          <w:sz w:val="24"/>
        </w:rPr>
        <w:t>(</w:t>
      </w:r>
      <w:r>
        <w:rPr>
          <w:rFonts w:hint="eastAsia" w:ascii="宋体"/>
          <w:color w:val="000000"/>
          <w:kern w:val="0"/>
          <w:sz w:val="24"/>
          <w:lang w:eastAsia="zh-CN"/>
        </w:rPr>
        <w:t>5)提供其他材料的出厂清单、价格及优惠率的承诺。</w:t>
      </w:r>
    </w:p>
    <w:p>
      <w:pPr>
        <w:spacing w:line="380" w:lineRule="exact"/>
        <w:ind w:firstLine="482" w:firstLineChars="200"/>
        <w:rPr>
          <w:rFonts w:hint="eastAsia" w:ascii="宋体"/>
          <w:b/>
          <w:bCs/>
          <w:color w:val="000000"/>
          <w:kern w:val="0"/>
          <w:sz w:val="24"/>
          <w:lang w:eastAsia="zh-CN"/>
        </w:rPr>
      </w:pPr>
      <w:r>
        <w:rPr>
          <w:rFonts w:hint="eastAsia" w:ascii="宋体"/>
          <w:b/>
          <w:bCs/>
          <w:color w:val="000000"/>
          <w:kern w:val="0"/>
          <w:sz w:val="24"/>
        </w:rPr>
        <w:t>(</w:t>
      </w:r>
      <w:r>
        <w:rPr>
          <w:rFonts w:hint="eastAsia" w:ascii="宋体"/>
          <w:b/>
          <w:bCs/>
          <w:color w:val="000000"/>
          <w:kern w:val="0"/>
          <w:sz w:val="24"/>
          <w:lang w:val="en-US" w:eastAsia="zh-CN"/>
        </w:rPr>
        <w:t>6</w:t>
      </w:r>
      <w:r>
        <w:rPr>
          <w:rFonts w:hint="eastAsia" w:ascii="宋体"/>
          <w:b/>
          <w:bCs/>
          <w:color w:val="000000"/>
          <w:kern w:val="0"/>
          <w:sz w:val="24"/>
          <w:lang w:eastAsia="zh-CN"/>
        </w:rPr>
        <w:t>)中标人在提供样品时需同时提供投标单价清单，否则按废标处理。</w:t>
      </w:r>
    </w:p>
    <w:p>
      <w:pPr>
        <w:spacing w:line="380" w:lineRule="exact"/>
        <w:ind w:firstLine="480" w:firstLineChars="200"/>
        <w:rPr>
          <w:rFonts w:hint="eastAsia" w:ascii="宋体"/>
          <w:color w:val="000000"/>
          <w:kern w:val="0"/>
          <w:sz w:val="24"/>
        </w:rPr>
      </w:pPr>
      <w:r>
        <w:rPr>
          <w:rFonts w:hint="eastAsia" w:ascii="宋体"/>
          <w:color w:val="000000"/>
          <w:kern w:val="0"/>
          <w:sz w:val="24"/>
        </w:rPr>
        <w:t>2、技术（措施及承诺）要求：</w:t>
      </w:r>
    </w:p>
    <w:p>
      <w:pPr>
        <w:spacing w:line="380" w:lineRule="exact"/>
        <w:ind w:firstLine="480" w:firstLineChars="200"/>
        <w:rPr>
          <w:rFonts w:hint="eastAsia" w:ascii="宋体"/>
          <w:color w:val="000000"/>
          <w:kern w:val="0"/>
          <w:sz w:val="24"/>
        </w:rPr>
      </w:pPr>
      <w:r>
        <w:rPr>
          <w:rFonts w:hint="eastAsia" w:ascii="宋体"/>
          <w:color w:val="000000"/>
          <w:kern w:val="0"/>
          <w:sz w:val="24"/>
        </w:rPr>
        <w:t>(1)投标人应按招标</w:t>
      </w:r>
      <w:r>
        <w:rPr>
          <w:rFonts w:hint="eastAsia" w:ascii="宋体"/>
          <w:color w:val="000000"/>
          <w:kern w:val="0"/>
          <w:sz w:val="24"/>
          <w:lang w:eastAsia="zh-CN"/>
        </w:rPr>
        <w:t>需求</w:t>
      </w:r>
      <w:r>
        <w:rPr>
          <w:rFonts w:hint="eastAsia" w:ascii="宋体"/>
          <w:color w:val="000000"/>
          <w:kern w:val="0"/>
          <w:sz w:val="24"/>
        </w:rPr>
        <w:t>规定的产品性能、技术要求、质量标准向招标人提供未经使用的全新产品。在施工过程中，招标人将不定期对投标人提供的材料进行抽样检查，并根据抽样检查结果作出相应处理。</w:t>
      </w:r>
    </w:p>
    <w:p>
      <w:pPr>
        <w:spacing w:line="380" w:lineRule="exact"/>
        <w:ind w:firstLine="480" w:firstLineChars="200"/>
        <w:rPr>
          <w:rFonts w:hint="eastAsia" w:ascii="宋体"/>
          <w:color w:val="000000"/>
          <w:kern w:val="0"/>
          <w:sz w:val="24"/>
        </w:rPr>
      </w:pPr>
      <w:r>
        <w:rPr>
          <w:rFonts w:hint="eastAsia" w:ascii="宋体"/>
          <w:color w:val="000000"/>
          <w:kern w:val="0"/>
          <w:sz w:val="24"/>
        </w:rPr>
        <w:t>(2)投标人应提供产品国家规定标准的产品质量合格证书</w:t>
      </w:r>
      <w:r>
        <w:rPr>
          <w:rFonts w:hint="eastAsia" w:ascii="宋体"/>
          <w:color w:val="000000"/>
          <w:kern w:val="0"/>
          <w:sz w:val="24"/>
          <w:lang w:eastAsia="zh-CN"/>
        </w:rPr>
        <w:t>，</w:t>
      </w:r>
      <w:r>
        <w:rPr>
          <w:rFonts w:hint="eastAsia" w:ascii="宋体"/>
          <w:b/>
          <w:bCs/>
          <w:color w:val="000000"/>
          <w:kern w:val="0"/>
          <w:sz w:val="24"/>
          <w:lang w:eastAsia="zh-CN"/>
        </w:rPr>
        <w:t>否则按废标处理</w:t>
      </w:r>
      <w:r>
        <w:rPr>
          <w:rFonts w:hint="eastAsia" w:ascii="宋体"/>
          <w:color w:val="000000"/>
          <w:kern w:val="0"/>
          <w:sz w:val="24"/>
        </w:rPr>
        <w:t>。</w:t>
      </w:r>
    </w:p>
    <w:p>
      <w:pPr>
        <w:spacing w:line="380" w:lineRule="exact"/>
        <w:ind w:firstLine="480" w:firstLineChars="200"/>
        <w:rPr>
          <w:rFonts w:hint="eastAsia" w:ascii="宋体"/>
          <w:color w:val="000000"/>
          <w:kern w:val="0"/>
          <w:sz w:val="24"/>
        </w:rPr>
      </w:pPr>
      <w:r>
        <w:rPr>
          <w:rFonts w:hint="eastAsia" w:ascii="宋体"/>
          <w:color w:val="000000"/>
          <w:kern w:val="0"/>
          <w:sz w:val="24"/>
        </w:rPr>
        <w:t>(3)投标人提供的质量保证期按本文件要求。在保证期内因产品本身的质量问题和运输装卸发生材料破损的，应由投标人提供更换，费用全部由投标人承担。</w:t>
      </w:r>
    </w:p>
    <w:p>
      <w:pPr>
        <w:spacing w:line="380" w:lineRule="exact"/>
        <w:ind w:firstLine="480" w:firstLineChars="200"/>
        <w:rPr>
          <w:rFonts w:hint="eastAsia" w:ascii="宋体"/>
          <w:color w:val="000000"/>
          <w:kern w:val="0"/>
          <w:sz w:val="24"/>
        </w:rPr>
      </w:pPr>
      <w:r>
        <w:rPr>
          <w:rFonts w:hint="eastAsia" w:ascii="宋体"/>
          <w:color w:val="000000"/>
          <w:kern w:val="0"/>
          <w:sz w:val="24"/>
        </w:rPr>
        <w:t>(4)投标人所提供的管材、配件应印有厂家出厂时的永久性标志，标志至少应包括：生产厂名或商标；公称外径、压力；生产日期；采用标准号；“标准尺寸比”或“SDR”；“水”或“water”字样（仅适用于饮水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color w:val="000000"/>
          <w:kern w:val="0"/>
          <w:sz w:val="24"/>
        </w:rPr>
      </w:pPr>
      <w:r>
        <w:rPr>
          <w:rFonts w:hint="eastAsia" w:ascii="宋体"/>
          <w:color w:val="000000"/>
          <w:kern w:val="0"/>
          <w:sz w:val="24"/>
        </w:rPr>
        <w:t>(5)管材的内外表面应清洁、光滑，不允许有气泡和明显的划伤、凹痕、杂质、颜色不均等缺陷，管端头应切割平整，并与管轴线垂直。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color w:val="000000"/>
          <w:kern w:val="0"/>
          <w:sz w:val="24"/>
        </w:rPr>
      </w:pPr>
      <w:r>
        <w:rPr>
          <w:rFonts w:hint="eastAsia" w:ascii="宋体"/>
          <w:color w:val="000000"/>
          <w:kern w:val="0"/>
          <w:sz w:val="24"/>
        </w:rPr>
        <w:t>(6)饮用水管材颜色为蓝色或黑色，黑色管上应有</w:t>
      </w:r>
      <w:r>
        <w:rPr>
          <w:rFonts w:hint="eastAsia" w:ascii="宋体"/>
          <w:color w:val="000000"/>
          <w:kern w:val="0"/>
          <w:sz w:val="24"/>
          <w:lang w:eastAsia="zh-CN"/>
        </w:rPr>
        <w:t>共</w:t>
      </w:r>
      <w:r>
        <w:rPr>
          <w:rFonts w:hint="default" w:ascii="宋体"/>
          <w:color w:val="000000"/>
          <w:kern w:val="0"/>
          <w:sz w:val="24"/>
        </w:rPr>
        <w:t>挤出蓝色色条</w:t>
      </w:r>
      <w:r>
        <w:rPr>
          <w:rFonts w:hint="eastAsia" w:ascii="宋体"/>
          <w:color w:val="000000"/>
          <w:kern w:val="0"/>
          <w:sz w:val="24"/>
        </w:rPr>
        <w:t>，色条沿管材纵向至少有三条。</w:t>
      </w:r>
    </w:p>
    <w:p>
      <w:pPr>
        <w:spacing w:line="240" w:lineRule="auto"/>
        <w:rPr>
          <w:rFonts w:hint="eastAsia"/>
          <w:b/>
          <w:bCs/>
          <w:sz w:val="30"/>
          <w:szCs w:val="30"/>
          <w:lang w:eastAsia="zh-CN"/>
        </w:rPr>
      </w:pPr>
      <w:r>
        <w:rPr>
          <w:rFonts w:hint="eastAsia"/>
          <w:b/>
          <w:bCs/>
          <w:sz w:val="30"/>
          <w:szCs w:val="30"/>
          <w:lang w:eastAsia="zh-CN"/>
        </w:rPr>
        <w:t>八、验收要求</w:t>
      </w:r>
    </w:p>
    <w:p>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kern w:val="0"/>
          <w:sz w:val="24"/>
          <w:szCs w:val="24"/>
        </w:rPr>
      </w:pPr>
      <w:r>
        <w:rPr>
          <w:rFonts w:hint="eastAsia" w:ascii="宋体" w:hAnsi="宋体" w:eastAsia="宋体" w:cs="宋体"/>
        </w:rPr>
        <w:t>1、</w:t>
      </w:r>
      <w:r>
        <w:rPr>
          <w:rFonts w:hint="eastAsia" w:ascii="宋体" w:hAnsi="宋体" w:eastAsia="宋体" w:cs="宋体"/>
          <w:kern w:val="0"/>
          <w:sz w:val="24"/>
          <w:szCs w:val="24"/>
        </w:rPr>
        <w:t>以上产品的质量、技术标准符合中华人民共和国有关部门颁布的最新国家标准，本次投标所用材料均须满足安全、环保要求，使用功能保证满足采购人需求，供货完毕后，提交产品说明书、检测合格证明等向招标人申请验收。</w:t>
      </w:r>
    </w:p>
    <w:p>
      <w:pPr>
        <w:pStyle w:val="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宋体" w:hAnsi="宋体" w:eastAsia="宋体" w:cs="宋体"/>
          <w:b/>
          <w:kern w:val="0"/>
          <w:sz w:val="24"/>
          <w:szCs w:val="24"/>
        </w:rPr>
      </w:pPr>
      <w:r>
        <w:rPr>
          <w:rFonts w:hint="eastAsia" w:ascii="宋体" w:hAnsi="宋体" w:eastAsia="宋体" w:cs="宋体"/>
          <w:kern w:val="0"/>
          <w:sz w:val="24"/>
          <w:szCs w:val="24"/>
        </w:rPr>
        <w:t>2、中标方提供的货物质量必须符合采购人提供的技术参数的规定要求，达到国家质量检测标准或相关行业标准，所有中标产品需提供由具有国家质量检测资质的第三方出具的符合国家标准要求的检测合格报告。如中标方不能提供第三方出具的产品检测合格证，经业主抽检不合格的</w:t>
      </w:r>
      <w:r>
        <w:rPr>
          <w:rFonts w:hint="eastAsia" w:ascii="宋体" w:hAnsi="宋体" w:eastAsia="宋体" w:cs="宋体"/>
          <w:b/>
          <w:kern w:val="0"/>
          <w:sz w:val="24"/>
          <w:szCs w:val="24"/>
        </w:rPr>
        <w:t>（检测费用由供应商承担）</w:t>
      </w:r>
      <w:r>
        <w:rPr>
          <w:rFonts w:hint="eastAsia" w:ascii="宋体" w:hAnsi="宋体" w:eastAsia="宋体" w:cs="宋体"/>
          <w:kern w:val="0"/>
          <w:sz w:val="24"/>
          <w:szCs w:val="24"/>
        </w:rPr>
        <w:t>，采购人有权中止协议，并承担由此造成的损失。</w:t>
      </w:r>
    </w:p>
    <w:p>
      <w:pPr>
        <w:spacing w:line="240" w:lineRule="auto"/>
        <w:rPr>
          <w:rFonts w:hint="eastAsia"/>
          <w:b/>
          <w:bCs/>
          <w:sz w:val="30"/>
          <w:szCs w:val="30"/>
          <w:lang w:eastAsia="zh-CN"/>
        </w:rPr>
      </w:pPr>
      <w:r>
        <w:rPr>
          <w:rFonts w:hint="eastAsia"/>
          <w:b/>
          <w:bCs/>
          <w:sz w:val="30"/>
          <w:szCs w:val="30"/>
          <w:lang w:eastAsia="zh-CN"/>
        </w:rPr>
        <w:t>九、其他</w:t>
      </w:r>
    </w:p>
    <w:p>
      <w:pPr>
        <w:pStyle w:val="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、投标人中标后，运达</w:t>
      </w:r>
      <w:r>
        <w:rPr>
          <w:rFonts w:hint="eastAsia" w:ascii="宋体" w:hAnsi="宋体" w:eastAsia="宋体" w:cs="宋体"/>
          <w:kern w:val="0"/>
          <w:sz w:val="24"/>
          <w:szCs w:val="24"/>
          <w:lang w:eastAsia="zh-CN"/>
        </w:rPr>
        <w:t>指定地点</w:t>
      </w:r>
      <w:r>
        <w:rPr>
          <w:rFonts w:hint="eastAsia" w:ascii="宋体" w:hAnsi="宋体" w:eastAsia="宋体" w:cs="宋体"/>
          <w:kern w:val="0"/>
          <w:sz w:val="24"/>
          <w:szCs w:val="24"/>
        </w:rPr>
        <w:t>的管材</w:t>
      </w:r>
      <w:r>
        <w:rPr>
          <w:rFonts w:hint="eastAsia" w:ascii="宋体" w:hAnsi="宋体" w:eastAsia="宋体" w:cs="宋体"/>
          <w:kern w:val="0"/>
          <w:sz w:val="24"/>
          <w:szCs w:val="24"/>
          <w:lang w:eastAsia="zh-CN"/>
        </w:rPr>
        <w:t>及管件</w:t>
      </w:r>
      <w:r>
        <w:rPr>
          <w:rFonts w:hint="eastAsia" w:ascii="宋体" w:hAnsi="宋体" w:eastAsia="宋体" w:cs="宋体"/>
          <w:kern w:val="0"/>
          <w:sz w:val="24"/>
          <w:szCs w:val="24"/>
        </w:rPr>
        <w:t>必须经招标单位和监理单位随机抽样（每批次每个型号至少一组）送有资质的第三方进行检测，如果有任一组样品检测不合格，则同批次的所有管材</w:t>
      </w:r>
      <w:r>
        <w:rPr>
          <w:rFonts w:hint="eastAsia" w:ascii="宋体" w:hAnsi="宋体" w:eastAsia="宋体" w:cs="宋体"/>
          <w:kern w:val="0"/>
          <w:sz w:val="24"/>
          <w:szCs w:val="24"/>
          <w:lang w:eastAsia="zh-CN"/>
        </w:rPr>
        <w:t>及管件</w:t>
      </w:r>
      <w:r>
        <w:rPr>
          <w:rFonts w:hint="eastAsia" w:ascii="宋体" w:hAnsi="宋体" w:eastAsia="宋体" w:cs="宋体"/>
          <w:kern w:val="0"/>
          <w:sz w:val="24"/>
          <w:szCs w:val="24"/>
        </w:rPr>
        <w:t>无条件退回中标单位。中标单位应在该检测结果出具并显示合格后才能将材料运抵</w:t>
      </w:r>
      <w:r>
        <w:rPr>
          <w:rFonts w:hint="eastAsia" w:ascii="宋体" w:hAnsi="宋体" w:eastAsia="宋体" w:cs="宋体"/>
          <w:kern w:val="0"/>
          <w:sz w:val="24"/>
          <w:szCs w:val="24"/>
          <w:lang w:eastAsia="zh-CN"/>
        </w:rPr>
        <w:t>项目所在地</w:t>
      </w:r>
      <w:r>
        <w:rPr>
          <w:rFonts w:hint="eastAsia" w:ascii="宋体" w:hAnsi="宋体" w:eastAsia="宋体" w:cs="宋体"/>
          <w:kern w:val="0"/>
          <w:sz w:val="24"/>
          <w:szCs w:val="24"/>
        </w:rPr>
        <w:t>。</w:t>
      </w:r>
    </w:p>
    <w:p>
      <w:pPr>
        <w:pStyle w:val="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、中标单位应按招标人要求在规定时间将管材</w:t>
      </w:r>
      <w:r>
        <w:rPr>
          <w:rFonts w:hint="eastAsia" w:ascii="宋体" w:hAnsi="宋体" w:eastAsia="宋体" w:cs="宋体"/>
          <w:kern w:val="0"/>
          <w:sz w:val="24"/>
          <w:szCs w:val="24"/>
          <w:lang w:eastAsia="zh-CN"/>
        </w:rPr>
        <w:t>及管件</w:t>
      </w:r>
      <w:r>
        <w:rPr>
          <w:rFonts w:hint="eastAsia" w:ascii="宋体" w:hAnsi="宋体" w:eastAsia="宋体" w:cs="宋体"/>
          <w:kern w:val="0"/>
          <w:sz w:val="24"/>
          <w:szCs w:val="24"/>
        </w:rPr>
        <w:t>送达</w:t>
      </w:r>
      <w:r>
        <w:rPr>
          <w:rFonts w:hint="eastAsia" w:ascii="宋体" w:hAnsi="宋体" w:eastAsia="宋体" w:cs="宋体"/>
          <w:kern w:val="0"/>
          <w:sz w:val="24"/>
          <w:szCs w:val="24"/>
          <w:lang w:eastAsia="zh-CN"/>
        </w:rPr>
        <w:t>指定地点</w:t>
      </w:r>
      <w:r>
        <w:rPr>
          <w:rFonts w:hint="eastAsia" w:ascii="宋体" w:hAnsi="宋体" w:eastAsia="宋体" w:cs="宋体"/>
          <w:kern w:val="0"/>
          <w:sz w:val="24"/>
          <w:szCs w:val="24"/>
        </w:rPr>
        <w:t>。</w:t>
      </w:r>
    </w:p>
    <w:p>
      <w:pPr>
        <w:pStyle w:val="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、货物送达</w:t>
      </w:r>
      <w:r>
        <w:rPr>
          <w:rFonts w:hint="eastAsia" w:ascii="宋体" w:hAnsi="宋体" w:eastAsia="宋体" w:cs="宋体"/>
          <w:kern w:val="0"/>
          <w:sz w:val="24"/>
          <w:szCs w:val="24"/>
          <w:lang w:eastAsia="zh-CN"/>
        </w:rPr>
        <w:t>指定地点</w:t>
      </w:r>
      <w:r>
        <w:rPr>
          <w:rFonts w:hint="eastAsia" w:ascii="宋体" w:hAnsi="宋体" w:eastAsia="宋体" w:cs="宋体"/>
          <w:kern w:val="0"/>
          <w:sz w:val="24"/>
          <w:szCs w:val="24"/>
        </w:rPr>
        <w:t>时，应由项目实施单位代表进行当场验货，并签字确认。</w:t>
      </w:r>
    </w:p>
    <w:p>
      <w:pPr>
        <w:pStyle w:val="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4、</w:t>
      </w:r>
      <w:r>
        <w:rPr>
          <w:rFonts w:hint="eastAsia" w:ascii="宋体" w:hAnsi="宋体" w:cs="宋体"/>
          <w:sz w:val="24"/>
          <w:szCs w:val="24"/>
        </w:rPr>
        <w:t>本</w:t>
      </w:r>
      <w:r>
        <w:rPr>
          <w:rFonts w:hint="eastAsia" w:ascii="宋体" w:hAnsi="宋体" w:eastAsia="宋体" w:cs="宋体"/>
          <w:sz w:val="24"/>
          <w:szCs w:val="24"/>
          <w:lang w:eastAsia="zh-CN"/>
        </w:rPr>
        <w:t>文件</w:t>
      </w:r>
      <w:r>
        <w:rPr>
          <w:rFonts w:hint="eastAsia" w:ascii="宋体" w:hAnsi="宋体" w:cs="宋体"/>
          <w:sz w:val="24"/>
          <w:szCs w:val="24"/>
        </w:rPr>
        <w:t>以上提供的所有文件</w:t>
      </w:r>
      <w:r>
        <w:rPr>
          <w:rFonts w:hint="eastAsia" w:ascii="宋体" w:hAnsi="宋体" w:cs="宋体"/>
          <w:sz w:val="24"/>
        </w:rPr>
        <w:t>标</w:t>
      </w:r>
      <w:r>
        <w:rPr>
          <w:rFonts w:hint="eastAsia" w:ascii="宋体" w:hAnsi="宋体" w:cs="宋体"/>
          <w:sz w:val="24"/>
          <w:szCs w:val="24"/>
        </w:rPr>
        <w:t>准及技术规程若已更新，均以更新后的标准及规程为准执行</w:t>
      </w:r>
      <w:r>
        <w:rPr>
          <w:rFonts w:hint="eastAsia" w:ascii="宋体" w:hAnsi="宋体" w:eastAsia="宋体" w:cs="宋体"/>
          <w:sz w:val="24"/>
          <w:szCs w:val="24"/>
          <w:lang w:eastAsia="zh-CN"/>
        </w:rPr>
        <w:t>。</w:t>
      </w:r>
    </w:p>
    <w:p>
      <w:pPr>
        <w:spacing w:line="240" w:lineRule="auto"/>
        <w:rPr>
          <w:rFonts w:hint="eastAsia"/>
          <w:b/>
          <w:bCs/>
          <w:sz w:val="30"/>
          <w:szCs w:val="30"/>
          <w:lang w:val="en-US" w:eastAsia="zh-CN"/>
        </w:rPr>
      </w:pPr>
      <w:r>
        <w:rPr>
          <w:rFonts w:hint="eastAsia"/>
          <w:b/>
          <w:bCs/>
          <w:sz w:val="30"/>
          <w:szCs w:val="30"/>
          <w:lang w:eastAsia="zh-CN"/>
        </w:rPr>
        <w:t>十、商务要求</w:t>
      </w:r>
    </w:p>
    <w:p>
      <w:pPr>
        <w:keepNext w:val="0"/>
        <w:keepLines w:val="0"/>
        <w:pageBreakBefore w:val="0"/>
        <w:kinsoku/>
        <w:wordWrap/>
        <w:topLinePunct w:val="0"/>
        <w:bidi w:val="0"/>
        <w:snapToGrid/>
        <w:spacing w:line="400" w:lineRule="exact"/>
        <w:ind w:firstLine="472" w:firstLineChars="196"/>
        <w:outlineLvl w:val="9"/>
        <w:rPr>
          <w:rFonts w:hint="eastAsia"/>
          <w:b/>
          <w:bCs/>
          <w:sz w:val="24"/>
          <w:lang w:eastAsia="zh-CN"/>
        </w:rPr>
      </w:pPr>
      <w:r>
        <w:rPr>
          <w:rFonts w:hint="eastAsia"/>
          <w:b/>
          <w:bCs/>
          <w:sz w:val="24"/>
          <w:lang w:eastAsia="zh-CN"/>
        </w:rPr>
        <w:t>（一）服务要求</w:t>
      </w:r>
    </w:p>
    <w:p>
      <w:pPr>
        <w:keepNext w:val="0"/>
        <w:keepLines w:val="0"/>
        <w:pageBreakBefore w:val="0"/>
        <w:kinsoku/>
        <w:wordWrap/>
        <w:topLinePunct w:val="0"/>
        <w:bidi w:val="0"/>
        <w:snapToGrid/>
        <w:spacing w:line="400" w:lineRule="exact"/>
        <w:ind w:right="-105" w:rightChars="-50" w:firstLine="480" w:firstLineChars="200"/>
        <w:outlineLvl w:val="9"/>
        <w:rPr>
          <w:rFonts w:hint="eastAsia"/>
          <w:b/>
          <w:sz w:val="24"/>
        </w:rPr>
      </w:pPr>
      <w:r>
        <w:rPr>
          <w:rFonts w:hint="eastAsia"/>
          <w:sz w:val="24"/>
        </w:rPr>
        <w:t>1、</w:t>
      </w:r>
      <w:r>
        <w:rPr>
          <w:rFonts w:hint="eastAsia"/>
          <w:b/>
          <w:sz w:val="24"/>
        </w:rPr>
        <w:t>基本保修条款：保修期为工程验收合格之日起不少于</w:t>
      </w:r>
      <w:r>
        <w:rPr>
          <w:rFonts w:hint="eastAsia"/>
          <w:b/>
          <w:sz w:val="24"/>
          <w:u w:val="single"/>
        </w:rPr>
        <w:t xml:space="preserve"> </w:t>
      </w:r>
      <w:r>
        <w:rPr>
          <w:rFonts w:hint="eastAsia"/>
          <w:b/>
          <w:sz w:val="24"/>
          <w:u w:val="single"/>
          <w:lang w:eastAsia="zh-CN"/>
        </w:rPr>
        <w:t>贰</w:t>
      </w:r>
      <w:r>
        <w:rPr>
          <w:rFonts w:hint="eastAsia"/>
          <w:b/>
          <w:sz w:val="24"/>
          <w:u w:val="single"/>
        </w:rPr>
        <w:t xml:space="preserve"> </w:t>
      </w:r>
      <w:r>
        <w:rPr>
          <w:rFonts w:hint="eastAsia"/>
          <w:b/>
          <w:sz w:val="24"/>
        </w:rPr>
        <w:t>年。</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2" w:firstLineChars="200"/>
        <w:jc w:val="left"/>
        <w:textAlignment w:val="baseline"/>
        <w:outlineLvl w:val="9"/>
        <w:rPr>
          <w:rFonts w:hint="eastAsia" w:ascii="宋体" w:hAnsi="宋体"/>
          <w:b/>
          <w:color w:val="000000"/>
          <w:kern w:val="0"/>
          <w:sz w:val="24"/>
        </w:rPr>
      </w:pPr>
      <w:r>
        <w:rPr>
          <w:rFonts w:hint="eastAsia" w:ascii="宋体" w:hAnsi="宋体"/>
          <w:b/>
          <w:color w:val="000000"/>
          <w:kern w:val="0"/>
          <w:sz w:val="24"/>
        </w:rPr>
        <w:t>2、提供的产品须包括以下工作服务（但不仅限于以下）：</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（1）提供产品样本和使用说明书；</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（2）按工程业主认可的型号规格、数量和材料进行加工、制造、采购、供货；</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（3）运输及装车：运输至工程业主指定工地现场，卸货并有序摆放；</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（4）中标供应商应负责提供完整的中文操作维护使用手册。</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（5）中标供应商应对</w:t>
      </w:r>
      <w:r>
        <w:rPr>
          <w:rFonts w:hint="eastAsia" w:ascii="宋体" w:hAnsi="宋体"/>
          <w:kern w:val="0"/>
          <w:sz w:val="24"/>
        </w:rPr>
        <w:t>提供的产品</w:t>
      </w:r>
      <w:r>
        <w:rPr>
          <w:rFonts w:hint="eastAsia" w:ascii="宋体" w:hAnsi="宋体"/>
          <w:color w:val="000000"/>
          <w:kern w:val="0"/>
          <w:sz w:val="24"/>
        </w:rPr>
        <w:t>符合技术规范、标准负责。</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（6）在交货时应附上原产地出厂说明文件、原产地出厂合格证书、原产地装箱清单（中文说明）。</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2" w:firstLineChars="200"/>
        <w:jc w:val="left"/>
        <w:textAlignment w:val="baseline"/>
        <w:outlineLvl w:val="9"/>
        <w:rPr>
          <w:rFonts w:hint="eastAsia" w:ascii="宋体" w:hAnsi="宋体"/>
          <w:b/>
          <w:color w:val="000000"/>
          <w:kern w:val="0"/>
          <w:sz w:val="24"/>
        </w:rPr>
      </w:pPr>
      <w:bookmarkStart w:id="0" w:name="_Toc360713231"/>
      <w:r>
        <w:rPr>
          <w:rFonts w:hint="eastAsia" w:ascii="宋体" w:hAnsi="宋体"/>
          <w:b/>
          <w:color w:val="000000"/>
          <w:kern w:val="0"/>
          <w:sz w:val="24"/>
        </w:rPr>
        <w:t>3、售后服务</w:t>
      </w:r>
      <w:bookmarkEnd w:id="0"/>
      <w:r>
        <w:rPr>
          <w:rFonts w:hint="eastAsia" w:ascii="宋体" w:hAnsi="宋体"/>
          <w:b/>
          <w:color w:val="000000"/>
          <w:kern w:val="0"/>
          <w:sz w:val="24"/>
        </w:rPr>
        <w:t>：</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（1）在产品安装、调试阶段中标人应派技术人员常驻工地，配合调试。不能影响工程业主工期要求。</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（2）质保期内，因产品制造质量不良而产生损坏或不能正常工作，中标供应商应免费退换、维修和正常保养。</w:t>
      </w:r>
    </w:p>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outlineLvl w:val="9"/>
        <w:rPr>
          <w:rFonts w:hint="eastAsia" w:ascii="宋体" w:hAnsi="宋体"/>
          <w:color w:val="000000"/>
          <w:kern w:val="0"/>
          <w:sz w:val="24"/>
        </w:rPr>
      </w:pPr>
      <w:r>
        <w:rPr>
          <w:rFonts w:hint="eastAsia" w:ascii="宋体" w:hAnsi="宋体"/>
          <w:color w:val="000000"/>
          <w:kern w:val="0"/>
          <w:sz w:val="24"/>
        </w:rPr>
        <w:t>（3）在质保期内的工作应包括所有常规检查。具体的操作程序和内容须在合同特殊条款中说明。</w:t>
      </w:r>
    </w:p>
    <w:p>
      <w:pPr>
        <w:keepNext w:val="0"/>
        <w:keepLines w:val="0"/>
        <w:pageBreakBefore w:val="0"/>
        <w:kinsoku/>
        <w:wordWrap/>
        <w:topLinePunct w:val="0"/>
        <w:bidi w:val="0"/>
        <w:snapToGrid/>
        <w:spacing w:line="400" w:lineRule="exact"/>
        <w:ind w:firstLine="480" w:firstLineChars="200"/>
        <w:outlineLvl w:val="9"/>
        <w:rPr>
          <w:rFonts w:hint="eastAsia" w:hAnsi="宋体"/>
          <w:color w:val="000000"/>
          <w:sz w:val="24"/>
        </w:rPr>
      </w:pPr>
      <w:r>
        <w:rPr>
          <w:rFonts w:hint="eastAsia" w:hAnsi="宋体"/>
          <w:color w:val="000000"/>
          <w:sz w:val="24"/>
        </w:rPr>
        <w:t>（4）在质保期满时，工程业主负责技术的工程师和中标供应商代表对所有产品进行另一次测试。属质量故障的，须由中标人自费解决并取得工程业主的认可。</w:t>
      </w:r>
    </w:p>
    <w:p>
      <w:pPr>
        <w:keepNext w:val="0"/>
        <w:keepLines w:val="0"/>
        <w:pageBreakBefore w:val="0"/>
        <w:kinsoku/>
        <w:wordWrap/>
        <w:topLinePunct w:val="0"/>
        <w:bidi w:val="0"/>
        <w:snapToGrid/>
        <w:spacing w:line="400" w:lineRule="exact"/>
        <w:ind w:firstLine="480" w:firstLineChars="200"/>
        <w:outlineLvl w:val="9"/>
        <w:rPr>
          <w:rFonts w:hint="eastAsia" w:ascii="宋体" w:hAnsi="宋体"/>
          <w:color w:val="auto"/>
          <w:sz w:val="24"/>
        </w:rPr>
      </w:pPr>
      <w:r>
        <w:rPr>
          <w:rFonts w:hint="eastAsia" w:ascii="宋体" w:hAnsi="宋体"/>
          <w:color w:val="000000"/>
          <w:sz w:val="24"/>
        </w:rPr>
        <w:t>（5）中</w:t>
      </w:r>
      <w:r>
        <w:rPr>
          <w:rFonts w:hint="eastAsia" w:ascii="宋体" w:hAnsi="宋体"/>
          <w:color w:val="auto"/>
          <w:sz w:val="24"/>
        </w:rPr>
        <w:t>标供应商应按采购文件规定的产品性能、技术要求、质量标准向</w:t>
      </w:r>
      <w:r>
        <w:rPr>
          <w:rFonts w:hint="eastAsia" w:hAnsi="宋体"/>
          <w:color w:val="auto"/>
          <w:sz w:val="24"/>
        </w:rPr>
        <w:t>工程业主</w:t>
      </w:r>
      <w:r>
        <w:rPr>
          <w:rFonts w:hint="eastAsia" w:ascii="宋体" w:hAnsi="宋体"/>
          <w:color w:val="auto"/>
          <w:sz w:val="24"/>
        </w:rPr>
        <w:t>提供未经使用的全新产品。</w:t>
      </w:r>
    </w:p>
    <w:p>
      <w:pPr>
        <w:keepNext w:val="0"/>
        <w:keepLines w:val="0"/>
        <w:pageBreakBefore w:val="0"/>
        <w:kinsoku/>
        <w:wordWrap/>
        <w:topLinePunct w:val="0"/>
        <w:bidi w:val="0"/>
        <w:snapToGrid/>
        <w:spacing w:line="400" w:lineRule="exact"/>
        <w:ind w:firstLine="480" w:firstLineChars="200"/>
        <w:outlineLvl w:val="9"/>
        <w:rPr>
          <w:rFonts w:hint="eastAsia" w:ascii="宋体" w:hAnsi="宋体"/>
          <w:color w:val="auto"/>
          <w:sz w:val="24"/>
        </w:rPr>
      </w:pPr>
      <w:r>
        <w:rPr>
          <w:rFonts w:hint="eastAsia" w:ascii="宋体" w:hAnsi="宋体"/>
          <w:color w:val="auto"/>
          <w:sz w:val="24"/>
        </w:rPr>
        <w:t>（6）中标供应商应提供产品国家规定标准的产品质量合格证书。</w:t>
      </w:r>
    </w:p>
    <w:p>
      <w:pPr>
        <w:keepNext w:val="0"/>
        <w:keepLines w:val="0"/>
        <w:pageBreakBefore w:val="0"/>
        <w:kinsoku/>
        <w:wordWrap/>
        <w:topLinePunct w:val="0"/>
        <w:bidi w:val="0"/>
        <w:snapToGrid/>
        <w:spacing w:line="400" w:lineRule="exact"/>
        <w:ind w:firstLine="480" w:firstLineChars="200"/>
        <w:outlineLvl w:val="9"/>
        <w:rPr>
          <w:rFonts w:hint="eastAsia" w:ascii="宋体" w:cs="宋体"/>
          <w:color w:val="auto"/>
          <w:kern w:val="0"/>
          <w:sz w:val="24"/>
        </w:rPr>
      </w:pPr>
      <w:r>
        <w:rPr>
          <w:rFonts w:hint="eastAsia" w:ascii="宋体" w:hAnsi="宋体"/>
          <w:color w:val="auto"/>
          <w:sz w:val="24"/>
        </w:rPr>
        <w:t>（7）质保期内因产品本身的质量问题和运输装卸发生材料破损的，由中标供应商负责更换，费用全部由中标供应商承担。</w:t>
      </w:r>
      <w:bookmarkStart w:id="1" w:name="_Toc260899174"/>
    </w:p>
    <w:p>
      <w:pPr>
        <w:keepNext w:val="0"/>
        <w:keepLines w:val="0"/>
        <w:pageBreakBefore w:val="0"/>
        <w:kinsoku/>
        <w:wordWrap/>
        <w:topLinePunct w:val="0"/>
        <w:bidi w:val="0"/>
        <w:snapToGrid/>
        <w:spacing w:line="400" w:lineRule="exact"/>
        <w:ind w:firstLine="472" w:firstLineChars="196"/>
        <w:outlineLvl w:val="9"/>
        <w:rPr>
          <w:rFonts w:hint="eastAsia" w:ascii="宋体" w:hAnsi="宋体"/>
          <w:b/>
          <w:color w:val="auto"/>
          <w:spacing w:val="-6"/>
          <w:sz w:val="24"/>
        </w:rPr>
      </w:pPr>
      <w:r>
        <w:rPr>
          <w:rFonts w:hint="eastAsia" w:ascii="宋体" w:hAnsi="宋体"/>
          <w:b/>
          <w:bCs/>
          <w:color w:val="auto"/>
          <w:sz w:val="24"/>
        </w:rPr>
        <w:t>▲</w:t>
      </w:r>
      <w:r>
        <w:rPr>
          <w:rFonts w:hint="eastAsia"/>
          <w:b/>
          <w:bCs/>
          <w:color w:val="auto"/>
          <w:sz w:val="24"/>
        </w:rPr>
        <w:t>（</w:t>
      </w:r>
      <w:r>
        <w:rPr>
          <w:rFonts w:hint="eastAsia"/>
          <w:b/>
          <w:bCs/>
          <w:color w:val="auto"/>
          <w:sz w:val="24"/>
          <w:lang w:eastAsia="zh-CN"/>
        </w:rPr>
        <w:t>二</w:t>
      </w:r>
      <w:r>
        <w:rPr>
          <w:rFonts w:hint="eastAsia"/>
          <w:b/>
          <w:bCs/>
          <w:color w:val="auto"/>
          <w:sz w:val="24"/>
        </w:rPr>
        <w:t>）付款方式</w:t>
      </w:r>
      <w:bookmarkEnd w:id="1"/>
    </w:p>
    <w:p>
      <w:pPr>
        <w:keepNext w:val="0"/>
        <w:keepLines w:val="0"/>
        <w:pageBreakBefore w:val="0"/>
        <w:kinsoku/>
        <w:wordWrap/>
        <w:topLinePunct w:val="0"/>
        <w:bidi w:val="0"/>
        <w:snapToGrid/>
        <w:spacing w:line="400" w:lineRule="exact"/>
        <w:ind w:firstLine="480" w:firstLineChars="200"/>
        <w:outlineLvl w:val="9"/>
        <w:rPr>
          <w:rFonts w:hint="eastAsia"/>
          <w:color w:val="auto"/>
          <w:sz w:val="24"/>
        </w:rPr>
      </w:pPr>
      <w:r>
        <w:rPr>
          <w:rFonts w:hint="eastAsia" w:ascii="宋体" w:hAnsi="宋体"/>
          <w:color w:val="auto"/>
          <w:kern w:val="0"/>
          <w:sz w:val="24"/>
          <w:lang w:eastAsia="zh-CN"/>
        </w:rPr>
        <w:t>招标人</w:t>
      </w:r>
      <w:r>
        <w:rPr>
          <w:rFonts w:hint="eastAsia" w:ascii="宋体" w:hAnsi="宋体"/>
          <w:color w:val="auto"/>
          <w:kern w:val="0"/>
          <w:sz w:val="24"/>
        </w:rPr>
        <w:t>根据</w:t>
      </w:r>
      <w:r>
        <w:rPr>
          <w:rFonts w:hint="eastAsia" w:ascii="宋体" w:hAnsi="宋体"/>
          <w:color w:val="auto"/>
          <w:kern w:val="0"/>
          <w:sz w:val="24"/>
          <w:lang w:eastAsia="zh-CN"/>
        </w:rPr>
        <w:t>中标人</w:t>
      </w:r>
      <w:r>
        <w:rPr>
          <w:rFonts w:hint="eastAsia" w:ascii="宋体" w:hAnsi="宋体"/>
          <w:color w:val="auto"/>
          <w:kern w:val="0"/>
          <w:sz w:val="24"/>
        </w:rPr>
        <w:t>每次管材供货清单支付当次货款</w:t>
      </w:r>
      <w:r>
        <w:rPr>
          <w:rFonts w:hint="eastAsia" w:ascii="宋体" w:hAnsi="宋体"/>
          <w:color w:val="auto"/>
          <w:kern w:val="0"/>
          <w:sz w:val="24"/>
          <w:lang w:eastAsia="zh-CN"/>
        </w:rPr>
        <w:t>的</w:t>
      </w:r>
      <w:r>
        <w:rPr>
          <w:rFonts w:hint="eastAsia" w:ascii="宋体" w:hAnsi="宋体"/>
          <w:color w:val="auto"/>
          <w:kern w:val="0"/>
          <w:sz w:val="24"/>
          <w:lang w:val="en-US" w:eastAsia="zh-CN"/>
        </w:rPr>
        <w:t>80%</w:t>
      </w:r>
      <w:r>
        <w:rPr>
          <w:rFonts w:hint="eastAsia" w:ascii="宋体" w:hAnsi="宋体"/>
          <w:color w:val="auto"/>
          <w:kern w:val="0"/>
          <w:sz w:val="24"/>
        </w:rPr>
        <w:t>，最后一次支付货款时，</w:t>
      </w:r>
      <w:r>
        <w:rPr>
          <w:rFonts w:hint="eastAsia" w:ascii="宋体" w:hAnsi="宋体"/>
          <w:color w:val="auto"/>
          <w:kern w:val="0"/>
          <w:sz w:val="24"/>
          <w:lang w:eastAsia="zh-CN"/>
        </w:rPr>
        <w:t>支付至合同金额的</w:t>
      </w:r>
      <w:r>
        <w:rPr>
          <w:rFonts w:hint="eastAsia" w:ascii="宋体" w:hAnsi="宋体"/>
          <w:color w:val="auto"/>
          <w:kern w:val="0"/>
          <w:sz w:val="24"/>
          <w:lang w:val="en-US" w:eastAsia="zh-CN"/>
        </w:rPr>
        <w:t>97%</w:t>
      </w:r>
      <w:r>
        <w:rPr>
          <w:rFonts w:hint="eastAsia" w:ascii="宋体" w:hAnsi="宋体"/>
          <w:color w:val="auto"/>
          <w:kern w:val="0"/>
          <w:sz w:val="24"/>
        </w:rPr>
        <w:t>，</w:t>
      </w:r>
      <w:r>
        <w:rPr>
          <w:rFonts w:hint="eastAsia" w:ascii="宋体" w:hAnsi="宋体"/>
          <w:color w:val="auto"/>
          <w:kern w:val="0"/>
          <w:sz w:val="24"/>
          <w:lang w:eastAsia="zh-CN"/>
        </w:rPr>
        <w:t>预留合同金额的</w:t>
      </w:r>
      <w:r>
        <w:rPr>
          <w:rFonts w:hint="eastAsia" w:ascii="宋体" w:hAnsi="宋体"/>
          <w:color w:val="auto"/>
          <w:kern w:val="0"/>
          <w:sz w:val="24"/>
          <w:lang w:val="en-US" w:eastAsia="zh-CN"/>
        </w:rPr>
        <w:t>3%作为质量保证金，</w:t>
      </w:r>
      <w:r>
        <w:rPr>
          <w:rFonts w:hint="eastAsia" w:ascii="宋体" w:hAnsi="宋体"/>
          <w:color w:val="auto"/>
          <w:kern w:val="0"/>
          <w:sz w:val="24"/>
        </w:rPr>
        <w:t>待质保期满后1个月内，若无发生质量问题，无息退还。</w:t>
      </w:r>
      <w:r>
        <w:rPr>
          <w:rFonts w:hint="eastAsia"/>
          <w:color w:val="auto"/>
          <w:sz w:val="24"/>
        </w:rPr>
        <w:t>（注：货款发票卖方必须开具国家统一正式发票，否则货款不予支付。）</w:t>
      </w:r>
    </w:p>
    <w:p>
      <w:pPr>
        <w:spacing w:line="240" w:lineRule="auto"/>
        <w:rPr>
          <w:rFonts w:hint="eastAsia"/>
          <w:b/>
          <w:bCs/>
          <w:sz w:val="30"/>
          <w:szCs w:val="30"/>
          <w:lang w:eastAsia="zh-CN"/>
        </w:rPr>
      </w:pPr>
    </w:p>
    <w:p>
      <w:pPr>
        <w:rPr>
          <w:rFonts w:hint="eastAsia"/>
          <w:b/>
          <w:bCs/>
          <w:sz w:val="30"/>
          <w:szCs w:val="30"/>
          <w:lang w:eastAsia="zh-CN"/>
        </w:rPr>
      </w:pPr>
      <w:r>
        <w:rPr>
          <w:rFonts w:hint="eastAsia"/>
          <w:b/>
          <w:bCs/>
          <w:sz w:val="30"/>
          <w:szCs w:val="30"/>
          <w:lang w:eastAsia="zh-CN"/>
        </w:rPr>
        <w:br w:type="page"/>
      </w:r>
    </w:p>
    <w:p>
      <w:pPr>
        <w:spacing w:line="240" w:lineRule="auto"/>
        <w:jc w:val="center"/>
        <w:rPr>
          <w:rFonts w:hint="eastAsia"/>
          <w:sz w:val="36"/>
          <w:szCs w:val="36"/>
          <w:lang w:eastAsia="zh-CN"/>
        </w:rPr>
      </w:pPr>
      <w:r>
        <w:rPr>
          <w:rFonts w:hint="eastAsia"/>
          <w:b/>
          <w:bCs/>
          <w:sz w:val="36"/>
          <w:szCs w:val="36"/>
          <w:lang w:eastAsia="zh-CN"/>
        </w:rPr>
        <w:t>投标单价清单</w:t>
      </w:r>
    </w:p>
    <w:p>
      <w:pPr>
        <w:spacing w:line="300" w:lineRule="auto"/>
        <w:jc w:val="left"/>
        <w:rPr>
          <w:rFonts w:ascii="宋体" w:hAnsi="宋体"/>
          <w:sz w:val="24"/>
        </w:rPr>
      </w:pPr>
      <w:r>
        <w:rPr>
          <w:rFonts w:hint="eastAsia" w:ascii="宋体" w:hAnsi="宋体"/>
          <w:sz w:val="24"/>
        </w:rPr>
        <w:t>项目名称：</w:t>
      </w:r>
      <w:r>
        <w:rPr>
          <w:rFonts w:hint="eastAsia" w:ascii="宋体" w:hAnsi="宋体" w:cs="宋体"/>
          <w:color w:val="000000"/>
          <w:kern w:val="0"/>
          <w:sz w:val="24"/>
          <w:szCs w:val="24"/>
          <w:lang w:eastAsia="zh-CN"/>
        </w:rPr>
        <w:t>武义县壶山水厂管网延伸工程</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古义片</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——PE100给水管及管件采购</w:t>
      </w:r>
    </w:p>
    <w:tbl>
      <w:tblPr>
        <w:tblStyle w:val="5"/>
        <w:tblW w:w="9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14"/>
        <w:gridCol w:w="1197"/>
        <w:gridCol w:w="2489"/>
        <w:gridCol w:w="850"/>
        <w:gridCol w:w="776"/>
        <w:gridCol w:w="893"/>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r>
              <w:rPr>
                <w:rFonts w:hint="eastAsia" w:ascii="宋体" w:hAnsi="宋体"/>
                <w:sz w:val="24"/>
              </w:rPr>
              <w:t>序号</w:t>
            </w:r>
          </w:p>
        </w:tc>
        <w:tc>
          <w:tcPr>
            <w:tcW w:w="1714" w:type="dxa"/>
            <w:noWrap w:val="0"/>
            <w:vAlign w:val="center"/>
          </w:tcPr>
          <w:p>
            <w:pPr>
              <w:spacing w:line="300" w:lineRule="auto"/>
              <w:jc w:val="center"/>
              <w:rPr>
                <w:rFonts w:ascii="宋体" w:hAnsi="宋体"/>
                <w:sz w:val="24"/>
              </w:rPr>
            </w:pPr>
            <w:r>
              <w:rPr>
                <w:rFonts w:hint="eastAsia" w:ascii="宋体" w:hAnsi="宋体"/>
                <w:sz w:val="24"/>
                <w:lang w:eastAsia="zh-CN"/>
              </w:rPr>
              <w:t>货物</w:t>
            </w:r>
            <w:r>
              <w:rPr>
                <w:rFonts w:hint="eastAsia" w:ascii="宋体" w:hAnsi="宋体"/>
                <w:sz w:val="24"/>
              </w:rPr>
              <w:t>名称</w:t>
            </w:r>
          </w:p>
        </w:tc>
        <w:tc>
          <w:tcPr>
            <w:tcW w:w="1197" w:type="dxa"/>
            <w:tcBorders>
              <w:right w:val="single" w:color="auto" w:sz="4" w:space="0"/>
            </w:tcBorders>
            <w:noWrap w:val="0"/>
            <w:vAlign w:val="center"/>
          </w:tcPr>
          <w:p>
            <w:pPr>
              <w:spacing w:line="300" w:lineRule="auto"/>
              <w:jc w:val="center"/>
              <w:rPr>
                <w:rFonts w:ascii="宋体" w:hAnsi="宋体"/>
                <w:sz w:val="24"/>
              </w:rPr>
            </w:pPr>
            <w:r>
              <w:rPr>
                <w:rFonts w:hint="eastAsia" w:ascii="宋体" w:hAnsi="宋体"/>
                <w:sz w:val="24"/>
              </w:rPr>
              <w:t>品牌</w:t>
            </w:r>
          </w:p>
        </w:tc>
        <w:tc>
          <w:tcPr>
            <w:tcW w:w="2489" w:type="dxa"/>
            <w:tcBorders>
              <w:left w:val="single" w:color="auto" w:sz="4" w:space="0"/>
            </w:tcBorders>
            <w:noWrap w:val="0"/>
            <w:vAlign w:val="center"/>
          </w:tcPr>
          <w:p>
            <w:pPr>
              <w:spacing w:line="300" w:lineRule="auto"/>
              <w:jc w:val="center"/>
              <w:rPr>
                <w:rFonts w:ascii="宋体" w:hAnsi="宋体"/>
                <w:sz w:val="24"/>
              </w:rPr>
            </w:pPr>
            <w:r>
              <w:rPr>
                <w:rFonts w:hint="eastAsia" w:ascii="宋体" w:hAnsi="宋体"/>
                <w:sz w:val="24"/>
              </w:rPr>
              <w:t>主要技术参数及性能</w:t>
            </w:r>
          </w:p>
        </w:tc>
        <w:tc>
          <w:tcPr>
            <w:tcW w:w="850" w:type="dxa"/>
            <w:noWrap w:val="0"/>
            <w:vAlign w:val="center"/>
          </w:tcPr>
          <w:p>
            <w:pPr>
              <w:spacing w:line="300" w:lineRule="auto"/>
              <w:jc w:val="center"/>
              <w:rPr>
                <w:rFonts w:ascii="宋体" w:hAnsi="宋体"/>
                <w:sz w:val="24"/>
              </w:rPr>
            </w:pPr>
            <w:r>
              <w:rPr>
                <w:rFonts w:hint="eastAsia" w:ascii="宋体" w:hAnsi="宋体"/>
                <w:sz w:val="24"/>
              </w:rPr>
              <w:t>单位</w:t>
            </w:r>
          </w:p>
        </w:tc>
        <w:tc>
          <w:tcPr>
            <w:tcW w:w="776" w:type="dxa"/>
            <w:noWrap w:val="0"/>
            <w:vAlign w:val="center"/>
          </w:tcPr>
          <w:p>
            <w:pPr>
              <w:spacing w:line="300" w:lineRule="auto"/>
              <w:jc w:val="center"/>
              <w:rPr>
                <w:rFonts w:ascii="宋体" w:hAnsi="宋体"/>
                <w:sz w:val="24"/>
              </w:rPr>
            </w:pPr>
            <w:r>
              <w:rPr>
                <w:rFonts w:hint="eastAsia" w:ascii="宋体" w:hAnsi="宋体"/>
                <w:sz w:val="24"/>
              </w:rPr>
              <w:t>数量</w:t>
            </w:r>
          </w:p>
        </w:tc>
        <w:tc>
          <w:tcPr>
            <w:tcW w:w="893" w:type="dxa"/>
            <w:noWrap w:val="0"/>
            <w:vAlign w:val="center"/>
          </w:tcPr>
          <w:p>
            <w:pPr>
              <w:spacing w:line="300" w:lineRule="auto"/>
              <w:jc w:val="center"/>
              <w:rPr>
                <w:rFonts w:ascii="宋体" w:hAnsi="宋体"/>
                <w:sz w:val="24"/>
              </w:rPr>
            </w:pPr>
            <w:r>
              <w:rPr>
                <w:rFonts w:hint="eastAsia" w:ascii="宋体" w:hAnsi="宋体"/>
                <w:sz w:val="24"/>
              </w:rPr>
              <w:t>投标单价</w:t>
            </w:r>
          </w:p>
        </w:tc>
        <w:tc>
          <w:tcPr>
            <w:tcW w:w="1319" w:type="dxa"/>
            <w:noWrap w:val="0"/>
            <w:vAlign w:val="center"/>
          </w:tcPr>
          <w:p>
            <w:pPr>
              <w:spacing w:line="300" w:lineRule="auto"/>
              <w:jc w:val="center"/>
              <w:rPr>
                <w:rFonts w:ascii="宋体" w:hAnsi="宋体"/>
                <w:sz w:val="24"/>
              </w:rPr>
            </w:pPr>
            <w:r>
              <w:rPr>
                <w:rFonts w:hint="eastAsia" w:ascii="宋体" w:hAnsi="宋体"/>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7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2"/>
                <w:sz w:val="24"/>
                <w:szCs w:val="24"/>
                <w:u w:val="none"/>
                <w:lang w:val="en-US" w:eastAsia="zh-CN" w:bidi="ar-SA"/>
              </w:rPr>
            </w:pPr>
            <w:r>
              <w:rPr>
                <w:rFonts w:hint="eastAsia" w:ascii="宋体" w:hAnsi="宋体" w:eastAsia="宋体" w:cs="宋体"/>
                <w:i w:val="0"/>
                <w:color w:val="000000"/>
                <w:spacing w:val="-11"/>
                <w:kern w:val="0"/>
                <w:sz w:val="24"/>
                <w:szCs w:val="24"/>
                <w:u w:val="none"/>
                <w:lang w:val="en-US" w:eastAsia="zh-CN" w:bidi="ar"/>
              </w:rPr>
              <w:t>PE100级高密度聚乙烯给水管</w:t>
            </w: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24"/>
                <w:szCs w:val="24"/>
                <w:u w:val="none"/>
                <w:lang w:val="en-US" w:eastAsia="zh-CN" w:bidi="ar"/>
              </w:rPr>
            </w:pPr>
            <w:r>
              <w:rPr>
                <w:rFonts w:hint="eastAsia" w:ascii="宋体" w:hAnsi="宋体" w:eastAsia="宋体" w:cs="宋体"/>
                <w:i w:val="0"/>
                <w:color w:val="000000"/>
                <w:spacing w:val="-11"/>
                <w:kern w:val="0"/>
                <w:sz w:val="24"/>
                <w:szCs w:val="24"/>
                <w:u w:val="none"/>
                <w:lang w:val="en-US" w:eastAsia="zh-CN" w:bidi="ar"/>
              </w:rPr>
              <w:t>PN≥1.25MPa 110*8.1</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米</w:t>
            </w:r>
          </w:p>
        </w:tc>
        <w:tc>
          <w:tcPr>
            <w:tcW w:w="7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6320</w:t>
            </w: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7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2"/>
                <w:sz w:val="24"/>
                <w:szCs w:val="24"/>
                <w:u w:val="none"/>
                <w:lang w:val="en-US" w:eastAsia="zh-CN" w:bidi="ar-SA"/>
              </w:rPr>
            </w:pPr>
            <w:r>
              <w:rPr>
                <w:rFonts w:hint="eastAsia" w:ascii="宋体" w:hAnsi="宋体" w:eastAsia="宋体" w:cs="宋体"/>
                <w:i w:val="0"/>
                <w:color w:val="000000"/>
                <w:spacing w:val="-11"/>
                <w:kern w:val="0"/>
                <w:sz w:val="24"/>
                <w:szCs w:val="24"/>
                <w:u w:val="none"/>
                <w:lang w:val="en-US" w:eastAsia="zh-CN" w:bidi="ar"/>
              </w:rPr>
              <w:t>PE100级高密度聚乙烯给水管</w:t>
            </w: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24"/>
                <w:szCs w:val="24"/>
                <w:u w:val="none"/>
                <w:lang w:val="en-US" w:eastAsia="zh-CN" w:bidi="ar"/>
              </w:rPr>
            </w:pPr>
            <w:r>
              <w:rPr>
                <w:rFonts w:hint="eastAsia" w:ascii="宋体" w:hAnsi="宋体" w:eastAsia="宋体" w:cs="宋体"/>
                <w:i w:val="0"/>
                <w:color w:val="000000"/>
                <w:spacing w:val="-11"/>
                <w:kern w:val="0"/>
                <w:sz w:val="24"/>
                <w:szCs w:val="24"/>
                <w:u w:val="none"/>
                <w:lang w:val="en-US" w:eastAsia="zh-CN" w:bidi="ar"/>
              </w:rPr>
              <w:t>PN≥1.25MPa 75*5.6</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米</w:t>
            </w:r>
          </w:p>
        </w:tc>
        <w:tc>
          <w:tcPr>
            <w:tcW w:w="7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1090</w:t>
            </w: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1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PE三通</w:t>
            </w: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DN110*50</w:t>
            </w:r>
          </w:p>
        </w:tc>
        <w:tc>
          <w:tcPr>
            <w:tcW w:w="8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个</w:t>
            </w:r>
          </w:p>
        </w:tc>
        <w:tc>
          <w:tcPr>
            <w:tcW w:w="7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p>
        </w:tc>
        <w:tc>
          <w:tcPr>
            <w:tcW w:w="1714" w:type="dxa"/>
            <w:noWrap w:val="0"/>
            <w:vAlign w:val="center"/>
          </w:tcPr>
          <w:p>
            <w:pPr>
              <w:spacing w:line="300" w:lineRule="auto"/>
              <w:jc w:val="center"/>
              <w:rPr>
                <w:rFonts w:ascii="宋体" w:hAnsi="宋体"/>
                <w:sz w:val="24"/>
              </w:rPr>
            </w:pP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spacing w:line="300" w:lineRule="auto"/>
              <w:jc w:val="center"/>
              <w:rPr>
                <w:rFonts w:ascii="宋体" w:hAnsi="宋体"/>
                <w:sz w:val="24"/>
              </w:rPr>
            </w:pPr>
          </w:p>
        </w:tc>
        <w:tc>
          <w:tcPr>
            <w:tcW w:w="850" w:type="dxa"/>
            <w:noWrap w:val="0"/>
            <w:vAlign w:val="top"/>
          </w:tcPr>
          <w:p>
            <w:pPr>
              <w:spacing w:line="300" w:lineRule="auto"/>
              <w:jc w:val="center"/>
              <w:rPr>
                <w:rFonts w:ascii="宋体" w:hAnsi="宋体"/>
                <w:sz w:val="24"/>
              </w:rPr>
            </w:pPr>
          </w:p>
        </w:tc>
        <w:tc>
          <w:tcPr>
            <w:tcW w:w="776" w:type="dxa"/>
            <w:noWrap w:val="0"/>
            <w:vAlign w:val="center"/>
          </w:tcPr>
          <w:p>
            <w:pPr>
              <w:spacing w:line="300" w:lineRule="auto"/>
              <w:jc w:val="center"/>
              <w:rPr>
                <w:rFonts w:ascii="宋体" w:hAnsi="宋体"/>
                <w:sz w:val="24"/>
              </w:rPr>
            </w:pP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p>
        </w:tc>
        <w:tc>
          <w:tcPr>
            <w:tcW w:w="1714" w:type="dxa"/>
            <w:noWrap w:val="0"/>
            <w:vAlign w:val="center"/>
          </w:tcPr>
          <w:p>
            <w:pPr>
              <w:spacing w:line="300" w:lineRule="auto"/>
              <w:jc w:val="center"/>
              <w:rPr>
                <w:rFonts w:ascii="宋体" w:hAnsi="宋体"/>
                <w:sz w:val="24"/>
              </w:rPr>
            </w:pP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spacing w:line="300" w:lineRule="auto"/>
              <w:jc w:val="center"/>
              <w:rPr>
                <w:rFonts w:ascii="宋体" w:hAnsi="宋体"/>
                <w:sz w:val="24"/>
              </w:rPr>
            </w:pPr>
          </w:p>
        </w:tc>
        <w:tc>
          <w:tcPr>
            <w:tcW w:w="850" w:type="dxa"/>
            <w:noWrap w:val="0"/>
            <w:vAlign w:val="top"/>
          </w:tcPr>
          <w:p>
            <w:pPr>
              <w:spacing w:line="300" w:lineRule="auto"/>
              <w:jc w:val="center"/>
              <w:rPr>
                <w:rFonts w:ascii="宋体" w:hAnsi="宋体"/>
                <w:sz w:val="24"/>
              </w:rPr>
            </w:pPr>
          </w:p>
        </w:tc>
        <w:tc>
          <w:tcPr>
            <w:tcW w:w="776" w:type="dxa"/>
            <w:noWrap w:val="0"/>
            <w:vAlign w:val="center"/>
          </w:tcPr>
          <w:p>
            <w:pPr>
              <w:spacing w:line="300" w:lineRule="auto"/>
              <w:jc w:val="center"/>
              <w:rPr>
                <w:rFonts w:ascii="宋体" w:hAnsi="宋体"/>
                <w:sz w:val="24"/>
              </w:rPr>
            </w:pP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p>
        </w:tc>
        <w:tc>
          <w:tcPr>
            <w:tcW w:w="1714" w:type="dxa"/>
            <w:noWrap w:val="0"/>
            <w:vAlign w:val="center"/>
          </w:tcPr>
          <w:p>
            <w:pPr>
              <w:spacing w:line="300" w:lineRule="auto"/>
              <w:jc w:val="center"/>
              <w:rPr>
                <w:rFonts w:ascii="宋体" w:hAnsi="宋体"/>
                <w:sz w:val="24"/>
              </w:rPr>
            </w:pP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spacing w:line="300" w:lineRule="auto"/>
              <w:jc w:val="center"/>
              <w:rPr>
                <w:rFonts w:ascii="宋体" w:hAnsi="宋体"/>
                <w:sz w:val="24"/>
              </w:rPr>
            </w:pPr>
          </w:p>
        </w:tc>
        <w:tc>
          <w:tcPr>
            <w:tcW w:w="850" w:type="dxa"/>
            <w:noWrap w:val="0"/>
            <w:vAlign w:val="top"/>
          </w:tcPr>
          <w:p>
            <w:pPr>
              <w:spacing w:line="300" w:lineRule="auto"/>
              <w:jc w:val="center"/>
              <w:rPr>
                <w:rFonts w:ascii="宋体" w:hAnsi="宋体"/>
                <w:sz w:val="24"/>
              </w:rPr>
            </w:pPr>
          </w:p>
        </w:tc>
        <w:tc>
          <w:tcPr>
            <w:tcW w:w="776" w:type="dxa"/>
            <w:noWrap w:val="0"/>
            <w:vAlign w:val="center"/>
          </w:tcPr>
          <w:p>
            <w:pPr>
              <w:spacing w:line="300" w:lineRule="auto"/>
              <w:jc w:val="center"/>
              <w:rPr>
                <w:rFonts w:ascii="宋体" w:hAnsi="宋体"/>
                <w:sz w:val="24"/>
              </w:rPr>
            </w:pP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p>
        </w:tc>
        <w:tc>
          <w:tcPr>
            <w:tcW w:w="1714" w:type="dxa"/>
            <w:noWrap w:val="0"/>
            <w:vAlign w:val="center"/>
          </w:tcPr>
          <w:p>
            <w:pPr>
              <w:spacing w:line="300" w:lineRule="auto"/>
              <w:jc w:val="center"/>
              <w:rPr>
                <w:rFonts w:ascii="宋体" w:hAnsi="宋体"/>
                <w:sz w:val="24"/>
              </w:rPr>
            </w:pP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spacing w:line="300" w:lineRule="auto"/>
              <w:jc w:val="center"/>
              <w:rPr>
                <w:rFonts w:ascii="宋体" w:hAnsi="宋体"/>
                <w:sz w:val="24"/>
              </w:rPr>
            </w:pPr>
          </w:p>
        </w:tc>
        <w:tc>
          <w:tcPr>
            <w:tcW w:w="850" w:type="dxa"/>
            <w:noWrap w:val="0"/>
            <w:vAlign w:val="top"/>
          </w:tcPr>
          <w:p>
            <w:pPr>
              <w:spacing w:line="300" w:lineRule="auto"/>
              <w:jc w:val="center"/>
              <w:rPr>
                <w:rFonts w:ascii="宋体" w:hAnsi="宋体"/>
                <w:sz w:val="24"/>
              </w:rPr>
            </w:pPr>
          </w:p>
        </w:tc>
        <w:tc>
          <w:tcPr>
            <w:tcW w:w="776" w:type="dxa"/>
            <w:noWrap w:val="0"/>
            <w:vAlign w:val="center"/>
          </w:tcPr>
          <w:p>
            <w:pPr>
              <w:spacing w:line="300" w:lineRule="auto"/>
              <w:jc w:val="center"/>
              <w:rPr>
                <w:rFonts w:ascii="宋体" w:hAnsi="宋体"/>
                <w:sz w:val="24"/>
              </w:rPr>
            </w:pP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p>
        </w:tc>
        <w:tc>
          <w:tcPr>
            <w:tcW w:w="1714" w:type="dxa"/>
            <w:noWrap w:val="0"/>
            <w:vAlign w:val="center"/>
          </w:tcPr>
          <w:p>
            <w:pPr>
              <w:spacing w:line="300" w:lineRule="auto"/>
              <w:jc w:val="center"/>
              <w:rPr>
                <w:rFonts w:ascii="宋体" w:hAnsi="宋体"/>
                <w:sz w:val="24"/>
              </w:rPr>
            </w:pP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spacing w:line="300" w:lineRule="auto"/>
              <w:jc w:val="center"/>
              <w:rPr>
                <w:rFonts w:ascii="宋体" w:hAnsi="宋体"/>
                <w:sz w:val="24"/>
              </w:rPr>
            </w:pPr>
          </w:p>
        </w:tc>
        <w:tc>
          <w:tcPr>
            <w:tcW w:w="850" w:type="dxa"/>
            <w:noWrap w:val="0"/>
            <w:vAlign w:val="top"/>
          </w:tcPr>
          <w:p>
            <w:pPr>
              <w:spacing w:line="300" w:lineRule="auto"/>
              <w:jc w:val="center"/>
              <w:rPr>
                <w:rFonts w:ascii="宋体" w:hAnsi="宋体"/>
                <w:sz w:val="24"/>
              </w:rPr>
            </w:pPr>
          </w:p>
        </w:tc>
        <w:tc>
          <w:tcPr>
            <w:tcW w:w="776" w:type="dxa"/>
            <w:noWrap w:val="0"/>
            <w:vAlign w:val="center"/>
          </w:tcPr>
          <w:p>
            <w:pPr>
              <w:spacing w:line="300" w:lineRule="auto"/>
              <w:jc w:val="center"/>
              <w:rPr>
                <w:rFonts w:ascii="宋体" w:hAnsi="宋体"/>
                <w:sz w:val="24"/>
              </w:rPr>
            </w:pP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709" w:type="dxa"/>
            <w:noWrap w:val="0"/>
            <w:vAlign w:val="center"/>
          </w:tcPr>
          <w:p>
            <w:pPr>
              <w:spacing w:line="300" w:lineRule="auto"/>
              <w:jc w:val="center"/>
              <w:rPr>
                <w:rFonts w:ascii="宋体" w:hAnsi="宋体"/>
                <w:sz w:val="24"/>
              </w:rPr>
            </w:pPr>
          </w:p>
        </w:tc>
        <w:tc>
          <w:tcPr>
            <w:tcW w:w="1714" w:type="dxa"/>
            <w:noWrap w:val="0"/>
            <w:vAlign w:val="center"/>
          </w:tcPr>
          <w:p>
            <w:pPr>
              <w:spacing w:line="300" w:lineRule="auto"/>
              <w:jc w:val="center"/>
              <w:rPr>
                <w:rFonts w:ascii="宋体" w:hAnsi="宋体"/>
                <w:sz w:val="24"/>
              </w:rPr>
            </w:pPr>
          </w:p>
        </w:tc>
        <w:tc>
          <w:tcPr>
            <w:tcW w:w="1197" w:type="dxa"/>
            <w:tcBorders>
              <w:right w:val="single" w:color="auto" w:sz="4" w:space="0"/>
            </w:tcBorders>
            <w:noWrap w:val="0"/>
            <w:vAlign w:val="center"/>
          </w:tcPr>
          <w:p>
            <w:pPr>
              <w:spacing w:line="300" w:lineRule="auto"/>
              <w:jc w:val="center"/>
              <w:rPr>
                <w:rFonts w:ascii="宋体" w:hAnsi="宋体"/>
                <w:sz w:val="24"/>
              </w:rPr>
            </w:pPr>
          </w:p>
        </w:tc>
        <w:tc>
          <w:tcPr>
            <w:tcW w:w="2489" w:type="dxa"/>
            <w:tcBorders>
              <w:left w:val="single" w:color="auto" w:sz="4" w:space="0"/>
            </w:tcBorders>
            <w:noWrap w:val="0"/>
            <w:vAlign w:val="center"/>
          </w:tcPr>
          <w:p>
            <w:pPr>
              <w:spacing w:line="300" w:lineRule="auto"/>
              <w:jc w:val="center"/>
              <w:rPr>
                <w:rFonts w:ascii="宋体" w:hAnsi="宋体"/>
                <w:sz w:val="24"/>
              </w:rPr>
            </w:pPr>
          </w:p>
        </w:tc>
        <w:tc>
          <w:tcPr>
            <w:tcW w:w="850" w:type="dxa"/>
            <w:noWrap w:val="0"/>
            <w:vAlign w:val="top"/>
          </w:tcPr>
          <w:p>
            <w:pPr>
              <w:spacing w:line="300" w:lineRule="auto"/>
              <w:jc w:val="center"/>
              <w:rPr>
                <w:rFonts w:ascii="宋体" w:hAnsi="宋体"/>
                <w:sz w:val="24"/>
              </w:rPr>
            </w:pPr>
          </w:p>
        </w:tc>
        <w:tc>
          <w:tcPr>
            <w:tcW w:w="776" w:type="dxa"/>
            <w:noWrap w:val="0"/>
            <w:vAlign w:val="center"/>
          </w:tcPr>
          <w:p>
            <w:pPr>
              <w:spacing w:line="300" w:lineRule="auto"/>
              <w:jc w:val="center"/>
              <w:rPr>
                <w:rFonts w:ascii="宋体" w:hAnsi="宋体"/>
                <w:sz w:val="24"/>
              </w:rPr>
            </w:pPr>
          </w:p>
        </w:tc>
        <w:tc>
          <w:tcPr>
            <w:tcW w:w="893" w:type="dxa"/>
            <w:noWrap w:val="0"/>
            <w:vAlign w:val="center"/>
          </w:tcPr>
          <w:p>
            <w:pPr>
              <w:spacing w:line="300" w:lineRule="auto"/>
              <w:jc w:val="center"/>
              <w:rPr>
                <w:rFonts w:ascii="宋体" w:hAnsi="宋体"/>
                <w:sz w:val="24"/>
              </w:rPr>
            </w:pPr>
          </w:p>
        </w:tc>
        <w:tc>
          <w:tcPr>
            <w:tcW w:w="1319" w:type="dxa"/>
            <w:noWrap w:val="0"/>
            <w:vAlign w:val="top"/>
          </w:tcPr>
          <w:p>
            <w:pPr>
              <w:spacing w:line="30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3" w:type="dxa"/>
            <w:gridSpan w:val="2"/>
            <w:vMerge w:val="restart"/>
            <w:noWrap w:val="0"/>
            <w:vAlign w:val="center"/>
          </w:tcPr>
          <w:p>
            <w:pPr>
              <w:spacing w:line="300" w:lineRule="auto"/>
              <w:jc w:val="center"/>
              <w:rPr>
                <w:rFonts w:ascii="宋体" w:hAnsi="宋体"/>
                <w:b/>
                <w:bCs/>
                <w:sz w:val="24"/>
              </w:rPr>
            </w:pPr>
            <w:r>
              <w:rPr>
                <w:rFonts w:hint="eastAsia" w:ascii="宋体" w:hAnsi="宋体"/>
                <w:b/>
                <w:bCs/>
                <w:sz w:val="24"/>
              </w:rPr>
              <w:t>总金额</w:t>
            </w:r>
          </w:p>
        </w:tc>
        <w:tc>
          <w:tcPr>
            <w:tcW w:w="7524" w:type="dxa"/>
            <w:gridSpan w:val="6"/>
            <w:noWrap w:val="0"/>
            <w:vAlign w:val="center"/>
          </w:tcPr>
          <w:p>
            <w:pPr>
              <w:widowControl/>
              <w:spacing w:line="440" w:lineRule="exact"/>
              <w:jc w:val="center"/>
              <w:rPr>
                <w:rFonts w:ascii="宋体" w:hAnsi="宋体"/>
                <w:b/>
                <w:bCs/>
                <w:sz w:val="24"/>
                <w:szCs w:val="24"/>
              </w:rPr>
            </w:pPr>
            <w:r>
              <w:rPr>
                <w:rFonts w:hint="eastAsia" w:ascii="宋体" w:hAnsi="宋体"/>
                <w:b/>
                <w:bCs/>
                <w:sz w:val="24"/>
                <w:szCs w:val="24"/>
              </w:rPr>
              <w:t>元人民币（小写）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3" w:type="dxa"/>
            <w:gridSpan w:val="2"/>
            <w:vMerge w:val="continue"/>
            <w:noWrap w:val="0"/>
            <w:vAlign w:val="center"/>
          </w:tcPr>
          <w:p>
            <w:pPr>
              <w:spacing w:line="300" w:lineRule="auto"/>
              <w:jc w:val="center"/>
              <w:rPr>
                <w:rFonts w:ascii="宋体" w:hAnsi="宋体"/>
                <w:b/>
                <w:bCs/>
                <w:sz w:val="24"/>
              </w:rPr>
            </w:pPr>
          </w:p>
        </w:tc>
        <w:tc>
          <w:tcPr>
            <w:tcW w:w="7524" w:type="dxa"/>
            <w:gridSpan w:val="6"/>
            <w:noWrap w:val="0"/>
            <w:vAlign w:val="center"/>
          </w:tcPr>
          <w:p>
            <w:pPr>
              <w:widowControl/>
              <w:spacing w:line="440" w:lineRule="exact"/>
              <w:jc w:val="center"/>
              <w:rPr>
                <w:rFonts w:ascii="宋体" w:hAnsi="宋体"/>
                <w:b/>
                <w:bCs/>
                <w:sz w:val="24"/>
                <w:szCs w:val="24"/>
              </w:rPr>
            </w:pPr>
            <w:r>
              <w:rPr>
                <w:rFonts w:hint="eastAsia" w:ascii="宋体" w:hAnsi="宋体"/>
                <w:b/>
                <w:bCs/>
                <w:sz w:val="24"/>
                <w:szCs w:val="24"/>
              </w:rPr>
              <w:t>元人民币（大写）</w:t>
            </w:r>
          </w:p>
        </w:tc>
      </w:tr>
    </w:tbl>
    <w:p>
      <w:pPr>
        <w:spacing w:line="300" w:lineRule="auto"/>
        <w:jc w:val="left"/>
        <w:rPr>
          <w:rFonts w:hint="eastAsia" w:ascii="宋体" w:hAnsi="宋体"/>
          <w:sz w:val="24"/>
          <w:szCs w:val="24"/>
        </w:rPr>
      </w:pPr>
      <w:r>
        <w:rPr>
          <w:rFonts w:hint="eastAsia" w:ascii="宋体" w:hAnsi="宋体"/>
          <w:sz w:val="24"/>
          <w:szCs w:val="24"/>
        </w:rPr>
        <w:t>注：总金额为合同总金额，投标人填写的数量、单价须等于各对应类目固定的金额小计。产品的规格、数量不得少于招标文件规定，产品单价不得超过招标单价。规格、数量、单价、金额小计不符合要求的投标文件为无效标。</w:t>
      </w:r>
    </w:p>
    <w:p>
      <w:pPr>
        <w:spacing w:line="300" w:lineRule="auto"/>
        <w:rPr>
          <w:rFonts w:ascii="宋体" w:hAnsi="宋体"/>
          <w:b/>
          <w:sz w:val="24"/>
          <w:szCs w:val="24"/>
        </w:rPr>
      </w:pPr>
      <w:r>
        <w:rPr>
          <w:rFonts w:hint="eastAsia" w:ascii="宋体" w:hAnsi="宋体"/>
          <w:b/>
          <w:sz w:val="24"/>
          <w:szCs w:val="24"/>
        </w:rPr>
        <w:t>投标人名称（盖章）：</w:t>
      </w:r>
      <w:r>
        <w:rPr>
          <w:rFonts w:hint="eastAsia" w:ascii="宋体" w:hAnsi="宋体"/>
          <w:b/>
          <w:sz w:val="24"/>
          <w:szCs w:val="24"/>
          <w:u w:val="single"/>
        </w:rPr>
        <w:t xml:space="preserve">                    </w:t>
      </w:r>
      <w:r>
        <w:rPr>
          <w:rFonts w:hint="eastAsia" w:ascii="宋体" w:hAnsi="宋体"/>
          <w:b/>
          <w:sz w:val="24"/>
          <w:szCs w:val="24"/>
        </w:rPr>
        <w:t>日期:     年   月   日</w:t>
      </w:r>
    </w:p>
    <w:p>
      <w:pPr>
        <w:spacing w:line="300" w:lineRule="auto"/>
        <w:rPr>
          <w:rFonts w:ascii="宋体" w:hAnsi="宋体"/>
          <w:b/>
          <w:sz w:val="24"/>
          <w:szCs w:val="24"/>
        </w:rPr>
      </w:pPr>
      <w:r>
        <w:rPr>
          <w:rFonts w:hint="eastAsia" w:ascii="宋体" w:hAnsi="宋体"/>
          <w:b/>
          <w:sz w:val="24"/>
          <w:szCs w:val="24"/>
          <w:lang w:eastAsia="zh-CN"/>
        </w:rPr>
        <w:t>法</w:t>
      </w:r>
      <w:r>
        <w:rPr>
          <w:rFonts w:hint="eastAsia" w:ascii="宋体" w:hAnsi="宋体"/>
          <w:b/>
          <w:sz w:val="24"/>
          <w:szCs w:val="24"/>
        </w:rPr>
        <w:t>人代表签字：</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lang w:eastAsia="zh-CN"/>
        </w:rPr>
      </w:pPr>
      <w:r>
        <w:rPr>
          <w:rFonts w:hint="eastAsia" w:ascii="宋体" w:hAnsi="宋体"/>
          <w:b/>
          <w:bCs/>
          <w:sz w:val="24"/>
          <w:szCs w:val="24"/>
        </w:rPr>
        <w:t>备注：</w:t>
      </w:r>
      <w:r>
        <w:rPr>
          <w:rFonts w:hint="eastAsia" w:ascii="宋体" w:hAnsi="宋体"/>
          <w:b/>
          <w:bCs/>
          <w:sz w:val="24"/>
          <w:szCs w:val="24"/>
        </w:rPr>
        <w:t>投标报价为投标方所能承受的一次性最低报价，以人民币为结算币种，包括</w:t>
      </w:r>
      <w:r>
        <w:rPr>
          <w:rFonts w:hint="eastAsia" w:ascii="宋体" w:hAnsi="宋体"/>
          <w:b/>
          <w:bCs/>
          <w:sz w:val="24"/>
          <w:szCs w:val="24"/>
        </w:rPr>
        <w:t>运输、安装、调试、维护、售后服务、税金</w:t>
      </w:r>
      <w:r>
        <w:rPr>
          <w:rFonts w:hint="eastAsia" w:ascii="宋体" w:hAnsi="宋体"/>
          <w:b/>
          <w:bCs/>
          <w:sz w:val="24"/>
          <w:szCs w:val="24"/>
          <w:lang w:eastAsia="zh-CN"/>
        </w:rPr>
        <w:t>、本项目的招标代理服务费（按中标价的</w:t>
      </w:r>
      <w:r>
        <w:rPr>
          <w:rFonts w:hint="eastAsia" w:ascii="宋体" w:hAnsi="宋体"/>
          <w:b/>
          <w:bCs/>
          <w:sz w:val="24"/>
          <w:szCs w:val="24"/>
          <w:lang w:val="en-US" w:eastAsia="zh-CN"/>
        </w:rPr>
        <w:t>1.2%结算</w:t>
      </w:r>
      <w:r>
        <w:rPr>
          <w:rFonts w:hint="eastAsia" w:ascii="宋体" w:hAnsi="宋体"/>
          <w:b/>
          <w:bCs/>
          <w:sz w:val="24"/>
          <w:szCs w:val="24"/>
          <w:lang w:eastAsia="zh-CN"/>
        </w:rPr>
        <w:t>）</w:t>
      </w:r>
      <w:r>
        <w:rPr>
          <w:rFonts w:hint="eastAsia" w:ascii="宋体" w:hAnsi="宋体"/>
          <w:b/>
          <w:bCs/>
          <w:sz w:val="24"/>
          <w:szCs w:val="24"/>
        </w:rPr>
        <w:t>等所产生的一切费用。</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24D98"/>
    <w:rsid w:val="05C76285"/>
    <w:rsid w:val="1B292ACE"/>
    <w:rsid w:val="215F22D3"/>
    <w:rsid w:val="2BA24D98"/>
    <w:rsid w:val="3A9C369F"/>
    <w:rsid w:val="6DCE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after="120"/>
      <w:ind w:left="420" w:leftChars="200"/>
    </w:pPr>
    <w:rPr>
      <w:szCs w:val="24"/>
    </w:r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eastAsia="宋体"/>
      <w:szCs w:val="21"/>
    </w:rPr>
  </w:style>
  <w:style w:type="character" w:styleId="7">
    <w:name w:val="Emphasis"/>
    <w:basedOn w:val="6"/>
    <w:qFormat/>
    <w:uiPriority w:val="0"/>
    <w:rPr>
      <w:i/>
    </w:rPr>
  </w:style>
  <w:style w:type="paragraph" w:customStyle="1" w:styleId="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缩进_0"/>
    <w:basedOn w:val="8"/>
    <w:unhideWhenUsed/>
    <w:qFormat/>
    <w:uiPriority w:val="0"/>
    <w:pPr>
      <w:ind w:firstLine="420"/>
    </w:pPr>
    <w:rPr>
      <w:rFonts w:ascii="Calibri" w:hAnsi="Calibri" w:eastAsia="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2019-12-09T02:13:00Z</dcterms:created>
  <dc:creator>Lawliet</dc:creator>
  <cp:lastModifiedBy>Lawliet</cp:lastModifiedBy>
  <dcterms:modified xsi:type="dcterms:W3CDTF">2020-01-13T08:44:59Z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