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采购需求</w:t>
      </w:r>
    </w:p>
    <w:p>
      <w:pPr>
        <w:adjustRightInd w:val="0"/>
        <w:snapToGrid w:val="0"/>
        <w:spacing w:line="360" w:lineRule="auto"/>
        <w:rPr>
          <w:rFonts w:hint="eastAsia" w:ascii="宋体" w:hAnsi="宋体"/>
          <w:bCs/>
          <w:szCs w:val="21"/>
        </w:rPr>
      </w:pPr>
      <w:r>
        <w:rPr>
          <w:rFonts w:hint="eastAsia" w:ascii="宋体" w:hAnsi="宋体"/>
          <w:bCs/>
          <w:szCs w:val="21"/>
        </w:rPr>
        <w:t>一、项目概述：</w:t>
      </w:r>
    </w:p>
    <w:p>
      <w:pPr>
        <w:adjustRightInd w:val="0"/>
        <w:snapToGrid w:val="0"/>
        <w:spacing w:line="360" w:lineRule="auto"/>
        <w:ind w:firstLine="352" w:firstLineChars="147"/>
        <w:rPr>
          <w:rFonts w:hint="eastAsia" w:ascii="宋体" w:hAnsi="宋体"/>
          <w:bCs/>
          <w:sz w:val="24"/>
        </w:rPr>
      </w:pPr>
      <w:r>
        <w:rPr>
          <w:rFonts w:hint="eastAsia" w:ascii="宋体" w:hAnsi="宋体"/>
          <w:bCs/>
          <w:sz w:val="24"/>
        </w:rPr>
        <w:t>本项目为“交钥匙”项目，采购内容包括采购清单中货物供货、安装调试、货物验收、培训、质保期内的售后服务等。采购需求清单中未提到，但在实际采购和安装过程中需要配置的各种设备、材料和其他费用等均计入本次报价中。</w:t>
      </w:r>
    </w:p>
    <w:p>
      <w:pPr>
        <w:spacing w:line="360" w:lineRule="auto"/>
        <w:ind w:firstLine="480" w:firstLineChars="200"/>
        <w:rPr>
          <w:rFonts w:hint="eastAsia" w:ascii="宋体" w:hAnsi="宋体"/>
          <w:bCs/>
          <w:sz w:val="24"/>
        </w:rPr>
      </w:pPr>
      <w:r>
        <w:rPr>
          <w:rFonts w:hint="eastAsia" w:ascii="宋体" w:hAnsi="宋体"/>
          <w:bCs/>
          <w:sz w:val="24"/>
        </w:rPr>
        <w:t>中标单位应派有经验的技术人员对安装现场进行实地勘察，对各种设备采购、制造、运输、安装、工期、安全、文明施工进行总承包，一切费用均由中标单位负责。</w:t>
      </w:r>
    </w:p>
    <w:tbl>
      <w:tblPr>
        <w:tblStyle w:val="5"/>
        <w:tblpPr w:leftFromText="180" w:rightFromText="180" w:vertAnchor="text" w:horzAnchor="page" w:tblpX="1917" w:tblpY="645"/>
        <w:tblOverlap w:val="never"/>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2025"/>
        <w:gridCol w:w="2535"/>
        <w:gridCol w:w="3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5" w:type="dxa"/>
            <w:vAlign w:val="center"/>
          </w:tcPr>
          <w:p>
            <w:pPr>
              <w:widowControl/>
              <w:spacing w:line="440" w:lineRule="exact"/>
              <w:jc w:val="center"/>
              <w:rPr>
                <w:rFonts w:hint="eastAsia" w:ascii="宋体" w:hAnsi="宋体"/>
                <w:bCs/>
                <w:sz w:val="24"/>
                <w:vertAlign w:val="baseline"/>
                <w:lang w:eastAsia="zh-CN"/>
              </w:rPr>
            </w:pPr>
            <w:r>
              <w:rPr>
                <w:rFonts w:hint="eastAsia" w:ascii="宋体" w:hAnsi="宋体" w:cs="宋体"/>
                <w:kern w:val="0"/>
                <w:sz w:val="24"/>
                <w:lang w:eastAsia="zh-CN"/>
              </w:rPr>
              <w:t>序号</w:t>
            </w:r>
          </w:p>
        </w:tc>
        <w:tc>
          <w:tcPr>
            <w:tcW w:w="2025" w:type="dxa"/>
            <w:vAlign w:val="center"/>
          </w:tcPr>
          <w:p>
            <w:pPr>
              <w:widowControl/>
              <w:spacing w:line="440" w:lineRule="exact"/>
              <w:jc w:val="center"/>
              <w:rPr>
                <w:rFonts w:hint="eastAsia" w:ascii="宋体" w:hAnsi="宋体"/>
                <w:bCs/>
                <w:sz w:val="24"/>
                <w:vertAlign w:val="baseline"/>
                <w:lang w:eastAsia="zh-CN"/>
              </w:rPr>
            </w:pPr>
            <w:r>
              <w:rPr>
                <w:rFonts w:hint="eastAsia" w:ascii="宋体" w:hAnsi="宋体" w:cs="宋体"/>
                <w:kern w:val="0"/>
                <w:sz w:val="24"/>
              </w:rPr>
              <w:t>产品名称</w:t>
            </w:r>
          </w:p>
        </w:tc>
        <w:tc>
          <w:tcPr>
            <w:tcW w:w="2535" w:type="dxa"/>
            <w:vAlign w:val="center"/>
          </w:tcPr>
          <w:p>
            <w:pPr>
              <w:widowControl/>
              <w:spacing w:line="440" w:lineRule="exact"/>
              <w:jc w:val="center"/>
              <w:rPr>
                <w:rFonts w:hint="eastAsia" w:ascii="宋体" w:hAnsi="宋体"/>
                <w:bCs/>
                <w:sz w:val="24"/>
                <w:vertAlign w:val="baseline"/>
                <w:lang w:eastAsia="zh-CN"/>
              </w:rPr>
            </w:pPr>
            <w:r>
              <w:rPr>
                <w:rFonts w:hint="eastAsia" w:ascii="宋体" w:hAnsi="宋体" w:cs="宋体"/>
                <w:kern w:val="0"/>
                <w:sz w:val="24"/>
              </w:rPr>
              <w:t>数量</w:t>
            </w:r>
          </w:p>
        </w:tc>
        <w:tc>
          <w:tcPr>
            <w:tcW w:w="3377" w:type="dxa"/>
            <w:vAlign w:val="center"/>
          </w:tcPr>
          <w:p>
            <w:pPr>
              <w:widowControl/>
              <w:spacing w:line="440" w:lineRule="exact"/>
              <w:jc w:val="center"/>
              <w:rPr>
                <w:rFonts w:hint="eastAsia" w:ascii="宋体" w:hAnsi="宋体"/>
                <w:bCs/>
                <w:sz w:val="24"/>
                <w:vertAlign w:val="baseline"/>
                <w:lang w:eastAsia="zh-CN"/>
              </w:rPr>
            </w:pPr>
            <w:r>
              <w:rPr>
                <w:rFonts w:hint="eastAsia" w:ascii="宋体" w:hAnsi="宋体" w:cs="宋体"/>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5" w:type="dxa"/>
          </w:tcPr>
          <w:p>
            <w:pPr>
              <w:spacing w:line="360" w:lineRule="auto"/>
              <w:jc w:val="center"/>
              <w:rPr>
                <w:rFonts w:hint="eastAsia" w:ascii="宋体" w:hAnsi="宋体"/>
                <w:bCs/>
                <w:sz w:val="24"/>
                <w:vertAlign w:val="baseline"/>
                <w:lang w:val="en-US" w:eastAsia="zh-CN"/>
              </w:rPr>
            </w:pPr>
            <w:r>
              <w:rPr>
                <w:rFonts w:hint="eastAsia" w:ascii="宋体" w:hAnsi="宋体"/>
                <w:bCs/>
                <w:sz w:val="24"/>
                <w:vertAlign w:val="baseline"/>
                <w:lang w:val="en-US" w:eastAsia="zh-CN"/>
              </w:rPr>
              <w:t>1</w:t>
            </w:r>
          </w:p>
        </w:tc>
        <w:tc>
          <w:tcPr>
            <w:tcW w:w="2025" w:type="dxa"/>
          </w:tcPr>
          <w:p>
            <w:pPr>
              <w:spacing w:line="360" w:lineRule="auto"/>
              <w:jc w:val="center"/>
              <w:rPr>
                <w:rFonts w:hint="eastAsia" w:ascii="宋体" w:hAnsi="宋体"/>
                <w:bCs/>
                <w:sz w:val="24"/>
                <w:vertAlign w:val="baseline"/>
                <w:lang w:eastAsia="zh-CN"/>
              </w:rPr>
            </w:pPr>
            <w:r>
              <w:rPr>
                <w:rFonts w:hint="eastAsia" w:ascii="宋体" w:hAnsi="宋体"/>
                <w:bCs/>
                <w:sz w:val="24"/>
                <w:vertAlign w:val="baseline"/>
                <w:lang w:eastAsia="zh-CN"/>
              </w:rPr>
              <w:t>荷兰绒布</w:t>
            </w:r>
          </w:p>
        </w:tc>
        <w:tc>
          <w:tcPr>
            <w:tcW w:w="2535" w:type="dxa"/>
          </w:tcPr>
          <w:p>
            <w:pPr>
              <w:spacing w:line="360" w:lineRule="auto"/>
              <w:jc w:val="center"/>
              <w:rPr>
                <w:rFonts w:hint="default" w:ascii="宋体" w:hAnsi="宋体"/>
                <w:bCs/>
                <w:sz w:val="24"/>
                <w:vertAlign w:val="baseline"/>
                <w:lang w:val="en-US" w:eastAsia="zh-CN"/>
              </w:rPr>
            </w:pPr>
            <w:r>
              <w:rPr>
                <w:rFonts w:hint="eastAsia" w:ascii="宋体" w:hAnsi="宋体"/>
                <w:bCs/>
                <w:sz w:val="24"/>
                <w:vertAlign w:val="baseline"/>
                <w:lang w:val="en-US" w:eastAsia="zh-CN"/>
              </w:rPr>
              <w:t>3000</w:t>
            </w:r>
            <w:r>
              <w:rPr>
                <w:rFonts w:hint="eastAsia" w:ascii="宋体" w:hAnsi="宋体" w:eastAsia="宋体" w:cs="宋体"/>
                <w:bCs/>
                <w:sz w:val="24"/>
                <w:vertAlign w:val="baseline"/>
                <w:lang w:val="en-US" w:eastAsia="zh-CN"/>
              </w:rPr>
              <w:t>㎡</w:t>
            </w:r>
          </w:p>
        </w:tc>
        <w:tc>
          <w:tcPr>
            <w:tcW w:w="3377" w:type="dxa"/>
          </w:tcPr>
          <w:p>
            <w:pPr>
              <w:spacing w:line="360" w:lineRule="auto"/>
              <w:rPr>
                <w:rFonts w:hint="eastAsia" w:ascii="宋体" w:hAnsi="宋体"/>
                <w:bCs/>
                <w:sz w:val="24"/>
                <w:vertAlign w:val="baseline"/>
                <w:lang w:eastAsia="zh-CN"/>
              </w:rPr>
            </w:pPr>
            <w:r>
              <w:rPr>
                <w:rFonts w:hint="eastAsia" w:ascii="宋体" w:hAnsi="宋体"/>
                <w:bCs/>
                <w:sz w:val="24"/>
                <w:vertAlign w:val="baseline"/>
                <w:lang w:eastAsia="zh-CN"/>
              </w:rPr>
              <w:t>图书室、报告厅、实验楼教室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5" w:type="dxa"/>
          </w:tcPr>
          <w:p>
            <w:pPr>
              <w:spacing w:line="360" w:lineRule="auto"/>
              <w:jc w:val="center"/>
              <w:rPr>
                <w:rFonts w:hint="eastAsia" w:ascii="宋体" w:hAnsi="宋体"/>
                <w:bCs/>
                <w:sz w:val="24"/>
                <w:vertAlign w:val="baseline"/>
                <w:lang w:val="en-US" w:eastAsia="zh-CN"/>
              </w:rPr>
            </w:pPr>
            <w:r>
              <w:rPr>
                <w:rFonts w:hint="eastAsia" w:ascii="宋体" w:hAnsi="宋体"/>
                <w:bCs/>
                <w:sz w:val="24"/>
                <w:vertAlign w:val="baseline"/>
                <w:lang w:val="en-US" w:eastAsia="zh-CN"/>
              </w:rPr>
              <w:t>2</w:t>
            </w:r>
          </w:p>
        </w:tc>
        <w:tc>
          <w:tcPr>
            <w:tcW w:w="2025" w:type="dxa"/>
          </w:tcPr>
          <w:p>
            <w:pPr>
              <w:spacing w:line="360" w:lineRule="auto"/>
              <w:jc w:val="center"/>
              <w:rPr>
                <w:rFonts w:hint="eastAsia" w:ascii="宋体" w:hAnsi="宋体"/>
                <w:bCs/>
                <w:sz w:val="24"/>
                <w:vertAlign w:val="baseline"/>
                <w:lang w:eastAsia="zh-CN"/>
              </w:rPr>
            </w:pPr>
            <w:r>
              <w:rPr>
                <w:rFonts w:hint="eastAsia" w:ascii="宋体" w:hAnsi="宋体"/>
                <w:bCs/>
                <w:sz w:val="24"/>
                <w:vertAlign w:val="baseline"/>
                <w:lang w:eastAsia="zh-CN"/>
              </w:rPr>
              <w:t>罗马杆</w:t>
            </w:r>
          </w:p>
        </w:tc>
        <w:tc>
          <w:tcPr>
            <w:tcW w:w="2535" w:type="dxa"/>
          </w:tcPr>
          <w:p>
            <w:pPr>
              <w:spacing w:line="360" w:lineRule="auto"/>
              <w:jc w:val="center"/>
              <w:rPr>
                <w:rFonts w:hint="default" w:ascii="宋体" w:hAnsi="宋体"/>
                <w:bCs/>
                <w:sz w:val="24"/>
                <w:vertAlign w:val="baseline"/>
                <w:lang w:val="en-US" w:eastAsia="zh-CN"/>
              </w:rPr>
            </w:pPr>
            <w:r>
              <w:rPr>
                <w:rFonts w:hint="eastAsia" w:ascii="宋体" w:hAnsi="宋体"/>
                <w:bCs/>
                <w:sz w:val="24"/>
                <w:vertAlign w:val="baseline"/>
                <w:lang w:val="en-US" w:eastAsia="zh-CN"/>
              </w:rPr>
              <w:t>465m</w:t>
            </w:r>
          </w:p>
        </w:tc>
        <w:tc>
          <w:tcPr>
            <w:tcW w:w="3377" w:type="dxa"/>
          </w:tcPr>
          <w:p>
            <w:pPr>
              <w:spacing w:line="360" w:lineRule="auto"/>
              <w:rPr>
                <w:rFonts w:hint="eastAsia" w:ascii="宋体" w:hAnsi="宋体"/>
                <w:bCs/>
                <w:sz w:val="24"/>
                <w:vertAlign w:val="baseline"/>
                <w:lang w:eastAsia="zh-CN"/>
              </w:rPr>
            </w:pPr>
            <w:r>
              <w:rPr>
                <w:rFonts w:hint="eastAsia" w:ascii="宋体" w:hAnsi="宋体"/>
                <w:bCs/>
                <w:sz w:val="24"/>
                <w:vertAlign w:val="baseline"/>
                <w:lang w:eastAsia="zh-CN"/>
              </w:rPr>
              <w:t>图书室、报告厅、实验楼教室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5" w:type="dxa"/>
          </w:tcPr>
          <w:p>
            <w:pPr>
              <w:spacing w:line="360" w:lineRule="auto"/>
              <w:jc w:val="center"/>
              <w:rPr>
                <w:rFonts w:hint="eastAsia" w:ascii="宋体" w:hAnsi="宋体"/>
                <w:bCs/>
                <w:sz w:val="24"/>
                <w:vertAlign w:val="baseline"/>
                <w:lang w:val="en-US" w:eastAsia="zh-CN"/>
              </w:rPr>
            </w:pPr>
            <w:r>
              <w:rPr>
                <w:rFonts w:hint="eastAsia" w:ascii="宋体" w:hAnsi="宋体"/>
                <w:bCs/>
                <w:sz w:val="24"/>
                <w:vertAlign w:val="baseline"/>
                <w:lang w:val="en-US" w:eastAsia="zh-CN"/>
              </w:rPr>
              <w:t>3</w:t>
            </w:r>
          </w:p>
        </w:tc>
        <w:tc>
          <w:tcPr>
            <w:tcW w:w="2025" w:type="dxa"/>
          </w:tcPr>
          <w:p>
            <w:pPr>
              <w:spacing w:line="360" w:lineRule="auto"/>
              <w:jc w:val="center"/>
              <w:rPr>
                <w:rFonts w:hint="eastAsia" w:ascii="宋体" w:hAnsi="宋体"/>
                <w:bCs/>
                <w:sz w:val="24"/>
                <w:vertAlign w:val="baseline"/>
                <w:lang w:eastAsia="zh-CN"/>
              </w:rPr>
            </w:pPr>
            <w:r>
              <w:rPr>
                <w:rFonts w:hint="eastAsia" w:ascii="宋体" w:hAnsi="宋体"/>
                <w:bCs/>
                <w:sz w:val="24"/>
                <w:vertAlign w:val="baseline"/>
                <w:lang w:eastAsia="zh-CN"/>
              </w:rPr>
              <w:t>布百叶</w:t>
            </w:r>
          </w:p>
        </w:tc>
        <w:tc>
          <w:tcPr>
            <w:tcW w:w="2535" w:type="dxa"/>
          </w:tcPr>
          <w:p>
            <w:pPr>
              <w:spacing w:line="360" w:lineRule="auto"/>
              <w:jc w:val="center"/>
              <w:rPr>
                <w:rFonts w:hint="default" w:ascii="宋体" w:hAnsi="宋体"/>
                <w:bCs/>
                <w:sz w:val="24"/>
                <w:vertAlign w:val="baseline"/>
                <w:lang w:val="en-US" w:eastAsia="zh-CN"/>
              </w:rPr>
            </w:pPr>
            <w:r>
              <w:rPr>
                <w:rFonts w:hint="eastAsia" w:ascii="宋体" w:hAnsi="宋体"/>
                <w:bCs/>
                <w:sz w:val="24"/>
                <w:vertAlign w:val="baseline"/>
                <w:lang w:val="en-US" w:eastAsia="zh-CN"/>
              </w:rPr>
              <w:t>49</w:t>
            </w:r>
            <w:r>
              <w:rPr>
                <w:rFonts w:hint="eastAsia" w:ascii="宋体" w:hAnsi="宋体" w:eastAsia="宋体" w:cs="宋体"/>
                <w:bCs/>
                <w:sz w:val="24"/>
                <w:vertAlign w:val="baseline"/>
                <w:lang w:val="en-US" w:eastAsia="zh-CN"/>
              </w:rPr>
              <w:t>㎡</w:t>
            </w:r>
          </w:p>
        </w:tc>
        <w:tc>
          <w:tcPr>
            <w:tcW w:w="3377" w:type="dxa"/>
          </w:tcPr>
          <w:p>
            <w:pPr>
              <w:spacing w:line="360" w:lineRule="auto"/>
              <w:rPr>
                <w:rFonts w:hint="eastAsia" w:ascii="宋体" w:hAnsi="宋体"/>
                <w:bCs/>
                <w:sz w:val="24"/>
                <w:vertAlign w:val="baseline"/>
                <w:lang w:eastAsia="zh-CN"/>
              </w:rPr>
            </w:pPr>
            <w:r>
              <w:rPr>
                <w:rFonts w:hint="eastAsia" w:ascii="宋体" w:hAnsi="宋体"/>
                <w:bCs/>
                <w:sz w:val="24"/>
                <w:vertAlign w:val="baseline"/>
                <w:lang w:eastAsia="zh-CN"/>
              </w:rPr>
              <w:t>门卫室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5" w:type="dxa"/>
          </w:tcPr>
          <w:p>
            <w:pPr>
              <w:spacing w:line="360" w:lineRule="auto"/>
              <w:jc w:val="center"/>
              <w:rPr>
                <w:rFonts w:hint="default" w:ascii="宋体" w:hAnsi="宋体"/>
                <w:bCs/>
                <w:sz w:val="24"/>
                <w:vertAlign w:val="baseline"/>
                <w:lang w:val="en-US" w:eastAsia="zh-CN"/>
              </w:rPr>
            </w:pPr>
            <w:r>
              <w:rPr>
                <w:rFonts w:hint="eastAsia" w:ascii="宋体" w:hAnsi="宋体"/>
                <w:bCs/>
                <w:sz w:val="24"/>
                <w:vertAlign w:val="baseline"/>
                <w:lang w:val="en-US" w:eastAsia="zh-CN"/>
              </w:rPr>
              <w:t>4</w:t>
            </w:r>
          </w:p>
        </w:tc>
        <w:tc>
          <w:tcPr>
            <w:tcW w:w="2025" w:type="dxa"/>
          </w:tcPr>
          <w:p>
            <w:pPr>
              <w:spacing w:line="360" w:lineRule="auto"/>
              <w:jc w:val="center"/>
              <w:rPr>
                <w:rFonts w:hint="eastAsia" w:ascii="宋体" w:hAnsi="宋体"/>
                <w:bCs/>
                <w:sz w:val="24"/>
                <w:vertAlign w:val="baseline"/>
                <w:lang w:eastAsia="zh-CN"/>
              </w:rPr>
            </w:pPr>
            <w:r>
              <w:rPr>
                <w:rFonts w:hint="eastAsia" w:ascii="宋体" w:hAnsi="宋体"/>
                <w:bCs/>
                <w:sz w:val="24"/>
                <w:vertAlign w:val="baseline"/>
                <w:lang w:eastAsia="zh-CN"/>
              </w:rPr>
              <w:t>遮光卷帘</w:t>
            </w:r>
          </w:p>
        </w:tc>
        <w:tc>
          <w:tcPr>
            <w:tcW w:w="2535" w:type="dxa"/>
          </w:tcPr>
          <w:p>
            <w:pPr>
              <w:spacing w:line="360" w:lineRule="auto"/>
              <w:jc w:val="center"/>
              <w:rPr>
                <w:rFonts w:hint="default" w:ascii="宋体" w:hAnsi="宋体"/>
                <w:bCs/>
                <w:sz w:val="24"/>
                <w:vertAlign w:val="baseline"/>
                <w:lang w:val="en-US" w:eastAsia="zh-CN"/>
              </w:rPr>
            </w:pPr>
            <w:r>
              <w:rPr>
                <w:rFonts w:hint="eastAsia" w:ascii="宋体" w:hAnsi="宋体"/>
                <w:bCs/>
                <w:sz w:val="24"/>
                <w:vertAlign w:val="baseline"/>
                <w:lang w:val="en-US" w:eastAsia="zh-CN"/>
              </w:rPr>
              <w:t>143</w:t>
            </w:r>
            <w:r>
              <w:rPr>
                <w:rFonts w:hint="eastAsia" w:ascii="宋体" w:hAnsi="宋体" w:eastAsia="宋体" w:cs="宋体"/>
                <w:bCs/>
                <w:sz w:val="24"/>
                <w:vertAlign w:val="baseline"/>
                <w:lang w:val="en-US" w:eastAsia="zh-CN"/>
              </w:rPr>
              <w:t>㎡</w:t>
            </w:r>
          </w:p>
        </w:tc>
        <w:tc>
          <w:tcPr>
            <w:tcW w:w="3377" w:type="dxa"/>
          </w:tcPr>
          <w:p>
            <w:pPr>
              <w:spacing w:line="360" w:lineRule="auto"/>
              <w:rPr>
                <w:rFonts w:hint="eastAsia" w:ascii="宋体" w:hAnsi="宋体"/>
                <w:bCs/>
                <w:sz w:val="24"/>
                <w:vertAlign w:val="baseline"/>
                <w:lang w:eastAsia="zh-CN"/>
              </w:rPr>
            </w:pPr>
            <w:r>
              <w:rPr>
                <w:rFonts w:hint="eastAsia" w:ascii="宋体" w:hAnsi="宋体"/>
                <w:bCs/>
                <w:sz w:val="24"/>
                <w:vertAlign w:val="baseline"/>
                <w:lang w:eastAsia="zh-CN"/>
              </w:rPr>
              <w:t>体育管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5" w:type="dxa"/>
          </w:tcPr>
          <w:p>
            <w:pPr>
              <w:spacing w:line="360" w:lineRule="auto"/>
              <w:jc w:val="center"/>
              <w:rPr>
                <w:rFonts w:hint="default" w:ascii="宋体" w:hAnsi="宋体"/>
                <w:bCs/>
                <w:sz w:val="24"/>
                <w:vertAlign w:val="baseline"/>
                <w:lang w:val="en-US" w:eastAsia="zh-CN"/>
              </w:rPr>
            </w:pPr>
            <w:r>
              <w:rPr>
                <w:rFonts w:hint="eastAsia" w:ascii="宋体" w:hAnsi="宋体"/>
                <w:bCs/>
                <w:sz w:val="24"/>
                <w:vertAlign w:val="baseline"/>
                <w:lang w:val="en-US" w:eastAsia="zh-CN"/>
              </w:rPr>
              <w:t>5</w:t>
            </w:r>
          </w:p>
        </w:tc>
        <w:tc>
          <w:tcPr>
            <w:tcW w:w="2025" w:type="dxa"/>
          </w:tcPr>
          <w:p>
            <w:pPr>
              <w:spacing w:line="360" w:lineRule="auto"/>
              <w:jc w:val="center"/>
              <w:rPr>
                <w:rFonts w:hint="default" w:ascii="宋体" w:hAnsi="宋体"/>
                <w:bCs/>
                <w:sz w:val="24"/>
                <w:vertAlign w:val="baseline"/>
                <w:lang w:val="en-US" w:eastAsia="zh-CN"/>
              </w:rPr>
            </w:pPr>
            <w:r>
              <w:rPr>
                <w:rFonts w:hint="eastAsia" w:ascii="宋体" w:hAnsi="宋体"/>
                <w:bCs/>
                <w:sz w:val="24"/>
                <w:vertAlign w:val="baseline"/>
                <w:lang w:val="en-US" w:eastAsia="zh-CN"/>
              </w:rPr>
              <w:t>靠背套</w:t>
            </w:r>
          </w:p>
        </w:tc>
        <w:tc>
          <w:tcPr>
            <w:tcW w:w="2535" w:type="dxa"/>
          </w:tcPr>
          <w:p>
            <w:pPr>
              <w:spacing w:line="360" w:lineRule="auto"/>
              <w:jc w:val="center"/>
              <w:rPr>
                <w:rFonts w:hint="default" w:ascii="宋体" w:hAnsi="宋体"/>
                <w:bCs/>
                <w:sz w:val="24"/>
                <w:vertAlign w:val="baseline"/>
                <w:lang w:val="en-US" w:eastAsia="zh-CN"/>
              </w:rPr>
            </w:pPr>
            <w:r>
              <w:rPr>
                <w:rFonts w:hint="eastAsia" w:ascii="宋体" w:hAnsi="宋体"/>
                <w:bCs/>
                <w:sz w:val="24"/>
                <w:vertAlign w:val="baseline"/>
                <w:lang w:val="en-US" w:eastAsia="zh-CN"/>
              </w:rPr>
              <w:t>518只</w:t>
            </w:r>
          </w:p>
        </w:tc>
        <w:tc>
          <w:tcPr>
            <w:tcW w:w="3377" w:type="dxa"/>
          </w:tcPr>
          <w:p>
            <w:pPr>
              <w:spacing w:line="360" w:lineRule="auto"/>
              <w:jc w:val="both"/>
              <w:rPr>
                <w:rFonts w:hint="default" w:ascii="宋体" w:hAnsi="宋体"/>
                <w:bCs/>
                <w:sz w:val="24"/>
                <w:vertAlign w:val="baseline"/>
                <w:lang w:val="en-US" w:eastAsia="zh-CN"/>
              </w:rPr>
            </w:pPr>
            <w:r>
              <w:rPr>
                <w:rFonts w:hint="eastAsia" w:ascii="宋体" w:hAnsi="宋体"/>
                <w:bCs/>
                <w:sz w:val="24"/>
                <w:vertAlign w:val="baseline"/>
                <w:lang w:val="en-US" w:eastAsia="zh-CN"/>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2" w:type="dxa"/>
            <w:gridSpan w:val="4"/>
          </w:tcPr>
          <w:p>
            <w:pPr>
              <w:spacing w:line="360" w:lineRule="auto"/>
              <w:ind w:firstLine="960" w:firstLineChars="400"/>
              <w:rPr>
                <w:rFonts w:hint="eastAsia" w:ascii="宋体" w:hAnsi="宋体"/>
                <w:bCs/>
                <w:sz w:val="24"/>
                <w:vertAlign w:val="baseline"/>
                <w:lang w:eastAsia="zh-CN"/>
              </w:rPr>
            </w:pPr>
            <w:r>
              <w:rPr>
                <w:rFonts w:hint="eastAsia" w:ascii="宋体" w:hAnsi="宋体"/>
                <w:bCs/>
                <w:sz w:val="24"/>
                <w:vertAlign w:val="baseline"/>
                <w:lang w:eastAsia="zh-CN"/>
              </w:rPr>
              <w:t>以上数据为预估数据，验收时按实结算。布帘打褶比例为</w:t>
            </w:r>
            <w:r>
              <w:rPr>
                <w:rFonts w:hint="eastAsia" w:ascii="宋体" w:hAnsi="宋体"/>
                <w:bCs/>
                <w:sz w:val="24"/>
                <w:vertAlign w:val="baseline"/>
                <w:lang w:val="en-US" w:eastAsia="zh-CN"/>
              </w:rPr>
              <w:t>1:2；卷帘面积为宽度X高度；</w:t>
            </w:r>
          </w:p>
        </w:tc>
      </w:tr>
    </w:tbl>
    <w:p>
      <w:pPr>
        <w:spacing w:line="360" w:lineRule="auto"/>
        <w:ind w:firstLine="480" w:firstLineChars="200"/>
        <w:rPr>
          <w:rFonts w:hint="eastAsia" w:ascii="宋体" w:hAnsi="宋体" w:eastAsia="宋体"/>
          <w:bCs/>
          <w:sz w:val="24"/>
          <w:lang w:val="en-US" w:eastAsia="zh-CN"/>
        </w:rPr>
      </w:pPr>
      <w:r>
        <w:rPr>
          <w:rFonts w:hint="eastAsia" w:ascii="宋体" w:hAnsi="宋体"/>
          <w:bCs/>
          <w:sz w:val="24"/>
          <w:lang w:eastAsia="zh-CN"/>
        </w:rPr>
        <w:t>二、采购清单</w:t>
      </w:r>
    </w:p>
    <w:p>
      <w:pPr>
        <w:rPr>
          <w:rFonts w:hint="eastAsia" w:eastAsia="宋体"/>
          <w:lang w:val="en-US" w:eastAsia="zh-CN"/>
        </w:rPr>
        <w:sectPr>
          <w:pgSz w:w="11900" w:h="16840"/>
          <w:pgMar w:top="1417" w:right="1417" w:bottom="1417" w:left="1417" w:header="720" w:footer="720" w:gutter="0"/>
          <w:cols w:space="0" w:num="1"/>
          <w:docGrid w:linePitch="312" w:charSpace="0"/>
        </w:sectPr>
      </w:pPr>
    </w:p>
    <w:p>
      <w:pPr>
        <w:rPr>
          <w:rFonts w:hint="eastAsia" w:ascii="宋体" w:hAnsi="宋体"/>
          <w:lang w:eastAsia="zh-CN"/>
        </w:rPr>
      </w:pPr>
      <w:r>
        <w:rPr>
          <w:rFonts w:hint="eastAsia" w:ascii="宋体" w:hAnsi="宋体"/>
          <w:lang w:eastAsia="zh-CN"/>
        </w:rPr>
        <w:t>三、技术参数</w:t>
      </w:r>
    </w:p>
    <w:tbl>
      <w:tblPr>
        <w:tblStyle w:val="4"/>
        <w:tblW w:w="10205" w:type="dxa"/>
        <w:jc w:val="center"/>
        <w:tblInd w:w="-46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08"/>
        <w:gridCol w:w="6478"/>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205" w:type="dxa"/>
            <w:gridSpan w:val="4"/>
          </w:tcPr>
          <w:p>
            <w:pPr>
              <w:spacing w:before="100" w:beforeAutospacing="1" w:after="100" w:afterAutospacing="1"/>
              <w:jc w:val="center"/>
              <w:rPr>
                <w:rFonts w:hint="eastAsia" w:ascii="宋体" w:hAnsi="宋体" w:cs="宋体"/>
                <w:b/>
                <w:bCs/>
                <w:sz w:val="24"/>
              </w:rPr>
            </w:pPr>
            <w:r>
              <w:rPr>
                <w:rFonts w:hint="eastAsia" w:ascii="宋体" w:hAnsi="宋体" w:cs="宋体"/>
                <w:b/>
                <w:bCs/>
                <w:sz w:val="24"/>
              </w:rPr>
              <w:t>（一）面料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9" w:type="dxa"/>
          </w:tcPr>
          <w:p>
            <w:pPr>
              <w:spacing w:before="100" w:beforeAutospacing="1" w:after="100" w:afterAutospacing="1"/>
              <w:jc w:val="center"/>
              <w:rPr>
                <w:rFonts w:hint="eastAsia" w:ascii="宋体" w:hAnsi="宋体" w:cs="宋体"/>
                <w:b/>
                <w:bCs/>
                <w:sz w:val="24"/>
              </w:rPr>
            </w:pPr>
            <w:r>
              <w:rPr>
                <w:rFonts w:hint="eastAsia" w:ascii="宋体" w:hAnsi="宋体" w:cs="宋体"/>
                <w:b/>
                <w:bCs/>
                <w:sz w:val="24"/>
              </w:rPr>
              <w:t>序号</w:t>
            </w:r>
          </w:p>
        </w:tc>
        <w:tc>
          <w:tcPr>
            <w:tcW w:w="1408" w:type="dxa"/>
          </w:tcPr>
          <w:p>
            <w:pPr>
              <w:spacing w:before="100" w:beforeAutospacing="1" w:after="100" w:afterAutospacing="1"/>
              <w:jc w:val="center"/>
              <w:rPr>
                <w:rFonts w:hint="eastAsia" w:ascii="宋体" w:hAnsi="宋体" w:cs="宋体"/>
                <w:b/>
                <w:bCs/>
                <w:sz w:val="24"/>
              </w:rPr>
            </w:pPr>
            <w:r>
              <w:rPr>
                <w:rFonts w:hint="eastAsia" w:ascii="宋体" w:hAnsi="宋体" w:cs="宋体"/>
                <w:b/>
                <w:bCs/>
                <w:sz w:val="24"/>
              </w:rPr>
              <w:t>名称</w:t>
            </w:r>
          </w:p>
        </w:tc>
        <w:tc>
          <w:tcPr>
            <w:tcW w:w="6478" w:type="dxa"/>
          </w:tcPr>
          <w:p>
            <w:pPr>
              <w:spacing w:before="100" w:beforeAutospacing="1" w:after="100" w:afterAutospacing="1"/>
              <w:jc w:val="center"/>
              <w:rPr>
                <w:rFonts w:hint="eastAsia" w:ascii="宋体" w:hAnsi="宋体" w:cs="宋体"/>
                <w:b/>
                <w:bCs/>
                <w:sz w:val="24"/>
              </w:rPr>
            </w:pPr>
            <w:r>
              <w:rPr>
                <w:rFonts w:hint="eastAsia" w:ascii="宋体" w:hAnsi="宋体" w:cs="宋体"/>
                <w:b/>
                <w:bCs/>
                <w:sz w:val="24"/>
              </w:rPr>
              <w:t>技术参数</w:t>
            </w:r>
          </w:p>
        </w:tc>
        <w:tc>
          <w:tcPr>
            <w:tcW w:w="1440" w:type="dxa"/>
          </w:tcPr>
          <w:p>
            <w:pPr>
              <w:spacing w:before="100" w:beforeAutospacing="1" w:after="100" w:afterAutospacing="1"/>
              <w:jc w:val="center"/>
              <w:rPr>
                <w:rFonts w:hint="eastAsia" w:ascii="宋体" w:hAnsi="宋体" w:cs="宋体"/>
                <w:b/>
                <w:bCs/>
                <w:sz w:val="24"/>
              </w:rPr>
            </w:pPr>
            <w:r>
              <w:rPr>
                <w:rFonts w:hint="eastAsia" w:ascii="宋体" w:hAnsi="宋体" w:cs="宋体"/>
                <w:b/>
                <w:bCs/>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9" w:type="dxa"/>
            <w:vAlign w:val="center"/>
          </w:tcPr>
          <w:p>
            <w:pPr>
              <w:spacing w:before="100" w:beforeAutospacing="1" w:after="100" w:afterAutospacing="1"/>
              <w:jc w:val="center"/>
              <w:rPr>
                <w:rFonts w:hint="eastAsia" w:ascii="宋体" w:hAnsi="宋体" w:cs="宋体"/>
                <w:b/>
                <w:bCs/>
                <w:sz w:val="24"/>
                <w:lang w:val="en-US" w:eastAsia="zh-CN"/>
              </w:rPr>
            </w:pPr>
            <w:r>
              <w:rPr>
                <w:rFonts w:hint="eastAsia" w:ascii="宋体" w:hAnsi="宋体" w:cs="宋体"/>
                <w:b/>
                <w:bCs/>
                <w:sz w:val="24"/>
                <w:lang w:val="en-US" w:eastAsia="zh-CN"/>
              </w:rPr>
              <w:t>1</w:t>
            </w:r>
          </w:p>
        </w:tc>
        <w:tc>
          <w:tcPr>
            <w:tcW w:w="1408" w:type="dxa"/>
            <w:vAlign w:val="center"/>
          </w:tcPr>
          <w:p>
            <w:pPr>
              <w:spacing w:before="100" w:beforeAutospacing="1" w:after="100" w:afterAutospacing="1"/>
              <w:jc w:val="center"/>
              <w:rPr>
                <w:rFonts w:hint="eastAsia" w:ascii="宋体" w:hAnsi="宋体" w:eastAsia="宋体" w:cs="宋体"/>
                <w:b/>
                <w:bCs/>
                <w:color w:val="000000"/>
                <w:sz w:val="24"/>
                <w:lang w:eastAsia="zh-CN"/>
              </w:rPr>
            </w:pPr>
            <w:r>
              <w:rPr>
                <w:rFonts w:hint="eastAsia" w:ascii="宋体" w:hAnsi="宋体" w:cs="宋体"/>
                <w:b/>
                <w:bCs/>
                <w:color w:val="000000"/>
                <w:sz w:val="24"/>
                <w:lang w:eastAsia="zh-CN"/>
              </w:rPr>
              <w:t>遮光卷帘面料</w:t>
            </w:r>
          </w:p>
        </w:tc>
        <w:tc>
          <w:tcPr>
            <w:tcW w:w="6478" w:type="dxa"/>
          </w:tcPr>
          <w:p>
            <w:pPr>
              <w:widowControl/>
              <w:snapToGrid w:val="0"/>
              <w:spacing w:line="320" w:lineRule="exact"/>
              <w:jc w:val="left"/>
              <w:rPr>
                <w:sz w:val="21"/>
                <w:szCs w:val="21"/>
              </w:rPr>
            </w:pPr>
            <w:r>
              <w:rPr>
                <w:sz w:val="21"/>
                <w:szCs w:val="21"/>
              </w:rPr>
              <w:t>1、面料材质：直纹编织玻璃纤维+PVC；玻璃纤维含量≥35%(涂层除外）</w:t>
            </w:r>
          </w:p>
          <w:p>
            <w:pPr>
              <w:widowControl/>
              <w:snapToGrid w:val="0"/>
              <w:spacing w:line="320" w:lineRule="exact"/>
              <w:jc w:val="left"/>
              <w:rPr>
                <w:sz w:val="21"/>
                <w:szCs w:val="21"/>
              </w:rPr>
            </w:pPr>
            <w:r>
              <w:rPr>
                <w:sz w:val="21"/>
                <w:szCs w:val="21"/>
              </w:rPr>
              <w:t>2、遮光率：100%</w:t>
            </w:r>
          </w:p>
          <w:p>
            <w:pPr>
              <w:widowControl/>
              <w:snapToGrid w:val="0"/>
              <w:spacing w:line="320" w:lineRule="exact"/>
              <w:jc w:val="left"/>
              <w:rPr>
                <w:sz w:val="21"/>
                <w:szCs w:val="21"/>
              </w:rPr>
            </w:pPr>
            <w:r>
              <w:rPr>
                <w:sz w:val="21"/>
                <w:szCs w:val="21"/>
              </w:rPr>
              <w:t>★3、克重：≥620g/平方米</w:t>
            </w:r>
          </w:p>
          <w:p>
            <w:pPr>
              <w:widowControl/>
              <w:snapToGrid w:val="0"/>
              <w:spacing w:line="320" w:lineRule="exact"/>
              <w:jc w:val="left"/>
              <w:rPr>
                <w:sz w:val="21"/>
                <w:szCs w:val="21"/>
              </w:rPr>
            </w:pPr>
            <w:r>
              <w:rPr>
                <w:sz w:val="21"/>
                <w:szCs w:val="21"/>
              </w:rPr>
              <w:t>4、厚度：≥0.90mm</w:t>
            </w:r>
          </w:p>
          <w:p>
            <w:pPr>
              <w:widowControl/>
              <w:snapToGrid w:val="0"/>
              <w:spacing w:line="320" w:lineRule="exact"/>
              <w:jc w:val="left"/>
              <w:rPr>
                <w:sz w:val="21"/>
                <w:szCs w:val="21"/>
              </w:rPr>
            </w:pPr>
            <w:r>
              <w:rPr>
                <w:sz w:val="21"/>
                <w:szCs w:val="21"/>
              </w:rPr>
              <w:t>★5、紫外线遮光率：UPF＞40且T(UVA)AV＜5%；</w:t>
            </w:r>
          </w:p>
          <w:p>
            <w:pPr>
              <w:widowControl/>
              <w:snapToGrid w:val="0"/>
              <w:spacing w:line="320" w:lineRule="exact"/>
              <w:jc w:val="left"/>
              <w:rPr>
                <w:sz w:val="21"/>
                <w:szCs w:val="21"/>
              </w:rPr>
            </w:pPr>
            <w:r>
              <w:rPr>
                <w:sz w:val="21"/>
                <w:szCs w:val="21"/>
              </w:rPr>
              <w:t>★6、防火标准：国标 8624-2012  B1级</w:t>
            </w:r>
          </w:p>
          <w:p>
            <w:pPr>
              <w:widowControl/>
              <w:snapToGrid w:val="0"/>
              <w:spacing w:line="320" w:lineRule="exact"/>
              <w:jc w:val="left"/>
              <w:rPr>
                <w:sz w:val="21"/>
                <w:szCs w:val="21"/>
              </w:rPr>
            </w:pPr>
            <w:r>
              <w:rPr>
                <w:sz w:val="21"/>
                <w:szCs w:val="21"/>
              </w:rPr>
              <w:t>7、耐光色牢度：≥7级</w:t>
            </w:r>
          </w:p>
          <w:p>
            <w:pPr>
              <w:widowControl/>
              <w:snapToGrid w:val="0"/>
              <w:spacing w:line="320" w:lineRule="exact"/>
              <w:jc w:val="left"/>
              <w:rPr>
                <w:sz w:val="21"/>
                <w:szCs w:val="21"/>
              </w:rPr>
            </w:pPr>
            <w:r>
              <w:rPr>
                <w:sz w:val="21"/>
                <w:szCs w:val="21"/>
              </w:rPr>
              <w:t>▲8、甲醛含量：未检出</w:t>
            </w:r>
          </w:p>
          <w:p>
            <w:pPr>
              <w:widowControl/>
              <w:snapToGrid w:val="0"/>
              <w:spacing w:line="320" w:lineRule="exact"/>
              <w:jc w:val="left"/>
              <w:rPr>
                <w:sz w:val="21"/>
                <w:szCs w:val="21"/>
              </w:rPr>
            </w:pPr>
            <w:r>
              <w:rPr>
                <w:sz w:val="21"/>
                <w:szCs w:val="21"/>
              </w:rPr>
              <w:t>9、重金属含量（铅、汞、镉）：未检出</w:t>
            </w:r>
          </w:p>
          <w:p>
            <w:pPr>
              <w:widowControl/>
              <w:snapToGrid w:val="0"/>
              <w:spacing w:line="320" w:lineRule="exact"/>
              <w:jc w:val="left"/>
              <w:rPr>
                <w:sz w:val="21"/>
                <w:szCs w:val="21"/>
              </w:rPr>
            </w:pPr>
            <w:r>
              <w:rPr>
                <w:sz w:val="21"/>
                <w:szCs w:val="21"/>
              </w:rPr>
              <w:t>10、缩水率：≤0.5%</w:t>
            </w:r>
          </w:p>
          <w:p>
            <w:pPr>
              <w:widowControl/>
              <w:snapToGrid w:val="0"/>
              <w:spacing w:line="320" w:lineRule="exact"/>
              <w:jc w:val="left"/>
              <w:rPr>
                <w:sz w:val="21"/>
                <w:szCs w:val="21"/>
              </w:rPr>
            </w:pPr>
            <w:r>
              <w:rPr>
                <w:sz w:val="21"/>
                <w:szCs w:val="21"/>
              </w:rPr>
              <w:t>★11、芳香胺含量：未检出</w:t>
            </w:r>
          </w:p>
          <w:p>
            <w:pPr>
              <w:widowControl/>
              <w:snapToGrid w:val="0"/>
              <w:spacing w:line="320" w:lineRule="exact"/>
              <w:jc w:val="left"/>
              <w:rPr>
                <w:sz w:val="21"/>
                <w:szCs w:val="21"/>
              </w:rPr>
            </w:pPr>
            <w:r>
              <w:rPr>
                <w:sz w:val="21"/>
                <w:szCs w:val="21"/>
              </w:rPr>
              <w:t>12、PH值：4-9</w:t>
            </w:r>
          </w:p>
          <w:p>
            <w:pPr>
              <w:widowControl/>
              <w:snapToGrid w:val="0"/>
              <w:spacing w:line="320" w:lineRule="exact"/>
              <w:jc w:val="left"/>
              <w:rPr>
                <w:sz w:val="21"/>
                <w:szCs w:val="21"/>
              </w:rPr>
            </w:pPr>
            <w:r>
              <w:rPr>
                <w:sz w:val="21"/>
                <w:szCs w:val="21"/>
              </w:rPr>
              <w:t>13、防静电：符合</w:t>
            </w:r>
          </w:p>
          <w:p>
            <w:pPr>
              <w:widowControl/>
              <w:snapToGrid w:val="0"/>
              <w:spacing w:line="320" w:lineRule="exact"/>
              <w:jc w:val="left"/>
              <w:rPr>
                <w:sz w:val="21"/>
                <w:szCs w:val="21"/>
              </w:rPr>
            </w:pPr>
            <w:r>
              <w:rPr>
                <w:sz w:val="21"/>
                <w:szCs w:val="21"/>
              </w:rPr>
              <w:t>14、断裂强力：经向≥2900N，纬向≥2850N</w:t>
            </w:r>
          </w:p>
          <w:p>
            <w:pPr>
              <w:widowControl/>
              <w:snapToGrid w:val="0"/>
              <w:spacing w:line="320" w:lineRule="exact"/>
              <w:jc w:val="left"/>
              <w:rPr>
                <w:sz w:val="21"/>
                <w:szCs w:val="21"/>
              </w:rPr>
            </w:pPr>
            <w:r>
              <w:rPr>
                <w:sz w:val="21"/>
                <w:szCs w:val="21"/>
              </w:rPr>
              <w:t>15、防污性能：≥4级</w:t>
            </w:r>
          </w:p>
          <w:p>
            <w:pPr>
              <w:widowControl/>
              <w:snapToGrid w:val="0"/>
              <w:spacing w:line="320" w:lineRule="exact"/>
              <w:jc w:val="left"/>
              <w:rPr>
                <w:rFonts w:hint="eastAsia"/>
                <w:sz w:val="21"/>
                <w:szCs w:val="21"/>
                <w:lang w:val="en-US" w:eastAsia="zh-CN"/>
              </w:rPr>
            </w:pPr>
            <w:r>
              <w:rPr>
                <w:rFonts w:hint="eastAsia" w:ascii="Times New Roman" w:eastAsia="宋体"/>
                <w:sz w:val="21"/>
                <w:szCs w:val="21"/>
                <w:lang w:val="en-US" w:eastAsia="zh-CN"/>
              </w:rPr>
              <w:t>16、防霉等级：</w:t>
            </w:r>
            <w:r>
              <w:rPr>
                <w:rFonts w:hint="eastAsia" w:ascii="宋体" w:hAnsi="宋体" w:eastAsia="宋体" w:cs="宋体"/>
                <w:sz w:val="21"/>
                <w:szCs w:val="21"/>
                <w:lang w:val="en-US" w:eastAsia="zh-CN"/>
              </w:rPr>
              <w:t>≥</w:t>
            </w:r>
            <w:r>
              <w:rPr>
                <w:rFonts w:hint="eastAsia" w:ascii="Times New Roman" w:eastAsia="宋体"/>
                <w:sz w:val="21"/>
                <w:szCs w:val="21"/>
                <w:lang w:val="en-US" w:eastAsia="zh-CN"/>
              </w:rPr>
              <w:t>0级</w:t>
            </w:r>
          </w:p>
          <w:p>
            <w:pPr>
              <w:widowControl/>
              <w:snapToGrid w:val="0"/>
              <w:spacing w:line="320" w:lineRule="exact"/>
              <w:jc w:val="left"/>
              <w:rPr>
                <w:rFonts w:hint="default"/>
                <w:sz w:val="21"/>
                <w:szCs w:val="21"/>
                <w:lang w:val="en-US" w:eastAsia="zh-CN"/>
              </w:rPr>
            </w:pPr>
            <w:r>
              <w:rPr>
                <w:rFonts w:hint="eastAsia" w:ascii="Times New Roman" w:eastAsia="宋体"/>
                <w:sz w:val="21"/>
                <w:szCs w:val="21"/>
                <w:lang w:val="en-US" w:eastAsia="zh-CN"/>
              </w:rPr>
              <w:t>17、抗（抑）菌率：</w:t>
            </w:r>
            <w:r>
              <w:rPr>
                <w:rFonts w:hint="eastAsia" w:ascii="宋体" w:hAnsi="宋体" w:eastAsia="宋体" w:cs="宋体"/>
                <w:sz w:val="21"/>
                <w:szCs w:val="21"/>
                <w:lang w:val="en-US" w:eastAsia="zh-CN"/>
              </w:rPr>
              <w:t>≥</w:t>
            </w:r>
            <w:r>
              <w:rPr>
                <w:rFonts w:hint="eastAsia" w:ascii="Times New Roman" w:eastAsia="宋体"/>
                <w:sz w:val="21"/>
                <w:szCs w:val="21"/>
                <w:lang w:val="en-US" w:eastAsia="zh-CN"/>
              </w:rPr>
              <w:t>95%</w:t>
            </w:r>
          </w:p>
        </w:tc>
        <w:tc>
          <w:tcPr>
            <w:tcW w:w="1440" w:type="dxa"/>
            <w:vAlign w:val="center"/>
          </w:tcPr>
          <w:p>
            <w:pPr>
              <w:jc w:val="left"/>
              <w:rPr>
                <w:rFonts w:ascii="宋体" w:hAnsi="宋体" w:cs="宋体"/>
                <w:b/>
                <w:sz w:val="24"/>
              </w:rPr>
            </w:pPr>
            <w:r>
              <w:rPr>
                <w:sz w:val="21"/>
                <w:szCs w:val="21"/>
              </w:rPr>
              <w:drawing>
                <wp:inline distT="0" distB="0" distL="114300" distR="114300">
                  <wp:extent cx="779145" cy="607060"/>
                  <wp:effectExtent l="0" t="0" r="8255" b="2540"/>
                  <wp:docPr id="1026" name="Image1" descr="ÃÂ¦ÃÂ´ÃÂ»ÃÂ¥ÃÂÃÂ¨ÃÂ¥ÃÂ®Ã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descr="ÃÂ¦ÃÂ´ÃÂ»ÃÂ¥ÃÂÃÂ¨ÃÂ¥ÃÂ®ÃÂ¤"/>
                          <pic:cNvPicPr>
                            <a:picLocks noChangeAspect="1"/>
                          </pic:cNvPicPr>
                        </pic:nvPicPr>
                        <pic:blipFill>
                          <a:blip r:embed="rId4" cstate="print">
                            <a:extLst>
                              <a:ext uri="{28A0092B-C50C-407E-A947-70E740481C1C}">
                                <a14:useLocalDpi xmlns:a14="http://schemas.microsoft.com/office/drawing/2010/main" val="0"/>
                              </a:ext>
                            </a:extLst>
                          </a:blip>
                          <a:srcRect l="11380" t="17111" r="12456" b="18956"/>
                          <a:stretch>
                            <a:fillRect/>
                          </a:stretch>
                        </pic:blipFill>
                        <pic:spPr>
                          <a:xfrm>
                            <a:off x="0" y="0"/>
                            <a:ext cx="779145" cy="607060"/>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9" w:type="dxa"/>
            <w:vAlign w:val="center"/>
          </w:tcPr>
          <w:p>
            <w:pPr>
              <w:spacing w:before="100" w:beforeAutospacing="1" w:after="100" w:afterAutospacing="1"/>
              <w:jc w:val="center"/>
              <w:rPr>
                <w:rFonts w:hint="eastAsia" w:ascii="宋体" w:hAnsi="宋体" w:cs="宋体"/>
                <w:b/>
                <w:bCs/>
                <w:sz w:val="24"/>
                <w:lang w:val="en-US" w:eastAsia="zh-CN"/>
              </w:rPr>
            </w:pPr>
            <w:r>
              <w:rPr>
                <w:rFonts w:hint="eastAsia" w:ascii="宋体" w:hAnsi="宋体" w:cs="宋体"/>
                <w:b/>
                <w:bCs/>
                <w:sz w:val="24"/>
                <w:lang w:val="en-US" w:eastAsia="zh-CN"/>
              </w:rPr>
              <w:t>2</w:t>
            </w:r>
          </w:p>
        </w:tc>
        <w:tc>
          <w:tcPr>
            <w:tcW w:w="1408" w:type="dxa"/>
            <w:vAlign w:val="center"/>
          </w:tcPr>
          <w:p>
            <w:pPr>
              <w:jc w:val="center"/>
              <w:rPr>
                <w:rFonts w:hint="eastAsia" w:ascii="宋体" w:hAnsi="宋体" w:cs="宋体"/>
                <w:b/>
                <w:bCs/>
                <w:color w:val="000000"/>
                <w:sz w:val="24"/>
              </w:rPr>
            </w:pPr>
            <w:r>
              <w:rPr>
                <w:rFonts w:hint="eastAsia" w:ascii="宋体" w:hAnsi="宋体" w:cs="宋体"/>
                <w:b/>
                <w:bCs/>
                <w:color w:val="000000"/>
                <w:sz w:val="24"/>
                <w:lang w:eastAsia="zh-CN"/>
              </w:rPr>
              <w:t>卷帘上梁卷管</w:t>
            </w:r>
          </w:p>
        </w:tc>
        <w:tc>
          <w:tcPr>
            <w:tcW w:w="6478" w:type="dxa"/>
            <w:vAlign w:val="center"/>
          </w:tcPr>
          <w:p>
            <w:pPr>
              <w:widowControl/>
              <w:snapToGrid w:val="0"/>
              <w:spacing w:line="320" w:lineRule="exact"/>
              <w:jc w:val="left"/>
              <w:rPr>
                <w:sz w:val="21"/>
                <w:szCs w:val="21"/>
              </w:rPr>
            </w:pPr>
            <w:r>
              <w:rPr>
                <w:sz w:val="21"/>
                <w:szCs w:val="21"/>
              </w:rPr>
              <w:t>1、抗拉伸强度≥240RM/MPa,规定非比例延伸强度≥220Rp0.2/MPa,断后延伸率≤13.5﹪；</w:t>
            </w:r>
          </w:p>
          <w:p>
            <w:pPr>
              <w:widowControl/>
              <w:snapToGrid w:val="0"/>
              <w:spacing w:line="320" w:lineRule="exact"/>
              <w:jc w:val="left"/>
              <w:rPr>
                <w:sz w:val="21"/>
                <w:szCs w:val="21"/>
              </w:rPr>
            </w:pPr>
            <w:r>
              <w:rPr>
                <w:sz w:val="21"/>
                <w:szCs w:val="21"/>
              </w:rPr>
              <w:t>2、重金属含量符合欧盟新R0HS指令2011/65/EU</w:t>
            </w:r>
          </w:p>
          <w:p>
            <w:pPr>
              <w:rPr>
                <w:rFonts w:hint="eastAsia" w:ascii="宋体" w:hAnsi="宋体" w:eastAsia="宋体" w:cs="宋体"/>
                <w:b/>
                <w:bCs/>
                <w:sz w:val="21"/>
                <w:szCs w:val="21"/>
              </w:rPr>
            </w:pPr>
            <w:r>
              <w:rPr>
                <w:sz w:val="21"/>
                <w:szCs w:val="21"/>
              </w:rPr>
              <w:t>3、圆形铝合金挤压管材，管径约38mm，壁厚≥2.0mm，克重≥650g/m,内置≥8根加强筋，抗弯能力强，保证4M范围内不产生弯曲变形。</w:t>
            </w:r>
          </w:p>
        </w:tc>
        <w:tc>
          <w:tcPr>
            <w:tcW w:w="1440" w:type="dxa"/>
            <w:vAlign w:val="center"/>
          </w:tcPr>
          <w:p>
            <w:pPr>
              <w:spacing w:before="100" w:beforeAutospacing="1" w:after="100" w:afterAutospacing="1"/>
              <w:jc w:val="center"/>
              <w:rPr>
                <w:rFonts w:ascii="宋体" w:hAnsi="宋体" w:cs="宋体"/>
                <w:b/>
                <w:sz w:val="24"/>
              </w:rPr>
            </w:pPr>
            <w:r>
              <w:rPr>
                <w:sz w:val="21"/>
                <w:szCs w:val="21"/>
              </w:rPr>
              <w:drawing>
                <wp:inline distT="0" distB="0" distL="114300" distR="114300">
                  <wp:extent cx="808990" cy="740410"/>
                  <wp:effectExtent l="0" t="0" r="3810" b="889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08990" cy="740410"/>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9" w:type="dxa"/>
            <w:vAlign w:val="center"/>
          </w:tcPr>
          <w:p>
            <w:pPr>
              <w:spacing w:before="100" w:beforeAutospacing="1" w:after="100" w:afterAutospacing="1"/>
              <w:jc w:val="center"/>
              <w:rPr>
                <w:rFonts w:hint="eastAsia" w:ascii="宋体" w:hAnsi="宋体" w:cs="宋体"/>
                <w:b/>
                <w:bCs/>
                <w:sz w:val="24"/>
                <w:lang w:val="en-US" w:eastAsia="zh-CN"/>
              </w:rPr>
            </w:pPr>
            <w:r>
              <w:rPr>
                <w:rFonts w:hint="eastAsia" w:ascii="宋体" w:hAnsi="宋体" w:cs="宋体"/>
                <w:b/>
                <w:bCs/>
                <w:sz w:val="24"/>
                <w:lang w:val="en-US" w:eastAsia="zh-CN"/>
              </w:rPr>
              <w:t>3</w:t>
            </w:r>
          </w:p>
        </w:tc>
        <w:tc>
          <w:tcPr>
            <w:tcW w:w="1408" w:type="dxa"/>
            <w:vAlign w:val="center"/>
          </w:tcPr>
          <w:p>
            <w:pPr>
              <w:spacing w:before="100" w:beforeAutospacing="1" w:after="100" w:afterAutospacing="1"/>
              <w:jc w:val="center"/>
              <w:rPr>
                <w:rFonts w:hint="eastAsia" w:ascii="宋体" w:hAnsi="宋体" w:cs="宋体"/>
                <w:b/>
                <w:bCs/>
                <w:color w:val="000000"/>
                <w:sz w:val="24"/>
                <w:lang w:eastAsia="zh-CN"/>
              </w:rPr>
            </w:pPr>
            <w:r>
              <w:rPr>
                <w:rFonts w:hint="eastAsia" w:ascii="宋体" w:hAnsi="宋体" w:cs="宋体"/>
                <w:b/>
                <w:bCs/>
                <w:color w:val="000000"/>
                <w:sz w:val="24"/>
                <w:lang w:eastAsia="zh-CN"/>
              </w:rPr>
              <w:t>卷帘下梁</w:t>
            </w:r>
          </w:p>
        </w:tc>
        <w:tc>
          <w:tcPr>
            <w:tcW w:w="6478" w:type="dxa"/>
            <w:vAlign w:val="center"/>
          </w:tcPr>
          <w:p>
            <w:pPr>
              <w:widowControl/>
              <w:snapToGrid w:val="0"/>
              <w:spacing w:line="320" w:lineRule="exact"/>
              <w:jc w:val="left"/>
              <w:rPr>
                <w:sz w:val="21"/>
                <w:szCs w:val="21"/>
              </w:rPr>
            </w:pPr>
            <w:r>
              <w:rPr>
                <w:sz w:val="21"/>
                <w:szCs w:val="21"/>
              </w:rPr>
              <w:t>1、抗拉伸强度≥240RM/MPa,规定非比例延伸强度≥220Rp0.2/MPa,断后延伸率≤13.5﹪；</w:t>
            </w:r>
          </w:p>
          <w:p>
            <w:pPr>
              <w:widowControl/>
              <w:snapToGrid w:val="0"/>
              <w:spacing w:line="320" w:lineRule="exact"/>
              <w:jc w:val="left"/>
              <w:rPr>
                <w:sz w:val="21"/>
                <w:szCs w:val="21"/>
              </w:rPr>
            </w:pPr>
            <w:r>
              <w:rPr>
                <w:sz w:val="21"/>
                <w:szCs w:val="21"/>
              </w:rPr>
              <w:t>2、重金属含量符合欧盟新R0HS指令2011/65/EU;</w:t>
            </w:r>
          </w:p>
          <w:p>
            <w:pPr>
              <w:rPr>
                <w:rFonts w:hint="eastAsia" w:ascii="宋体" w:hAnsi="宋体" w:eastAsia="宋体" w:cs="宋体"/>
                <w:color w:val="000000"/>
                <w:sz w:val="21"/>
                <w:szCs w:val="21"/>
              </w:rPr>
            </w:pPr>
            <w:r>
              <w:rPr>
                <w:sz w:val="21"/>
                <w:szCs w:val="21"/>
              </w:rPr>
              <w:t>3、铝合金材质，外形尺寸≥3.0cmX1.0cm,铝材截面厚度≥1.5mm,克重≥395g/m</w:t>
            </w:r>
          </w:p>
        </w:tc>
        <w:tc>
          <w:tcPr>
            <w:tcW w:w="1440" w:type="dxa"/>
            <w:vAlign w:val="center"/>
          </w:tcPr>
          <w:p>
            <w:pPr>
              <w:rPr>
                <w:rFonts w:ascii="宋体" w:hAnsi="宋体" w:cs="宋体"/>
                <w:b/>
                <w:sz w:val="24"/>
              </w:rPr>
            </w:pPr>
            <w:r>
              <w:rPr>
                <w:sz w:val="21"/>
                <w:szCs w:val="21"/>
              </w:rPr>
              <w:drawing>
                <wp:inline distT="0" distB="0" distL="114300" distR="114300">
                  <wp:extent cx="946150" cy="756285"/>
                  <wp:effectExtent l="0" t="0" r="5715" b="6350"/>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rot="16200000">
                            <a:off x="0" y="0"/>
                            <a:ext cx="946150" cy="756285"/>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9" w:type="dxa"/>
            <w:vAlign w:val="center"/>
          </w:tcPr>
          <w:p>
            <w:pPr>
              <w:spacing w:before="100" w:beforeAutospacing="1" w:after="100" w:afterAutospacing="1"/>
              <w:jc w:val="center"/>
              <w:rPr>
                <w:rFonts w:hint="eastAsia" w:ascii="宋体" w:hAnsi="宋体" w:cs="宋体"/>
                <w:b/>
                <w:bCs/>
                <w:sz w:val="24"/>
                <w:lang w:val="en-US" w:eastAsia="zh-CN"/>
              </w:rPr>
            </w:pPr>
            <w:r>
              <w:rPr>
                <w:rFonts w:hint="eastAsia" w:ascii="宋体" w:hAnsi="宋体" w:cs="宋体"/>
                <w:b/>
                <w:bCs/>
                <w:sz w:val="24"/>
                <w:lang w:val="en-US" w:eastAsia="zh-CN"/>
              </w:rPr>
              <w:t>4</w:t>
            </w:r>
          </w:p>
        </w:tc>
        <w:tc>
          <w:tcPr>
            <w:tcW w:w="1408" w:type="dxa"/>
            <w:vAlign w:val="center"/>
          </w:tcPr>
          <w:p>
            <w:pPr>
              <w:spacing w:before="100" w:beforeAutospacing="1" w:after="100" w:afterAutospacing="1"/>
              <w:jc w:val="center"/>
              <w:rPr>
                <w:rFonts w:hint="eastAsia" w:ascii="宋体" w:hAnsi="宋体" w:cs="宋体"/>
                <w:b/>
                <w:bCs/>
                <w:color w:val="000000"/>
                <w:sz w:val="24"/>
                <w:lang w:eastAsia="zh-CN"/>
              </w:rPr>
            </w:pPr>
            <w:r>
              <w:rPr>
                <w:rFonts w:hint="eastAsia" w:ascii="宋体" w:hAnsi="宋体" w:cs="宋体"/>
                <w:b/>
                <w:bCs/>
                <w:color w:val="000000"/>
                <w:sz w:val="24"/>
                <w:lang w:eastAsia="zh-CN"/>
              </w:rPr>
              <w:t>卷帘制头</w:t>
            </w:r>
          </w:p>
        </w:tc>
        <w:tc>
          <w:tcPr>
            <w:tcW w:w="6478" w:type="dxa"/>
            <w:vAlign w:val="center"/>
          </w:tcPr>
          <w:p>
            <w:pPr>
              <w:widowControl/>
              <w:snapToGrid w:val="0"/>
              <w:spacing w:line="320" w:lineRule="exact"/>
              <w:jc w:val="left"/>
              <w:rPr>
                <w:sz w:val="21"/>
                <w:szCs w:val="21"/>
              </w:rPr>
            </w:pPr>
            <w:r>
              <w:rPr>
                <w:sz w:val="21"/>
                <w:szCs w:val="21"/>
              </w:rPr>
              <w:t>1、外塑材质为PBT+30%PC,外形尺寸不小于90mm×110mm</w:t>
            </w:r>
          </w:p>
          <w:p>
            <w:pPr>
              <w:widowControl/>
              <w:snapToGrid w:val="0"/>
              <w:spacing w:line="320" w:lineRule="exact"/>
              <w:jc w:val="left"/>
              <w:rPr>
                <w:sz w:val="21"/>
                <w:szCs w:val="21"/>
              </w:rPr>
            </w:pPr>
            <w:r>
              <w:rPr>
                <w:sz w:val="21"/>
                <w:szCs w:val="21"/>
              </w:rPr>
              <w:t>2、使用强度：疲劳测试5000-10000次的检测报告</w:t>
            </w:r>
          </w:p>
          <w:p>
            <w:pPr>
              <w:rPr>
                <w:rFonts w:hint="eastAsia" w:ascii="宋体" w:hAnsi="宋体" w:eastAsia="宋体" w:cs="宋体"/>
                <w:color w:val="000000"/>
                <w:sz w:val="21"/>
                <w:szCs w:val="21"/>
                <w:lang w:val="en-US" w:eastAsia="zh-CN"/>
              </w:rPr>
            </w:pPr>
            <w:r>
              <w:rPr>
                <w:sz w:val="21"/>
                <w:szCs w:val="21"/>
              </w:rPr>
              <w:t>采用较大尺寸的拉珠链轮，驱动制头，金属材料厚度2mm，表面珠光喷涂，制头尾部有省力、助力弹簧系统，具备良好的综合性能，耐疲劳、耐老化、稳定性高，保证在恶劣的环境中安全使用，耐磨性能高。使用寿命10年以上。</w:t>
            </w:r>
          </w:p>
        </w:tc>
        <w:tc>
          <w:tcPr>
            <w:tcW w:w="1440" w:type="dxa"/>
            <w:vAlign w:val="center"/>
          </w:tcPr>
          <w:p>
            <w:pPr>
              <w:rPr>
                <w:rFonts w:ascii="宋体" w:hAnsi="宋体" w:cs="宋体"/>
                <w:b/>
                <w:sz w:val="24"/>
              </w:rPr>
            </w:pPr>
            <w:r>
              <w:rPr>
                <w:sz w:val="21"/>
                <w:szCs w:val="21"/>
              </w:rPr>
              <w:drawing>
                <wp:inline distT="0" distB="0" distL="114300" distR="114300">
                  <wp:extent cx="759460" cy="453390"/>
                  <wp:effectExtent l="0" t="0" r="2540" b="3810"/>
                  <wp:docPr id="1029" name="Image1" descr="ÃÂ¥ÃÂÃÂ¾ÃÂ§ÃÂÃ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1" descr="ÃÂ¥ÃÂÃÂ¾ÃÂ§ÃÂÃÂ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59460" cy="453390"/>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9" w:type="dxa"/>
            <w:vAlign w:val="center"/>
          </w:tcPr>
          <w:p>
            <w:pPr>
              <w:spacing w:before="100" w:beforeAutospacing="1" w:after="100" w:afterAutospacing="1"/>
              <w:jc w:val="center"/>
              <w:rPr>
                <w:rFonts w:hint="eastAsia" w:ascii="宋体" w:hAnsi="宋体" w:cs="宋体"/>
                <w:b/>
                <w:bCs/>
                <w:sz w:val="24"/>
                <w:lang w:val="en-US" w:eastAsia="zh-CN"/>
              </w:rPr>
            </w:pPr>
            <w:r>
              <w:rPr>
                <w:rFonts w:hint="eastAsia" w:ascii="宋体" w:hAnsi="宋体" w:cs="宋体"/>
                <w:b/>
                <w:bCs/>
                <w:sz w:val="24"/>
                <w:lang w:val="en-US" w:eastAsia="zh-CN"/>
              </w:rPr>
              <w:t>5</w:t>
            </w:r>
          </w:p>
        </w:tc>
        <w:tc>
          <w:tcPr>
            <w:tcW w:w="1408" w:type="dxa"/>
            <w:vAlign w:val="center"/>
          </w:tcPr>
          <w:p>
            <w:pPr>
              <w:spacing w:before="100" w:beforeAutospacing="1" w:after="100" w:afterAutospacing="1"/>
              <w:jc w:val="center"/>
              <w:rPr>
                <w:rFonts w:hint="eastAsia" w:ascii="宋体" w:hAnsi="宋体" w:cs="宋体"/>
                <w:b/>
                <w:bCs/>
                <w:color w:val="000000"/>
                <w:sz w:val="24"/>
                <w:lang w:eastAsia="zh-CN"/>
              </w:rPr>
            </w:pPr>
            <w:r>
              <w:rPr>
                <w:rFonts w:hint="eastAsia" w:ascii="宋体" w:hAnsi="宋体" w:cs="宋体"/>
                <w:b/>
                <w:bCs/>
                <w:color w:val="000000"/>
                <w:sz w:val="24"/>
                <w:lang w:eastAsia="zh-CN"/>
              </w:rPr>
              <w:t>荷兰绒布</w:t>
            </w:r>
          </w:p>
        </w:tc>
        <w:tc>
          <w:tcPr>
            <w:tcW w:w="6478" w:type="dxa"/>
            <w:vAlign w:val="center"/>
          </w:tcPr>
          <w:p>
            <w:pPr>
              <w:widowControl/>
              <w:snapToGrid w:val="0"/>
              <w:spacing w:line="320" w:lineRule="exact"/>
              <w:jc w:val="left"/>
              <w:rPr>
                <w:sz w:val="21"/>
                <w:szCs w:val="21"/>
              </w:rPr>
            </w:pPr>
            <w:r>
              <w:rPr>
                <w:sz w:val="21"/>
                <w:szCs w:val="21"/>
              </w:rPr>
              <w:t>1、颜色：中标后需送样确认</w:t>
            </w:r>
          </w:p>
          <w:p>
            <w:pPr>
              <w:widowControl/>
              <w:snapToGrid w:val="0"/>
              <w:spacing w:line="320" w:lineRule="exact"/>
              <w:jc w:val="left"/>
              <w:rPr>
                <w:sz w:val="21"/>
                <w:szCs w:val="21"/>
              </w:rPr>
            </w:pPr>
            <w:r>
              <w:rPr>
                <w:sz w:val="21"/>
                <w:szCs w:val="21"/>
              </w:rPr>
              <w:t>★2、组织成分：100%POLYESTER</w:t>
            </w:r>
          </w:p>
          <w:p>
            <w:pPr>
              <w:widowControl/>
              <w:snapToGrid w:val="0"/>
              <w:spacing w:line="320" w:lineRule="exact"/>
              <w:jc w:val="left"/>
              <w:rPr>
                <w:sz w:val="21"/>
                <w:szCs w:val="21"/>
              </w:rPr>
            </w:pPr>
            <w:r>
              <w:rPr>
                <w:sz w:val="21"/>
                <w:szCs w:val="21"/>
              </w:rPr>
              <w:t>3、门幅：2.8M</w:t>
            </w:r>
          </w:p>
          <w:p>
            <w:pPr>
              <w:widowControl/>
              <w:snapToGrid w:val="0"/>
              <w:spacing w:line="320" w:lineRule="exact"/>
              <w:jc w:val="left"/>
              <w:rPr>
                <w:sz w:val="21"/>
                <w:szCs w:val="21"/>
              </w:rPr>
            </w:pPr>
            <w:r>
              <w:rPr>
                <w:sz w:val="21"/>
                <w:szCs w:val="21"/>
              </w:rPr>
              <w:t>★4、克重：≧425克/平方</w:t>
            </w:r>
          </w:p>
          <w:p>
            <w:pPr>
              <w:widowControl/>
              <w:snapToGrid w:val="0"/>
              <w:spacing w:line="320" w:lineRule="exact"/>
              <w:jc w:val="left"/>
              <w:rPr>
                <w:sz w:val="21"/>
                <w:szCs w:val="21"/>
              </w:rPr>
            </w:pPr>
            <w:r>
              <w:rPr>
                <w:sz w:val="21"/>
                <w:szCs w:val="21"/>
              </w:rPr>
              <w:t>技术要求</w:t>
            </w:r>
          </w:p>
          <w:p>
            <w:pPr>
              <w:widowControl/>
              <w:snapToGrid w:val="0"/>
              <w:spacing w:line="320" w:lineRule="exact"/>
              <w:jc w:val="left"/>
              <w:rPr>
                <w:sz w:val="21"/>
                <w:szCs w:val="21"/>
              </w:rPr>
            </w:pPr>
            <w:r>
              <w:rPr>
                <w:sz w:val="21"/>
                <w:szCs w:val="21"/>
              </w:rPr>
              <w:t>★5、甲醛含量：未检出</w:t>
            </w:r>
          </w:p>
          <w:p>
            <w:pPr>
              <w:widowControl/>
              <w:snapToGrid w:val="0"/>
              <w:spacing w:line="320" w:lineRule="exact"/>
              <w:jc w:val="left"/>
              <w:rPr>
                <w:sz w:val="21"/>
                <w:szCs w:val="21"/>
              </w:rPr>
            </w:pPr>
            <w:r>
              <w:rPr>
                <w:sz w:val="21"/>
                <w:szCs w:val="21"/>
              </w:rPr>
              <w:t>★6、芳香胺含量：未检出</w:t>
            </w:r>
          </w:p>
          <w:p>
            <w:pPr>
              <w:widowControl/>
              <w:snapToGrid w:val="0"/>
              <w:spacing w:line="320" w:lineRule="exact"/>
              <w:jc w:val="left"/>
              <w:rPr>
                <w:sz w:val="21"/>
                <w:szCs w:val="21"/>
              </w:rPr>
            </w:pPr>
            <w:r>
              <w:rPr>
                <w:sz w:val="21"/>
                <w:szCs w:val="21"/>
              </w:rPr>
              <w:t>7、断裂强力：径向≥2300N/5CM；纬向≥2150N/5CM</w:t>
            </w:r>
          </w:p>
          <w:p>
            <w:pPr>
              <w:widowControl/>
              <w:snapToGrid w:val="0"/>
              <w:spacing w:line="320" w:lineRule="exact"/>
              <w:jc w:val="left"/>
              <w:rPr>
                <w:sz w:val="21"/>
                <w:szCs w:val="21"/>
              </w:rPr>
            </w:pPr>
            <w:r>
              <w:rPr>
                <w:sz w:val="21"/>
                <w:szCs w:val="21"/>
              </w:rPr>
              <w:t>8、水洗尺寸变化率：+0.3 - -0.3</w:t>
            </w:r>
          </w:p>
          <w:p>
            <w:pPr>
              <w:widowControl/>
              <w:snapToGrid w:val="0"/>
              <w:spacing w:line="320" w:lineRule="exact"/>
              <w:jc w:val="left"/>
              <w:rPr>
                <w:sz w:val="21"/>
                <w:szCs w:val="21"/>
              </w:rPr>
            </w:pPr>
            <w:r>
              <w:rPr>
                <w:sz w:val="21"/>
                <w:szCs w:val="21"/>
              </w:rPr>
              <w:t>9、耐洗色牢度/级(变色、沾色）＞4</w:t>
            </w:r>
          </w:p>
          <w:p>
            <w:pPr>
              <w:widowControl/>
              <w:snapToGrid w:val="0"/>
              <w:spacing w:line="320" w:lineRule="exact"/>
              <w:jc w:val="left"/>
              <w:rPr>
                <w:sz w:val="21"/>
                <w:szCs w:val="21"/>
              </w:rPr>
            </w:pPr>
            <w:r>
              <w:rPr>
                <w:sz w:val="21"/>
                <w:szCs w:val="21"/>
              </w:rPr>
              <w:t>10、耐干摩擦色挠度/级＞3-4</w:t>
            </w:r>
          </w:p>
          <w:p>
            <w:pPr>
              <w:widowControl/>
              <w:snapToGrid w:val="0"/>
              <w:spacing w:line="320" w:lineRule="exact"/>
              <w:jc w:val="left"/>
              <w:rPr>
                <w:sz w:val="21"/>
                <w:szCs w:val="21"/>
              </w:rPr>
            </w:pPr>
            <w:r>
              <w:rPr>
                <w:sz w:val="21"/>
                <w:szCs w:val="21"/>
              </w:rPr>
              <w:t>11、耐光色牢度/级＞5</w:t>
            </w:r>
          </w:p>
          <w:p>
            <w:pPr>
              <w:widowControl/>
              <w:snapToGrid w:val="0"/>
              <w:spacing w:line="320" w:lineRule="exact"/>
              <w:jc w:val="left"/>
              <w:rPr>
                <w:sz w:val="21"/>
                <w:szCs w:val="21"/>
              </w:rPr>
            </w:pPr>
            <w:r>
              <w:rPr>
                <w:sz w:val="21"/>
                <w:szCs w:val="21"/>
              </w:rPr>
              <w:t>12、PH值：4-9</w:t>
            </w:r>
          </w:p>
          <w:p>
            <w:pPr>
              <w:widowControl/>
              <w:snapToGrid w:val="0"/>
              <w:spacing w:line="320" w:lineRule="exact"/>
              <w:jc w:val="left"/>
              <w:rPr>
                <w:sz w:val="21"/>
                <w:szCs w:val="21"/>
              </w:rPr>
            </w:pPr>
            <w:r>
              <w:rPr>
                <w:sz w:val="21"/>
                <w:szCs w:val="21"/>
              </w:rPr>
              <w:t>★13、防火标准：B1级  符合（GB 8624-2012  窗帘幕布,家具制品装饰用织物）原样测试。</w:t>
            </w:r>
          </w:p>
          <w:p>
            <w:pPr>
              <w:widowControl/>
              <w:numPr>
                <w:ilvl w:val="0"/>
                <w:numId w:val="1"/>
              </w:numPr>
              <w:snapToGrid w:val="0"/>
              <w:spacing w:line="320" w:lineRule="exact"/>
              <w:jc w:val="left"/>
              <w:rPr>
                <w:sz w:val="21"/>
                <w:szCs w:val="21"/>
              </w:rPr>
            </w:pPr>
            <w:r>
              <w:rPr>
                <w:sz w:val="21"/>
                <w:szCs w:val="21"/>
              </w:rPr>
              <w:t>防紫外线性能：UPF≥40</w:t>
            </w:r>
            <w:r>
              <w:rPr>
                <w:rFonts w:hint="eastAsia" w:ascii="Times New Roman" w:eastAsia="宋体"/>
                <w:sz w:val="21"/>
                <w:szCs w:val="21"/>
                <w:lang w:val="en-US" w:eastAsia="zh-CN"/>
              </w:rPr>
              <w:t xml:space="preserve"> </w:t>
            </w:r>
            <w:r>
              <w:rPr>
                <w:sz w:val="21"/>
                <w:szCs w:val="21"/>
              </w:rPr>
              <w:t>T（UVA)AV%≤5T（UVB)AV%≤5</w:t>
            </w:r>
          </w:p>
          <w:p>
            <w:pPr>
              <w:widowControl/>
              <w:numPr>
                <w:ilvl w:val="0"/>
                <w:numId w:val="1"/>
              </w:numPr>
              <w:snapToGrid w:val="0"/>
              <w:spacing w:line="320" w:lineRule="exact"/>
              <w:jc w:val="left"/>
              <w:rPr>
                <w:rFonts w:hint="eastAsia"/>
                <w:sz w:val="21"/>
                <w:szCs w:val="21"/>
              </w:rPr>
            </w:pPr>
            <w:r>
              <w:rPr>
                <w:rFonts w:hint="eastAsia" w:eastAsia="宋体"/>
                <w:sz w:val="21"/>
                <w:szCs w:val="21"/>
                <w:lang w:eastAsia="zh-CN"/>
              </w:rPr>
              <w:t>防霉等级：</w:t>
            </w:r>
            <w:r>
              <w:rPr>
                <w:rFonts w:hint="eastAsia" w:ascii="宋体" w:hAnsi="宋体" w:eastAsia="宋体" w:cs="宋体"/>
                <w:sz w:val="21"/>
                <w:szCs w:val="21"/>
                <w:lang w:eastAsia="zh-CN"/>
              </w:rPr>
              <w:t>≥</w:t>
            </w:r>
            <w:r>
              <w:rPr>
                <w:rFonts w:hint="eastAsia" w:ascii="Times New Roman" w:eastAsia="宋体"/>
                <w:sz w:val="21"/>
                <w:szCs w:val="21"/>
                <w:lang w:val="en-US" w:eastAsia="zh-CN"/>
              </w:rPr>
              <w:t>0级</w:t>
            </w:r>
          </w:p>
          <w:p>
            <w:pPr>
              <w:widowControl/>
              <w:numPr>
                <w:ilvl w:val="0"/>
                <w:numId w:val="1"/>
              </w:numPr>
              <w:snapToGrid w:val="0"/>
              <w:spacing w:line="320" w:lineRule="exact"/>
              <w:jc w:val="left"/>
              <w:rPr>
                <w:rFonts w:hint="eastAsia"/>
                <w:sz w:val="21"/>
                <w:szCs w:val="21"/>
              </w:rPr>
            </w:pPr>
            <w:r>
              <w:rPr>
                <w:rFonts w:hint="eastAsia" w:ascii="Times New Roman" w:eastAsia="宋体"/>
                <w:sz w:val="21"/>
                <w:szCs w:val="21"/>
                <w:lang w:val="en-US" w:eastAsia="zh-CN"/>
              </w:rPr>
              <w:t>抗（抑）菌率：</w:t>
            </w:r>
            <w:r>
              <w:rPr>
                <w:rFonts w:hint="eastAsia" w:ascii="宋体" w:hAnsi="宋体" w:eastAsia="宋体" w:cs="宋体"/>
                <w:sz w:val="21"/>
                <w:szCs w:val="21"/>
                <w:lang w:val="en-US" w:eastAsia="zh-CN"/>
              </w:rPr>
              <w:t>≥</w:t>
            </w:r>
            <w:r>
              <w:rPr>
                <w:rFonts w:hint="eastAsia" w:ascii="Times New Roman" w:eastAsia="宋体"/>
                <w:sz w:val="21"/>
                <w:szCs w:val="21"/>
                <w:lang w:val="en-US" w:eastAsia="zh-CN"/>
              </w:rPr>
              <w:t>90%</w:t>
            </w:r>
          </w:p>
        </w:tc>
        <w:tc>
          <w:tcPr>
            <w:tcW w:w="1440" w:type="dxa"/>
            <w:vAlign w:val="center"/>
          </w:tcPr>
          <w:p>
            <w:pPr>
              <w:rPr>
                <w:rFonts w:ascii="宋体" w:hAnsi="宋体" w:cs="宋体"/>
                <w:b/>
                <w:sz w:val="24"/>
              </w:rPr>
            </w:pPr>
            <w:r>
              <w:rPr>
                <w:sz w:val="21"/>
                <w:szCs w:val="21"/>
              </w:rPr>
              <w:drawing>
                <wp:inline distT="0" distB="0" distL="114300" distR="114300">
                  <wp:extent cx="775970" cy="586105"/>
                  <wp:effectExtent l="0" t="0" r="11430" b="10795"/>
                  <wp:docPr id="1030" name="Image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1" descr="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75970" cy="586105"/>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9" w:type="dxa"/>
            <w:vAlign w:val="center"/>
          </w:tcPr>
          <w:p>
            <w:pPr>
              <w:spacing w:before="100" w:beforeAutospacing="1" w:after="100" w:afterAutospacing="1"/>
              <w:jc w:val="center"/>
              <w:rPr>
                <w:rFonts w:hint="eastAsia" w:ascii="宋体" w:hAnsi="宋体" w:cs="宋体"/>
                <w:b/>
                <w:bCs/>
                <w:sz w:val="24"/>
                <w:lang w:val="en-US" w:eastAsia="zh-CN"/>
              </w:rPr>
            </w:pPr>
            <w:r>
              <w:rPr>
                <w:rFonts w:hint="eastAsia" w:ascii="宋体" w:hAnsi="宋体" w:cs="宋体"/>
                <w:b/>
                <w:bCs/>
                <w:sz w:val="24"/>
                <w:lang w:val="en-US" w:eastAsia="zh-CN"/>
              </w:rPr>
              <w:t>6</w:t>
            </w:r>
          </w:p>
        </w:tc>
        <w:tc>
          <w:tcPr>
            <w:tcW w:w="1408" w:type="dxa"/>
            <w:vAlign w:val="center"/>
          </w:tcPr>
          <w:p>
            <w:pPr>
              <w:spacing w:before="100" w:beforeAutospacing="1" w:after="100" w:afterAutospacing="1"/>
              <w:jc w:val="center"/>
              <w:rPr>
                <w:rFonts w:hint="eastAsia" w:ascii="宋体" w:hAnsi="宋体" w:cs="宋体"/>
                <w:b/>
                <w:bCs/>
                <w:color w:val="000000"/>
                <w:sz w:val="24"/>
                <w:lang w:eastAsia="zh-CN"/>
              </w:rPr>
            </w:pPr>
            <w:r>
              <w:rPr>
                <w:rFonts w:hint="eastAsia" w:ascii="宋体" w:hAnsi="宋体" w:cs="宋体"/>
                <w:b/>
                <w:bCs/>
                <w:color w:val="000000"/>
                <w:sz w:val="24"/>
                <w:lang w:eastAsia="zh-CN"/>
              </w:rPr>
              <w:t>罗马杆</w:t>
            </w:r>
          </w:p>
        </w:tc>
        <w:tc>
          <w:tcPr>
            <w:tcW w:w="6478" w:type="dxa"/>
            <w:vAlign w:val="center"/>
          </w:tcPr>
          <w:p>
            <w:pPr>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优质铝合金罗马杆，材质为铝合金，截面为O型，</w:t>
            </w:r>
          </w:p>
          <w:p>
            <w:pPr>
              <w:rPr>
                <w:rFonts w:hint="eastAsia" w:ascii="宋体" w:hAnsi="宋体"/>
                <w:b/>
                <w:bCs/>
                <w:color w:val="auto"/>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b/>
                <w:bCs/>
                <w:color w:val="auto"/>
                <w:szCs w:val="21"/>
                <w:highlight w:val="none"/>
                <w:lang w:val="en-US" w:eastAsia="zh-CN"/>
              </w:rPr>
              <w:t>、</w:t>
            </w:r>
            <w:r>
              <w:rPr>
                <w:rFonts w:hint="eastAsia" w:ascii="宋体" w:hAnsi="宋体" w:cs="宋体"/>
                <w:b/>
                <w:bCs/>
                <w:color w:val="auto"/>
                <w:szCs w:val="21"/>
                <w:highlight w:val="none"/>
              </w:rPr>
              <w:t>▲</w:t>
            </w:r>
            <w:r>
              <w:rPr>
                <w:rFonts w:hint="eastAsia" w:ascii="宋体" w:hAnsi="宋体" w:cs="宋体"/>
                <w:b/>
                <w:bCs/>
                <w:color w:val="auto"/>
                <w:szCs w:val="21"/>
                <w:highlight w:val="none"/>
                <w:lang w:eastAsia="zh-CN"/>
              </w:rPr>
              <w:t>主要</w:t>
            </w:r>
            <w:r>
              <w:rPr>
                <w:rFonts w:hint="eastAsia" w:ascii="宋体" w:hAnsi="宋体"/>
                <w:b/>
                <w:bCs/>
                <w:color w:val="auto"/>
                <w:szCs w:val="21"/>
                <w:highlight w:val="none"/>
              </w:rPr>
              <w:t>性能参数如下</w:t>
            </w:r>
            <w:r>
              <w:rPr>
                <w:rFonts w:hint="eastAsia" w:ascii="宋体" w:hAnsi="宋体"/>
                <w:b/>
                <w:bCs/>
                <w:color w:val="auto"/>
                <w:szCs w:val="21"/>
                <w:highlight w:val="none"/>
                <w:lang w:val="en-US" w:eastAsia="zh-CN"/>
              </w:rPr>
              <w:t>:</w:t>
            </w:r>
          </w:p>
          <w:p>
            <w:pPr>
              <w:rPr>
                <w:rFonts w:hint="eastAsia" w:ascii="宋体" w:hAnsi="宋体"/>
                <w:b/>
                <w:bCs/>
                <w:color w:val="auto"/>
                <w:szCs w:val="21"/>
                <w:highlight w:val="none"/>
              </w:rPr>
            </w:pPr>
            <w:r>
              <w:rPr>
                <w:rFonts w:hint="eastAsia" w:ascii="宋体" w:hAnsi="宋体"/>
                <w:b/>
                <w:bCs/>
                <w:color w:val="auto"/>
                <w:szCs w:val="21"/>
                <w:highlight w:val="none"/>
              </w:rPr>
              <w:t>截面壁厚＞</w:t>
            </w:r>
            <w:r>
              <w:rPr>
                <w:rFonts w:hint="eastAsia" w:ascii="宋体" w:hAnsi="宋体"/>
                <w:b/>
                <w:bCs/>
                <w:color w:val="auto"/>
                <w:szCs w:val="21"/>
                <w:highlight w:val="none"/>
                <w:lang w:val="en-US" w:eastAsia="zh-CN"/>
              </w:rPr>
              <w:t>1.6</w:t>
            </w:r>
            <w:r>
              <w:rPr>
                <w:rFonts w:hint="eastAsia" w:ascii="宋体" w:hAnsi="宋体"/>
                <w:b/>
                <w:bCs/>
                <w:color w:val="auto"/>
                <w:szCs w:val="21"/>
                <w:highlight w:val="none"/>
              </w:rPr>
              <w:t>mm，配置滑轮系统</w:t>
            </w:r>
            <w:r>
              <w:rPr>
                <w:rFonts w:hint="eastAsia" w:ascii="宋体" w:hAnsi="宋体"/>
                <w:b/>
                <w:bCs/>
                <w:color w:val="auto"/>
                <w:szCs w:val="21"/>
                <w:highlight w:val="none"/>
                <w:lang w:eastAsia="zh-CN"/>
              </w:rPr>
              <w:t>；</w:t>
            </w:r>
          </w:p>
          <w:p>
            <w:pPr>
              <w:rPr>
                <w:rFonts w:hint="eastAsia" w:ascii="宋体" w:hAnsi="宋体"/>
                <w:b/>
                <w:bCs/>
                <w:color w:val="auto"/>
                <w:szCs w:val="21"/>
                <w:highlight w:val="none"/>
              </w:rPr>
            </w:pPr>
            <w:r>
              <w:rPr>
                <w:rFonts w:hint="eastAsia" w:ascii="宋体" w:hAnsi="宋体"/>
                <w:b/>
                <w:bCs/>
                <w:color w:val="auto"/>
                <w:szCs w:val="21"/>
                <w:highlight w:val="none"/>
                <w:lang w:eastAsia="zh-CN"/>
              </w:rPr>
              <w:t>抗拉强度≥</w:t>
            </w:r>
            <w:r>
              <w:rPr>
                <w:rFonts w:hint="eastAsia" w:ascii="宋体" w:hAnsi="宋体"/>
                <w:b/>
                <w:bCs/>
                <w:color w:val="auto"/>
                <w:szCs w:val="21"/>
                <w:highlight w:val="none"/>
                <w:lang w:val="en-US" w:eastAsia="zh-CN"/>
              </w:rPr>
              <w:t>220（Rm MPa）</w:t>
            </w:r>
            <w:r>
              <w:rPr>
                <w:rFonts w:hint="eastAsia" w:ascii="宋体" w:hAnsi="宋体"/>
                <w:b/>
                <w:bCs/>
                <w:color w:val="auto"/>
                <w:szCs w:val="21"/>
                <w:highlight w:val="none"/>
              </w:rPr>
              <w:t>：</w:t>
            </w:r>
          </w:p>
          <w:p>
            <w:pPr>
              <w:rPr>
                <w:rFonts w:hint="eastAsia" w:ascii="宋体" w:hAnsi="宋体"/>
                <w:b/>
                <w:bCs/>
                <w:color w:val="auto"/>
                <w:szCs w:val="21"/>
                <w:highlight w:val="none"/>
                <w:lang w:val="en-US" w:eastAsia="zh-CN"/>
              </w:rPr>
            </w:pPr>
            <w:r>
              <w:rPr>
                <w:rFonts w:hint="eastAsia" w:ascii="宋体" w:hAnsi="宋体"/>
                <w:b/>
                <w:bCs/>
                <w:color w:val="auto"/>
                <w:szCs w:val="21"/>
                <w:highlight w:val="none"/>
                <w:lang w:eastAsia="zh-CN"/>
              </w:rPr>
              <w:t>规定非比例延伸强度≥</w:t>
            </w:r>
            <w:r>
              <w:rPr>
                <w:rFonts w:hint="eastAsia" w:ascii="宋体" w:hAnsi="宋体"/>
                <w:b/>
                <w:bCs/>
                <w:color w:val="auto"/>
                <w:szCs w:val="21"/>
                <w:highlight w:val="none"/>
                <w:lang w:val="en-US" w:eastAsia="zh-CN"/>
              </w:rPr>
              <w:t>170（Rm MPa）</w:t>
            </w:r>
          </w:p>
          <w:p>
            <w:pPr>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断后伸张率≥11（A50mm%）</w:t>
            </w:r>
          </w:p>
          <w:p>
            <w:pPr>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膜厚（B级）阳极氧化膜局部膜厚≥40um；漆膜局部膜厚≥50um； 复合膜局部膜厚≥40um</w:t>
            </w:r>
          </w:p>
          <w:p>
            <w:pPr>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漆膜硬度≥3H</w:t>
            </w:r>
          </w:p>
          <w:p>
            <w:pPr>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漆膜附着性级；干附着性：0级；湿附着性：0级</w:t>
            </w:r>
          </w:p>
          <w:p>
            <w:pPr>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耐碱性级：≥9.5级</w:t>
            </w:r>
          </w:p>
          <w:p>
            <w:pPr>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耐磨性 落沙量g：≥3000</w:t>
            </w:r>
          </w:p>
          <w:p>
            <w:pPr>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韦氏硬度HW :≥13</w:t>
            </w:r>
          </w:p>
          <w:p>
            <w:pPr>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.材质采用优质铝合金，耐久性优越，表面烤漆处理，漆膜附着力强；</w:t>
            </w:r>
          </w:p>
          <w:p>
            <w:pPr>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 滑轮：采用原生树脂EVA制作的轮片，具有橡胶版的弹性，表面滑度好。聚甲醛制作的轮架，有光泽，硬且高密度，耐磨性好，轨道和吊轮使用独特的消音设计，静音效果佳；</w:t>
            </w:r>
          </w:p>
          <w:p>
            <w:pPr>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.单个吊轮承重15KG；</w:t>
            </w:r>
          </w:p>
          <w:p>
            <w:pPr>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 xml:space="preserve">.杆重量约0.32kg/m，每米罗马杆配置8个吊轮，两个安装码；                                               </w:t>
            </w:r>
          </w:p>
          <w:p>
            <w:pPr>
              <w:rPr>
                <w:rFonts w:hint="eastAsia" w:ascii="宋体" w:hAnsi="宋体" w:eastAsia="宋体" w:cs="宋体"/>
                <w:color w:val="000000"/>
                <w:sz w:val="21"/>
                <w:szCs w:val="21"/>
              </w:rPr>
            </w:pPr>
            <w:r>
              <w:rPr>
                <w:rFonts w:hint="eastAsia" w:ascii="宋体" w:hAnsi="宋体"/>
                <w:color w:val="auto"/>
                <w:szCs w:val="21"/>
                <w:highlight w:val="none"/>
                <w:lang w:val="en-US" w:eastAsia="zh-CN"/>
              </w:rPr>
              <w:t>7</w:t>
            </w:r>
            <w:r>
              <w:rPr>
                <w:rFonts w:hint="eastAsia" w:ascii="宋体" w:hAnsi="宋体"/>
                <w:color w:val="auto"/>
                <w:szCs w:val="21"/>
                <w:highlight w:val="none"/>
              </w:rPr>
              <w:t>.型材切割机切割时采用专用包装包覆，确保表面洁净，无污渍、划痕或脱漆等不良现象。</w:t>
            </w:r>
          </w:p>
        </w:tc>
        <w:tc>
          <w:tcPr>
            <w:tcW w:w="1440" w:type="dxa"/>
            <w:vAlign w:val="center"/>
          </w:tcPr>
          <w:p>
            <w:pPr>
              <w:rPr>
                <w:rFonts w:ascii="宋体" w:hAnsi="宋体" w:cs="宋体"/>
                <w:b/>
                <w:sz w:val="24"/>
              </w:rPr>
            </w:pPr>
          </w:p>
        </w:tc>
      </w:tr>
    </w:tbl>
    <w:p>
      <w:pPr>
        <w:rPr>
          <w:rFonts w:hint="eastAsia"/>
        </w:rPr>
      </w:pPr>
    </w:p>
    <w:p>
      <w:pPr>
        <w:rPr>
          <w:rFonts w:hint="eastAsia"/>
        </w:rPr>
      </w:pPr>
    </w:p>
    <w:p>
      <w:pPr>
        <w:pStyle w:val="3"/>
        <w:spacing w:before="120" w:after="120" w:line="240" w:lineRule="auto"/>
        <w:rPr>
          <w:rFonts w:hAnsi="宋体" w:cs="宋体"/>
          <w:b/>
          <w:kern w:val="0"/>
        </w:rPr>
      </w:pPr>
      <w:r>
        <w:rPr>
          <w:rFonts w:hint="eastAsia" w:hAnsi="宋体" w:cs="宋体"/>
          <w:b/>
          <w:kern w:val="0"/>
          <w:lang w:val="en-US" w:eastAsia="zh-CN"/>
        </w:rPr>
        <w:t>7、</w:t>
      </w:r>
      <w:r>
        <w:rPr>
          <w:rFonts w:hint="eastAsia" w:hAnsi="宋体" w:cs="宋体"/>
          <w:b/>
          <w:kern w:val="0"/>
        </w:rPr>
        <w:t>布百叶帘技术参数：</w:t>
      </w:r>
    </w:p>
    <w:tbl>
      <w:tblPr>
        <w:tblStyle w:val="4"/>
        <w:tblW w:w="9180" w:type="dxa"/>
        <w:jc w:val="center"/>
        <w:tblInd w:w="0"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842"/>
        <w:gridCol w:w="8338"/>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30" w:hRule="atLeast"/>
          <w:jc w:val="center"/>
        </w:trPr>
        <w:tc>
          <w:tcPr>
            <w:tcW w:w="842" w:type="dxa"/>
            <w:tcBorders>
              <w:top w:val="double" w:color="auto" w:sz="4" w:space="0"/>
            </w:tcBorders>
          </w:tcPr>
          <w:p>
            <w:pPr>
              <w:widowControl/>
              <w:jc w:val="center"/>
              <w:rPr>
                <w:rFonts w:ascii="宋体" w:cs="宋体"/>
                <w:bCs/>
                <w:kern w:val="0"/>
                <w:sz w:val="24"/>
              </w:rPr>
            </w:pPr>
            <w:r>
              <w:rPr>
                <w:rFonts w:hint="eastAsia" w:ascii="宋体" w:hAnsi="宋体" w:cs="宋体"/>
                <w:bCs/>
                <w:kern w:val="0"/>
                <w:sz w:val="24"/>
              </w:rPr>
              <w:t>品名</w:t>
            </w:r>
          </w:p>
        </w:tc>
        <w:tc>
          <w:tcPr>
            <w:tcW w:w="8338" w:type="dxa"/>
            <w:tcBorders>
              <w:top w:val="double" w:color="auto" w:sz="4" w:space="0"/>
            </w:tcBorders>
          </w:tcPr>
          <w:p>
            <w:pPr>
              <w:widowControl/>
              <w:jc w:val="center"/>
              <w:rPr>
                <w:rFonts w:ascii="宋体" w:cs="宋体"/>
                <w:bCs/>
                <w:kern w:val="0"/>
                <w:sz w:val="24"/>
              </w:rPr>
            </w:pPr>
            <w:r>
              <w:rPr>
                <w:rFonts w:hint="eastAsia" w:ascii="宋体" w:hAnsi="宋体" w:cs="宋体"/>
                <w:bCs/>
                <w:kern w:val="0"/>
                <w:sz w:val="24"/>
              </w:rPr>
              <w:t>技术要求</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1" w:hRule="atLeast"/>
          <w:jc w:val="center"/>
        </w:trPr>
        <w:tc>
          <w:tcPr>
            <w:tcW w:w="842" w:type="dxa"/>
            <w:vMerge w:val="restart"/>
            <w:vAlign w:val="center"/>
          </w:tcPr>
          <w:p>
            <w:pPr>
              <w:widowControl/>
              <w:jc w:val="center"/>
              <w:rPr>
                <w:rFonts w:ascii="宋体" w:cs="宋体"/>
                <w:bCs/>
                <w:kern w:val="0"/>
                <w:sz w:val="24"/>
              </w:rPr>
            </w:pPr>
            <w:r>
              <w:rPr>
                <w:rFonts w:hint="eastAsia" w:ascii="宋体" w:hAnsi="宋体"/>
                <w:sz w:val="24"/>
              </w:rPr>
              <w:t>帘片</w:t>
            </w:r>
          </w:p>
        </w:tc>
        <w:tc>
          <w:tcPr>
            <w:tcW w:w="8338" w:type="dxa"/>
            <w:vAlign w:val="center"/>
          </w:tcPr>
          <w:p>
            <w:pPr>
              <w:rPr>
                <w:rFonts w:ascii="宋体" w:cs="宋体"/>
                <w:bCs/>
                <w:kern w:val="0"/>
                <w:sz w:val="24"/>
              </w:rPr>
            </w:pPr>
            <w:r>
              <w:rPr>
                <w:rFonts w:hint="eastAsia" w:ascii="宋体" w:hAnsi="宋体"/>
                <w:sz w:val="24"/>
              </w:rPr>
              <w:t>100%涤纶丝、着有三防纳米涂层的环保型材料，热反射率高，有助于提高空调的冷热效果，减少能耗；弹性好，抗腐蚀能力强，强度高，不易变形；帘片耐湿防潮，经久耐用不易褪色。</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0" w:hRule="atLeast"/>
          <w:jc w:val="center"/>
        </w:trPr>
        <w:tc>
          <w:tcPr>
            <w:tcW w:w="842" w:type="dxa"/>
            <w:vMerge w:val="continue"/>
            <w:vAlign w:val="center"/>
          </w:tcPr>
          <w:p>
            <w:pPr>
              <w:widowControl/>
              <w:jc w:val="center"/>
              <w:rPr>
                <w:rFonts w:ascii="宋体" w:cs="宋体"/>
                <w:bCs/>
                <w:kern w:val="0"/>
                <w:sz w:val="24"/>
              </w:rPr>
            </w:pPr>
          </w:p>
        </w:tc>
        <w:tc>
          <w:tcPr>
            <w:tcW w:w="8338" w:type="dxa"/>
            <w:vAlign w:val="center"/>
          </w:tcPr>
          <w:p>
            <w:pPr>
              <w:widowControl/>
              <w:rPr>
                <w:rFonts w:ascii="宋体" w:cs="宋体"/>
                <w:bCs/>
                <w:kern w:val="0"/>
                <w:sz w:val="24"/>
              </w:rPr>
            </w:pPr>
            <w:r>
              <w:rPr>
                <w:rFonts w:hint="eastAsia" w:ascii="宋体" w:hAnsi="宋体"/>
                <w:sz w:val="24"/>
              </w:rPr>
              <w:t>帘片规格：宽度50mm（±1mm）</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0" w:hRule="atLeast"/>
          <w:jc w:val="center"/>
        </w:trPr>
        <w:tc>
          <w:tcPr>
            <w:tcW w:w="842" w:type="dxa"/>
            <w:vMerge w:val="continue"/>
            <w:vAlign w:val="center"/>
          </w:tcPr>
          <w:p>
            <w:pPr>
              <w:widowControl/>
              <w:jc w:val="center"/>
              <w:rPr>
                <w:rFonts w:ascii="宋体" w:cs="宋体"/>
                <w:bCs/>
                <w:kern w:val="0"/>
                <w:sz w:val="24"/>
              </w:rPr>
            </w:pPr>
          </w:p>
        </w:tc>
        <w:tc>
          <w:tcPr>
            <w:tcW w:w="8338" w:type="dxa"/>
            <w:vAlign w:val="center"/>
          </w:tcPr>
          <w:p>
            <w:pPr>
              <w:widowControl/>
              <w:rPr>
                <w:rFonts w:ascii="宋体" w:cs="宋体"/>
                <w:bCs/>
                <w:kern w:val="0"/>
                <w:sz w:val="24"/>
              </w:rPr>
            </w:pPr>
            <w:r>
              <w:rPr>
                <w:rFonts w:hint="eastAsia" w:ascii="宋体"/>
                <w:sz w:val="24"/>
              </w:rPr>
              <w:t>阻燃等级：</w:t>
            </w:r>
            <w:r>
              <w:rPr>
                <w:rFonts w:hint="eastAsia" w:ascii="宋体"/>
                <w:b/>
                <w:bCs/>
                <w:sz w:val="24"/>
              </w:rPr>
              <w:t>B1级</w:t>
            </w:r>
            <w:r>
              <w:rPr>
                <w:rFonts w:hint="eastAsia" w:ascii="宋体"/>
                <w:sz w:val="24"/>
              </w:rPr>
              <w:t xml:space="preserve">（GB/T </w:t>
            </w:r>
            <w:r>
              <w:rPr>
                <w:rFonts w:hint="eastAsia" w:ascii="宋体"/>
                <w:sz w:val="24"/>
                <w:lang w:val="en-US" w:eastAsia="zh-CN"/>
              </w:rPr>
              <w:t>8624-2012</w:t>
            </w:r>
            <w:r>
              <w:rPr>
                <w:rFonts w:hint="eastAsia" w:ascii="宋体"/>
                <w:sz w:val="24"/>
              </w:rPr>
              <w:t>）</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0" w:hRule="atLeast"/>
          <w:jc w:val="center"/>
        </w:trPr>
        <w:tc>
          <w:tcPr>
            <w:tcW w:w="842" w:type="dxa"/>
            <w:vMerge w:val="continue"/>
            <w:vAlign w:val="center"/>
          </w:tcPr>
          <w:p>
            <w:pPr>
              <w:widowControl/>
              <w:jc w:val="center"/>
              <w:rPr>
                <w:rFonts w:ascii="宋体" w:cs="宋体"/>
                <w:bCs/>
                <w:kern w:val="0"/>
                <w:sz w:val="24"/>
              </w:rPr>
            </w:pPr>
          </w:p>
        </w:tc>
        <w:tc>
          <w:tcPr>
            <w:tcW w:w="8338" w:type="dxa"/>
            <w:vAlign w:val="center"/>
          </w:tcPr>
          <w:p>
            <w:pPr>
              <w:widowControl/>
              <w:rPr>
                <w:rFonts w:ascii="宋体" w:cs="宋体"/>
                <w:bCs/>
                <w:kern w:val="0"/>
                <w:sz w:val="24"/>
              </w:rPr>
            </w:pPr>
            <w:r>
              <w:rPr>
                <w:rFonts w:hint="eastAsia" w:ascii="宋体"/>
                <w:sz w:val="24"/>
              </w:rPr>
              <w:t>遮阳系数≤0.</w:t>
            </w:r>
            <w:r>
              <w:rPr>
                <w:rFonts w:hint="eastAsia" w:ascii="宋体"/>
                <w:sz w:val="24"/>
                <w:lang w:val="en-US" w:eastAsia="zh-CN"/>
              </w:rPr>
              <w:t>2</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0" w:hRule="atLeast"/>
          <w:jc w:val="center"/>
        </w:trPr>
        <w:tc>
          <w:tcPr>
            <w:tcW w:w="842" w:type="dxa"/>
            <w:vMerge w:val="continue"/>
            <w:vAlign w:val="center"/>
          </w:tcPr>
          <w:p>
            <w:pPr>
              <w:widowControl/>
              <w:jc w:val="center"/>
              <w:rPr>
                <w:rFonts w:ascii="宋体" w:hAnsi="宋体" w:cs="宋体"/>
                <w:bCs/>
                <w:kern w:val="0"/>
                <w:sz w:val="24"/>
              </w:rPr>
            </w:pPr>
          </w:p>
        </w:tc>
        <w:tc>
          <w:tcPr>
            <w:tcW w:w="8338" w:type="dxa"/>
            <w:vAlign w:val="center"/>
          </w:tcPr>
          <w:p>
            <w:pPr>
              <w:widowControl/>
              <w:rPr>
                <w:rFonts w:ascii="宋体" w:cs="宋体"/>
                <w:bCs/>
                <w:kern w:val="0"/>
                <w:sz w:val="24"/>
              </w:rPr>
            </w:pPr>
            <w:r>
              <w:rPr>
                <w:rFonts w:hint="eastAsia" w:ascii="宋体" w:hAnsi="宋体"/>
                <w:sz w:val="24"/>
              </w:rPr>
              <w:t>耐色牢度</w:t>
            </w:r>
            <w:r>
              <w:rPr>
                <w:rFonts w:hint="eastAsia" w:ascii="宋体"/>
                <w:color w:val="FF0000"/>
                <w:sz w:val="24"/>
              </w:rPr>
              <w:t>≥</w:t>
            </w:r>
            <w:r>
              <w:rPr>
                <w:rFonts w:hint="eastAsia" w:ascii="宋体" w:hAnsi="宋体"/>
                <w:sz w:val="24"/>
                <w:lang w:val="en-US" w:eastAsia="zh-CN"/>
              </w:rPr>
              <w:t>7</w:t>
            </w:r>
            <w:r>
              <w:rPr>
                <w:rFonts w:hint="eastAsia" w:ascii="宋体" w:hAnsi="宋体"/>
                <w:sz w:val="24"/>
              </w:rPr>
              <w:t xml:space="preserve">级 </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0" w:hRule="atLeast"/>
          <w:jc w:val="center"/>
        </w:trPr>
        <w:tc>
          <w:tcPr>
            <w:tcW w:w="842" w:type="dxa"/>
            <w:vMerge w:val="continue"/>
            <w:vAlign w:val="center"/>
          </w:tcPr>
          <w:p>
            <w:pPr>
              <w:widowControl/>
              <w:jc w:val="center"/>
              <w:rPr>
                <w:rFonts w:ascii="宋体" w:hAnsi="宋体" w:cs="宋体"/>
                <w:bCs/>
                <w:kern w:val="0"/>
                <w:sz w:val="24"/>
              </w:rPr>
            </w:pPr>
          </w:p>
        </w:tc>
        <w:tc>
          <w:tcPr>
            <w:tcW w:w="8338" w:type="dxa"/>
            <w:vAlign w:val="center"/>
          </w:tcPr>
          <w:p>
            <w:pPr>
              <w:widowControl/>
              <w:rPr>
                <w:rFonts w:ascii="宋体" w:cs="宋体"/>
                <w:bCs/>
                <w:kern w:val="0"/>
                <w:sz w:val="24"/>
              </w:rPr>
            </w:pPr>
            <w:r>
              <w:rPr>
                <w:rFonts w:hint="eastAsia" w:ascii="宋体" w:hAnsi="宋体"/>
                <w:sz w:val="24"/>
              </w:rPr>
              <w:t>酚醛泛黄4-5级</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0" w:hRule="atLeast"/>
          <w:jc w:val="center"/>
        </w:trPr>
        <w:tc>
          <w:tcPr>
            <w:tcW w:w="842" w:type="dxa"/>
            <w:vMerge w:val="continue"/>
            <w:vAlign w:val="center"/>
          </w:tcPr>
          <w:p>
            <w:pPr>
              <w:widowControl/>
              <w:jc w:val="center"/>
              <w:rPr>
                <w:rFonts w:ascii="宋体" w:hAnsi="宋体" w:cs="宋体"/>
                <w:bCs/>
                <w:kern w:val="0"/>
                <w:sz w:val="24"/>
              </w:rPr>
            </w:pPr>
          </w:p>
        </w:tc>
        <w:tc>
          <w:tcPr>
            <w:tcW w:w="8338" w:type="dxa"/>
            <w:vAlign w:val="center"/>
          </w:tcPr>
          <w:p>
            <w:pPr>
              <w:widowControl/>
              <w:rPr>
                <w:rFonts w:ascii="宋体" w:cs="宋体"/>
                <w:bCs/>
                <w:kern w:val="0"/>
                <w:sz w:val="24"/>
              </w:rPr>
            </w:pPr>
            <w:r>
              <w:rPr>
                <w:rFonts w:hint="eastAsia" w:ascii="宋体" w:hAnsi="宋体"/>
                <w:sz w:val="24"/>
              </w:rPr>
              <w:t>异味：无  （GB 18401-2010 ）</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9" w:hRule="atLeast"/>
          <w:jc w:val="center"/>
        </w:trPr>
        <w:tc>
          <w:tcPr>
            <w:tcW w:w="842" w:type="dxa"/>
            <w:vMerge w:val="continue"/>
            <w:vAlign w:val="center"/>
          </w:tcPr>
          <w:p>
            <w:pPr>
              <w:widowControl/>
              <w:jc w:val="center"/>
              <w:rPr>
                <w:rFonts w:ascii="宋体" w:hAnsi="宋体" w:cs="宋体"/>
                <w:bCs/>
                <w:kern w:val="0"/>
                <w:sz w:val="24"/>
              </w:rPr>
            </w:pPr>
          </w:p>
        </w:tc>
        <w:tc>
          <w:tcPr>
            <w:tcW w:w="8338" w:type="dxa"/>
            <w:vAlign w:val="center"/>
          </w:tcPr>
          <w:p>
            <w:pPr>
              <w:widowControl/>
              <w:rPr>
                <w:rFonts w:ascii="宋体" w:cs="宋体"/>
                <w:bCs/>
                <w:kern w:val="0"/>
                <w:sz w:val="24"/>
              </w:rPr>
            </w:pPr>
            <w:r>
              <w:rPr>
                <w:rFonts w:hint="eastAsia" w:ascii="宋体" w:hAnsi="宋体"/>
                <w:sz w:val="24"/>
              </w:rPr>
              <w:t>可分解致癌芳香胺染料（24种）</w:t>
            </w:r>
            <w:r>
              <w:rPr>
                <w:rFonts w:hint="eastAsia" w:ascii="宋体" w:hAnsi="宋体"/>
                <w:sz w:val="24"/>
                <w:lang w:eastAsia="zh-CN"/>
              </w:rPr>
              <w:t>：未检出</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0" w:hRule="atLeast"/>
          <w:jc w:val="center"/>
        </w:trPr>
        <w:tc>
          <w:tcPr>
            <w:tcW w:w="842" w:type="dxa"/>
            <w:vMerge w:val="continue"/>
            <w:vAlign w:val="center"/>
          </w:tcPr>
          <w:p>
            <w:pPr>
              <w:widowControl/>
              <w:jc w:val="center"/>
              <w:rPr>
                <w:rFonts w:ascii="宋体" w:hAnsi="宋体" w:cs="宋体"/>
                <w:bCs/>
                <w:kern w:val="0"/>
                <w:sz w:val="24"/>
              </w:rPr>
            </w:pPr>
          </w:p>
        </w:tc>
        <w:tc>
          <w:tcPr>
            <w:tcW w:w="8338" w:type="dxa"/>
            <w:vAlign w:val="center"/>
          </w:tcPr>
          <w:p>
            <w:pPr>
              <w:widowControl/>
              <w:rPr>
                <w:rFonts w:ascii="宋体" w:cs="宋体"/>
                <w:bCs/>
                <w:kern w:val="0"/>
                <w:sz w:val="24"/>
              </w:rPr>
            </w:pPr>
            <w:r>
              <w:rPr>
                <w:rFonts w:hint="eastAsia" w:ascii="宋体" w:hAnsi="宋体"/>
                <w:sz w:val="24"/>
              </w:rPr>
              <w:t>沾水性</w:t>
            </w:r>
            <w:r>
              <w:rPr>
                <w:rFonts w:hint="eastAsia" w:ascii="宋体"/>
                <w:color w:val="FF0000"/>
                <w:sz w:val="24"/>
              </w:rPr>
              <w:t>≥</w:t>
            </w:r>
            <w:r>
              <w:rPr>
                <w:rFonts w:hint="eastAsia" w:ascii="宋体" w:hAnsi="宋体"/>
                <w:sz w:val="24"/>
              </w:rPr>
              <w:t xml:space="preserve">4级  </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0" w:hRule="atLeast"/>
          <w:jc w:val="center"/>
        </w:trPr>
        <w:tc>
          <w:tcPr>
            <w:tcW w:w="842" w:type="dxa"/>
            <w:vMerge w:val="continue"/>
            <w:vAlign w:val="center"/>
          </w:tcPr>
          <w:p>
            <w:pPr>
              <w:widowControl/>
              <w:jc w:val="center"/>
              <w:rPr>
                <w:rFonts w:ascii="宋体" w:hAnsi="宋体" w:cs="宋体"/>
                <w:bCs/>
                <w:kern w:val="0"/>
                <w:sz w:val="24"/>
              </w:rPr>
            </w:pPr>
          </w:p>
        </w:tc>
        <w:tc>
          <w:tcPr>
            <w:tcW w:w="8338" w:type="dxa"/>
            <w:vAlign w:val="center"/>
          </w:tcPr>
          <w:p>
            <w:pPr>
              <w:widowControl/>
              <w:rPr>
                <w:rFonts w:hint="eastAsia" w:ascii="宋体" w:eastAsia="宋体" w:cs="宋体"/>
                <w:bCs/>
                <w:kern w:val="0"/>
                <w:sz w:val="24"/>
                <w:lang w:eastAsia="zh-CN"/>
              </w:rPr>
            </w:pPr>
            <w:r>
              <w:rPr>
                <w:rFonts w:hint="eastAsia" w:ascii="宋体" w:hAnsi="宋体"/>
                <w:sz w:val="24"/>
              </w:rPr>
              <w:t>甲醛含量</w:t>
            </w:r>
            <w:r>
              <w:rPr>
                <w:rFonts w:hint="eastAsia" w:ascii="宋体" w:hAnsi="宋体"/>
                <w:sz w:val="24"/>
                <w:lang w:eastAsia="zh-CN"/>
              </w:rPr>
              <w:t>：未检出</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91" w:hRule="atLeast"/>
          <w:jc w:val="center"/>
        </w:trPr>
        <w:tc>
          <w:tcPr>
            <w:tcW w:w="842" w:type="dxa"/>
            <w:vMerge w:val="continue"/>
            <w:vAlign w:val="center"/>
          </w:tcPr>
          <w:p>
            <w:pPr>
              <w:widowControl/>
              <w:jc w:val="center"/>
              <w:rPr>
                <w:rFonts w:ascii="宋体" w:hAnsi="宋体" w:cs="宋体"/>
                <w:bCs/>
                <w:kern w:val="0"/>
                <w:sz w:val="24"/>
              </w:rPr>
            </w:pPr>
          </w:p>
        </w:tc>
        <w:tc>
          <w:tcPr>
            <w:tcW w:w="8338" w:type="dxa"/>
            <w:tcBorders>
              <w:bottom w:val="single" w:color="auto" w:sz="4" w:space="0"/>
            </w:tcBorders>
            <w:vAlign w:val="center"/>
          </w:tcPr>
          <w:p>
            <w:pPr>
              <w:widowControl/>
              <w:rPr>
                <w:rFonts w:ascii="宋体" w:cs="宋体"/>
                <w:bCs/>
                <w:kern w:val="0"/>
                <w:sz w:val="24"/>
              </w:rPr>
            </w:pPr>
            <w:r>
              <w:rPr>
                <w:rFonts w:hint="eastAsia" w:ascii="宋体" w:hAnsi="宋体"/>
                <w:sz w:val="24"/>
              </w:rPr>
              <w:t>紫外线透射比</w:t>
            </w:r>
            <w:r>
              <w:rPr>
                <w:rFonts w:hint="eastAsia" w:ascii="宋体"/>
                <w:color w:val="FF0000"/>
                <w:sz w:val="24"/>
              </w:rPr>
              <w:t>≥</w:t>
            </w:r>
            <w:r>
              <w:rPr>
                <w:rFonts w:ascii="宋体" w:hAnsi="宋体"/>
                <w:sz w:val="24"/>
              </w:rPr>
              <w:t>3</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91" w:hRule="atLeast"/>
          <w:jc w:val="center"/>
        </w:trPr>
        <w:tc>
          <w:tcPr>
            <w:tcW w:w="842" w:type="dxa"/>
            <w:vMerge w:val="continue"/>
            <w:vAlign w:val="center"/>
          </w:tcPr>
          <w:p>
            <w:pPr>
              <w:widowControl/>
              <w:jc w:val="center"/>
              <w:rPr>
                <w:rFonts w:ascii="宋体" w:hAnsi="宋体" w:cs="宋体"/>
                <w:bCs/>
                <w:kern w:val="0"/>
                <w:sz w:val="24"/>
              </w:rPr>
            </w:pPr>
          </w:p>
        </w:tc>
        <w:tc>
          <w:tcPr>
            <w:tcW w:w="8338" w:type="dxa"/>
            <w:tcBorders>
              <w:bottom w:val="single" w:color="auto" w:sz="4" w:space="0"/>
            </w:tcBorders>
            <w:vAlign w:val="center"/>
          </w:tcPr>
          <w:p>
            <w:pPr>
              <w:widowControl/>
              <w:rPr>
                <w:rFonts w:hint="default" w:ascii="宋体" w:hAnsi="宋体" w:eastAsia="宋体"/>
                <w:sz w:val="24"/>
                <w:lang w:val="en-US" w:eastAsia="zh-CN"/>
              </w:rPr>
            </w:pPr>
            <w:r>
              <w:rPr>
                <w:rFonts w:hint="eastAsia" w:ascii="宋体" w:hAnsi="宋体"/>
                <w:sz w:val="24"/>
                <w:lang w:eastAsia="zh-CN"/>
              </w:rPr>
              <w:t>抗（抑）菌率：</w:t>
            </w:r>
            <w:r>
              <w:rPr>
                <w:rFonts w:hint="eastAsia" w:ascii="宋体" w:hAnsi="宋体" w:eastAsia="宋体" w:cs="宋体"/>
                <w:sz w:val="24"/>
                <w:lang w:eastAsia="zh-CN"/>
              </w:rPr>
              <w:t>≥</w:t>
            </w:r>
            <w:r>
              <w:rPr>
                <w:rFonts w:hint="eastAsia" w:ascii="宋体" w:hAnsi="宋体"/>
                <w:sz w:val="24"/>
                <w:lang w:val="en-US" w:eastAsia="zh-CN"/>
              </w:rPr>
              <w:t>90%</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91" w:hRule="atLeast"/>
          <w:jc w:val="center"/>
        </w:trPr>
        <w:tc>
          <w:tcPr>
            <w:tcW w:w="842" w:type="dxa"/>
            <w:vMerge w:val="continue"/>
            <w:vAlign w:val="center"/>
          </w:tcPr>
          <w:p>
            <w:pPr>
              <w:widowControl/>
              <w:jc w:val="center"/>
              <w:rPr>
                <w:rFonts w:ascii="宋体" w:hAnsi="宋体" w:cs="宋体"/>
                <w:bCs/>
                <w:kern w:val="0"/>
                <w:sz w:val="24"/>
              </w:rPr>
            </w:pPr>
          </w:p>
        </w:tc>
        <w:tc>
          <w:tcPr>
            <w:tcW w:w="8338" w:type="dxa"/>
            <w:tcBorders>
              <w:bottom w:val="single" w:color="auto" w:sz="4" w:space="0"/>
            </w:tcBorders>
            <w:vAlign w:val="center"/>
          </w:tcPr>
          <w:p>
            <w:pPr>
              <w:widowControl/>
              <w:rPr>
                <w:rFonts w:hint="eastAsia" w:ascii="宋体" w:hAnsi="宋体" w:eastAsia="宋体"/>
                <w:sz w:val="24"/>
                <w:lang w:val="en-US" w:eastAsia="zh-CN"/>
              </w:rPr>
            </w:pPr>
            <w:r>
              <w:rPr>
                <w:rFonts w:hint="eastAsia" w:ascii="宋体" w:hAnsi="宋体"/>
                <w:sz w:val="24"/>
                <w:lang w:eastAsia="zh-CN"/>
              </w:rPr>
              <w:t>防霉等级：</w:t>
            </w:r>
            <w:r>
              <w:rPr>
                <w:rFonts w:hint="eastAsia" w:ascii="宋体"/>
                <w:color w:val="FF0000"/>
                <w:sz w:val="24"/>
              </w:rPr>
              <w:t>≥</w:t>
            </w:r>
            <w:r>
              <w:rPr>
                <w:rFonts w:hint="eastAsia" w:ascii="宋体"/>
                <w:color w:val="FF0000"/>
                <w:sz w:val="24"/>
                <w:lang w:val="en-US" w:eastAsia="zh-CN"/>
              </w:rPr>
              <w:t>0级</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6" w:hRule="atLeast"/>
          <w:jc w:val="center"/>
        </w:trPr>
        <w:tc>
          <w:tcPr>
            <w:tcW w:w="842" w:type="dxa"/>
            <w:vMerge w:val="continue"/>
            <w:vAlign w:val="center"/>
          </w:tcPr>
          <w:p>
            <w:pPr>
              <w:widowControl/>
              <w:jc w:val="center"/>
              <w:rPr>
                <w:rFonts w:ascii="宋体" w:hAnsi="宋体" w:cs="宋体"/>
                <w:bCs/>
                <w:kern w:val="0"/>
                <w:sz w:val="24"/>
              </w:rPr>
            </w:pPr>
          </w:p>
        </w:tc>
        <w:tc>
          <w:tcPr>
            <w:tcW w:w="8338" w:type="dxa"/>
            <w:tcBorders>
              <w:top w:val="single" w:color="auto" w:sz="4" w:space="0"/>
            </w:tcBorders>
            <w:vAlign w:val="center"/>
          </w:tcPr>
          <w:p>
            <w:pPr>
              <w:widowControl/>
              <w:rPr>
                <w:rFonts w:ascii="宋体" w:hAnsi="宋体"/>
                <w:sz w:val="24"/>
              </w:rPr>
            </w:pPr>
            <w:r>
              <w:rPr>
                <w:rFonts w:hint="eastAsia" w:ascii="宋体" w:hAnsi="宋体"/>
                <w:b/>
                <w:bCs/>
                <w:sz w:val="24"/>
              </w:rPr>
              <w:t>遮光率</w:t>
            </w:r>
            <w:r>
              <w:rPr>
                <w:rFonts w:hint="eastAsia" w:ascii="宋体" w:hAnsi="宋体" w:cs="宋体"/>
                <w:b/>
                <w:bCs/>
                <w:sz w:val="24"/>
              </w:rPr>
              <w:t>≧</w:t>
            </w:r>
            <w:r>
              <w:rPr>
                <w:rFonts w:hint="eastAsia" w:ascii="宋体" w:hAnsi="宋体" w:cs="宋体"/>
                <w:b/>
                <w:bCs/>
                <w:sz w:val="24"/>
                <w:lang w:val="en-US" w:eastAsia="zh-CN"/>
              </w:rPr>
              <w:t>85</w:t>
            </w:r>
            <w:r>
              <w:rPr>
                <w:rFonts w:hint="eastAsia" w:ascii="宋体" w:hAnsi="宋体" w:cs="宋体"/>
                <w:b/>
                <w:bCs/>
                <w:sz w:val="24"/>
              </w:rPr>
              <w:t>%</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5" w:hRule="atLeast"/>
          <w:jc w:val="center"/>
        </w:trPr>
        <w:tc>
          <w:tcPr>
            <w:tcW w:w="842" w:type="dxa"/>
            <w:vAlign w:val="center"/>
          </w:tcPr>
          <w:p>
            <w:pPr>
              <w:widowControl/>
              <w:jc w:val="center"/>
              <w:rPr>
                <w:rFonts w:ascii="宋体" w:cs="宋体"/>
                <w:bCs/>
                <w:kern w:val="0"/>
                <w:sz w:val="24"/>
              </w:rPr>
            </w:pPr>
            <w:r>
              <w:rPr>
                <w:rFonts w:hint="eastAsia" w:ascii="宋体" w:hAnsi="宋体" w:cs="宋体"/>
                <w:bCs/>
                <w:kern w:val="0"/>
                <w:sz w:val="24"/>
              </w:rPr>
              <w:t>顶</w:t>
            </w:r>
            <w:r>
              <w:rPr>
                <w:rFonts w:ascii="宋体" w:hAnsi="宋体" w:cs="宋体"/>
                <w:bCs/>
                <w:kern w:val="0"/>
                <w:sz w:val="24"/>
              </w:rPr>
              <w:t>/</w:t>
            </w:r>
            <w:r>
              <w:rPr>
                <w:rFonts w:hint="eastAsia" w:ascii="宋体" w:hAnsi="宋体" w:cs="宋体"/>
                <w:bCs/>
                <w:kern w:val="0"/>
                <w:sz w:val="24"/>
              </w:rPr>
              <w:t>底轨</w:t>
            </w:r>
          </w:p>
        </w:tc>
        <w:tc>
          <w:tcPr>
            <w:tcW w:w="8338" w:type="dxa"/>
            <w:vAlign w:val="center"/>
          </w:tcPr>
          <w:p>
            <w:pPr>
              <w:widowControl/>
              <w:rPr>
                <w:rFonts w:ascii="宋体" w:cs="宋体"/>
                <w:bCs/>
                <w:kern w:val="0"/>
                <w:sz w:val="24"/>
              </w:rPr>
            </w:pPr>
            <w:r>
              <w:rPr>
                <w:rFonts w:hint="eastAsia" w:ascii="宋体" w:cs="宋体"/>
                <w:bCs/>
                <w:kern w:val="0"/>
                <w:sz w:val="24"/>
              </w:rPr>
              <w:t>材质为0.5mm基材SGCC热镀锌钢板，表面丙烯酸烤漆涂层，保证下轨道不弯曲需满足：</w:t>
            </w:r>
          </w:p>
          <w:p>
            <w:pPr>
              <w:widowControl/>
              <w:rPr>
                <w:rFonts w:ascii="宋体" w:cs="宋体"/>
                <w:bCs/>
                <w:kern w:val="0"/>
                <w:sz w:val="24"/>
              </w:rPr>
            </w:pPr>
            <w:r>
              <w:rPr>
                <w:rFonts w:hint="eastAsia" w:ascii="宋体" w:cs="宋体"/>
                <w:bCs/>
                <w:kern w:val="0"/>
                <w:sz w:val="24"/>
              </w:rPr>
              <w:t>抗拉强度≧270Mpa，断后伸长率≧22%（GB/T 2518-2008）</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93" w:hRule="atLeast"/>
          <w:jc w:val="center"/>
        </w:trPr>
        <w:tc>
          <w:tcPr>
            <w:tcW w:w="842" w:type="dxa"/>
            <w:vAlign w:val="center"/>
          </w:tcPr>
          <w:p>
            <w:pPr>
              <w:widowControl/>
              <w:jc w:val="center"/>
              <w:rPr>
                <w:rFonts w:ascii="宋体" w:cs="宋体"/>
                <w:bCs/>
                <w:kern w:val="0"/>
                <w:sz w:val="24"/>
              </w:rPr>
            </w:pPr>
            <w:r>
              <w:rPr>
                <w:rFonts w:hint="eastAsia" w:ascii="宋体" w:hAnsi="宋体" w:cs="宋体"/>
                <w:bCs/>
                <w:kern w:val="0"/>
                <w:sz w:val="24"/>
              </w:rPr>
              <w:t>整体外观</w:t>
            </w:r>
          </w:p>
        </w:tc>
        <w:tc>
          <w:tcPr>
            <w:tcW w:w="8338" w:type="dxa"/>
            <w:vAlign w:val="center"/>
          </w:tcPr>
          <w:p>
            <w:pPr>
              <w:rPr>
                <w:rFonts w:ascii="宋体" w:cs="宋体"/>
                <w:bCs/>
                <w:kern w:val="0"/>
                <w:sz w:val="24"/>
              </w:rPr>
            </w:pPr>
            <w:r>
              <w:rPr>
                <w:rFonts w:hint="eastAsia" w:ascii="宋体" w:cs="宋体"/>
                <w:bCs/>
                <w:kern w:val="0"/>
                <w:sz w:val="24"/>
              </w:rPr>
              <w:t>严格要求产品拉绳、上下轨道、手柄、提升带等配件同叶片配同色，下轨道封制盖片须为铁制盖片。</w:t>
            </w:r>
          </w:p>
          <w:p>
            <w:pPr>
              <w:rPr>
                <w:rFonts w:ascii="宋体" w:cs="宋体"/>
                <w:bCs/>
                <w:kern w:val="0"/>
                <w:sz w:val="24"/>
              </w:rPr>
            </w:pPr>
            <w:r>
              <w:rPr>
                <w:rFonts w:hint="eastAsia" w:ascii="宋体" w:cs="宋体"/>
                <w:bCs/>
                <w:kern w:val="0"/>
                <w:sz w:val="24"/>
              </w:rPr>
              <w:t>装饰盖板：产品装饰盖板为PVC材质，宽度规格75mm（±0.5mm），要求装饰片同选定帘片同色。</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3" w:hRule="atLeast"/>
          <w:jc w:val="center"/>
        </w:trPr>
        <w:tc>
          <w:tcPr>
            <w:tcW w:w="842" w:type="dxa"/>
            <w:tcBorders>
              <w:bottom w:val="doub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操作系统</w:t>
            </w:r>
          </w:p>
        </w:tc>
        <w:tc>
          <w:tcPr>
            <w:tcW w:w="8338" w:type="dxa"/>
            <w:tcBorders>
              <w:bottom w:val="double" w:color="auto" w:sz="4" w:space="0"/>
            </w:tcBorders>
            <w:vAlign w:val="center"/>
          </w:tcPr>
          <w:p>
            <w:pPr>
              <w:rPr>
                <w:rFonts w:ascii="宋体" w:cs="宋体"/>
                <w:bCs/>
                <w:kern w:val="0"/>
                <w:sz w:val="24"/>
              </w:rPr>
            </w:pPr>
            <w:r>
              <w:rPr>
                <w:rFonts w:hint="eastAsia" w:ascii="宋体" w:cs="宋体"/>
                <w:bCs/>
                <w:kern w:val="0"/>
                <w:sz w:val="24"/>
              </w:rPr>
              <w:t>提升系统采用</w:t>
            </w:r>
            <w:r>
              <w:rPr>
                <w:rFonts w:hint="eastAsia" w:ascii="宋体"/>
                <w:color w:val="FF0000"/>
                <w:sz w:val="24"/>
              </w:rPr>
              <w:t>≥</w:t>
            </w:r>
            <w:r>
              <w:rPr>
                <w:rFonts w:hint="eastAsia" w:ascii="宋体" w:cs="宋体"/>
                <w:bCs/>
                <w:kern w:val="0"/>
                <w:sz w:val="24"/>
              </w:rPr>
              <w:t>2.5mm提升扁绳并要求配色；</w:t>
            </w:r>
          </w:p>
          <w:p>
            <w:pPr>
              <w:rPr>
                <w:rFonts w:ascii="宋体" w:cs="宋体"/>
                <w:bCs/>
                <w:kern w:val="0"/>
                <w:sz w:val="24"/>
              </w:rPr>
            </w:pPr>
            <w:r>
              <w:rPr>
                <w:rFonts w:hint="eastAsia" w:ascii="宋体" w:cs="宋体"/>
                <w:bCs/>
                <w:kern w:val="0"/>
                <w:sz w:val="24"/>
              </w:rPr>
              <w:t>产品使用步梯采用</w:t>
            </w:r>
            <w:r>
              <w:rPr>
                <w:rFonts w:hint="eastAsia" w:ascii="宋体"/>
                <w:color w:val="FF0000"/>
                <w:sz w:val="24"/>
              </w:rPr>
              <w:t>≥</w:t>
            </w:r>
            <w:r>
              <w:rPr>
                <w:rFonts w:hint="eastAsia" w:ascii="宋体" w:cs="宋体"/>
                <w:bCs/>
                <w:kern w:val="0"/>
                <w:sz w:val="24"/>
              </w:rPr>
              <w:t>10mm步梯，且要求严格配色；</w:t>
            </w:r>
          </w:p>
          <w:p>
            <w:pPr>
              <w:rPr>
                <w:rFonts w:ascii="宋体" w:cs="宋体"/>
                <w:bCs/>
                <w:kern w:val="0"/>
                <w:sz w:val="24"/>
              </w:rPr>
            </w:pPr>
            <w:r>
              <w:rPr>
                <w:rFonts w:hint="eastAsia" w:ascii="宋体" w:cs="宋体"/>
                <w:bCs/>
                <w:kern w:val="0"/>
                <w:sz w:val="24"/>
              </w:rPr>
              <w:t>循环拉绳采用</w:t>
            </w:r>
            <w:r>
              <w:rPr>
                <w:rFonts w:hint="eastAsia" w:ascii="宋体" w:cs="宋体"/>
                <w:bCs/>
                <w:color w:val="FF0000"/>
                <w:kern w:val="0"/>
                <w:sz w:val="24"/>
              </w:rPr>
              <w:t>≤</w:t>
            </w:r>
            <w:r>
              <w:rPr>
                <w:rFonts w:hint="eastAsia" w:ascii="宋体" w:cs="宋体"/>
                <w:bCs/>
                <w:kern w:val="0"/>
                <w:sz w:val="24"/>
              </w:rPr>
              <w:t>3.6mm直径拉绳，保证配色和表面光洁。</w:t>
            </w:r>
          </w:p>
        </w:tc>
      </w:tr>
    </w:tbl>
    <w:p>
      <w:pPr>
        <w:rPr>
          <w:rFonts w:hint="eastAsia"/>
        </w:rPr>
        <w:sectPr>
          <w:pgSz w:w="11900" w:h="16840"/>
          <w:pgMar w:top="1417" w:right="1417" w:bottom="1417" w:left="1417" w:header="720" w:footer="720" w:gutter="0"/>
          <w:cols w:space="0" w:num="1"/>
          <w:docGrid w:linePitch="312" w:charSpace="0"/>
        </w:sectPr>
      </w:pPr>
    </w:p>
    <w:p>
      <w:pPr>
        <w:adjustRightInd w:val="0"/>
        <w:snapToGrid w:val="0"/>
        <w:spacing w:line="360" w:lineRule="auto"/>
        <w:rPr>
          <w:rFonts w:hint="eastAsia" w:ascii="宋体" w:hAnsi="宋体"/>
          <w:bCs/>
          <w:sz w:val="24"/>
        </w:rPr>
      </w:pPr>
      <w:r>
        <w:rPr>
          <w:rFonts w:hint="eastAsia" w:ascii="宋体" w:hAnsi="宋体"/>
          <w:bCs/>
          <w:sz w:val="24"/>
          <w:lang w:eastAsia="zh-CN"/>
        </w:rPr>
        <w:t>四</w:t>
      </w:r>
      <w:r>
        <w:rPr>
          <w:rFonts w:hint="eastAsia" w:ascii="宋体" w:hAnsi="宋体"/>
          <w:bCs/>
          <w:sz w:val="24"/>
        </w:rPr>
        <w:t>、其他要求：</w:t>
      </w:r>
    </w:p>
    <w:p>
      <w:pPr>
        <w:adjustRightInd w:val="0"/>
        <w:snapToGrid w:val="0"/>
        <w:spacing w:line="360" w:lineRule="auto"/>
        <w:rPr>
          <w:rFonts w:hint="eastAsia" w:ascii="宋体" w:hAnsi="宋体"/>
          <w:bCs/>
          <w:sz w:val="24"/>
        </w:rPr>
      </w:pPr>
      <w:r>
        <w:rPr>
          <w:rFonts w:hint="eastAsia" w:ascii="宋体" w:hAnsi="宋体"/>
          <w:bCs/>
          <w:sz w:val="24"/>
        </w:rPr>
        <w:t>1、本次采购由供应商制作采购清单中设备，并运抵采购人指定的地点并负责安装、调试。</w:t>
      </w:r>
      <w:r>
        <w:rPr>
          <w:rFonts w:hint="eastAsia" w:ascii="宋体" w:hAnsi="宋体"/>
          <w:bCs/>
          <w:sz w:val="24"/>
        </w:rPr>
        <w:br w:type="textWrapping"/>
      </w:r>
      <w:r>
        <w:rPr>
          <w:rFonts w:hint="eastAsia" w:ascii="宋体" w:hAnsi="宋体"/>
          <w:bCs/>
          <w:sz w:val="24"/>
        </w:rPr>
        <w:t>2、投标人必须对应以上清单进行一一响应。</w:t>
      </w:r>
    </w:p>
    <w:p>
      <w:pPr>
        <w:adjustRightInd w:val="0"/>
        <w:snapToGrid w:val="0"/>
        <w:spacing w:line="360" w:lineRule="auto"/>
        <w:rPr>
          <w:rFonts w:hint="eastAsia" w:ascii="宋体" w:hAnsi="宋体"/>
          <w:bCs/>
          <w:sz w:val="24"/>
        </w:rPr>
      </w:pPr>
      <w:r>
        <w:rPr>
          <w:rFonts w:hint="eastAsia" w:ascii="宋体" w:hAnsi="宋体"/>
          <w:bCs/>
          <w:sz w:val="24"/>
        </w:rPr>
        <w:t>3、本次招标中的颜色最后按</w:t>
      </w:r>
      <w:r>
        <w:rPr>
          <w:rFonts w:hint="eastAsia" w:ascii="宋体" w:hAnsi="宋体"/>
          <w:bCs/>
          <w:sz w:val="24"/>
          <w:lang w:eastAsia="zh-CN"/>
        </w:rPr>
        <w:t>中标</w:t>
      </w:r>
      <w:r>
        <w:rPr>
          <w:rFonts w:hint="eastAsia" w:ascii="宋体" w:hAnsi="宋体"/>
          <w:bCs/>
          <w:sz w:val="24"/>
        </w:rPr>
        <w:t>供应商提供的色板小样由采购人选择确定。</w:t>
      </w:r>
    </w:p>
    <w:p>
      <w:pPr>
        <w:adjustRightInd w:val="0"/>
        <w:snapToGrid w:val="0"/>
        <w:spacing w:line="360" w:lineRule="auto"/>
        <w:rPr>
          <w:rFonts w:hint="eastAsia" w:ascii="宋体" w:hAnsi="宋体"/>
          <w:bCs/>
          <w:sz w:val="24"/>
        </w:rPr>
      </w:pPr>
      <w:r>
        <w:rPr>
          <w:rFonts w:hint="eastAsia" w:ascii="宋体" w:hAnsi="宋体"/>
          <w:bCs/>
          <w:sz w:val="24"/>
          <w:lang w:eastAsia="zh-CN"/>
        </w:rPr>
        <w:t>五</w:t>
      </w:r>
      <w:r>
        <w:rPr>
          <w:rFonts w:hint="eastAsia" w:ascii="宋体" w:hAnsi="宋体"/>
          <w:bCs/>
          <w:sz w:val="24"/>
        </w:rPr>
        <w:t>、供货要求：</w:t>
      </w:r>
    </w:p>
    <w:p>
      <w:pPr>
        <w:adjustRightInd w:val="0"/>
        <w:snapToGrid w:val="0"/>
        <w:spacing w:line="360" w:lineRule="auto"/>
        <w:rPr>
          <w:rFonts w:hint="eastAsia" w:ascii="宋体" w:hAnsi="宋体"/>
          <w:bCs/>
          <w:sz w:val="24"/>
        </w:rPr>
      </w:pPr>
      <w:r>
        <w:rPr>
          <w:rFonts w:hint="eastAsia" w:ascii="宋体" w:hAnsi="宋体"/>
          <w:bCs/>
          <w:sz w:val="24"/>
        </w:rPr>
        <w:t>1、供方所供的货物必须为全新的，符合国家标准</w:t>
      </w:r>
      <w:r>
        <w:rPr>
          <w:rFonts w:hint="eastAsia" w:ascii="宋体" w:hAnsi="宋体"/>
          <w:bCs/>
          <w:sz w:val="24"/>
          <w:lang w:eastAsia="zh-CN"/>
        </w:rPr>
        <w:t>或行业标准</w:t>
      </w:r>
      <w:r>
        <w:rPr>
          <w:rFonts w:hint="eastAsia" w:ascii="宋体" w:hAnsi="宋体"/>
          <w:bCs/>
          <w:sz w:val="24"/>
        </w:rPr>
        <w:t>的合格产品；</w:t>
      </w:r>
    </w:p>
    <w:p>
      <w:pPr>
        <w:adjustRightInd w:val="0"/>
        <w:snapToGrid w:val="0"/>
        <w:spacing w:line="360" w:lineRule="auto"/>
        <w:rPr>
          <w:rFonts w:hint="eastAsia" w:ascii="宋体" w:hAnsi="宋体"/>
          <w:bCs/>
          <w:sz w:val="24"/>
        </w:rPr>
      </w:pPr>
      <w:r>
        <w:rPr>
          <w:rFonts w:hint="eastAsia" w:ascii="宋体" w:hAnsi="宋体"/>
          <w:bCs/>
          <w:sz w:val="24"/>
        </w:rPr>
        <w:t xml:space="preserve">2、所供货物不会侵犯任何第三方知识产权； </w:t>
      </w:r>
    </w:p>
    <w:p>
      <w:pPr>
        <w:adjustRightInd w:val="0"/>
        <w:snapToGrid w:val="0"/>
        <w:spacing w:line="360" w:lineRule="auto"/>
        <w:rPr>
          <w:rFonts w:hint="eastAsia" w:ascii="宋体" w:hAnsi="宋体"/>
          <w:bCs/>
          <w:sz w:val="24"/>
          <w:lang w:val="en-US" w:eastAsia="zh-CN"/>
        </w:rPr>
      </w:pPr>
      <w:r>
        <w:rPr>
          <w:rFonts w:hint="eastAsia" w:ascii="宋体" w:hAnsi="宋体"/>
          <w:bCs/>
          <w:sz w:val="24"/>
        </w:rPr>
        <w:t>3、送货地址：</w:t>
      </w:r>
      <w:r>
        <w:rPr>
          <w:rFonts w:hint="eastAsia" w:ascii="宋体" w:hAnsi="宋体"/>
          <w:bCs/>
          <w:sz w:val="24"/>
          <w:lang w:val="en-US" w:eastAsia="zh-CN"/>
        </w:rPr>
        <w:t>绍兴市上虞区浙师大上虞附中。</w:t>
      </w:r>
    </w:p>
    <w:p>
      <w:pPr>
        <w:adjustRightInd w:val="0"/>
        <w:snapToGrid w:val="0"/>
        <w:spacing w:line="360" w:lineRule="auto"/>
        <w:rPr>
          <w:rFonts w:hint="eastAsia" w:ascii="宋体" w:hAnsi="宋体"/>
          <w:bCs/>
          <w:sz w:val="24"/>
        </w:rPr>
      </w:pPr>
      <w:r>
        <w:rPr>
          <w:rFonts w:hint="eastAsia" w:ascii="宋体" w:hAnsi="宋体"/>
          <w:bCs/>
          <w:sz w:val="24"/>
        </w:rPr>
        <w:t>★</w:t>
      </w:r>
      <w:r>
        <w:rPr>
          <w:rFonts w:hint="eastAsia" w:ascii="宋体" w:hAnsi="宋体"/>
          <w:bCs/>
          <w:sz w:val="24"/>
          <w:lang w:eastAsia="zh-CN"/>
        </w:rPr>
        <w:t>六</w:t>
      </w:r>
      <w:r>
        <w:rPr>
          <w:rFonts w:hint="eastAsia" w:ascii="宋体" w:hAnsi="宋体"/>
          <w:bCs/>
          <w:sz w:val="24"/>
        </w:rPr>
        <w:t>、售后服务要求：</w:t>
      </w:r>
    </w:p>
    <w:p>
      <w:pPr>
        <w:adjustRightInd w:val="0"/>
        <w:snapToGrid w:val="0"/>
        <w:spacing w:line="360" w:lineRule="auto"/>
        <w:rPr>
          <w:rFonts w:ascii="宋体" w:hAnsi="宋体"/>
          <w:bCs/>
          <w:sz w:val="24"/>
        </w:rPr>
      </w:pPr>
      <w:r>
        <w:rPr>
          <w:rFonts w:hint="eastAsia" w:ascii="宋体" w:hAnsi="宋体"/>
          <w:bCs/>
          <w:sz w:val="24"/>
        </w:rPr>
        <w:t>1、质保期要求：中标单位对其提供的产品，必须承诺保修，所有产品验收合格使用之日起，免费</w:t>
      </w:r>
      <w:r>
        <w:rPr>
          <w:rFonts w:hint="eastAsia" w:ascii="宋体" w:hAnsi="宋体"/>
          <w:bCs/>
          <w:color w:val="auto"/>
          <w:sz w:val="24"/>
        </w:rPr>
        <w:t>保修</w:t>
      </w:r>
      <w:r>
        <w:rPr>
          <w:rFonts w:hint="eastAsia" w:ascii="宋体" w:hAnsi="宋体"/>
          <w:bCs/>
          <w:color w:val="auto"/>
          <w:sz w:val="24"/>
          <w:lang w:eastAsia="zh-CN"/>
        </w:rPr>
        <w:t>一</w:t>
      </w:r>
      <w:r>
        <w:rPr>
          <w:rFonts w:hint="eastAsia" w:ascii="宋体" w:hAnsi="宋体"/>
          <w:bCs/>
          <w:color w:val="auto"/>
          <w:sz w:val="24"/>
        </w:rPr>
        <w:t>年</w:t>
      </w:r>
      <w:r>
        <w:rPr>
          <w:rFonts w:hint="eastAsia" w:ascii="宋体" w:hAnsi="宋体"/>
          <w:bCs/>
          <w:sz w:val="24"/>
        </w:rPr>
        <w:t xml:space="preserve">。质保期内的维修费用（包括材料）全部由中标单位负责，质保修期后的维修酌情收费， </w:t>
      </w:r>
    </w:p>
    <w:p>
      <w:pPr>
        <w:adjustRightInd w:val="0"/>
        <w:snapToGrid w:val="0"/>
        <w:spacing w:line="360" w:lineRule="auto"/>
        <w:rPr>
          <w:rFonts w:ascii="宋体" w:hAnsi="宋体"/>
          <w:bCs/>
          <w:sz w:val="24"/>
        </w:rPr>
      </w:pPr>
      <w:r>
        <w:rPr>
          <w:rFonts w:hint="eastAsia" w:ascii="宋体" w:hAnsi="宋体"/>
          <w:bCs/>
          <w:sz w:val="24"/>
        </w:rPr>
        <w:t>2、技术支持要求：质保期内出现问题，中标单位在接到电话后2小时内响应，6小时内到达现场解决问题，最迟在2个工作日内修复，如不能修复应采取补救措施，以保证使用方的正常工作，中标单位有其它服务承诺的，一并履行。在保修期内中标单位必须在不得以任何理由影响正常使用。</w:t>
      </w:r>
    </w:p>
    <w:p>
      <w:pPr>
        <w:adjustRightInd w:val="0"/>
        <w:snapToGrid w:val="0"/>
        <w:spacing w:line="360" w:lineRule="auto"/>
        <w:rPr>
          <w:rFonts w:hint="eastAsia" w:ascii="宋体" w:hAnsi="宋体"/>
          <w:bCs/>
          <w:sz w:val="24"/>
        </w:rPr>
      </w:pPr>
      <w:r>
        <w:rPr>
          <w:rFonts w:hint="eastAsia" w:ascii="宋体" w:hAnsi="宋体"/>
          <w:bCs/>
          <w:sz w:val="24"/>
        </w:rPr>
        <w:t>3、其他：中标单位必须对所供设备实行终身维修。</w:t>
      </w:r>
      <w:r>
        <w:rPr>
          <w:rFonts w:hint="eastAsia" w:ascii="宋体" w:hAnsi="宋体" w:cs="宋体"/>
          <w:kern w:val="0"/>
          <w:sz w:val="24"/>
        </w:rPr>
        <w:t xml:space="preserve">                              </w:t>
      </w:r>
    </w:p>
    <w:p>
      <w:pPr>
        <w:adjustRightInd w:val="0"/>
        <w:snapToGrid w:val="0"/>
        <w:spacing w:line="360" w:lineRule="auto"/>
        <w:rPr>
          <w:rFonts w:hint="eastAsia" w:ascii="宋体" w:hAnsi="宋体"/>
          <w:bCs/>
          <w:sz w:val="24"/>
        </w:rPr>
      </w:pPr>
      <w:r>
        <w:rPr>
          <w:rFonts w:hint="eastAsia" w:ascii="宋体" w:hAnsi="宋体"/>
          <w:bCs/>
          <w:sz w:val="24"/>
          <w:lang w:eastAsia="zh-CN"/>
        </w:rPr>
        <w:t>七</w:t>
      </w:r>
      <w:r>
        <w:rPr>
          <w:rFonts w:hint="eastAsia" w:ascii="宋体" w:hAnsi="宋体"/>
          <w:bCs/>
          <w:sz w:val="24"/>
        </w:rPr>
        <w:t>、培训要求：对设备的功能及日常维护进行培训。</w:t>
      </w:r>
    </w:p>
    <w:p>
      <w:pPr>
        <w:adjustRightInd w:val="0"/>
        <w:snapToGrid w:val="0"/>
        <w:spacing w:line="360" w:lineRule="auto"/>
        <w:rPr>
          <w:rFonts w:hint="eastAsia" w:ascii="宋体" w:hAnsi="宋体"/>
          <w:bCs/>
          <w:sz w:val="24"/>
        </w:rPr>
      </w:pPr>
      <w:r>
        <w:rPr>
          <w:rFonts w:hint="eastAsia" w:ascii="宋体" w:hAnsi="宋体"/>
          <w:bCs/>
          <w:sz w:val="24"/>
        </w:rPr>
        <w:t>★</w:t>
      </w:r>
      <w:r>
        <w:rPr>
          <w:rFonts w:hint="eastAsia" w:ascii="宋体" w:hAnsi="宋体"/>
          <w:bCs/>
          <w:sz w:val="24"/>
          <w:lang w:eastAsia="zh-CN"/>
        </w:rPr>
        <w:t>八</w:t>
      </w:r>
      <w:r>
        <w:rPr>
          <w:rFonts w:hint="eastAsia" w:ascii="宋体" w:hAnsi="宋体"/>
          <w:bCs/>
          <w:sz w:val="24"/>
        </w:rPr>
        <w:t>、工期要求：合同签订后</w:t>
      </w:r>
      <w:r>
        <w:rPr>
          <w:rFonts w:hint="eastAsia" w:ascii="宋体" w:hAnsi="宋体"/>
          <w:bCs/>
          <w:sz w:val="24"/>
          <w:u w:val="single"/>
          <w:lang w:val="en-US" w:eastAsia="zh-CN"/>
        </w:rPr>
        <w:t xml:space="preserve">  </w:t>
      </w:r>
      <w:r>
        <w:rPr>
          <w:rFonts w:hint="eastAsia" w:ascii="宋体" w:hAnsi="宋体"/>
          <w:bCs/>
          <w:color w:val="0000FF"/>
          <w:sz w:val="24"/>
          <w:u w:val="single"/>
          <w:lang w:val="en-US" w:eastAsia="zh-CN"/>
        </w:rPr>
        <w:t xml:space="preserve"> 30 </w:t>
      </w:r>
      <w:r>
        <w:rPr>
          <w:rFonts w:hint="eastAsia" w:ascii="宋体" w:hAnsi="宋体"/>
          <w:bCs/>
          <w:sz w:val="24"/>
          <w:u w:val="single"/>
          <w:lang w:val="en-US" w:eastAsia="zh-CN"/>
        </w:rPr>
        <w:t xml:space="preserve">   </w:t>
      </w:r>
      <w:r>
        <w:rPr>
          <w:rFonts w:hint="eastAsia" w:ascii="宋体" w:hAnsi="宋体"/>
          <w:bCs/>
          <w:sz w:val="24"/>
        </w:rPr>
        <w:t>个日历天安装调试完毕。</w:t>
      </w:r>
    </w:p>
    <w:p>
      <w:pPr>
        <w:adjustRightInd w:val="0"/>
        <w:snapToGrid w:val="0"/>
        <w:spacing w:line="360" w:lineRule="auto"/>
        <w:rPr>
          <w:rFonts w:hint="eastAsia" w:ascii="宋体" w:hAnsi="宋体"/>
          <w:bCs/>
          <w:sz w:val="24"/>
        </w:rPr>
      </w:pPr>
      <w:r>
        <w:rPr>
          <w:rFonts w:hint="eastAsia" w:ascii="宋体" w:hAnsi="宋体"/>
          <w:bCs/>
          <w:sz w:val="24"/>
          <w:lang w:val="en-US" w:eastAsia="zh-CN"/>
        </w:rPr>
        <w:t>八、贷款支付</w:t>
      </w:r>
    </w:p>
    <w:p>
      <w:pPr>
        <w:adjustRightInd w:val="0"/>
        <w:snapToGrid w:val="0"/>
        <w:spacing w:line="360" w:lineRule="auto"/>
        <w:rPr>
          <w:rFonts w:hint="eastAsia" w:ascii="宋体" w:hAnsi="宋体"/>
          <w:bCs/>
          <w:sz w:val="24"/>
        </w:rPr>
      </w:pPr>
      <w:r>
        <w:rPr>
          <w:rFonts w:hint="eastAsia" w:ascii="宋体" w:hAnsi="宋体"/>
          <w:bCs/>
          <w:sz w:val="24"/>
          <w:lang w:val="en-US" w:eastAsia="zh-CN"/>
        </w:rPr>
        <w:t>1</w:t>
      </w:r>
      <w:r>
        <w:rPr>
          <w:rFonts w:hint="eastAsia" w:ascii="宋体" w:hAnsi="宋体"/>
          <w:bCs/>
          <w:sz w:val="24"/>
        </w:rPr>
        <w:t>、中标单位需交本项目中标金额的10%作为项目质保金，质保期满后无质量问题无息退款。</w:t>
      </w:r>
    </w:p>
    <w:p>
      <w:pPr>
        <w:adjustRightInd w:val="0"/>
        <w:snapToGrid w:val="0"/>
        <w:spacing w:line="360" w:lineRule="auto"/>
        <w:ind w:left="240" w:hanging="240" w:hangingChars="100"/>
        <w:rPr>
          <w:rFonts w:hint="eastAsia" w:ascii="宋体" w:hAnsi="宋体"/>
          <w:bCs/>
          <w:sz w:val="24"/>
          <w:lang w:eastAsia="zh-CN"/>
        </w:rPr>
      </w:pPr>
      <w:r>
        <w:rPr>
          <w:rFonts w:hint="eastAsia" w:ascii="宋体" w:hAnsi="宋体"/>
          <w:bCs/>
          <w:sz w:val="24"/>
          <w:lang w:val="en-US" w:eastAsia="zh-CN"/>
        </w:rPr>
        <w:t>2</w:t>
      </w:r>
      <w:r>
        <w:rPr>
          <w:rFonts w:hint="eastAsia" w:ascii="宋体" w:hAnsi="宋体"/>
          <w:bCs/>
          <w:sz w:val="24"/>
        </w:rPr>
        <w:t>、付款</w:t>
      </w:r>
      <w:r>
        <w:rPr>
          <w:rFonts w:hint="eastAsia" w:ascii="宋体" w:hAnsi="宋体"/>
          <w:bCs/>
          <w:sz w:val="24"/>
          <w:lang w:eastAsia="zh-CN"/>
        </w:rPr>
        <w:t>方式：全部货物安装调试结束并验收合格教体局资金到位后付至合同价的90%，余款10%作为质量保证金，质量保证金在质保期满且无质量问题的情况下一个月内付清，质保金不计利息。</w:t>
      </w:r>
    </w:p>
    <w:p>
      <w:pPr>
        <w:adjustRightInd w:val="0"/>
        <w:snapToGrid w:val="0"/>
        <w:spacing w:line="360" w:lineRule="auto"/>
        <w:ind w:left="480" w:hanging="480" w:hangingChars="200"/>
        <w:jc w:val="left"/>
        <w:rPr>
          <w:rFonts w:hint="default" w:ascii="宋体" w:hAnsi="宋体"/>
          <w:bCs/>
          <w:sz w:val="24"/>
          <w:lang w:val="en-US" w:eastAsia="zh-CN"/>
        </w:rPr>
      </w:pPr>
      <w:r>
        <w:rPr>
          <w:rFonts w:hint="eastAsia" w:ascii="宋体" w:hAnsi="宋体"/>
          <w:bCs/>
          <w:sz w:val="24"/>
          <w:lang w:val="en-US" w:eastAsia="zh-CN"/>
        </w:rPr>
        <w:t>3</w:t>
      </w:r>
      <w:r>
        <w:rPr>
          <w:rFonts w:hint="eastAsia" w:ascii="宋体" w:hAnsi="宋体"/>
          <w:bCs/>
          <w:sz w:val="24"/>
        </w:rPr>
        <w:t>、报价单位必须认真审核招标文件所有要求，如明知不满足招标文件要求进行恶意竞争的将根据《政采云平台电子卖场权益维护及纠纷处理规则》的规定报财政部门处理。</w:t>
      </w:r>
    </w:p>
    <w:p>
      <w:pPr>
        <w:adjustRightInd w:val="0"/>
        <w:snapToGrid w:val="0"/>
        <w:spacing w:line="360" w:lineRule="auto"/>
        <w:rPr>
          <w:rFonts w:hint="eastAsia" w:ascii="宋体" w:hAnsi="宋体"/>
          <w:bCs/>
          <w:sz w:val="24"/>
          <w:lang w:eastAsia="zh-CN"/>
        </w:rPr>
      </w:pPr>
      <w:r>
        <w:rPr>
          <w:rFonts w:hint="eastAsia" w:ascii="宋体" w:hAnsi="宋体"/>
          <w:bCs/>
          <w:sz w:val="24"/>
          <w:lang w:eastAsia="zh-CN"/>
        </w:rPr>
        <w:t>九、采购人认为必须说明的其他内容：</w:t>
      </w:r>
    </w:p>
    <w:p>
      <w:pPr>
        <w:adjustRightInd w:val="0"/>
        <w:snapToGrid w:val="0"/>
        <w:spacing w:line="360" w:lineRule="auto"/>
        <w:ind w:left="240" w:hanging="240" w:hangingChars="100"/>
        <w:rPr>
          <w:rFonts w:hint="eastAsia" w:ascii="宋体" w:hAnsi="宋体" w:eastAsia="宋体" w:cs="宋体"/>
          <w:sz w:val="24"/>
        </w:rPr>
      </w:pPr>
      <w:r>
        <w:rPr>
          <w:rFonts w:hint="eastAsia" w:ascii="宋体" w:hAnsi="宋体"/>
          <w:bCs/>
          <w:sz w:val="24"/>
          <w:lang w:val="en-US" w:eastAsia="zh-CN"/>
        </w:rPr>
        <w:t>1</w:t>
      </w:r>
      <w:r>
        <w:rPr>
          <w:rFonts w:hint="eastAsia" w:ascii="宋体" w:hAnsi="宋体"/>
          <w:bCs/>
          <w:sz w:val="24"/>
          <w:lang w:eastAsia="zh-CN"/>
        </w:rPr>
        <w:t>、本次招标中产品的数量及尺寸可能有所增减或改动，中标后招</w:t>
      </w:r>
      <w:bookmarkStart w:id="0" w:name="_GoBack"/>
      <w:bookmarkEnd w:id="0"/>
      <w:r>
        <w:rPr>
          <w:rFonts w:hint="eastAsia" w:ascii="宋体" w:hAnsi="宋体"/>
          <w:bCs/>
          <w:sz w:val="24"/>
          <w:lang w:eastAsia="zh-CN"/>
        </w:rPr>
        <w:t>标人将协助中标单位实地测量（不得收取费用），</w:t>
      </w:r>
      <w:r>
        <w:rPr>
          <w:rFonts w:hint="eastAsia" w:ascii="宋体" w:hAnsi="宋体" w:eastAsia="宋体" w:cs="宋体"/>
          <w:sz w:val="24"/>
        </w:rPr>
        <w:t>最后按实际需要而定。</w:t>
      </w:r>
    </w:p>
    <w:p>
      <w:pPr>
        <w:adjustRightInd w:val="0"/>
        <w:snapToGrid w:val="0"/>
        <w:spacing w:line="360" w:lineRule="auto"/>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、投标方必须服从使用方的安排，主动做好与使用方的沟通工作，克服各种可能遇到的困难。</w:t>
      </w:r>
    </w:p>
    <w:p>
      <w:pPr>
        <w:adjustRightInd w:val="0"/>
        <w:snapToGrid w:val="0"/>
        <w:spacing w:line="600" w:lineRule="exact"/>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、采购单位根据采购需求推荐了品牌的</w:t>
      </w:r>
      <w:r>
        <w:rPr>
          <w:rFonts w:hint="eastAsia" w:ascii="宋体" w:hAnsi="宋体" w:eastAsia="宋体" w:cs="宋体"/>
          <w:sz w:val="24"/>
          <w:lang w:eastAsia="zh-CN"/>
        </w:rPr>
        <w:t>（如有）</w:t>
      </w:r>
      <w:r>
        <w:rPr>
          <w:rFonts w:hint="eastAsia" w:ascii="宋体" w:hAnsi="宋体" w:eastAsia="宋体" w:cs="宋体"/>
          <w:sz w:val="24"/>
        </w:rPr>
        <w:t>，欢迎其他能满足本项目技术需求且性能与所推荐设备相当或优于的产品参加。</w:t>
      </w:r>
    </w:p>
    <w:p>
      <w:pPr>
        <w:rPr>
          <w:rFonts w:hint="eastAsia"/>
        </w:rPr>
      </w:pPr>
    </w:p>
    <w:p>
      <w:pPr>
        <w:sectPr>
          <w:pgSz w:w="11907" w:h="16839"/>
          <w:pgMar w:top="1134" w:right="1134" w:bottom="1134" w:left="1134" w:header="851" w:footer="992" w:gutter="0"/>
          <w:cols w:space="720" w:num="1"/>
          <w:docGrid w:type="lines" w:linePitch="312" w:charSpace="0"/>
        </w:sectPr>
      </w:pPr>
    </w:p>
    <w:p>
      <w:pPr>
        <w:adjustRightInd w:val="0"/>
        <w:snapToGrid w:val="0"/>
        <w:spacing w:line="600" w:lineRule="exact"/>
        <w:rPr>
          <w:rFonts w:hint="eastAsia"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02074"/>
    <w:rsid w:val="07C05B7D"/>
    <w:rsid w:val="28B026A8"/>
    <w:rsid w:val="5B4B7CE0"/>
    <w:rsid w:val="5F4478AD"/>
    <w:rsid w:val="6F94381B"/>
    <w:rsid w:val="743702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spacing w:before="340" w:after="330" w:line="578" w:lineRule="auto"/>
      <w:jc w:val="center"/>
      <w:outlineLvl w:val="0"/>
    </w:pPr>
    <w:rPr>
      <w:rFonts w:ascii="Times New Roman" w:hAnsi="Times New Roman" w:eastAsia="宋体" w:cs="Times New Roman"/>
      <w:b/>
      <w:bCs/>
      <w:kern w:val="44"/>
      <w:sz w:val="44"/>
      <w:szCs w:val="44"/>
      <w:lang w:val="en-US" w:eastAsia="zh-CN" w:bidi="ar-SA"/>
    </w:rPr>
  </w:style>
  <w:style w:type="character" w:default="1" w:styleId="6">
    <w:name w:val="Default Paragraph Font"/>
    <w:qFormat/>
    <w:uiPriority w:val="0"/>
  </w:style>
  <w:style w:type="table" w:default="1" w:styleId="4">
    <w:name w:val="Normal Table"/>
    <w:qFormat/>
    <w:uiPriority w:val="0"/>
    <w:tblPr>
      <w:tblLayout w:type="fixed"/>
      <w:tblCellMar>
        <w:top w:w="0" w:type="dxa"/>
        <w:left w:w="108" w:type="dxa"/>
        <w:bottom w:w="0" w:type="dxa"/>
        <w:right w:w="108" w:type="dxa"/>
      </w:tblCellMar>
    </w:tblPr>
  </w:style>
  <w:style w:type="paragraph" w:styleId="3">
    <w:name w:val="Plain Text"/>
    <w:qFormat/>
    <w:uiPriority w:val="0"/>
    <w:pPr>
      <w:widowControl/>
      <w:overflowPunct w:val="0"/>
      <w:autoSpaceDE w:val="0"/>
      <w:autoSpaceDN w:val="0"/>
      <w:adjustRightInd w:val="0"/>
      <w:jc w:val="left"/>
      <w:textAlignment w:val="baseline"/>
    </w:pPr>
    <w:rPr>
      <w:rFonts w:ascii="宋体" w:hAnsi="Courier New" w:eastAsia="宋体" w:cs="Times New Roman"/>
      <w:kern w:val="0"/>
      <w:sz w:val="21"/>
      <w:szCs w:val="20"/>
      <w:lang w:val="en-US" w:eastAsia="zh-CN" w:bidi="ar-SA"/>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2509</Words>
  <Characters>2938</Characters>
  <Paragraphs>210</Paragraphs>
  <TotalTime>11</TotalTime>
  <ScaleCrop>false</ScaleCrop>
  <LinksUpToDate>false</LinksUpToDate>
  <CharactersWithSpaces>3055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2019-05-30T13:13:00Z</dcterms:created>
  <dc:creator>铭天的明天</dc:creator>
  <cp:lastModifiedBy>逸</cp:lastModifiedBy>
  <dcterms:modified xsi:type="dcterms:W3CDTF">2019-07-09T01:44:26Z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