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p>
    <w:p>
      <w:pPr>
        <w:rPr>
          <w:rFonts w:hint="default"/>
        </w:rPr>
      </w:pPr>
      <w:r>
        <w:t>1</w:t>
      </w:r>
      <w:bookmarkStart w:id="0" w:name="_GoBack"/>
      <w:r>
        <w:t>.终端防病毒招标参数</w:t>
      </w:r>
      <w:bookmarkEnd w:id="0"/>
    </w:p>
    <w:tbl>
      <w:tblPr>
        <w:tblStyle w:val="4"/>
        <w:tblW w:w="8515" w:type="dxa"/>
        <w:tblInd w:w="98" w:type="dxa"/>
        <w:tblLayout w:type="fixed"/>
        <w:tblCellMar>
          <w:top w:w="0" w:type="dxa"/>
          <w:left w:w="108" w:type="dxa"/>
          <w:bottom w:w="0" w:type="dxa"/>
          <w:right w:w="108" w:type="dxa"/>
        </w:tblCellMar>
      </w:tblPr>
      <w:tblGrid>
        <w:gridCol w:w="426"/>
        <w:gridCol w:w="733"/>
        <w:gridCol w:w="7356"/>
      </w:tblGrid>
      <w:tr>
        <w:tblPrEx>
          <w:tblLayout w:type="fixed"/>
          <w:tblCellMar>
            <w:top w:w="0" w:type="dxa"/>
            <w:left w:w="108" w:type="dxa"/>
            <w:bottom w:w="0" w:type="dxa"/>
            <w:right w:w="108" w:type="dxa"/>
          </w:tblCellMar>
        </w:tblPrEx>
        <w:trPr>
          <w:trHeight w:val="20" w:hRule="atLeast"/>
        </w:trPr>
        <w:tc>
          <w:tcPr>
            <w:tcW w:w="1159"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hint="default" w:ascii="宋体" w:hAnsi="宋体" w:eastAsiaTheme="minorEastAsia"/>
                <w:szCs w:val="21"/>
              </w:rPr>
            </w:pPr>
            <w:r>
              <w:rPr>
                <w:rFonts w:ascii="宋体" w:hAnsi="宋体"/>
                <w:szCs w:val="21"/>
              </w:rPr>
              <w:t>推荐品牌</w:t>
            </w:r>
          </w:p>
        </w:tc>
        <w:tc>
          <w:tcPr>
            <w:tcW w:w="7356" w:type="dxa"/>
            <w:tcBorders>
              <w:top w:val="single" w:color="auto" w:sz="8" w:space="0"/>
              <w:left w:val="nil"/>
              <w:bottom w:val="single" w:color="auto" w:sz="8" w:space="0"/>
              <w:right w:val="single" w:color="auto" w:sz="8" w:space="0"/>
            </w:tcBorders>
            <w:vAlign w:val="center"/>
          </w:tcPr>
          <w:p>
            <w:pPr>
              <w:widowControl/>
              <w:jc w:val="center"/>
              <w:rPr>
                <w:rFonts w:hint="default" w:ascii="宋体" w:hAnsi="宋体" w:cs="宋体" w:eastAsiaTheme="minorEastAsia"/>
                <w:bCs/>
                <w:color w:val="000000"/>
                <w:kern w:val="0"/>
                <w:szCs w:val="21"/>
              </w:rPr>
            </w:pPr>
            <w:r>
              <w:rPr>
                <w:rFonts w:ascii="宋体" w:hAnsi="宋体" w:cs="宋体"/>
                <w:bCs/>
                <w:color w:val="000000"/>
                <w:kern w:val="0"/>
                <w:szCs w:val="21"/>
              </w:rPr>
              <w:t>360天擎</w:t>
            </w:r>
          </w:p>
        </w:tc>
      </w:tr>
      <w:tr>
        <w:tblPrEx>
          <w:tblLayout w:type="fixed"/>
          <w:tblCellMar>
            <w:top w:w="0" w:type="dxa"/>
            <w:left w:w="108" w:type="dxa"/>
            <w:bottom w:w="0" w:type="dxa"/>
            <w:right w:w="108" w:type="dxa"/>
          </w:tblCellMar>
        </w:tblPrEx>
        <w:trPr>
          <w:trHeight w:val="925" w:hRule="atLeast"/>
        </w:trPr>
        <w:tc>
          <w:tcPr>
            <w:tcW w:w="1159"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hint="default" w:ascii="宋体" w:hAnsi="宋体" w:cs="宋体"/>
                <w:bCs/>
                <w:color w:val="000000"/>
                <w:kern w:val="0"/>
                <w:szCs w:val="21"/>
              </w:rPr>
            </w:pPr>
            <w:r>
              <w:rPr>
                <w:rFonts w:ascii="宋体" w:hAnsi="宋体"/>
                <w:szCs w:val="21"/>
              </w:rPr>
              <w:t>技术指标</w:t>
            </w:r>
          </w:p>
        </w:tc>
        <w:tc>
          <w:tcPr>
            <w:tcW w:w="7356" w:type="dxa"/>
            <w:tcBorders>
              <w:top w:val="single" w:color="auto" w:sz="8" w:space="0"/>
              <w:left w:val="nil"/>
              <w:bottom w:val="single" w:color="auto" w:sz="8" w:space="0"/>
              <w:right w:val="single" w:color="auto" w:sz="8" w:space="0"/>
            </w:tcBorders>
            <w:vAlign w:val="center"/>
          </w:tcPr>
          <w:p>
            <w:pPr>
              <w:widowControl/>
              <w:jc w:val="center"/>
              <w:rPr>
                <w:rFonts w:hint="default" w:ascii="宋体" w:hAnsi="宋体" w:cs="宋体"/>
                <w:bCs/>
                <w:color w:val="000000"/>
                <w:kern w:val="0"/>
                <w:szCs w:val="21"/>
              </w:rPr>
            </w:pPr>
            <w:r>
              <w:rPr>
                <w:rFonts w:ascii="宋体" w:hAnsi="宋体" w:cs="宋体"/>
                <w:bCs/>
                <w:color w:val="000000"/>
                <w:kern w:val="0"/>
                <w:szCs w:val="21"/>
              </w:rPr>
              <w:t>参数</w:t>
            </w:r>
          </w:p>
        </w:tc>
      </w:tr>
      <w:tr>
        <w:tblPrEx>
          <w:tblLayout w:type="fixed"/>
          <w:tblCellMar>
            <w:top w:w="0" w:type="dxa"/>
            <w:left w:w="108" w:type="dxa"/>
            <w:bottom w:w="0" w:type="dxa"/>
            <w:right w:w="108" w:type="dxa"/>
          </w:tblCellMar>
        </w:tblPrEx>
        <w:trPr>
          <w:trHeight w:val="20" w:hRule="atLeast"/>
        </w:trPr>
        <w:tc>
          <w:tcPr>
            <w:tcW w:w="1159" w:type="dxa"/>
            <w:gridSpan w:val="2"/>
            <w:vMerge w:val="restart"/>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▲系统管理</w:t>
            </w: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控制中心：采用B/S架构管理端，具备设备分组管理、策略制定下发、全网健康状况监测、统一杀毒、统一漏洞修复、网络流量管理、终端软件管理、硬件资产管理以及各种报表和查询等功能。</w:t>
            </w:r>
          </w:p>
          <w:p>
            <w:pPr>
              <w:autoSpaceDE w:val="0"/>
              <w:autoSpaceDN w:val="0"/>
              <w:adjustRightInd w:val="0"/>
              <w:spacing w:line="60" w:lineRule="auto"/>
              <w:jc w:val="left"/>
              <w:rPr>
                <w:rFonts w:hint="default" w:ascii="宋体" w:hAnsi="宋体" w:cs="Times"/>
                <w:color w:val="000000"/>
                <w:szCs w:val="21"/>
              </w:rPr>
            </w:pPr>
            <w:r>
              <w:rPr>
                <w:rFonts w:ascii="宋体" w:hAnsi="宋体"/>
                <w:color w:val="000000"/>
                <w:szCs w:val="21"/>
              </w:rPr>
              <w:t>终端许可</w:t>
            </w:r>
            <w:r>
              <w:rPr>
                <w:rFonts w:hint="eastAsia" w:ascii="宋体" w:hAnsi="宋体"/>
                <w:color w:val="000000"/>
                <w:szCs w:val="21"/>
                <w:lang w:val="en-US" w:eastAsia="zh-CN"/>
              </w:rPr>
              <w:t>60</w:t>
            </w:r>
            <w:r>
              <w:rPr>
                <w:rFonts w:ascii="宋体" w:hAnsi="宋体"/>
                <w:color w:val="000000"/>
                <w:szCs w:val="21"/>
              </w:rPr>
              <w:t>个，1</w:t>
            </w:r>
            <w:r>
              <w:rPr>
                <w:rFonts w:hint="default" w:ascii="宋体" w:hAnsi="宋体"/>
                <w:color w:val="000000"/>
                <w:szCs w:val="21"/>
              </w:rPr>
              <w:t>0</w:t>
            </w:r>
            <w:r>
              <w:rPr>
                <w:rFonts w:ascii="宋体" w:hAnsi="宋体"/>
                <w:color w:val="000000"/>
                <w:szCs w:val="21"/>
              </w:rPr>
              <w:t>个物理服务器杀毒，配置杀毒和补丁分发升级功能,3年软件升级服务</w:t>
            </w:r>
          </w:p>
        </w:tc>
      </w:tr>
      <w:tr>
        <w:tblPrEx>
          <w:tblLayout w:type="fixed"/>
          <w:tblCellMar>
            <w:top w:w="0" w:type="dxa"/>
            <w:left w:w="108" w:type="dxa"/>
            <w:bottom w:w="0" w:type="dxa"/>
            <w:right w:w="108" w:type="dxa"/>
          </w:tblCellMar>
        </w:tblPrEx>
        <w:trPr>
          <w:trHeight w:val="20" w:hRule="atLeast"/>
        </w:trPr>
        <w:tc>
          <w:tcPr>
            <w:tcW w:w="1159" w:type="dxa"/>
            <w:gridSpan w:val="2"/>
            <w:vMerge w:val="continue"/>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客户端：与安全控制中心通信，提供控制中心管理所需的相关数据信息；执行最终的木马病毒查杀、漏洞修复等安全操作。</w:t>
            </w:r>
          </w:p>
        </w:tc>
      </w:tr>
      <w:tr>
        <w:tblPrEx>
          <w:tblLayout w:type="fixed"/>
          <w:tblCellMar>
            <w:top w:w="0" w:type="dxa"/>
            <w:left w:w="108" w:type="dxa"/>
            <w:bottom w:w="0" w:type="dxa"/>
            <w:right w:w="108" w:type="dxa"/>
          </w:tblCellMar>
        </w:tblPrEx>
        <w:trPr>
          <w:trHeight w:val="20" w:hRule="atLeast"/>
        </w:trPr>
        <w:tc>
          <w:tcPr>
            <w:tcW w:w="1159" w:type="dxa"/>
            <w:gridSpan w:val="2"/>
            <w:vMerge w:val="restart"/>
            <w:tcBorders>
              <w:top w:val="single" w:color="auto" w:sz="8" w:space="0"/>
              <w:left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▲病毒、恶意代码、木马防护</w:t>
            </w: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要求产品本身具备病毒检测功能，并且通过CheckMark、ICSA、OPSWAT等各大国际评测机构联合认证。</w:t>
            </w:r>
          </w:p>
        </w:tc>
      </w:tr>
      <w:tr>
        <w:tblPrEx>
          <w:tblLayout w:type="fixed"/>
          <w:tblCellMar>
            <w:top w:w="0" w:type="dxa"/>
            <w:left w:w="108" w:type="dxa"/>
            <w:bottom w:w="0" w:type="dxa"/>
            <w:right w:w="108" w:type="dxa"/>
          </w:tblCellMar>
        </w:tblPrEx>
        <w:trPr>
          <w:trHeight w:val="20" w:hRule="atLeast"/>
        </w:trPr>
        <w:tc>
          <w:tcPr>
            <w:tcW w:w="1159" w:type="dxa"/>
            <w:gridSpan w:val="2"/>
            <w:vMerge w:val="continue"/>
            <w:tcBorders>
              <w:left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要求产品具备本地引擎查杀能力</w:t>
            </w:r>
          </w:p>
        </w:tc>
      </w:tr>
      <w:tr>
        <w:tblPrEx>
          <w:tblLayout w:type="fixed"/>
          <w:tblCellMar>
            <w:top w:w="0" w:type="dxa"/>
            <w:left w:w="108" w:type="dxa"/>
            <w:bottom w:w="0" w:type="dxa"/>
            <w:right w:w="108" w:type="dxa"/>
          </w:tblCellMar>
        </w:tblPrEx>
        <w:trPr>
          <w:trHeight w:val="20" w:hRule="atLeast"/>
        </w:trPr>
        <w:tc>
          <w:tcPr>
            <w:tcW w:w="1159" w:type="dxa"/>
            <w:gridSpan w:val="2"/>
            <w:vMerge w:val="continue"/>
            <w:tcBorders>
              <w:left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要求产品具备公有云检测能力，并且公有云特征储备超过100亿</w:t>
            </w:r>
            <w:r>
              <w:rPr>
                <w:rFonts w:ascii="宋体" w:hAnsi="宋体"/>
                <w:szCs w:val="21"/>
              </w:rPr>
              <w:t>。(提供相关证明)</w:t>
            </w:r>
          </w:p>
        </w:tc>
      </w:tr>
      <w:tr>
        <w:tblPrEx>
          <w:tblLayout w:type="fixed"/>
          <w:tblCellMar>
            <w:top w:w="0" w:type="dxa"/>
            <w:left w:w="108" w:type="dxa"/>
            <w:bottom w:w="0" w:type="dxa"/>
            <w:right w:w="108" w:type="dxa"/>
          </w:tblCellMar>
        </w:tblPrEx>
        <w:trPr>
          <w:trHeight w:val="20" w:hRule="atLeast"/>
        </w:trPr>
        <w:tc>
          <w:tcPr>
            <w:tcW w:w="1159" w:type="dxa"/>
            <w:gridSpan w:val="2"/>
            <w:vMerge w:val="continue"/>
            <w:tcBorders>
              <w:left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支持私有云查杀，预置至少2亿黑名单及2000万全面的白名单，终端威胁统一到控制中心查询黑白并进行查杀（提供截图）</w:t>
            </w:r>
          </w:p>
        </w:tc>
      </w:tr>
      <w:tr>
        <w:tblPrEx>
          <w:tblLayout w:type="fixed"/>
          <w:tblCellMar>
            <w:top w:w="0" w:type="dxa"/>
            <w:left w:w="108" w:type="dxa"/>
            <w:bottom w:w="0" w:type="dxa"/>
            <w:right w:w="108" w:type="dxa"/>
          </w:tblCellMar>
        </w:tblPrEx>
        <w:trPr>
          <w:trHeight w:val="20" w:hRule="atLeast"/>
        </w:trPr>
        <w:tc>
          <w:tcPr>
            <w:tcW w:w="1159" w:type="dxa"/>
            <w:gridSpan w:val="2"/>
            <w:vMerge w:val="continue"/>
            <w:tcBorders>
              <w:left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要求产品在断网状态下具备不依赖病毒库特征的情况下对未知病毒查杀的能力（提供国内知识产权局的专利受理证明与国际PCT专利受理证明）</w:t>
            </w:r>
          </w:p>
        </w:tc>
      </w:tr>
      <w:tr>
        <w:tblPrEx>
          <w:tblLayout w:type="fixed"/>
          <w:tblCellMar>
            <w:top w:w="0" w:type="dxa"/>
            <w:left w:w="108" w:type="dxa"/>
            <w:bottom w:w="0" w:type="dxa"/>
            <w:right w:w="108" w:type="dxa"/>
          </w:tblCellMar>
        </w:tblPrEx>
        <w:trPr>
          <w:trHeight w:val="20" w:hRule="atLeast"/>
        </w:trPr>
        <w:tc>
          <w:tcPr>
            <w:tcW w:w="1159" w:type="dxa"/>
            <w:gridSpan w:val="2"/>
            <w:vMerge w:val="continue"/>
            <w:tcBorders>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s="Times"/>
                <w:color w:val="000000"/>
                <w:szCs w:val="21"/>
              </w:rPr>
              <w:t>要求产品具备主动防御技术（提供至少3项以上技术专利受理证明）</w:t>
            </w:r>
          </w:p>
        </w:tc>
      </w:tr>
      <w:tr>
        <w:tblPrEx>
          <w:tblLayout w:type="fixed"/>
          <w:tblCellMar>
            <w:top w:w="0" w:type="dxa"/>
            <w:left w:w="108" w:type="dxa"/>
            <w:bottom w:w="0" w:type="dxa"/>
            <w:right w:w="108" w:type="dxa"/>
          </w:tblCellMar>
        </w:tblPrEx>
        <w:trPr>
          <w:trHeight w:val="20" w:hRule="atLeast"/>
        </w:trPr>
        <w:tc>
          <w:tcPr>
            <w:tcW w:w="1159" w:type="dxa"/>
            <w:gridSpan w:val="2"/>
            <w:vMerge w:val="restart"/>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▲补丁分发与漏洞修复</w:t>
            </w: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要求产品生产公司具备面向微软官方级别漏洞发现能力（提供2014年至今少20个以上微软漏洞发现案例，提供微软官方确认链`接）</w:t>
            </w:r>
          </w:p>
        </w:tc>
      </w:tr>
      <w:tr>
        <w:tblPrEx>
          <w:tblLayout w:type="fixed"/>
          <w:tblCellMar>
            <w:top w:w="0" w:type="dxa"/>
            <w:left w:w="108" w:type="dxa"/>
            <w:bottom w:w="0" w:type="dxa"/>
            <w:right w:w="108" w:type="dxa"/>
          </w:tblCellMar>
        </w:tblPrEx>
        <w:trPr>
          <w:trHeight w:val="20" w:hRule="atLeast"/>
        </w:trPr>
        <w:tc>
          <w:tcPr>
            <w:tcW w:w="1159" w:type="dxa"/>
            <w:gridSpan w:val="2"/>
            <w:vMerge w:val="continue"/>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要求产品生产公司具备面向微软官方级别漏洞发现能力（提供2013年至今少15个以上微软漏洞发现案例与相关截图，与微软官方确认截图）</w:t>
            </w:r>
          </w:p>
        </w:tc>
      </w:tr>
      <w:tr>
        <w:tblPrEx>
          <w:tblLayout w:type="fixed"/>
          <w:tblCellMar>
            <w:top w:w="0" w:type="dxa"/>
            <w:left w:w="108" w:type="dxa"/>
            <w:bottom w:w="0" w:type="dxa"/>
            <w:right w:w="108" w:type="dxa"/>
          </w:tblCellMar>
        </w:tblPrEx>
        <w:trPr>
          <w:trHeight w:val="20" w:hRule="atLeast"/>
        </w:trPr>
        <w:tc>
          <w:tcPr>
            <w:tcW w:w="1159" w:type="dxa"/>
            <w:gridSpan w:val="2"/>
            <w:vMerge w:val="continue"/>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产品具备漏洞集中修复，强制修复，自动修复；具备蓝屏修复功能（提供截图）</w:t>
            </w:r>
          </w:p>
        </w:tc>
      </w:tr>
      <w:tr>
        <w:tblPrEx>
          <w:tblLayout w:type="fixed"/>
          <w:tblCellMar>
            <w:top w:w="0" w:type="dxa"/>
            <w:left w:w="108" w:type="dxa"/>
            <w:bottom w:w="0" w:type="dxa"/>
            <w:right w:w="108" w:type="dxa"/>
          </w:tblCellMar>
        </w:tblPrEx>
        <w:trPr>
          <w:trHeight w:val="20" w:hRule="atLeast"/>
        </w:trPr>
        <w:tc>
          <w:tcPr>
            <w:tcW w:w="1159" w:type="dxa"/>
            <w:gridSpan w:val="2"/>
            <w:vMerge w:val="continue"/>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产品具备漏洞集中修复过程中的流量控制和保证带宽,补丁分发支持服务端带宽限流与客户端P2P补丁分发加速，有效节省外网带宽资源（提供截图）</w:t>
            </w:r>
          </w:p>
        </w:tc>
      </w:tr>
      <w:tr>
        <w:tblPrEx>
          <w:tblLayout w:type="fixed"/>
          <w:tblCellMar>
            <w:top w:w="0" w:type="dxa"/>
            <w:left w:w="108" w:type="dxa"/>
            <w:bottom w:w="0" w:type="dxa"/>
            <w:right w:w="108" w:type="dxa"/>
          </w:tblCellMar>
        </w:tblPrEx>
        <w:trPr>
          <w:trHeight w:val="20" w:hRule="atLeast"/>
        </w:trPr>
        <w:tc>
          <w:tcPr>
            <w:tcW w:w="426" w:type="dxa"/>
            <w:vMerge w:val="restart"/>
            <w:tcBorders>
              <w:top w:val="nil"/>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资产管理</w:t>
            </w:r>
          </w:p>
        </w:tc>
        <w:tc>
          <w:tcPr>
            <w:tcW w:w="733" w:type="dxa"/>
            <w:vMerge w:val="restart"/>
            <w:tcBorders>
              <w:top w:val="nil"/>
              <w:left w:val="single" w:color="auto" w:sz="8" w:space="0"/>
              <w:bottom w:val="single" w:color="000000"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单点维护</w:t>
            </w: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按终端维度展示终端的硬件、软件、操作系统、网络、进程等信息；可监控CPU温度、硬盘温度和主板温度</w:t>
            </w:r>
          </w:p>
        </w:tc>
      </w:tr>
      <w:tr>
        <w:tblPrEx>
          <w:tblLayout w:type="fixed"/>
          <w:tblCellMar>
            <w:top w:w="0" w:type="dxa"/>
            <w:left w:w="108" w:type="dxa"/>
            <w:bottom w:w="0" w:type="dxa"/>
            <w:right w:w="108" w:type="dxa"/>
          </w:tblCellMar>
        </w:tblPrEx>
        <w:trPr>
          <w:trHeight w:val="20" w:hRule="atLeast"/>
        </w:trPr>
        <w:tc>
          <w:tcPr>
            <w:tcW w:w="426" w:type="dxa"/>
            <w:vMerge w:val="continue"/>
            <w:tcBorders>
              <w:top w:val="nil"/>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3" w:type="dxa"/>
            <w:vMerge w:val="continue"/>
            <w:tcBorders>
              <w:top w:val="nil"/>
              <w:left w:val="single" w:color="auto" w:sz="8" w:space="0"/>
              <w:bottom w:val="single" w:color="000000"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支持硬件变更，展示终端硬件变动记录，可确认变更或删除记录</w:t>
            </w:r>
          </w:p>
        </w:tc>
      </w:tr>
      <w:tr>
        <w:tblPrEx>
          <w:tblLayout w:type="fixed"/>
          <w:tblCellMar>
            <w:top w:w="0" w:type="dxa"/>
            <w:left w:w="108" w:type="dxa"/>
            <w:bottom w:w="0" w:type="dxa"/>
            <w:right w:w="108" w:type="dxa"/>
          </w:tblCellMar>
        </w:tblPrEx>
        <w:trPr>
          <w:trHeight w:val="20" w:hRule="atLeast"/>
        </w:trPr>
        <w:tc>
          <w:tcPr>
            <w:tcW w:w="426" w:type="dxa"/>
            <w:vMerge w:val="continue"/>
            <w:tcBorders>
              <w:top w:val="nil"/>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3" w:type="dxa"/>
            <w:vMerge w:val="continue"/>
            <w:tcBorders>
              <w:top w:val="nil"/>
              <w:left w:val="single" w:color="auto" w:sz="8" w:space="0"/>
              <w:bottom w:val="single" w:color="000000"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支持正版软件的正版序列号的读取功能，确保软件正版化（提供截图）</w:t>
            </w:r>
          </w:p>
        </w:tc>
      </w:tr>
      <w:tr>
        <w:tblPrEx>
          <w:tblLayout w:type="fixed"/>
          <w:tblCellMar>
            <w:top w:w="0" w:type="dxa"/>
            <w:left w:w="108" w:type="dxa"/>
            <w:bottom w:w="0" w:type="dxa"/>
            <w:right w:w="108" w:type="dxa"/>
          </w:tblCellMar>
        </w:tblPrEx>
        <w:trPr>
          <w:trHeight w:val="20" w:hRule="atLeast"/>
        </w:trPr>
        <w:tc>
          <w:tcPr>
            <w:tcW w:w="426" w:type="dxa"/>
            <w:vMerge w:val="continue"/>
            <w:tcBorders>
              <w:top w:val="nil"/>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3" w:type="dxa"/>
            <w:vMerge w:val="continue"/>
            <w:tcBorders>
              <w:top w:val="nil"/>
              <w:left w:val="single" w:color="auto" w:sz="8" w:space="0"/>
              <w:bottom w:val="single" w:color="000000"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支持软件变更，展示终端软件变动记录，可确认变更或删除记录</w:t>
            </w:r>
          </w:p>
        </w:tc>
      </w:tr>
      <w:tr>
        <w:tblPrEx>
          <w:tblLayout w:type="fixed"/>
          <w:tblCellMar>
            <w:top w:w="0" w:type="dxa"/>
            <w:left w:w="108" w:type="dxa"/>
            <w:bottom w:w="0" w:type="dxa"/>
            <w:right w:w="108" w:type="dxa"/>
          </w:tblCellMar>
        </w:tblPrEx>
        <w:trPr>
          <w:trHeight w:val="20" w:hRule="atLeast"/>
        </w:trPr>
        <w:tc>
          <w:tcPr>
            <w:tcW w:w="426" w:type="dxa"/>
            <w:vMerge w:val="continue"/>
            <w:tcBorders>
              <w:top w:val="nil"/>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3" w:type="dxa"/>
            <w:vMerge w:val="continue"/>
            <w:tcBorders>
              <w:top w:val="nil"/>
              <w:left w:val="single" w:color="auto" w:sz="8" w:space="0"/>
              <w:bottom w:val="single" w:color="000000"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支持插件清理，按插件显示展示全网存在的插件和涉及的终端，可清理指定或全部插件、加入信任；按终端显示展示全网每个终端存在的插件，可清理插件（提供截图）</w:t>
            </w:r>
          </w:p>
        </w:tc>
      </w:tr>
      <w:tr>
        <w:tblPrEx>
          <w:tblLayout w:type="fixed"/>
          <w:tblCellMar>
            <w:top w:w="0" w:type="dxa"/>
            <w:left w:w="108" w:type="dxa"/>
            <w:bottom w:w="0" w:type="dxa"/>
            <w:right w:w="108" w:type="dxa"/>
          </w:tblCellMar>
        </w:tblPrEx>
        <w:trPr>
          <w:trHeight w:val="20" w:hRule="atLeast"/>
        </w:trPr>
        <w:tc>
          <w:tcPr>
            <w:tcW w:w="426" w:type="dxa"/>
            <w:vMerge w:val="continue"/>
            <w:tcBorders>
              <w:top w:val="nil"/>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3" w:type="dxa"/>
            <w:vMerge w:val="continue"/>
            <w:tcBorders>
              <w:top w:val="nil"/>
              <w:left w:val="single" w:color="auto" w:sz="8" w:space="0"/>
              <w:bottom w:val="single" w:color="000000"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支持远程协助终端、远程关机、重启终端</w:t>
            </w:r>
          </w:p>
        </w:tc>
      </w:tr>
      <w:tr>
        <w:tblPrEx>
          <w:tblLayout w:type="fixed"/>
          <w:tblCellMar>
            <w:top w:w="0" w:type="dxa"/>
            <w:left w:w="108" w:type="dxa"/>
            <w:bottom w:w="0" w:type="dxa"/>
            <w:right w:w="108" w:type="dxa"/>
          </w:tblCellMar>
        </w:tblPrEx>
        <w:trPr>
          <w:trHeight w:val="20" w:hRule="atLeast"/>
        </w:trPr>
        <w:tc>
          <w:tcPr>
            <w:tcW w:w="426" w:type="dxa"/>
            <w:vMerge w:val="continue"/>
            <w:tcBorders>
              <w:top w:val="nil"/>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3" w:type="dxa"/>
            <w:vMerge w:val="restart"/>
            <w:tcBorders>
              <w:top w:val="nil"/>
              <w:left w:val="single" w:color="auto" w:sz="8" w:space="0"/>
              <w:bottom w:val="single" w:color="000000"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终端发现</w:t>
            </w: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支持手动配置服务器、扫描参数、进行周期性扫描，可手动配置发现的终端类型</w:t>
            </w:r>
          </w:p>
        </w:tc>
      </w:tr>
      <w:tr>
        <w:tblPrEx>
          <w:tblLayout w:type="fixed"/>
          <w:tblCellMar>
            <w:top w:w="0" w:type="dxa"/>
            <w:left w:w="108" w:type="dxa"/>
            <w:bottom w:w="0" w:type="dxa"/>
            <w:right w:w="108" w:type="dxa"/>
          </w:tblCellMar>
        </w:tblPrEx>
        <w:trPr>
          <w:trHeight w:val="20" w:hRule="atLeast"/>
        </w:trPr>
        <w:tc>
          <w:tcPr>
            <w:tcW w:w="426" w:type="dxa"/>
            <w:vMerge w:val="continue"/>
            <w:tcBorders>
              <w:top w:val="nil"/>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3" w:type="dxa"/>
            <w:vMerge w:val="continue"/>
            <w:tcBorders>
              <w:top w:val="nil"/>
              <w:left w:val="single" w:color="auto" w:sz="8" w:space="0"/>
              <w:bottom w:val="single" w:color="000000"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支持统计指定分组或全网的终端扫描数、终端安装数、未安装终端数及安装率。</w:t>
            </w:r>
          </w:p>
        </w:tc>
      </w:tr>
      <w:tr>
        <w:tblPrEx>
          <w:tblLayout w:type="fixed"/>
          <w:tblCellMar>
            <w:top w:w="0" w:type="dxa"/>
            <w:left w:w="108" w:type="dxa"/>
            <w:bottom w:w="0" w:type="dxa"/>
            <w:right w:w="108" w:type="dxa"/>
          </w:tblCellMar>
        </w:tblPrEx>
        <w:trPr>
          <w:trHeight w:val="20" w:hRule="atLeast"/>
        </w:trPr>
        <w:tc>
          <w:tcPr>
            <w:tcW w:w="426" w:type="dxa"/>
            <w:vMerge w:val="continue"/>
            <w:tcBorders>
              <w:top w:val="nil"/>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3" w:type="dxa"/>
            <w:vMerge w:val="continue"/>
            <w:tcBorders>
              <w:top w:val="nil"/>
              <w:left w:val="single" w:color="auto" w:sz="8" w:space="0"/>
              <w:bottom w:val="single" w:color="000000"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支持自动发现设备的IP-MAC地址的绑定（提供截图）</w:t>
            </w:r>
          </w:p>
        </w:tc>
      </w:tr>
      <w:tr>
        <w:tblPrEx>
          <w:tblLayout w:type="fixed"/>
          <w:tblCellMar>
            <w:top w:w="0" w:type="dxa"/>
            <w:left w:w="108" w:type="dxa"/>
            <w:bottom w:w="0" w:type="dxa"/>
            <w:right w:w="108" w:type="dxa"/>
          </w:tblCellMar>
        </w:tblPrEx>
        <w:trPr>
          <w:trHeight w:val="20" w:hRule="atLeast"/>
        </w:trPr>
        <w:tc>
          <w:tcPr>
            <w:tcW w:w="1159" w:type="dxa"/>
            <w:gridSpan w:val="2"/>
            <w:tcBorders>
              <w:top w:val="single" w:color="auto" w:sz="8" w:space="0"/>
              <w:left w:val="single" w:color="auto" w:sz="8" w:space="0"/>
              <w:bottom w:val="single" w:color="auto" w:sz="8" w:space="0"/>
              <w:right w:val="single" w:color="000000"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移动存储介质管理</w:t>
            </w: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支持客户端自主申请移动存储介质注册；</w:t>
            </w:r>
            <w:r>
              <w:rPr>
                <w:rFonts w:ascii="宋体" w:hAnsi="宋体"/>
                <w:color w:val="000000"/>
                <w:szCs w:val="21"/>
              </w:rPr>
              <w:br w:type="textWrapping"/>
            </w:r>
            <w:r>
              <w:rPr>
                <w:rFonts w:ascii="宋体" w:hAnsi="宋体"/>
                <w:color w:val="000000"/>
                <w:szCs w:val="21"/>
              </w:rPr>
              <w:t>支持移动存储介质权限划分设置，有效控制不明来历的移动存储可能带来的病毒传播等隐患</w:t>
            </w:r>
            <w:r>
              <w:rPr>
                <w:rFonts w:ascii="宋体" w:hAnsi="宋体"/>
                <w:color w:val="000000"/>
                <w:szCs w:val="21"/>
              </w:rPr>
              <w:br w:type="textWrapping"/>
            </w:r>
            <w:r>
              <w:rPr>
                <w:rFonts w:ascii="宋体" w:hAnsi="宋体"/>
                <w:color w:val="000000"/>
                <w:szCs w:val="21"/>
              </w:rPr>
              <w:t>支持移动存储介质外出管理、例外管理等</w:t>
            </w:r>
          </w:p>
        </w:tc>
      </w:tr>
      <w:tr>
        <w:tblPrEx>
          <w:tblLayout w:type="fixed"/>
          <w:tblCellMar>
            <w:top w:w="0" w:type="dxa"/>
            <w:left w:w="108" w:type="dxa"/>
            <w:bottom w:w="0" w:type="dxa"/>
            <w:right w:w="108" w:type="dxa"/>
          </w:tblCellMar>
        </w:tblPrEx>
        <w:trPr>
          <w:trHeight w:val="20" w:hRule="atLeast"/>
        </w:trPr>
        <w:tc>
          <w:tcPr>
            <w:tcW w:w="1159" w:type="dxa"/>
            <w:gridSpan w:val="2"/>
            <w:tcBorders>
              <w:top w:val="single" w:color="auto" w:sz="8" w:space="0"/>
              <w:left w:val="single" w:color="auto" w:sz="8" w:space="0"/>
              <w:bottom w:val="single" w:color="auto" w:sz="8" w:space="0"/>
              <w:right w:val="single" w:color="000000"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XP盾甲</w:t>
            </w: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支持对XP系统进行系统加固、热补丁修复、危险应用隔离、“非白即黑”安全策略四大修复措施</w:t>
            </w:r>
          </w:p>
        </w:tc>
      </w:tr>
      <w:tr>
        <w:tblPrEx>
          <w:tblLayout w:type="fixed"/>
          <w:tblCellMar>
            <w:top w:w="0" w:type="dxa"/>
            <w:left w:w="108" w:type="dxa"/>
            <w:bottom w:w="0" w:type="dxa"/>
            <w:right w:w="108" w:type="dxa"/>
          </w:tblCellMar>
        </w:tblPrEx>
        <w:trPr>
          <w:trHeight w:val="20" w:hRule="atLeast"/>
        </w:trPr>
        <w:tc>
          <w:tcPr>
            <w:tcW w:w="1159" w:type="dxa"/>
            <w:gridSpan w:val="2"/>
            <w:vMerge w:val="restart"/>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终端准入</w:t>
            </w: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支持旁路终端准入部署方式，避免串行设备部署单点故障；</w:t>
            </w:r>
            <w:r>
              <w:rPr>
                <w:rFonts w:ascii="宋体" w:hAnsi="宋体"/>
                <w:color w:val="000000"/>
                <w:szCs w:val="21"/>
              </w:rPr>
              <w:br w:type="textWrapping"/>
            </w:r>
            <w:r>
              <w:rPr>
                <w:rFonts w:ascii="宋体" w:hAnsi="宋体"/>
                <w:color w:val="000000"/>
                <w:szCs w:val="21"/>
              </w:rPr>
              <w:t>支持有线、无线基于应用协议准入方式，准入配置支持保护服务器区域、例外终端等灵活的配置方式</w:t>
            </w:r>
            <w:r>
              <w:rPr>
                <w:rFonts w:ascii="宋体" w:hAnsi="宋体"/>
                <w:color w:val="000000"/>
                <w:szCs w:val="21"/>
              </w:rPr>
              <w:br w:type="textWrapping"/>
            </w:r>
            <w:r>
              <w:rPr>
                <w:rFonts w:ascii="宋体" w:hAnsi="宋体"/>
                <w:color w:val="000000"/>
                <w:szCs w:val="21"/>
              </w:rPr>
              <w:t>支持标准802.1X准入，支持动态VLAN、动态ACL下发；</w:t>
            </w:r>
          </w:p>
        </w:tc>
      </w:tr>
      <w:tr>
        <w:tblPrEx>
          <w:tblLayout w:type="fixed"/>
          <w:tblCellMar>
            <w:top w:w="0" w:type="dxa"/>
            <w:left w:w="108" w:type="dxa"/>
            <w:bottom w:w="0" w:type="dxa"/>
            <w:right w:w="108" w:type="dxa"/>
          </w:tblCellMar>
        </w:tblPrEx>
        <w:trPr>
          <w:trHeight w:val="20" w:hRule="atLeast"/>
        </w:trPr>
        <w:tc>
          <w:tcPr>
            <w:tcW w:w="1159" w:type="dxa"/>
            <w:gridSpan w:val="2"/>
            <w:vMerge w:val="continue"/>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支持基于终端的ACL，可以基于协议、端口来控制终端流量，从而无需操作交换机达到终端网络控制目的（提供截图）</w:t>
            </w:r>
          </w:p>
        </w:tc>
      </w:tr>
      <w:tr>
        <w:tblPrEx>
          <w:tblLayout w:type="fixed"/>
          <w:tblCellMar>
            <w:top w:w="0" w:type="dxa"/>
            <w:left w:w="108" w:type="dxa"/>
            <w:bottom w:w="0" w:type="dxa"/>
            <w:right w:w="108" w:type="dxa"/>
          </w:tblCellMar>
        </w:tblPrEx>
        <w:trPr>
          <w:trHeight w:val="20" w:hRule="atLeast"/>
        </w:trPr>
        <w:tc>
          <w:tcPr>
            <w:tcW w:w="1159" w:type="dxa"/>
            <w:gridSpan w:val="2"/>
            <w:vMerge w:val="continue"/>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支持入网健康检查策略，策略检查项至少包括：远程桌面、U盘自动运行、防火墙、IP获取方式、文件共享、屏幕保护、空密码、IE代理；支持终端修复向导，对不合规的终端提供软隔离，并进行修复向导和一键修复功能</w:t>
            </w:r>
          </w:p>
        </w:tc>
      </w:tr>
      <w:tr>
        <w:tblPrEx>
          <w:tblLayout w:type="fixed"/>
          <w:tblCellMar>
            <w:top w:w="0" w:type="dxa"/>
            <w:left w:w="108" w:type="dxa"/>
            <w:bottom w:w="0" w:type="dxa"/>
            <w:right w:w="108" w:type="dxa"/>
          </w:tblCellMar>
        </w:tblPrEx>
        <w:trPr>
          <w:trHeight w:val="20" w:hRule="atLeast"/>
        </w:trPr>
        <w:tc>
          <w:tcPr>
            <w:tcW w:w="1159" w:type="dxa"/>
            <w:gridSpan w:val="2"/>
            <w:vMerge w:val="restart"/>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安全审计</w:t>
            </w: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支持指定扩展名的文件访问、修改、删除、移动等行为的审计</w:t>
            </w:r>
          </w:p>
        </w:tc>
      </w:tr>
      <w:tr>
        <w:tblPrEx>
          <w:tblLayout w:type="fixed"/>
          <w:tblCellMar>
            <w:top w:w="0" w:type="dxa"/>
            <w:left w:w="108" w:type="dxa"/>
            <w:bottom w:w="0" w:type="dxa"/>
            <w:right w:w="108" w:type="dxa"/>
          </w:tblCellMar>
        </w:tblPrEx>
        <w:trPr>
          <w:trHeight w:val="20" w:hRule="atLeast"/>
        </w:trPr>
        <w:tc>
          <w:tcPr>
            <w:tcW w:w="1159" w:type="dxa"/>
            <w:gridSpan w:val="2"/>
            <w:vMerge w:val="continue"/>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支持网络共享输出控制与审计</w:t>
            </w:r>
          </w:p>
        </w:tc>
      </w:tr>
      <w:tr>
        <w:tblPrEx>
          <w:tblLayout w:type="fixed"/>
          <w:tblCellMar>
            <w:top w:w="0" w:type="dxa"/>
            <w:left w:w="108" w:type="dxa"/>
            <w:bottom w:w="0" w:type="dxa"/>
            <w:right w:w="108" w:type="dxa"/>
          </w:tblCellMar>
        </w:tblPrEx>
        <w:trPr>
          <w:trHeight w:val="20" w:hRule="atLeast"/>
        </w:trPr>
        <w:tc>
          <w:tcPr>
            <w:tcW w:w="1159" w:type="dxa"/>
            <w:gridSpan w:val="2"/>
            <w:vMerge w:val="continue"/>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支持特定路径或扩展名的文件访问、修改、删除、移动等行为的限制并审计</w:t>
            </w:r>
          </w:p>
        </w:tc>
      </w:tr>
      <w:tr>
        <w:tblPrEx>
          <w:tblLayout w:type="fixed"/>
          <w:tblCellMar>
            <w:top w:w="0" w:type="dxa"/>
            <w:left w:w="108" w:type="dxa"/>
            <w:bottom w:w="0" w:type="dxa"/>
            <w:right w:w="108" w:type="dxa"/>
          </w:tblCellMar>
        </w:tblPrEx>
        <w:trPr>
          <w:trHeight w:val="20" w:hRule="atLeast"/>
        </w:trPr>
        <w:tc>
          <w:tcPr>
            <w:tcW w:w="1159" w:type="dxa"/>
            <w:gridSpan w:val="2"/>
            <w:vMerge w:val="restart"/>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日志报表</w:t>
            </w: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展示全网终端健康状态、报警信息；可方便的查看不健康、亚健康终端列表；</w:t>
            </w:r>
            <w:r>
              <w:rPr>
                <w:rFonts w:ascii="宋体" w:hAnsi="宋体"/>
                <w:color w:val="000000"/>
                <w:szCs w:val="21"/>
              </w:rPr>
              <w:br w:type="textWrapping"/>
            </w:r>
            <w:r>
              <w:rPr>
                <w:rFonts w:ascii="宋体" w:hAnsi="宋体"/>
                <w:color w:val="000000"/>
                <w:szCs w:val="21"/>
              </w:rPr>
              <w:t>展示全网终端木马库日期比例，可方便的查看全网终端木马库的情况；</w:t>
            </w:r>
            <w:r>
              <w:rPr>
                <w:rFonts w:ascii="宋体" w:hAnsi="宋体"/>
                <w:color w:val="000000"/>
                <w:szCs w:val="21"/>
              </w:rPr>
              <w:br w:type="textWrapping"/>
            </w:r>
            <w:r>
              <w:rPr>
                <w:rFonts w:ascii="宋体" w:hAnsi="宋体"/>
                <w:color w:val="000000"/>
                <w:szCs w:val="21"/>
              </w:rPr>
              <w:t>展示全网终端病毒库日期比例，可方便的查看全网终端病毒库的情况</w:t>
            </w:r>
          </w:p>
        </w:tc>
      </w:tr>
      <w:tr>
        <w:tblPrEx>
          <w:tblLayout w:type="fixed"/>
          <w:tblCellMar>
            <w:top w:w="0" w:type="dxa"/>
            <w:left w:w="108" w:type="dxa"/>
            <w:bottom w:w="0" w:type="dxa"/>
            <w:right w:w="108" w:type="dxa"/>
          </w:tblCellMar>
        </w:tblPrEx>
        <w:trPr>
          <w:trHeight w:val="20" w:hRule="atLeast"/>
        </w:trPr>
        <w:tc>
          <w:tcPr>
            <w:tcW w:w="1159" w:type="dxa"/>
            <w:gridSpan w:val="2"/>
            <w:vMerge w:val="continue"/>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展示指定时间段内指定终端修复漏洞，病毒查杀，木马查杀的情况（提供截图证明）</w:t>
            </w:r>
          </w:p>
        </w:tc>
      </w:tr>
      <w:tr>
        <w:tblPrEx>
          <w:tblLayout w:type="fixed"/>
          <w:tblCellMar>
            <w:top w:w="0" w:type="dxa"/>
            <w:left w:w="108" w:type="dxa"/>
            <w:bottom w:w="0" w:type="dxa"/>
            <w:right w:w="108" w:type="dxa"/>
          </w:tblCellMar>
        </w:tblPrEx>
        <w:trPr>
          <w:trHeight w:val="20" w:hRule="atLeast"/>
        </w:trPr>
        <w:tc>
          <w:tcPr>
            <w:tcW w:w="1159" w:type="dxa"/>
            <w:gridSpan w:val="2"/>
            <w:vMerge w:val="continue"/>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支持大数据引擎系统，可将全网终端日常运维数据汇聚存储分析，并根据客户运维管理所需的要求定制报表（提供截图证明）</w:t>
            </w:r>
          </w:p>
        </w:tc>
      </w:tr>
      <w:tr>
        <w:tblPrEx>
          <w:tblLayout w:type="fixed"/>
          <w:tblCellMar>
            <w:top w:w="0" w:type="dxa"/>
            <w:left w:w="108" w:type="dxa"/>
            <w:bottom w:w="0" w:type="dxa"/>
            <w:right w:w="108" w:type="dxa"/>
          </w:tblCellMar>
        </w:tblPrEx>
        <w:trPr>
          <w:trHeight w:val="20" w:hRule="atLeast"/>
        </w:trPr>
        <w:tc>
          <w:tcPr>
            <w:tcW w:w="1159" w:type="dxa"/>
            <w:gridSpan w:val="2"/>
            <w:vMerge w:val="restart"/>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其它</w:t>
            </w:r>
          </w:p>
        </w:tc>
        <w:tc>
          <w:tcPr>
            <w:tcW w:w="7356" w:type="dxa"/>
            <w:tcBorders>
              <w:top w:val="nil"/>
              <w:left w:val="nil"/>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支持与旁路威胁检测系统设备、下一代防火墙、联动，达到网关边界联动防御效果（提供截图证明）</w:t>
            </w:r>
          </w:p>
        </w:tc>
      </w:tr>
      <w:tr>
        <w:tblPrEx>
          <w:tblLayout w:type="fixed"/>
          <w:tblCellMar>
            <w:top w:w="0" w:type="dxa"/>
            <w:left w:w="108" w:type="dxa"/>
            <w:bottom w:w="0" w:type="dxa"/>
            <w:right w:w="108" w:type="dxa"/>
          </w:tblCellMar>
        </w:tblPrEx>
        <w:trPr>
          <w:trHeight w:val="20" w:hRule="atLeast"/>
        </w:trPr>
        <w:tc>
          <w:tcPr>
            <w:tcW w:w="1159" w:type="dxa"/>
            <w:gridSpan w:val="2"/>
            <w:vMerge w:val="continue"/>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nil"/>
              <w:left w:val="nil"/>
              <w:bottom w:val="nil"/>
              <w:right w:val="single" w:color="auto" w:sz="8"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支持控制中心数据恢复与备份</w:t>
            </w:r>
          </w:p>
        </w:tc>
      </w:tr>
      <w:tr>
        <w:tblPrEx>
          <w:tblLayout w:type="fixed"/>
          <w:tblCellMar>
            <w:top w:w="0" w:type="dxa"/>
            <w:left w:w="108" w:type="dxa"/>
            <w:bottom w:w="0" w:type="dxa"/>
            <w:right w:w="108" w:type="dxa"/>
          </w:tblCellMar>
        </w:tblPrEx>
        <w:trPr>
          <w:trHeight w:val="321" w:hRule="atLeast"/>
        </w:trPr>
        <w:tc>
          <w:tcPr>
            <w:tcW w:w="1159" w:type="dxa"/>
            <w:gridSpan w:val="2"/>
            <w:vMerge w:val="restart"/>
            <w:tcBorders>
              <w:top w:val="single" w:color="auto" w:sz="4" w:space="0"/>
              <w:left w:val="single" w:color="auto" w:sz="4" w:space="0"/>
              <w:right w:val="single" w:color="auto" w:sz="4"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▲产品资质</w:t>
            </w:r>
          </w:p>
        </w:tc>
        <w:tc>
          <w:tcPr>
            <w:tcW w:w="73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 w:val="22"/>
              </w:rPr>
              <w:t>公安部销售许可证</w:t>
            </w:r>
          </w:p>
        </w:tc>
      </w:tr>
      <w:tr>
        <w:tblPrEx>
          <w:tblLayout w:type="fixed"/>
          <w:tblCellMar>
            <w:top w:w="0" w:type="dxa"/>
            <w:left w:w="108" w:type="dxa"/>
            <w:bottom w:w="0" w:type="dxa"/>
            <w:right w:w="108" w:type="dxa"/>
          </w:tblCellMar>
        </w:tblPrEx>
        <w:trPr>
          <w:trHeight w:val="372" w:hRule="atLeast"/>
        </w:trPr>
        <w:tc>
          <w:tcPr>
            <w:tcW w:w="1159" w:type="dxa"/>
            <w:gridSpan w:val="2"/>
            <w:vMerge w:val="continue"/>
            <w:tcBorders>
              <w:left w:val="single" w:color="auto" w:sz="4" w:space="0"/>
              <w:right w:val="single" w:color="auto" w:sz="4"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Cs w:val="21"/>
              </w:rPr>
              <w:t>计算机软件著作权证书</w:t>
            </w:r>
          </w:p>
        </w:tc>
      </w:tr>
      <w:tr>
        <w:tblPrEx>
          <w:tblLayout w:type="fixed"/>
          <w:tblCellMar>
            <w:top w:w="0" w:type="dxa"/>
            <w:left w:w="108" w:type="dxa"/>
            <w:bottom w:w="0" w:type="dxa"/>
            <w:right w:w="108" w:type="dxa"/>
          </w:tblCellMar>
        </w:tblPrEx>
        <w:trPr>
          <w:trHeight w:val="286" w:hRule="atLeast"/>
        </w:trPr>
        <w:tc>
          <w:tcPr>
            <w:tcW w:w="1159" w:type="dxa"/>
            <w:gridSpan w:val="2"/>
            <w:vMerge w:val="continue"/>
            <w:tcBorders>
              <w:left w:val="single" w:color="auto" w:sz="4" w:space="0"/>
              <w:bottom w:val="single" w:color="auto" w:sz="4" w:space="0"/>
              <w:right w:val="single" w:color="auto" w:sz="4"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 w:lineRule="auto"/>
              <w:jc w:val="left"/>
              <w:rPr>
                <w:rFonts w:hint="default" w:ascii="宋体" w:hAnsi="宋体"/>
                <w:color w:val="000000"/>
                <w:szCs w:val="21"/>
              </w:rPr>
            </w:pPr>
            <w:r>
              <w:rPr>
                <w:rFonts w:ascii="宋体" w:hAnsi="宋体"/>
                <w:color w:val="000000"/>
                <w:sz w:val="22"/>
              </w:rPr>
              <w:t>军B+级军用信息安全产品认证证书</w:t>
            </w:r>
          </w:p>
        </w:tc>
      </w:tr>
      <w:tr>
        <w:tblPrEx>
          <w:tblLayout w:type="fixed"/>
          <w:tblCellMar>
            <w:top w:w="0" w:type="dxa"/>
            <w:left w:w="108" w:type="dxa"/>
            <w:bottom w:w="0" w:type="dxa"/>
            <w:right w:w="108" w:type="dxa"/>
          </w:tblCellMar>
        </w:tblPrEx>
        <w:trPr>
          <w:trHeight w:val="20" w:hRule="atLeast"/>
        </w:trPr>
        <w:tc>
          <w:tcPr>
            <w:tcW w:w="1159" w:type="dxa"/>
            <w:gridSpan w:val="2"/>
            <w:vMerge w:val="restart"/>
            <w:tcBorders>
              <w:top w:val="single" w:color="auto" w:sz="4" w:space="0"/>
              <w:left w:val="single" w:color="auto" w:sz="4" w:space="0"/>
              <w:right w:val="single" w:color="auto" w:sz="4" w:space="0"/>
            </w:tcBorders>
            <w:vAlign w:val="center"/>
          </w:tcPr>
          <w:p>
            <w:pPr>
              <w:autoSpaceDE w:val="0"/>
              <w:autoSpaceDN w:val="0"/>
              <w:adjustRightInd w:val="0"/>
              <w:spacing w:line="60" w:lineRule="auto"/>
              <w:jc w:val="center"/>
              <w:rPr>
                <w:rFonts w:hint="default" w:ascii="宋体" w:hAnsi="宋体"/>
                <w:szCs w:val="21"/>
              </w:rPr>
            </w:pPr>
            <w:r>
              <w:rPr>
                <w:rFonts w:ascii="宋体" w:hAnsi="宋体"/>
                <w:color w:val="000000"/>
                <w:szCs w:val="21"/>
              </w:rPr>
              <w:t>▲</w:t>
            </w:r>
            <w:r>
              <w:rPr>
                <w:rFonts w:ascii="宋体" w:hAnsi="宋体"/>
                <w:szCs w:val="21"/>
              </w:rPr>
              <w:t>厂家资质</w:t>
            </w:r>
          </w:p>
        </w:tc>
        <w:tc>
          <w:tcPr>
            <w:tcW w:w="735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olor w:val="000000"/>
                <w:szCs w:val="21"/>
              </w:rPr>
            </w:pPr>
            <w:r>
              <w:rPr>
                <w:rFonts w:ascii="宋体" w:hAnsi="宋体"/>
                <w:color w:val="000000"/>
                <w:szCs w:val="21"/>
              </w:rPr>
              <w:t>公司具备网络安全应急服务支撑单位（国家级）</w:t>
            </w:r>
          </w:p>
        </w:tc>
      </w:tr>
      <w:tr>
        <w:tblPrEx>
          <w:tblLayout w:type="fixed"/>
          <w:tblCellMar>
            <w:top w:w="0" w:type="dxa"/>
            <w:left w:w="108" w:type="dxa"/>
            <w:bottom w:w="0" w:type="dxa"/>
            <w:right w:w="108" w:type="dxa"/>
          </w:tblCellMar>
        </w:tblPrEx>
        <w:trPr>
          <w:trHeight w:val="20" w:hRule="atLeast"/>
        </w:trPr>
        <w:tc>
          <w:tcPr>
            <w:tcW w:w="1159" w:type="dxa"/>
            <w:gridSpan w:val="2"/>
            <w:vMerge w:val="continue"/>
            <w:tcBorders>
              <w:left w:val="single" w:color="auto" w:sz="4" w:space="0"/>
              <w:right w:val="single" w:color="auto" w:sz="4"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olor w:val="000000"/>
                <w:szCs w:val="21"/>
              </w:rPr>
            </w:pPr>
            <w:r>
              <w:rPr>
                <w:rFonts w:ascii="宋体" w:hAnsi="宋体"/>
                <w:color w:val="000000"/>
                <w:szCs w:val="21"/>
              </w:rPr>
              <w:t>中国国家信息安全漏洞库支撑单位</w:t>
            </w:r>
          </w:p>
        </w:tc>
      </w:tr>
      <w:tr>
        <w:tblPrEx>
          <w:tblLayout w:type="fixed"/>
          <w:tblCellMar>
            <w:top w:w="0" w:type="dxa"/>
            <w:left w:w="108" w:type="dxa"/>
            <w:bottom w:w="0" w:type="dxa"/>
            <w:right w:w="108" w:type="dxa"/>
          </w:tblCellMar>
        </w:tblPrEx>
        <w:trPr>
          <w:trHeight w:val="20" w:hRule="atLeast"/>
        </w:trPr>
        <w:tc>
          <w:tcPr>
            <w:tcW w:w="1159" w:type="dxa"/>
            <w:gridSpan w:val="2"/>
            <w:vMerge w:val="continue"/>
            <w:tcBorders>
              <w:left w:val="single" w:color="auto" w:sz="4" w:space="0"/>
              <w:right w:val="single" w:color="auto" w:sz="4"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olor w:val="000000"/>
                <w:szCs w:val="21"/>
              </w:rPr>
            </w:pPr>
            <w:r>
              <w:rPr>
                <w:rFonts w:ascii="宋体" w:hAnsi="宋体"/>
                <w:color w:val="000000"/>
                <w:szCs w:val="21"/>
              </w:rPr>
              <w:t>商用密码产品生产定点单位</w:t>
            </w:r>
          </w:p>
        </w:tc>
      </w:tr>
      <w:tr>
        <w:tblPrEx>
          <w:tblLayout w:type="fixed"/>
          <w:tblCellMar>
            <w:top w:w="0" w:type="dxa"/>
            <w:left w:w="108" w:type="dxa"/>
            <w:bottom w:w="0" w:type="dxa"/>
            <w:right w:w="108" w:type="dxa"/>
          </w:tblCellMar>
        </w:tblPrEx>
        <w:trPr>
          <w:trHeight w:val="20" w:hRule="atLeast"/>
        </w:trPr>
        <w:tc>
          <w:tcPr>
            <w:tcW w:w="1159" w:type="dxa"/>
            <w:gridSpan w:val="2"/>
            <w:vMerge w:val="continue"/>
            <w:tcBorders>
              <w:left w:val="single" w:color="auto" w:sz="4" w:space="0"/>
              <w:right w:val="single" w:color="auto" w:sz="4"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olor w:val="000000"/>
                <w:szCs w:val="21"/>
              </w:rPr>
            </w:pPr>
            <w:r>
              <w:rPr>
                <w:rFonts w:ascii="宋体" w:hAnsi="宋体"/>
                <w:color w:val="000000"/>
                <w:szCs w:val="21"/>
              </w:rPr>
              <w:t>国家信息安全漏洞共享平台技术组成员</w:t>
            </w:r>
          </w:p>
        </w:tc>
      </w:tr>
      <w:tr>
        <w:tblPrEx>
          <w:tblLayout w:type="fixed"/>
          <w:tblCellMar>
            <w:top w:w="0" w:type="dxa"/>
            <w:left w:w="108" w:type="dxa"/>
            <w:bottom w:w="0" w:type="dxa"/>
            <w:right w:w="108" w:type="dxa"/>
          </w:tblCellMar>
        </w:tblPrEx>
        <w:trPr>
          <w:trHeight w:val="20" w:hRule="atLeast"/>
        </w:trPr>
        <w:tc>
          <w:tcPr>
            <w:tcW w:w="1159" w:type="dxa"/>
            <w:gridSpan w:val="2"/>
            <w:vMerge w:val="continue"/>
            <w:tcBorders>
              <w:left w:val="single" w:color="auto" w:sz="4" w:space="0"/>
              <w:right w:val="single" w:color="auto" w:sz="4"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olor w:val="000000"/>
                <w:szCs w:val="21"/>
              </w:rPr>
            </w:pPr>
            <w:r>
              <w:rPr>
                <w:rFonts w:ascii="宋体" w:hAnsi="宋体"/>
                <w:color w:val="000000"/>
                <w:szCs w:val="21"/>
              </w:rPr>
              <w:t>微软MAPP伙伴</w:t>
            </w:r>
          </w:p>
        </w:tc>
      </w:tr>
      <w:tr>
        <w:tblPrEx>
          <w:tblLayout w:type="fixed"/>
          <w:tblCellMar>
            <w:top w:w="0" w:type="dxa"/>
            <w:left w:w="108" w:type="dxa"/>
            <w:bottom w:w="0" w:type="dxa"/>
            <w:right w:w="108" w:type="dxa"/>
          </w:tblCellMar>
        </w:tblPrEx>
        <w:trPr>
          <w:trHeight w:val="20" w:hRule="atLeast"/>
        </w:trPr>
        <w:tc>
          <w:tcPr>
            <w:tcW w:w="1159" w:type="dxa"/>
            <w:gridSpan w:val="2"/>
            <w:vMerge w:val="continue"/>
            <w:tcBorders>
              <w:left w:val="single" w:color="auto" w:sz="4" w:space="0"/>
              <w:bottom w:val="single" w:color="auto" w:sz="4" w:space="0"/>
              <w:right w:val="single" w:color="auto" w:sz="4" w:space="0"/>
            </w:tcBorders>
            <w:vAlign w:val="center"/>
          </w:tcPr>
          <w:p>
            <w:pPr>
              <w:autoSpaceDE w:val="0"/>
              <w:autoSpaceDN w:val="0"/>
              <w:adjustRightInd w:val="0"/>
              <w:spacing w:line="60" w:lineRule="auto"/>
              <w:jc w:val="left"/>
              <w:rPr>
                <w:rFonts w:hint="default" w:ascii="宋体" w:hAnsi="宋体"/>
                <w:color w:val="000000"/>
                <w:szCs w:val="21"/>
              </w:rPr>
            </w:pPr>
          </w:p>
        </w:tc>
        <w:tc>
          <w:tcPr>
            <w:tcW w:w="735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olor w:val="000000"/>
                <w:szCs w:val="21"/>
              </w:rPr>
            </w:pPr>
            <w:r>
              <w:rPr>
                <w:rFonts w:ascii="宋体" w:hAnsi="宋体"/>
                <w:color w:val="000000"/>
                <w:szCs w:val="21"/>
              </w:rPr>
              <w:t>公司具备向国家信息安全漏洞库（CNNVD）提交漏洞的能力，2015年提交漏洞数量不少于10个</w:t>
            </w:r>
          </w:p>
        </w:tc>
      </w:tr>
    </w:tbl>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0000500000000020000"/>
    <w:charset w:val="00"/>
    <w:family w:val="auto"/>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7A"/>
    <w:rsid w:val="00071FD5"/>
    <w:rsid w:val="001D3A45"/>
    <w:rsid w:val="0034487A"/>
    <w:rsid w:val="003B7EDA"/>
    <w:rsid w:val="004B05FB"/>
    <w:rsid w:val="005D7EC8"/>
    <w:rsid w:val="006D664F"/>
    <w:rsid w:val="00794D79"/>
    <w:rsid w:val="00860BFC"/>
    <w:rsid w:val="008B3400"/>
    <w:rsid w:val="008E4CDC"/>
    <w:rsid w:val="009476EE"/>
    <w:rsid w:val="009B15FA"/>
    <w:rsid w:val="00B82597"/>
    <w:rsid w:val="00CA6A1B"/>
    <w:rsid w:val="00D26ED8"/>
    <w:rsid w:val="00D32D35"/>
    <w:rsid w:val="00D62423"/>
    <w:rsid w:val="00E31C45"/>
    <w:rsid w:val="00E352EF"/>
    <w:rsid w:val="00EF3925"/>
    <w:rsid w:val="00F64FBF"/>
    <w:rsid w:val="04D5159D"/>
    <w:rsid w:val="05410BB5"/>
    <w:rsid w:val="070A687A"/>
    <w:rsid w:val="07F149E9"/>
    <w:rsid w:val="08C30BCC"/>
    <w:rsid w:val="0A98768A"/>
    <w:rsid w:val="0CE70EFC"/>
    <w:rsid w:val="0DFF74AC"/>
    <w:rsid w:val="13C54CE5"/>
    <w:rsid w:val="14A91A0F"/>
    <w:rsid w:val="152A7B59"/>
    <w:rsid w:val="165C1800"/>
    <w:rsid w:val="1687000B"/>
    <w:rsid w:val="1CB50411"/>
    <w:rsid w:val="1CF703F3"/>
    <w:rsid w:val="20F622BF"/>
    <w:rsid w:val="217301CD"/>
    <w:rsid w:val="21BF7E89"/>
    <w:rsid w:val="22CF562C"/>
    <w:rsid w:val="2452169B"/>
    <w:rsid w:val="28A61B88"/>
    <w:rsid w:val="2D2B4EA3"/>
    <w:rsid w:val="313A4B0B"/>
    <w:rsid w:val="31EB64D1"/>
    <w:rsid w:val="32210EA7"/>
    <w:rsid w:val="35C87B4F"/>
    <w:rsid w:val="39932D93"/>
    <w:rsid w:val="3EAF77D5"/>
    <w:rsid w:val="405234CC"/>
    <w:rsid w:val="41766C5E"/>
    <w:rsid w:val="42752199"/>
    <w:rsid w:val="487F486A"/>
    <w:rsid w:val="4E1F08C8"/>
    <w:rsid w:val="4EA947E4"/>
    <w:rsid w:val="57F66CF6"/>
    <w:rsid w:val="591B3A0D"/>
    <w:rsid w:val="5A821CF7"/>
    <w:rsid w:val="61D4387D"/>
    <w:rsid w:val="62B765C7"/>
    <w:rsid w:val="66AF5170"/>
    <w:rsid w:val="69286CC4"/>
    <w:rsid w:val="6B795C21"/>
    <w:rsid w:val="6D9221A3"/>
    <w:rsid w:val="6E2345B0"/>
    <w:rsid w:val="70C80B9E"/>
    <w:rsid w:val="71E16BDF"/>
    <w:rsid w:val="721F4958"/>
    <w:rsid w:val="76682A5C"/>
    <w:rsid w:val="77622EDA"/>
    <w:rsid w:val="7EA97880"/>
    <w:rsid w:val="7F9E4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480" w:lineRule="exact"/>
      <w:jc w:val="both"/>
    </w:pPr>
    <w:rPr>
      <w:rFonts w:hint="eastAsia" w:ascii="Times New Roman" w:hAnsi="Times New Roman" w:eastAsia="宋体" w:cs="Times New Roman"/>
      <w:kern w:val="1"/>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uppressAutoHyphens w:val="0"/>
      <w:snapToGrid w:val="0"/>
      <w:spacing w:line="240" w:lineRule="auto"/>
      <w:jc w:val="left"/>
    </w:pPr>
    <w:rPr>
      <w:rFonts w:hint="default" w:asciiTheme="minorHAnsi" w:hAnsiTheme="minorHAnsi" w:eastAsiaTheme="minorEastAsia" w:cstheme="minorBidi"/>
      <w:kern w:val="2"/>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uppressAutoHyphens w:val="0"/>
      <w:snapToGrid w:val="0"/>
      <w:spacing w:line="240" w:lineRule="auto"/>
      <w:jc w:val="center"/>
    </w:pPr>
    <w:rPr>
      <w:rFonts w:hint="default" w:asciiTheme="minorHAnsi" w:hAnsiTheme="minorHAnsi" w:eastAsiaTheme="minorEastAsia" w:cstheme="minorBidi"/>
      <w:kern w:val="2"/>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311</Words>
  <Characters>1774</Characters>
  <Lines>14</Lines>
  <Paragraphs>4</Paragraphs>
  <TotalTime>3</TotalTime>
  <ScaleCrop>false</ScaleCrop>
  <LinksUpToDate>false</LinksUpToDate>
  <CharactersWithSpaces>2081</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2016-05-25T08:55:00Z</dcterms:created>
  <dc:creator>AutoBVT</dc:creator>
  <cp:lastModifiedBy>优优妈</cp:lastModifiedBy>
  <dcterms:modified xsi:type="dcterms:W3CDTF">2019-04-17T02:40:55Z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