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b/>
          <w:bCs/>
          <w:spacing w:val="-16"/>
          <w:sz w:val="30"/>
          <w:szCs w:val="30"/>
        </w:rPr>
      </w:pPr>
      <w:r>
        <w:rPr>
          <w:rFonts w:hint="eastAsia" w:ascii="宋体" w:hAnsi="宋体"/>
          <w:b/>
          <w:bCs/>
          <w:spacing w:val="-16"/>
          <w:sz w:val="30"/>
          <w:szCs w:val="30"/>
          <w:lang w:eastAsia="zh-CN"/>
        </w:rPr>
        <w:t>宁波城市职业技术学院</w:t>
      </w:r>
      <w:r>
        <w:rPr>
          <w:rFonts w:hint="eastAsia" w:ascii="宋体" w:hAnsi="宋体"/>
          <w:b/>
          <w:bCs/>
          <w:spacing w:val="-16"/>
          <w:sz w:val="30"/>
          <w:szCs w:val="30"/>
        </w:rPr>
        <w:t>校园网络信息安全服务项目需求</w:t>
      </w:r>
    </w:p>
    <w:p>
      <w:pPr>
        <w:rPr>
          <w:rFonts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一、项目服务内容要求</w:t>
      </w:r>
    </w:p>
    <w:tbl>
      <w:tblPr>
        <w:tblStyle w:val="3"/>
        <w:tblW w:w="914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0"/>
        <w:gridCol w:w="1210"/>
        <w:gridCol w:w="1920"/>
        <w:gridCol w:w="3881"/>
        <w:gridCol w:w="12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870" w:type="dxa"/>
            <w:vAlign w:val="center"/>
          </w:tcPr>
          <w:p>
            <w:pPr>
              <w:widowControl/>
              <w:jc w:val="center"/>
              <w:rPr>
                <w:rFonts w:ascii="宋体" w:hAnsi="宋体"/>
                <w:b/>
                <w:bCs/>
                <w:color w:val="000000"/>
                <w:kern w:val="0"/>
                <w:szCs w:val="21"/>
              </w:rPr>
            </w:pPr>
            <w:r>
              <w:rPr>
                <w:rFonts w:hint="eastAsia" w:ascii="宋体" w:hAnsi="宋体"/>
                <w:b/>
                <w:bCs/>
                <w:color w:val="000000"/>
                <w:kern w:val="0"/>
                <w:szCs w:val="21"/>
              </w:rPr>
              <w:t>序号</w:t>
            </w:r>
          </w:p>
        </w:tc>
        <w:tc>
          <w:tcPr>
            <w:tcW w:w="1210" w:type="dxa"/>
            <w:vAlign w:val="center"/>
          </w:tcPr>
          <w:p>
            <w:pPr>
              <w:widowControl/>
              <w:jc w:val="center"/>
              <w:rPr>
                <w:rFonts w:ascii="宋体" w:hAnsi="宋体"/>
                <w:b/>
                <w:bCs/>
                <w:color w:val="000000"/>
                <w:kern w:val="0"/>
                <w:szCs w:val="21"/>
              </w:rPr>
            </w:pPr>
            <w:r>
              <w:rPr>
                <w:rFonts w:hint="eastAsia" w:ascii="宋体" w:hAnsi="宋体"/>
                <w:b/>
                <w:bCs/>
                <w:color w:val="000000"/>
                <w:kern w:val="0"/>
                <w:szCs w:val="21"/>
              </w:rPr>
              <w:t>服务类别</w:t>
            </w:r>
          </w:p>
        </w:tc>
        <w:tc>
          <w:tcPr>
            <w:tcW w:w="1920" w:type="dxa"/>
            <w:vAlign w:val="center"/>
          </w:tcPr>
          <w:p>
            <w:pPr>
              <w:widowControl/>
              <w:jc w:val="center"/>
              <w:rPr>
                <w:rFonts w:ascii="宋体" w:hAnsi="宋体"/>
                <w:b/>
                <w:bCs/>
                <w:color w:val="000000"/>
                <w:kern w:val="0"/>
                <w:szCs w:val="21"/>
              </w:rPr>
            </w:pPr>
            <w:r>
              <w:rPr>
                <w:rFonts w:hint="eastAsia" w:ascii="宋体" w:hAnsi="宋体"/>
                <w:b/>
                <w:bCs/>
                <w:color w:val="000000"/>
                <w:kern w:val="0"/>
                <w:szCs w:val="21"/>
              </w:rPr>
              <w:t>服务名称</w:t>
            </w:r>
          </w:p>
        </w:tc>
        <w:tc>
          <w:tcPr>
            <w:tcW w:w="3881" w:type="dxa"/>
            <w:vAlign w:val="center"/>
          </w:tcPr>
          <w:p>
            <w:pPr>
              <w:widowControl/>
              <w:jc w:val="center"/>
              <w:rPr>
                <w:rFonts w:ascii="宋体" w:hAnsi="宋体"/>
                <w:b/>
                <w:bCs/>
                <w:color w:val="000000"/>
                <w:kern w:val="0"/>
                <w:szCs w:val="21"/>
              </w:rPr>
            </w:pPr>
            <w:r>
              <w:rPr>
                <w:rFonts w:hint="eastAsia" w:ascii="宋体" w:hAnsi="宋体"/>
                <w:b/>
                <w:bCs/>
                <w:color w:val="000000"/>
                <w:kern w:val="0"/>
                <w:szCs w:val="21"/>
              </w:rPr>
              <w:t>服务内容</w:t>
            </w:r>
          </w:p>
        </w:tc>
        <w:tc>
          <w:tcPr>
            <w:tcW w:w="1264" w:type="dxa"/>
            <w:vAlign w:val="center"/>
          </w:tcPr>
          <w:p>
            <w:pPr>
              <w:widowControl/>
              <w:jc w:val="center"/>
              <w:rPr>
                <w:rFonts w:ascii="宋体" w:hAnsi="宋体"/>
                <w:b/>
                <w:bCs/>
                <w:color w:val="000000"/>
                <w:kern w:val="0"/>
                <w:szCs w:val="21"/>
              </w:rPr>
            </w:pPr>
            <w:r>
              <w:rPr>
                <w:rFonts w:hint="eastAsia" w:ascii="宋体" w:hAnsi="宋体"/>
                <w:b/>
                <w:bCs/>
                <w:color w:val="000000"/>
                <w:kern w:val="0"/>
                <w:szCs w:val="21"/>
              </w:rPr>
              <w:t>服务周期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2" w:hRule="exact"/>
          <w:jc w:val="center"/>
        </w:trPr>
        <w:tc>
          <w:tcPr>
            <w:tcW w:w="870" w:type="dxa"/>
            <w:vAlign w:val="center"/>
          </w:tcPr>
          <w:p>
            <w:pPr>
              <w:widowControl/>
              <w:jc w:val="left"/>
              <w:rPr>
                <w:rFonts w:ascii="宋体" w:hAnsi="宋体"/>
                <w:color w:val="000000"/>
                <w:kern w:val="0"/>
                <w:szCs w:val="21"/>
              </w:rPr>
            </w:pPr>
            <w:r>
              <w:rPr>
                <w:rFonts w:hint="eastAsia" w:ascii="宋体" w:hAnsi="宋体"/>
                <w:color w:val="000000"/>
                <w:kern w:val="0"/>
                <w:szCs w:val="21"/>
              </w:rPr>
              <w:t>1</w:t>
            </w:r>
          </w:p>
        </w:tc>
        <w:tc>
          <w:tcPr>
            <w:tcW w:w="1210" w:type="dxa"/>
            <w:vMerge w:val="restart"/>
            <w:vAlign w:val="center"/>
          </w:tcPr>
          <w:p>
            <w:pPr>
              <w:widowControl/>
              <w:jc w:val="left"/>
              <w:rPr>
                <w:rFonts w:ascii="宋体" w:hAnsi="宋体"/>
                <w:color w:val="000000"/>
                <w:kern w:val="0"/>
                <w:szCs w:val="21"/>
              </w:rPr>
            </w:pPr>
            <w:r>
              <w:rPr>
                <w:rFonts w:hint="eastAsia" w:ascii="宋体" w:hAnsi="宋体"/>
                <w:color w:val="000000"/>
                <w:kern w:val="0"/>
                <w:szCs w:val="21"/>
              </w:rPr>
              <w:t>安全运维服务</w:t>
            </w:r>
          </w:p>
        </w:tc>
        <w:tc>
          <w:tcPr>
            <w:tcW w:w="1920" w:type="dxa"/>
            <w:vAlign w:val="center"/>
          </w:tcPr>
          <w:p>
            <w:pPr>
              <w:widowControl/>
              <w:jc w:val="left"/>
              <w:rPr>
                <w:rFonts w:ascii="宋体" w:hAnsi="宋体"/>
                <w:color w:val="000000"/>
                <w:kern w:val="0"/>
                <w:szCs w:val="21"/>
              </w:rPr>
            </w:pPr>
            <w:r>
              <w:rPr>
                <w:rFonts w:hint="eastAsia" w:ascii="宋体" w:hAnsi="宋体"/>
                <w:color w:val="000000"/>
                <w:kern w:val="0"/>
                <w:szCs w:val="21"/>
              </w:rPr>
              <w:t>网站及业务系统安全监测服务</w:t>
            </w:r>
          </w:p>
        </w:tc>
        <w:tc>
          <w:tcPr>
            <w:tcW w:w="3881" w:type="dxa"/>
            <w:vAlign w:val="center"/>
          </w:tcPr>
          <w:p>
            <w:pPr>
              <w:widowControl/>
              <w:jc w:val="left"/>
              <w:rPr>
                <w:rFonts w:ascii="宋体" w:hAnsi="宋体"/>
                <w:color w:val="000000"/>
                <w:kern w:val="0"/>
                <w:szCs w:val="21"/>
              </w:rPr>
            </w:pPr>
            <w:r>
              <w:rPr>
                <w:rFonts w:hint="eastAsia" w:ascii="宋体" w:hAnsi="宋体"/>
                <w:color w:val="000000"/>
                <w:kern w:val="0"/>
                <w:szCs w:val="21"/>
              </w:rPr>
              <w:t>1远程网页木马监测2.网页敏感内容监测3.网页篡改监测4.服务质量监测5.其他风险监测能力</w:t>
            </w:r>
          </w:p>
        </w:tc>
        <w:tc>
          <w:tcPr>
            <w:tcW w:w="1264" w:type="dxa"/>
            <w:vAlign w:val="center"/>
          </w:tcPr>
          <w:p>
            <w:pPr>
              <w:widowControl/>
              <w:jc w:val="left"/>
              <w:rPr>
                <w:rFonts w:ascii="宋体" w:hAnsi="宋体"/>
                <w:color w:val="000000"/>
                <w:kern w:val="0"/>
                <w:szCs w:val="21"/>
              </w:rPr>
            </w:pPr>
            <w:r>
              <w:rPr>
                <w:rFonts w:hint="eastAsia" w:ascii="宋体" w:hAnsi="宋体"/>
                <w:color w:val="000000"/>
                <w:kern w:val="0"/>
                <w:szCs w:val="21"/>
              </w:rPr>
              <w:t>7*</w:t>
            </w:r>
            <w:r>
              <w:rPr>
                <w:rFonts w:ascii="宋体" w:hAnsi="宋体"/>
                <w:color w:val="000000"/>
                <w:kern w:val="0"/>
                <w:szCs w:val="21"/>
              </w:rPr>
              <w:t>24</w:t>
            </w:r>
            <w:r>
              <w:rPr>
                <w:rFonts w:hint="eastAsia" w:ascii="宋体" w:hAnsi="宋体"/>
                <w:color w:val="000000"/>
                <w:kern w:val="0"/>
                <w:szCs w:val="21"/>
              </w:rPr>
              <w:t>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65" w:hRule="exact"/>
          <w:jc w:val="center"/>
        </w:trPr>
        <w:tc>
          <w:tcPr>
            <w:tcW w:w="870" w:type="dxa"/>
            <w:vAlign w:val="center"/>
          </w:tcPr>
          <w:p>
            <w:pPr>
              <w:widowControl/>
              <w:jc w:val="left"/>
              <w:rPr>
                <w:rFonts w:ascii="宋体" w:hAnsi="宋体"/>
                <w:color w:val="000000"/>
                <w:kern w:val="0"/>
                <w:szCs w:val="21"/>
              </w:rPr>
            </w:pPr>
            <w:r>
              <w:rPr>
                <w:rFonts w:hint="eastAsia" w:ascii="宋体" w:hAnsi="宋体"/>
                <w:color w:val="000000"/>
                <w:kern w:val="0"/>
                <w:szCs w:val="21"/>
              </w:rPr>
              <w:t>2</w:t>
            </w:r>
          </w:p>
        </w:tc>
        <w:tc>
          <w:tcPr>
            <w:tcW w:w="1210" w:type="dxa"/>
            <w:vMerge w:val="continue"/>
            <w:vAlign w:val="center"/>
          </w:tcPr>
          <w:p>
            <w:pPr>
              <w:widowControl/>
              <w:jc w:val="left"/>
              <w:rPr>
                <w:rFonts w:ascii="宋体" w:hAnsi="宋体"/>
                <w:color w:val="000000"/>
                <w:kern w:val="0"/>
                <w:szCs w:val="21"/>
              </w:rPr>
            </w:pPr>
          </w:p>
        </w:tc>
        <w:tc>
          <w:tcPr>
            <w:tcW w:w="1920" w:type="dxa"/>
            <w:vAlign w:val="center"/>
          </w:tcPr>
          <w:p>
            <w:pPr>
              <w:widowControl/>
              <w:jc w:val="left"/>
              <w:rPr>
                <w:rFonts w:ascii="宋体" w:hAnsi="宋体"/>
                <w:color w:val="000000"/>
                <w:kern w:val="0"/>
                <w:szCs w:val="21"/>
              </w:rPr>
            </w:pPr>
            <w:r>
              <w:rPr>
                <w:rFonts w:hint="eastAsia" w:ascii="宋体" w:hAnsi="宋体"/>
                <w:color w:val="000000"/>
                <w:kern w:val="0"/>
                <w:szCs w:val="21"/>
              </w:rPr>
              <w:t>信息系统漏洞扫描及安全加固服务</w:t>
            </w:r>
          </w:p>
        </w:tc>
        <w:tc>
          <w:tcPr>
            <w:tcW w:w="3881" w:type="dxa"/>
            <w:vAlign w:val="center"/>
          </w:tcPr>
          <w:p>
            <w:pPr>
              <w:widowControl/>
              <w:jc w:val="left"/>
              <w:rPr>
                <w:rFonts w:ascii="宋体" w:hAnsi="宋体"/>
                <w:color w:val="000000"/>
                <w:kern w:val="0"/>
                <w:szCs w:val="21"/>
              </w:rPr>
            </w:pPr>
            <w:r>
              <w:rPr>
                <w:rFonts w:ascii="宋体" w:hAnsi="宋体" w:cs="宋体"/>
                <w:color w:val="000000" w:themeColor="text1"/>
                <w14:textFill>
                  <w14:solidFill>
                    <w14:schemeClr w14:val="tx1"/>
                  </w14:solidFill>
                </w14:textFill>
              </w:rPr>
              <w:t>每</w:t>
            </w:r>
            <w:r>
              <w:rPr>
                <w:rFonts w:hint="eastAsia" w:ascii="宋体" w:hAnsi="宋体" w:cs="宋体"/>
                <w:color w:val="000000" w:themeColor="text1"/>
                <w14:textFill>
                  <w14:solidFill>
                    <w14:schemeClr w14:val="tx1"/>
                  </w14:solidFill>
                </w14:textFill>
              </w:rPr>
              <w:t>月</w:t>
            </w:r>
            <w:r>
              <w:rPr>
                <w:rFonts w:ascii="宋体" w:hAnsi="宋体" w:cs="宋体"/>
                <w:color w:val="000000" w:themeColor="text1"/>
                <w14:textFill>
                  <w14:solidFill>
                    <w14:schemeClr w14:val="tx1"/>
                  </w14:solidFill>
                </w14:textFill>
              </w:rPr>
              <w:t>提供</w:t>
            </w:r>
            <w:r>
              <w:rPr>
                <w:rFonts w:hint="eastAsia" w:ascii="宋体" w:hAnsi="宋体" w:cs="宋体"/>
                <w:color w:val="000000" w:themeColor="text1"/>
                <w14:textFill>
                  <w14:solidFill>
                    <w14:schemeClr w14:val="tx1"/>
                  </w14:solidFill>
                </w14:textFill>
              </w:rPr>
              <w:t>现</w:t>
            </w:r>
            <w:r>
              <w:rPr>
                <w:rFonts w:hint="eastAsia" w:ascii="宋体" w:hAnsi="宋体" w:cs="宋体"/>
                <w:color w:val="000000"/>
              </w:rPr>
              <w:t>场的脆弱性扫描评估，针对</w:t>
            </w:r>
            <w:r>
              <w:rPr>
                <w:rFonts w:ascii="宋体" w:hAnsi="宋体" w:cs="宋体"/>
                <w:color w:val="000000"/>
              </w:rPr>
              <w:t>应用系统、</w:t>
            </w:r>
            <w:r>
              <w:rPr>
                <w:rFonts w:hint="eastAsia" w:ascii="宋体" w:hAnsi="宋体" w:cs="宋体"/>
                <w:color w:val="000000"/>
              </w:rPr>
              <w:t>操作</w:t>
            </w:r>
            <w:r>
              <w:rPr>
                <w:rFonts w:ascii="宋体" w:hAnsi="宋体" w:cs="宋体"/>
                <w:color w:val="000000"/>
              </w:rPr>
              <w:t>系统、</w:t>
            </w:r>
            <w:r>
              <w:rPr>
                <w:rFonts w:hint="eastAsia" w:ascii="宋体" w:hAnsi="宋体" w:cs="宋体"/>
                <w:color w:val="000000"/>
              </w:rPr>
              <w:t>网络</w:t>
            </w:r>
            <w:r>
              <w:rPr>
                <w:rFonts w:ascii="宋体" w:hAnsi="宋体" w:cs="宋体"/>
                <w:color w:val="000000"/>
              </w:rPr>
              <w:t>环境进行扫描</w:t>
            </w:r>
            <w:r>
              <w:rPr>
                <w:rFonts w:hint="eastAsia" w:ascii="宋体" w:hAnsi="宋体" w:cs="宋体"/>
                <w:color w:val="000000"/>
              </w:rPr>
              <w:t>，并对扫描服务发现的漏洞进行</w:t>
            </w:r>
            <w:r>
              <w:rPr>
                <w:rFonts w:ascii="宋体" w:hAnsi="宋体" w:cs="宋体"/>
                <w:color w:val="000000"/>
              </w:rPr>
              <w:t>梳理分析，</w:t>
            </w:r>
            <w:r>
              <w:rPr>
                <w:rFonts w:hint="eastAsia" w:ascii="宋体" w:hAnsi="宋体" w:cs="宋体"/>
                <w:color w:val="000000"/>
              </w:rPr>
              <w:t>要求能够提供专业有效的解决建议，同时并能够配合进行整改，直至漏洞完成修复。</w:t>
            </w:r>
          </w:p>
        </w:tc>
        <w:tc>
          <w:tcPr>
            <w:tcW w:w="1264" w:type="dxa"/>
            <w:vAlign w:val="center"/>
          </w:tcPr>
          <w:p>
            <w:pPr>
              <w:widowControl/>
              <w:jc w:val="left"/>
              <w:rPr>
                <w:rFonts w:ascii="宋体" w:hAnsi="宋体"/>
                <w:color w:val="000000"/>
                <w:kern w:val="0"/>
                <w:szCs w:val="21"/>
              </w:rPr>
            </w:pPr>
            <w:r>
              <w:rPr>
                <w:rFonts w:hint="eastAsia" w:ascii="宋体" w:hAnsi="宋体"/>
                <w:color w:val="000000"/>
                <w:kern w:val="0"/>
                <w:szCs w:val="21"/>
              </w:rPr>
              <w:t>每月一次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82" w:hRule="exact"/>
          <w:jc w:val="center"/>
        </w:trPr>
        <w:tc>
          <w:tcPr>
            <w:tcW w:w="870" w:type="dxa"/>
            <w:vAlign w:val="center"/>
          </w:tcPr>
          <w:p>
            <w:pPr>
              <w:widowControl/>
              <w:jc w:val="left"/>
              <w:rPr>
                <w:rFonts w:ascii="宋体" w:hAnsi="宋体"/>
                <w:color w:val="000000"/>
                <w:kern w:val="0"/>
                <w:szCs w:val="21"/>
              </w:rPr>
            </w:pPr>
            <w:r>
              <w:rPr>
                <w:rFonts w:hint="eastAsia" w:ascii="宋体" w:hAnsi="宋体"/>
                <w:color w:val="000000"/>
                <w:kern w:val="0"/>
                <w:szCs w:val="21"/>
              </w:rPr>
              <w:t>3</w:t>
            </w:r>
          </w:p>
        </w:tc>
        <w:tc>
          <w:tcPr>
            <w:tcW w:w="1210" w:type="dxa"/>
            <w:vMerge w:val="continue"/>
            <w:vAlign w:val="center"/>
          </w:tcPr>
          <w:p>
            <w:pPr>
              <w:widowControl/>
              <w:jc w:val="left"/>
              <w:rPr>
                <w:rFonts w:ascii="宋体" w:hAnsi="宋体"/>
                <w:color w:val="000000"/>
                <w:kern w:val="0"/>
                <w:szCs w:val="21"/>
              </w:rPr>
            </w:pPr>
          </w:p>
        </w:tc>
        <w:tc>
          <w:tcPr>
            <w:tcW w:w="1920" w:type="dxa"/>
            <w:vAlign w:val="center"/>
          </w:tcPr>
          <w:p>
            <w:pPr>
              <w:widowControl/>
              <w:jc w:val="left"/>
              <w:rPr>
                <w:rFonts w:hint="eastAsia" w:ascii="宋体" w:hAnsi="宋体" w:eastAsia="宋体"/>
                <w:color w:val="000000"/>
                <w:kern w:val="0"/>
                <w:szCs w:val="21"/>
                <w:lang w:eastAsia="zh-CN"/>
              </w:rPr>
            </w:pPr>
            <w:r>
              <w:rPr>
                <w:rFonts w:hint="eastAsia" w:ascii="宋体" w:hAnsi="宋体"/>
                <w:color w:val="000000"/>
                <w:kern w:val="0"/>
                <w:szCs w:val="21"/>
              </w:rPr>
              <w:t>安全巡检</w:t>
            </w:r>
            <w:r>
              <w:rPr>
                <w:rFonts w:hint="eastAsia" w:ascii="宋体" w:hAnsi="宋体"/>
                <w:color w:val="000000"/>
                <w:kern w:val="0"/>
                <w:szCs w:val="21"/>
                <w:lang w:eastAsia="zh-CN"/>
              </w:rPr>
              <w:t>服务</w:t>
            </w:r>
          </w:p>
        </w:tc>
        <w:tc>
          <w:tcPr>
            <w:tcW w:w="3881" w:type="dxa"/>
            <w:vAlign w:val="center"/>
          </w:tcPr>
          <w:p>
            <w:pPr>
              <w:pStyle w:val="5"/>
              <w:spacing w:before="100" w:beforeAutospacing="1" w:after="100" w:afterAutospacing="1" w:line="240" w:lineRule="auto"/>
              <w:rPr>
                <w:rFonts w:ascii="宋体" w:hAnsi="宋体" w:cs="宋体"/>
                <w:color w:val="000000"/>
              </w:rPr>
            </w:pPr>
            <w:r>
              <w:rPr>
                <w:rFonts w:ascii="宋体" w:hAnsi="宋体" w:cs="宋体"/>
                <w:color w:val="000000"/>
              </w:rPr>
              <w:t>每月对信息系统中包括网络设备、主机设备、安全设备进行一次全面地安全巡检，主要内容包括</w:t>
            </w:r>
            <w:r>
              <w:rPr>
                <w:rFonts w:hint="eastAsia" w:ascii="宋体" w:hAnsi="宋体" w:cs="宋体"/>
                <w:color w:val="000000"/>
              </w:rPr>
              <w:t>漏洞</w:t>
            </w:r>
            <w:r>
              <w:rPr>
                <w:rFonts w:ascii="宋体" w:hAnsi="宋体" w:cs="宋体"/>
                <w:color w:val="000000"/>
              </w:rPr>
              <w:t>审查</w:t>
            </w:r>
            <w:r>
              <w:rPr>
                <w:rFonts w:hint="eastAsia" w:ascii="宋体" w:hAnsi="宋体" w:cs="宋体"/>
                <w:color w:val="000000"/>
              </w:rPr>
              <w:t>、策略</w:t>
            </w:r>
            <w:r>
              <w:rPr>
                <w:rFonts w:ascii="宋体" w:hAnsi="宋体" w:cs="宋体"/>
                <w:color w:val="000000"/>
              </w:rPr>
              <w:t>检查、日志审计等</w:t>
            </w:r>
            <w:r>
              <w:rPr>
                <w:rFonts w:hint="eastAsia" w:ascii="宋体" w:hAnsi="宋体" w:cs="宋体"/>
                <w:color w:val="000000"/>
              </w:rPr>
              <w:t>，如有异常情况，及时与项目接口人沟通，提供</w:t>
            </w:r>
            <w:r>
              <w:rPr>
                <w:rFonts w:ascii="宋体" w:hAnsi="宋体" w:cs="宋体"/>
                <w:color w:val="000000"/>
              </w:rPr>
              <w:t>安全咨询</w:t>
            </w:r>
            <w:r>
              <w:rPr>
                <w:rFonts w:hint="eastAsia" w:ascii="宋体" w:hAnsi="宋体" w:cs="宋体"/>
                <w:color w:val="000000"/>
              </w:rPr>
              <w:t>的</w:t>
            </w:r>
            <w:r>
              <w:rPr>
                <w:rFonts w:ascii="宋体" w:hAnsi="宋体" w:cs="宋体"/>
                <w:color w:val="000000"/>
              </w:rPr>
              <w:t>建议</w:t>
            </w:r>
            <w:r>
              <w:rPr>
                <w:rFonts w:hint="eastAsia" w:ascii="宋体" w:hAnsi="宋体" w:cs="宋体"/>
                <w:color w:val="000000"/>
              </w:rPr>
              <w:t>。</w:t>
            </w:r>
          </w:p>
          <w:p>
            <w:pPr>
              <w:widowControl/>
              <w:jc w:val="left"/>
              <w:rPr>
                <w:rFonts w:ascii="宋体" w:hAnsi="宋体"/>
                <w:color w:val="000000"/>
                <w:kern w:val="0"/>
                <w:szCs w:val="21"/>
              </w:rPr>
            </w:pPr>
          </w:p>
        </w:tc>
        <w:tc>
          <w:tcPr>
            <w:tcW w:w="1264" w:type="dxa"/>
            <w:vAlign w:val="center"/>
          </w:tcPr>
          <w:p>
            <w:pPr>
              <w:widowControl/>
              <w:jc w:val="left"/>
              <w:rPr>
                <w:rFonts w:ascii="宋体" w:hAnsi="宋体"/>
                <w:color w:val="000000"/>
                <w:kern w:val="0"/>
                <w:szCs w:val="21"/>
              </w:rPr>
            </w:pPr>
            <w:r>
              <w:rPr>
                <w:rFonts w:hint="eastAsia" w:ascii="宋体" w:hAnsi="宋体"/>
                <w:color w:val="000000"/>
                <w:kern w:val="0"/>
                <w:szCs w:val="21"/>
              </w:rPr>
              <w:t>每月一次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7" w:hRule="exact"/>
          <w:jc w:val="center"/>
        </w:trPr>
        <w:tc>
          <w:tcPr>
            <w:tcW w:w="870" w:type="dxa"/>
            <w:vAlign w:val="center"/>
          </w:tcPr>
          <w:p>
            <w:pPr>
              <w:widowControl/>
              <w:jc w:val="left"/>
              <w:rPr>
                <w:rFonts w:ascii="宋体" w:hAnsi="宋体"/>
                <w:color w:val="000000"/>
                <w:kern w:val="0"/>
                <w:szCs w:val="21"/>
              </w:rPr>
            </w:pPr>
            <w:r>
              <w:rPr>
                <w:rFonts w:hint="eastAsia" w:ascii="宋体" w:hAnsi="宋体"/>
                <w:color w:val="000000"/>
                <w:kern w:val="0"/>
                <w:szCs w:val="21"/>
              </w:rPr>
              <w:t>4</w:t>
            </w:r>
          </w:p>
        </w:tc>
        <w:tc>
          <w:tcPr>
            <w:tcW w:w="1210" w:type="dxa"/>
            <w:vMerge w:val="continue"/>
            <w:vAlign w:val="center"/>
          </w:tcPr>
          <w:p>
            <w:pPr>
              <w:widowControl/>
              <w:jc w:val="left"/>
              <w:rPr>
                <w:rFonts w:ascii="宋体" w:hAnsi="宋体"/>
                <w:color w:val="000000"/>
                <w:kern w:val="0"/>
                <w:szCs w:val="21"/>
              </w:rPr>
            </w:pPr>
          </w:p>
        </w:tc>
        <w:tc>
          <w:tcPr>
            <w:tcW w:w="1920" w:type="dxa"/>
            <w:vAlign w:val="center"/>
          </w:tcPr>
          <w:p>
            <w:pPr>
              <w:widowControl/>
              <w:jc w:val="left"/>
              <w:rPr>
                <w:rFonts w:ascii="宋体" w:hAnsi="宋体"/>
                <w:color w:val="000000"/>
                <w:kern w:val="0"/>
                <w:szCs w:val="21"/>
              </w:rPr>
            </w:pPr>
            <w:r>
              <w:rPr>
                <w:rFonts w:hint="eastAsia" w:ascii="宋体" w:hAnsi="宋体"/>
                <w:color w:val="000000"/>
                <w:kern w:val="0"/>
                <w:szCs w:val="21"/>
              </w:rPr>
              <w:t>安全报表服务</w:t>
            </w:r>
          </w:p>
        </w:tc>
        <w:tc>
          <w:tcPr>
            <w:tcW w:w="3881" w:type="dxa"/>
            <w:vAlign w:val="center"/>
          </w:tcPr>
          <w:p>
            <w:pPr>
              <w:rPr>
                <w:rFonts w:ascii="宋体" w:hAnsi="宋体" w:cs="宋体"/>
                <w:color w:val="000000"/>
                <w:szCs w:val="21"/>
              </w:rPr>
            </w:pPr>
            <w:r>
              <w:rPr>
                <w:rFonts w:ascii="宋体" w:hAnsi="宋体" w:cs="宋体"/>
                <w:color w:val="000000"/>
                <w:szCs w:val="21"/>
              </w:rPr>
              <w:t>每</w:t>
            </w:r>
            <w:r>
              <w:rPr>
                <w:rFonts w:hint="eastAsia" w:ascii="宋体" w:hAnsi="宋体" w:cs="宋体"/>
                <w:color w:val="000000"/>
                <w:szCs w:val="21"/>
              </w:rPr>
              <w:t>月</w:t>
            </w:r>
            <w:r>
              <w:rPr>
                <w:rFonts w:ascii="宋体" w:hAnsi="宋体" w:cs="宋体"/>
                <w:color w:val="000000"/>
                <w:szCs w:val="21"/>
              </w:rPr>
              <w:t>将</w:t>
            </w:r>
            <w:r>
              <w:rPr>
                <w:rFonts w:hint="eastAsia" w:ascii="宋体" w:hAnsi="宋体" w:cs="宋体"/>
                <w:color w:val="000000"/>
                <w:szCs w:val="21"/>
              </w:rPr>
              <w:t>监测</w:t>
            </w:r>
            <w:r>
              <w:rPr>
                <w:rFonts w:ascii="宋体" w:hAnsi="宋体" w:cs="宋体"/>
                <w:color w:val="000000"/>
                <w:szCs w:val="21"/>
              </w:rPr>
              <w:t>、</w:t>
            </w:r>
            <w:r>
              <w:rPr>
                <w:rFonts w:hint="eastAsia" w:ascii="宋体" w:hAnsi="宋体" w:cs="宋体"/>
                <w:color w:val="000000"/>
                <w:szCs w:val="21"/>
              </w:rPr>
              <w:t>巡检</w:t>
            </w:r>
            <w:r>
              <w:rPr>
                <w:rFonts w:ascii="宋体" w:hAnsi="宋体" w:cs="宋体"/>
                <w:color w:val="000000"/>
                <w:szCs w:val="21"/>
              </w:rPr>
              <w:t>、</w:t>
            </w:r>
            <w:r>
              <w:rPr>
                <w:rFonts w:hint="eastAsia" w:ascii="宋体" w:hAnsi="宋体" w:cs="宋体"/>
                <w:color w:val="000000"/>
                <w:szCs w:val="21"/>
              </w:rPr>
              <w:t>扫描结果分析和形成的评估结论，汇总</w:t>
            </w:r>
            <w:r>
              <w:rPr>
                <w:rFonts w:ascii="宋体" w:hAnsi="宋体" w:cs="宋体"/>
                <w:color w:val="000000"/>
                <w:szCs w:val="21"/>
              </w:rPr>
              <w:t>信息安全</w:t>
            </w:r>
            <w:r>
              <w:rPr>
                <w:rFonts w:hint="eastAsia" w:ascii="宋体" w:hAnsi="宋体" w:cs="宋体"/>
                <w:color w:val="000000"/>
                <w:szCs w:val="21"/>
              </w:rPr>
              <w:t>报告，并根据现状与要求之间的差距，分析系统存在的问题，提出改进建议。</w:t>
            </w:r>
          </w:p>
          <w:p>
            <w:pPr>
              <w:widowControl/>
              <w:jc w:val="left"/>
              <w:rPr>
                <w:rFonts w:ascii="宋体" w:hAnsi="宋体"/>
                <w:color w:val="000000"/>
                <w:kern w:val="0"/>
                <w:szCs w:val="21"/>
              </w:rPr>
            </w:pPr>
          </w:p>
        </w:tc>
        <w:tc>
          <w:tcPr>
            <w:tcW w:w="1264" w:type="dxa"/>
            <w:vAlign w:val="center"/>
          </w:tcPr>
          <w:p>
            <w:pPr>
              <w:widowControl/>
              <w:jc w:val="left"/>
              <w:rPr>
                <w:rFonts w:ascii="宋体" w:hAnsi="宋体"/>
                <w:color w:val="000000"/>
                <w:kern w:val="0"/>
                <w:szCs w:val="21"/>
              </w:rPr>
            </w:pPr>
            <w:r>
              <w:rPr>
                <w:rFonts w:hint="eastAsia" w:ascii="宋体" w:hAnsi="宋体"/>
                <w:color w:val="000000"/>
                <w:kern w:val="0"/>
                <w:szCs w:val="21"/>
              </w:rPr>
              <w:t>每月一次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42" w:hRule="exact"/>
          <w:jc w:val="center"/>
        </w:trPr>
        <w:tc>
          <w:tcPr>
            <w:tcW w:w="870" w:type="dxa"/>
            <w:vAlign w:val="center"/>
          </w:tcPr>
          <w:p>
            <w:pPr>
              <w:widowControl/>
              <w:jc w:val="left"/>
              <w:rPr>
                <w:rFonts w:ascii="宋体" w:hAnsi="宋体"/>
                <w:color w:val="000000"/>
                <w:kern w:val="0"/>
                <w:szCs w:val="21"/>
              </w:rPr>
            </w:pPr>
            <w:r>
              <w:rPr>
                <w:rFonts w:hint="eastAsia" w:ascii="宋体" w:hAnsi="宋体"/>
                <w:color w:val="000000"/>
                <w:kern w:val="0"/>
                <w:szCs w:val="21"/>
              </w:rPr>
              <w:t>5</w:t>
            </w:r>
          </w:p>
        </w:tc>
        <w:tc>
          <w:tcPr>
            <w:tcW w:w="1210" w:type="dxa"/>
            <w:vMerge w:val="restart"/>
            <w:vAlign w:val="center"/>
          </w:tcPr>
          <w:p>
            <w:pPr>
              <w:widowControl/>
              <w:jc w:val="left"/>
              <w:rPr>
                <w:rFonts w:ascii="宋体" w:hAnsi="宋体"/>
                <w:color w:val="000000"/>
                <w:kern w:val="0"/>
                <w:szCs w:val="21"/>
              </w:rPr>
            </w:pPr>
            <w:r>
              <w:rPr>
                <w:rFonts w:hint="eastAsia" w:ascii="宋体" w:hAnsi="宋体"/>
                <w:color w:val="000000"/>
                <w:kern w:val="0"/>
                <w:szCs w:val="21"/>
              </w:rPr>
              <w:t>安全评估服务</w:t>
            </w:r>
          </w:p>
        </w:tc>
        <w:tc>
          <w:tcPr>
            <w:tcW w:w="1920" w:type="dxa"/>
            <w:vAlign w:val="center"/>
          </w:tcPr>
          <w:p>
            <w:pPr>
              <w:widowControl/>
              <w:jc w:val="left"/>
              <w:rPr>
                <w:rFonts w:ascii="宋体" w:hAnsi="宋体"/>
                <w:color w:val="000000"/>
                <w:kern w:val="0"/>
                <w:szCs w:val="21"/>
              </w:rPr>
            </w:pPr>
            <w:r>
              <w:rPr>
                <w:rFonts w:hint="eastAsia" w:ascii="宋体" w:hAnsi="宋体"/>
                <w:color w:val="000000"/>
                <w:kern w:val="0"/>
                <w:szCs w:val="21"/>
              </w:rPr>
              <w:t>信息系统资产详细调研服务</w:t>
            </w:r>
          </w:p>
        </w:tc>
        <w:tc>
          <w:tcPr>
            <w:tcW w:w="3881" w:type="dxa"/>
            <w:vAlign w:val="center"/>
          </w:tcPr>
          <w:p>
            <w:pPr>
              <w:pStyle w:val="5"/>
              <w:spacing w:before="100" w:beforeAutospacing="1" w:after="100" w:afterAutospacing="1" w:line="240" w:lineRule="auto"/>
              <w:outlineLvl w:val="1"/>
              <w:rPr>
                <w:rFonts w:ascii="宋体" w:hAnsi="宋体" w:cs="宋体"/>
                <w:color w:val="000000"/>
              </w:rPr>
            </w:pPr>
            <w:r>
              <w:rPr>
                <w:rFonts w:hint="eastAsia" w:ascii="宋体" w:hAnsi="宋体" w:cs="宋体"/>
                <w:color w:val="000000"/>
              </w:rPr>
              <w:t>本项目要求在项目服务初期，对项目涉及的信息系统资产进行一次详细梳理，形成《信息系统信息汇总表》。信息系统调研信息汇总表作为其他服务项目的参考资料，应包括信息系统名称、I</w:t>
            </w:r>
            <w:r>
              <w:rPr>
                <w:rFonts w:ascii="宋体" w:hAnsi="宋体" w:cs="宋体"/>
                <w:color w:val="000000"/>
              </w:rPr>
              <w:t>P</w:t>
            </w:r>
            <w:r>
              <w:rPr>
                <w:rFonts w:hint="eastAsia" w:ascii="宋体" w:hAnsi="宋体" w:cs="宋体"/>
                <w:color w:val="000000"/>
              </w:rPr>
              <w:t>地址、主机操作系统、数据库软件、网络设备固件、开发/维保联系人等信息。</w:t>
            </w:r>
          </w:p>
          <w:p>
            <w:pPr>
              <w:widowControl/>
              <w:jc w:val="left"/>
              <w:rPr>
                <w:rFonts w:ascii="宋体" w:hAnsi="宋体"/>
                <w:color w:val="000000"/>
                <w:kern w:val="0"/>
                <w:szCs w:val="21"/>
              </w:rPr>
            </w:pPr>
          </w:p>
        </w:tc>
        <w:tc>
          <w:tcPr>
            <w:tcW w:w="1264" w:type="dxa"/>
            <w:vAlign w:val="center"/>
          </w:tcPr>
          <w:p>
            <w:pPr>
              <w:widowControl/>
              <w:jc w:val="left"/>
              <w:rPr>
                <w:rFonts w:ascii="宋体" w:hAnsi="宋体"/>
                <w:color w:val="000000"/>
                <w:kern w:val="0"/>
                <w:szCs w:val="21"/>
              </w:rPr>
            </w:pPr>
            <w:r>
              <w:rPr>
                <w:rFonts w:hint="eastAsia" w:ascii="宋体" w:hAnsi="宋体"/>
                <w:color w:val="000000"/>
                <w:kern w:val="0"/>
                <w:szCs w:val="21"/>
              </w:rPr>
              <w:t>每年一次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87" w:hRule="exact"/>
          <w:jc w:val="center"/>
        </w:trPr>
        <w:tc>
          <w:tcPr>
            <w:tcW w:w="870" w:type="dxa"/>
            <w:vAlign w:val="center"/>
          </w:tcPr>
          <w:p>
            <w:pPr>
              <w:widowControl/>
              <w:jc w:val="left"/>
              <w:rPr>
                <w:rFonts w:ascii="宋体" w:hAnsi="宋体"/>
                <w:color w:val="000000"/>
                <w:kern w:val="0"/>
                <w:szCs w:val="21"/>
              </w:rPr>
            </w:pPr>
            <w:r>
              <w:rPr>
                <w:rFonts w:hint="eastAsia" w:ascii="宋体" w:hAnsi="宋体"/>
                <w:color w:val="000000"/>
                <w:kern w:val="0"/>
                <w:szCs w:val="21"/>
              </w:rPr>
              <w:t>6</w:t>
            </w:r>
          </w:p>
        </w:tc>
        <w:tc>
          <w:tcPr>
            <w:tcW w:w="1210" w:type="dxa"/>
            <w:vMerge w:val="continue"/>
            <w:vAlign w:val="center"/>
          </w:tcPr>
          <w:p>
            <w:pPr>
              <w:widowControl/>
              <w:jc w:val="left"/>
              <w:rPr>
                <w:rFonts w:ascii="宋体" w:hAnsi="宋体"/>
                <w:color w:val="000000"/>
                <w:kern w:val="0"/>
                <w:szCs w:val="21"/>
              </w:rPr>
            </w:pPr>
          </w:p>
        </w:tc>
        <w:tc>
          <w:tcPr>
            <w:tcW w:w="1920" w:type="dxa"/>
            <w:vAlign w:val="center"/>
          </w:tcPr>
          <w:p>
            <w:pPr>
              <w:widowControl/>
              <w:jc w:val="left"/>
              <w:rPr>
                <w:rFonts w:ascii="宋体" w:hAnsi="宋体"/>
                <w:color w:val="000000"/>
                <w:kern w:val="0"/>
                <w:szCs w:val="21"/>
              </w:rPr>
            </w:pPr>
            <w:r>
              <w:rPr>
                <w:rFonts w:hint="eastAsia" w:ascii="宋体" w:hAnsi="宋体"/>
                <w:color w:val="000000"/>
                <w:kern w:val="0"/>
                <w:szCs w:val="21"/>
              </w:rPr>
              <w:t>信息系统安全配置核查</w:t>
            </w:r>
          </w:p>
        </w:tc>
        <w:tc>
          <w:tcPr>
            <w:tcW w:w="3881" w:type="dxa"/>
            <w:vAlign w:val="center"/>
          </w:tcPr>
          <w:p>
            <w:pPr>
              <w:widowControl/>
              <w:jc w:val="left"/>
              <w:rPr>
                <w:rFonts w:ascii="宋体" w:hAnsi="宋体"/>
                <w:color w:val="000000"/>
                <w:kern w:val="0"/>
                <w:szCs w:val="21"/>
              </w:rPr>
            </w:pPr>
            <w:r>
              <w:rPr>
                <w:rFonts w:hint="eastAsia" w:ascii="宋体" w:hAnsi="宋体" w:cs="宋体"/>
                <w:color w:val="000000"/>
              </w:rPr>
              <w:t>本项目要求对项目涉及的信息系统设备每年进行一次安全配置核查，针对网络设备、专用安全设备、服务器操作系统、数据库系统等，通过人工核查及工具核查相结合的方式，发现因策略配置不当导致的安全脆弱性。安全配置核查完毕后，应形成安全配置核查报告。</w:t>
            </w:r>
          </w:p>
        </w:tc>
        <w:tc>
          <w:tcPr>
            <w:tcW w:w="1264" w:type="dxa"/>
            <w:vAlign w:val="center"/>
          </w:tcPr>
          <w:p>
            <w:pPr>
              <w:widowControl/>
              <w:jc w:val="left"/>
              <w:rPr>
                <w:rFonts w:ascii="宋体" w:hAnsi="宋体"/>
                <w:color w:val="000000"/>
                <w:kern w:val="0"/>
                <w:szCs w:val="21"/>
              </w:rPr>
            </w:pPr>
            <w:r>
              <w:rPr>
                <w:rFonts w:hint="eastAsia" w:ascii="宋体" w:hAnsi="宋体"/>
                <w:color w:val="000000"/>
                <w:kern w:val="0"/>
                <w:szCs w:val="21"/>
              </w:rPr>
              <w:t>每年一次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07" w:hRule="exact"/>
          <w:jc w:val="center"/>
        </w:trPr>
        <w:tc>
          <w:tcPr>
            <w:tcW w:w="870" w:type="dxa"/>
            <w:vAlign w:val="center"/>
          </w:tcPr>
          <w:p>
            <w:pPr>
              <w:widowControl/>
              <w:jc w:val="left"/>
              <w:rPr>
                <w:rFonts w:ascii="宋体" w:hAnsi="宋体"/>
                <w:color w:val="000000"/>
                <w:kern w:val="0"/>
                <w:szCs w:val="21"/>
              </w:rPr>
            </w:pPr>
            <w:r>
              <w:rPr>
                <w:rFonts w:ascii="宋体" w:hAnsi="宋体"/>
                <w:color w:val="000000"/>
                <w:kern w:val="0"/>
                <w:szCs w:val="21"/>
              </w:rPr>
              <w:t>7</w:t>
            </w:r>
          </w:p>
        </w:tc>
        <w:tc>
          <w:tcPr>
            <w:tcW w:w="1210" w:type="dxa"/>
            <w:vMerge w:val="continue"/>
            <w:vAlign w:val="center"/>
          </w:tcPr>
          <w:p>
            <w:pPr>
              <w:widowControl/>
              <w:jc w:val="left"/>
              <w:rPr>
                <w:rFonts w:ascii="宋体" w:hAnsi="宋体"/>
                <w:color w:val="000000"/>
                <w:kern w:val="0"/>
                <w:szCs w:val="21"/>
              </w:rPr>
            </w:pPr>
          </w:p>
        </w:tc>
        <w:tc>
          <w:tcPr>
            <w:tcW w:w="1920" w:type="dxa"/>
            <w:vAlign w:val="center"/>
          </w:tcPr>
          <w:p>
            <w:pPr>
              <w:widowControl/>
              <w:jc w:val="left"/>
              <w:rPr>
                <w:rFonts w:ascii="宋体" w:hAnsi="宋体"/>
                <w:color w:val="000000"/>
                <w:kern w:val="0"/>
                <w:szCs w:val="21"/>
              </w:rPr>
            </w:pPr>
            <w:r>
              <w:rPr>
                <w:rFonts w:hint="eastAsia" w:ascii="宋体" w:hAnsi="宋体"/>
                <w:color w:val="000000"/>
                <w:kern w:val="0"/>
                <w:szCs w:val="21"/>
              </w:rPr>
              <w:t>整体风险评估服务</w:t>
            </w:r>
          </w:p>
        </w:tc>
        <w:tc>
          <w:tcPr>
            <w:tcW w:w="3881" w:type="dxa"/>
            <w:vAlign w:val="center"/>
          </w:tcPr>
          <w:p>
            <w:pPr>
              <w:widowControl/>
              <w:jc w:val="left"/>
              <w:rPr>
                <w:rFonts w:ascii="宋体" w:hAnsi="宋体"/>
                <w:color w:val="000000"/>
                <w:kern w:val="0"/>
                <w:szCs w:val="21"/>
              </w:rPr>
            </w:pPr>
            <w:r>
              <w:rPr>
                <w:rFonts w:hint="eastAsia" w:ascii="宋体" w:hAnsi="宋体" w:cs="宋体"/>
                <w:color w:val="000000"/>
              </w:rPr>
              <w:t>在本项目服务期限内，对全网信息系统进行整体风险评估。整体风险评估，应对浙江学院全网存在的问题作详细分析，并给出解决方案。在项目服务后期，形成风险评估报告。</w:t>
            </w:r>
          </w:p>
        </w:tc>
        <w:tc>
          <w:tcPr>
            <w:tcW w:w="1264" w:type="dxa"/>
            <w:vAlign w:val="center"/>
          </w:tcPr>
          <w:p>
            <w:pPr>
              <w:widowControl/>
              <w:jc w:val="left"/>
              <w:rPr>
                <w:rFonts w:ascii="宋体" w:hAnsi="宋体"/>
                <w:color w:val="000000"/>
                <w:kern w:val="0"/>
                <w:szCs w:val="21"/>
              </w:rPr>
            </w:pPr>
            <w:r>
              <w:rPr>
                <w:rFonts w:hint="eastAsia" w:ascii="宋体" w:hAnsi="宋体"/>
                <w:color w:val="000000"/>
                <w:kern w:val="0"/>
                <w:szCs w:val="21"/>
              </w:rPr>
              <w:t>每年一次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2" w:hRule="exact"/>
          <w:jc w:val="center"/>
        </w:trPr>
        <w:tc>
          <w:tcPr>
            <w:tcW w:w="870" w:type="dxa"/>
            <w:vAlign w:val="center"/>
          </w:tcPr>
          <w:p>
            <w:pPr>
              <w:widowControl/>
              <w:jc w:val="left"/>
              <w:rPr>
                <w:rFonts w:ascii="宋体" w:hAnsi="宋体"/>
                <w:color w:val="000000"/>
                <w:kern w:val="0"/>
                <w:szCs w:val="21"/>
              </w:rPr>
            </w:pPr>
            <w:r>
              <w:rPr>
                <w:rFonts w:ascii="宋体" w:hAnsi="宋体"/>
                <w:color w:val="000000"/>
                <w:kern w:val="0"/>
                <w:szCs w:val="21"/>
              </w:rPr>
              <w:t>8</w:t>
            </w:r>
          </w:p>
        </w:tc>
        <w:tc>
          <w:tcPr>
            <w:tcW w:w="1210" w:type="dxa"/>
            <w:vMerge w:val="continue"/>
            <w:vAlign w:val="center"/>
          </w:tcPr>
          <w:p>
            <w:pPr>
              <w:widowControl/>
              <w:jc w:val="left"/>
              <w:rPr>
                <w:rFonts w:ascii="宋体" w:hAnsi="宋体"/>
                <w:color w:val="000000"/>
                <w:kern w:val="0"/>
                <w:szCs w:val="21"/>
              </w:rPr>
            </w:pPr>
          </w:p>
        </w:tc>
        <w:tc>
          <w:tcPr>
            <w:tcW w:w="1920" w:type="dxa"/>
            <w:vAlign w:val="center"/>
          </w:tcPr>
          <w:p>
            <w:pPr>
              <w:widowControl/>
              <w:jc w:val="left"/>
              <w:rPr>
                <w:rFonts w:ascii="宋体" w:hAnsi="宋体"/>
                <w:color w:val="000000"/>
                <w:kern w:val="0"/>
                <w:szCs w:val="21"/>
              </w:rPr>
            </w:pPr>
            <w:r>
              <w:rPr>
                <w:rFonts w:hint="eastAsia" w:ascii="宋体" w:hAnsi="宋体"/>
                <w:color w:val="000000"/>
                <w:kern w:val="0"/>
                <w:szCs w:val="21"/>
              </w:rPr>
              <w:t>信息系统变更及上新安全评估服务</w:t>
            </w:r>
          </w:p>
        </w:tc>
        <w:tc>
          <w:tcPr>
            <w:tcW w:w="3881" w:type="dxa"/>
            <w:vAlign w:val="center"/>
          </w:tcPr>
          <w:p>
            <w:pPr>
              <w:rPr>
                <w:rFonts w:ascii="宋体" w:hAnsi="宋体" w:cs="宋体"/>
                <w:color w:val="000000"/>
              </w:rPr>
            </w:pPr>
            <w:r>
              <w:rPr>
                <w:rFonts w:hint="eastAsia" w:ascii="宋体" w:hAnsi="宋体" w:cs="宋体"/>
                <w:color w:val="000000"/>
              </w:rPr>
              <w:t>本项目服务期限内，要求对浙江工商职业技术学院所有变更后的信息系统以及新上线的信息系统进行安全评估。确保信息系统变更不会引进新的安全风险，确保新上线的信息系统不带病上线。</w:t>
            </w:r>
          </w:p>
          <w:p>
            <w:pPr>
              <w:widowControl/>
              <w:jc w:val="left"/>
              <w:rPr>
                <w:rFonts w:ascii="宋体" w:hAnsi="宋体"/>
                <w:color w:val="000000"/>
                <w:kern w:val="0"/>
                <w:szCs w:val="21"/>
              </w:rPr>
            </w:pPr>
          </w:p>
        </w:tc>
        <w:tc>
          <w:tcPr>
            <w:tcW w:w="1264" w:type="dxa"/>
            <w:vAlign w:val="center"/>
          </w:tcPr>
          <w:p>
            <w:pPr>
              <w:widowControl/>
              <w:jc w:val="left"/>
              <w:rPr>
                <w:rFonts w:ascii="宋体" w:hAnsi="宋体"/>
                <w:color w:val="000000"/>
                <w:kern w:val="0"/>
                <w:szCs w:val="21"/>
              </w:rPr>
            </w:pPr>
            <w:r>
              <w:rPr>
                <w:rFonts w:hint="eastAsia" w:ascii="宋体" w:hAnsi="宋体"/>
                <w:color w:val="000000"/>
                <w:kern w:val="0"/>
                <w:szCs w:val="21"/>
              </w:rPr>
              <w:t>全年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4" w:hRule="exact"/>
          <w:jc w:val="center"/>
        </w:trPr>
        <w:tc>
          <w:tcPr>
            <w:tcW w:w="870" w:type="dxa"/>
            <w:vAlign w:val="center"/>
          </w:tcPr>
          <w:p>
            <w:pPr>
              <w:widowControl/>
              <w:jc w:val="left"/>
              <w:rPr>
                <w:rFonts w:ascii="宋体" w:hAnsi="宋体"/>
                <w:color w:val="000000"/>
                <w:kern w:val="0"/>
                <w:szCs w:val="21"/>
              </w:rPr>
            </w:pPr>
            <w:r>
              <w:rPr>
                <w:rFonts w:ascii="宋体" w:hAnsi="宋体"/>
                <w:color w:val="000000"/>
                <w:kern w:val="0"/>
                <w:szCs w:val="21"/>
              </w:rPr>
              <w:t>9</w:t>
            </w:r>
          </w:p>
        </w:tc>
        <w:tc>
          <w:tcPr>
            <w:tcW w:w="1210" w:type="dxa"/>
            <w:vMerge w:val="continue"/>
            <w:vAlign w:val="center"/>
          </w:tcPr>
          <w:p>
            <w:pPr>
              <w:widowControl/>
              <w:jc w:val="left"/>
              <w:rPr>
                <w:rFonts w:ascii="宋体" w:hAnsi="宋体"/>
                <w:color w:val="000000"/>
                <w:kern w:val="0"/>
                <w:szCs w:val="21"/>
              </w:rPr>
            </w:pPr>
          </w:p>
        </w:tc>
        <w:tc>
          <w:tcPr>
            <w:tcW w:w="1920" w:type="dxa"/>
            <w:vAlign w:val="center"/>
          </w:tcPr>
          <w:p>
            <w:pPr>
              <w:widowControl/>
              <w:jc w:val="left"/>
              <w:rPr>
                <w:rFonts w:ascii="宋体" w:hAnsi="宋体"/>
                <w:color w:val="auto"/>
                <w:kern w:val="0"/>
                <w:szCs w:val="21"/>
              </w:rPr>
            </w:pPr>
            <w:r>
              <w:rPr>
                <w:rFonts w:hint="eastAsia" w:ascii="宋体" w:hAnsi="宋体"/>
                <w:color w:val="auto"/>
                <w:kern w:val="0"/>
                <w:szCs w:val="21"/>
              </w:rPr>
              <w:t>高级威胁分析服务</w:t>
            </w:r>
          </w:p>
        </w:tc>
        <w:tc>
          <w:tcPr>
            <w:tcW w:w="3881" w:type="dxa"/>
            <w:vAlign w:val="center"/>
          </w:tcPr>
          <w:p>
            <w:pPr>
              <w:widowControl/>
              <w:jc w:val="left"/>
              <w:rPr>
                <w:rFonts w:ascii="宋体" w:hAnsi="宋体"/>
                <w:color w:val="auto"/>
                <w:kern w:val="0"/>
                <w:szCs w:val="21"/>
              </w:rPr>
            </w:pPr>
            <w:r>
              <w:rPr>
                <w:rFonts w:hint="eastAsia" w:ascii="宋体" w:hAnsi="宋体" w:cs="宋体"/>
                <w:color w:val="auto"/>
              </w:rPr>
              <w:t>在本项目服务期限内，定期</w:t>
            </w:r>
            <w:r>
              <w:rPr>
                <w:rFonts w:ascii="宋体" w:hAnsi="宋体" w:cs="宋体"/>
                <w:color w:val="auto"/>
              </w:rPr>
              <w:t>在</w:t>
            </w:r>
            <w:r>
              <w:rPr>
                <w:rFonts w:hint="eastAsia" w:ascii="宋体" w:hAnsi="宋体" w:cs="宋体"/>
                <w:color w:val="auto"/>
              </w:rPr>
              <w:t>学校</w:t>
            </w:r>
            <w:r>
              <w:rPr>
                <w:rFonts w:ascii="宋体" w:hAnsi="宋体" w:cs="宋体"/>
                <w:color w:val="auto"/>
              </w:rPr>
              <w:t>部署</w:t>
            </w:r>
            <w:r>
              <w:rPr>
                <w:rFonts w:hint="eastAsia" w:ascii="宋体" w:hAnsi="宋体" w:cs="宋体"/>
                <w:color w:val="auto"/>
              </w:rPr>
              <w:t>A</w:t>
            </w:r>
            <w:r>
              <w:rPr>
                <w:rFonts w:ascii="宋体" w:hAnsi="宋体" w:cs="宋体"/>
                <w:color w:val="auto"/>
              </w:rPr>
              <w:t>PT分析平台，</w:t>
            </w:r>
            <w:r>
              <w:rPr>
                <w:rFonts w:hint="eastAsia" w:ascii="宋体" w:hAnsi="宋体" w:cs="宋体"/>
                <w:color w:val="auto"/>
              </w:rPr>
              <w:t>对</w:t>
            </w:r>
            <w:r>
              <w:rPr>
                <w:rFonts w:hint="eastAsia" w:ascii="宋体" w:hAnsi="宋体" w:cs="宋体"/>
                <w:color w:val="auto"/>
                <w:lang w:eastAsia="zh-CN"/>
              </w:rPr>
              <w:t>城市</w:t>
            </w:r>
            <w:r>
              <w:rPr>
                <w:rFonts w:hint="eastAsia" w:ascii="宋体" w:hAnsi="宋体" w:cs="宋体"/>
                <w:color w:val="auto"/>
              </w:rPr>
              <w:t>学院存在的</w:t>
            </w:r>
            <w:r>
              <w:rPr>
                <w:rFonts w:ascii="宋体" w:hAnsi="宋体" w:cs="宋体"/>
                <w:color w:val="auto"/>
              </w:rPr>
              <w:t>重要</w:t>
            </w:r>
            <w:r>
              <w:rPr>
                <w:rFonts w:hint="eastAsia" w:ascii="宋体" w:hAnsi="宋体" w:cs="宋体"/>
                <w:color w:val="auto"/>
              </w:rPr>
              <w:t>安全问题作详细分析，并给出解决方案。</w:t>
            </w:r>
          </w:p>
        </w:tc>
        <w:tc>
          <w:tcPr>
            <w:tcW w:w="1264" w:type="dxa"/>
            <w:vAlign w:val="center"/>
          </w:tcPr>
          <w:p>
            <w:pPr>
              <w:widowControl/>
              <w:jc w:val="left"/>
              <w:rPr>
                <w:rFonts w:ascii="宋体" w:hAnsi="宋体"/>
                <w:color w:val="auto"/>
                <w:kern w:val="0"/>
                <w:szCs w:val="21"/>
              </w:rPr>
            </w:pPr>
            <w:r>
              <w:rPr>
                <w:rFonts w:hint="eastAsia" w:ascii="宋体" w:hAnsi="宋体"/>
                <w:color w:val="auto"/>
                <w:kern w:val="0"/>
                <w:szCs w:val="21"/>
              </w:rPr>
              <w:t>每月一次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7" w:hRule="exact"/>
          <w:jc w:val="center"/>
        </w:trPr>
        <w:tc>
          <w:tcPr>
            <w:tcW w:w="870" w:type="dxa"/>
            <w:vAlign w:val="center"/>
          </w:tcPr>
          <w:p>
            <w:pPr>
              <w:widowControl/>
              <w:jc w:val="left"/>
              <w:rPr>
                <w:rFonts w:ascii="宋体" w:hAnsi="宋体"/>
                <w:color w:val="000000"/>
                <w:kern w:val="0"/>
                <w:szCs w:val="21"/>
              </w:rPr>
            </w:pPr>
            <w:bookmarkStart w:id="0" w:name="_Hlk514593731"/>
            <w:r>
              <w:rPr>
                <w:rFonts w:hint="eastAsia" w:ascii="宋体" w:hAnsi="宋体"/>
                <w:color w:val="000000"/>
                <w:kern w:val="0"/>
                <w:szCs w:val="21"/>
              </w:rPr>
              <w:t>1</w:t>
            </w:r>
            <w:r>
              <w:rPr>
                <w:rFonts w:ascii="宋体" w:hAnsi="宋体"/>
                <w:color w:val="000000"/>
                <w:kern w:val="0"/>
                <w:szCs w:val="21"/>
              </w:rPr>
              <w:t>0</w:t>
            </w:r>
          </w:p>
        </w:tc>
        <w:tc>
          <w:tcPr>
            <w:tcW w:w="1210" w:type="dxa"/>
            <w:vMerge w:val="restart"/>
            <w:vAlign w:val="center"/>
          </w:tcPr>
          <w:p>
            <w:pPr>
              <w:widowControl/>
              <w:jc w:val="left"/>
              <w:rPr>
                <w:rFonts w:ascii="宋体" w:hAnsi="宋体"/>
                <w:color w:val="000000"/>
                <w:kern w:val="0"/>
                <w:szCs w:val="21"/>
              </w:rPr>
            </w:pPr>
            <w:r>
              <w:rPr>
                <w:rFonts w:hint="eastAsia" w:ascii="宋体" w:hAnsi="宋体"/>
                <w:color w:val="000000"/>
                <w:kern w:val="0"/>
                <w:szCs w:val="21"/>
              </w:rPr>
              <w:t>安全咨询/技术保障服务</w:t>
            </w:r>
          </w:p>
        </w:tc>
        <w:tc>
          <w:tcPr>
            <w:tcW w:w="1920" w:type="dxa"/>
            <w:vAlign w:val="center"/>
          </w:tcPr>
          <w:p>
            <w:pPr>
              <w:widowControl/>
              <w:jc w:val="left"/>
              <w:rPr>
                <w:rFonts w:ascii="宋体" w:hAnsi="宋体"/>
                <w:color w:val="000000"/>
                <w:kern w:val="0"/>
                <w:szCs w:val="21"/>
              </w:rPr>
            </w:pPr>
            <w:r>
              <w:rPr>
                <w:rFonts w:hint="eastAsia" w:ascii="宋体" w:hAnsi="宋体"/>
                <w:color w:val="000000"/>
                <w:kern w:val="0"/>
                <w:szCs w:val="21"/>
              </w:rPr>
              <w:t>重大活动技术支持</w:t>
            </w:r>
          </w:p>
        </w:tc>
        <w:tc>
          <w:tcPr>
            <w:tcW w:w="3881" w:type="dxa"/>
            <w:vAlign w:val="center"/>
          </w:tcPr>
          <w:p>
            <w:pPr>
              <w:pStyle w:val="5"/>
              <w:spacing w:before="100" w:beforeAutospacing="1" w:after="100" w:afterAutospacing="1" w:line="240" w:lineRule="auto"/>
              <w:rPr>
                <w:rFonts w:ascii="宋体" w:hAnsi="宋体" w:cs="宋体"/>
                <w:color w:val="000000"/>
              </w:rPr>
            </w:pPr>
            <w:r>
              <w:rPr>
                <w:rFonts w:hint="eastAsia" w:ascii="宋体" w:hAnsi="宋体" w:cs="宋体"/>
                <w:color w:val="000000"/>
              </w:rPr>
              <w:t>在</w:t>
            </w:r>
            <w:r>
              <w:rPr>
                <w:rFonts w:ascii="宋体" w:hAnsi="宋体" w:cs="宋体"/>
                <w:color w:val="000000"/>
              </w:rPr>
              <w:t>重大活动、</w:t>
            </w:r>
            <w:r>
              <w:rPr>
                <w:rFonts w:hint="eastAsia" w:ascii="宋体" w:hAnsi="宋体" w:cs="宋体"/>
                <w:color w:val="000000"/>
              </w:rPr>
              <w:t>节假日期间</w:t>
            </w:r>
            <w:r>
              <w:rPr>
                <w:rFonts w:ascii="宋体" w:hAnsi="宋体" w:cs="宋体"/>
                <w:color w:val="000000"/>
              </w:rPr>
              <w:t>提供</w:t>
            </w:r>
            <w:r>
              <w:rPr>
                <w:rFonts w:hint="eastAsia" w:ascii="宋体" w:hAnsi="宋体" w:cs="宋体"/>
                <w:color w:val="000000"/>
              </w:rPr>
              <w:t>必要的</w:t>
            </w:r>
            <w:r>
              <w:rPr>
                <w:rFonts w:ascii="宋体" w:hAnsi="宋体" w:cs="宋体"/>
                <w:color w:val="000000"/>
              </w:rPr>
              <w:t>技术支持和人员支持，</w:t>
            </w:r>
            <w:r>
              <w:rPr>
                <w:rFonts w:hint="eastAsia" w:ascii="宋体" w:hAnsi="宋体" w:cs="宋体"/>
                <w:color w:val="000000"/>
              </w:rPr>
              <w:t>按</w:t>
            </w:r>
            <w:r>
              <w:rPr>
                <w:rFonts w:ascii="宋体" w:hAnsi="宋体" w:cs="宋体"/>
                <w:color w:val="000000"/>
              </w:rPr>
              <w:t>需求提供安全保障。包括</w:t>
            </w:r>
            <w:r>
              <w:rPr>
                <w:rFonts w:hint="eastAsia" w:ascii="宋体" w:hAnsi="宋体" w:cs="宋体"/>
                <w:color w:val="000000"/>
              </w:rPr>
              <w:t>重要</w:t>
            </w:r>
            <w:r>
              <w:rPr>
                <w:rFonts w:ascii="宋体" w:hAnsi="宋体" w:cs="宋体"/>
                <w:color w:val="000000"/>
              </w:rPr>
              <w:t>系统巡查、</w:t>
            </w:r>
            <w:r>
              <w:rPr>
                <w:rFonts w:hint="eastAsia" w:ascii="宋体" w:hAnsi="宋体" w:cs="宋体"/>
                <w:color w:val="000000"/>
              </w:rPr>
              <w:t>安全</w:t>
            </w:r>
            <w:r>
              <w:rPr>
                <w:rFonts w:ascii="宋体" w:hAnsi="宋体" w:cs="宋体"/>
                <w:color w:val="000000"/>
              </w:rPr>
              <w:t>加固等等。</w:t>
            </w:r>
          </w:p>
          <w:p>
            <w:pPr>
              <w:widowControl/>
              <w:jc w:val="left"/>
              <w:rPr>
                <w:rFonts w:ascii="宋体" w:hAnsi="宋体"/>
                <w:color w:val="000000"/>
                <w:kern w:val="0"/>
                <w:szCs w:val="21"/>
              </w:rPr>
            </w:pPr>
          </w:p>
        </w:tc>
        <w:tc>
          <w:tcPr>
            <w:tcW w:w="1264" w:type="dxa"/>
            <w:vAlign w:val="center"/>
          </w:tcPr>
          <w:p>
            <w:pPr>
              <w:widowControl/>
              <w:jc w:val="left"/>
              <w:rPr>
                <w:rFonts w:ascii="宋体" w:hAnsi="宋体"/>
                <w:color w:val="000000"/>
                <w:kern w:val="0"/>
                <w:szCs w:val="21"/>
              </w:rPr>
            </w:pPr>
            <w:r>
              <w:rPr>
                <w:rFonts w:hint="eastAsia" w:ascii="宋体" w:hAnsi="宋体"/>
                <w:color w:val="000000"/>
                <w:kern w:val="0"/>
                <w:szCs w:val="21"/>
              </w:rPr>
              <w:t>全年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27" w:hRule="exact"/>
          <w:jc w:val="center"/>
        </w:trPr>
        <w:tc>
          <w:tcPr>
            <w:tcW w:w="870" w:type="dxa"/>
            <w:vAlign w:val="center"/>
          </w:tcPr>
          <w:p>
            <w:pPr>
              <w:widowControl/>
              <w:jc w:val="left"/>
              <w:rPr>
                <w:rFonts w:ascii="宋体" w:hAnsi="宋体"/>
                <w:color w:val="000000"/>
                <w:kern w:val="0"/>
                <w:szCs w:val="21"/>
              </w:rPr>
            </w:pPr>
            <w:r>
              <w:rPr>
                <w:rFonts w:hint="eastAsia" w:ascii="宋体" w:hAnsi="宋体"/>
                <w:color w:val="000000"/>
                <w:kern w:val="0"/>
                <w:szCs w:val="21"/>
              </w:rPr>
              <w:t>1</w:t>
            </w:r>
            <w:r>
              <w:rPr>
                <w:rFonts w:ascii="宋体" w:hAnsi="宋体"/>
                <w:color w:val="000000"/>
                <w:kern w:val="0"/>
                <w:szCs w:val="21"/>
              </w:rPr>
              <w:t>1</w:t>
            </w:r>
          </w:p>
        </w:tc>
        <w:tc>
          <w:tcPr>
            <w:tcW w:w="1210" w:type="dxa"/>
            <w:vMerge w:val="continue"/>
            <w:vAlign w:val="center"/>
          </w:tcPr>
          <w:p>
            <w:pPr>
              <w:widowControl/>
              <w:jc w:val="left"/>
              <w:rPr>
                <w:rFonts w:ascii="宋体" w:hAnsi="宋体"/>
                <w:color w:val="000000"/>
                <w:kern w:val="0"/>
                <w:szCs w:val="21"/>
              </w:rPr>
            </w:pPr>
          </w:p>
        </w:tc>
        <w:tc>
          <w:tcPr>
            <w:tcW w:w="1920" w:type="dxa"/>
            <w:vAlign w:val="center"/>
          </w:tcPr>
          <w:p>
            <w:pPr>
              <w:widowControl/>
              <w:jc w:val="left"/>
              <w:rPr>
                <w:rFonts w:ascii="宋体" w:hAnsi="宋体"/>
                <w:color w:val="000000"/>
                <w:kern w:val="0"/>
                <w:szCs w:val="21"/>
              </w:rPr>
            </w:pPr>
            <w:r>
              <w:rPr>
                <w:rFonts w:hint="eastAsia" w:ascii="宋体" w:hAnsi="宋体"/>
                <w:color w:val="000000"/>
                <w:kern w:val="0"/>
                <w:szCs w:val="21"/>
              </w:rPr>
              <w:t>应急响应支持</w:t>
            </w:r>
          </w:p>
        </w:tc>
        <w:tc>
          <w:tcPr>
            <w:tcW w:w="3881" w:type="dxa"/>
            <w:vAlign w:val="center"/>
          </w:tcPr>
          <w:p>
            <w:pPr>
              <w:pStyle w:val="5"/>
              <w:spacing w:before="100" w:beforeAutospacing="1" w:after="100" w:afterAutospacing="1" w:line="240" w:lineRule="auto"/>
              <w:rPr>
                <w:rFonts w:ascii="宋体" w:hAnsi="宋体" w:cs="宋体"/>
                <w:color w:val="000000"/>
              </w:rPr>
            </w:pPr>
            <w:r>
              <w:rPr>
                <w:rFonts w:hint="eastAsia" w:ascii="宋体" w:hAnsi="宋体" w:cs="宋体"/>
                <w:color w:val="000000"/>
              </w:rPr>
              <w:t>在本项目服务</w:t>
            </w:r>
            <w:r>
              <w:rPr>
                <w:rFonts w:ascii="宋体" w:hAnsi="宋体" w:cs="宋体"/>
                <w:color w:val="000000"/>
              </w:rPr>
              <w:t>期限内</w:t>
            </w:r>
            <w:r>
              <w:rPr>
                <w:rFonts w:hint="eastAsia" w:ascii="宋体" w:hAnsi="宋体" w:cs="宋体"/>
                <w:color w:val="000000"/>
              </w:rPr>
              <w:t>，</w:t>
            </w:r>
            <w:r>
              <w:rPr>
                <w:rFonts w:ascii="宋体" w:hAnsi="宋体" w:cs="宋体"/>
                <w:color w:val="000000"/>
              </w:rPr>
              <w:t>提供</w:t>
            </w:r>
            <w:r>
              <w:rPr>
                <w:rFonts w:hint="eastAsia" w:ascii="宋体" w:hAnsi="宋体" w:cs="宋体"/>
                <w:color w:val="000000"/>
              </w:rPr>
              <w:t>7×24 小时</w:t>
            </w:r>
            <w:r>
              <w:rPr>
                <w:rFonts w:ascii="宋体" w:hAnsi="宋体" w:cs="宋体"/>
                <w:color w:val="000000"/>
              </w:rPr>
              <w:t>应急响应技术支持电话</w:t>
            </w:r>
            <w:r>
              <w:rPr>
                <w:rFonts w:hint="eastAsia" w:ascii="宋体" w:hAnsi="宋体" w:cs="宋体"/>
                <w:color w:val="000000"/>
              </w:rPr>
              <w:t>，在出现</w:t>
            </w:r>
            <w:r>
              <w:rPr>
                <w:rFonts w:ascii="宋体" w:hAnsi="宋体" w:cs="宋体"/>
                <w:color w:val="000000"/>
              </w:rPr>
              <w:t>突发</w:t>
            </w:r>
            <w:r>
              <w:rPr>
                <w:rFonts w:hint="eastAsia" w:ascii="宋体" w:hAnsi="宋体" w:cs="宋体"/>
                <w:color w:val="000000"/>
              </w:rPr>
              <w:t>安全事故时提供及时的应急支持</w:t>
            </w:r>
            <w:r>
              <w:rPr>
                <w:rFonts w:ascii="宋体" w:hAnsi="宋体" w:cs="宋体"/>
                <w:color w:val="000000"/>
              </w:rPr>
              <w:t>，</w:t>
            </w:r>
            <w:r>
              <w:rPr>
                <w:rFonts w:hint="eastAsia" w:ascii="宋体" w:hAnsi="宋体" w:cs="宋体"/>
                <w:color w:val="000000"/>
              </w:rPr>
              <w:t>接到应急响应请求时迅速启动响应预案；</w:t>
            </w:r>
          </w:p>
          <w:p>
            <w:pPr>
              <w:widowControl/>
              <w:jc w:val="left"/>
              <w:rPr>
                <w:rFonts w:ascii="宋体" w:hAnsi="宋体"/>
                <w:color w:val="000000"/>
                <w:kern w:val="0"/>
                <w:szCs w:val="21"/>
              </w:rPr>
            </w:pPr>
          </w:p>
        </w:tc>
        <w:tc>
          <w:tcPr>
            <w:tcW w:w="1264" w:type="dxa"/>
            <w:vAlign w:val="center"/>
          </w:tcPr>
          <w:p>
            <w:pPr>
              <w:widowControl/>
              <w:jc w:val="left"/>
              <w:rPr>
                <w:rFonts w:ascii="宋体" w:hAnsi="宋体"/>
                <w:color w:val="000000"/>
                <w:kern w:val="0"/>
                <w:szCs w:val="21"/>
              </w:rPr>
            </w:pPr>
            <w:r>
              <w:rPr>
                <w:rFonts w:hint="eastAsia" w:ascii="宋体" w:hAnsi="宋体"/>
                <w:color w:val="000000"/>
                <w:kern w:val="0"/>
                <w:szCs w:val="21"/>
              </w:rPr>
              <w:t>全年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2" w:hRule="exact"/>
          <w:jc w:val="center"/>
        </w:trPr>
        <w:tc>
          <w:tcPr>
            <w:tcW w:w="870" w:type="dxa"/>
            <w:vAlign w:val="center"/>
          </w:tcPr>
          <w:p>
            <w:pPr>
              <w:widowControl/>
              <w:jc w:val="left"/>
              <w:rPr>
                <w:rFonts w:ascii="宋体" w:hAnsi="宋体"/>
                <w:color w:val="000000"/>
                <w:kern w:val="0"/>
                <w:szCs w:val="21"/>
              </w:rPr>
            </w:pPr>
            <w:r>
              <w:rPr>
                <w:rFonts w:hint="eastAsia" w:ascii="宋体" w:hAnsi="宋体"/>
                <w:color w:val="000000"/>
                <w:kern w:val="0"/>
                <w:szCs w:val="21"/>
              </w:rPr>
              <w:t>1</w:t>
            </w:r>
            <w:r>
              <w:rPr>
                <w:rFonts w:ascii="宋体" w:hAnsi="宋体"/>
                <w:color w:val="000000"/>
                <w:kern w:val="0"/>
                <w:szCs w:val="21"/>
              </w:rPr>
              <w:t>2</w:t>
            </w:r>
          </w:p>
        </w:tc>
        <w:tc>
          <w:tcPr>
            <w:tcW w:w="1210" w:type="dxa"/>
            <w:vMerge w:val="continue"/>
            <w:vAlign w:val="center"/>
          </w:tcPr>
          <w:p>
            <w:pPr>
              <w:widowControl/>
              <w:jc w:val="left"/>
              <w:rPr>
                <w:rFonts w:ascii="宋体" w:hAnsi="宋体"/>
                <w:color w:val="000000"/>
                <w:kern w:val="0"/>
                <w:szCs w:val="21"/>
              </w:rPr>
            </w:pPr>
          </w:p>
        </w:tc>
        <w:tc>
          <w:tcPr>
            <w:tcW w:w="1920" w:type="dxa"/>
            <w:vAlign w:val="center"/>
          </w:tcPr>
          <w:p>
            <w:pPr>
              <w:widowControl/>
              <w:jc w:val="left"/>
              <w:rPr>
                <w:rFonts w:ascii="宋体" w:hAnsi="宋体"/>
                <w:color w:val="000000"/>
                <w:kern w:val="0"/>
                <w:szCs w:val="21"/>
              </w:rPr>
            </w:pPr>
            <w:r>
              <w:rPr>
                <w:rFonts w:hint="eastAsia" w:ascii="宋体" w:hAnsi="宋体"/>
                <w:color w:val="000000"/>
                <w:kern w:val="0"/>
                <w:szCs w:val="21"/>
              </w:rPr>
              <w:t>安全培训服务</w:t>
            </w:r>
          </w:p>
        </w:tc>
        <w:tc>
          <w:tcPr>
            <w:tcW w:w="3881" w:type="dxa"/>
            <w:vAlign w:val="center"/>
          </w:tcPr>
          <w:p>
            <w:pPr>
              <w:widowControl/>
              <w:jc w:val="left"/>
              <w:rPr>
                <w:rFonts w:ascii="宋体" w:hAnsi="宋体"/>
                <w:color w:val="auto"/>
                <w:kern w:val="0"/>
                <w:szCs w:val="21"/>
              </w:rPr>
            </w:pPr>
            <w:r>
              <w:rPr>
                <w:rFonts w:ascii="宋体" w:hAnsi="宋体" w:cs="宋体"/>
                <w:color w:val="auto"/>
                <w:szCs w:val="20"/>
              </w:rPr>
              <w:t>安全运维服务期限内</w:t>
            </w:r>
            <w:r>
              <w:rPr>
                <w:rFonts w:hint="eastAsia" w:ascii="宋体" w:hAnsi="宋体" w:cs="宋体"/>
                <w:color w:val="auto"/>
                <w:szCs w:val="20"/>
              </w:rPr>
              <w:t>提供一次安全培训，培训内容包含：安全意识培训、产品使用培训，安全管理培训，安全技术培训，攻防实践演练培训，应急响应实践演练培训等。</w:t>
            </w:r>
          </w:p>
        </w:tc>
        <w:tc>
          <w:tcPr>
            <w:tcW w:w="1264" w:type="dxa"/>
            <w:vAlign w:val="center"/>
          </w:tcPr>
          <w:p>
            <w:pPr>
              <w:widowControl/>
              <w:jc w:val="left"/>
              <w:rPr>
                <w:rFonts w:ascii="宋体" w:hAnsi="宋体"/>
                <w:color w:val="auto"/>
                <w:kern w:val="0"/>
                <w:szCs w:val="21"/>
              </w:rPr>
            </w:pPr>
            <w:r>
              <w:rPr>
                <w:rFonts w:hint="eastAsia" w:ascii="宋体" w:hAnsi="宋体"/>
                <w:color w:val="auto"/>
                <w:kern w:val="0"/>
                <w:szCs w:val="21"/>
              </w:rPr>
              <w:t>每年一次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47" w:hRule="exact"/>
          <w:jc w:val="center"/>
        </w:trPr>
        <w:tc>
          <w:tcPr>
            <w:tcW w:w="870" w:type="dxa"/>
            <w:vAlign w:val="center"/>
          </w:tcPr>
          <w:p>
            <w:pPr>
              <w:widowControl/>
              <w:jc w:val="left"/>
              <w:rPr>
                <w:rFonts w:ascii="宋体" w:hAnsi="宋体"/>
                <w:color w:val="000000"/>
                <w:kern w:val="0"/>
                <w:szCs w:val="21"/>
              </w:rPr>
            </w:pPr>
            <w:r>
              <w:rPr>
                <w:rFonts w:hint="eastAsia" w:ascii="宋体" w:hAnsi="宋体"/>
                <w:color w:val="000000"/>
                <w:kern w:val="0"/>
                <w:szCs w:val="21"/>
              </w:rPr>
              <w:t>1</w:t>
            </w:r>
            <w:r>
              <w:rPr>
                <w:rFonts w:ascii="宋体" w:hAnsi="宋体"/>
                <w:color w:val="000000"/>
                <w:kern w:val="0"/>
                <w:szCs w:val="21"/>
              </w:rPr>
              <w:t>3</w:t>
            </w:r>
          </w:p>
        </w:tc>
        <w:tc>
          <w:tcPr>
            <w:tcW w:w="1210" w:type="dxa"/>
            <w:vMerge w:val="continue"/>
            <w:vAlign w:val="center"/>
          </w:tcPr>
          <w:p>
            <w:pPr>
              <w:widowControl/>
              <w:jc w:val="left"/>
              <w:rPr>
                <w:rFonts w:ascii="宋体" w:hAnsi="宋体"/>
                <w:color w:val="000000"/>
                <w:kern w:val="0"/>
                <w:szCs w:val="21"/>
              </w:rPr>
            </w:pPr>
          </w:p>
        </w:tc>
        <w:tc>
          <w:tcPr>
            <w:tcW w:w="1920" w:type="dxa"/>
            <w:vAlign w:val="center"/>
          </w:tcPr>
          <w:p>
            <w:pPr>
              <w:widowControl/>
              <w:jc w:val="left"/>
              <w:rPr>
                <w:rFonts w:ascii="宋体" w:hAnsi="宋体"/>
                <w:color w:val="000000"/>
                <w:kern w:val="0"/>
                <w:szCs w:val="21"/>
              </w:rPr>
            </w:pPr>
            <w:r>
              <w:rPr>
                <w:rFonts w:hint="eastAsia" w:ascii="宋体" w:hAnsi="宋体"/>
                <w:color w:val="000000"/>
                <w:kern w:val="0"/>
                <w:szCs w:val="21"/>
              </w:rPr>
              <w:t>政策合规管理服务</w:t>
            </w:r>
          </w:p>
        </w:tc>
        <w:tc>
          <w:tcPr>
            <w:tcW w:w="3881" w:type="dxa"/>
            <w:vAlign w:val="center"/>
          </w:tcPr>
          <w:p>
            <w:pPr>
              <w:pStyle w:val="5"/>
              <w:spacing w:before="100" w:beforeAutospacing="1" w:after="100" w:afterAutospacing="1" w:line="240" w:lineRule="auto"/>
              <w:outlineLvl w:val="1"/>
              <w:rPr>
                <w:rFonts w:ascii="宋体" w:hAnsi="宋体" w:cs="宋体"/>
                <w:color w:val="000000"/>
              </w:rPr>
            </w:pPr>
            <w:r>
              <w:rPr>
                <w:rFonts w:hint="eastAsia" w:ascii="宋体" w:hAnsi="宋体" w:cs="宋体"/>
                <w:color w:val="000000"/>
              </w:rPr>
              <w:t>在招标人现行安全管理制度基础上，依据国家相关标准（如信息系统安全等级保护标准、及信息安全管理体系标准），协助招标人进行安全管理制度的梳理和建设，建立健全网络层、系统层、应用层、以及数据层的安全管理制度及规范，并且建立起覆盖信息系统开发和运维生命周期的管理规范，如面向信息系统开发的安全编码规范，以及面向信息系统运维事件的应急响应规范（含应急处置预案）。</w:t>
            </w:r>
          </w:p>
          <w:p>
            <w:pPr>
              <w:widowControl/>
              <w:jc w:val="left"/>
              <w:rPr>
                <w:rFonts w:ascii="宋体" w:hAnsi="宋体"/>
                <w:color w:val="000000"/>
                <w:kern w:val="0"/>
                <w:szCs w:val="21"/>
              </w:rPr>
            </w:pPr>
          </w:p>
        </w:tc>
        <w:tc>
          <w:tcPr>
            <w:tcW w:w="1264" w:type="dxa"/>
            <w:vAlign w:val="center"/>
          </w:tcPr>
          <w:p>
            <w:pPr>
              <w:widowControl/>
              <w:jc w:val="left"/>
              <w:rPr>
                <w:rFonts w:ascii="宋体" w:hAnsi="宋体"/>
                <w:color w:val="000000"/>
                <w:kern w:val="0"/>
                <w:szCs w:val="21"/>
              </w:rPr>
            </w:pPr>
            <w:r>
              <w:rPr>
                <w:rFonts w:hint="eastAsia" w:ascii="宋体" w:hAnsi="宋体"/>
                <w:color w:val="000000"/>
                <w:kern w:val="0"/>
                <w:szCs w:val="21"/>
              </w:rPr>
              <w:t>全年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32" w:hRule="exact"/>
          <w:jc w:val="center"/>
        </w:trPr>
        <w:tc>
          <w:tcPr>
            <w:tcW w:w="870" w:type="dxa"/>
            <w:vAlign w:val="center"/>
          </w:tcPr>
          <w:p>
            <w:pPr>
              <w:widowControl/>
              <w:jc w:val="left"/>
              <w:rPr>
                <w:rFonts w:ascii="宋体" w:hAnsi="宋体"/>
                <w:color w:val="000000"/>
                <w:kern w:val="0"/>
                <w:szCs w:val="21"/>
              </w:rPr>
            </w:pPr>
            <w:r>
              <w:rPr>
                <w:rFonts w:hint="eastAsia" w:ascii="宋体" w:hAnsi="宋体"/>
                <w:color w:val="000000"/>
                <w:kern w:val="0"/>
                <w:szCs w:val="21"/>
              </w:rPr>
              <w:t>1</w:t>
            </w:r>
            <w:r>
              <w:rPr>
                <w:rFonts w:ascii="宋体" w:hAnsi="宋体"/>
                <w:color w:val="000000"/>
                <w:kern w:val="0"/>
                <w:szCs w:val="21"/>
              </w:rPr>
              <w:t>4</w:t>
            </w:r>
          </w:p>
        </w:tc>
        <w:tc>
          <w:tcPr>
            <w:tcW w:w="1210" w:type="dxa"/>
            <w:vMerge w:val="continue"/>
            <w:vAlign w:val="center"/>
          </w:tcPr>
          <w:p>
            <w:pPr>
              <w:widowControl/>
              <w:jc w:val="left"/>
              <w:rPr>
                <w:rFonts w:ascii="宋体" w:hAnsi="宋体"/>
                <w:color w:val="000000"/>
                <w:kern w:val="0"/>
                <w:szCs w:val="21"/>
              </w:rPr>
            </w:pPr>
          </w:p>
        </w:tc>
        <w:tc>
          <w:tcPr>
            <w:tcW w:w="1920" w:type="dxa"/>
            <w:vAlign w:val="center"/>
          </w:tcPr>
          <w:p>
            <w:pPr>
              <w:widowControl/>
              <w:jc w:val="left"/>
              <w:rPr>
                <w:rFonts w:ascii="宋体" w:hAnsi="宋体"/>
                <w:color w:val="000000"/>
                <w:kern w:val="0"/>
                <w:szCs w:val="21"/>
              </w:rPr>
            </w:pPr>
            <w:r>
              <w:rPr>
                <w:rFonts w:hint="eastAsia" w:ascii="宋体" w:hAnsi="宋体"/>
                <w:color w:val="000000"/>
                <w:kern w:val="0"/>
                <w:szCs w:val="21"/>
              </w:rPr>
              <w:t>安全咨询服务</w:t>
            </w:r>
          </w:p>
        </w:tc>
        <w:tc>
          <w:tcPr>
            <w:tcW w:w="3881" w:type="dxa"/>
            <w:vAlign w:val="center"/>
          </w:tcPr>
          <w:p>
            <w:pPr>
              <w:pStyle w:val="5"/>
              <w:spacing w:before="100" w:beforeAutospacing="1" w:after="100" w:afterAutospacing="1" w:line="240" w:lineRule="auto"/>
              <w:outlineLvl w:val="1"/>
              <w:rPr>
                <w:rFonts w:ascii="宋体" w:hAnsi="宋体" w:cs="宋体"/>
                <w:color w:val="000000"/>
              </w:rPr>
            </w:pPr>
            <w:r>
              <w:rPr>
                <w:rFonts w:hint="eastAsia" w:ascii="宋体" w:hAnsi="宋体" w:cs="宋体"/>
                <w:color w:val="000000"/>
              </w:rPr>
              <w:t>安全咨询服务应当包括管理咨询服务和技术咨询服务，投标方应承诺，针对招标人在服务周期内产生的与信息安全技术有关的咨询需求，提供专业的咨询意见。安全技术咨询的范围包括计算机网络、网络安全设备、服务器主机系统、数据库与中间件、应用系统等。</w:t>
            </w:r>
          </w:p>
          <w:p>
            <w:pPr>
              <w:widowControl/>
              <w:jc w:val="left"/>
              <w:rPr>
                <w:rFonts w:ascii="宋体" w:hAnsi="宋体"/>
                <w:color w:val="000000"/>
                <w:kern w:val="0"/>
                <w:szCs w:val="21"/>
              </w:rPr>
            </w:pPr>
          </w:p>
        </w:tc>
        <w:tc>
          <w:tcPr>
            <w:tcW w:w="1264" w:type="dxa"/>
            <w:vAlign w:val="center"/>
          </w:tcPr>
          <w:p>
            <w:pPr>
              <w:widowControl/>
              <w:jc w:val="left"/>
              <w:rPr>
                <w:rFonts w:ascii="宋体" w:hAnsi="宋体"/>
                <w:color w:val="000000"/>
                <w:kern w:val="0"/>
                <w:szCs w:val="21"/>
              </w:rPr>
            </w:pPr>
            <w:r>
              <w:rPr>
                <w:rFonts w:hint="eastAsia" w:ascii="宋体" w:hAnsi="宋体"/>
                <w:color w:val="000000"/>
                <w:kern w:val="0"/>
                <w:szCs w:val="21"/>
              </w:rPr>
              <w:t>全年</w:t>
            </w:r>
          </w:p>
        </w:tc>
      </w:tr>
      <w:bookmarkEnd w:id="0"/>
    </w:tbl>
    <w:p/>
    <w:p/>
    <w:p/>
    <w:p/>
    <w:p/>
    <w:p>
      <w:pPr>
        <w:numPr>
          <w:ilvl w:val="0"/>
          <w:numId w:val="1"/>
        </w:numPr>
        <w:rPr>
          <w:rFonts w:hint="eastAsia" w:asciiTheme="minorEastAsia" w:hAnsiTheme="minorEastAsia" w:eastAsiaTheme="minorEastAsia" w:cstheme="minorEastAsia"/>
          <w:b/>
          <w:sz w:val="28"/>
          <w:szCs w:val="28"/>
          <w:lang w:eastAsia="zh-CN"/>
        </w:rPr>
      </w:pPr>
      <w:r>
        <w:rPr>
          <w:rFonts w:hint="eastAsia" w:asciiTheme="minorEastAsia" w:hAnsiTheme="minorEastAsia" w:eastAsiaTheme="minorEastAsia" w:cstheme="minorEastAsia"/>
          <w:b/>
          <w:sz w:val="28"/>
          <w:szCs w:val="28"/>
          <w:lang w:eastAsia="zh-CN"/>
        </w:rPr>
        <w:t>玄武盾云防护一年服务</w:t>
      </w:r>
    </w:p>
    <w:p>
      <w:pPr>
        <w:spacing w:line="360" w:lineRule="auto"/>
        <w:ind w:firstLine="420" w:firstLineChars="200"/>
        <w:rPr>
          <w:rFonts w:hint="eastAsia" w:ascii="宋体" w:hAnsi="宋体" w:eastAsia="宋体" w:cs="宋体"/>
          <w:kern w:val="0"/>
          <w:szCs w:val="21"/>
          <w:lang w:eastAsia="zh-CN"/>
        </w:rPr>
      </w:pPr>
      <w:r>
        <w:rPr>
          <w:rFonts w:hint="eastAsia"/>
          <w:color w:val="auto"/>
          <w:szCs w:val="24"/>
        </w:rPr>
        <w:t>在本项目服务期限内，</w:t>
      </w:r>
      <w:r>
        <w:rPr>
          <w:rFonts w:hint="eastAsia"/>
          <w:color w:val="auto"/>
          <w:szCs w:val="24"/>
          <w:lang w:eastAsia="zh-CN"/>
        </w:rPr>
        <w:t>在学校部署玄武盾云防护服务，对城市学</w:t>
      </w:r>
      <w:r>
        <w:rPr>
          <w:rFonts w:hint="eastAsia"/>
          <w:color w:val="auto"/>
          <w:sz w:val="21"/>
          <w:szCs w:val="21"/>
          <w:lang w:eastAsia="zh-CN"/>
        </w:rPr>
        <w:t>院</w:t>
      </w:r>
      <w:r>
        <w:rPr>
          <w:rFonts w:ascii="宋体" w:hAnsi="宋体" w:eastAsia="宋体" w:cs="宋体"/>
          <w:i w:val="0"/>
          <w:caps w:val="0"/>
          <w:color w:val="333333"/>
          <w:spacing w:val="0"/>
          <w:sz w:val="21"/>
          <w:szCs w:val="21"/>
          <w:shd w:val="clear" w:fill="FFFFFF"/>
        </w:rPr>
        <w:t>主域名</w:t>
      </w:r>
      <w:r>
        <w:rPr>
          <w:rFonts w:hint="eastAsia" w:ascii="宋体" w:hAnsi="宋体" w:cs="宋体"/>
          <w:i w:val="0"/>
          <w:caps w:val="0"/>
          <w:color w:val="333333"/>
          <w:spacing w:val="0"/>
          <w:sz w:val="21"/>
          <w:szCs w:val="21"/>
          <w:shd w:val="clear" w:fill="FFFFFF"/>
          <w:lang w:eastAsia="zh-CN"/>
        </w:rPr>
        <w:t>进行</w:t>
      </w:r>
      <w:r>
        <w:rPr>
          <w:rFonts w:ascii="宋体" w:hAnsi="宋体" w:eastAsia="宋体" w:cs="宋体"/>
          <w:i w:val="0"/>
          <w:caps w:val="0"/>
          <w:color w:val="333333"/>
          <w:spacing w:val="0"/>
          <w:sz w:val="21"/>
          <w:szCs w:val="21"/>
          <w:shd w:val="clear" w:fill="FFFFFF"/>
        </w:rPr>
        <w:t>防护</w:t>
      </w:r>
      <w:r>
        <w:rPr>
          <w:rFonts w:hint="eastAsia" w:ascii="宋体" w:hAnsi="宋体" w:cs="宋体"/>
          <w:i w:val="0"/>
          <w:caps w:val="0"/>
          <w:color w:val="333333"/>
          <w:spacing w:val="0"/>
          <w:sz w:val="21"/>
          <w:szCs w:val="21"/>
          <w:shd w:val="clear" w:fill="FFFFFF"/>
          <w:lang w:eastAsia="zh-CN"/>
        </w:rPr>
        <w:t>。</w:t>
      </w:r>
    </w:p>
    <w:tbl>
      <w:tblPr>
        <w:tblStyle w:val="2"/>
        <w:tblW w:w="8994" w:type="dxa"/>
        <w:tblInd w:w="0" w:type="dxa"/>
        <w:tblLayout w:type="fixed"/>
        <w:tblCellMar>
          <w:top w:w="0" w:type="dxa"/>
          <w:left w:w="108" w:type="dxa"/>
          <w:bottom w:w="0" w:type="dxa"/>
          <w:right w:w="108" w:type="dxa"/>
        </w:tblCellMar>
      </w:tblPr>
      <w:tblGrid>
        <w:gridCol w:w="1616"/>
        <w:gridCol w:w="7378"/>
      </w:tblGrid>
      <w:tr>
        <w:tblPrEx>
          <w:tblLayout w:type="fixed"/>
          <w:tblCellMar>
            <w:top w:w="0" w:type="dxa"/>
            <w:left w:w="108" w:type="dxa"/>
            <w:bottom w:w="0" w:type="dxa"/>
            <w:right w:w="108" w:type="dxa"/>
          </w:tblCellMar>
        </w:tblPrEx>
        <w:tc>
          <w:tcPr>
            <w:tcW w:w="1616" w:type="dxa"/>
            <w:tcBorders>
              <w:top w:val="single" w:color="auto" w:sz="4" w:space="0"/>
              <w:left w:val="single" w:color="auto" w:sz="4" w:space="0"/>
              <w:bottom w:val="single" w:color="auto" w:sz="4" w:space="0"/>
              <w:right w:val="single" w:color="auto" w:sz="4" w:space="0"/>
            </w:tcBorders>
            <w:shd w:val="clear" w:color="auto" w:fill="D9D9D9"/>
            <w:vAlign w:val="center"/>
          </w:tcPr>
          <w:p>
            <w:pPr>
              <w:widowControl/>
              <w:spacing w:line="360" w:lineRule="auto"/>
              <w:jc w:val="center"/>
              <w:rPr>
                <w:rFonts w:ascii="宋体" w:hAnsi="宋体" w:cs="宋体"/>
                <w:b/>
                <w:bCs/>
                <w:color w:val="000000"/>
                <w:kern w:val="0"/>
                <w:sz w:val="24"/>
              </w:rPr>
            </w:pPr>
            <w:r>
              <w:rPr>
                <w:rFonts w:hint="eastAsia" w:ascii="宋体" w:hAnsi="宋体" w:cs="宋体"/>
                <w:b/>
                <w:bCs/>
                <w:color w:val="000000"/>
                <w:kern w:val="0"/>
                <w:sz w:val="24"/>
              </w:rPr>
              <w:t>指标项</w:t>
            </w:r>
          </w:p>
        </w:tc>
        <w:tc>
          <w:tcPr>
            <w:tcW w:w="7378" w:type="dxa"/>
            <w:tcBorders>
              <w:top w:val="single" w:color="auto" w:sz="4" w:space="0"/>
              <w:left w:val="nil"/>
              <w:bottom w:val="single" w:color="auto" w:sz="4" w:space="0"/>
              <w:right w:val="single" w:color="auto" w:sz="4" w:space="0"/>
            </w:tcBorders>
            <w:shd w:val="clear" w:color="auto" w:fill="D9D9D9"/>
            <w:vAlign w:val="center"/>
          </w:tcPr>
          <w:p>
            <w:pPr>
              <w:widowControl/>
              <w:spacing w:line="360" w:lineRule="auto"/>
              <w:jc w:val="center"/>
              <w:rPr>
                <w:rFonts w:ascii="宋体" w:hAnsi="宋体" w:cs="宋体"/>
                <w:b/>
                <w:bCs/>
                <w:color w:val="000000"/>
                <w:kern w:val="0"/>
                <w:sz w:val="24"/>
              </w:rPr>
            </w:pPr>
            <w:r>
              <w:rPr>
                <w:rFonts w:hint="eastAsia" w:ascii="宋体" w:hAnsi="宋体" w:cs="宋体"/>
                <w:b/>
                <w:bCs/>
                <w:color w:val="000000"/>
                <w:kern w:val="0"/>
                <w:sz w:val="24"/>
                <w:lang w:eastAsia="zh-CN"/>
              </w:rPr>
              <w:t>玄武盾</w:t>
            </w:r>
            <w:r>
              <w:rPr>
                <w:rFonts w:hint="eastAsia" w:ascii="宋体" w:hAnsi="宋体" w:cs="宋体"/>
                <w:b/>
                <w:bCs/>
                <w:color w:val="000000"/>
                <w:kern w:val="0"/>
                <w:sz w:val="24"/>
              </w:rPr>
              <w:t>指标要求</w:t>
            </w:r>
          </w:p>
        </w:tc>
      </w:tr>
      <w:tr>
        <w:tblPrEx>
          <w:tblLayout w:type="fixed"/>
          <w:tblCellMar>
            <w:top w:w="0" w:type="dxa"/>
            <w:left w:w="108" w:type="dxa"/>
            <w:bottom w:w="0" w:type="dxa"/>
            <w:right w:w="108" w:type="dxa"/>
          </w:tblCellMar>
        </w:tblPrEx>
        <w:trPr>
          <w:trHeight w:val="493" w:hRule="atLeast"/>
        </w:trPr>
        <w:tc>
          <w:tcPr>
            <w:tcW w:w="1616" w:type="dxa"/>
            <w:tcBorders>
              <w:top w:val="single" w:color="auto" w:sz="4" w:space="0"/>
              <w:left w:val="single" w:color="auto" w:sz="4" w:space="0"/>
              <w:right w:val="single" w:color="auto" w:sz="4" w:space="0"/>
            </w:tcBorders>
            <w:shd w:val="clear" w:color="auto" w:fill="auto"/>
            <w:vAlign w:val="center"/>
          </w:tcPr>
          <w:p>
            <w:pPr>
              <w:pStyle w:val="5"/>
              <w:spacing w:before="100" w:beforeAutospacing="1" w:after="100" w:afterAutospacing="1" w:line="240" w:lineRule="auto"/>
              <w:outlineLvl w:val="1"/>
              <w:rPr>
                <w:rFonts w:hint="default" w:ascii="宋体" w:hAnsi="宋体" w:eastAsia="宋体" w:cs="宋体"/>
                <w:color w:val="000000"/>
                <w:lang w:val="en-US" w:eastAsia="zh-CN"/>
              </w:rPr>
            </w:pPr>
            <w:r>
              <w:rPr>
                <w:rFonts w:hint="eastAsia" w:ascii="宋体" w:hAnsi="宋体" w:cs="宋体"/>
                <w:color w:val="000000"/>
                <w:lang w:val="en-US" w:eastAsia="zh-CN"/>
              </w:rPr>
              <w:t>域名</w:t>
            </w:r>
          </w:p>
        </w:tc>
        <w:tc>
          <w:tcPr>
            <w:tcW w:w="7378" w:type="dxa"/>
            <w:tcBorders>
              <w:top w:val="single" w:color="auto" w:sz="4" w:space="0"/>
              <w:left w:val="nil"/>
              <w:bottom w:val="single" w:color="auto" w:sz="4" w:space="0"/>
              <w:right w:val="single" w:color="auto" w:sz="4" w:space="0"/>
            </w:tcBorders>
            <w:shd w:val="clear" w:color="auto" w:fill="auto"/>
            <w:vAlign w:val="center"/>
          </w:tcPr>
          <w:p>
            <w:pPr>
              <w:pStyle w:val="5"/>
              <w:spacing w:before="100" w:beforeAutospacing="1" w:after="100" w:afterAutospacing="1" w:line="240" w:lineRule="auto"/>
              <w:outlineLvl w:val="1"/>
              <w:rPr>
                <w:rFonts w:hint="default" w:ascii="宋体" w:hAnsi="宋体" w:eastAsia="宋体" w:cs="宋体"/>
                <w:color w:val="000000"/>
                <w:lang w:val="en-US" w:eastAsia="zh-CN"/>
              </w:rPr>
            </w:pPr>
            <w:r>
              <w:rPr>
                <w:rFonts w:hint="eastAsia" w:ascii="宋体" w:hAnsi="宋体" w:cs="宋体"/>
                <w:color w:val="000000"/>
                <w:lang w:val="en-US" w:eastAsia="zh-CN"/>
              </w:rPr>
              <w:t>nbcc.cn，nbcc.edu.cn</w:t>
            </w:r>
          </w:p>
        </w:tc>
      </w:tr>
      <w:tr>
        <w:tblPrEx>
          <w:tblLayout w:type="fixed"/>
          <w:tblCellMar>
            <w:top w:w="0" w:type="dxa"/>
            <w:left w:w="108" w:type="dxa"/>
            <w:bottom w:w="0" w:type="dxa"/>
            <w:right w:w="108" w:type="dxa"/>
          </w:tblCellMar>
        </w:tblPrEx>
        <w:trPr>
          <w:trHeight w:val="420" w:hRule="atLeast"/>
        </w:trPr>
        <w:tc>
          <w:tcPr>
            <w:tcW w:w="1616" w:type="dxa"/>
            <w:vMerge w:val="restart"/>
            <w:tcBorders>
              <w:top w:val="single" w:color="auto" w:sz="4" w:space="0"/>
              <w:left w:val="single" w:color="auto" w:sz="4" w:space="0"/>
              <w:right w:val="single" w:color="auto" w:sz="4" w:space="0"/>
            </w:tcBorders>
            <w:shd w:val="clear" w:color="auto" w:fill="auto"/>
            <w:vAlign w:val="center"/>
          </w:tcPr>
          <w:p>
            <w:pPr>
              <w:pStyle w:val="5"/>
              <w:spacing w:before="100" w:beforeAutospacing="1" w:after="100" w:afterAutospacing="1" w:line="240" w:lineRule="auto"/>
              <w:outlineLvl w:val="1"/>
              <w:rPr>
                <w:rFonts w:hint="eastAsia" w:ascii="宋体" w:hAnsi="宋体" w:cs="宋体"/>
                <w:color w:val="000000"/>
              </w:rPr>
            </w:pPr>
            <w:r>
              <w:rPr>
                <w:rFonts w:hint="eastAsia" w:ascii="宋体" w:hAnsi="宋体" w:cs="宋体"/>
                <w:color w:val="000000"/>
              </w:rPr>
              <w:t>平台要求</w:t>
            </w:r>
          </w:p>
        </w:tc>
        <w:tc>
          <w:tcPr>
            <w:tcW w:w="7378" w:type="dxa"/>
            <w:tcBorders>
              <w:top w:val="single" w:color="auto" w:sz="4" w:space="0"/>
              <w:left w:val="nil"/>
              <w:bottom w:val="single" w:color="auto" w:sz="4" w:space="0"/>
              <w:right w:val="single" w:color="auto" w:sz="4" w:space="0"/>
            </w:tcBorders>
            <w:shd w:val="clear" w:color="auto" w:fill="auto"/>
            <w:vAlign w:val="center"/>
          </w:tcPr>
          <w:p>
            <w:pPr>
              <w:pStyle w:val="5"/>
              <w:spacing w:before="100" w:beforeAutospacing="1" w:after="100" w:afterAutospacing="1" w:line="240" w:lineRule="auto"/>
              <w:outlineLvl w:val="1"/>
              <w:rPr>
                <w:rFonts w:hint="eastAsia" w:ascii="宋体" w:hAnsi="宋体" w:cs="宋体"/>
                <w:color w:val="000000"/>
              </w:rPr>
            </w:pPr>
            <w:r>
              <w:rPr>
                <w:rFonts w:hint="eastAsia" w:ascii="宋体" w:hAnsi="宋体" w:cs="宋体"/>
                <w:color w:val="000000"/>
              </w:rPr>
              <w:t>*全国范围内具备至少20个云防护和CDN加速节点，并提供证明</w:t>
            </w:r>
          </w:p>
        </w:tc>
      </w:tr>
      <w:tr>
        <w:tblPrEx>
          <w:tblLayout w:type="fixed"/>
          <w:tblCellMar>
            <w:top w:w="0" w:type="dxa"/>
            <w:left w:w="108" w:type="dxa"/>
            <w:bottom w:w="0" w:type="dxa"/>
            <w:right w:w="108" w:type="dxa"/>
          </w:tblCellMar>
        </w:tblPrEx>
        <w:trPr>
          <w:trHeight w:val="1096" w:hRule="atLeast"/>
        </w:trPr>
        <w:tc>
          <w:tcPr>
            <w:tcW w:w="1616" w:type="dxa"/>
            <w:vMerge w:val="continue"/>
            <w:tcBorders>
              <w:left w:val="single" w:color="auto" w:sz="4" w:space="0"/>
              <w:right w:val="single" w:color="auto" w:sz="4" w:space="0"/>
            </w:tcBorders>
            <w:shd w:val="clear" w:color="auto" w:fill="auto"/>
            <w:vAlign w:val="center"/>
          </w:tcPr>
          <w:p>
            <w:pPr>
              <w:pStyle w:val="5"/>
              <w:spacing w:before="100" w:beforeAutospacing="1" w:after="100" w:afterAutospacing="1" w:line="240" w:lineRule="auto"/>
              <w:outlineLvl w:val="1"/>
              <w:rPr>
                <w:rFonts w:hint="eastAsia" w:ascii="宋体" w:hAnsi="宋体" w:cs="宋体"/>
                <w:color w:val="000000"/>
              </w:rPr>
            </w:pPr>
          </w:p>
        </w:tc>
        <w:tc>
          <w:tcPr>
            <w:tcW w:w="7378" w:type="dxa"/>
            <w:tcBorders>
              <w:top w:val="single" w:color="auto" w:sz="4" w:space="0"/>
              <w:left w:val="nil"/>
              <w:bottom w:val="single" w:color="auto" w:sz="4" w:space="0"/>
              <w:right w:val="single" w:color="auto" w:sz="4" w:space="0"/>
            </w:tcBorders>
            <w:shd w:val="clear" w:color="auto" w:fill="auto"/>
            <w:vAlign w:val="center"/>
          </w:tcPr>
          <w:p>
            <w:pPr>
              <w:pStyle w:val="5"/>
              <w:spacing w:before="100" w:beforeAutospacing="1" w:after="100" w:afterAutospacing="1" w:line="240" w:lineRule="auto"/>
              <w:outlineLvl w:val="1"/>
              <w:rPr>
                <w:rFonts w:hint="eastAsia" w:ascii="宋体" w:hAnsi="宋体" w:cs="宋体"/>
                <w:color w:val="000000"/>
              </w:rPr>
            </w:pPr>
            <w:r>
              <w:rPr>
                <w:rFonts w:hint="eastAsia" w:ascii="宋体" w:hAnsi="宋体" w:cs="宋体"/>
                <w:color w:val="000000"/>
              </w:rPr>
              <w:t>*要求安全防御平台为一体化平台，应同时具备网站漏洞监测、安全事件监测、可用性监测、攻击防御状态、防护报表等功能,要求所有的功能集成在同一产品上实现。所要求的功能需要提供截图</w:t>
            </w:r>
          </w:p>
        </w:tc>
      </w:tr>
      <w:tr>
        <w:tblPrEx>
          <w:tblLayout w:type="fixed"/>
          <w:tblCellMar>
            <w:top w:w="0" w:type="dxa"/>
            <w:left w:w="108" w:type="dxa"/>
            <w:bottom w:w="0" w:type="dxa"/>
            <w:right w:w="108" w:type="dxa"/>
          </w:tblCellMar>
        </w:tblPrEx>
        <w:trPr>
          <w:trHeight w:val="202" w:hRule="atLeast"/>
        </w:trPr>
        <w:tc>
          <w:tcPr>
            <w:tcW w:w="1616" w:type="dxa"/>
            <w:vMerge w:val="continue"/>
            <w:tcBorders>
              <w:left w:val="single" w:color="auto" w:sz="4" w:space="0"/>
              <w:right w:val="single" w:color="auto" w:sz="4" w:space="0"/>
            </w:tcBorders>
            <w:shd w:val="clear" w:color="auto" w:fill="auto"/>
            <w:vAlign w:val="center"/>
          </w:tcPr>
          <w:p>
            <w:pPr>
              <w:pStyle w:val="5"/>
              <w:spacing w:before="100" w:beforeAutospacing="1" w:after="100" w:afterAutospacing="1" w:line="240" w:lineRule="auto"/>
              <w:outlineLvl w:val="1"/>
              <w:rPr>
                <w:rFonts w:hint="eastAsia" w:ascii="宋体" w:hAnsi="宋体" w:cs="宋体"/>
                <w:color w:val="000000"/>
              </w:rPr>
            </w:pPr>
          </w:p>
        </w:tc>
        <w:tc>
          <w:tcPr>
            <w:tcW w:w="7378" w:type="dxa"/>
            <w:tcBorders>
              <w:top w:val="single" w:color="auto" w:sz="4" w:space="0"/>
              <w:left w:val="nil"/>
              <w:bottom w:val="single" w:color="auto" w:sz="4" w:space="0"/>
              <w:right w:val="single" w:color="auto" w:sz="4" w:space="0"/>
            </w:tcBorders>
            <w:shd w:val="clear" w:color="auto" w:fill="auto"/>
            <w:vAlign w:val="center"/>
          </w:tcPr>
          <w:p>
            <w:pPr>
              <w:pStyle w:val="5"/>
              <w:spacing w:before="100" w:beforeAutospacing="1" w:after="100" w:afterAutospacing="1" w:line="240" w:lineRule="auto"/>
              <w:outlineLvl w:val="1"/>
              <w:rPr>
                <w:rFonts w:hint="eastAsia" w:ascii="宋体" w:hAnsi="宋体" w:cs="宋体"/>
                <w:color w:val="000000"/>
              </w:rPr>
            </w:pPr>
            <w:r>
              <w:rPr>
                <w:rFonts w:hint="eastAsia" w:ascii="宋体" w:hAnsi="宋体" w:cs="宋体"/>
                <w:color w:val="000000"/>
              </w:rPr>
              <w:t>能为每个网站用户单独创建用户账号，用于查看网站和系统的安全状况。监管用户可关注、查看所有下属机构的网站和系统整体情况。</w:t>
            </w:r>
          </w:p>
        </w:tc>
      </w:tr>
      <w:tr>
        <w:tblPrEx>
          <w:tblLayout w:type="fixed"/>
          <w:tblCellMar>
            <w:top w:w="0" w:type="dxa"/>
            <w:left w:w="108" w:type="dxa"/>
            <w:bottom w:w="0" w:type="dxa"/>
            <w:right w:w="108" w:type="dxa"/>
          </w:tblCellMar>
        </w:tblPrEx>
        <w:trPr>
          <w:trHeight w:val="589" w:hRule="atLeast"/>
        </w:trPr>
        <w:tc>
          <w:tcPr>
            <w:tcW w:w="1616" w:type="dxa"/>
            <w:vMerge w:val="continue"/>
            <w:tcBorders>
              <w:left w:val="single" w:color="auto" w:sz="4" w:space="0"/>
              <w:right w:val="single" w:color="auto" w:sz="4" w:space="0"/>
            </w:tcBorders>
            <w:shd w:val="clear" w:color="auto" w:fill="auto"/>
            <w:vAlign w:val="center"/>
          </w:tcPr>
          <w:p>
            <w:pPr>
              <w:pStyle w:val="5"/>
              <w:spacing w:before="100" w:beforeAutospacing="1" w:after="100" w:afterAutospacing="1" w:line="240" w:lineRule="auto"/>
              <w:outlineLvl w:val="1"/>
              <w:rPr>
                <w:rFonts w:hint="eastAsia" w:ascii="宋体" w:hAnsi="宋体" w:cs="宋体"/>
                <w:color w:val="000000"/>
              </w:rPr>
            </w:pPr>
          </w:p>
        </w:tc>
        <w:tc>
          <w:tcPr>
            <w:tcW w:w="7378" w:type="dxa"/>
            <w:tcBorders>
              <w:top w:val="single" w:color="auto" w:sz="4" w:space="0"/>
              <w:left w:val="nil"/>
              <w:right w:val="single" w:color="auto" w:sz="4" w:space="0"/>
            </w:tcBorders>
            <w:shd w:val="clear" w:color="auto" w:fill="auto"/>
            <w:vAlign w:val="center"/>
          </w:tcPr>
          <w:p>
            <w:pPr>
              <w:pStyle w:val="5"/>
              <w:spacing w:before="100" w:beforeAutospacing="1" w:after="100" w:afterAutospacing="1" w:line="240" w:lineRule="auto"/>
              <w:outlineLvl w:val="1"/>
              <w:rPr>
                <w:rFonts w:hint="eastAsia" w:ascii="宋体" w:hAnsi="宋体" w:cs="宋体"/>
                <w:color w:val="000000"/>
              </w:rPr>
            </w:pPr>
            <w:r>
              <w:rPr>
                <w:rFonts w:hint="eastAsia" w:ascii="宋体" w:hAnsi="宋体" w:cs="宋体"/>
                <w:color w:val="000000"/>
              </w:rPr>
              <w:t>近三年内原厂商具有9个不低于50万元的云防护服务合同，并提供合同复印件</w:t>
            </w:r>
          </w:p>
        </w:tc>
      </w:tr>
      <w:tr>
        <w:tblPrEx>
          <w:tblLayout w:type="fixed"/>
          <w:tblCellMar>
            <w:top w:w="0" w:type="dxa"/>
            <w:left w:w="108" w:type="dxa"/>
            <w:bottom w:w="0" w:type="dxa"/>
            <w:right w:w="108" w:type="dxa"/>
          </w:tblCellMar>
        </w:tblPrEx>
        <w:trPr>
          <w:trHeight w:val="838" w:hRule="atLeast"/>
        </w:trPr>
        <w:tc>
          <w:tcPr>
            <w:tcW w:w="1616" w:type="dxa"/>
            <w:tcBorders>
              <w:top w:val="single" w:color="auto" w:sz="4" w:space="0"/>
              <w:left w:val="single" w:color="auto" w:sz="4" w:space="0"/>
              <w:right w:val="single" w:color="auto" w:sz="4" w:space="0"/>
            </w:tcBorders>
            <w:shd w:val="clear" w:color="auto" w:fill="auto"/>
            <w:vAlign w:val="center"/>
          </w:tcPr>
          <w:p>
            <w:pPr>
              <w:pStyle w:val="5"/>
              <w:spacing w:before="100" w:beforeAutospacing="1" w:after="100" w:afterAutospacing="1" w:line="240" w:lineRule="auto"/>
              <w:outlineLvl w:val="1"/>
              <w:rPr>
                <w:rFonts w:hint="eastAsia" w:ascii="宋体" w:hAnsi="宋体" w:cs="宋体"/>
                <w:color w:val="000000"/>
              </w:rPr>
            </w:pPr>
            <w:r>
              <w:rPr>
                <w:rFonts w:hint="eastAsia" w:ascii="宋体" w:hAnsi="宋体" w:cs="宋体"/>
                <w:color w:val="000000"/>
              </w:rPr>
              <w:t>部署方式</w:t>
            </w:r>
          </w:p>
        </w:tc>
        <w:tc>
          <w:tcPr>
            <w:tcW w:w="7378" w:type="dxa"/>
            <w:tcBorders>
              <w:top w:val="single" w:color="auto" w:sz="4" w:space="0"/>
              <w:left w:val="nil"/>
              <w:bottom w:val="single" w:color="auto" w:sz="4" w:space="0"/>
              <w:right w:val="single" w:color="auto" w:sz="4" w:space="0"/>
            </w:tcBorders>
            <w:shd w:val="clear" w:color="auto" w:fill="auto"/>
            <w:vAlign w:val="center"/>
          </w:tcPr>
          <w:p>
            <w:pPr>
              <w:pStyle w:val="5"/>
              <w:spacing w:before="100" w:beforeAutospacing="1" w:after="100" w:afterAutospacing="1" w:line="240" w:lineRule="auto"/>
              <w:outlineLvl w:val="1"/>
              <w:rPr>
                <w:rFonts w:hint="eastAsia" w:ascii="宋体" w:hAnsi="宋体" w:cs="宋体"/>
                <w:color w:val="000000"/>
              </w:rPr>
            </w:pPr>
            <w:r>
              <w:rPr>
                <w:rFonts w:hint="eastAsia" w:ascii="宋体" w:hAnsi="宋体" w:cs="宋体"/>
                <w:color w:val="000000"/>
              </w:rPr>
              <w:t>无需在网站前端安装任何安全设备、软件，通过DNS别名指向到云端进行安全防护</w:t>
            </w:r>
          </w:p>
        </w:tc>
      </w:tr>
      <w:tr>
        <w:tblPrEx>
          <w:tblLayout w:type="fixed"/>
          <w:tblCellMar>
            <w:top w:w="0" w:type="dxa"/>
            <w:left w:w="108" w:type="dxa"/>
            <w:bottom w:w="0" w:type="dxa"/>
            <w:right w:w="108" w:type="dxa"/>
          </w:tblCellMar>
        </w:tblPrEx>
        <w:trPr>
          <w:trHeight w:val="91" w:hRule="atLeast"/>
        </w:trPr>
        <w:tc>
          <w:tcPr>
            <w:tcW w:w="1616" w:type="dxa"/>
            <w:vMerge w:val="restart"/>
            <w:tcBorders>
              <w:top w:val="single" w:color="auto" w:sz="4" w:space="0"/>
              <w:left w:val="single" w:color="auto" w:sz="4" w:space="0"/>
              <w:right w:val="single" w:color="auto" w:sz="4" w:space="0"/>
            </w:tcBorders>
            <w:shd w:val="clear" w:color="auto" w:fill="auto"/>
            <w:vAlign w:val="center"/>
          </w:tcPr>
          <w:p>
            <w:pPr>
              <w:pStyle w:val="5"/>
              <w:spacing w:before="100" w:beforeAutospacing="1" w:after="100" w:afterAutospacing="1" w:line="240" w:lineRule="auto"/>
              <w:outlineLvl w:val="1"/>
              <w:rPr>
                <w:rFonts w:hint="eastAsia" w:ascii="宋体" w:hAnsi="宋体" w:cs="宋体"/>
                <w:color w:val="000000"/>
              </w:rPr>
            </w:pPr>
            <w:r>
              <w:rPr>
                <w:rFonts w:hint="eastAsia" w:ascii="宋体" w:hAnsi="宋体" w:cs="宋体"/>
                <w:color w:val="000000"/>
              </w:rPr>
              <w:t>防御功能</w:t>
            </w:r>
          </w:p>
        </w:tc>
        <w:tc>
          <w:tcPr>
            <w:tcW w:w="7378" w:type="dxa"/>
            <w:tcBorders>
              <w:top w:val="single" w:color="auto" w:sz="4" w:space="0"/>
              <w:left w:val="nil"/>
              <w:bottom w:val="single" w:color="auto" w:sz="4" w:space="0"/>
              <w:right w:val="single" w:color="auto" w:sz="4" w:space="0"/>
            </w:tcBorders>
            <w:shd w:val="clear" w:color="auto" w:fill="auto"/>
            <w:vAlign w:val="center"/>
          </w:tcPr>
          <w:p>
            <w:pPr>
              <w:pStyle w:val="5"/>
              <w:spacing w:before="100" w:beforeAutospacing="1" w:after="100" w:afterAutospacing="1" w:line="240" w:lineRule="auto"/>
              <w:outlineLvl w:val="1"/>
              <w:rPr>
                <w:rFonts w:hint="eastAsia" w:ascii="宋体" w:hAnsi="宋体" w:cs="宋体"/>
                <w:color w:val="000000"/>
              </w:rPr>
            </w:pPr>
            <w:r>
              <w:rPr>
                <w:rFonts w:hint="eastAsia" w:ascii="宋体" w:hAnsi="宋体" w:cs="宋体"/>
                <w:color w:val="000000"/>
              </w:rPr>
              <w:t>*能提供不低于2Tbps的DDOS流量清洗能力，并提供证明文件；</w:t>
            </w:r>
          </w:p>
        </w:tc>
      </w:tr>
      <w:tr>
        <w:tblPrEx>
          <w:tblLayout w:type="fixed"/>
          <w:tblCellMar>
            <w:top w:w="0" w:type="dxa"/>
            <w:left w:w="108" w:type="dxa"/>
            <w:bottom w:w="0" w:type="dxa"/>
            <w:right w:w="108" w:type="dxa"/>
          </w:tblCellMar>
        </w:tblPrEx>
        <w:trPr>
          <w:trHeight w:val="224" w:hRule="atLeast"/>
        </w:trPr>
        <w:tc>
          <w:tcPr>
            <w:tcW w:w="1616" w:type="dxa"/>
            <w:vMerge w:val="continue"/>
            <w:tcBorders>
              <w:left w:val="single" w:color="auto" w:sz="4" w:space="0"/>
              <w:right w:val="single" w:color="auto" w:sz="4" w:space="0"/>
            </w:tcBorders>
            <w:shd w:val="clear" w:color="auto" w:fill="auto"/>
            <w:vAlign w:val="center"/>
          </w:tcPr>
          <w:p>
            <w:pPr>
              <w:pStyle w:val="5"/>
              <w:spacing w:before="100" w:beforeAutospacing="1" w:after="100" w:afterAutospacing="1" w:line="240" w:lineRule="auto"/>
              <w:outlineLvl w:val="1"/>
              <w:rPr>
                <w:rFonts w:hint="eastAsia" w:ascii="宋体" w:hAnsi="宋体" w:cs="宋体"/>
                <w:color w:val="000000"/>
              </w:rPr>
            </w:pPr>
          </w:p>
        </w:tc>
        <w:tc>
          <w:tcPr>
            <w:tcW w:w="7378" w:type="dxa"/>
            <w:tcBorders>
              <w:top w:val="single" w:color="auto" w:sz="4" w:space="0"/>
              <w:left w:val="nil"/>
              <w:bottom w:val="single" w:color="auto" w:sz="4" w:space="0"/>
              <w:right w:val="single" w:color="auto" w:sz="4" w:space="0"/>
            </w:tcBorders>
            <w:shd w:val="clear" w:color="auto" w:fill="auto"/>
            <w:vAlign w:val="center"/>
          </w:tcPr>
          <w:p>
            <w:pPr>
              <w:pStyle w:val="5"/>
              <w:spacing w:before="100" w:beforeAutospacing="1" w:after="100" w:afterAutospacing="1" w:line="240" w:lineRule="auto"/>
              <w:outlineLvl w:val="1"/>
              <w:rPr>
                <w:rFonts w:hint="eastAsia" w:ascii="宋体" w:hAnsi="宋体" w:cs="宋体"/>
                <w:color w:val="000000"/>
              </w:rPr>
            </w:pPr>
            <w:r>
              <w:rPr>
                <w:rFonts w:hint="eastAsia" w:ascii="宋体" w:hAnsi="宋体" w:cs="宋体"/>
                <w:color w:val="000000"/>
              </w:rPr>
              <w:t>支持DDOS防护算法调整，如可选择至少三种SYN Flood攻击防护机制，可自定义设置流量、连接数等触发防护阀值；</w:t>
            </w:r>
          </w:p>
        </w:tc>
      </w:tr>
      <w:tr>
        <w:tblPrEx>
          <w:tblLayout w:type="fixed"/>
          <w:tblCellMar>
            <w:top w:w="0" w:type="dxa"/>
            <w:left w:w="108" w:type="dxa"/>
            <w:bottom w:w="0" w:type="dxa"/>
            <w:right w:w="108" w:type="dxa"/>
          </w:tblCellMar>
        </w:tblPrEx>
        <w:trPr>
          <w:trHeight w:val="906" w:hRule="atLeast"/>
        </w:trPr>
        <w:tc>
          <w:tcPr>
            <w:tcW w:w="1616" w:type="dxa"/>
            <w:vMerge w:val="continue"/>
            <w:tcBorders>
              <w:left w:val="single" w:color="auto" w:sz="4" w:space="0"/>
              <w:right w:val="single" w:color="auto" w:sz="4" w:space="0"/>
            </w:tcBorders>
            <w:shd w:val="clear" w:color="auto" w:fill="auto"/>
            <w:vAlign w:val="center"/>
          </w:tcPr>
          <w:p>
            <w:pPr>
              <w:pStyle w:val="5"/>
              <w:spacing w:before="100" w:beforeAutospacing="1" w:after="100" w:afterAutospacing="1" w:line="240" w:lineRule="auto"/>
              <w:outlineLvl w:val="1"/>
              <w:rPr>
                <w:rFonts w:hint="eastAsia" w:ascii="宋体" w:hAnsi="宋体" w:cs="宋体"/>
                <w:color w:val="000000"/>
              </w:rPr>
            </w:pPr>
          </w:p>
        </w:tc>
        <w:tc>
          <w:tcPr>
            <w:tcW w:w="7378" w:type="dxa"/>
            <w:tcBorders>
              <w:top w:val="single" w:color="auto" w:sz="4" w:space="0"/>
              <w:left w:val="nil"/>
              <w:bottom w:val="single" w:color="auto" w:sz="4" w:space="0"/>
              <w:right w:val="single" w:color="auto" w:sz="4" w:space="0"/>
            </w:tcBorders>
            <w:shd w:val="clear" w:color="auto" w:fill="auto"/>
            <w:vAlign w:val="center"/>
          </w:tcPr>
          <w:p>
            <w:pPr>
              <w:pStyle w:val="5"/>
              <w:spacing w:before="100" w:beforeAutospacing="1" w:after="100" w:afterAutospacing="1" w:line="240" w:lineRule="auto"/>
              <w:outlineLvl w:val="1"/>
              <w:rPr>
                <w:rFonts w:hint="eastAsia" w:ascii="宋体" w:hAnsi="宋体" w:cs="宋体"/>
                <w:color w:val="000000"/>
              </w:rPr>
            </w:pPr>
            <w:r>
              <w:rPr>
                <w:rFonts w:hint="eastAsia" w:ascii="宋体" w:hAnsi="宋体" w:cs="宋体"/>
                <w:color w:val="000000"/>
              </w:rPr>
              <w:t>连接型DDoS攻击防护，过滤TCP慢速连接攻击、连接耗尽攻击、tcp新建连接限制等攻击和loic、hoic、slowloris、Pyloris、xoic等慢速攻击</w:t>
            </w:r>
          </w:p>
        </w:tc>
      </w:tr>
      <w:tr>
        <w:tblPrEx>
          <w:tblLayout w:type="fixed"/>
          <w:tblCellMar>
            <w:top w:w="0" w:type="dxa"/>
            <w:left w:w="108" w:type="dxa"/>
            <w:bottom w:w="0" w:type="dxa"/>
            <w:right w:w="108" w:type="dxa"/>
          </w:tblCellMar>
        </w:tblPrEx>
        <w:trPr>
          <w:trHeight w:val="216" w:hRule="atLeast"/>
        </w:trPr>
        <w:tc>
          <w:tcPr>
            <w:tcW w:w="1616" w:type="dxa"/>
            <w:vMerge w:val="continue"/>
            <w:tcBorders>
              <w:left w:val="single" w:color="auto" w:sz="4" w:space="0"/>
              <w:right w:val="single" w:color="auto" w:sz="4" w:space="0"/>
            </w:tcBorders>
            <w:shd w:val="clear" w:color="auto" w:fill="auto"/>
            <w:vAlign w:val="center"/>
          </w:tcPr>
          <w:p>
            <w:pPr>
              <w:pStyle w:val="5"/>
              <w:spacing w:before="100" w:beforeAutospacing="1" w:after="100" w:afterAutospacing="1" w:line="240" w:lineRule="auto"/>
              <w:outlineLvl w:val="1"/>
              <w:rPr>
                <w:rFonts w:hint="eastAsia" w:ascii="宋体" w:hAnsi="宋体" w:cs="宋体"/>
                <w:color w:val="000000"/>
              </w:rPr>
            </w:pPr>
          </w:p>
        </w:tc>
        <w:tc>
          <w:tcPr>
            <w:tcW w:w="7378" w:type="dxa"/>
            <w:tcBorders>
              <w:top w:val="single" w:color="auto" w:sz="4" w:space="0"/>
              <w:left w:val="nil"/>
              <w:bottom w:val="single" w:color="auto" w:sz="4" w:space="0"/>
              <w:right w:val="single" w:color="auto" w:sz="4" w:space="0"/>
            </w:tcBorders>
            <w:shd w:val="clear" w:color="auto" w:fill="auto"/>
            <w:vAlign w:val="center"/>
          </w:tcPr>
          <w:p>
            <w:pPr>
              <w:pStyle w:val="5"/>
              <w:spacing w:before="100" w:beforeAutospacing="1" w:after="100" w:afterAutospacing="1" w:line="240" w:lineRule="auto"/>
              <w:outlineLvl w:val="1"/>
              <w:rPr>
                <w:rFonts w:hint="eastAsia" w:ascii="宋体" w:hAnsi="宋体" w:cs="宋体"/>
                <w:color w:val="000000"/>
              </w:rPr>
            </w:pPr>
            <w:r>
              <w:rPr>
                <w:rFonts w:hint="eastAsia" w:ascii="宋体" w:hAnsi="宋体" w:cs="宋体"/>
                <w:color w:val="000000"/>
              </w:rPr>
              <w:t>系统应具有常用应用层协议（如HTTP、FTP、GAME、DNS等）防护插件；</w:t>
            </w:r>
          </w:p>
        </w:tc>
      </w:tr>
      <w:tr>
        <w:tblPrEx>
          <w:tblLayout w:type="fixed"/>
          <w:tblCellMar>
            <w:top w:w="0" w:type="dxa"/>
            <w:left w:w="108" w:type="dxa"/>
            <w:bottom w:w="0" w:type="dxa"/>
            <w:right w:w="108" w:type="dxa"/>
          </w:tblCellMar>
        </w:tblPrEx>
        <w:trPr>
          <w:trHeight w:val="225" w:hRule="atLeast"/>
        </w:trPr>
        <w:tc>
          <w:tcPr>
            <w:tcW w:w="1616" w:type="dxa"/>
            <w:vMerge w:val="continue"/>
            <w:tcBorders>
              <w:left w:val="single" w:color="auto" w:sz="4" w:space="0"/>
              <w:right w:val="single" w:color="auto" w:sz="4" w:space="0"/>
            </w:tcBorders>
            <w:shd w:val="clear" w:color="auto" w:fill="auto"/>
            <w:vAlign w:val="center"/>
          </w:tcPr>
          <w:p>
            <w:pPr>
              <w:pStyle w:val="5"/>
              <w:spacing w:before="100" w:beforeAutospacing="1" w:after="100" w:afterAutospacing="1" w:line="240" w:lineRule="auto"/>
              <w:outlineLvl w:val="1"/>
              <w:rPr>
                <w:rFonts w:hint="eastAsia" w:ascii="宋体" w:hAnsi="宋体" w:cs="宋体"/>
                <w:color w:val="000000"/>
              </w:rPr>
            </w:pPr>
          </w:p>
        </w:tc>
        <w:tc>
          <w:tcPr>
            <w:tcW w:w="7378" w:type="dxa"/>
            <w:tcBorders>
              <w:top w:val="single" w:color="auto" w:sz="4" w:space="0"/>
              <w:left w:val="nil"/>
              <w:bottom w:val="single" w:color="auto" w:sz="4" w:space="0"/>
              <w:right w:val="single" w:color="auto" w:sz="4" w:space="0"/>
            </w:tcBorders>
            <w:shd w:val="clear" w:color="auto" w:fill="auto"/>
            <w:vAlign w:val="center"/>
          </w:tcPr>
          <w:p>
            <w:pPr>
              <w:pStyle w:val="5"/>
              <w:spacing w:before="100" w:beforeAutospacing="1" w:after="100" w:afterAutospacing="1" w:line="240" w:lineRule="auto"/>
              <w:outlineLvl w:val="1"/>
              <w:rPr>
                <w:rFonts w:hint="eastAsia" w:ascii="宋体" w:hAnsi="宋体" w:cs="宋体"/>
                <w:color w:val="000000"/>
              </w:rPr>
            </w:pPr>
            <w:r>
              <w:rPr>
                <w:rFonts w:hint="eastAsia" w:ascii="宋体" w:hAnsi="宋体" w:cs="宋体"/>
                <w:color w:val="000000"/>
              </w:rPr>
              <w:t>特征过滤，4层ip+port过滤和7层payload部分内容过滤</w:t>
            </w:r>
          </w:p>
        </w:tc>
      </w:tr>
      <w:tr>
        <w:tblPrEx>
          <w:tblLayout w:type="fixed"/>
          <w:tblCellMar>
            <w:top w:w="0" w:type="dxa"/>
            <w:left w:w="108" w:type="dxa"/>
            <w:bottom w:w="0" w:type="dxa"/>
            <w:right w:w="108" w:type="dxa"/>
          </w:tblCellMar>
        </w:tblPrEx>
        <w:trPr>
          <w:trHeight w:val="1234" w:hRule="atLeast"/>
        </w:trPr>
        <w:tc>
          <w:tcPr>
            <w:tcW w:w="1616" w:type="dxa"/>
            <w:vMerge w:val="continue"/>
            <w:tcBorders>
              <w:left w:val="single" w:color="auto" w:sz="4" w:space="0"/>
              <w:right w:val="single" w:color="auto" w:sz="4" w:space="0"/>
            </w:tcBorders>
            <w:shd w:val="clear" w:color="auto" w:fill="auto"/>
            <w:vAlign w:val="center"/>
          </w:tcPr>
          <w:p>
            <w:pPr>
              <w:pStyle w:val="5"/>
              <w:spacing w:before="100" w:beforeAutospacing="1" w:after="100" w:afterAutospacing="1" w:line="240" w:lineRule="auto"/>
              <w:outlineLvl w:val="1"/>
              <w:rPr>
                <w:rFonts w:hint="eastAsia" w:ascii="宋体" w:hAnsi="宋体" w:cs="宋体"/>
                <w:color w:val="000000"/>
              </w:rPr>
            </w:pPr>
          </w:p>
        </w:tc>
        <w:tc>
          <w:tcPr>
            <w:tcW w:w="7378" w:type="dxa"/>
            <w:tcBorders>
              <w:top w:val="single" w:color="auto" w:sz="4" w:space="0"/>
              <w:left w:val="nil"/>
              <w:bottom w:val="single" w:color="auto" w:sz="4" w:space="0"/>
              <w:right w:val="single" w:color="auto" w:sz="4" w:space="0"/>
            </w:tcBorders>
            <w:shd w:val="clear" w:color="auto" w:fill="auto"/>
            <w:vAlign w:val="center"/>
          </w:tcPr>
          <w:p>
            <w:pPr>
              <w:pStyle w:val="5"/>
              <w:spacing w:before="100" w:beforeAutospacing="1" w:after="100" w:afterAutospacing="1" w:line="240" w:lineRule="auto"/>
              <w:outlineLvl w:val="1"/>
              <w:rPr>
                <w:rFonts w:hint="eastAsia" w:ascii="宋体" w:hAnsi="宋体" w:cs="宋体"/>
                <w:color w:val="000000"/>
              </w:rPr>
            </w:pPr>
            <w:r>
              <w:rPr>
                <w:rFonts w:hint="eastAsia" w:ascii="宋体" w:hAnsi="宋体" w:cs="宋体"/>
                <w:color w:val="000000"/>
              </w:rPr>
              <w:t>支持检查提交的报文是否符合HTTP协议框架，如异常的请求方法、特殊字符、重点字段的缺失、超长报文造成的溢出攻击以及对高危文件的访问等</w:t>
            </w:r>
          </w:p>
        </w:tc>
      </w:tr>
      <w:tr>
        <w:tblPrEx>
          <w:tblLayout w:type="fixed"/>
          <w:tblCellMar>
            <w:top w:w="0" w:type="dxa"/>
            <w:left w:w="108" w:type="dxa"/>
            <w:bottom w:w="0" w:type="dxa"/>
            <w:right w:w="108" w:type="dxa"/>
          </w:tblCellMar>
        </w:tblPrEx>
        <w:trPr>
          <w:trHeight w:val="800" w:hRule="atLeast"/>
        </w:trPr>
        <w:tc>
          <w:tcPr>
            <w:tcW w:w="1616" w:type="dxa"/>
            <w:vMerge w:val="continue"/>
            <w:tcBorders>
              <w:left w:val="single" w:color="auto" w:sz="4" w:space="0"/>
              <w:right w:val="single" w:color="auto" w:sz="4" w:space="0"/>
            </w:tcBorders>
            <w:shd w:val="clear" w:color="auto" w:fill="auto"/>
            <w:vAlign w:val="center"/>
          </w:tcPr>
          <w:p>
            <w:pPr>
              <w:pStyle w:val="5"/>
              <w:spacing w:before="100" w:beforeAutospacing="1" w:after="100" w:afterAutospacing="1" w:line="240" w:lineRule="auto"/>
              <w:outlineLvl w:val="1"/>
              <w:rPr>
                <w:rFonts w:hint="eastAsia" w:ascii="宋体" w:hAnsi="宋体" w:cs="宋体"/>
                <w:color w:val="000000"/>
              </w:rPr>
            </w:pPr>
          </w:p>
        </w:tc>
        <w:tc>
          <w:tcPr>
            <w:tcW w:w="7378" w:type="dxa"/>
            <w:tcBorders>
              <w:top w:val="single" w:color="auto" w:sz="4" w:space="0"/>
              <w:left w:val="nil"/>
              <w:bottom w:val="single" w:color="auto" w:sz="4" w:space="0"/>
              <w:right w:val="single" w:color="auto" w:sz="4" w:space="0"/>
            </w:tcBorders>
            <w:shd w:val="clear" w:color="auto" w:fill="auto"/>
            <w:vAlign w:val="center"/>
          </w:tcPr>
          <w:p>
            <w:pPr>
              <w:pStyle w:val="5"/>
              <w:spacing w:before="100" w:beforeAutospacing="1" w:after="100" w:afterAutospacing="1" w:line="240" w:lineRule="auto"/>
              <w:outlineLvl w:val="1"/>
              <w:rPr>
                <w:rFonts w:hint="eastAsia" w:ascii="宋体" w:hAnsi="宋体" w:cs="宋体"/>
                <w:color w:val="000000"/>
              </w:rPr>
            </w:pPr>
            <w:r>
              <w:rPr>
                <w:rFonts w:hint="eastAsia" w:ascii="宋体" w:hAnsi="宋体" w:cs="宋体"/>
                <w:color w:val="000000"/>
              </w:rPr>
              <w:t>支持识别恶意请求含：跨站脚本(XSS)、注入式攻击（包括SQL注入、命令注入 、Cookie 注入等）、跨站请求伪造等应用攻击行为</w:t>
            </w:r>
          </w:p>
        </w:tc>
      </w:tr>
      <w:tr>
        <w:tblPrEx>
          <w:tblLayout w:type="fixed"/>
          <w:tblCellMar>
            <w:top w:w="0" w:type="dxa"/>
            <w:left w:w="108" w:type="dxa"/>
            <w:bottom w:w="0" w:type="dxa"/>
            <w:right w:w="108" w:type="dxa"/>
          </w:tblCellMar>
        </w:tblPrEx>
        <w:tc>
          <w:tcPr>
            <w:tcW w:w="1616" w:type="dxa"/>
            <w:vMerge w:val="continue"/>
            <w:tcBorders>
              <w:left w:val="single" w:color="auto" w:sz="4" w:space="0"/>
              <w:right w:val="single" w:color="auto" w:sz="4" w:space="0"/>
            </w:tcBorders>
            <w:shd w:val="clear" w:color="auto" w:fill="auto"/>
            <w:vAlign w:val="center"/>
          </w:tcPr>
          <w:p>
            <w:pPr>
              <w:pStyle w:val="5"/>
              <w:spacing w:before="100" w:beforeAutospacing="1" w:after="100" w:afterAutospacing="1" w:line="240" w:lineRule="auto"/>
              <w:outlineLvl w:val="1"/>
              <w:rPr>
                <w:rFonts w:hint="eastAsia" w:ascii="宋体" w:hAnsi="宋体" w:cs="宋体"/>
                <w:color w:val="000000"/>
              </w:rPr>
            </w:pPr>
          </w:p>
        </w:tc>
        <w:tc>
          <w:tcPr>
            <w:tcW w:w="7378" w:type="dxa"/>
            <w:tcBorders>
              <w:top w:val="single" w:color="auto" w:sz="4" w:space="0"/>
              <w:left w:val="nil"/>
              <w:bottom w:val="single" w:color="auto" w:sz="4" w:space="0"/>
              <w:right w:val="single" w:color="auto" w:sz="4" w:space="0"/>
            </w:tcBorders>
            <w:shd w:val="clear" w:color="auto" w:fill="auto"/>
            <w:vAlign w:val="center"/>
          </w:tcPr>
          <w:p>
            <w:pPr>
              <w:pStyle w:val="5"/>
              <w:spacing w:before="100" w:beforeAutospacing="1" w:after="100" w:afterAutospacing="1" w:line="240" w:lineRule="auto"/>
              <w:outlineLvl w:val="1"/>
              <w:rPr>
                <w:rFonts w:hint="eastAsia" w:ascii="宋体" w:hAnsi="宋体" w:cs="宋体"/>
                <w:color w:val="000000"/>
              </w:rPr>
            </w:pPr>
            <w:r>
              <w:rPr>
                <w:rFonts w:hint="eastAsia" w:ascii="宋体" w:hAnsi="宋体" w:cs="宋体"/>
                <w:color w:val="000000"/>
              </w:rPr>
              <w:t>支持识别服务端响应内容导致的缺陷：敏感信息泄露、已有的网页后门、错误配置、目录浏览等缺陷</w:t>
            </w:r>
          </w:p>
        </w:tc>
      </w:tr>
      <w:tr>
        <w:tblPrEx>
          <w:tblLayout w:type="fixed"/>
          <w:tblCellMar>
            <w:top w:w="0" w:type="dxa"/>
            <w:left w:w="108" w:type="dxa"/>
            <w:bottom w:w="0" w:type="dxa"/>
            <w:right w:w="108" w:type="dxa"/>
          </w:tblCellMar>
        </w:tblPrEx>
        <w:tc>
          <w:tcPr>
            <w:tcW w:w="1616" w:type="dxa"/>
            <w:vMerge w:val="continue"/>
            <w:tcBorders>
              <w:left w:val="single" w:color="auto" w:sz="4" w:space="0"/>
              <w:right w:val="single" w:color="auto" w:sz="4" w:space="0"/>
            </w:tcBorders>
            <w:shd w:val="clear" w:color="auto" w:fill="auto"/>
            <w:vAlign w:val="center"/>
          </w:tcPr>
          <w:p>
            <w:pPr>
              <w:pStyle w:val="5"/>
              <w:spacing w:before="100" w:beforeAutospacing="1" w:after="100" w:afterAutospacing="1" w:line="240" w:lineRule="auto"/>
              <w:outlineLvl w:val="1"/>
              <w:rPr>
                <w:rFonts w:hint="eastAsia" w:ascii="宋体" w:hAnsi="宋体" w:cs="宋体"/>
                <w:color w:val="000000"/>
              </w:rPr>
            </w:pPr>
          </w:p>
        </w:tc>
        <w:tc>
          <w:tcPr>
            <w:tcW w:w="7378" w:type="dxa"/>
            <w:tcBorders>
              <w:top w:val="single" w:color="auto" w:sz="4" w:space="0"/>
              <w:left w:val="nil"/>
              <w:bottom w:val="single" w:color="auto" w:sz="4" w:space="0"/>
              <w:right w:val="single" w:color="auto" w:sz="4" w:space="0"/>
            </w:tcBorders>
            <w:shd w:val="clear" w:color="auto" w:fill="auto"/>
            <w:vAlign w:val="center"/>
          </w:tcPr>
          <w:p>
            <w:pPr>
              <w:pStyle w:val="5"/>
              <w:spacing w:before="100" w:beforeAutospacing="1" w:after="100" w:afterAutospacing="1" w:line="240" w:lineRule="auto"/>
              <w:outlineLvl w:val="1"/>
              <w:rPr>
                <w:rFonts w:hint="eastAsia" w:ascii="宋体" w:hAnsi="宋体" w:cs="宋体"/>
                <w:color w:val="000000"/>
              </w:rPr>
            </w:pPr>
            <w:r>
              <w:rPr>
                <w:rFonts w:hint="eastAsia" w:ascii="宋体" w:hAnsi="宋体" w:cs="宋体"/>
                <w:color w:val="000000"/>
              </w:rPr>
              <w:t>支持基于访问行为特征进行分析，能识别盗链、爬虫攻击的能力</w:t>
            </w:r>
          </w:p>
        </w:tc>
      </w:tr>
      <w:tr>
        <w:tblPrEx>
          <w:tblLayout w:type="fixed"/>
          <w:tblCellMar>
            <w:top w:w="0" w:type="dxa"/>
            <w:left w:w="108" w:type="dxa"/>
            <w:bottom w:w="0" w:type="dxa"/>
            <w:right w:w="108" w:type="dxa"/>
          </w:tblCellMar>
        </w:tblPrEx>
        <w:trPr>
          <w:trHeight w:val="184" w:hRule="atLeast"/>
        </w:trPr>
        <w:tc>
          <w:tcPr>
            <w:tcW w:w="1616" w:type="dxa"/>
            <w:vMerge w:val="continue"/>
            <w:tcBorders>
              <w:left w:val="single" w:color="auto" w:sz="4" w:space="0"/>
              <w:right w:val="single" w:color="auto" w:sz="4" w:space="0"/>
            </w:tcBorders>
            <w:shd w:val="clear" w:color="auto" w:fill="auto"/>
            <w:vAlign w:val="center"/>
          </w:tcPr>
          <w:p>
            <w:pPr>
              <w:pStyle w:val="5"/>
              <w:spacing w:before="100" w:beforeAutospacing="1" w:after="100" w:afterAutospacing="1" w:line="240" w:lineRule="auto"/>
              <w:outlineLvl w:val="1"/>
              <w:rPr>
                <w:rFonts w:hint="eastAsia" w:ascii="宋体" w:hAnsi="宋体" w:cs="宋体"/>
                <w:color w:val="000000"/>
              </w:rPr>
            </w:pPr>
          </w:p>
        </w:tc>
        <w:tc>
          <w:tcPr>
            <w:tcW w:w="7378" w:type="dxa"/>
            <w:tcBorders>
              <w:top w:val="single" w:color="auto" w:sz="4" w:space="0"/>
              <w:left w:val="nil"/>
              <w:bottom w:val="single" w:color="auto" w:sz="4" w:space="0"/>
              <w:right w:val="single" w:color="auto" w:sz="4" w:space="0"/>
            </w:tcBorders>
            <w:shd w:val="clear" w:color="auto" w:fill="auto"/>
            <w:vAlign w:val="center"/>
          </w:tcPr>
          <w:p>
            <w:pPr>
              <w:pStyle w:val="5"/>
              <w:spacing w:before="100" w:beforeAutospacing="1" w:after="100" w:afterAutospacing="1" w:line="240" w:lineRule="auto"/>
              <w:outlineLvl w:val="1"/>
              <w:rPr>
                <w:rFonts w:hint="eastAsia" w:ascii="宋体" w:hAnsi="宋体" w:cs="宋体"/>
                <w:color w:val="000000"/>
              </w:rPr>
            </w:pPr>
            <w:r>
              <w:rPr>
                <w:rFonts w:hint="eastAsia" w:ascii="宋体" w:hAnsi="宋体" w:cs="宋体"/>
                <w:color w:val="000000"/>
              </w:rPr>
              <w:t>支持对用户上传的文件后缀名和文件内容进行全方面检查，杜绝Webshell的上传和访问</w:t>
            </w:r>
          </w:p>
        </w:tc>
      </w:tr>
      <w:tr>
        <w:tblPrEx>
          <w:tblLayout w:type="fixed"/>
          <w:tblCellMar>
            <w:top w:w="0" w:type="dxa"/>
            <w:left w:w="108" w:type="dxa"/>
            <w:bottom w:w="0" w:type="dxa"/>
            <w:right w:w="108" w:type="dxa"/>
          </w:tblCellMar>
        </w:tblPrEx>
        <w:trPr>
          <w:trHeight w:val="876" w:hRule="atLeast"/>
        </w:trPr>
        <w:tc>
          <w:tcPr>
            <w:tcW w:w="1616" w:type="dxa"/>
            <w:vMerge w:val="continue"/>
            <w:tcBorders>
              <w:left w:val="single" w:color="auto" w:sz="4" w:space="0"/>
              <w:right w:val="single" w:color="auto" w:sz="4" w:space="0"/>
            </w:tcBorders>
            <w:shd w:val="clear" w:color="auto" w:fill="auto"/>
            <w:vAlign w:val="center"/>
          </w:tcPr>
          <w:p>
            <w:pPr>
              <w:pStyle w:val="5"/>
              <w:spacing w:before="100" w:beforeAutospacing="1" w:after="100" w:afterAutospacing="1" w:line="240" w:lineRule="auto"/>
              <w:outlineLvl w:val="1"/>
              <w:rPr>
                <w:rFonts w:hint="eastAsia" w:ascii="宋体" w:hAnsi="宋体" w:cs="宋体"/>
                <w:color w:val="000000"/>
              </w:rPr>
            </w:pPr>
          </w:p>
        </w:tc>
        <w:tc>
          <w:tcPr>
            <w:tcW w:w="7378" w:type="dxa"/>
            <w:tcBorders>
              <w:top w:val="single" w:color="auto" w:sz="4" w:space="0"/>
              <w:left w:val="nil"/>
              <w:right w:val="single" w:color="auto" w:sz="4" w:space="0"/>
            </w:tcBorders>
            <w:shd w:val="clear" w:color="auto" w:fill="auto"/>
            <w:vAlign w:val="center"/>
          </w:tcPr>
          <w:p>
            <w:pPr>
              <w:pStyle w:val="5"/>
              <w:spacing w:before="100" w:beforeAutospacing="1" w:after="100" w:afterAutospacing="1" w:line="240" w:lineRule="auto"/>
              <w:outlineLvl w:val="1"/>
              <w:rPr>
                <w:rFonts w:hint="eastAsia" w:ascii="宋体" w:hAnsi="宋体" w:cs="宋体"/>
                <w:color w:val="000000"/>
              </w:rPr>
            </w:pPr>
            <w:r>
              <w:rPr>
                <w:rFonts w:hint="eastAsia" w:ascii="宋体" w:hAnsi="宋体" w:cs="宋体"/>
                <w:color w:val="000000"/>
              </w:rPr>
              <w:t>支持对WEB服务器容器、应用中间件、CMS系统等第三方组件漏洞进行有效防护</w:t>
            </w:r>
          </w:p>
        </w:tc>
      </w:tr>
      <w:tr>
        <w:tblPrEx>
          <w:tblLayout w:type="fixed"/>
          <w:tblCellMar>
            <w:top w:w="0" w:type="dxa"/>
            <w:left w:w="108" w:type="dxa"/>
            <w:bottom w:w="0" w:type="dxa"/>
            <w:right w:w="108" w:type="dxa"/>
          </w:tblCellMar>
        </w:tblPrEx>
        <w:trPr>
          <w:trHeight w:val="234" w:hRule="atLeast"/>
        </w:trPr>
        <w:tc>
          <w:tcPr>
            <w:tcW w:w="1616" w:type="dxa"/>
            <w:vMerge w:val="continue"/>
            <w:tcBorders>
              <w:left w:val="single" w:color="auto" w:sz="4" w:space="0"/>
              <w:right w:val="single" w:color="auto" w:sz="4" w:space="0"/>
            </w:tcBorders>
            <w:shd w:val="clear" w:color="auto" w:fill="auto"/>
            <w:vAlign w:val="center"/>
          </w:tcPr>
          <w:p>
            <w:pPr>
              <w:pStyle w:val="5"/>
              <w:spacing w:before="100" w:beforeAutospacing="1" w:after="100" w:afterAutospacing="1" w:line="240" w:lineRule="auto"/>
              <w:outlineLvl w:val="1"/>
              <w:rPr>
                <w:rFonts w:hint="eastAsia" w:ascii="宋体" w:hAnsi="宋体" w:cs="宋体"/>
                <w:color w:val="000000"/>
              </w:rPr>
            </w:pPr>
          </w:p>
        </w:tc>
        <w:tc>
          <w:tcPr>
            <w:tcW w:w="7378" w:type="dxa"/>
            <w:tcBorders>
              <w:top w:val="single" w:color="auto" w:sz="4" w:space="0"/>
              <w:left w:val="nil"/>
              <w:bottom w:val="single" w:color="auto" w:sz="4" w:space="0"/>
              <w:right w:val="single" w:color="auto" w:sz="4" w:space="0"/>
            </w:tcBorders>
            <w:shd w:val="clear" w:color="auto" w:fill="auto"/>
            <w:vAlign w:val="center"/>
          </w:tcPr>
          <w:p>
            <w:pPr>
              <w:pStyle w:val="5"/>
              <w:spacing w:before="100" w:beforeAutospacing="1" w:after="100" w:afterAutospacing="1" w:line="240" w:lineRule="auto"/>
              <w:outlineLvl w:val="1"/>
              <w:rPr>
                <w:rFonts w:hint="eastAsia" w:ascii="宋体" w:hAnsi="宋体" w:cs="宋体"/>
                <w:color w:val="000000"/>
              </w:rPr>
            </w:pPr>
            <w:r>
              <w:rPr>
                <w:rFonts w:hint="eastAsia" w:ascii="宋体" w:hAnsi="宋体" w:cs="宋体"/>
                <w:color w:val="000000"/>
              </w:rPr>
              <w:t>支持区域访问控制，限制国外用户或者国内以省市为单位的区域进行访问控制。</w:t>
            </w:r>
          </w:p>
        </w:tc>
      </w:tr>
      <w:tr>
        <w:tblPrEx>
          <w:tblLayout w:type="fixed"/>
          <w:tblCellMar>
            <w:top w:w="0" w:type="dxa"/>
            <w:left w:w="108" w:type="dxa"/>
            <w:bottom w:w="0" w:type="dxa"/>
            <w:right w:w="108" w:type="dxa"/>
          </w:tblCellMar>
        </w:tblPrEx>
        <w:trPr>
          <w:trHeight w:val="234" w:hRule="atLeast"/>
        </w:trPr>
        <w:tc>
          <w:tcPr>
            <w:tcW w:w="1616" w:type="dxa"/>
            <w:vMerge w:val="continue"/>
            <w:tcBorders>
              <w:left w:val="single" w:color="auto" w:sz="4" w:space="0"/>
              <w:right w:val="single" w:color="auto" w:sz="4" w:space="0"/>
            </w:tcBorders>
            <w:shd w:val="clear" w:color="auto" w:fill="auto"/>
            <w:vAlign w:val="center"/>
          </w:tcPr>
          <w:p>
            <w:pPr>
              <w:pStyle w:val="5"/>
              <w:spacing w:before="100" w:beforeAutospacing="1" w:after="100" w:afterAutospacing="1" w:line="240" w:lineRule="auto"/>
              <w:outlineLvl w:val="1"/>
              <w:rPr>
                <w:rFonts w:hint="eastAsia" w:ascii="宋体" w:hAnsi="宋体" w:cs="宋体"/>
                <w:color w:val="000000"/>
              </w:rPr>
            </w:pPr>
          </w:p>
        </w:tc>
        <w:tc>
          <w:tcPr>
            <w:tcW w:w="7378" w:type="dxa"/>
            <w:tcBorders>
              <w:top w:val="single" w:color="auto" w:sz="4" w:space="0"/>
              <w:left w:val="nil"/>
              <w:bottom w:val="single" w:color="auto" w:sz="4" w:space="0"/>
              <w:right w:val="single" w:color="auto" w:sz="4" w:space="0"/>
            </w:tcBorders>
            <w:shd w:val="clear" w:color="auto" w:fill="auto"/>
            <w:vAlign w:val="center"/>
          </w:tcPr>
          <w:p>
            <w:pPr>
              <w:pStyle w:val="5"/>
              <w:spacing w:before="100" w:beforeAutospacing="1" w:after="100" w:afterAutospacing="1" w:line="240" w:lineRule="auto"/>
              <w:outlineLvl w:val="1"/>
              <w:rPr>
                <w:rFonts w:hint="eastAsia" w:ascii="宋体" w:hAnsi="宋体" w:cs="宋体"/>
                <w:color w:val="000000"/>
                <w:lang w:eastAsia="zh-CN"/>
              </w:rPr>
            </w:pPr>
            <w:r>
              <w:rPr>
                <w:rFonts w:hint="eastAsia" w:ascii="宋体" w:hAnsi="宋体" w:cs="宋体"/>
                <w:color w:val="000000"/>
              </w:rPr>
              <w:t>支持智能识别攻击者，对网站连接发起攻击的IP地址进行自动锁定禁止访问被攻击的网站</w:t>
            </w:r>
            <w:r>
              <w:rPr>
                <w:rFonts w:hint="eastAsia" w:ascii="宋体" w:hAnsi="宋体" w:cs="宋体"/>
                <w:color w:val="000000"/>
                <w:lang w:eastAsia="zh-CN"/>
              </w:rPr>
              <w:t>。</w:t>
            </w:r>
          </w:p>
        </w:tc>
      </w:tr>
      <w:tr>
        <w:tblPrEx>
          <w:tblLayout w:type="fixed"/>
          <w:tblCellMar>
            <w:top w:w="0" w:type="dxa"/>
            <w:left w:w="108" w:type="dxa"/>
            <w:bottom w:w="0" w:type="dxa"/>
            <w:right w:w="108" w:type="dxa"/>
          </w:tblCellMar>
        </w:tblPrEx>
        <w:trPr>
          <w:trHeight w:val="720" w:hRule="atLeast"/>
        </w:trPr>
        <w:tc>
          <w:tcPr>
            <w:tcW w:w="1616" w:type="dxa"/>
            <w:vMerge w:val="continue"/>
            <w:tcBorders>
              <w:left w:val="single" w:color="auto" w:sz="4" w:space="0"/>
              <w:right w:val="single" w:color="auto" w:sz="4" w:space="0"/>
            </w:tcBorders>
            <w:shd w:val="clear" w:color="auto" w:fill="auto"/>
            <w:vAlign w:val="center"/>
          </w:tcPr>
          <w:p>
            <w:pPr>
              <w:pStyle w:val="5"/>
              <w:spacing w:before="100" w:beforeAutospacing="1" w:after="100" w:afterAutospacing="1" w:line="240" w:lineRule="auto"/>
              <w:outlineLvl w:val="1"/>
              <w:rPr>
                <w:rFonts w:hint="eastAsia" w:ascii="宋体" w:hAnsi="宋体" w:cs="宋体"/>
                <w:color w:val="000000"/>
              </w:rPr>
            </w:pPr>
          </w:p>
        </w:tc>
        <w:tc>
          <w:tcPr>
            <w:tcW w:w="7378" w:type="dxa"/>
            <w:tcBorders>
              <w:top w:val="single" w:color="auto" w:sz="4" w:space="0"/>
              <w:left w:val="nil"/>
              <w:bottom w:val="single" w:color="auto" w:sz="4" w:space="0"/>
              <w:right w:val="single" w:color="auto" w:sz="4" w:space="0"/>
            </w:tcBorders>
            <w:shd w:val="clear" w:color="auto" w:fill="auto"/>
            <w:vAlign w:val="center"/>
          </w:tcPr>
          <w:p>
            <w:pPr>
              <w:pStyle w:val="5"/>
              <w:spacing w:before="100" w:beforeAutospacing="1" w:after="100" w:afterAutospacing="1" w:line="240" w:lineRule="auto"/>
              <w:outlineLvl w:val="1"/>
              <w:rPr>
                <w:rFonts w:hint="eastAsia" w:ascii="宋体" w:hAnsi="宋体" w:cs="宋体"/>
                <w:color w:val="000000"/>
              </w:rPr>
            </w:pPr>
            <w:r>
              <w:rPr>
                <w:rFonts w:hint="eastAsia" w:ascii="宋体" w:hAnsi="宋体" w:cs="宋体"/>
                <w:color w:val="000000"/>
              </w:rPr>
              <w:t>*支持协同防护，平台够整体联动，对攻击IP进行全面封锁。</w:t>
            </w:r>
          </w:p>
        </w:tc>
      </w:tr>
      <w:tr>
        <w:tblPrEx>
          <w:tblLayout w:type="fixed"/>
          <w:tblCellMar>
            <w:top w:w="0" w:type="dxa"/>
            <w:left w:w="108" w:type="dxa"/>
            <w:bottom w:w="0" w:type="dxa"/>
            <w:right w:w="108" w:type="dxa"/>
          </w:tblCellMar>
        </w:tblPrEx>
        <w:trPr>
          <w:trHeight w:val="720" w:hRule="atLeast"/>
        </w:trPr>
        <w:tc>
          <w:tcPr>
            <w:tcW w:w="1616" w:type="dxa"/>
            <w:vMerge w:val="continue"/>
            <w:tcBorders>
              <w:left w:val="single" w:color="auto" w:sz="4" w:space="0"/>
              <w:right w:val="single" w:color="auto" w:sz="4" w:space="0"/>
            </w:tcBorders>
            <w:shd w:val="clear" w:color="auto" w:fill="auto"/>
            <w:vAlign w:val="center"/>
          </w:tcPr>
          <w:p>
            <w:pPr>
              <w:pStyle w:val="5"/>
              <w:spacing w:before="100" w:beforeAutospacing="1" w:after="100" w:afterAutospacing="1" w:line="240" w:lineRule="auto"/>
              <w:outlineLvl w:val="1"/>
              <w:rPr>
                <w:rFonts w:hint="eastAsia" w:ascii="宋体" w:hAnsi="宋体" w:cs="宋体"/>
                <w:color w:val="000000"/>
              </w:rPr>
            </w:pPr>
          </w:p>
        </w:tc>
        <w:tc>
          <w:tcPr>
            <w:tcW w:w="7378" w:type="dxa"/>
            <w:tcBorders>
              <w:top w:val="single" w:color="auto" w:sz="4" w:space="0"/>
              <w:left w:val="nil"/>
              <w:bottom w:val="single" w:color="auto" w:sz="4" w:space="0"/>
              <w:right w:val="single" w:color="auto" w:sz="4" w:space="0"/>
            </w:tcBorders>
            <w:shd w:val="clear" w:color="auto" w:fill="auto"/>
            <w:vAlign w:val="center"/>
          </w:tcPr>
          <w:p>
            <w:pPr>
              <w:pStyle w:val="5"/>
              <w:spacing w:before="100" w:beforeAutospacing="1" w:after="100" w:afterAutospacing="1" w:line="240" w:lineRule="auto"/>
              <w:outlineLvl w:val="1"/>
              <w:rPr>
                <w:rFonts w:hint="eastAsia" w:ascii="宋体" w:hAnsi="宋体" w:cs="宋体"/>
                <w:color w:val="000000"/>
              </w:rPr>
            </w:pPr>
            <w:r>
              <w:rPr>
                <w:rFonts w:hint="eastAsia" w:ascii="宋体" w:hAnsi="宋体" w:cs="宋体"/>
                <w:color w:val="000000"/>
              </w:rPr>
              <w:t>*支持一键虚拟补丁功能，网站出现0day漏洞时能快速完成修复，提供界面截图并加盖公司公章。</w:t>
            </w:r>
          </w:p>
        </w:tc>
      </w:tr>
      <w:tr>
        <w:tblPrEx>
          <w:tblLayout w:type="fixed"/>
          <w:tblCellMar>
            <w:top w:w="0" w:type="dxa"/>
            <w:left w:w="108" w:type="dxa"/>
            <w:bottom w:w="0" w:type="dxa"/>
            <w:right w:w="108" w:type="dxa"/>
          </w:tblCellMar>
        </w:tblPrEx>
        <w:trPr>
          <w:trHeight w:val="60" w:hRule="atLeast"/>
        </w:trPr>
        <w:tc>
          <w:tcPr>
            <w:tcW w:w="1616" w:type="dxa"/>
            <w:vMerge w:val="continue"/>
            <w:tcBorders>
              <w:left w:val="single" w:color="auto" w:sz="4" w:space="0"/>
              <w:right w:val="single" w:color="auto" w:sz="4" w:space="0"/>
            </w:tcBorders>
            <w:shd w:val="clear" w:color="auto" w:fill="auto"/>
            <w:vAlign w:val="center"/>
          </w:tcPr>
          <w:p>
            <w:pPr>
              <w:pStyle w:val="5"/>
              <w:spacing w:before="100" w:beforeAutospacing="1" w:after="100" w:afterAutospacing="1" w:line="240" w:lineRule="auto"/>
              <w:outlineLvl w:val="1"/>
              <w:rPr>
                <w:rFonts w:hint="eastAsia" w:ascii="宋体" w:hAnsi="宋体" w:cs="宋体"/>
                <w:color w:val="000000"/>
              </w:rPr>
            </w:pPr>
          </w:p>
        </w:tc>
        <w:tc>
          <w:tcPr>
            <w:tcW w:w="7378" w:type="dxa"/>
            <w:tcBorders>
              <w:top w:val="single" w:color="auto" w:sz="4" w:space="0"/>
              <w:left w:val="nil"/>
              <w:bottom w:val="single" w:color="auto" w:sz="4" w:space="0"/>
              <w:right w:val="single" w:color="auto" w:sz="4" w:space="0"/>
            </w:tcBorders>
            <w:shd w:val="clear" w:color="auto" w:fill="auto"/>
            <w:vAlign w:val="center"/>
          </w:tcPr>
          <w:p>
            <w:pPr>
              <w:pStyle w:val="5"/>
              <w:spacing w:before="100" w:beforeAutospacing="1" w:after="100" w:afterAutospacing="1" w:line="240" w:lineRule="auto"/>
              <w:outlineLvl w:val="1"/>
              <w:rPr>
                <w:rFonts w:hint="eastAsia" w:ascii="宋体" w:hAnsi="宋体" w:cs="宋体"/>
                <w:color w:val="000000"/>
              </w:rPr>
            </w:pPr>
            <w:r>
              <w:rPr>
                <w:rFonts w:hint="eastAsia" w:ascii="宋体" w:hAnsi="宋体" w:cs="宋体"/>
                <w:color w:val="000000"/>
              </w:rPr>
              <w:t>*支持永久在线功能，当网站因为服务器故障、线路故障、电源等问题出现无法连接时，可显示云防护节点中的缓存页面。当在敏感期或特殊时期时，用户网站主动关闭期间可显示缓存页面，增强网站安全性。提供界面截图并加盖公司公章</w:t>
            </w:r>
          </w:p>
        </w:tc>
      </w:tr>
      <w:tr>
        <w:tblPrEx>
          <w:tblLayout w:type="fixed"/>
          <w:tblCellMar>
            <w:top w:w="0" w:type="dxa"/>
            <w:left w:w="108" w:type="dxa"/>
            <w:bottom w:w="0" w:type="dxa"/>
            <w:right w:w="108" w:type="dxa"/>
          </w:tblCellMar>
        </w:tblPrEx>
        <w:trPr>
          <w:trHeight w:val="388" w:hRule="atLeast"/>
        </w:trPr>
        <w:tc>
          <w:tcPr>
            <w:tcW w:w="1616" w:type="dxa"/>
            <w:vMerge w:val="continue"/>
            <w:tcBorders>
              <w:left w:val="single" w:color="auto" w:sz="4" w:space="0"/>
              <w:bottom w:val="single" w:color="auto" w:sz="4" w:space="0"/>
              <w:right w:val="single" w:color="auto" w:sz="4" w:space="0"/>
            </w:tcBorders>
            <w:shd w:val="clear" w:color="auto" w:fill="auto"/>
            <w:vAlign w:val="center"/>
          </w:tcPr>
          <w:p>
            <w:pPr>
              <w:pStyle w:val="5"/>
              <w:spacing w:before="100" w:beforeAutospacing="1" w:after="100" w:afterAutospacing="1" w:line="240" w:lineRule="auto"/>
              <w:outlineLvl w:val="1"/>
              <w:rPr>
                <w:rFonts w:hint="eastAsia" w:ascii="宋体" w:hAnsi="宋体" w:cs="宋体"/>
                <w:color w:val="000000"/>
              </w:rPr>
            </w:pPr>
          </w:p>
        </w:tc>
        <w:tc>
          <w:tcPr>
            <w:tcW w:w="7378" w:type="dxa"/>
            <w:tcBorders>
              <w:top w:val="single" w:color="auto" w:sz="4" w:space="0"/>
              <w:left w:val="nil"/>
              <w:bottom w:val="single" w:color="auto" w:sz="4" w:space="0"/>
              <w:right w:val="single" w:color="auto" w:sz="4" w:space="0"/>
            </w:tcBorders>
            <w:shd w:val="clear" w:color="auto" w:fill="auto"/>
            <w:vAlign w:val="center"/>
          </w:tcPr>
          <w:p>
            <w:pPr>
              <w:pStyle w:val="5"/>
              <w:spacing w:before="100" w:beforeAutospacing="1" w:after="100" w:afterAutospacing="1" w:line="240" w:lineRule="auto"/>
              <w:outlineLvl w:val="1"/>
              <w:rPr>
                <w:rFonts w:hint="eastAsia" w:ascii="宋体" w:hAnsi="宋体" w:cs="宋体"/>
                <w:color w:val="000000"/>
              </w:rPr>
            </w:pPr>
            <w:r>
              <w:rPr>
                <w:rFonts w:hint="eastAsia" w:ascii="宋体" w:hAnsi="宋体" w:cs="宋体"/>
                <w:color w:val="000000"/>
              </w:rPr>
              <w:t>*支持一键关停功能，当网站出现紧急安全事件时，可在一分钟内通过手机APP和浏览器一键完成关停，防止产生恶劣影响，提供界面截图</w:t>
            </w:r>
          </w:p>
        </w:tc>
      </w:tr>
      <w:tr>
        <w:tblPrEx>
          <w:tblLayout w:type="fixed"/>
          <w:tblCellMar>
            <w:top w:w="0" w:type="dxa"/>
            <w:left w:w="108" w:type="dxa"/>
            <w:bottom w:w="0" w:type="dxa"/>
            <w:right w:w="108" w:type="dxa"/>
          </w:tblCellMar>
        </w:tblPrEx>
        <w:trPr>
          <w:trHeight w:val="1836" w:hRule="atLeast"/>
        </w:trPr>
        <w:tc>
          <w:tcPr>
            <w:tcW w:w="1616" w:type="dxa"/>
            <w:tcBorders>
              <w:top w:val="single" w:color="auto" w:sz="4" w:space="0"/>
              <w:left w:val="single" w:color="auto" w:sz="4" w:space="0"/>
              <w:bottom w:val="single" w:color="auto" w:sz="4" w:space="0"/>
              <w:right w:val="single" w:color="auto" w:sz="4" w:space="0"/>
            </w:tcBorders>
            <w:shd w:val="clear" w:color="auto" w:fill="auto"/>
            <w:vAlign w:val="center"/>
          </w:tcPr>
          <w:p>
            <w:pPr>
              <w:pStyle w:val="5"/>
              <w:spacing w:before="100" w:beforeAutospacing="1" w:after="100" w:afterAutospacing="1" w:line="240" w:lineRule="auto"/>
              <w:outlineLvl w:val="1"/>
              <w:rPr>
                <w:rFonts w:hint="eastAsia" w:ascii="宋体" w:hAnsi="宋体" w:cs="宋体"/>
                <w:color w:val="000000"/>
              </w:rPr>
            </w:pPr>
            <w:r>
              <w:rPr>
                <w:rFonts w:hint="eastAsia" w:ascii="宋体" w:hAnsi="宋体" w:cs="宋体"/>
                <w:color w:val="000000"/>
              </w:rPr>
              <w:t>*网站防篡改</w:t>
            </w:r>
          </w:p>
        </w:tc>
        <w:tc>
          <w:tcPr>
            <w:tcW w:w="7378" w:type="dxa"/>
            <w:tcBorders>
              <w:top w:val="single" w:color="auto" w:sz="4" w:space="0"/>
              <w:left w:val="nil"/>
              <w:bottom w:val="single" w:color="auto" w:sz="4" w:space="0"/>
              <w:right w:val="single" w:color="auto" w:sz="4" w:space="0"/>
            </w:tcBorders>
            <w:shd w:val="clear" w:color="auto" w:fill="auto"/>
            <w:vAlign w:val="center"/>
          </w:tcPr>
          <w:p>
            <w:pPr>
              <w:pStyle w:val="5"/>
              <w:spacing w:before="100" w:beforeAutospacing="1" w:after="100" w:afterAutospacing="1" w:line="240" w:lineRule="auto"/>
              <w:outlineLvl w:val="1"/>
              <w:rPr>
                <w:rFonts w:hint="eastAsia" w:ascii="宋体" w:hAnsi="宋体" w:cs="宋体"/>
                <w:color w:val="000000"/>
              </w:rPr>
            </w:pPr>
            <w:r>
              <w:rPr>
                <w:rFonts w:hint="eastAsia" w:ascii="宋体" w:hAnsi="宋体" w:cs="宋体"/>
                <w:color w:val="000000"/>
              </w:rPr>
              <w:t>*提供防篡改软件（与云防护同一品牌），采用先进内核驱动和实时触发技术，内核自定义编译，支持各类网页文件的保护，禁止非法文件篡改，包括静态和动态网页以及各类文件信息，提供公安部销售许可证、国家保密局涉密信息系统安全保密检测中心检测证书、中国信息安全测评认证中心颁发的中国国家信息安全产品认证证书（提供加盖公章的证明文件）。</w:t>
            </w:r>
          </w:p>
        </w:tc>
      </w:tr>
      <w:tr>
        <w:tblPrEx>
          <w:tblLayout w:type="fixed"/>
          <w:tblCellMar>
            <w:top w:w="0" w:type="dxa"/>
            <w:left w:w="108" w:type="dxa"/>
            <w:bottom w:w="0" w:type="dxa"/>
            <w:right w:w="108" w:type="dxa"/>
          </w:tblCellMar>
        </w:tblPrEx>
        <w:trPr>
          <w:trHeight w:val="548" w:hRule="atLeast"/>
        </w:trPr>
        <w:tc>
          <w:tcPr>
            <w:tcW w:w="1616" w:type="dxa"/>
            <w:vMerge w:val="restart"/>
            <w:tcBorders>
              <w:top w:val="single" w:color="auto" w:sz="4" w:space="0"/>
              <w:left w:val="single" w:color="auto" w:sz="4" w:space="0"/>
              <w:right w:val="single" w:color="auto" w:sz="4" w:space="0"/>
            </w:tcBorders>
            <w:shd w:val="clear" w:color="auto" w:fill="auto"/>
            <w:vAlign w:val="center"/>
          </w:tcPr>
          <w:p>
            <w:pPr>
              <w:pStyle w:val="5"/>
              <w:spacing w:before="100" w:beforeAutospacing="1" w:after="100" w:afterAutospacing="1" w:line="240" w:lineRule="auto"/>
              <w:outlineLvl w:val="1"/>
              <w:rPr>
                <w:rFonts w:hint="eastAsia" w:ascii="宋体" w:hAnsi="宋体" w:cs="宋体"/>
                <w:color w:val="000000"/>
              </w:rPr>
            </w:pPr>
            <w:r>
              <w:rPr>
                <w:rFonts w:hint="eastAsia" w:ascii="宋体" w:hAnsi="宋体" w:cs="宋体"/>
                <w:color w:val="000000"/>
              </w:rPr>
              <w:t>*网站监测服务</w:t>
            </w:r>
          </w:p>
        </w:tc>
        <w:tc>
          <w:tcPr>
            <w:tcW w:w="7378" w:type="dxa"/>
            <w:tcBorders>
              <w:top w:val="single" w:color="auto" w:sz="4" w:space="0"/>
              <w:left w:val="nil"/>
              <w:bottom w:val="single" w:color="auto" w:sz="4" w:space="0"/>
              <w:right w:val="single" w:color="auto" w:sz="4" w:space="0"/>
            </w:tcBorders>
            <w:shd w:val="clear" w:color="auto" w:fill="auto"/>
            <w:vAlign w:val="center"/>
          </w:tcPr>
          <w:p>
            <w:pPr>
              <w:pStyle w:val="5"/>
              <w:spacing w:before="100" w:beforeAutospacing="1" w:after="100" w:afterAutospacing="1" w:line="240" w:lineRule="auto"/>
              <w:outlineLvl w:val="1"/>
              <w:rPr>
                <w:rFonts w:hint="eastAsia" w:ascii="宋体" w:hAnsi="宋体" w:cs="宋体"/>
                <w:color w:val="000000"/>
              </w:rPr>
            </w:pPr>
            <w:r>
              <w:rPr>
                <w:rFonts w:hint="eastAsia" w:ascii="宋体" w:hAnsi="宋体" w:cs="宋体"/>
                <w:color w:val="000000"/>
              </w:rPr>
              <w:t>提供事前漏洞扫描服务，对网站存在的脆弱性进行探查，包括SQL注入漏洞、跨站脚本漏洞、开放服务漏洞、网站第三方应用漏洞0day漏洞等；</w:t>
            </w:r>
            <w:r>
              <w:rPr>
                <w:rFonts w:hint="eastAsia" w:ascii="宋体" w:hAnsi="宋体" w:cs="宋体"/>
                <w:color w:val="000000"/>
              </w:rPr>
              <w:br w:type="textWrapping"/>
            </w:r>
            <w:r>
              <w:rPr>
                <w:rFonts w:hint="eastAsia" w:ascii="宋体" w:hAnsi="宋体" w:cs="宋体"/>
                <w:color w:val="000000"/>
              </w:rPr>
              <w:t>具有大规模漏洞扫描能力，每日扫描网站最多可达一万个（提供证明材料并加盖公章）</w:t>
            </w:r>
          </w:p>
        </w:tc>
      </w:tr>
      <w:tr>
        <w:tblPrEx>
          <w:tblLayout w:type="fixed"/>
          <w:tblCellMar>
            <w:top w:w="0" w:type="dxa"/>
            <w:left w:w="108" w:type="dxa"/>
            <w:bottom w:w="0" w:type="dxa"/>
            <w:right w:w="108" w:type="dxa"/>
          </w:tblCellMar>
        </w:tblPrEx>
        <w:trPr>
          <w:trHeight w:val="264" w:hRule="atLeast"/>
        </w:trPr>
        <w:tc>
          <w:tcPr>
            <w:tcW w:w="1616" w:type="dxa"/>
            <w:vMerge w:val="continue"/>
            <w:tcBorders>
              <w:left w:val="single" w:color="auto" w:sz="4" w:space="0"/>
              <w:right w:val="single" w:color="auto" w:sz="4" w:space="0"/>
            </w:tcBorders>
            <w:shd w:val="clear" w:color="auto" w:fill="auto"/>
            <w:vAlign w:val="center"/>
          </w:tcPr>
          <w:p>
            <w:pPr>
              <w:pStyle w:val="5"/>
              <w:spacing w:before="100" w:beforeAutospacing="1" w:after="100" w:afterAutospacing="1" w:line="240" w:lineRule="auto"/>
              <w:outlineLvl w:val="1"/>
              <w:rPr>
                <w:rFonts w:hint="eastAsia" w:ascii="宋体" w:hAnsi="宋体" w:cs="宋体"/>
                <w:color w:val="000000"/>
              </w:rPr>
            </w:pPr>
          </w:p>
        </w:tc>
        <w:tc>
          <w:tcPr>
            <w:tcW w:w="7378" w:type="dxa"/>
            <w:tcBorders>
              <w:top w:val="single" w:color="auto" w:sz="4" w:space="0"/>
              <w:left w:val="nil"/>
              <w:bottom w:val="single" w:color="auto" w:sz="4" w:space="0"/>
              <w:right w:val="single" w:color="auto" w:sz="4" w:space="0"/>
            </w:tcBorders>
            <w:shd w:val="clear" w:color="auto" w:fill="auto"/>
            <w:vAlign w:val="center"/>
          </w:tcPr>
          <w:p>
            <w:pPr>
              <w:pStyle w:val="5"/>
              <w:spacing w:before="100" w:beforeAutospacing="1" w:after="100" w:afterAutospacing="1" w:line="240" w:lineRule="auto"/>
              <w:outlineLvl w:val="1"/>
              <w:rPr>
                <w:rFonts w:hint="eastAsia" w:ascii="宋体" w:hAnsi="宋体" w:cs="宋体"/>
                <w:color w:val="000000"/>
                <w:lang w:eastAsia="zh-CN"/>
              </w:rPr>
            </w:pPr>
            <w:r>
              <w:rPr>
                <w:rFonts w:hint="eastAsia" w:ascii="宋体" w:hAnsi="宋体" w:cs="宋体"/>
                <w:color w:val="000000"/>
              </w:rPr>
              <w:t>提供漏洞自动跟踪服务，服务的依托的产品可以自动对检测到的漏洞进行跟踪，督促问题网站进行整改</w:t>
            </w:r>
            <w:r>
              <w:rPr>
                <w:rFonts w:hint="eastAsia" w:ascii="宋体" w:hAnsi="宋体" w:cs="宋体"/>
                <w:color w:val="000000"/>
                <w:lang w:eastAsia="zh-CN"/>
              </w:rPr>
              <w:t>。</w:t>
            </w:r>
          </w:p>
        </w:tc>
      </w:tr>
      <w:tr>
        <w:tblPrEx>
          <w:tblLayout w:type="fixed"/>
          <w:tblCellMar>
            <w:top w:w="0" w:type="dxa"/>
            <w:left w:w="108" w:type="dxa"/>
            <w:bottom w:w="0" w:type="dxa"/>
            <w:right w:w="108" w:type="dxa"/>
          </w:tblCellMar>
        </w:tblPrEx>
        <w:trPr>
          <w:trHeight w:val="305" w:hRule="atLeast"/>
        </w:trPr>
        <w:tc>
          <w:tcPr>
            <w:tcW w:w="1616" w:type="dxa"/>
            <w:vMerge w:val="continue"/>
            <w:tcBorders>
              <w:left w:val="single" w:color="auto" w:sz="4" w:space="0"/>
              <w:right w:val="single" w:color="auto" w:sz="4" w:space="0"/>
            </w:tcBorders>
            <w:shd w:val="clear" w:color="auto" w:fill="auto"/>
            <w:vAlign w:val="center"/>
          </w:tcPr>
          <w:p>
            <w:pPr>
              <w:pStyle w:val="5"/>
              <w:spacing w:before="100" w:beforeAutospacing="1" w:after="100" w:afterAutospacing="1" w:line="240" w:lineRule="auto"/>
              <w:outlineLvl w:val="1"/>
              <w:rPr>
                <w:rFonts w:hint="eastAsia" w:ascii="宋体" w:hAnsi="宋体" w:cs="宋体"/>
                <w:color w:val="000000"/>
              </w:rPr>
            </w:pPr>
          </w:p>
        </w:tc>
        <w:tc>
          <w:tcPr>
            <w:tcW w:w="7378" w:type="dxa"/>
            <w:tcBorders>
              <w:top w:val="single" w:color="auto" w:sz="4" w:space="0"/>
              <w:left w:val="nil"/>
              <w:bottom w:val="single" w:color="auto" w:sz="4" w:space="0"/>
              <w:right w:val="single" w:color="auto" w:sz="4" w:space="0"/>
            </w:tcBorders>
            <w:shd w:val="clear" w:color="auto" w:fill="auto"/>
            <w:vAlign w:val="center"/>
          </w:tcPr>
          <w:p>
            <w:pPr>
              <w:pStyle w:val="5"/>
              <w:spacing w:before="100" w:beforeAutospacing="1" w:after="100" w:afterAutospacing="1" w:line="240" w:lineRule="auto"/>
              <w:outlineLvl w:val="1"/>
              <w:rPr>
                <w:rFonts w:hint="eastAsia" w:ascii="宋体" w:hAnsi="宋体" w:cs="宋体"/>
                <w:color w:val="000000"/>
              </w:rPr>
            </w:pPr>
            <w:r>
              <w:rPr>
                <w:rFonts w:hint="eastAsia" w:ascii="宋体" w:hAnsi="宋体" w:cs="宋体"/>
                <w:color w:val="000000"/>
              </w:rPr>
              <w:t>提供事后安全事件监测服务，监测内容如下：</w:t>
            </w:r>
          </w:p>
          <w:p>
            <w:pPr>
              <w:pStyle w:val="5"/>
              <w:spacing w:before="100" w:beforeAutospacing="1" w:after="100" w:afterAutospacing="1" w:line="240" w:lineRule="auto"/>
              <w:outlineLvl w:val="1"/>
              <w:rPr>
                <w:rFonts w:hint="eastAsia" w:ascii="宋体" w:hAnsi="宋体" w:cs="宋体"/>
                <w:color w:val="000000"/>
              </w:rPr>
            </w:pPr>
            <w:r>
              <w:rPr>
                <w:rFonts w:hint="eastAsia" w:ascii="宋体" w:hAnsi="宋体" w:cs="宋体"/>
                <w:color w:val="000000"/>
              </w:rPr>
              <w:t>1、对网站被植入暗链进行监测，包括对广告、游戏、博彩、色情、医疗、推广等类型的暗链进行监测。</w:t>
            </w:r>
            <w:r>
              <w:rPr>
                <w:rFonts w:hint="eastAsia" w:ascii="宋体" w:hAnsi="宋体" w:cs="宋体"/>
                <w:color w:val="000000"/>
              </w:rPr>
              <w:br w:type="textWrapping"/>
            </w:r>
            <w:r>
              <w:rPr>
                <w:rFonts w:hint="eastAsia" w:ascii="宋体" w:hAnsi="宋体" w:cs="宋体"/>
                <w:color w:val="000000"/>
              </w:rPr>
              <w:t>（已检测到的暗链URL不少于150万个，提供截图证明）</w:t>
            </w:r>
            <w:r>
              <w:rPr>
                <w:rFonts w:hint="eastAsia" w:ascii="宋体" w:hAnsi="宋体" w:cs="宋体"/>
                <w:color w:val="000000"/>
              </w:rPr>
              <w:br w:type="textWrapping"/>
            </w:r>
            <w:r>
              <w:rPr>
                <w:rFonts w:hint="eastAsia" w:ascii="宋体" w:hAnsi="宋体" w:cs="宋体"/>
                <w:color w:val="000000"/>
              </w:rPr>
              <w:t>2、对网站黑页进行监测；</w:t>
            </w:r>
            <w:r>
              <w:rPr>
                <w:rFonts w:hint="eastAsia" w:ascii="宋体" w:hAnsi="宋体" w:cs="宋体"/>
                <w:color w:val="000000"/>
              </w:rPr>
              <w:br w:type="textWrapping"/>
            </w:r>
            <w:r>
              <w:rPr>
                <w:rFonts w:hint="eastAsia" w:ascii="宋体" w:hAnsi="宋体" w:cs="宋体"/>
                <w:color w:val="000000"/>
              </w:rPr>
              <w:t>3、对网站篡改变更进行监测；</w:t>
            </w:r>
            <w:r>
              <w:rPr>
                <w:rFonts w:hint="eastAsia" w:ascii="宋体" w:hAnsi="宋体" w:cs="宋体"/>
                <w:color w:val="000000"/>
              </w:rPr>
              <w:br w:type="textWrapping"/>
            </w:r>
            <w:r>
              <w:rPr>
                <w:rFonts w:hint="eastAsia" w:ascii="宋体" w:hAnsi="宋体" w:cs="宋体"/>
                <w:color w:val="000000"/>
              </w:rPr>
              <w:t>4、对网页敏感内容进行监测，如“博彩”、“色情”等；</w:t>
            </w:r>
            <w:r>
              <w:rPr>
                <w:rFonts w:hint="eastAsia" w:ascii="宋体" w:hAnsi="宋体" w:cs="宋体"/>
                <w:color w:val="000000"/>
              </w:rPr>
              <w:br w:type="textWrapping"/>
            </w:r>
            <w:r>
              <w:rPr>
                <w:rFonts w:hint="eastAsia" w:ascii="宋体" w:hAnsi="宋体" w:cs="宋体"/>
                <w:color w:val="000000"/>
              </w:rPr>
              <w:t>5、对网站坏链、无效链接、错链进行监测；</w:t>
            </w:r>
            <w:r>
              <w:rPr>
                <w:rFonts w:hint="eastAsia" w:ascii="宋体" w:hAnsi="宋体" w:cs="宋体"/>
                <w:color w:val="000000"/>
              </w:rPr>
              <w:br w:type="textWrapping"/>
            </w:r>
            <w:r>
              <w:rPr>
                <w:rFonts w:hint="eastAsia" w:ascii="宋体" w:hAnsi="宋体" w:cs="宋体"/>
                <w:color w:val="000000"/>
              </w:rPr>
              <w:t>6、对反共黑客事件进行7*24小时的专人值守监测；</w:t>
            </w:r>
            <w:r>
              <w:rPr>
                <w:rFonts w:hint="eastAsia" w:ascii="宋体" w:hAnsi="宋体" w:cs="宋体"/>
                <w:color w:val="000000"/>
              </w:rPr>
              <w:br w:type="textWrapping"/>
            </w:r>
            <w:r>
              <w:rPr>
                <w:rFonts w:hint="eastAsia" w:ascii="宋体" w:hAnsi="宋体" w:cs="宋体"/>
                <w:color w:val="000000"/>
              </w:rPr>
              <w:t>（敏感关键字策略数不少于2万个，并提供截图证明）</w:t>
            </w:r>
          </w:p>
        </w:tc>
      </w:tr>
      <w:tr>
        <w:tblPrEx>
          <w:tblLayout w:type="fixed"/>
          <w:tblCellMar>
            <w:top w:w="0" w:type="dxa"/>
            <w:left w:w="108" w:type="dxa"/>
            <w:bottom w:w="0" w:type="dxa"/>
            <w:right w:w="108" w:type="dxa"/>
          </w:tblCellMar>
        </w:tblPrEx>
        <w:trPr>
          <w:trHeight w:val="143" w:hRule="atLeast"/>
        </w:trPr>
        <w:tc>
          <w:tcPr>
            <w:tcW w:w="1616" w:type="dxa"/>
            <w:vMerge w:val="continue"/>
            <w:tcBorders>
              <w:left w:val="single" w:color="auto" w:sz="4" w:space="0"/>
              <w:bottom w:val="single" w:color="auto" w:sz="4" w:space="0"/>
              <w:right w:val="single" w:color="auto" w:sz="4" w:space="0"/>
            </w:tcBorders>
            <w:shd w:val="clear" w:color="auto" w:fill="auto"/>
            <w:vAlign w:val="center"/>
          </w:tcPr>
          <w:p>
            <w:pPr>
              <w:pStyle w:val="5"/>
              <w:spacing w:before="100" w:beforeAutospacing="1" w:after="100" w:afterAutospacing="1" w:line="240" w:lineRule="auto"/>
              <w:outlineLvl w:val="1"/>
              <w:rPr>
                <w:rFonts w:hint="eastAsia" w:ascii="宋体" w:hAnsi="宋体" w:cs="宋体"/>
                <w:color w:val="000000"/>
              </w:rPr>
            </w:pPr>
          </w:p>
        </w:tc>
        <w:tc>
          <w:tcPr>
            <w:tcW w:w="7378" w:type="dxa"/>
            <w:tcBorders>
              <w:top w:val="single" w:color="auto" w:sz="4" w:space="0"/>
              <w:left w:val="nil"/>
              <w:bottom w:val="single" w:color="auto" w:sz="4" w:space="0"/>
              <w:right w:val="single" w:color="auto" w:sz="4" w:space="0"/>
            </w:tcBorders>
            <w:shd w:val="clear" w:color="auto" w:fill="auto"/>
            <w:vAlign w:val="center"/>
          </w:tcPr>
          <w:p>
            <w:pPr>
              <w:pStyle w:val="5"/>
              <w:spacing w:before="100" w:beforeAutospacing="1" w:after="100" w:afterAutospacing="1" w:line="240" w:lineRule="auto"/>
              <w:outlineLvl w:val="1"/>
              <w:rPr>
                <w:rFonts w:hint="eastAsia" w:ascii="宋体" w:hAnsi="宋体" w:cs="宋体"/>
                <w:color w:val="000000"/>
              </w:rPr>
            </w:pPr>
            <w:r>
              <w:rPr>
                <w:rFonts w:hint="eastAsia" w:ascii="宋体" w:hAnsi="宋体" w:cs="宋体"/>
                <w:color w:val="000000"/>
              </w:rPr>
              <w:t>提供可用性监测服务，可对用户网站进行全国多节点的监测，监测发下可用性性异常情况：</w:t>
            </w:r>
            <w:r>
              <w:rPr>
                <w:rFonts w:hint="eastAsia" w:ascii="宋体" w:hAnsi="宋体" w:cs="宋体"/>
                <w:color w:val="000000"/>
              </w:rPr>
              <w:br w:type="textWrapping"/>
            </w:r>
            <w:r>
              <w:rPr>
                <w:rFonts w:hint="eastAsia" w:ascii="宋体" w:hAnsi="宋体" w:cs="宋体"/>
                <w:color w:val="000000"/>
              </w:rPr>
              <w:t>1、监测网站服务是否中断或报错</w:t>
            </w:r>
            <w:r>
              <w:rPr>
                <w:rFonts w:hint="eastAsia" w:ascii="宋体" w:hAnsi="宋体" w:cs="宋体"/>
                <w:color w:val="000000"/>
              </w:rPr>
              <w:br w:type="textWrapping"/>
            </w:r>
            <w:r>
              <w:rPr>
                <w:rFonts w:hint="eastAsia" w:ascii="宋体" w:hAnsi="宋体" w:cs="宋体"/>
                <w:color w:val="000000"/>
              </w:rPr>
              <w:t>2、监测网站延时是否过大</w:t>
            </w:r>
            <w:r>
              <w:rPr>
                <w:rFonts w:hint="eastAsia" w:ascii="宋体" w:hAnsi="宋体" w:cs="宋体"/>
                <w:color w:val="000000"/>
              </w:rPr>
              <w:br w:type="textWrapping"/>
            </w:r>
            <w:r>
              <w:rPr>
                <w:rFonts w:hint="eastAsia" w:ascii="宋体" w:hAnsi="宋体" w:cs="宋体"/>
                <w:color w:val="000000"/>
              </w:rPr>
              <w:t>3、通过多线路监测是否存在线路异常</w:t>
            </w:r>
            <w:r>
              <w:rPr>
                <w:rFonts w:hint="eastAsia" w:ascii="宋体" w:hAnsi="宋体" w:cs="宋体"/>
                <w:color w:val="000000"/>
              </w:rPr>
              <w:br w:type="textWrapping"/>
            </w:r>
            <w:r>
              <w:rPr>
                <w:rFonts w:hint="eastAsia" w:ascii="宋体" w:hAnsi="宋体" w:cs="宋体"/>
                <w:color w:val="000000"/>
              </w:rPr>
              <w:t>实时通过全国至少20个节点，对网站服务质量进行监测能监测网站的打开时间，资源加速速度等多个维度的质量</w:t>
            </w:r>
            <w:r>
              <w:rPr>
                <w:rFonts w:hint="eastAsia" w:ascii="宋体" w:hAnsi="宋体" w:cs="宋体"/>
                <w:color w:val="000000"/>
              </w:rPr>
              <w:br w:type="textWrapping"/>
            </w:r>
            <w:r>
              <w:rPr>
                <w:rFonts w:hint="eastAsia" w:ascii="宋体" w:hAnsi="宋体" w:cs="宋体"/>
                <w:color w:val="000000"/>
              </w:rPr>
              <w:t>（提供节点的证明文件和多节点可用性监测的监测截图并加盖公章）</w:t>
            </w:r>
          </w:p>
        </w:tc>
      </w:tr>
      <w:tr>
        <w:tblPrEx>
          <w:tblLayout w:type="fixed"/>
          <w:tblCellMar>
            <w:top w:w="0" w:type="dxa"/>
            <w:left w:w="108" w:type="dxa"/>
            <w:bottom w:w="0" w:type="dxa"/>
            <w:right w:w="108" w:type="dxa"/>
          </w:tblCellMar>
        </w:tblPrEx>
        <w:trPr>
          <w:trHeight w:val="857" w:hRule="atLeast"/>
        </w:trPr>
        <w:tc>
          <w:tcPr>
            <w:tcW w:w="1616" w:type="dxa"/>
            <w:vMerge w:val="restart"/>
            <w:tcBorders>
              <w:top w:val="single" w:color="auto" w:sz="4" w:space="0"/>
              <w:left w:val="single" w:color="auto" w:sz="4" w:space="0"/>
              <w:right w:val="single" w:color="auto" w:sz="4" w:space="0"/>
            </w:tcBorders>
            <w:shd w:val="clear" w:color="auto" w:fill="auto"/>
            <w:vAlign w:val="center"/>
          </w:tcPr>
          <w:p>
            <w:pPr>
              <w:pStyle w:val="5"/>
              <w:spacing w:before="100" w:beforeAutospacing="1" w:after="100" w:afterAutospacing="1" w:line="240" w:lineRule="auto"/>
              <w:outlineLvl w:val="1"/>
              <w:rPr>
                <w:rFonts w:hint="eastAsia" w:ascii="宋体" w:hAnsi="宋体" w:cs="宋体"/>
                <w:color w:val="000000"/>
              </w:rPr>
            </w:pPr>
            <w:r>
              <w:rPr>
                <w:rFonts w:hint="eastAsia" w:ascii="宋体" w:hAnsi="宋体" w:cs="宋体"/>
                <w:color w:val="000000"/>
              </w:rPr>
              <w:t>安全审计</w:t>
            </w:r>
          </w:p>
        </w:tc>
        <w:tc>
          <w:tcPr>
            <w:tcW w:w="7378" w:type="dxa"/>
            <w:tcBorders>
              <w:top w:val="single" w:color="auto" w:sz="4" w:space="0"/>
              <w:left w:val="nil"/>
              <w:bottom w:val="single" w:color="auto" w:sz="4" w:space="0"/>
              <w:right w:val="single" w:color="auto" w:sz="4" w:space="0"/>
            </w:tcBorders>
            <w:shd w:val="clear" w:color="auto" w:fill="auto"/>
            <w:vAlign w:val="center"/>
          </w:tcPr>
          <w:p>
            <w:pPr>
              <w:pStyle w:val="5"/>
              <w:spacing w:before="100" w:beforeAutospacing="1" w:after="100" w:afterAutospacing="1" w:line="240" w:lineRule="auto"/>
              <w:outlineLvl w:val="1"/>
              <w:rPr>
                <w:rFonts w:hint="eastAsia" w:ascii="宋体" w:hAnsi="宋体" w:cs="宋体"/>
                <w:color w:val="000000"/>
              </w:rPr>
            </w:pPr>
            <w:r>
              <w:rPr>
                <w:rFonts w:hint="eastAsia" w:ascii="宋体" w:hAnsi="宋体" w:cs="宋体"/>
                <w:color w:val="000000"/>
              </w:rPr>
              <w:t>提供访问日志记录与查询功能，可根据域名、URL、客户端IP、返回码、访问区域、访问时间段进行查询，查询后的日志数据可导出Excel文件。</w:t>
            </w:r>
          </w:p>
        </w:tc>
      </w:tr>
      <w:tr>
        <w:tblPrEx>
          <w:tblLayout w:type="fixed"/>
          <w:tblCellMar>
            <w:top w:w="0" w:type="dxa"/>
            <w:left w:w="108" w:type="dxa"/>
            <w:bottom w:w="0" w:type="dxa"/>
            <w:right w:w="108" w:type="dxa"/>
          </w:tblCellMar>
        </w:tblPrEx>
        <w:trPr>
          <w:trHeight w:val="203" w:hRule="atLeast"/>
        </w:trPr>
        <w:tc>
          <w:tcPr>
            <w:tcW w:w="1616" w:type="dxa"/>
            <w:vMerge w:val="continue"/>
            <w:tcBorders>
              <w:top w:val="single" w:color="auto" w:sz="4" w:space="0"/>
              <w:left w:val="single" w:color="auto" w:sz="4" w:space="0"/>
              <w:right w:val="single" w:color="auto" w:sz="4" w:space="0"/>
            </w:tcBorders>
            <w:shd w:val="clear" w:color="auto" w:fill="auto"/>
            <w:vAlign w:val="center"/>
          </w:tcPr>
          <w:p>
            <w:pPr>
              <w:pStyle w:val="5"/>
              <w:spacing w:before="100" w:beforeAutospacing="1" w:after="100" w:afterAutospacing="1" w:line="240" w:lineRule="auto"/>
              <w:outlineLvl w:val="1"/>
              <w:rPr>
                <w:rFonts w:hint="eastAsia" w:ascii="宋体" w:hAnsi="宋体" w:cs="宋体"/>
                <w:color w:val="000000"/>
              </w:rPr>
            </w:pPr>
          </w:p>
        </w:tc>
        <w:tc>
          <w:tcPr>
            <w:tcW w:w="7378" w:type="dxa"/>
            <w:tcBorders>
              <w:top w:val="single" w:color="auto" w:sz="4" w:space="0"/>
              <w:left w:val="nil"/>
              <w:bottom w:val="single" w:color="auto" w:sz="4" w:space="0"/>
              <w:right w:val="single" w:color="auto" w:sz="4" w:space="0"/>
            </w:tcBorders>
            <w:shd w:val="clear" w:color="auto" w:fill="auto"/>
            <w:vAlign w:val="center"/>
          </w:tcPr>
          <w:p>
            <w:pPr>
              <w:pStyle w:val="5"/>
              <w:spacing w:before="100" w:beforeAutospacing="1" w:after="100" w:afterAutospacing="1" w:line="240" w:lineRule="auto"/>
              <w:outlineLvl w:val="1"/>
              <w:rPr>
                <w:rFonts w:hint="eastAsia" w:ascii="宋体" w:hAnsi="宋体" w:cs="宋体"/>
                <w:color w:val="000000"/>
              </w:rPr>
            </w:pPr>
            <w:r>
              <w:rPr>
                <w:rFonts w:hint="eastAsia" w:ascii="宋体" w:hAnsi="宋体" w:cs="宋体"/>
                <w:color w:val="000000"/>
              </w:rPr>
              <w:t>*提供攻击日志记录与查询功能，攻击日志至少保存6个月，满足《网络安全法要求》，可根据域名、URL、攻击方法、返回码、威胁等级、攻击IP、攻击区域和攻击类型进行查询，查询后的攻击日志数据可导出Excel文件。</w:t>
            </w:r>
          </w:p>
        </w:tc>
      </w:tr>
      <w:tr>
        <w:tblPrEx>
          <w:tblLayout w:type="fixed"/>
          <w:tblCellMar>
            <w:top w:w="0" w:type="dxa"/>
            <w:left w:w="108" w:type="dxa"/>
            <w:bottom w:w="0" w:type="dxa"/>
            <w:right w:w="108" w:type="dxa"/>
          </w:tblCellMar>
        </w:tblPrEx>
        <w:tc>
          <w:tcPr>
            <w:tcW w:w="1616" w:type="dxa"/>
            <w:vMerge w:val="continue"/>
            <w:tcBorders>
              <w:left w:val="single" w:color="auto" w:sz="4" w:space="0"/>
              <w:bottom w:val="single" w:color="auto" w:sz="4" w:space="0"/>
              <w:right w:val="single" w:color="auto" w:sz="4" w:space="0"/>
            </w:tcBorders>
            <w:shd w:val="clear" w:color="auto" w:fill="auto"/>
            <w:vAlign w:val="center"/>
          </w:tcPr>
          <w:p>
            <w:pPr>
              <w:pStyle w:val="5"/>
              <w:spacing w:before="100" w:beforeAutospacing="1" w:after="100" w:afterAutospacing="1" w:line="240" w:lineRule="auto"/>
              <w:outlineLvl w:val="1"/>
              <w:rPr>
                <w:rFonts w:hint="eastAsia" w:ascii="宋体" w:hAnsi="宋体" w:cs="宋体"/>
                <w:color w:val="000000"/>
              </w:rPr>
            </w:pPr>
          </w:p>
        </w:tc>
        <w:tc>
          <w:tcPr>
            <w:tcW w:w="7378" w:type="dxa"/>
            <w:tcBorders>
              <w:top w:val="single" w:color="auto" w:sz="4" w:space="0"/>
              <w:left w:val="nil"/>
              <w:bottom w:val="single" w:color="auto" w:sz="4" w:space="0"/>
              <w:right w:val="single" w:color="auto" w:sz="4" w:space="0"/>
            </w:tcBorders>
            <w:shd w:val="clear" w:color="auto" w:fill="auto"/>
            <w:vAlign w:val="center"/>
          </w:tcPr>
          <w:p>
            <w:pPr>
              <w:pStyle w:val="5"/>
              <w:spacing w:before="100" w:beforeAutospacing="1" w:after="100" w:afterAutospacing="1" w:line="240" w:lineRule="auto"/>
              <w:outlineLvl w:val="1"/>
              <w:rPr>
                <w:rFonts w:hint="eastAsia" w:ascii="宋体" w:hAnsi="宋体" w:cs="宋体"/>
                <w:color w:val="000000"/>
              </w:rPr>
            </w:pPr>
            <w:r>
              <w:rPr>
                <w:rFonts w:hint="eastAsia" w:ascii="宋体" w:hAnsi="宋体" w:cs="宋体"/>
                <w:color w:val="000000"/>
              </w:rPr>
              <w:t>*提供访问与攻击原始日志离线下载功能，可按天进行下载，原始日志包含访问IP、访问时间、URL、返回码、UA、访问域名等信息。</w:t>
            </w:r>
          </w:p>
        </w:tc>
      </w:tr>
      <w:tr>
        <w:tblPrEx>
          <w:tblLayout w:type="fixed"/>
          <w:tblCellMar>
            <w:top w:w="0" w:type="dxa"/>
            <w:left w:w="108" w:type="dxa"/>
            <w:bottom w:w="0" w:type="dxa"/>
            <w:right w:w="108" w:type="dxa"/>
          </w:tblCellMar>
        </w:tblPrEx>
        <w:trPr>
          <w:trHeight w:val="1012" w:hRule="atLeast"/>
        </w:trPr>
        <w:tc>
          <w:tcPr>
            <w:tcW w:w="1616" w:type="dxa"/>
            <w:vMerge w:val="restart"/>
            <w:tcBorders>
              <w:top w:val="single" w:color="auto" w:sz="4" w:space="0"/>
              <w:left w:val="single" w:color="auto" w:sz="4" w:space="0"/>
              <w:right w:val="single" w:color="auto" w:sz="4" w:space="0"/>
            </w:tcBorders>
            <w:shd w:val="clear" w:color="auto" w:fill="auto"/>
            <w:vAlign w:val="center"/>
          </w:tcPr>
          <w:p>
            <w:pPr>
              <w:pStyle w:val="5"/>
              <w:spacing w:before="100" w:beforeAutospacing="1" w:after="100" w:afterAutospacing="1" w:line="240" w:lineRule="auto"/>
              <w:outlineLvl w:val="1"/>
              <w:rPr>
                <w:rFonts w:hint="eastAsia" w:ascii="宋体" w:hAnsi="宋体" w:cs="宋体"/>
                <w:color w:val="000000"/>
              </w:rPr>
            </w:pPr>
            <w:r>
              <w:rPr>
                <w:rFonts w:hint="eastAsia" w:ascii="宋体" w:hAnsi="宋体" w:cs="宋体"/>
                <w:color w:val="000000"/>
              </w:rPr>
              <w:t>报表</w:t>
            </w:r>
          </w:p>
        </w:tc>
        <w:tc>
          <w:tcPr>
            <w:tcW w:w="7378" w:type="dxa"/>
            <w:tcBorders>
              <w:top w:val="single" w:color="auto" w:sz="4" w:space="0"/>
              <w:left w:val="nil"/>
              <w:right w:val="single" w:color="auto" w:sz="4" w:space="0"/>
            </w:tcBorders>
            <w:shd w:val="clear" w:color="auto" w:fill="auto"/>
            <w:vAlign w:val="center"/>
          </w:tcPr>
          <w:p>
            <w:pPr>
              <w:pStyle w:val="5"/>
              <w:spacing w:before="100" w:beforeAutospacing="1" w:after="100" w:afterAutospacing="1" w:line="240" w:lineRule="auto"/>
              <w:outlineLvl w:val="1"/>
              <w:rPr>
                <w:rFonts w:hint="eastAsia" w:ascii="宋体" w:hAnsi="宋体" w:cs="宋体"/>
                <w:color w:val="000000"/>
                <w:lang w:eastAsia="zh-CN"/>
              </w:rPr>
            </w:pPr>
            <w:r>
              <w:rPr>
                <w:rFonts w:hint="eastAsia" w:ascii="宋体" w:hAnsi="宋体" w:cs="宋体"/>
                <w:color w:val="000000"/>
              </w:rPr>
              <w:t>可查看安全防护报告，包含攻击流量、攻击者区域统计、攻击者IP统计、被攻击页面统计、被攻击域名统计、攻击事件统计、攻击威胁等级统计等报告</w:t>
            </w:r>
            <w:r>
              <w:rPr>
                <w:rFonts w:hint="eastAsia" w:ascii="宋体" w:hAnsi="宋体" w:cs="宋体"/>
                <w:color w:val="000000"/>
                <w:lang w:eastAsia="zh-CN"/>
              </w:rPr>
              <w:t>。</w:t>
            </w:r>
          </w:p>
        </w:tc>
      </w:tr>
      <w:tr>
        <w:tblPrEx>
          <w:tblLayout w:type="fixed"/>
          <w:tblCellMar>
            <w:top w:w="0" w:type="dxa"/>
            <w:left w:w="108" w:type="dxa"/>
            <w:bottom w:w="0" w:type="dxa"/>
            <w:right w:w="108" w:type="dxa"/>
          </w:tblCellMar>
        </w:tblPrEx>
        <w:trPr>
          <w:trHeight w:val="201" w:hRule="atLeast"/>
        </w:trPr>
        <w:tc>
          <w:tcPr>
            <w:tcW w:w="1616" w:type="dxa"/>
            <w:vMerge w:val="continue"/>
            <w:tcBorders>
              <w:left w:val="single" w:color="auto" w:sz="4" w:space="0"/>
              <w:right w:val="single" w:color="auto" w:sz="4" w:space="0"/>
            </w:tcBorders>
            <w:shd w:val="clear" w:color="auto" w:fill="auto"/>
            <w:vAlign w:val="center"/>
          </w:tcPr>
          <w:p>
            <w:pPr>
              <w:pStyle w:val="5"/>
              <w:spacing w:before="100" w:beforeAutospacing="1" w:after="100" w:afterAutospacing="1" w:line="240" w:lineRule="auto"/>
              <w:outlineLvl w:val="1"/>
              <w:rPr>
                <w:rFonts w:hint="eastAsia" w:ascii="宋体" w:hAnsi="宋体" w:cs="宋体"/>
                <w:color w:val="000000"/>
              </w:rPr>
            </w:pPr>
          </w:p>
        </w:tc>
        <w:tc>
          <w:tcPr>
            <w:tcW w:w="7378" w:type="dxa"/>
            <w:tcBorders>
              <w:top w:val="single" w:color="auto" w:sz="4" w:space="0"/>
              <w:left w:val="nil"/>
              <w:bottom w:val="single" w:color="auto" w:sz="4" w:space="0"/>
              <w:right w:val="single" w:color="auto" w:sz="4" w:space="0"/>
            </w:tcBorders>
            <w:shd w:val="clear" w:color="auto" w:fill="auto"/>
            <w:vAlign w:val="center"/>
          </w:tcPr>
          <w:p>
            <w:pPr>
              <w:pStyle w:val="5"/>
              <w:spacing w:before="100" w:beforeAutospacing="1" w:after="100" w:afterAutospacing="1" w:line="240" w:lineRule="auto"/>
              <w:outlineLvl w:val="1"/>
              <w:rPr>
                <w:rFonts w:hint="eastAsia" w:ascii="宋体" w:hAnsi="宋体" w:cs="宋体"/>
                <w:color w:val="000000"/>
              </w:rPr>
            </w:pPr>
            <w:r>
              <w:rPr>
                <w:rFonts w:hint="eastAsia" w:ascii="宋体" w:hAnsi="宋体" w:cs="宋体"/>
                <w:color w:val="000000"/>
              </w:rPr>
              <w:t>可查看网站访问报告，包含访问流量、访问区域统计、访问源IP统计、访问页面排行、访问终端、死链、静态资源等统计报告</w:t>
            </w:r>
          </w:p>
        </w:tc>
      </w:tr>
      <w:tr>
        <w:tblPrEx>
          <w:tblLayout w:type="fixed"/>
          <w:tblCellMar>
            <w:top w:w="0" w:type="dxa"/>
            <w:left w:w="108" w:type="dxa"/>
            <w:bottom w:w="0" w:type="dxa"/>
            <w:right w:w="108" w:type="dxa"/>
          </w:tblCellMar>
        </w:tblPrEx>
        <w:trPr>
          <w:trHeight w:val="638" w:hRule="atLeast"/>
        </w:trPr>
        <w:tc>
          <w:tcPr>
            <w:tcW w:w="1616" w:type="dxa"/>
            <w:vMerge w:val="continue"/>
            <w:tcBorders>
              <w:left w:val="single" w:color="auto" w:sz="4" w:space="0"/>
              <w:right w:val="single" w:color="auto" w:sz="4" w:space="0"/>
            </w:tcBorders>
            <w:shd w:val="clear" w:color="auto" w:fill="auto"/>
            <w:vAlign w:val="center"/>
          </w:tcPr>
          <w:p>
            <w:pPr>
              <w:pStyle w:val="5"/>
              <w:spacing w:before="100" w:beforeAutospacing="1" w:after="100" w:afterAutospacing="1" w:line="240" w:lineRule="auto"/>
              <w:outlineLvl w:val="1"/>
              <w:rPr>
                <w:rFonts w:hint="eastAsia" w:ascii="宋体" w:hAnsi="宋体" w:cs="宋体"/>
                <w:color w:val="000000"/>
              </w:rPr>
            </w:pPr>
          </w:p>
        </w:tc>
        <w:tc>
          <w:tcPr>
            <w:tcW w:w="7378" w:type="dxa"/>
            <w:tcBorders>
              <w:top w:val="single" w:color="auto" w:sz="4" w:space="0"/>
              <w:left w:val="nil"/>
              <w:bottom w:val="single" w:color="auto" w:sz="4" w:space="0"/>
              <w:right w:val="single" w:color="auto" w:sz="4" w:space="0"/>
            </w:tcBorders>
            <w:shd w:val="clear" w:color="auto" w:fill="auto"/>
            <w:vAlign w:val="center"/>
          </w:tcPr>
          <w:p>
            <w:pPr>
              <w:pStyle w:val="5"/>
              <w:spacing w:before="100" w:beforeAutospacing="1" w:after="100" w:afterAutospacing="1" w:line="240" w:lineRule="auto"/>
              <w:outlineLvl w:val="1"/>
              <w:rPr>
                <w:rFonts w:hint="eastAsia" w:ascii="宋体" w:hAnsi="宋体" w:cs="宋体"/>
                <w:color w:val="000000"/>
              </w:rPr>
            </w:pPr>
            <w:r>
              <w:rPr>
                <w:rFonts w:hint="eastAsia" w:ascii="宋体" w:hAnsi="宋体" w:cs="宋体"/>
                <w:color w:val="000000"/>
              </w:rPr>
              <w:t>可查看服务质量监测报告，包含全国各省监测节点可用性分析、线路故障、CDN命中分析、首页加载时长分析、网站更新频率分析等</w:t>
            </w:r>
          </w:p>
        </w:tc>
      </w:tr>
      <w:tr>
        <w:tblPrEx>
          <w:tblLayout w:type="fixed"/>
          <w:tblCellMar>
            <w:top w:w="0" w:type="dxa"/>
            <w:left w:w="108" w:type="dxa"/>
            <w:bottom w:w="0" w:type="dxa"/>
            <w:right w:w="108" w:type="dxa"/>
          </w:tblCellMar>
        </w:tblPrEx>
        <w:trPr>
          <w:trHeight w:val="310" w:hRule="atLeast"/>
        </w:trPr>
        <w:tc>
          <w:tcPr>
            <w:tcW w:w="1616" w:type="dxa"/>
            <w:vMerge w:val="continue"/>
            <w:tcBorders>
              <w:left w:val="single" w:color="auto" w:sz="4" w:space="0"/>
              <w:right w:val="single" w:color="auto" w:sz="4" w:space="0"/>
            </w:tcBorders>
            <w:shd w:val="clear" w:color="auto" w:fill="auto"/>
            <w:vAlign w:val="center"/>
          </w:tcPr>
          <w:p>
            <w:pPr>
              <w:pStyle w:val="5"/>
              <w:spacing w:before="100" w:beforeAutospacing="1" w:after="100" w:afterAutospacing="1" w:line="240" w:lineRule="auto"/>
              <w:outlineLvl w:val="1"/>
              <w:rPr>
                <w:rFonts w:hint="eastAsia" w:ascii="宋体" w:hAnsi="宋体" w:cs="宋体"/>
                <w:color w:val="000000"/>
              </w:rPr>
            </w:pPr>
          </w:p>
        </w:tc>
        <w:tc>
          <w:tcPr>
            <w:tcW w:w="7378" w:type="dxa"/>
            <w:tcBorders>
              <w:top w:val="single" w:color="auto" w:sz="4" w:space="0"/>
              <w:left w:val="nil"/>
              <w:bottom w:val="single" w:color="auto" w:sz="4" w:space="0"/>
              <w:right w:val="single" w:color="auto" w:sz="4" w:space="0"/>
            </w:tcBorders>
            <w:shd w:val="clear" w:color="auto" w:fill="auto"/>
            <w:vAlign w:val="center"/>
          </w:tcPr>
          <w:p>
            <w:pPr>
              <w:pStyle w:val="5"/>
              <w:spacing w:before="100" w:beforeAutospacing="1" w:after="100" w:afterAutospacing="1" w:line="240" w:lineRule="auto"/>
              <w:outlineLvl w:val="1"/>
              <w:rPr>
                <w:rFonts w:hint="eastAsia" w:ascii="宋体" w:hAnsi="宋体" w:cs="宋体"/>
                <w:color w:val="000000"/>
                <w:lang w:eastAsia="zh-CN"/>
              </w:rPr>
            </w:pPr>
            <w:r>
              <w:rPr>
                <w:rFonts w:hint="eastAsia" w:ascii="宋体" w:hAnsi="宋体" w:cs="宋体"/>
                <w:color w:val="000000"/>
              </w:rPr>
              <w:t>支持日报、月报 ，并支持html、pdf格式导出</w:t>
            </w:r>
            <w:r>
              <w:rPr>
                <w:rFonts w:hint="eastAsia" w:ascii="宋体" w:hAnsi="宋体" w:cs="宋体"/>
                <w:color w:val="000000"/>
                <w:lang w:eastAsia="zh-CN"/>
              </w:rPr>
              <w:t>。</w:t>
            </w:r>
          </w:p>
        </w:tc>
      </w:tr>
      <w:tr>
        <w:tblPrEx>
          <w:tblLayout w:type="fixed"/>
          <w:tblCellMar>
            <w:top w:w="0" w:type="dxa"/>
            <w:left w:w="108" w:type="dxa"/>
            <w:bottom w:w="0" w:type="dxa"/>
            <w:right w:w="108" w:type="dxa"/>
          </w:tblCellMar>
        </w:tblPrEx>
        <w:trPr>
          <w:trHeight w:val="91" w:hRule="atLeast"/>
        </w:trPr>
        <w:tc>
          <w:tcPr>
            <w:tcW w:w="1616" w:type="dxa"/>
            <w:vMerge w:val="continue"/>
            <w:tcBorders>
              <w:left w:val="single" w:color="auto" w:sz="4" w:space="0"/>
              <w:bottom w:val="single" w:color="auto" w:sz="4" w:space="0"/>
              <w:right w:val="single" w:color="auto" w:sz="4" w:space="0"/>
            </w:tcBorders>
            <w:shd w:val="clear" w:color="auto" w:fill="auto"/>
            <w:vAlign w:val="center"/>
          </w:tcPr>
          <w:p>
            <w:pPr>
              <w:pStyle w:val="5"/>
              <w:spacing w:before="100" w:beforeAutospacing="1" w:after="100" w:afterAutospacing="1" w:line="240" w:lineRule="auto"/>
              <w:outlineLvl w:val="1"/>
              <w:rPr>
                <w:rFonts w:hint="eastAsia" w:ascii="宋体" w:hAnsi="宋体" w:cs="宋体"/>
                <w:color w:val="000000"/>
              </w:rPr>
            </w:pPr>
          </w:p>
        </w:tc>
        <w:tc>
          <w:tcPr>
            <w:tcW w:w="7378" w:type="dxa"/>
            <w:tcBorders>
              <w:top w:val="single" w:color="auto" w:sz="4" w:space="0"/>
              <w:left w:val="nil"/>
              <w:bottom w:val="single" w:color="auto" w:sz="4" w:space="0"/>
              <w:right w:val="single" w:color="auto" w:sz="4" w:space="0"/>
            </w:tcBorders>
            <w:shd w:val="clear" w:color="auto" w:fill="auto"/>
            <w:vAlign w:val="center"/>
          </w:tcPr>
          <w:p>
            <w:pPr>
              <w:pStyle w:val="5"/>
              <w:spacing w:before="100" w:beforeAutospacing="1" w:after="100" w:afterAutospacing="1" w:line="240" w:lineRule="auto"/>
              <w:outlineLvl w:val="1"/>
              <w:rPr>
                <w:rFonts w:hint="eastAsia" w:ascii="宋体" w:hAnsi="宋体" w:cs="宋体"/>
                <w:color w:val="000000"/>
              </w:rPr>
            </w:pPr>
            <w:r>
              <w:rPr>
                <w:rFonts w:hint="eastAsia" w:ascii="宋体" w:hAnsi="宋体" w:cs="宋体"/>
                <w:color w:val="000000"/>
              </w:rPr>
              <w:t>支持单个网站生成报表，也支持网站群生成一个汇总报表</w:t>
            </w:r>
          </w:p>
        </w:tc>
      </w:tr>
      <w:tr>
        <w:tblPrEx>
          <w:tblLayout w:type="fixed"/>
          <w:tblCellMar>
            <w:top w:w="0" w:type="dxa"/>
            <w:left w:w="108" w:type="dxa"/>
            <w:bottom w:w="0" w:type="dxa"/>
            <w:right w:w="108" w:type="dxa"/>
          </w:tblCellMar>
        </w:tblPrEx>
        <w:trPr>
          <w:trHeight w:val="213" w:hRule="atLeast"/>
        </w:trPr>
        <w:tc>
          <w:tcPr>
            <w:tcW w:w="1616" w:type="dxa"/>
            <w:vMerge w:val="restart"/>
            <w:tcBorders>
              <w:left w:val="single" w:color="auto" w:sz="4" w:space="0"/>
              <w:right w:val="single" w:color="auto" w:sz="4" w:space="0"/>
            </w:tcBorders>
            <w:shd w:val="clear" w:color="auto" w:fill="auto"/>
            <w:vAlign w:val="center"/>
          </w:tcPr>
          <w:p>
            <w:pPr>
              <w:pStyle w:val="5"/>
              <w:spacing w:before="100" w:beforeAutospacing="1" w:after="100" w:afterAutospacing="1" w:line="240" w:lineRule="auto"/>
              <w:outlineLvl w:val="1"/>
              <w:rPr>
                <w:rFonts w:hint="eastAsia" w:ascii="宋体" w:hAnsi="宋体" w:cs="宋体"/>
                <w:color w:val="000000"/>
              </w:rPr>
            </w:pPr>
            <w:r>
              <w:rPr>
                <w:rFonts w:hint="eastAsia" w:ascii="宋体" w:hAnsi="宋体" w:cs="宋体"/>
                <w:color w:val="000000"/>
              </w:rPr>
              <w:t>可视化展现</w:t>
            </w:r>
          </w:p>
        </w:tc>
        <w:tc>
          <w:tcPr>
            <w:tcW w:w="7378" w:type="dxa"/>
            <w:tcBorders>
              <w:top w:val="single" w:color="auto" w:sz="4" w:space="0"/>
              <w:left w:val="nil"/>
              <w:right w:val="single" w:color="auto" w:sz="4" w:space="0"/>
            </w:tcBorders>
            <w:shd w:val="clear" w:color="auto" w:fill="auto"/>
            <w:vAlign w:val="center"/>
          </w:tcPr>
          <w:p>
            <w:pPr>
              <w:pStyle w:val="5"/>
              <w:spacing w:before="100" w:beforeAutospacing="1" w:after="100" w:afterAutospacing="1" w:line="240" w:lineRule="auto"/>
              <w:outlineLvl w:val="1"/>
              <w:rPr>
                <w:rFonts w:hint="eastAsia" w:ascii="宋体" w:hAnsi="宋体" w:cs="宋体"/>
                <w:color w:val="000000"/>
              </w:rPr>
            </w:pPr>
            <w:r>
              <w:rPr>
                <w:rFonts w:hint="eastAsia" w:ascii="宋体" w:hAnsi="宋体" w:cs="宋体"/>
                <w:color w:val="000000"/>
              </w:rPr>
              <w:t>可视化页面需要可以投放到大屏幕，分辨率不低于1400*900；</w:t>
            </w:r>
          </w:p>
        </w:tc>
      </w:tr>
      <w:tr>
        <w:tblPrEx>
          <w:tblLayout w:type="fixed"/>
          <w:tblCellMar>
            <w:top w:w="0" w:type="dxa"/>
            <w:left w:w="108" w:type="dxa"/>
            <w:bottom w:w="0" w:type="dxa"/>
            <w:right w:w="108" w:type="dxa"/>
          </w:tblCellMar>
        </w:tblPrEx>
        <w:trPr>
          <w:trHeight w:val="466" w:hRule="atLeast"/>
        </w:trPr>
        <w:tc>
          <w:tcPr>
            <w:tcW w:w="1616" w:type="dxa"/>
            <w:vMerge w:val="continue"/>
            <w:tcBorders>
              <w:left w:val="single" w:color="auto" w:sz="4" w:space="0"/>
              <w:right w:val="single" w:color="auto" w:sz="4" w:space="0"/>
            </w:tcBorders>
            <w:shd w:val="clear" w:color="auto" w:fill="auto"/>
            <w:vAlign w:val="center"/>
          </w:tcPr>
          <w:p>
            <w:pPr>
              <w:pStyle w:val="5"/>
              <w:spacing w:before="100" w:beforeAutospacing="1" w:after="100" w:afterAutospacing="1" w:line="240" w:lineRule="auto"/>
              <w:outlineLvl w:val="1"/>
              <w:rPr>
                <w:rFonts w:hint="eastAsia" w:ascii="宋体" w:hAnsi="宋体" w:cs="宋体"/>
                <w:color w:val="000000"/>
              </w:rPr>
            </w:pPr>
          </w:p>
        </w:tc>
        <w:tc>
          <w:tcPr>
            <w:tcW w:w="7378" w:type="dxa"/>
            <w:tcBorders>
              <w:top w:val="single" w:color="auto" w:sz="4" w:space="0"/>
              <w:left w:val="nil"/>
              <w:bottom w:val="single" w:color="auto" w:sz="4" w:space="0"/>
              <w:right w:val="single" w:color="auto" w:sz="4" w:space="0"/>
            </w:tcBorders>
            <w:shd w:val="clear" w:color="auto" w:fill="auto"/>
            <w:vAlign w:val="center"/>
          </w:tcPr>
          <w:p>
            <w:pPr>
              <w:pStyle w:val="5"/>
              <w:spacing w:before="100" w:beforeAutospacing="1" w:after="100" w:afterAutospacing="1" w:line="240" w:lineRule="auto"/>
              <w:outlineLvl w:val="1"/>
              <w:rPr>
                <w:rFonts w:hint="eastAsia" w:ascii="宋体" w:hAnsi="宋体" w:cs="宋体"/>
                <w:color w:val="000000"/>
              </w:rPr>
            </w:pPr>
            <w:r>
              <w:rPr>
                <w:rFonts w:hint="eastAsia" w:ascii="宋体" w:hAnsi="宋体" w:cs="宋体"/>
                <w:color w:val="000000"/>
              </w:rPr>
              <w:t>整体网站群攻击态势可视化分析，包括访问与攻击流量趋势、CC攻击趋势、受攻击网站趋势、攻击IP排行、网站访问排行等、攻击区域热点展示与挖掘</w:t>
            </w:r>
          </w:p>
        </w:tc>
      </w:tr>
      <w:tr>
        <w:tblPrEx>
          <w:tblLayout w:type="fixed"/>
          <w:tblCellMar>
            <w:top w:w="0" w:type="dxa"/>
            <w:left w:w="108" w:type="dxa"/>
            <w:bottom w:w="0" w:type="dxa"/>
            <w:right w:w="108" w:type="dxa"/>
          </w:tblCellMar>
        </w:tblPrEx>
        <w:trPr>
          <w:trHeight w:val="1250" w:hRule="atLeast"/>
        </w:trPr>
        <w:tc>
          <w:tcPr>
            <w:tcW w:w="1616" w:type="dxa"/>
            <w:vMerge w:val="continue"/>
            <w:tcBorders>
              <w:left w:val="single" w:color="auto" w:sz="4" w:space="0"/>
              <w:right w:val="single" w:color="auto" w:sz="4" w:space="0"/>
            </w:tcBorders>
            <w:shd w:val="clear" w:color="auto" w:fill="auto"/>
            <w:vAlign w:val="center"/>
          </w:tcPr>
          <w:p>
            <w:pPr>
              <w:pStyle w:val="5"/>
              <w:spacing w:before="100" w:beforeAutospacing="1" w:after="100" w:afterAutospacing="1" w:line="240" w:lineRule="auto"/>
              <w:outlineLvl w:val="1"/>
              <w:rPr>
                <w:rFonts w:hint="eastAsia" w:ascii="宋体" w:hAnsi="宋体" w:cs="宋体"/>
                <w:color w:val="000000"/>
              </w:rPr>
            </w:pPr>
          </w:p>
        </w:tc>
        <w:tc>
          <w:tcPr>
            <w:tcW w:w="7378" w:type="dxa"/>
            <w:tcBorders>
              <w:top w:val="single" w:color="auto" w:sz="4" w:space="0"/>
              <w:left w:val="nil"/>
              <w:bottom w:val="single" w:color="auto" w:sz="4" w:space="0"/>
              <w:right w:val="single" w:color="auto" w:sz="4" w:space="0"/>
            </w:tcBorders>
            <w:shd w:val="clear" w:color="auto" w:fill="auto"/>
            <w:vAlign w:val="center"/>
          </w:tcPr>
          <w:p>
            <w:pPr>
              <w:pStyle w:val="5"/>
              <w:spacing w:before="100" w:beforeAutospacing="1" w:after="100" w:afterAutospacing="1" w:line="240" w:lineRule="auto"/>
              <w:outlineLvl w:val="1"/>
              <w:rPr>
                <w:rFonts w:hint="eastAsia" w:ascii="宋体" w:hAnsi="宋体" w:cs="宋体"/>
                <w:color w:val="000000"/>
              </w:rPr>
            </w:pPr>
            <w:r>
              <w:rPr>
                <w:rFonts w:hint="eastAsia" w:ascii="宋体" w:hAnsi="宋体" w:cs="宋体"/>
                <w:color w:val="000000"/>
              </w:rPr>
              <w:t>单个网站可视化分析，包括访问流量、访问区域热点展示、访问与攻击源实时分析、访问源IP排行、攻击趋势、攻击区域分布、攻击类型、攻击时段、攻击源IP排行等数据展示与挖掘</w:t>
            </w:r>
          </w:p>
        </w:tc>
      </w:tr>
      <w:tr>
        <w:tblPrEx>
          <w:tblLayout w:type="fixed"/>
          <w:tblCellMar>
            <w:top w:w="0" w:type="dxa"/>
            <w:left w:w="108" w:type="dxa"/>
            <w:bottom w:w="0" w:type="dxa"/>
            <w:right w:w="108" w:type="dxa"/>
          </w:tblCellMar>
        </w:tblPrEx>
        <w:trPr>
          <w:trHeight w:val="663" w:hRule="atLeast"/>
        </w:trPr>
        <w:tc>
          <w:tcPr>
            <w:tcW w:w="1616" w:type="dxa"/>
            <w:vMerge w:val="restart"/>
            <w:tcBorders>
              <w:top w:val="single" w:color="auto" w:sz="4" w:space="0"/>
              <w:left w:val="single" w:color="auto" w:sz="4" w:space="0"/>
              <w:right w:val="single" w:color="auto" w:sz="4" w:space="0"/>
            </w:tcBorders>
            <w:shd w:val="clear" w:color="auto" w:fill="auto"/>
            <w:vAlign w:val="center"/>
          </w:tcPr>
          <w:p>
            <w:pPr>
              <w:pStyle w:val="5"/>
              <w:spacing w:before="100" w:beforeAutospacing="1" w:after="100" w:afterAutospacing="1" w:line="240" w:lineRule="auto"/>
              <w:outlineLvl w:val="1"/>
              <w:rPr>
                <w:rFonts w:hint="eastAsia" w:ascii="宋体" w:hAnsi="宋体" w:cs="宋体"/>
                <w:color w:val="000000"/>
              </w:rPr>
            </w:pPr>
            <w:r>
              <w:rPr>
                <w:rFonts w:hint="eastAsia" w:ascii="宋体" w:hAnsi="宋体" w:cs="宋体"/>
                <w:color w:val="000000"/>
              </w:rPr>
              <w:t>手机APP管理</w:t>
            </w:r>
          </w:p>
        </w:tc>
        <w:tc>
          <w:tcPr>
            <w:tcW w:w="7378" w:type="dxa"/>
            <w:tcBorders>
              <w:top w:val="single" w:color="auto" w:sz="4" w:space="0"/>
              <w:left w:val="nil"/>
              <w:bottom w:val="single" w:color="auto" w:sz="4" w:space="0"/>
              <w:right w:val="single" w:color="auto" w:sz="4" w:space="0"/>
            </w:tcBorders>
            <w:shd w:val="clear" w:color="auto" w:fill="auto"/>
            <w:vAlign w:val="center"/>
          </w:tcPr>
          <w:p>
            <w:pPr>
              <w:pStyle w:val="5"/>
              <w:spacing w:before="100" w:beforeAutospacing="1" w:after="100" w:afterAutospacing="1" w:line="240" w:lineRule="auto"/>
              <w:outlineLvl w:val="1"/>
              <w:rPr>
                <w:rFonts w:hint="eastAsia" w:ascii="宋体" w:hAnsi="宋体" w:cs="宋体"/>
                <w:color w:val="000000"/>
              </w:rPr>
            </w:pPr>
            <w:r>
              <w:rPr>
                <w:rFonts w:hint="eastAsia" w:ascii="宋体" w:hAnsi="宋体" w:cs="宋体"/>
                <w:color w:val="000000"/>
              </w:rPr>
              <w:t>*通过手机APP查看网站整体防护态势，包含网站漏洞监测、可用性监测、攻击防御状态、防护报表、页面防篡改等状态信息，提供现场演示</w:t>
            </w:r>
          </w:p>
        </w:tc>
      </w:tr>
      <w:tr>
        <w:tblPrEx>
          <w:tblLayout w:type="fixed"/>
          <w:tblCellMar>
            <w:top w:w="0" w:type="dxa"/>
            <w:left w:w="108" w:type="dxa"/>
            <w:bottom w:w="0" w:type="dxa"/>
            <w:right w:w="108" w:type="dxa"/>
          </w:tblCellMar>
        </w:tblPrEx>
        <w:trPr>
          <w:trHeight w:val="259" w:hRule="atLeast"/>
        </w:trPr>
        <w:tc>
          <w:tcPr>
            <w:tcW w:w="1616" w:type="dxa"/>
            <w:vMerge w:val="continue"/>
            <w:tcBorders>
              <w:left w:val="single" w:color="auto" w:sz="4" w:space="0"/>
              <w:right w:val="single" w:color="auto" w:sz="4" w:space="0"/>
            </w:tcBorders>
            <w:shd w:val="clear" w:color="auto" w:fill="auto"/>
            <w:vAlign w:val="center"/>
          </w:tcPr>
          <w:p>
            <w:pPr>
              <w:pStyle w:val="5"/>
              <w:spacing w:before="100" w:beforeAutospacing="1" w:after="100" w:afterAutospacing="1" w:line="240" w:lineRule="auto"/>
              <w:outlineLvl w:val="1"/>
              <w:rPr>
                <w:rFonts w:hint="eastAsia" w:ascii="宋体" w:hAnsi="宋体" w:cs="宋体"/>
                <w:color w:val="000000"/>
              </w:rPr>
            </w:pPr>
          </w:p>
        </w:tc>
        <w:tc>
          <w:tcPr>
            <w:tcW w:w="7378" w:type="dxa"/>
            <w:tcBorders>
              <w:top w:val="single" w:color="auto" w:sz="4" w:space="0"/>
              <w:left w:val="nil"/>
              <w:bottom w:val="single" w:color="auto" w:sz="4" w:space="0"/>
              <w:right w:val="single" w:color="auto" w:sz="4" w:space="0"/>
            </w:tcBorders>
            <w:shd w:val="clear" w:color="auto" w:fill="auto"/>
            <w:vAlign w:val="center"/>
          </w:tcPr>
          <w:p>
            <w:pPr>
              <w:pStyle w:val="5"/>
              <w:spacing w:before="100" w:beforeAutospacing="1" w:after="100" w:afterAutospacing="1" w:line="240" w:lineRule="auto"/>
              <w:outlineLvl w:val="1"/>
              <w:rPr>
                <w:rFonts w:hint="eastAsia" w:ascii="宋体" w:hAnsi="宋体" w:cs="宋体"/>
                <w:color w:val="000000"/>
                <w:lang w:eastAsia="zh-CN"/>
              </w:rPr>
            </w:pPr>
            <w:r>
              <w:rPr>
                <w:rFonts w:hint="eastAsia" w:ascii="宋体" w:hAnsi="宋体" w:cs="宋体"/>
                <w:color w:val="000000"/>
              </w:rPr>
              <w:t>*通过手机APP完成防护配置，包括一键关停、防护模式、永久在线等功能</w:t>
            </w:r>
            <w:r>
              <w:rPr>
                <w:rFonts w:hint="eastAsia" w:ascii="宋体" w:hAnsi="宋体" w:cs="宋体"/>
                <w:color w:val="000000"/>
                <w:lang w:eastAsia="zh-CN"/>
              </w:rPr>
              <w:t>。</w:t>
            </w:r>
          </w:p>
        </w:tc>
      </w:tr>
      <w:tr>
        <w:tblPrEx>
          <w:tblLayout w:type="fixed"/>
          <w:tblCellMar>
            <w:top w:w="0" w:type="dxa"/>
            <w:left w:w="108" w:type="dxa"/>
            <w:bottom w:w="0" w:type="dxa"/>
            <w:right w:w="108" w:type="dxa"/>
          </w:tblCellMar>
        </w:tblPrEx>
        <w:trPr>
          <w:trHeight w:val="318" w:hRule="atLeast"/>
        </w:trPr>
        <w:tc>
          <w:tcPr>
            <w:tcW w:w="1616" w:type="dxa"/>
            <w:tcBorders>
              <w:top w:val="single" w:color="auto" w:sz="4" w:space="0"/>
              <w:left w:val="single" w:color="auto" w:sz="4" w:space="0"/>
              <w:bottom w:val="single" w:color="auto" w:sz="4" w:space="0"/>
              <w:right w:val="single" w:color="auto" w:sz="4" w:space="0"/>
            </w:tcBorders>
            <w:shd w:val="clear" w:color="auto" w:fill="auto"/>
            <w:vAlign w:val="center"/>
          </w:tcPr>
          <w:p>
            <w:pPr>
              <w:pStyle w:val="5"/>
              <w:spacing w:before="100" w:beforeAutospacing="1" w:after="100" w:afterAutospacing="1" w:line="240" w:lineRule="auto"/>
              <w:outlineLvl w:val="1"/>
              <w:rPr>
                <w:rFonts w:hint="eastAsia" w:ascii="宋体" w:hAnsi="宋体" w:cs="宋体"/>
                <w:color w:val="000000"/>
              </w:rPr>
            </w:pPr>
            <w:r>
              <w:rPr>
                <w:rFonts w:hint="eastAsia" w:ascii="宋体" w:hAnsi="宋体" w:cs="宋体"/>
                <w:color w:val="000000"/>
              </w:rPr>
              <w:t>服务告警方式</w:t>
            </w:r>
          </w:p>
        </w:tc>
        <w:tc>
          <w:tcPr>
            <w:tcW w:w="7378" w:type="dxa"/>
            <w:tcBorders>
              <w:top w:val="single" w:color="auto" w:sz="4" w:space="0"/>
              <w:left w:val="nil"/>
              <w:bottom w:val="single" w:color="auto" w:sz="4" w:space="0"/>
              <w:right w:val="single" w:color="auto" w:sz="4" w:space="0"/>
            </w:tcBorders>
            <w:shd w:val="clear" w:color="auto" w:fill="auto"/>
            <w:vAlign w:val="center"/>
          </w:tcPr>
          <w:p>
            <w:pPr>
              <w:pStyle w:val="5"/>
              <w:spacing w:before="100" w:beforeAutospacing="1" w:after="100" w:afterAutospacing="1" w:line="240" w:lineRule="auto"/>
              <w:outlineLvl w:val="1"/>
              <w:rPr>
                <w:rFonts w:hint="eastAsia" w:ascii="宋体" w:hAnsi="宋体" w:cs="宋体"/>
                <w:color w:val="000000"/>
              </w:rPr>
            </w:pPr>
            <w:r>
              <w:rPr>
                <w:rFonts w:hint="eastAsia" w:ascii="宋体" w:hAnsi="宋体" w:cs="宋体"/>
                <w:color w:val="000000"/>
              </w:rPr>
              <w:t>根据不同告警级别发送邮件、短信、电话等多种告警方式</w:t>
            </w:r>
          </w:p>
        </w:tc>
      </w:tr>
      <w:tr>
        <w:tblPrEx>
          <w:tblLayout w:type="fixed"/>
          <w:tblCellMar>
            <w:top w:w="0" w:type="dxa"/>
            <w:left w:w="108" w:type="dxa"/>
            <w:bottom w:w="0" w:type="dxa"/>
            <w:right w:w="108" w:type="dxa"/>
          </w:tblCellMar>
        </w:tblPrEx>
        <w:trPr>
          <w:trHeight w:val="907" w:hRule="atLeast"/>
        </w:trPr>
        <w:tc>
          <w:tcPr>
            <w:tcW w:w="1616" w:type="dxa"/>
            <w:vMerge w:val="restart"/>
            <w:tcBorders>
              <w:top w:val="single" w:color="auto" w:sz="4" w:space="0"/>
              <w:left w:val="single" w:color="auto" w:sz="4" w:space="0"/>
              <w:right w:val="single" w:color="auto" w:sz="4" w:space="0"/>
            </w:tcBorders>
            <w:shd w:val="clear" w:color="auto" w:fill="auto"/>
            <w:vAlign w:val="center"/>
          </w:tcPr>
          <w:p>
            <w:pPr>
              <w:pStyle w:val="5"/>
              <w:spacing w:before="100" w:beforeAutospacing="1" w:after="100" w:afterAutospacing="1" w:line="240" w:lineRule="auto"/>
              <w:outlineLvl w:val="1"/>
              <w:rPr>
                <w:rFonts w:hint="eastAsia" w:ascii="宋体" w:hAnsi="宋体" w:cs="宋体"/>
                <w:color w:val="000000"/>
              </w:rPr>
            </w:pPr>
            <w:r>
              <w:rPr>
                <w:rFonts w:hint="eastAsia" w:ascii="宋体" w:hAnsi="宋体" w:cs="宋体"/>
                <w:color w:val="000000"/>
              </w:rPr>
              <w:t>服务能力</w:t>
            </w:r>
          </w:p>
        </w:tc>
        <w:tc>
          <w:tcPr>
            <w:tcW w:w="7378" w:type="dxa"/>
            <w:tcBorders>
              <w:top w:val="single" w:color="auto" w:sz="4" w:space="0"/>
              <w:left w:val="nil"/>
              <w:bottom w:val="single" w:color="auto" w:sz="4" w:space="0"/>
              <w:right w:val="single" w:color="auto" w:sz="4" w:space="0"/>
            </w:tcBorders>
            <w:shd w:val="clear" w:color="auto" w:fill="auto"/>
            <w:vAlign w:val="center"/>
          </w:tcPr>
          <w:p>
            <w:pPr>
              <w:pStyle w:val="5"/>
              <w:spacing w:before="100" w:beforeAutospacing="1" w:after="100" w:afterAutospacing="1" w:line="240" w:lineRule="auto"/>
              <w:outlineLvl w:val="1"/>
              <w:rPr>
                <w:rFonts w:hint="eastAsia" w:ascii="宋体" w:hAnsi="宋体" w:cs="宋体"/>
                <w:color w:val="000000"/>
              </w:rPr>
            </w:pPr>
            <w:r>
              <w:rPr>
                <w:rFonts w:hint="eastAsia" w:ascii="宋体" w:hAnsi="宋体" w:cs="宋体"/>
                <w:color w:val="000000"/>
              </w:rPr>
              <w:t>本次项目的服务人员需要有面向CN/CERT、公安部提供安全通报服务的经验，并在近三年内获得公安行业通报工作的相关奖励；（提供至少2份获奖证明）。</w:t>
            </w:r>
          </w:p>
        </w:tc>
      </w:tr>
      <w:tr>
        <w:tblPrEx>
          <w:tblLayout w:type="fixed"/>
          <w:tblCellMar>
            <w:top w:w="0" w:type="dxa"/>
            <w:left w:w="108" w:type="dxa"/>
            <w:bottom w:w="0" w:type="dxa"/>
            <w:right w:w="108" w:type="dxa"/>
          </w:tblCellMar>
        </w:tblPrEx>
        <w:trPr>
          <w:trHeight w:val="207" w:hRule="atLeast"/>
        </w:trPr>
        <w:tc>
          <w:tcPr>
            <w:tcW w:w="1616" w:type="dxa"/>
            <w:vMerge w:val="continue"/>
            <w:tcBorders>
              <w:left w:val="single" w:color="auto" w:sz="4" w:space="0"/>
              <w:right w:val="single" w:color="auto" w:sz="4" w:space="0"/>
            </w:tcBorders>
            <w:shd w:val="clear" w:color="auto" w:fill="auto"/>
            <w:vAlign w:val="center"/>
          </w:tcPr>
          <w:p>
            <w:pPr>
              <w:pStyle w:val="5"/>
              <w:spacing w:before="100" w:beforeAutospacing="1" w:after="100" w:afterAutospacing="1" w:line="240" w:lineRule="auto"/>
              <w:outlineLvl w:val="1"/>
              <w:rPr>
                <w:rFonts w:hint="eastAsia" w:ascii="宋体" w:hAnsi="宋体" w:cs="宋体"/>
                <w:color w:val="000000"/>
              </w:rPr>
            </w:pPr>
          </w:p>
        </w:tc>
        <w:tc>
          <w:tcPr>
            <w:tcW w:w="7378" w:type="dxa"/>
            <w:tcBorders>
              <w:top w:val="single" w:color="auto" w:sz="4" w:space="0"/>
              <w:left w:val="nil"/>
              <w:bottom w:val="single" w:color="auto" w:sz="4" w:space="0"/>
              <w:right w:val="single" w:color="auto" w:sz="4" w:space="0"/>
            </w:tcBorders>
            <w:shd w:val="clear" w:color="auto" w:fill="auto"/>
            <w:vAlign w:val="center"/>
          </w:tcPr>
          <w:p>
            <w:pPr>
              <w:pStyle w:val="5"/>
              <w:spacing w:before="100" w:beforeAutospacing="1" w:after="100" w:afterAutospacing="1" w:line="240" w:lineRule="auto"/>
              <w:outlineLvl w:val="1"/>
              <w:rPr>
                <w:rFonts w:hint="eastAsia" w:ascii="宋体" w:hAnsi="宋体" w:cs="宋体"/>
                <w:color w:val="000000"/>
              </w:rPr>
            </w:pPr>
            <w:r>
              <w:rPr>
                <w:rFonts w:hint="eastAsia" w:ascii="宋体" w:hAnsi="宋体" w:cs="宋体"/>
                <w:color w:val="000000"/>
              </w:rPr>
              <w:t>*具有7*24小时反共黑客值守及应急响应能力，提供反共事件发现截图及分析报告证明</w:t>
            </w:r>
          </w:p>
        </w:tc>
      </w:tr>
      <w:tr>
        <w:tblPrEx>
          <w:tblLayout w:type="fixed"/>
          <w:tblCellMar>
            <w:top w:w="0" w:type="dxa"/>
            <w:left w:w="108" w:type="dxa"/>
            <w:bottom w:w="0" w:type="dxa"/>
            <w:right w:w="108" w:type="dxa"/>
          </w:tblCellMar>
        </w:tblPrEx>
        <w:trPr>
          <w:trHeight w:val="1239" w:hRule="atLeast"/>
        </w:trPr>
        <w:tc>
          <w:tcPr>
            <w:tcW w:w="1616" w:type="dxa"/>
            <w:vMerge w:val="continue"/>
            <w:tcBorders>
              <w:left w:val="single" w:color="auto" w:sz="4" w:space="0"/>
              <w:right w:val="single" w:color="auto" w:sz="4" w:space="0"/>
            </w:tcBorders>
            <w:shd w:val="clear" w:color="auto" w:fill="auto"/>
            <w:vAlign w:val="center"/>
          </w:tcPr>
          <w:p>
            <w:pPr>
              <w:pStyle w:val="5"/>
              <w:spacing w:before="100" w:beforeAutospacing="1" w:after="100" w:afterAutospacing="1" w:line="240" w:lineRule="auto"/>
              <w:outlineLvl w:val="1"/>
              <w:rPr>
                <w:rFonts w:hint="eastAsia" w:ascii="宋体" w:hAnsi="宋体" w:cs="宋体"/>
                <w:color w:val="000000"/>
              </w:rPr>
            </w:pPr>
          </w:p>
        </w:tc>
        <w:tc>
          <w:tcPr>
            <w:tcW w:w="7378" w:type="dxa"/>
            <w:tcBorders>
              <w:top w:val="single" w:color="auto" w:sz="4" w:space="0"/>
              <w:left w:val="nil"/>
              <w:bottom w:val="single" w:color="auto" w:sz="4" w:space="0"/>
              <w:right w:val="single" w:color="auto" w:sz="4" w:space="0"/>
            </w:tcBorders>
            <w:shd w:val="clear" w:color="auto" w:fill="auto"/>
            <w:vAlign w:val="center"/>
          </w:tcPr>
          <w:p>
            <w:pPr>
              <w:pStyle w:val="5"/>
              <w:spacing w:before="100" w:beforeAutospacing="1" w:after="100" w:afterAutospacing="1" w:line="240" w:lineRule="auto"/>
              <w:outlineLvl w:val="1"/>
              <w:rPr>
                <w:rFonts w:hint="eastAsia" w:ascii="宋体" w:hAnsi="宋体" w:cs="宋体"/>
                <w:color w:val="000000"/>
              </w:rPr>
            </w:pPr>
            <w:r>
              <w:rPr>
                <w:rFonts w:hint="eastAsia" w:ascii="宋体" w:hAnsi="宋体" w:cs="宋体"/>
                <w:color w:val="000000"/>
              </w:rPr>
              <w:t>本次安全厂商需要向公安部、20个以上的cert分中心以及各地的公安部门提供安全通告经验，至少有通告3000多起事件。</w:t>
            </w:r>
          </w:p>
        </w:tc>
      </w:tr>
      <w:tr>
        <w:tblPrEx>
          <w:tblLayout w:type="fixed"/>
          <w:tblCellMar>
            <w:top w:w="0" w:type="dxa"/>
            <w:left w:w="108" w:type="dxa"/>
            <w:bottom w:w="0" w:type="dxa"/>
            <w:right w:w="108" w:type="dxa"/>
          </w:tblCellMar>
        </w:tblPrEx>
        <w:trPr>
          <w:trHeight w:val="2163" w:hRule="atLeast"/>
        </w:trPr>
        <w:tc>
          <w:tcPr>
            <w:tcW w:w="1616" w:type="dxa"/>
            <w:vMerge w:val="continue"/>
            <w:tcBorders>
              <w:left w:val="single" w:color="auto" w:sz="4" w:space="0"/>
              <w:right w:val="single" w:color="auto" w:sz="4" w:space="0"/>
            </w:tcBorders>
            <w:shd w:val="clear" w:color="auto" w:fill="auto"/>
            <w:vAlign w:val="center"/>
          </w:tcPr>
          <w:p>
            <w:pPr>
              <w:pStyle w:val="5"/>
              <w:spacing w:before="100" w:beforeAutospacing="1" w:after="100" w:afterAutospacing="1" w:line="240" w:lineRule="auto"/>
              <w:outlineLvl w:val="1"/>
              <w:rPr>
                <w:rFonts w:hint="eastAsia" w:ascii="宋体" w:hAnsi="宋体" w:cs="宋体"/>
                <w:color w:val="000000"/>
              </w:rPr>
            </w:pPr>
          </w:p>
        </w:tc>
        <w:tc>
          <w:tcPr>
            <w:tcW w:w="7378" w:type="dxa"/>
            <w:tcBorders>
              <w:top w:val="single" w:color="auto" w:sz="4" w:space="0"/>
              <w:left w:val="nil"/>
              <w:bottom w:val="single" w:color="auto" w:sz="4" w:space="0"/>
              <w:right w:val="single" w:color="auto" w:sz="4" w:space="0"/>
            </w:tcBorders>
            <w:shd w:val="clear" w:color="auto" w:fill="auto"/>
            <w:vAlign w:val="center"/>
          </w:tcPr>
          <w:p>
            <w:pPr>
              <w:pStyle w:val="5"/>
              <w:spacing w:before="100" w:beforeAutospacing="1" w:after="100" w:afterAutospacing="1" w:line="240" w:lineRule="auto"/>
              <w:outlineLvl w:val="1"/>
              <w:rPr>
                <w:rFonts w:hint="eastAsia" w:ascii="宋体" w:hAnsi="宋体" w:cs="宋体"/>
                <w:color w:val="000000"/>
              </w:rPr>
            </w:pPr>
            <w:r>
              <w:rPr>
                <w:rFonts w:hint="eastAsia" w:ascii="宋体" w:hAnsi="宋体" w:cs="宋体"/>
                <w:color w:val="000000"/>
              </w:rPr>
              <w:t>*具有云端7*24远程安全专家服务能力，提供7*24小时安全值守和应急响应服务。提供策略优化、配置调整、规则更新、问题处理、技术咨询安全事件通告等常规技术支持服务，实时监测和感知DDOS、持续性攻击、0day攻击等事件，并及时响应和对抗，同时在重大节会期间提供更高级别的安全响应服务，需提供相关的证明材料（含办工场地，人员情况，服务过程性材料截图等）。</w:t>
            </w:r>
          </w:p>
        </w:tc>
      </w:tr>
      <w:tr>
        <w:tblPrEx>
          <w:tblLayout w:type="fixed"/>
          <w:tblCellMar>
            <w:top w:w="0" w:type="dxa"/>
            <w:left w:w="108" w:type="dxa"/>
            <w:bottom w:w="0" w:type="dxa"/>
            <w:right w:w="108" w:type="dxa"/>
          </w:tblCellMar>
        </w:tblPrEx>
        <w:trPr>
          <w:trHeight w:val="237" w:hRule="atLeast"/>
        </w:trPr>
        <w:tc>
          <w:tcPr>
            <w:tcW w:w="1616" w:type="dxa"/>
            <w:vMerge w:val="continue"/>
            <w:tcBorders>
              <w:left w:val="single" w:color="auto" w:sz="4" w:space="0"/>
              <w:bottom w:val="single" w:color="auto" w:sz="4" w:space="0"/>
              <w:right w:val="single" w:color="auto" w:sz="4" w:space="0"/>
            </w:tcBorders>
            <w:shd w:val="clear" w:color="auto" w:fill="auto"/>
            <w:vAlign w:val="center"/>
          </w:tcPr>
          <w:p>
            <w:pPr>
              <w:pStyle w:val="5"/>
              <w:spacing w:before="100" w:beforeAutospacing="1" w:after="100" w:afterAutospacing="1" w:line="240" w:lineRule="auto"/>
              <w:outlineLvl w:val="1"/>
              <w:rPr>
                <w:rFonts w:hint="eastAsia" w:ascii="宋体" w:hAnsi="宋体" w:cs="宋体"/>
                <w:color w:val="000000"/>
              </w:rPr>
            </w:pPr>
          </w:p>
        </w:tc>
        <w:tc>
          <w:tcPr>
            <w:tcW w:w="7378" w:type="dxa"/>
            <w:tcBorders>
              <w:top w:val="single" w:color="auto" w:sz="4" w:space="0"/>
              <w:left w:val="nil"/>
              <w:bottom w:val="single" w:color="auto" w:sz="4" w:space="0"/>
              <w:right w:val="single" w:color="auto" w:sz="4" w:space="0"/>
            </w:tcBorders>
            <w:shd w:val="clear" w:color="auto" w:fill="auto"/>
            <w:vAlign w:val="center"/>
          </w:tcPr>
          <w:p>
            <w:pPr>
              <w:pStyle w:val="5"/>
              <w:spacing w:before="100" w:beforeAutospacing="1" w:after="100" w:afterAutospacing="1" w:line="240" w:lineRule="auto"/>
              <w:outlineLvl w:val="1"/>
              <w:rPr>
                <w:rFonts w:hint="eastAsia" w:ascii="宋体" w:hAnsi="宋体" w:cs="宋体"/>
                <w:color w:val="000000"/>
              </w:rPr>
            </w:pPr>
            <w:r>
              <w:rPr>
                <w:rFonts w:hint="eastAsia" w:ascii="宋体" w:hAnsi="宋体" w:cs="宋体"/>
                <w:color w:val="000000"/>
              </w:rPr>
              <w:t>*具有G20峰会、世界互联网大会、上合组织峰会、一带一路等国际峰会官网云防护安保案例，提供官方感谢信或证明文件</w:t>
            </w:r>
          </w:p>
        </w:tc>
      </w:tr>
    </w:tbl>
    <w:p>
      <w:pPr>
        <w:spacing w:line="360" w:lineRule="auto"/>
        <w:ind w:firstLine="420" w:firstLineChars="200"/>
        <w:rPr>
          <w:rFonts w:hint="eastAsia" w:ascii="宋体" w:hAnsi="宋体" w:cs="宋体"/>
          <w:kern w:val="0"/>
          <w:szCs w:val="21"/>
          <w:lang w:eastAsia="zh-CN"/>
        </w:rPr>
      </w:pPr>
    </w:p>
    <w:p>
      <w:pPr>
        <w:numPr>
          <w:ilvl w:val="0"/>
          <w:numId w:val="1"/>
        </w:numPr>
        <w:rPr>
          <w:rFonts w:hint="eastAsia" w:asciiTheme="minorEastAsia" w:hAnsiTheme="minorEastAsia" w:eastAsiaTheme="minorEastAsia" w:cstheme="minorEastAsia"/>
          <w:b/>
          <w:sz w:val="28"/>
          <w:szCs w:val="28"/>
          <w:lang w:eastAsia="zh-CN"/>
        </w:rPr>
      </w:pPr>
      <w:r>
        <w:rPr>
          <w:rFonts w:hint="eastAsia" w:asciiTheme="minorEastAsia" w:hAnsiTheme="minorEastAsia" w:eastAsiaTheme="minorEastAsia" w:cstheme="minorEastAsia"/>
          <w:b/>
          <w:sz w:val="28"/>
          <w:szCs w:val="28"/>
          <w:lang w:eastAsia="zh-CN"/>
        </w:rPr>
        <w:t>资质及服务团队要求</w:t>
      </w:r>
    </w:p>
    <w:p>
      <w:pPr>
        <w:widowControl/>
        <w:spacing w:line="360" w:lineRule="auto"/>
        <w:ind w:firstLine="422" w:firstLineChars="200"/>
        <w:jc w:val="left"/>
        <w:rPr>
          <w:rFonts w:ascii="宋体" w:hAnsi="宋体"/>
          <w:b/>
          <w:color w:val="000000"/>
          <w:kern w:val="0"/>
          <w:sz w:val="28"/>
          <w:szCs w:val="28"/>
        </w:rPr>
      </w:pPr>
      <w:r>
        <w:rPr>
          <w:rFonts w:hint="eastAsia" w:ascii="宋体" w:hAnsi="宋体" w:cs="宋体"/>
          <w:b/>
          <w:color w:val="000000"/>
        </w:rPr>
        <w:t>本次</w:t>
      </w:r>
      <w:r>
        <w:rPr>
          <w:rFonts w:ascii="宋体" w:hAnsi="宋体" w:cs="宋体"/>
          <w:b/>
          <w:color w:val="000000"/>
        </w:rPr>
        <w:t>项目包含安全运维服务类项目，特别注重投标人</w:t>
      </w:r>
      <w:r>
        <w:rPr>
          <w:rFonts w:hint="eastAsia" w:ascii="宋体" w:hAnsi="宋体" w:cs="宋体"/>
          <w:b/>
          <w:color w:val="000000"/>
        </w:rPr>
        <w:t>自身</w:t>
      </w:r>
      <w:r>
        <w:rPr>
          <w:rFonts w:ascii="宋体" w:hAnsi="宋体" w:cs="宋体"/>
          <w:b/>
          <w:color w:val="000000"/>
        </w:rPr>
        <w:t>安全服务能力</w:t>
      </w:r>
      <w:r>
        <w:rPr>
          <w:rFonts w:hint="eastAsia" w:ascii="宋体" w:hAnsi="宋体" w:cs="宋体"/>
          <w:b/>
          <w:color w:val="000000"/>
        </w:rPr>
        <w:t>以及</w:t>
      </w:r>
      <w:r>
        <w:rPr>
          <w:rFonts w:ascii="宋体" w:hAnsi="宋体" w:cs="宋体"/>
          <w:b/>
          <w:color w:val="000000"/>
        </w:rPr>
        <w:t>所能涉及的服务范围，</w:t>
      </w:r>
      <w:r>
        <w:rPr>
          <w:rFonts w:hint="eastAsia" w:ascii="宋体" w:hAnsi="宋体" w:cs="宋体"/>
          <w:b/>
          <w:color w:val="000000"/>
        </w:rPr>
        <w:t>因此</w:t>
      </w:r>
      <w:r>
        <w:rPr>
          <w:rFonts w:ascii="宋体" w:hAnsi="宋体" w:cs="宋体"/>
          <w:b/>
          <w:color w:val="000000"/>
        </w:rPr>
        <w:t>对投标人技术</w:t>
      </w:r>
      <w:r>
        <w:rPr>
          <w:rFonts w:hint="eastAsia" w:ascii="宋体" w:hAnsi="宋体" w:cs="宋体"/>
          <w:b/>
          <w:color w:val="000000"/>
        </w:rPr>
        <w:t>水平</w:t>
      </w:r>
      <w:r>
        <w:rPr>
          <w:rFonts w:ascii="宋体" w:hAnsi="宋体" w:cs="宋体"/>
          <w:b/>
          <w:color w:val="000000"/>
        </w:rPr>
        <w:t>要求较高，需要</w:t>
      </w:r>
      <w:r>
        <w:rPr>
          <w:rFonts w:hint="eastAsia" w:ascii="宋体" w:hAnsi="宋体" w:cs="宋体"/>
          <w:b/>
          <w:color w:val="000000"/>
        </w:rPr>
        <w:t>投标</w:t>
      </w:r>
      <w:r>
        <w:rPr>
          <w:rFonts w:ascii="宋体" w:hAnsi="宋体" w:cs="宋体"/>
          <w:b/>
          <w:color w:val="000000"/>
        </w:rPr>
        <w:t>人满足以下</w:t>
      </w:r>
      <w:r>
        <w:rPr>
          <w:rFonts w:hint="eastAsia" w:ascii="宋体" w:hAnsi="宋体" w:cs="宋体"/>
          <w:b/>
          <w:color w:val="000000"/>
        </w:rPr>
        <w:t>企业</w:t>
      </w:r>
      <w:r>
        <w:rPr>
          <w:rFonts w:ascii="宋体" w:hAnsi="宋体" w:cs="宋体"/>
          <w:b/>
          <w:color w:val="000000"/>
        </w:rPr>
        <w:t>资质及人员资质</w:t>
      </w:r>
      <w:r>
        <w:rPr>
          <w:rFonts w:hint="eastAsia" w:ascii="宋体" w:hAnsi="宋体" w:cs="宋体"/>
          <w:b/>
          <w:color w:val="000000"/>
        </w:rPr>
        <w:t>要求</w:t>
      </w:r>
      <w:r>
        <w:rPr>
          <w:rFonts w:ascii="宋体" w:hAnsi="宋体" w:cs="宋体"/>
          <w:b/>
          <w:color w:val="000000"/>
        </w:rPr>
        <w:t>。</w:t>
      </w:r>
    </w:p>
    <w:p>
      <w:pPr>
        <w:spacing w:line="360" w:lineRule="auto"/>
        <w:rPr>
          <w:rFonts w:ascii="宋体" w:hAnsi="宋体"/>
          <w:color w:val="000000"/>
          <w:kern w:val="0"/>
          <w:szCs w:val="21"/>
        </w:rPr>
      </w:pPr>
      <w:r>
        <w:rPr>
          <w:rFonts w:ascii="宋体" w:hAnsi="宋体"/>
          <w:color w:val="000000"/>
          <w:kern w:val="0"/>
          <w:szCs w:val="21"/>
        </w:rPr>
        <w:t>（一）</w:t>
      </w:r>
      <w:r>
        <w:rPr>
          <w:rFonts w:hint="eastAsia" w:ascii="宋体" w:hAnsi="宋体"/>
          <w:color w:val="000000"/>
          <w:kern w:val="0"/>
          <w:szCs w:val="21"/>
        </w:rPr>
        <w:t>投标公司应是在信息</w:t>
      </w:r>
      <w:r>
        <w:rPr>
          <w:rFonts w:ascii="宋体" w:hAnsi="宋体"/>
          <w:color w:val="000000"/>
          <w:kern w:val="0"/>
          <w:szCs w:val="21"/>
        </w:rPr>
        <w:t>安全</w:t>
      </w:r>
      <w:r>
        <w:rPr>
          <w:rFonts w:hint="eastAsia" w:ascii="宋体" w:hAnsi="宋体"/>
          <w:color w:val="000000"/>
          <w:kern w:val="0"/>
          <w:szCs w:val="21"/>
        </w:rPr>
        <w:t>领域须具有丰富的经验和先进的技术，能满足以下资质要求</w:t>
      </w:r>
      <w:r>
        <w:rPr>
          <w:rFonts w:hint="eastAsia" w:ascii="宋体" w:hAnsi="宋体"/>
          <w:kern w:val="0"/>
          <w:szCs w:val="21"/>
        </w:rPr>
        <w:t>之一：</w:t>
      </w:r>
    </w:p>
    <w:p>
      <w:pPr>
        <w:spacing w:line="360" w:lineRule="auto"/>
        <w:ind w:firstLine="420" w:firstLineChars="200"/>
        <w:rPr>
          <w:rFonts w:ascii="宋体" w:hAnsi="宋体"/>
          <w:color w:val="auto"/>
          <w:kern w:val="0"/>
          <w:szCs w:val="21"/>
        </w:rPr>
      </w:pPr>
      <w:r>
        <w:rPr>
          <w:rFonts w:ascii="宋体" w:hAnsi="宋体"/>
          <w:color w:val="auto"/>
          <w:kern w:val="0"/>
          <w:szCs w:val="21"/>
        </w:rPr>
        <w:t>1</w:t>
      </w:r>
      <w:r>
        <w:rPr>
          <w:rFonts w:hint="eastAsia" w:ascii="宋体" w:hAnsi="宋体"/>
          <w:color w:val="auto"/>
          <w:kern w:val="0"/>
          <w:szCs w:val="21"/>
        </w:rPr>
        <w:t>、</w:t>
      </w:r>
      <w:r>
        <w:rPr>
          <w:rFonts w:hint="eastAsia"/>
          <w:color w:val="auto"/>
          <w:szCs w:val="24"/>
        </w:rPr>
        <w:t>投标人应具有中国信息安全认证中心颁发的信息系统安全运维二级及以上服务资质证书；</w:t>
      </w:r>
    </w:p>
    <w:p>
      <w:pPr>
        <w:spacing w:line="360" w:lineRule="auto"/>
        <w:ind w:firstLine="420" w:firstLineChars="200"/>
        <w:rPr>
          <w:rFonts w:ascii="宋体" w:hAnsi="宋体"/>
          <w:color w:val="000000"/>
          <w:kern w:val="0"/>
          <w:szCs w:val="21"/>
        </w:rPr>
      </w:pPr>
      <w:r>
        <w:rPr>
          <w:rFonts w:ascii="宋体" w:hAnsi="宋体"/>
          <w:color w:val="000000"/>
          <w:kern w:val="0"/>
          <w:szCs w:val="21"/>
        </w:rPr>
        <w:t>2</w:t>
      </w:r>
      <w:r>
        <w:rPr>
          <w:rFonts w:hint="eastAsia" w:ascii="宋体" w:hAnsi="宋体"/>
          <w:color w:val="000000"/>
          <w:kern w:val="0"/>
          <w:szCs w:val="21"/>
        </w:rPr>
        <w:t>、</w:t>
      </w:r>
      <w:r>
        <w:rPr>
          <w:rFonts w:hint="eastAsia"/>
          <w:szCs w:val="24"/>
        </w:rPr>
        <w:t>投标人应具有有效的计算机信息系统集成叁级及以上资质</w:t>
      </w:r>
      <w:r>
        <w:rPr>
          <w:rFonts w:ascii="宋体" w:hAnsi="宋体"/>
          <w:color w:val="000000"/>
          <w:kern w:val="0"/>
          <w:szCs w:val="21"/>
        </w:rPr>
        <w:t>。</w:t>
      </w:r>
    </w:p>
    <w:p>
      <w:pPr>
        <w:spacing w:line="360" w:lineRule="auto"/>
        <w:rPr>
          <w:rFonts w:ascii="宋体" w:hAnsi="宋体"/>
          <w:color w:val="000000"/>
          <w:kern w:val="0"/>
          <w:szCs w:val="21"/>
        </w:rPr>
      </w:pPr>
      <w:r>
        <w:rPr>
          <w:rFonts w:ascii="宋体" w:hAnsi="宋体"/>
          <w:color w:val="000000"/>
          <w:kern w:val="0"/>
          <w:szCs w:val="21"/>
        </w:rPr>
        <w:t>（</w:t>
      </w:r>
      <w:r>
        <w:rPr>
          <w:rFonts w:hint="eastAsia" w:ascii="宋体" w:hAnsi="宋体"/>
          <w:color w:val="000000"/>
          <w:kern w:val="0"/>
          <w:szCs w:val="21"/>
          <w:lang w:eastAsia="zh-CN"/>
        </w:rPr>
        <w:t>二</w:t>
      </w:r>
      <w:r>
        <w:rPr>
          <w:rFonts w:ascii="宋体" w:hAnsi="宋体"/>
          <w:color w:val="000000"/>
          <w:kern w:val="0"/>
          <w:szCs w:val="21"/>
        </w:rPr>
        <w:t>）</w:t>
      </w:r>
      <w:r>
        <w:rPr>
          <w:rFonts w:hint="eastAsia" w:ascii="宋体" w:hAnsi="宋体"/>
          <w:color w:val="000000"/>
          <w:kern w:val="0"/>
          <w:szCs w:val="21"/>
        </w:rPr>
        <w:t>投标</w:t>
      </w:r>
      <w:r>
        <w:rPr>
          <w:rFonts w:ascii="宋体" w:hAnsi="宋体"/>
          <w:color w:val="000000"/>
          <w:kern w:val="0"/>
          <w:szCs w:val="21"/>
        </w:rPr>
        <w:t>人提供</w:t>
      </w:r>
      <w:r>
        <w:rPr>
          <w:rFonts w:hint="eastAsia" w:ascii="宋体" w:hAnsi="宋体"/>
          <w:color w:val="000000"/>
          <w:kern w:val="0"/>
          <w:szCs w:val="21"/>
        </w:rPr>
        <w:t>业绩证明</w:t>
      </w:r>
      <w:r>
        <w:rPr>
          <w:rFonts w:ascii="宋体" w:hAnsi="宋体"/>
          <w:color w:val="000000"/>
          <w:kern w:val="0"/>
          <w:szCs w:val="21"/>
        </w:rPr>
        <w:t>。</w:t>
      </w:r>
    </w:p>
    <w:p>
      <w:pPr>
        <w:spacing w:line="360" w:lineRule="auto"/>
        <w:ind w:firstLine="420"/>
        <w:rPr>
          <w:rFonts w:ascii="宋体" w:hAnsi="宋体"/>
          <w:b/>
          <w:color w:val="000000"/>
          <w:kern w:val="0"/>
          <w:szCs w:val="21"/>
        </w:rPr>
      </w:pPr>
      <w:r>
        <w:rPr>
          <w:rFonts w:hint="eastAsia" w:ascii="宋体" w:hAnsi="宋体"/>
          <w:b/>
          <w:color w:val="000000"/>
          <w:kern w:val="0"/>
          <w:szCs w:val="21"/>
        </w:rPr>
        <w:t>具体要求：</w:t>
      </w:r>
    </w:p>
    <w:p>
      <w:pPr>
        <w:spacing w:line="360" w:lineRule="auto"/>
        <w:ind w:firstLine="420"/>
        <w:rPr>
          <w:rFonts w:ascii="宋体" w:hAnsi="宋体"/>
          <w:color w:val="000000"/>
          <w:kern w:val="0"/>
          <w:szCs w:val="21"/>
        </w:rPr>
      </w:pPr>
      <w:r>
        <w:rPr>
          <w:rFonts w:hint="eastAsia" w:ascii="宋体" w:hAnsi="宋体"/>
          <w:color w:val="000000"/>
          <w:kern w:val="0"/>
          <w:szCs w:val="21"/>
        </w:rPr>
        <w:t>投标人</w:t>
      </w:r>
      <w:r>
        <w:rPr>
          <w:rFonts w:ascii="宋体" w:hAnsi="宋体"/>
          <w:color w:val="000000"/>
          <w:kern w:val="0"/>
          <w:szCs w:val="21"/>
        </w:rPr>
        <w:t>自</w:t>
      </w:r>
      <w:r>
        <w:rPr>
          <w:rFonts w:hint="eastAsia" w:ascii="宋体" w:hAnsi="宋体"/>
          <w:color w:val="000000"/>
          <w:kern w:val="0"/>
          <w:szCs w:val="21"/>
        </w:rPr>
        <w:t>201</w:t>
      </w:r>
      <w:r>
        <w:rPr>
          <w:rFonts w:ascii="宋体" w:hAnsi="宋体"/>
          <w:color w:val="000000"/>
          <w:kern w:val="0"/>
          <w:szCs w:val="21"/>
        </w:rPr>
        <w:t>5</w:t>
      </w:r>
      <w:r>
        <w:rPr>
          <w:rFonts w:hint="eastAsia" w:ascii="宋体" w:hAnsi="宋体"/>
          <w:color w:val="000000"/>
          <w:kern w:val="0"/>
          <w:szCs w:val="21"/>
        </w:rPr>
        <w:t>年1月1日以来承担过宁波市</w:t>
      </w:r>
      <w:r>
        <w:rPr>
          <w:rFonts w:ascii="宋体" w:hAnsi="宋体"/>
          <w:color w:val="000000"/>
          <w:kern w:val="0"/>
          <w:szCs w:val="21"/>
        </w:rPr>
        <w:t>高校行业</w:t>
      </w:r>
      <w:r>
        <w:rPr>
          <w:rFonts w:hint="eastAsia" w:ascii="宋体" w:hAnsi="宋体"/>
          <w:color w:val="000000"/>
          <w:kern w:val="0"/>
          <w:szCs w:val="21"/>
        </w:rPr>
        <w:t>大规模信息安全</w:t>
      </w:r>
      <w:r>
        <w:rPr>
          <w:rFonts w:ascii="宋体" w:hAnsi="宋体"/>
          <w:color w:val="000000"/>
          <w:kern w:val="0"/>
          <w:szCs w:val="21"/>
        </w:rPr>
        <w:t>运维</w:t>
      </w:r>
      <w:r>
        <w:rPr>
          <w:rFonts w:hint="eastAsia" w:ascii="宋体" w:hAnsi="宋体"/>
          <w:color w:val="000000"/>
          <w:kern w:val="0"/>
          <w:szCs w:val="21"/>
        </w:rPr>
        <w:t>服务供应及实施工作。需提供</w:t>
      </w:r>
      <w:r>
        <w:rPr>
          <w:rFonts w:ascii="宋体" w:hAnsi="宋体"/>
          <w:color w:val="000000"/>
          <w:kern w:val="0"/>
          <w:szCs w:val="21"/>
        </w:rPr>
        <w:t>至少5</w:t>
      </w:r>
      <w:r>
        <w:rPr>
          <w:rFonts w:hint="eastAsia" w:ascii="宋体" w:hAnsi="宋体"/>
          <w:color w:val="000000"/>
          <w:kern w:val="0"/>
          <w:szCs w:val="21"/>
        </w:rPr>
        <w:t>个项目案例，每个案例的合同金额不少于</w:t>
      </w:r>
      <w:r>
        <w:rPr>
          <w:rFonts w:hint="eastAsia" w:ascii="宋体" w:hAnsi="宋体"/>
          <w:color w:val="000000"/>
          <w:kern w:val="0"/>
          <w:szCs w:val="21"/>
          <w:lang w:val="en-US" w:eastAsia="zh-CN"/>
        </w:rPr>
        <w:t>15</w:t>
      </w:r>
      <w:r>
        <w:rPr>
          <w:rFonts w:hint="eastAsia" w:ascii="宋体" w:hAnsi="宋体"/>
          <w:color w:val="000000"/>
          <w:kern w:val="0"/>
          <w:szCs w:val="21"/>
        </w:rPr>
        <w:t>万元。</w:t>
      </w:r>
    </w:p>
    <w:p>
      <w:pPr>
        <w:spacing w:line="360" w:lineRule="auto"/>
        <w:ind w:firstLine="420"/>
        <w:rPr>
          <w:rFonts w:ascii="宋体" w:hAnsi="宋体"/>
          <w:color w:val="000000"/>
          <w:kern w:val="0"/>
          <w:szCs w:val="21"/>
        </w:rPr>
      </w:pPr>
      <w:r>
        <w:rPr>
          <w:rFonts w:hint="eastAsia" w:ascii="宋体" w:hAnsi="宋体"/>
          <w:color w:val="000000"/>
          <w:kern w:val="0"/>
          <w:szCs w:val="21"/>
        </w:rPr>
        <w:t>上述案例材料中须包括项目名称、最终用户的有效联系方式、项目金额等，并提供与用户签订的合同首页、标的及其金额所在页、签字盖章页及产品明细清单的复印件等确切的相关资料。</w:t>
      </w:r>
    </w:p>
    <w:p>
      <w:pPr>
        <w:spacing w:line="360" w:lineRule="auto"/>
        <w:rPr>
          <w:rFonts w:ascii="宋体" w:hAnsi="宋体"/>
          <w:color w:val="000000"/>
          <w:kern w:val="0"/>
          <w:szCs w:val="21"/>
        </w:rPr>
      </w:pPr>
      <w:r>
        <w:rPr>
          <w:rFonts w:ascii="宋体" w:hAnsi="宋体"/>
          <w:color w:val="000000"/>
          <w:kern w:val="0"/>
          <w:szCs w:val="21"/>
        </w:rPr>
        <w:t>（</w:t>
      </w:r>
      <w:r>
        <w:rPr>
          <w:rFonts w:hint="eastAsia" w:ascii="宋体" w:hAnsi="宋体"/>
          <w:color w:val="000000"/>
          <w:kern w:val="0"/>
          <w:szCs w:val="21"/>
        </w:rPr>
        <w:t>四</w:t>
      </w:r>
      <w:r>
        <w:rPr>
          <w:rFonts w:ascii="宋体" w:hAnsi="宋体"/>
          <w:color w:val="000000"/>
          <w:kern w:val="0"/>
          <w:szCs w:val="21"/>
        </w:rPr>
        <w:t>）</w:t>
      </w:r>
      <w:r>
        <w:rPr>
          <w:rFonts w:hint="eastAsia" w:ascii="宋体" w:hAnsi="宋体"/>
          <w:color w:val="000000"/>
          <w:kern w:val="0"/>
          <w:szCs w:val="21"/>
        </w:rPr>
        <w:t>服务</w:t>
      </w:r>
      <w:r>
        <w:rPr>
          <w:rFonts w:ascii="宋体" w:hAnsi="宋体"/>
          <w:color w:val="000000"/>
          <w:kern w:val="0"/>
          <w:szCs w:val="21"/>
        </w:rPr>
        <w:t>团队要求</w:t>
      </w:r>
    </w:p>
    <w:p>
      <w:pPr>
        <w:spacing w:line="360" w:lineRule="auto"/>
        <w:ind w:firstLine="420"/>
        <w:rPr>
          <w:rFonts w:ascii="宋体" w:hAnsi="宋体"/>
          <w:b/>
          <w:color w:val="000000"/>
          <w:kern w:val="0"/>
          <w:szCs w:val="21"/>
        </w:rPr>
      </w:pPr>
      <w:r>
        <w:rPr>
          <w:rFonts w:ascii="宋体" w:hAnsi="宋体"/>
          <w:b/>
          <w:color w:val="000000"/>
          <w:kern w:val="0"/>
          <w:szCs w:val="21"/>
        </w:rPr>
        <w:t>具体要求：</w:t>
      </w:r>
      <w:r>
        <w:rPr>
          <w:rFonts w:hint="eastAsia" w:ascii="宋体" w:hAnsi="宋体"/>
          <w:b/>
          <w:color w:val="000000"/>
          <w:kern w:val="0"/>
          <w:szCs w:val="21"/>
        </w:rPr>
        <w:t xml:space="preserve"> </w:t>
      </w:r>
    </w:p>
    <w:p>
      <w:pPr>
        <w:widowControl/>
        <w:spacing w:line="360" w:lineRule="auto"/>
        <w:ind w:firstLine="420"/>
        <w:jc w:val="left"/>
        <w:rPr>
          <w:rFonts w:ascii="宋体" w:hAnsi="宋体"/>
          <w:color w:val="000000"/>
          <w:kern w:val="0"/>
          <w:szCs w:val="21"/>
        </w:rPr>
      </w:pPr>
      <w:r>
        <w:rPr>
          <w:rFonts w:hint="eastAsia" w:ascii="宋体" w:hAnsi="宋体"/>
          <w:color w:val="000000"/>
          <w:kern w:val="0"/>
          <w:szCs w:val="21"/>
        </w:rPr>
        <w:t>投标商必须提供维护实施组人员名单（6人以上）；其中项目经理必须具有</w:t>
      </w:r>
      <w:r>
        <w:rPr>
          <w:rFonts w:ascii="宋体" w:hAnsi="宋体"/>
          <w:color w:val="000000"/>
          <w:kern w:val="0"/>
          <w:szCs w:val="21"/>
        </w:rPr>
        <w:t>CISP</w:t>
      </w:r>
      <w:r>
        <w:rPr>
          <w:rFonts w:hint="eastAsia" w:ascii="宋体" w:hAnsi="宋体"/>
          <w:color w:val="000000"/>
          <w:kern w:val="0"/>
          <w:szCs w:val="21"/>
        </w:rPr>
        <w:t>认证资质；运维实施人员至少一名H3C、华为或CISCO认证工程师；以上人员提供资质证书复印件并加盖公章，并提供近3个月社保证明。</w:t>
      </w:r>
    </w:p>
    <w:p>
      <w:pPr>
        <w:numPr>
          <w:ilvl w:val="0"/>
          <w:numId w:val="0"/>
        </w:numPr>
        <w:rPr>
          <w:rFonts w:hint="eastAsia" w:asciiTheme="minorEastAsia" w:hAnsiTheme="minorEastAsia" w:eastAsiaTheme="minorEastAsia" w:cstheme="minorEastAsia"/>
          <w:b/>
          <w:sz w:val="28"/>
          <w:szCs w:val="28"/>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73B7C3B"/>
    <w:multiLevelType w:val="singleLevel"/>
    <w:tmpl w:val="A73B7C3B"/>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4CA110A"/>
    <w:rsid w:val="24B37BB8"/>
    <w:rsid w:val="26AE5D7A"/>
    <w:rsid w:val="32997936"/>
    <w:rsid w:val="36AC64B4"/>
    <w:rsid w:val="40034C19"/>
    <w:rsid w:val="48D82671"/>
    <w:rsid w:val="4AE33FD6"/>
    <w:rsid w:val="6FE866AC"/>
    <w:rsid w:val="7D5F44F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 w:type="table" w:styleId="3">
    <w:name w:val="Table Grid"/>
    <w:basedOn w:val="2"/>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5">
    <w:name w:val="正文（绿盟科技）"/>
    <w:qFormat/>
    <w:uiPriority w:val="0"/>
    <w:pPr>
      <w:spacing w:line="300" w:lineRule="auto"/>
    </w:pPr>
    <w:rPr>
      <w:rFonts w:ascii="Arial" w:hAnsi="Arial" w:eastAsia="宋体" w:cs="Times New Roman"/>
      <w:sz w:val="21"/>
      <w:szCs w:val="21"/>
      <w:lang w:val="en-US" w:eastAsia="zh-CN" w:bidi="ar-SA"/>
    </w:rPr>
  </w:style>
  <w:style w:type="character" w:customStyle="1" w:styleId="6">
    <w:name w:val="font91"/>
    <w:qFormat/>
    <w:uiPriority w:val="0"/>
    <w:rPr>
      <w:rFonts w:hint="eastAsia" w:ascii="宋体" w:hAnsi="宋体" w:eastAsia="宋体" w:cs="宋体"/>
      <w:color w:val="000000"/>
      <w:sz w:val="21"/>
      <w:szCs w:val="21"/>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Office_11.3.0.8632_F1E327BC-269C-435d-A152-05C5408002CA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dc:creator>
  <cp:lastModifiedBy>考拉1422139913</cp:lastModifiedBy>
  <dcterms:modified xsi:type="dcterms:W3CDTF">2019-07-05T04:34:41Z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2052-11.3.0.8632</vt:lpwstr>
  </property>
</Properties>
</file>