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pacing w:val="-16"/>
          <w:sz w:val="30"/>
          <w:szCs w:val="30"/>
        </w:rPr>
      </w:pPr>
      <w:r>
        <w:rPr>
          <w:rFonts w:hint="eastAsia" w:ascii="宋体" w:hAnsi="宋体"/>
          <w:b/>
          <w:bCs/>
          <w:spacing w:val="-16"/>
          <w:sz w:val="30"/>
          <w:szCs w:val="30"/>
          <w:lang w:eastAsia="zh-CN"/>
        </w:rPr>
        <w:t>宁波城市职业技术学院</w:t>
      </w:r>
      <w:r>
        <w:rPr>
          <w:rFonts w:hint="eastAsia" w:ascii="宋体" w:hAnsi="宋体"/>
          <w:b/>
          <w:bCs/>
          <w:spacing w:val="-16"/>
          <w:sz w:val="30"/>
          <w:szCs w:val="30"/>
        </w:rPr>
        <w:t>校园网络信息安全服务项目需求</w:t>
      </w:r>
    </w:p>
    <w:p>
      <w:pP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一、项目服务内容要求</w:t>
      </w:r>
    </w:p>
    <w:tbl>
      <w:tblPr>
        <w:tblStyle w:val="3"/>
        <w:tblW w:w="9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10"/>
        <w:gridCol w:w="1920"/>
        <w:gridCol w:w="3881"/>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0" w:type="dxa"/>
            <w:vAlign w:val="center"/>
          </w:tcPr>
          <w:p>
            <w:pPr>
              <w:widowControl/>
              <w:jc w:val="center"/>
              <w:rPr>
                <w:rFonts w:ascii="宋体" w:hAnsi="宋体"/>
                <w:b/>
                <w:bCs/>
                <w:color w:val="000000"/>
                <w:kern w:val="0"/>
                <w:szCs w:val="21"/>
              </w:rPr>
            </w:pPr>
            <w:r>
              <w:rPr>
                <w:rFonts w:hint="eastAsia" w:ascii="宋体" w:hAnsi="宋体"/>
                <w:b/>
                <w:bCs/>
                <w:color w:val="000000"/>
                <w:kern w:val="0"/>
                <w:szCs w:val="21"/>
              </w:rPr>
              <w:t>序号</w:t>
            </w:r>
          </w:p>
        </w:tc>
        <w:tc>
          <w:tcPr>
            <w:tcW w:w="1210" w:type="dxa"/>
            <w:vAlign w:val="center"/>
          </w:tcPr>
          <w:p>
            <w:pPr>
              <w:widowControl/>
              <w:jc w:val="center"/>
              <w:rPr>
                <w:rFonts w:ascii="宋体" w:hAnsi="宋体"/>
                <w:b/>
                <w:bCs/>
                <w:color w:val="000000"/>
                <w:kern w:val="0"/>
                <w:szCs w:val="21"/>
              </w:rPr>
            </w:pPr>
            <w:r>
              <w:rPr>
                <w:rFonts w:hint="eastAsia" w:ascii="宋体" w:hAnsi="宋体"/>
                <w:b/>
                <w:bCs/>
                <w:color w:val="000000"/>
                <w:kern w:val="0"/>
                <w:szCs w:val="21"/>
              </w:rPr>
              <w:t>服务类别</w:t>
            </w:r>
          </w:p>
        </w:tc>
        <w:tc>
          <w:tcPr>
            <w:tcW w:w="1920" w:type="dxa"/>
            <w:vAlign w:val="center"/>
          </w:tcPr>
          <w:p>
            <w:pPr>
              <w:widowControl/>
              <w:jc w:val="center"/>
              <w:rPr>
                <w:rFonts w:ascii="宋体" w:hAnsi="宋体"/>
                <w:b/>
                <w:bCs/>
                <w:color w:val="000000"/>
                <w:kern w:val="0"/>
                <w:szCs w:val="21"/>
              </w:rPr>
            </w:pPr>
            <w:r>
              <w:rPr>
                <w:rFonts w:hint="eastAsia" w:ascii="宋体" w:hAnsi="宋体"/>
                <w:b/>
                <w:bCs/>
                <w:color w:val="000000"/>
                <w:kern w:val="0"/>
                <w:szCs w:val="21"/>
              </w:rPr>
              <w:t>服务名称</w:t>
            </w:r>
          </w:p>
        </w:tc>
        <w:tc>
          <w:tcPr>
            <w:tcW w:w="3881" w:type="dxa"/>
            <w:vAlign w:val="center"/>
          </w:tcPr>
          <w:p>
            <w:pPr>
              <w:widowControl/>
              <w:jc w:val="center"/>
              <w:rPr>
                <w:rFonts w:ascii="宋体" w:hAnsi="宋体"/>
                <w:b/>
                <w:bCs/>
                <w:color w:val="000000"/>
                <w:kern w:val="0"/>
                <w:szCs w:val="21"/>
              </w:rPr>
            </w:pPr>
            <w:r>
              <w:rPr>
                <w:rFonts w:hint="eastAsia" w:ascii="宋体" w:hAnsi="宋体"/>
                <w:b/>
                <w:bCs/>
                <w:color w:val="000000"/>
                <w:kern w:val="0"/>
                <w:szCs w:val="21"/>
              </w:rPr>
              <w:t>服务内容</w:t>
            </w:r>
          </w:p>
        </w:tc>
        <w:tc>
          <w:tcPr>
            <w:tcW w:w="1264" w:type="dxa"/>
            <w:vAlign w:val="center"/>
          </w:tcPr>
          <w:p>
            <w:pPr>
              <w:widowControl/>
              <w:jc w:val="center"/>
              <w:rPr>
                <w:rFonts w:ascii="宋体" w:hAnsi="宋体"/>
                <w:b/>
                <w:bCs/>
                <w:color w:val="000000"/>
                <w:kern w:val="0"/>
                <w:szCs w:val="21"/>
              </w:rPr>
            </w:pPr>
            <w:r>
              <w:rPr>
                <w:rFonts w:hint="eastAsia" w:ascii="宋体" w:hAnsi="宋体"/>
                <w:b/>
                <w:bCs/>
                <w:color w:val="000000"/>
                <w:kern w:val="0"/>
                <w:szCs w:val="21"/>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1</w:t>
            </w:r>
          </w:p>
        </w:tc>
        <w:tc>
          <w:tcPr>
            <w:tcW w:w="1210" w:type="dxa"/>
            <w:vMerge w:val="restart"/>
            <w:vAlign w:val="center"/>
          </w:tcPr>
          <w:p>
            <w:pPr>
              <w:widowControl/>
              <w:jc w:val="left"/>
              <w:rPr>
                <w:rFonts w:ascii="宋体" w:hAnsi="宋体"/>
                <w:color w:val="000000"/>
                <w:kern w:val="0"/>
                <w:szCs w:val="21"/>
              </w:rPr>
            </w:pPr>
            <w:r>
              <w:rPr>
                <w:rFonts w:hint="eastAsia" w:ascii="宋体" w:hAnsi="宋体"/>
                <w:color w:val="000000"/>
                <w:kern w:val="0"/>
                <w:szCs w:val="21"/>
              </w:rPr>
              <w:t>安全运维服务</w:t>
            </w: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网站及业务系统安全监测服务</w:t>
            </w:r>
          </w:p>
        </w:tc>
        <w:tc>
          <w:tcPr>
            <w:tcW w:w="3881" w:type="dxa"/>
            <w:vAlign w:val="center"/>
          </w:tcPr>
          <w:p>
            <w:pPr>
              <w:widowControl/>
              <w:jc w:val="left"/>
              <w:rPr>
                <w:rFonts w:ascii="宋体" w:hAnsi="宋体"/>
                <w:color w:val="000000"/>
                <w:kern w:val="0"/>
                <w:szCs w:val="21"/>
              </w:rPr>
            </w:pPr>
            <w:r>
              <w:rPr>
                <w:rFonts w:hint="eastAsia" w:ascii="宋体" w:hAnsi="宋体"/>
                <w:color w:val="000000"/>
                <w:kern w:val="0"/>
                <w:szCs w:val="21"/>
              </w:rPr>
              <w:t>1远程网页木马监测2.网页敏感内容监测3.网页篡改监测4.服务质量监测5.其他风险监测能力</w:t>
            </w: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7*</w:t>
            </w:r>
            <w:r>
              <w:rPr>
                <w:rFonts w:ascii="宋体" w:hAnsi="宋体"/>
                <w:color w:val="000000"/>
                <w:kern w:val="0"/>
                <w:szCs w:val="21"/>
              </w:rPr>
              <w:t>24</w:t>
            </w:r>
            <w:r>
              <w:rPr>
                <w:rFonts w:hint="eastAsia" w:ascii="宋体" w:hAnsi="宋体"/>
                <w:color w:val="000000"/>
                <w:kern w:val="0"/>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2</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信息系统漏洞扫描及安全加固服务</w:t>
            </w:r>
          </w:p>
        </w:tc>
        <w:tc>
          <w:tcPr>
            <w:tcW w:w="3881" w:type="dxa"/>
            <w:vAlign w:val="center"/>
          </w:tcPr>
          <w:p>
            <w:pPr>
              <w:widowControl/>
              <w:jc w:val="left"/>
              <w:rPr>
                <w:rFonts w:ascii="宋体" w:hAnsi="宋体"/>
                <w:color w:val="000000"/>
                <w:kern w:val="0"/>
                <w:szCs w:val="21"/>
              </w:rPr>
            </w:pPr>
            <w:r>
              <w:rPr>
                <w:rFonts w:ascii="宋体" w:hAnsi="宋体" w:cs="宋体"/>
                <w:color w:val="000000" w:themeColor="text1"/>
                <w14:textFill>
                  <w14:solidFill>
                    <w14:schemeClr w14:val="tx1"/>
                  </w14:solidFill>
                </w14:textFill>
              </w:rPr>
              <w:t>每</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提供</w:t>
            </w:r>
            <w:r>
              <w:rPr>
                <w:rFonts w:hint="eastAsia" w:ascii="宋体" w:hAnsi="宋体" w:cs="宋体"/>
                <w:color w:val="000000" w:themeColor="text1"/>
                <w14:textFill>
                  <w14:solidFill>
                    <w14:schemeClr w14:val="tx1"/>
                  </w14:solidFill>
                </w14:textFill>
              </w:rPr>
              <w:t>现</w:t>
            </w:r>
            <w:r>
              <w:rPr>
                <w:rFonts w:hint="eastAsia" w:ascii="宋体" w:hAnsi="宋体" w:cs="宋体"/>
                <w:color w:val="000000"/>
              </w:rPr>
              <w:t>场的脆弱性扫描评估，针对</w:t>
            </w:r>
            <w:r>
              <w:rPr>
                <w:rFonts w:ascii="宋体" w:hAnsi="宋体" w:cs="宋体"/>
                <w:color w:val="000000"/>
              </w:rPr>
              <w:t>应用系统、</w:t>
            </w:r>
            <w:r>
              <w:rPr>
                <w:rFonts w:hint="eastAsia" w:ascii="宋体" w:hAnsi="宋体" w:cs="宋体"/>
                <w:color w:val="000000"/>
              </w:rPr>
              <w:t>操作</w:t>
            </w:r>
            <w:r>
              <w:rPr>
                <w:rFonts w:ascii="宋体" w:hAnsi="宋体" w:cs="宋体"/>
                <w:color w:val="000000"/>
              </w:rPr>
              <w:t>系统、</w:t>
            </w:r>
            <w:r>
              <w:rPr>
                <w:rFonts w:hint="eastAsia" w:ascii="宋体" w:hAnsi="宋体" w:cs="宋体"/>
                <w:color w:val="000000"/>
              </w:rPr>
              <w:t>网络</w:t>
            </w:r>
            <w:r>
              <w:rPr>
                <w:rFonts w:ascii="宋体" w:hAnsi="宋体" w:cs="宋体"/>
                <w:color w:val="000000"/>
              </w:rPr>
              <w:t>环境进行扫描</w:t>
            </w:r>
            <w:r>
              <w:rPr>
                <w:rFonts w:hint="eastAsia" w:ascii="宋体" w:hAnsi="宋体" w:cs="宋体"/>
                <w:color w:val="000000"/>
              </w:rPr>
              <w:t>，并对扫描服务发现的漏洞进行</w:t>
            </w:r>
            <w:r>
              <w:rPr>
                <w:rFonts w:ascii="宋体" w:hAnsi="宋体" w:cs="宋体"/>
                <w:color w:val="000000"/>
              </w:rPr>
              <w:t>梳理分析，</w:t>
            </w:r>
            <w:r>
              <w:rPr>
                <w:rFonts w:hint="eastAsia" w:ascii="宋体" w:hAnsi="宋体" w:cs="宋体"/>
                <w:color w:val="000000"/>
              </w:rPr>
              <w:t>要求能够提供专业有效的解决建议，同时并能够配合进行整改，直至漏洞完成修复。</w:t>
            </w: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3</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hint="eastAsia" w:ascii="宋体" w:hAnsi="宋体" w:eastAsia="宋体"/>
                <w:color w:val="000000"/>
                <w:kern w:val="0"/>
                <w:szCs w:val="21"/>
                <w:lang w:eastAsia="zh-CN"/>
              </w:rPr>
            </w:pPr>
            <w:r>
              <w:rPr>
                <w:rFonts w:hint="eastAsia" w:ascii="宋体" w:hAnsi="宋体"/>
                <w:color w:val="000000"/>
                <w:kern w:val="0"/>
                <w:szCs w:val="21"/>
              </w:rPr>
              <w:t>安全巡检</w:t>
            </w:r>
            <w:r>
              <w:rPr>
                <w:rFonts w:hint="eastAsia" w:ascii="宋体" w:hAnsi="宋体"/>
                <w:color w:val="000000"/>
                <w:kern w:val="0"/>
                <w:szCs w:val="21"/>
                <w:lang w:eastAsia="zh-CN"/>
              </w:rPr>
              <w:t>服务</w:t>
            </w:r>
          </w:p>
        </w:tc>
        <w:tc>
          <w:tcPr>
            <w:tcW w:w="3881" w:type="dxa"/>
            <w:vAlign w:val="center"/>
          </w:tcPr>
          <w:p>
            <w:pPr>
              <w:pStyle w:val="5"/>
              <w:spacing w:before="100" w:beforeAutospacing="1" w:after="100" w:afterAutospacing="1" w:line="240" w:lineRule="auto"/>
              <w:rPr>
                <w:rFonts w:ascii="宋体" w:hAnsi="宋体" w:cs="宋体"/>
                <w:color w:val="000000"/>
              </w:rPr>
            </w:pPr>
            <w:r>
              <w:rPr>
                <w:rFonts w:ascii="宋体" w:hAnsi="宋体" w:cs="宋体"/>
                <w:color w:val="000000"/>
              </w:rPr>
              <w:t>每月对信息系统中包括网络设备、主机设备、安全设备进行一次全面地安全巡检，主要内容包括</w:t>
            </w:r>
            <w:r>
              <w:rPr>
                <w:rFonts w:hint="eastAsia" w:ascii="宋体" w:hAnsi="宋体" w:cs="宋体"/>
                <w:color w:val="000000"/>
              </w:rPr>
              <w:t>漏洞</w:t>
            </w:r>
            <w:r>
              <w:rPr>
                <w:rFonts w:ascii="宋体" w:hAnsi="宋体" w:cs="宋体"/>
                <w:color w:val="000000"/>
              </w:rPr>
              <w:t>审查</w:t>
            </w:r>
            <w:r>
              <w:rPr>
                <w:rFonts w:hint="eastAsia" w:ascii="宋体" w:hAnsi="宋体" w:cs="宋体"/>
                <w:color w:val="000000"/>
              </w:rPr>
              <w:t>、策略</w:t>
            </w:r>
            <w:r>
              <w:rPr>
                <w:rFonts w:ascii="宋体" w:hAnsi="宋体" w:cs="宋体"/>
                <w:color w:val="000000"/>
              </w:rPr>
              <w:t>检查、日志审计等</w:t>
            </w:r>
            <w:r>
              <w:rPr>
                <w:rFonts w:hint="eastAsia" w:ascii="宋体" w:hAnsi="宋体" w:cs="宋体"/>
                <w:color w:val="000000"/>
              </w:rPr>
              <w:t>，如有异常情况，及时与项目接口人沟通，提供</w:t>
            </w:r>
            <w:r>
              <w:rPr>
                <w:rFonts w:ascii="宋体" w:hAnsi="宋体" w:cs="宋体"/>
                <w:color w:val="000000"/>
              </w:rPr>
              <w:t>安全咨询</w:t>
            </w:r>
            <w:r>
              <w:rPr>
                <w:rFonts w:hint="eastAsia" w:ascii="宋体" w:hAnsi="宋体" w:cs="宋体"/>
                <w:color w:val="000000"/>
              </w:rPr>
              <w:t>的</w:t>
            </w:r>
            <w:r>
              <w:rPr>
                <w:rFonts w:ascii="宋体" w:hAnsi="宋体" w:cs="宋体"/>
                <w:color w:val="000000"/>
              </w:rPr>
              <w:t>建议</w:t>
            </w:r>
            <w:r>
              <w:rPr>
                <w:rFonts w:hint="eastAsia" w:ascii="宋体" w:hAnsi="宋体" w:cs="宋体"/>
                <w:color w:val="000000"/>
              </w:rPr>
              <w:t>。</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4</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安全报表服务</w:t>
            </w:r>
          </w:p>
        </w:tc>
        <w:tc>
          <w:tcPr>
            <w:tcW w:w="3881" w:type="dxa"/>
            <w:vAlign w:val="center"/>
          </w:tcPr>
          <w:p>
            <w:pPr>
              <w:rPr>
                <w:rFonts w:ascii="宋体" w:hAnsi="宋体" w:cs="宋体"/>
                <w:color w:val="000000"/>
                <w:szCs w:val="21"/>
              </w:rPr>
            </w:pPr>
            <w:r>
              <w:rPr>
                <w:rFonts w:ascii="宋体" w:hAnsi="宋体" w:cs="宋体"/>
                <w:color w:val="000000"/>
                <w:szCs w:val="21"/>
              </w:rPr>
              <w:t>每</w:t>
            </w:r>
            <w:r>
              <w:rPr>
                <w:rFonts w:hint="eastAsia" w:ascii="宋体" w:hAnsi="宋体" w:cs="宋体"/>
                <w:color w:val="000000"/>
                <w:szCs w:val="21"/>
              </w:rPr>
              <w:t>月</w:t>
            </w:r>
            <w:r>
              <w:rPr>
                <w:rFonts w:ascii="宋体" w:hAnsi="宋体" w:cs="宋体"/>
                <w:color w:val="000000"/>
                <w:szCs w:val="21"/>
              </w:rPr>
              <w:t>将</w:t>
            </w:r>
            <w:r>
              <w:rPr>
                <w:rFonts w:hint="eastAsia" w:ascii="宋体" w:hAnsi="宋体" w:cs="宋体"/>
                <w:color w:val="000000"/>
                <w:szCs w:val="21"/>
              </w:rPr>
              <w:t>监测</w:t>
            </w:r>
            <w:r>
              <w:rPr>
                <w:rFonts w:ascii="宋体" w:hAnsi="宋体" w:cs="宋体"/>
                <w:color w:val="000000"/>
                <w:szCs w:val="21"/>
              </w:rPr>
              <w:t>、</w:t>
            </w:r>
            <w:r>
              <w:rPr>
                <w:rFonts w:hint="eastAsia" w:ascii="宋体" w:hAnsi="宋体" w:cs="宋体"/>
                <w:color w:val="000000"/>
                <w:szCs w:val="21"/>
              </w:rPr>
              <w:t>巡检</w:t>
            </w:r>
            <w:r>
              <w:rPr>
                <w:rFonts w:ascii="宋体" w:hAnsi="宋体" w:cs="宋体"/>
                <w:color w:val="000000"/>
                <w:szCs w:val="21"/>
              </w:rPr>
              <w:t>、</w:t>
            </w:r>
            <w:r>
              <w:rPr>
                <w:rFonts w:hint="eastAsia" w:ascii="宋体" w:hAnsi="宋体" w:cs="宋体"/>
                <w:color w:val="000000"/>
                <w:szCs w:val="21"/>
              </w:rPr>
              <w:t>扫描结果分析和形成的评估结论，汇总</w:t>
            </w:r>
            <w:r>
              <w:rPr>
                <w:rFonts w:ascii="宋体" w:hAnsi="宋体" w:cs="宋体"/>
                <w:color w:val="000000"/>
                <w:szCs w:val="21"/>
              </w:rPr>
              <w:t>信息安全</w:t>
            </w:r>
            <w:r>
              <w:rPr>
                <w:rFonts w:hint="eastAsia" w:ascii="宋体" w:hAnsi="宋体" w:cs="宋体"/>
                <w:color w:val="000000"/>
                <w:szCs w:val="21"/>
              </w:rPr>
              <w:t>报告，并根据现状与要求之间的差距，分析系统存在的问题，提出改进建议。</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5</w:t>
            </w:r>
          </w:p>
        </w:tc>
        <w:tc>
          <w:tcPr>
            <w:tcW w:w="1210" w:type="dxa"/>
            <w:vMerge w:val="restart"/>
            <w:vAlign w:val="center"/>
          </w:tcPr>
          <w:p>
            <w:pPr>
              <w:widowControl/>
              <w:jc w:val="left"/>
              <w:rPr>
                <w:rFonts w:ascii="宋体" w:hAnsi="宋体"/>
                <w:color w:val="000000"/>
                <w:kern w:val="0"/>
                <w:szCs w:val="21"/>
              </w:rPr>
            </w:pPr>
            <w:r>
              <w:rPr>
                <w:rFonts w:hint="eastAsia" w:ascii="宋体" w:hAnsi="宋体"/>
                <w:color w:val="000000"/>
                <w:kern w:val="0"/>
                <w:szCs w:val="21"/>
              </w:rPr>
              <w:t>安全评估服务</w:t>
            </w: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信息系统资产详细调研服务</w:t>
            </w:r>
          </w:p>
        </w:tc>
        <w:tc>
          <w:tcPr>
            <w:tcW w:w="3881" w:type="dxa"/>
            <w:vAlign w:val="center"/>
          </w:tcPr>
          <w:p>
            <w:pPr>
              <w:pStyle w:val="5"/>
              <w:spacing w:before="100" w:beforeAutospacing="1" w:after="100" w:afterAutospacing="1" w:line="240" w:lineRule="auto"/>
              <w:outlineLvl w:val="1"/>
              <w:rPr>
                <w:rFonts w:ascii="宋体" w:hAnsi="宋体" w:cs="宋体"/>
                <w:color w:val="000000"/>
              </w:rPr>
            </w:pPr>
            <w:r>
              <w:rPr>
                <w:rFonts w:hint="eastAsia" w:ascii="宋体" w:hAnsi="宋体" w:cs="宋体"/>
                <w:color w:val="000000"/>
              </w:rPr>
              <w:t>本项目要求在项目服务初期，对项目涉及的信息系统资产进行一次详细梳理，形成《信息系统信息汇总表》。信息系统调研信息汇总表作为其他服务项目的参考资料，应包括信息系统名称、I</w:t>
            </w:r>
            <w:r>
              <w:rPr>
                <w:rFonts w:ascii="宋体" w:hAnsi="宋体" w:cs="宋体"/>
                <w:color w:val="000000"/>
              </w:rPr>
              <w:t>P</w:t>
            </w:r>
            <w:r>
              <w:rPr>
                <w:rFonts w:hint="eastAsia" w:ascii="宋体" w:hAnsi="宋体" w:cs="宋体"/>
                <w:color w:val="000000"/>
              </w:rPr>
              <w:t>地址、主机操作系统、数据库软件、网络设备固件、开发/维保联系人等信息。</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6</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信息系统安全配置核查</w:t>
            </w:r>
          </w:p>
        </w:tc>
        <w:tc>
          <w:tcPr>
            <w:tcW w:w="3881" w:type="dxa"/>
            <w:vAlign w:val="center"/>
          </w:tcPr>
          <w:p>
            <w:pPr>
              <w:widowControl/>
              <w:jc w:val="left"/>
              <w:rPr>
                <w:rFonts w:ascii="宋体" w:hAnsi="宋体"/>
                <w:color w:val="000000"/>
                <w:kern w:val="0"/>
                <w:szCs w:val="21"/>
              </w:rPr>
            </w:pPr>
            <w:r>
              <w:rPr>
                <w:rFonts w:hint="eastAsia" w:ascii="宋体" w:hAnsi="宋体" w:cs="宋体"/>
                <w:color w:val="000000"/>
              </w:rPr>
              <w:t>本项目要求对项目涉及的信息系统设备每年进行一次安全配置核查，针对网络设备、专用安全设备、服务器操作系统、数据库系统等，通过人工核查及工具核查相结合的方式，发现因策略配置不当导致的安全脆弱性。安全配置核查完毕后，应形成安全配置核查报告。</w:t>
            </w: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exact"/>
          <w:jc w:val="center"/>
        </w:trPr>
        <w:tc>
          <w:tcPr>
            <w:tcW w:w="870" w:type="dxa"/>
            <w:vAlign w:val="center"/>
          </w:tcPr>
          <w:p>
            <w:pPr>
              <w:widowControl/>
              <w:jc w:val="left"/>
              <w:rPr>
                <w:rFonts w:ascii="宋体" w:hAnsi="宋体"/>
                <w:color w:val="000000"/>
                <w:kern w:val="0"/>
                <w:szCs w:val="21"/>
              </w:rPr>
            </w:pPr>
            <w:r>
              <w:rPr>
                <w:rFonts w:ascii="宋体" w:hAnsi="宋体"/>
                <w:color w:val="000000"/>
                <w:kern w:val="0"/>
                <w:szCs w:val="21"/>
              </w:rPr>
              <w:t>7</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整体风险评估服务</w:t>
            </w:r>
          </w:p>
        </w:tc>
        <w:tc>
          <w:tcPr>
            <w:tcW w:w="3881" w:type="dxa"/>
            <w:vAlign w:val="center"/>
          </w:tcPr>
          <w:p>
            <w:pPr>
              <w:widowControl/>
              <w:jc w:val="left"/>
              <w:rPr>
                <w:rFonts w:ascii="宋体" w:hAnsi="宋体"/>
                <w:color w:val="000000"/>
                <w:kern w:val="0"/>
                <w:szCs w:val="21"/>
              </w:rPr>
            </w:pPr>
            <w:r>
              <w:rPr>
                <w:rFonts w:hint="eastAsia" w:ascii="宋体" w:hAnsi="宋体" w:cs="宋体"/>
                <w:color w:val="000000"/>
              </w:rPr>
              <w:t>在本项目服务期限内，对全网信息系统进行整体风险评估。整体风险评估，应对浙江学院全网存在的问题作详细分析，并给出解决方案。在项目服务后期，形成风险评估报告。</w:t>
            </w: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exact"/>
          <w:jc w:val="center"/>
        </w:trPr>
        <w:tc>
          <w:tcPr>
            <w:tcW w:w="870" w:type="dxa"/>
            <w:vAlign w:val="center"/>
          </w:tcPr>
          <w:p>
            <w:pPr>
              <w:widowControl/>
              <w:jc w:val="left"/>
              <w:rPr>
                <w:rFonts w:ascii="宋体" w:hAnsi="宋体"/>
                <w:color w:val="000000"/>
                <w:kern w:val="0"/>
                <w:szCs w:val="21"/>
              </w:rPr>
            </w:pPr>
            <w:r>
              <w:rPr>
                <w:rFonts w:ascii="宋体" w:hAnsi="宋体"/>
                <w:color w:val="000000"/>
                <w:kern w:val="0"/>
                <w:szCs w:val="21"/>
              </w:rPr>
              <w:t>8</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信息系统变更及上新安全评估服务</w:t>
            </w:r>
          </w:p>
        </w:tc>
        <w:tc>
          <w:tcPr>
            <w:tcW w:w="3881" w:type="dxa"/>
            <w:vAlign w:val="center"/>
          </w:tcPr>
          <w:p>
            <w:pPr>
              <w:rPr>
                <w:rFonts w:ascii="宋体" w:hAnsi="宋体" w:cs="宋体"/>
                <w:color w:val="000000"/>
              </w:rPr>
            </w:pPr>
            <w:r>
              <w:rPr>
                <w:rFonts w:hint="eastAsia" w:ascii="宋体" w:hAnsi="宋体" w:cs="宋体"/>
                <w:color w:val="000000"/>
              </w:rPr>
              <w:t>本项目服务期限内，要求对浙江工商职业技术学院所有变更后的信息系统以及新上线的信息系统进行安全评估。确保信息系统变更不会引进新的安全风险，确保新上线的信息系统不带病上线。</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exact"/>
          <w:jc w:val="center"/>
        </w:trPr>
        <w:tc>
          <w:tcPr>
            <w:tcW w:w="870" w:type="dxa"/>
            <w:vAlign w:val="center"/>
          </w:tcPr>
          <w:p>
            <w:pPr>
              <w:widowControl/>
              <w:jc w:val="left"/>
              <w:rPr>
                <w:rFonts w:ascii="宋体" w:hAnsi="宋体"/>
                <w:color w:val="000000"/>
                <w:kern w:val="0"/>
                <w:szCs w:val="21"/>
              </w:rPr>
            </w:pPr>
            <w:r>
              <w:rPr>
                <w:rFonts w:ascii="宋体" w:hAnsi="宋体"/>
                <w:color w:val="000000"/>
                <w:kern w:val="0"/>
                <w:szCs w:val="21"/>
              </w:rPr>
              <w:t>9</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auto"/>
                <w:kern w:val="0"/>
                <w:szCs w:val="21"/>
              </w:rPr>
            </w:pPr>
            <w:r>
              <w:rPr>
                <w:rFonts w:hint="eastAsia" w:ascii="宋体" w:hAnsi="宋体"/>
                <w:color w:val="auto"/>
                <w:kern w:val="0"/>
                <w:szCs w:val="21"/>
              </w:rPr>
              <w:t>高级威胁分析服务</w:t>
            </w:r>
          </w:p>
        </w:tc>
        <w:tc>
          <w:tcPr>
            <w:tcW w:w="3881" w:type="dxa"/>
            <w:vAlign w:val="center"/>
          </w:tcPr>
          <w:p>
            <w:pPr>
              <w:widowControl/>
              <w:jc w:val="left"/>
              <w:rPr>
                <w:rFonts w:ascii="宋体" w:hAnsi="宋体"/>
                <w:color w:val="auto"/>
                <w:kern w:val="0"/>
                <w:szCs w:val="21"/>
              </w:rPr>
            </w:pPr>
            <w:r>
              <w:rPr>
                <w:rFonts w:hint="eastAsia" w:ascii="宋体" w:hAnsi="宋体" w:cs="宋体"/>
                <w:color w:val="auto"/>
              </w:rPr>
              <w:t>在本项目服务期限内，定期</w:t>
            </w:r>
            <w:r>
              <w:rPr>
                <w:rFonts w:ascii="宋体" w:hAnsi="宋体" w:cs="宋体"/>
                <w:color w:val="auto"/>
              </w:rPr>
              <w:t>在</w:t>
            </w:r>
            <w:r>
              <w:rPr>
                <w:rFonts w:hint="eastAsia" w:ascii="宋体" w:hAnsi="宋体" w:cs="宋体"/>
                <w:color w:val="auto"/>
              </w:rPr>
              <w:t>学校</w:t>
            </w:r>
            <w:r>
              <w:rPr>
                <w:rFonts w:ascii="宋体" w:hAnsi="宋体" w:cs="宋体"/>
                <w:color w:val="auto"/>
              </w:rPr>
              <w:t>部署</w:t>
            </w:r>
            <w:r>
              <w:rPr>
                <w:rFonts w:hint="eastAsia" w:ascii="宋体" w:hAnsi="宋体" w:cs="宋体"/>
                <w:color w:val="auto"/>
              </w:rPr>
              <w:t>A</w:t>
            </w:r>
            <w:r>
              <w:rPr>
                <w:rFonts w:ascii="宋体" w:hAnsi="宋体" w:cs="宋体"/>
                <w:color w:val="auto"/>
              </w:rPr>
              <w:t>PT分析平台，</w:t>
            </w:r>
            <w:r>
              <w:rPr>
                <w:rFonts w:hint="eastAsia" w:ascii="宋体" w:hAnsi="宋体" w:cs="宋体"/>
                <w:color w:val="auto"/>
              </w:rPr>
              <w:t>对</w:t>
            </w:r>
            <w:r>
              <w:rPr>
                <w:rFonts w:hint="eastAsia" w:ascii="宋体" w:hAnsi="宋体" w:cs="宋体"/>
                <w:color w:val="auto"/>
                <w:lang w:eastAsia="zh-CN"/>
              </w:rPr>
              <w:t>城市</w:t>
            </w:r>
            <w:r>
              <w:rPr>
                <w:rFonts w:hint="eastAsia" w:ascii="宋体" w:hAnsi="宋体" w:cs="宋体"/>
                <w:color w:val="auto"/>
              </w:rPr>
              <w:t>学院存在的</w:t>
            </w:r>
            <w:r>
              <w:rPr>
                <w:rFonts w:ascii="宋体" w:hAnsi="宋体" w:cs="宋体"/>
                <w:color w:val="auto"/>
              </w:rPr>
              <w:t>重要</w:t>
            </w:r>
            <w:r>
              <w:rPr>
                <w:rFonts w:hint="eastAsia" w:ascii="宋体" w:hAnsi="宋体" w:cs="宋体"/>
                <w:color w:val="auto"/>
              </w:rPr>
              <w:t>安全问题作详细分析，并给出解决方案。</w:t>
            </w:r>
          </w:p>
        </w:tc>
        <w:tc>
          <w:tcPr>
            <w:tcW w:w="1264" w:type="dxa"/>
            <w:vAlign w:val="center"/>
          </w:tcPr>
          <w:p>
            <w:pPr>
              <w:widowControl/>
              <w:jc w:val="left"/>
              <w:rPr>
                <w:rFonts w:ascii="宋体" w:hAnsi="宋体"/>
                <w:color w:val="auto"/>
                <w:kern w:val="0"/>
                <w:szCs w:val="21"/>
              </w:rPr>
            </w:pPr>
            <w:r>
              <w:rPr>
                <w:rFonts w:hint="eastAsia" w:ascii="宋体" w:hAnsi="宋体"/>
                <w:color w:val="auto"/>
                <w:kern w:val="0"/>
                <w:szCs w:val="21"/>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jc w:val="center"/>
        </w:trPr>
        <w:tc>
          <w:tcPr>
            <w:tcW w:w="870" w:type="dxa"/>
            <w:vAlign w:val="center"/>
          </w:tcPr>
          <w:p>
            <w:pPr>
              <w:widowControl/>
              <w:jc w:val="left"/>
              <w:rPr>
                <w:rFonts w:ascii="宋体" w:hAnsi="宋体"/>
                <w:color w:val="000000"/>
                <w:kern w:val="0"/>
                <w:szCs w:val="21"/>
              </w:rPr>
            </w:pPr>
            <w:bookmarkStart w:id="0" w:name="_Hlk514593731"/>
            <w:r>
              <w:rPr>
                <w:rFonts w:hint="eastAsia" w:ascii="宋体" w:hAnsi="宋体"/>
                <w:color w:val="000000"/>
                <w:kern w:val="0"/>
                <w:szCs w:val="21"/>
              </w:rPr>
              <w:t>1</w:t>
            </w:r>
            <w:r>
              <w:rPr>
                <w:rFonts w:ascii="宋体" w:hAnsi="宋体"/>
                <w:color w:val="000000"/>
                <w:kern w:val="0"/>
                <w:szCs w:val="21"/>
              </w:rPr>
              <w:t>0</w:t>
            </w:r>
          </w:p>
        </w:tc>
        <w:tc>
          <w:tcPr>
            <w:tcW w:w="1210" w:type="dxa"/>
            <w:vMerge w:val="restart"/>
            <w:vAlign w:val="center"/>
          </w:tcPr>
          <w:p>
            <w:pPr>
              <w:widowControl/>
              <w:jc w:val="left"/>
              <w:rPr>
                <w:rFonts w:ascii="宋体" w:hAnsi="宋体"/>
                <w:color w:val="000000"/>
                <w:kern w:val="0"/>
                <w:szCs w:val="21"/>
              </w:rPr>
            </w:pPr>
            <w:r>
              <w:rPr>
                <w:rFonts w:hint="eastAsia" w:ascii="宋体" w:hAnsi="宋体"/>
                <w:color w:val="000000"/>
                <w:kern w:val="0"/>
                <w:szCs w:val="21"/>
              </w:rPr>
              <w:t>安全咨询/技术保障服务</w:t>
            </w: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重大活动技术支持</w:t>
            </w:r>
          </w:p>
        </w:tc>
        <w:tc>
          <w:tcPr>
            <w:tcW w:w="3881" w:type="dxa"/>
            <w:vAlign w:val="center"/>
          </w:tcPr>
          <w:p>
            <w:pPr>
              <w:pStyle w:val="5"/>
              <w:spacing w:before="100" w:beforeAutospacing="1" w:after="100" w:afterAutospacing="1" w:line="240" w:lineRule="auto"/>
              <w:rPr>
                <w:rFonts w:ascii="宋体" w:hAnsi="宋体" w:cs="宋体"/>
                <w:color w:val="000000"/>
              </w:rPr>
            </w:pPr>
            <w:r>
              <w:rPr>
                <w:rFonts w:hint="eastAsia" w:ascii="宋体" w:hAnsi="宋体" w:cs="宋体"/>
                <w:color w:val="000000"/>
              </w:rPr>
              <w:t>在</w:t>
            </w:r>
            <w:r>
              <w:rPr>
                <w:rFonts w:ascii="宋体" w:hAnsi="宋体" w:cs="宋体"/>
                <w:color w:val="000000"/>
              </w:rPr>
              <w:t>重大活动、</w:t>
            </w:r>
            <w:r>
              <w:rPr>
                <w:rFonts w:hint="eastAsia" w:ascii="宋体" w:hAnsi="宋体" w:cs="宋体"/>
                <w:color w:val="000000"/>
              </w:rPr>
              <w:t>节假日期间</w:t>
            </w:r>
            <w:r>
              <w:rPr>
                <w:rFonts w:ascii="宋体" w:hAnsi="宋体" w:cs="宋体"/>
                <w:color w:val="000000"/>
              </w:rPr>
              <w:t>提供</w:t>
            </w:r>
            <w:r>
              <w:rPr>
                <w:rFonts w:hint="eastAsia" w:ascii="宋体" w:hAnsi="宋体" w:cs="宋体"/>
                <w:color w:val="000000"/>
              </w:rPr>
              <w:t>必要的</w:t>
            </w:r>
            <w:r>
              <w:rPr>
                <w:rFonts w:ascii="宋体" w:hAnsi="宋体" w:cs="宋体"/>
                <w:color w:val="000000"/>
              </w:rPr>
              <w:t>技术支持和人员支持，</w:t>
            </w:r>
            <w:r>
              <w:rPr>
                <w:rFonts w:hint="eastAsia" w:ascii="宋体" w:hAnsi="宋体" w:cs="宋体"/>
                <w:color w:val="000000"/>
              </w:rPr>
              <w:t>按</w:t>
            </w:r>
            <w:r>
              <w:rPr>
                <w:rFonts w:ascii="宋体" w:hAnsi="宋体" w:cs="宋体"/>
                <w:color w:val="000000"/>
              </w:rPr>
              <w:t>需求提供安全保障。包括</w:t>
            </w:r>
            <w:r>
              <w:rPr>
                <w:rFonts w:hint="eastAsia" w:ascii="宋体" w:hAnsi="宋体" w:cs="宋体"/>
                <w:color w:val="000000"/>
              </w:rPr>
              <w:t>重要</w:t>
            </w:r>
            <w:r>
              <w:rPr>
                <w:rFonts w:ascii="宋体" w:hAnsi="宋体" w:cs="宋体"/>
                <w:color w:val="000000"/>
              </w:rPr>
              <w:t>系统巡查、</w:t>
            </w:r>
            <w:r>
              <w:rPr>
                <w:rFonts w:hint="eastAsia" w:ascii="宋体" w:hAnsi="宋体" w:cs="宋体"/>
                <w:color w:val="000000"/>
              </w:rPr>
              <w:t>安全</w:t>
            </w:r>
            <w:r>
              <w:rPr>
                <w:rFonts w:ascii="宋体" w:hAnsi="宋体" w:cs="宋体"/>
                <w:color w:val="000000"/>
              </w:rPr>
              <w:t>加固等等。</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1</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应急响应支持</w:t>
            </w:r>
          </w:p>
        </w:tc>
        <w:tc>
          <w:tcPr>
            <w:tcW w:w="3881" w:type="dxa"/>
            <w:vAlign w:val="center"/>
          </w:tcPr>
          <w:p>
            <w:pPr>
              <w:pStyle w:val="5"/>
              <w:spacing w:before="100" w:beforeAutospacing="1" w:after="100" w:afterAutospacing="1" w:line="240" w:lineRule="auto"/>
              <w:rPr>
                <w:rFonts w:ascii="宋体" w:hAnsi="宋体" w:cs="宋体"/>
                <w:color w:val="000000"/>
              </w:rPr>
            </w:pPr>
            <w:r>
              <w:rPr>
                <w:rFonts w:hint="eastAsia" w:ascii="宋体" w:hAnsi="宋体" w:cs="宋体"/>
                <w:color w:val="000000"/>
              </w:rPr>
              <w:t>在本项目服务</w:t>
            </w:r>
            <w:r>
              <w:rPr>
                <w:rFonts w:ascii="宋体" w:hAnsi="宋体" w:cs="宋体"/>
                <w:color w:val="000000"/>
              </w:rPr>
              <w:t>期限内</w:t>
            </w:r>
            <w:r>
              <w:rPr>
                <w:rFonts w:hint="eastAsia" w:ascii="宋体" w:hAnsi="宋体" w:cs="宋体"/>
                <w:color w:val="000000"/>
              </w:rPr>
              <w:t>，</w:t>
            </w:r>
            <w:r>
              <w:rPr>
                <w:rFonts w:ascii="宋体" w:hAnsi="宋体" w:cs="宋体"/>
                <w:color w:val="000000"/>
              </w:rPr>
              <w:t>提供</w:t>
            </w:r>
            <w:r>
              <w:rPr>
                <w:rFonts w:hint="eastAsia" w:ascii="宋体" w:hAnsi="宋体" w:cs="宋体"/>
                <w:color w:val="000000"/>
              </w:rPr>
              <w:t>7×24 小时</w:t>
            </w:r>
            <w:r>
              <w:rPr>
                <w:rFonts w:ascii="宋体" w:hAnsi="宋体" w:cs="宋体"/>
                <w:color w:val="000000"/>
              </w:rPr>
              <w:t>应急响应技术支持电话</w:t>
            </w:r>
            <w:r>
              <w:rPr>
                <w:rFonts w:hint="eastAsia" w:ascii="宋体" w:hAnsi="宋体" w:cs="宋体"/>
                <w:color w:val="000000"/>
              </w:rPr>
              <w:t>，在出现</w:t>
            </w:r>
            <w:r>
              <w:rPr>
                <w:rFonts w:ascii="宋体" w:hAnsi="宋体" w:cs="宋体"/>
                <w:color w:val="000000"/>
              </w:rPr>
              <w:t>突发</w:t>
            </w:r>
            <w:r>
              <w:rPr>
                <w:rFonts w:hint="eastAsia" w:ascii="宋体" w:hAnsi="宋体" w:cs="宋体"/>
                <w:color w:val="000000"/>
              </w:rPr>
              <w:t>安全事故时提供及时的应急支持</w:t>
            </w:r>
            <w:r>
              <w:rPr>
                <w:rFonts w:ascii="宋体" w:hAnsi="宋体" w:cs="宋体"/>
                <w:color w:val="000000"/>
              </w:rPr>
              <w:t>，</w:t>
            </w:r>
            <w:r>
              <w:rPr>
                <w:rFonts w:hint="eastAsia" w:ascii="宋体" w:hAnsi="宋体" w:cs="宋体"/>
                <w:color w:val="000000"/>
              </w:rPr>
              <w:t>接到应急响应请求时迅速启动响应预案；</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2</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安全培训服务</w:t>
            </w:r>
          </w:p>
        </w:tc>
        <w:tc>
          <w:tcPr>
            <w:tcW w:w="3881" w:type="dxa"/>
            <w:vAlign w:val="center"/>
          </w:tcPr>
          <w:p>
            <w:pPr>
              <w:widowControl/>
              <w:jc w:val="left"/>
              <w:rPr>
                <w:rFonts w:ascii="宋体" w:hAnsi="宋体"/>
                <w:color w:val="auto"/>
                <w:kern w:val="0"/>
                <w:szCs w:val="21"/>
              </w:rPr>
            </w:pPr>
            <w:r>
              <w:rPr>
                <w:rFonts w:ascii="宋体" w:hAnsi="宋体" w:cs="宋体"/>
                <w:color w:val="auto"/>
                <w:szCs w:val="20"/>
              </w:rPr>
              <w:t>安全运维服务期限内</w:t>
            </w:r>
            <w:r>
              <w:rPr>
                <w:rFonts w:hint="eastAsia" w:ascii="宋体" w:hAnsi="宋体" w:cs="宋体"/>
                <w:color w:val="auto"/>
                <w:szCs w:val="20"/>
              </w:rPr>
              <w:t>提供一次安全培训，培训内容包含：安全意识培训、产品使用培训，安全管理培训，安全技术培训，攻防实践演练培训，应急响应实践演练培训等。</w:t>
            </w:r>
          </w:p>
        </w:tc>
        <w:tc>
          <w:tcPr>
            <w:tcW w:w="1264" w:type="dxa"/>
            <w:vAlign w:val="center"/>
          </w:tcPr>
          <w:p>
            <w:pPr>
              <w:widowControl/>
              <w:jc w:val="left"/>
              <w:rPr>
                <w:rFonts w:ascii="宋体" w:hAnsi="宋体"/>
                <w:color w:val="auto"/>
                <w:kern w:val="0"/>
                <w:szCs w:val="21"/>
              </w:rPr>
            </w:pPr>
            <w:r>
              <w:rPr>
                <w:rFonts w:hint="eastAsia" w:ascii="宋体" w:hAnsi="宋体"/>
                <w:color w:val="auto"/>
                <w:kern w:val="0"/>
                <w:szCs w:val="21"/>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7"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3</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政策合规管理服务</w:t>
            </w:r>
          </w:p>
        </w:tc>
        <w:tc>
          <w:tcPr>
            <w:tcW w:w="3881" w:type="dxa"/>
            <w:vAlign w:val="center"/>
          </w:tcPr>
          <w:p>
            <w:pPr>
              <w:pStyle w:val="5"/>
              <w:spacing w:before="100" w:beforeAutospacing="1" w:after="100" w:afterAutospacing="1" w:line="240" w:lineRule="auto"/>
              <w:outlineLvl w:val="1"/>
              <w:rPr>
                <w:rFonts w:ascii="宋体" w:hAnsi="宋体" w:cs="宋体"/>
                <w:color w:val="000000"/>
              </w:rPr>
            </w:pPr>
            <w:r>
              <w:rPr>
                <w:rFonts w:hint="eastAsia" w:ascii="宋体" w:hAnsi="宋体" w:cs="宋体"/>
                <w:color w:val="000000"/>
              </w:rPr>
              <w:t>在招标人现行安全管理制度基础上，依据国家相关标准（如信息系统安全等级保护标准、及信息安全管理体系标准），协助招标人进行安全管理制度的梳理和建设，建立健全网络层、系统层、应用层、以及数据层的安全管理制度及规范，并且建立起覆盖信息系统开发和运维生命周期的管理规范，如面向信息系统开发的安全编码规范，以及面向信息系统运维事件的应急响应规范（含应急处置预案）。</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exact"/>
          <w:jc w:val="center"/>
        </w:trPr>
        <w:tc>
          <w:tcPr>
            <w:tcW w:w="870" w:type="dxa"/>
            <w:vAlign w:val="center"/>
          </w:tcPr>
          <w:p>
            <w:pPr>
              <w:widowControl/>
              <w:jc w:val="left"/>
              <w:rPr>
                <w:rFonts w:ascii="宋体" w:hAnsi="宋体"/>
                <w:color w:val="000000"/>
                <w:kern w:val="0"/>
                <w:szCs w:val="21"/>
              </w:rPr>
            </w:pPr>
            <w:r>
              <w:rPr>
                <w:rFonts w:hint="eastAsia" w:ascii="宋体" w:hAnsi="宋体"/>
                <w:color w:val="000000"/>
                <w:kern w:val="0"/>
                <w:szCs w:val="21"/>
              </w:rPr>
              <w:t>1</w:t>
            </w:r>
            <w:r>
              <w:rPr>
                <w:rFonts w:ascii="宋体" w:hAnsi="宋体"/>
                <w:color w:val="000000"/>
                <w:kern w:val="0"/>
                <w:szCs w:val="21"/>
              </w:rPr>
              <w:t>4</w:t>
            </w:r>
          </w:p>
        </w:tc>
        <w:tc>
          <w:tcPr>
            <w:tcW w:w="1210" w:type="dxa"/>
            <w:vMerge w:val="continue"/>
            <w:vAlign w:val="center"/>
          </w:tcPr>
          <w:p>
            <w:pPr>
              <w:widowControl/>
              <w:jc w:val="left"/>
              <w:rPr>
                <w:rFonts w:ascii="宋体" w:hAnsi="宋体"/>
                <w:color w:val="000000"/>
                <w:kern w:val="0"/>
                <w:szCs w:val="21"/>
              </w:rPr>
            </w:pPr>
          </w:p>
        </w:tc>
        <w:tc>
          <w:tcPr>
            <w:tcW w:w="1920" w:type="dxa"/>
            <w:vAlign w:val="center"/>
          </w:tcPr>
          <w:p>
            <w:pPr>
              <w:widowControl/>
              <w:jc w:val="left"/>
              <w:rPr>
                <w:rFonts w:ascii="宋体" w:hAnsi="宋体"/>
                <w:color w:val="000000"/>
                <w:kern w:val="0"/>
                <w:szCs w:val="21"/>
              </w:rPr>
            </w:pPr>
            <w:r>
              <w:rPr>
                <w:rFonts w:hint="eastAsia" w:ascii="宋体" w:hAnsi="宋体"/>
                <w:color w:val="000000"/>
                <w:kern w:val="0"/>
                <w:szCs w:val="21"/>
              </w:rPr>
              <w:t>安全咨询服务</w:t>
            </w:r>
          </w:p>
        </w:tc>
        <w:tc>
          <w:tcPr>
            <w:tcW w:w="3881" w:type="dxa"/>
            <w:vAlign w:val="center"/>
          </w:tcPr>
          <w:p>
            <w:pPr>
              <w:pStyle w:val="5"/>
              <w:spacing w:before="100" w:beforeAutospacing="1" w:after="100" w:afterAutospacing="1" w:line="240" w:lineRule="auto"/>
              <w:outlineLvl w:val="1"/>
              <w:rPr>
                <w:rFonts w:ascii="宋体" w:hAnsi="宋体" w:cs="宋体"/>
                <w:color w:val="000000"/>
              </w:rPr>
            </w:pPr>
            <w:r>
              <w:rPr>
                <w:rFonts w:hint="eastAsia" w:ascii="宋体" w:hAnsi="宋体" w:cs="宋体"/>
                <w:color w:val="000000"/>
              </w:rPr>
              <w:t>安全咨询服务应当包括管理咨询服务和技术咨询服务，投标方应承诺，针对招标人在服务周期内产生的与信息安全技术有关的咨询需求，提供专业的咨询意见。安全技术咨询的范围包括计算机网络、网络安全设备、服务器主机系统、数据库与中间件、应用系统等。</w:t>
            </w:r>
          </w:p>
          <w:p>
            <w:pPr>
              <w:widowControl/>
              <w:jc w:val="left"/>
              <w:rPr>
                <w:rFonts w:ascii="宋体" w:hAnsi="宋体"/>
                <w:color w:val="000000"/>
                <w:kern w:val="0"/>
                <w:szCs w:val="21"/>
              </w:rPr>
            </w:pPr>
          </w:p>
        </w:tc>
        <w:tc>
          <w:tcPr>
            <w:tcW w:w="1264" w:type="dxa"/>
            <w:vAlign w:val="center"/>
          </w:tcPr>
          <w:p>
            <w:pPr>
              <w:widowControl/>
              <w:jc w:val="left"/>
              <w:rPr>
                <w:rFonts w:ascii="宋体" w:hAnsi="宋体"/>
                <w:color w:val="000000"/>
                <w:kern w:val="0"/>
                <w:szCs w:val="21"/>
              </w:rPr>
            </w:pPr>
            <w:r>
              <w:rPr>
                <w:rFonts w:hint="eastAsia" w:ascii="宋体" w:hAnsi="宋体"/>
                <w:color w:val="000000"/>
                <w:kern w:val="0"/>
                <w:szCs w:val="21"/>
              </w:rPr>
              <w:t>全年</w:t>
            </w:r>
          </w:p>
        </w:tc>
      </w:tr>
      <w:bookmarkEnd w:id="0"/>
    </w:tbl>
    <w:p/>
    <w:p/>
    <w:p/>
    <w:p/>
    <w:p/>
    <w:p>
      <w:pPr>
        <w:numPr>
          <w:ilvl w:val="0"/>
          <w:numId w:val="1"/>
        </w:numP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玄武盾云防护一年服务</w:t>
      </w:r>
    </w:p>
    <w:p>
      <w:pPr>
        <w:spacing w:line="360" w:lineRule="auto"/>
        <w:ind w:firstLine="420" w:firstLineChars="200"/>
        <w:rPr>
          <w:rFonts w:hint="eastAsia" w:ascii="宋体" w:hAnsi="宋体" w:eastAsia="宋体" w:cs="宋体"/>
          <w:kern w:val="0"/>
          <w:szCs w:val="21"/>
          <w:lang w:eastAsia="zh-CN"/>
        </w:rPr>
      </w:pPr>
      <w:r>
        <w:rPr>
          <w:rFonts w:hint="eastAsia"/>
          <w:color w:val="auto"/>
          <w:szCs w:val="24"/>
        </w:rPr>
        <w:t>在本项目服务期限内，</w:t>
      </w:r>
      <w:r>
        <w:rPr>
          <w:rFonts w:hint="eastAsia"/>
          <w:color w:val="auto"/>
          <w:szCs w:val="24"/>
          <w:lang w:eastAsia="zh-CN"/>
        </w:rPr>
        <w:t>在学校部署玄武盾云防护服务，对城市学</w:t>
      </w:r>
      <w:r>
        <w:rPr>
          <w:rFonts w:hint="eastAsia"/>
          <w:color w:val="auto"/>
          <w:sz w:val="21"/>
          <w:szCs w:val="21"/>
          <w:lang w:eastAsia="zh-CN"/>
        </w:rPr>
        <w:t>院</w:t>
      </w:r>
      <w:r>
        <w:rPr>
          <w:rFonts w:ascii="宋体" w:hAnsi="宋体" w:eastAsia="宋体" w:cs="宋体"/>
          <w:i w:val="0"/>
          <w:caps w:val="0"/>
          <w:color w:val="333333"/>
          <w:spacing w:val="0"/>
          <w:sz w:val="21"/>
          <w:szCs w:val="21"/>
          <w:shd w:val="clear" w:fill="FFFFFF"/>
        </w:rPr>
        <w:t>主域名</w:t>
      </w:r>
      <w:r>
        <w:rPr>
          <w:rFonts w:hint="eastAsia" w:ascii="宋体" w:hAnsi="宋体" w:cs="宋体"/>
          <w:i w:val="0"/>
          <w:caps w:val="0"/>
          <w:color w:val="333333"/>
          <w:spacing w:val="0"/>
          <w:sz w:val="21"/>
          <w:szCs w:val="21"/>
          <w:shd w:val="clear" w:fill="FFFFFF"/>
          <w:lang w:eastAsia="zh-CN"/>
        </w:rPr>
        <w:t>进行</w:t>
      </w:r>
      <w:r>
        <w:rPr>
          <w:rFonts w:ascii="宋体" w:hAnsi="宋体" w:eastAsia="宋体" w:cs="宋体"/>
          <w:i w:val="0"/>
          <w:caps w:val="0"/>
          <w:color w:val="333333"/>
          <w:spacing w:val="0"/>
          <w:sz w:val="21"/>
          <w:szCs w:val="21"/>
          <w:shd w:val="clear" w:fill="FFFFFF"/>
        </w:rPr>
        <w:t>防护</w:t>
      </w:r>
      <w:r>
        <w:rPr>
          <w:rFonts w:hint="eastAsia" w:ascii="宋体" w:hAnsi="宋体" w:cs="宋体"/>
          <w:i w:val="0"/>
          <w:caps w:val="0"/>
          <w:color w:val="333333"/>
          <w:spacing w:val="0"/>
          <w:sz w:val="21"/>
          <w:szCs w:val="21"/>
          <w:shd w:val="clear" w:fill="FFFFFF"/>
          <w:lang w:eastAsia="zh-CN"/>
        </w:rPr>
        <w:t>。</w:t>
      </w:r>
    </w:p>
    <w:tbl>
      <w:tblPr>
        <w:tblStyle w:val="2"/>
        <w:tblW w:w="8994" w:type="dxa"/>
        <w:tblInd w:w="0" w:type="dxa"/>
        <w:tblLayout w:type="fixed"/>
        <w:tblCellMar>
          <w:top w:w="0" w:type="dxa"/>
          <w:left w:w="108" w:type="dxa"/>
          <w:bottom w:w="0" w:type="dxa"/>
          <w:right w:w="108" w:type="dxa"/>
        </w:tblCellMar>
      </w:tblPr>
      <w:tblGrid>
        <w:gridCol w:w="1616"/>
        <w:gridCol w:w="7378"/>
      </w:tblGrid>
      <w:tr>
        <w:tblPrEx>
          <w:tblLayout w:type="fixed"/>
          <w:tblCellMar>
            <w:top w:w="0" w:type="dxa"/>
            <w:left w:w="108" w:type="dxa"/>
            <w:bottom w:w="0" w:type="dxa"/>
            <w:right w:w="108" w:type="dxa"/>
          </w:tblCellMar>
        </w:tblPrEx>
        <w:tc>
          <w:tcPr>
            <w:tcW w:w="1616"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指标项</w:t>
            </w:r>
          </w:p>
        </w:tc>
        <w:tc>
          <w:tcPr>
            <w:tcW w:w="7378" w:type="dxa"/>
            <w:tcBorders>
              <w:top w:val="single" w:color="auto" w:sz="4" w:space="0"/>
              <w:left w:val="nil"/>
              <w:bottom w:val="single" w:color="auto" w:sz="4" w:space="0"/>
              <w:right w:val="single" w:color="auto" w:sz="4" w:space="0"/>
            </w:tcBorders>
            <w:shd w:val="clear" w:color="auto" w:fill="D9D9D9"/>
            <w:vAlign w:val="center"/>
          </w:tcPr>
          <w:p>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lang w:eastAsia="zh-CN"/>
              </w:rPr>
              <w:t>玄武盾</w:t>
            </w:r>
            <w:r>
              <w:rPr>
                <w:rFonts w:hint="eastAsia" w:ascii="宋体" w:hAnsi="宋体" w:cs="宋体"/>
                <w:b/>
                <w:bCs/>
                <w:color w:val="000000"/>
                <w:kern w:val="0"/>
                <w:sz w:val="24"/>
              </w:rPr>
              <w:t>指标要求</w:t>
            </w:r>
          </w:p>
        </w:tc>
      </w:tr>
      <w:tr>
        <w:tblPrEx>
          <w:tblLayout w:type="fixed"/>
          <w:tblCellMar>
            <w:top w:w="0" w:type="dxa"/>
            <w:left w:w="108" w:type="dxa"/>
            <w:bottom w:w="0" w:type="dxa"/>
            <w:right w:w="108" w:type="dxa"/>
          </w:tblCellMar>
        </w:tblPrEx>
        <w:trPr>
          <w:trHeight w:val="493" w:hRule="atLeast"/>
        </w:trPr>
        <w:tc>
          <w:tcPr>
            <w:tcW w:w="1616" w:type="dxa"/>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default" w:ascii="宋体" w:hAnsi="宋体" w:eastAsia="宋体" w:cs="宋体"/>
                <w:color w:val="000000"/>
                <w:lang w:val="en-US" w:eastAsia="zh-CN"/>
              </w:rPr>
            </w:pPr>
            <w:r>
              <w:rPr>
                <w:rFonts w:hint="eastAsia" w:ascii="宋体" w:hAnsi="宋体" w:cs="宋体"/>
                <w:color w:val="000000"/>
                <w:lang w:val="en-US" w:eastAsia="zh-CN"/>
              </w:rPr>
              <w:t>域名</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default" w:ascii="宋体" w:hAnsi="宋体" w:eastAsia="宋体" w:cs="宋体"/>
                <w:color w:val="000000"/>
                <w:lang w:val="en-US" w:eastAsia="zh-CN"/>
              </w:rPr>
            </w:pPr>
            <w:r>
              <w:rPr>
                <w:rFonts w:hint="eastAsia" w:ascii="宋体" w:hAnsi="宋体" w:cs="宋体"/>
                <w:color w:val="000000"/>
                <w:lang w:val="en-US" w:eastAsia="zh-CN"/>
              </w:rPr>
              <w:t>nbcc.cn，nbcc.edu.cn</w:t>
            </w:r>
          </w:p>
        </w:tc>
      </w:tr>
      <w:tr>
        <w:tblPrEx>
          <w:tblLayout w:type="fixed"/>
          <w:tblCellMar>
            <w:top w:w="0" w:type="dxa"/>
            <w:left w:w="108" w:type="dxa"/>
            <w:bottom w:w="0" w:type="dxa"/>
            <w:right w:w="108" w:type="dxa"/>
          </w:tblCellMar>
        </w:tblPrEx>
        <w:trPr>
          <w:trHeight w:val="420"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平台要求</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*全国范围内具备至少20个云防护和CDN加速节点，并提供证明</w:t>
            </w:r>
          </w:p>
        </w:tc>
      </w:tr>
      <w:tr>
        <w:tblPrEx>
          <w:tblLayout w:type="fixed"/>
          <w:tblCellMar>
            <w:top w:w="0" w:type="dxa"/>
            <w:left w:w="108" w:type="dxa"/>
            <w:bottom w:w="0" w:type="dxa"/>
            <w:right w:w="108" w:type="dxa"/>
          </w:tblCellMar>
        </w:tblPrEx>
        <w:trPr>
          <w:trHeight w:val="1096"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*要求安全防御平台为一体化平台，应同时具备网站漏洞监测、安全事件监测、可用性监测、攻击防御状态、防护报表等功能,要求所有的功能集成在同一产品上实现。所要求的功能需要提供截图</w:t>
            </w:r>
          </w:p>
        </w:tc>
      </w:tr>
      <w:tr>
        <w:tblPrEx>
          <w:tblLayout w:type="fixed"/>
          <w:tblCellMar>
            <w:top w:w="0" w:type="dxa"/>
            <w:left w:w="108" w:type="dxa"/>
            <w:bottom w:w="0" w:type="dxa"/>
            <w:right w:w="108" w:type="dxa"/>
          </w:tblCellMar>
        </w:tblPrEx>
        <w:trPr>
          <w:trHeight w:val="202"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能为每个网站用户单独创建用户账号，用于查看网站和系统的安全状况。监管用户可关注、查看所有下属机构的网站和系统整体情况。</w:t>
            </w:r>
          </w:p>
        </w:tc>
      </w:tr>
      <w:tr>
        <w:tblPrEx>
          <w:tblLayout w:type="fixed"/>
          <w:tblCellMar>
            <w:top w:w="0" w:type="dxa"/>
            <w:left w:w="108" w:type="dxa"/>
            <w:bottom w:w="0" w:type="dxa"/>
            <w:right w:w="108" w:type="dxa"/>
          </w:tblCellMar>
        </w:tblPrEx>
        <w:trPr>
          <w:trHeight w:val="589"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近三年内原厂商具有9个不低于50万元的云防护服务合同，并提供合同复印件</w:t>
            </w:r>
          </w:p>
        </w:tc>
      </w:tr>
      <w:tr>
        <w:tblPrEx>
          <w:tblLayout w:type="fixed"/>
          <w:tblCellMar>
            <w:top w:w="0" w:type="dxa"/>
            <w:left w:w="108" w:type="dxa"/>
            <w:bottom w:w="0" w:type="dxa"/>
            <w:right w:w="108" w:type="dxa"/>
          </w:tblCellMar>
        </w:tblPrEx>
        <w:trPr>
          <w:trHeight w:val="838" w:hRule="atLeast"/>
        </w:trPr>
        <w:tc>
          <w:tcPr>
            <w:tcW w:w="1616" w:type="dxa"/>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部署方式</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无需在网站前端安装任何安全设备、软件，通过DNS别名指向到云端进行安全防护</w:t>
            </w:r>
          </w:p>
        </w:tc>
      </w:tr>
      <w:tr>
        <w:tblPrEx>
          <w:tblLayout w:type="fixed"/>
          <w:tblCellMar>
            <w:top w:w="0" w:type="dxa"/>
            <w:left w:w="108" w:type="dxa"/>
            <w:bottom w:w="0" w:type="dxa"/>
            <w:right w:w="108" w:type="dxa"/>
          </w:tblCellMar>
        </w:tblPrEx>
        <w:trPr>
          <w:trHeight w:val="91"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防御功能</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*能提供不低于2Tbps的DDOS流量清洗能力，并提供证明文件；</w:t>
            </w:r>
          </w:p>
        </w:tc>
      </w:tr>
      <w:tr>
        <w:tblPrEx>
          <w:tblLayout w:type="fixed"/>
          <w:tblCellMar>
            <w:top w:w="0" w:type="dxa"/>
            <w:left w:w="108" w:type="dxa"/>
            <w:bottom w:w="0" w:type="dxa"/>
            <w:right w:w="108" w:type="dxa"/>
          </w:tblCellMar>
        </w:tblPrEx>
        <w:trPr>
          <w:trHeight w:val="224"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支持DDOS防护算法调整，如可选择至少三种SYN Flood攻击防护机制，可自定义设置流量、连接数等触发防护阀值；</w:t>
            </w:r>
          </w:p>
        </w:tc>
      </w:tr>
      <w:tr>
        <w:tblPrEx>
          <w:tblLayout w:type="fixed"/>
          <w:tblCellMar>
            <w:top w:w="0" w:type="dxa"/>
            <w:left w:w="108" w:type="dxa"/>
            <w:bottom w:w="0" w:type="dxa"/>
            <w:right w:w="108" w:type="dxa"/>
          </w:tblCellMar>
        </w:tblPrEx>
        <w:trPr>
          <w:trHeight w:val="906"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连接型DDoS攻击防护，过滤TCP慢速连接攻击、连接耗尽攻击、tcp新建连接限制等攻击和loic、hoic、slowloris、Pyloris、xoic等慢速攻击</w:t>
            </w:r>
          </w:p>
        </w:tc>
      </w:tr>
      <w:tr>
        <w:tblPrEx>
          <w:tblLayout w:type="fixed"/>
          <w:tblCellMar>
            <w:top w:w="0" w:type="dxa"/>
            <w:left w:w="108" w:type="dxa"/>
            <w:bottom w:w="0" w:type="dxa"/>
            <w:right w:w="108" w:type="dxa"/>
          </w:tblCellMar>
        </w:tblPrEx>
        <w:trPr>
          <w:trHeight w:val="216"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系统应具有常用应用层协议（如HTTP、FTP、GAME、DNS等）防护插件；</w:t>
            </w:r>
          </w:p>
        </w:tc>
      </w:tr>
      <w:tr>
        <w:tblPrEx>
          <w:tblLayout w:type="fixed"/>
          <w:tblCellMar>
            <w:top w:w="0" w:type="dxa"/>
            <w:left w:w="108" w:type="dxa"/>
            <w:bottom w:w="0" w:type="dxa"/>
            <w:right w:w="108" w:type="dxa"/>
          </w:tblCellMar>
        </w:tblPrEx>
        <w:trPr>
          <w:trHeight w:val="225"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特征过滤，4层ip+port过滤和7层payload部分内容过滤</w:t>
            </w:r>
          </w:p>
        </w:tc>
      </w:tr>
      <w:tr>
        <w:tblPrEx>
          <w:tblLayout w:type="fixed"/>
          <w:tblCellMar>
            <w:top w:w="0" w:type="dxa"/>
            <w:left w:w="108" w:type="dxa"/>
            <w:bottom w:w="0" w:type="dxa"/>
            <w:right w:w="108" w:type="dxa"/>
          </w:tblCellMar>
        </w:tblPrEx>
        <w:trPr>
          <w:trHeight w:val="1234"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支持检查提交的报文是否符合HTTP协议框架，如异常的请求方法、特殊字符、重点字段的缺失、超长报文造成的溢出攻击以及对高危文件的访问等</w:t>
            </w:r>
          </w:p>
        </w:tc>
      </w:tr>
      <w:tr>
        <w:tblPrEx>
          <w:tblLayout w:type="fixed"/>
          <w:tblCellMar>
            <w:top w:w="0" w:type="dxa"/>
            <w:left w:w="108" w:type="dxa"/>
            <w:bottom w:w="0" w:type="dxa"/>
            <w:right w:w="108" w:type="dxa"/>
          </w:tblCellMar>
        </w:tblPrEx>
        <w:trPr>
          <w:trHeight w:val="800"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支持识别恶意请求含：跨站脚本(XSS)、注入式攻击（包括SQL注入、命令注入 、Cookie 注入等）、跨站请求伪造等应用攻击行为</w:t>
            </w:r>
          </w:p>
        </w:tc>
      </w:tr>
      <w:tr>
        <w:tblPrEx>
          <w:tblLayout w:type="fixed"/>
          <w:tblCellMar>
            <w:top w:w="0" w:type="dxa"/>
            <w:left w:w="108" w:type="dxa"/>
            <w:bottom w:w="0" w:type="dxa"/>
            <w:right w:w="108" w:type="dxa"/>
          </w:tblCellMar>
        </w:tblPrEx>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支持识别服务端响应内容导致的缺陷：敏感信息泄露、已有的网页后门、错误配置、目录浏览等缺陷</w:t>
            </w:r>
          </w:p>
        </w:tc>
      </w:tr>
      <w:tr>
        <w:tblPrEx>
          <w:tblLayout w:type="fixed"/>
          <w:tblCellMar>
            <w:top w:w="0" w:type="dxa"/>
            <w:left w:w="108" w:type="dxa"/>
            <w:bottom w:w="0" w:type="dxa"/>
            <w:right w:w="108" w:type="dxa"/>
          </w:tblCellMar>
        </w:tblPrEx>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支持基于访问行为特征进行分析，能识别盗链、爬虫攻击的能力</w:t>
            </w:r>
          </w:p>
        </w:tc>
      </w:tr>
      <w:tr>
        <w:tblPrEx>
          <w:tblLayout w:type="fixed"/>
          <w:tblCellMar>
            <w:top w:w="0" w:type="dxa"/>
            <w:left w:w="108" w:type="dxa"/>
            <w:bottom w:w="0" w:type="dxa"/>
            <w:right w:w="108" w:type="dxa"/>
          </w:tblCellMar>
        </w:tblPrEx>
        <w:trPr>
          <w:trHeight w:val="184"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支持对用户上传的文件后缀名和文件内容进行全方面检查，杜绝Webshell的上传和访问</w:t>
            </w:r>
          </w:p>
        </w:tc>
      </w:tr>
      <w:tr>
        <w:tblPrEx>
          <w:tblLayout w:type="fixed"/>
          <w:tblCellMar>
            <w:top w:w="0" w:type="dxa"/>
            <w:left w:w="108" w:type="dxa"/>
            <w:bottom w:w="0" w:type="dxa"/>
            <w:right w:w="108" w:type="dxa"/>
          </w:tblCellMar>
        </w:tblPrEx>
        <w:trPr>
          <w:trHeight w:val="876"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支持对WEB服务器容器、应用中间件、CMS系统等第三方组件漏洞进行有效防护</w:t>
            </w:r>
          </w:p>
        </w:tc>
      </w:tr>
      <w:tr>
        <w:tblPrEx>
          <w:tblLayout w:type="fixed"/>
          <w:tblCellMar>
            <w:top w:w="0" w:type="dxa"/>
            <w:left w:w="108" w:type="dxa"/>
            <w:bottom w:w="0" w:type="dxa"/>
            <w:right w:w="108" w:type="dxa"/>
          </w:tblCellMar>
        </w:tblPrEx>
        <w:trPr>
          <w:trHeight w:val="234"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支持区域访问控制，限制国外用户或者国内以省市为单位的区域进行访问控制。</w:t>
            </w:r>
          </w:p>
        </w:tc>
      </w:tr>
      <w:tr>
        <w:tblPrEx>
          <w:tblLayout w:type="fixed"/>
          <w:tblCellMar>
            <w:top w:w="0" w:type="dxa"/>
            <w:left w:w="108" w:type="dxa"/>
            <w:bottom w:w="0" w:type="dxa"/>
            <w:right w:w="108" w:type="dxa"/>
          </w:tblCellMar>
        </w:tblPrEx>
        <w:trPr>
          <w:trHeight w:val="234"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lang w:eastAsia="zh-CN"/>
              </w:rPr>
            </w:pPr>
            <w:r>
              <w:rPr>
                <w:rFonts w:hint="eastAsia" w:ascii="宋体" w:hAnsi="宋体" w:cs="宋体"/>
                <w:color w:val="000000"/>
              </w:rPr>
              <w:t>支持智能识别攻击者，对网站连接发起攻击的IP地址进行自动锁定禁止访问被攻击的网站</w:t>
            </w:r>
            <w:r>
              <w:rPr>
                <w:rFonts w:hint="eastAsia" w:ascii="宋体" w:hAnsi="宋体" w:cs="宋体"/>
                <w:color w:val="000000"/>
                <w:lang w:eastAsia="zh-CN"/>
              </w:rPr>
              <w:t>。</w:t>
            </w:r>
          </w:p>
        </w:tc>
      </w:tr>
      <w:tr>
        <w:tblPrEx>
          <w:tblLayout w:type="fixed"/>
          <w:tblCellMar>
            <w:top w:w="0" w:type="dxa"/>
            <w:left w:w="108" w:type="dxa"/>
            <w:bottom w:w="0" w:type="dxa"/>
            <w:right w:w="108" w:type="dxa"/>
          </w:tblCellMar>
        </w:tblPrEx>
        <w:trPr>
          <w:trHeight w:val="720"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*支持协同防护，平台够整体联动，对攻击IP进行全面封锁。</w:t>
            </w:r>
          </w:p>
        </w:tc>
      </w:tr>
      <w:tr>
        <w:tblPrEx>
          <w:tblLayout w:type="fixed"/>
          <w:tblCellMar>
            <w:top w:w="0" w:type="dxa"/>
            <w:left w:w="108" w:type="dxa"/>
            <w:bottom w:w="0" w:type="dxa"/>
            <w:right w:w="108" w:type="dxa"/>
          </w:tblCellMar>
        </w:tblPrEx>
        <w:trPr>
          <w:trHeight w:val="720"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*支持一键虚拟补丁功能，网站出现0day漏洞时能快速完成修复，提供界面截图并加盖公司公章。</w:t>
            </w:r>
          </w:p>
        </w:tc>
      </w:tr>
      <w:tr>
        <w:tblPrEx>
          <w:tblLayout w:type="fixed"/>
          <w:tblCellMar>
            <w:top w:w="0" w:type="dxa"/>
            <w:left w:w="108" w:type="dxa"/>
            <w:bottom w:w="0" w:type="dxa"/>
            <w:right w:w="108" w:type="dxa"/>
          </w:tblCellMar>
        </w:tblPrEx>
        <w:trPr>
          <w:trHeight w:val="60"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永久在线功能，当网站因为服务器故障、线路故障、电源等问题出现无法连接时，可显示云防护节点中的缓存页面。当在敏感期或特殊时期时，用户网站主动关闭期间可显示缓存页面，增强网站安全性。提供界面截图并加盖公司公章</w:t>
            </w:r>
          </w:p>
        </w:tc>
      </w:tr>
      <w:tr>
        <w:tblPrEx>
          <w:tblLayout w:type="fixed"/>
          <w:tblCellMar>
            <w:top w:w="0" w:type="dxa"/>
            <w:left w:w="108" w:type="dxa"/>
            <w:bottom w:w="0" w:type="dxa"/>
            <w:right w:w="108" w:type="dxa"/>
          </w:tblCellMar>
        </w:tblPrEx>
        <w:trPr>
          <w:trHeight w:val="388" w:hRule="atLeast"/>
        </w:trPr>
        <w:tc>
          <w:tcPr>
            <w:tcW w:w="1616" w:type="dxa"/>
            <w:vMerge w:val="continue"/>
            <w:tcBorders>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*支持一键关停功能，当网站出现紧急安全事件时，可在一分钟内通过手机APP和浏览器一键完成关停，防止产生恶劣影响，提供界面截图</w:t>
            </w:r>
          </w:p>
        </w:tc>
      </w:tr>
      <w:tr>
        <w:tblPrEx>
          <w:tblLayout w:type="fixed"/>
          <w:tblCellMar>
            <w:top w:w="0" w:type="dxa"/>
            <w:left w:w="108" w:type="dxa"/>
            <w:bottom w:w="0" w:type="dxa"/>
            <w:right w:w="108" w:type="dxa"/>
          </w:tblCellMar>
        </w:tblPrEx>
        <w:trPr>
          <w:trHeight w:val="1836" w:hRule="atLeast"/>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*网站防篡改</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防篡改软件（与云防护同一品牌），采用先进内核驱动和实时触发技术，内核自定义编译，支持各类网页文件的保护，禁止非法文件篡改，包括静态和动态网页以及各类文件信息，提供公安部销售许可证、国家保密局涉密信息系统安全保密检测中心检测证书、中国信息安全测评认证中心颁发的中国国家信息安全产品认证证书（提供加盖公章的证明文件）。</w:t>
            </w:r>
          </w:p>
        </w:tc>
      </w:tr>
      <w:tr>
        <w:tblPrEx>
          <w:tblLayout w:type="fixed"/>
          <w:tblCellMar>
            <w:top w:w="0" w:type="dxa"/>
            <w:left w:w="108" w:type="dxa"/>
            <w:bottom w:w="0" w:type="dxa"/>
            <w:right w:w="108" w:type="dxa"/>
          </w:tblCellMar>
        </w:tblPrEx>
        <w:trPr>
          <w:trHeight w:val="548"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*网站监测服务</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提供事前漏洞扫描服务，对网站存在的脆弱性进行探查，包括SQL注入漏洞、跨站脚本漏洞、开放服务漏洞、网站第三方应用漏洞0day漏洞等；</w:t>
            </w:r>
            <w:r>
              <w:rPr>
                <w:rFonts w:hint="eastAsia" w:ascii="宋体" w:hAnsi="宋体" w:cs="宋体"/>
                <w:color w:val="000000"/>
              </w:rPr>
              <w:br w:type="textWrapping"/>
            </w:r>
            <w:r>
              <w:rPr>
                <w:rFonts w:hint="eastAsia" w:ascii="宋体" w:hAnsi="宋体" w:cs="宋体"/>
                <w:color w:val="000000"/>
              </w:rPr>
              <w:t>具有大规模漏洞扫描能力，每日扫描网站最多可达一万个（提供证明材料并加盖公章）</w:t>
            </w:r>
          </w:p>
        </w:tc>
      </w:tr>
      <w:tr>
        <w:tblPrEx>
          <w:tblLayout w:type="fixed"/>
          <w:tblCellMar>
            <w:top w:w="0" w:type="dxa"/>
            <w:left w:w="108" w:type="dxa"/>
            <w:bottom w:w="0" w:type="dxa"/>
            <w:right w:w="108" w:type="dxa"/>
          </w:tblCellMar>
        </w:tblPrEx>
        <w:trPr>
          <w:trHeight w:val="264"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lang w:eastAsia="zh-CN"/>
              </w:rPr>
            </w:pPr>
            <w:r>
              <w:rPr>
                <w:rFonts w:hint="eastAsia" w:ascii="宋体" w:hAnsi="宋体" w:cs="宋体"/>
                <w:color w:val="000000"/>
              </w:rPr>
              <w:t>提供漏洞自动跟踪服务，服务的依托的产品可以自动对检测到的漏洞进行跟踪，督促问题网站进行整改</w:t>
            </w:r>
            <w:r>
              <w:rPr>
                <w:rFonts w:hint="eastAsia" w:ascii="宋体" w:hAnsi="宋体" w:cs="宋体"/>
                <w:color w:val="000000"/>
                <w:lang w:eastAsia="zh-CN"/>
              </w:rPr>
              <w:t>。</w:t>
            </w:r>
          </w:p>
        </w:tc>
      </w:tr>
      <w:tr>
        <w:tblPrEx>
          <w:tblLayout w:type="fixed"/>
          <w:tblCellMar>
            <w:top w:w="0" w:type="dxa"/>
            <w:left w:w="108" w:type="dxa"/>
            <w:bottom w:w="0" w:type="dxa"/>
            <w:right w:w="108" w:type="dxa"/>
          </w:tblCellMar>
        </w:tblPrEx>
        <w:trPr>
          <w:trHeight w:val="305"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提供事后安全事件监测服务，监测内容如下：</w:t>
            </w:r>
          </w:p>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1、对网站被植入暗链进行监测，包括对广告、游戏、博彩、色情、医疗、推广等类型的暗链进行监测。</w:t>
            </w:r>
            <w:r>
              <w:rPr>
                <w:rFonts w:hint="eastAsia" w:ascii="宋体" w:hAnsi="宋体" w:cs="宋体"/>
                <w:color w:val="000000"/>
              </w:rPr>
              <w:br w:type="textWrapping"/>
            </w:r>
            <w:r>
              <w:rPr>
                <w:rFonts w:hint="eastAsia" w:ascii="宋体" w:hAnsi="宋体" w:cs="宋体"/>
                <w:color w:val="000000"/>
              </w:rPr>
              <w:t>（已检测到的暗链URL不少于150万个，提供截图证明）</w:t>
            </w:r>
            <w:r>
              <w:rPr>
                <w:rFonts w:hint="eastAsia" w:ascii="宋体" w:hAnsi="宋体" w:cs="宋体"/>
                <w:color w:val="000000"/>
              </w:rPr>
              <w:br w:type="textWrapping"/>
            </w:r>
            <w:r>
              <w:rPr>
                <w:rFonts w:hint="eastAsia" w:ascii="宋体" w:hAnsi="宋体" w:cs="宋体"/>
                <w:color w:val="000000"/>
              </w:rPr>
              <w:t>2、对网站黑页进行监测；</w:t>
            </w:r>
            <w:r>
              <w:rPr>
                <w:rFonts w:hint="eastAsia" w:ascii="宋体" w:hAnsi="宋体" w:cs="宋体"/>
                <w:color w:val="000000"/>
              </w:rPr>
              <w:br w:type="textWrapping"/>
            </w:r>
            <w:r>
              <w:rPr>
                <w:rFonts w:hint="eastAsia" w:ascii="宋体" w:hAnsi="宋体" w:cs="宋体"/>
                <w:color w:val="000000"/>
              </w:rPr>
              <w:t>3、对网站篡改变更进行监测；</w:t>
            </w:r>
            <w:r>
              <w:rPr>
                <w:rFonts w:hint="eastAsia" w:ascii="宋体" w:hAnsi="宋体" w:cs="宋体"/>
                <w:color w:val="000000"/>
              </w:rPr>
              <w:br w:type="textWrapping"/>
            </w:r>
            <w:r>
              <w:rPr>
                <w:rFonts w:hint="eastAsia" w:ascii="宋体" w:hAnsi="宋体" w:cs="宋体"/>
                <w:color w:val="000000"/>
              </w:rPr>
              <w:t>4、对网页敏感内容进行监测，如“博彩”、“色情”等；</w:t>
            </w:r>
            <w:r>
              <w:rPr>
                <w:rFonts w:hint="eastAsia" w:ascii="宋体" w:hAnsi="宋体" w:cs="宋体"/>
                <w:color w:val="000000"/>
              </w:rPr>
              <w:br w:type="textWrapping"/>
            </w:r>
            <w:r>
              <w:rPr>
                <w:rFonts w:hint="eastAsia" w:ascii="宋体" w:hAnsi="宋体" w:cs="宋体"/>
                <w:color w:val="000000"/>
              </w:rPr>
              <w:t>5、对网站坏链、无效链接、错链进行监测；</w:t>
            </w:r>
            <w:r>
              <w:rPr>
                <w:rFonts w:hint="eastAsia" w:ascii="宋体" w:hAnsi="宋体" w:cs="宋体"/>
                <w:color w:val="000000"/>
              </w:rPr>
              <w:br w:type="textWrapping"/>
            </w:r>
            <w:r>
              <w:rPr>
                <w:rFonts w:hint="eastAsia" w:ascii="宋体" w:hAnsi="宋体" w:cs="宋体"/>
                <w:color w:val="000000"/>
              </w:rPr>
              <w:t>6、对反共黑客事件进行7*24小时的专人值守监测；</w:t>
            </w:r>
            <w:r>
              <w:rPr>
                <w:rFonts w:hint="eastAsia" w:ascii="宋体" w:hAnsi="宋体" w:cs="宋体"/>
                <w:color w:val="000000"/>
              </w:rPr>
              <w:br w:type="textWrapping"/>
            </w:r>
            <w:r>
              <w:rPr>
                <w:rFonts w:hint="eastAsia" w:ascii="宋体" w:hAnsi="宋体" w:cs="宋体"/>
                <w:color w:val="000000"/>
              </w:rPr>
              <w:t>（敏感关键字策略数不少于2万个，并提供截图证明）</w:t>
            </w:r>
          </w:p>
        </w:tc>
      </w:tr>
      <w:tr>
        <w:tblPrEx>
          <w:tblLayout w:type="fixed"/>
          <w:tblCellMar>
            <w:top w:w="0" w:type="dxa"/>
            <w:left w:w="108" w:type="dxa"/>
            <w:bottom w:w="0" w:type="dxa"/>
            <w:right w:w="108" w:type="dxa"/>
          </w:tblCellMar>
        </w:tblPrEx>
        <w:trPr>
          <w:trHeight w:val="143" w:hRule="atLeast"/>
        </w:trPr>
        <w:tc>
          <w:tcPr>
            <w:tcW w:w="1616" w:type="dxa"/>
            <w:vMerge w:val="continue"/>
            <w:tcBorders>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提供可用性监测服务，可对用户网站进行全国多节点的监测，监测发下可用性性异常情况：</w:t>
            </w:r>
            <w:r>
              <w:rPr>
                <w:rFonts w:hint="eastAsia" w:ascii="宋体" w:hAnsi="宋体" w:cs="宋体"/>
                <w:color w:val="000000"/>
              </w:rPr>
              <w:br w:type="textWrapping"/>
            </w:r>
            <w:r>
              <w:rPr>
                <w:rFonts w:hint="eastAsia" w:ascii="宋体" w:hAnsi="宋体" w:cs="宋体"/>
                <w:color w:val="000000"/>
              </w:rPr>
              <w:t>1、监测网站服务是否中断或报错</w:t>
            </w:r>
            <w:r>
              <w:rPr>
                <w:rFonts w:hint="eastAsia" w:ascii="宋体" w:hAnsi="宋体" w:cs="宋体"/>
                <w:color w:val="000000"/>
              </w:rPr>
              <w:br w:type="textWrapping"/>
            </w:r>
            <w:r>
              <w:rPr>
                <w:rFonts w:hint="eastAsia" w:ascii="宋体" w:hAnsi="宋体" w:cs="宋体"/>
                <w:color w:val="000000"/>
              </w:rPr>
              <w:t>2、监测网站延时是否过大</w:t>
            </w:r>
            <w:r>
              <w:rPr>
                <w:rFonts w:hint="eastAsia" w:ascii="宋体" w:hAnsi="宋体" w:cs="宋体"/>
                <w:color w:val="000000"/>
              </w:rPr>
              <w:br w:type="textWrapping"/>
            </w:r>
            <w:r>
              <w:rPr>
                <w:rFonts w:hint="eastAsia" w:ascii="宋体" w:hAnsi="宋体" w:cs="宋体"/>
                <w:color w:val="000000"/>
              </w:rPr>
              <w:t>3、通过多线路监测是否存在线路异常</w:t>
            </w:r>
            <w:r>
              <w:rPr>
                <w:rFonts w:hint="eastAsia" w:ascii="宋体" w:hAnsi="宋体" w:cs="宋体"/>
                <w:color w:val="000000"/>
              </w:rPr>
              <w:br w:type="textWrapping"/>
            </w:r>
            <w:r>
              <w:rPr>
                <w:rFonts w:hint="eastAsia" w:ascii="宋体" w:hAnsi="宋体" w:cs="宋体"/>
                <w:color w:val="000000"/>
              </w:rPr>
              <w:t>实时通过全国至少20个节点，对网站服务质量进行监测能监测网站的打开时间，资源加速速度等多个维度的质量</w:t>
            </w:r>
            <w:r>
              <w:rPr>
                <w:rFonts w:hint="eastAsia" w:ascii="宋体" w:hAnsi="宋体" w:cs="宋体"/>
                <w:color w:val="000000"/>
              </w:rPr>
              <w:br w:type="textWrapping"/>
            </w:r>
            <w:r>
              <w:rPr>
                <w:rFonts w:hint="eastAsia" w:ascii="宋体" w:hAnsi="宋体" w:cs="宋体"/>
                <w:color w:val="000000"/>
              </w:rPr>
              <w:t>（提供节点的证明文件和多节点可用性监测的监测截图并加盖公章）</w:t>
            </w:r>
          </w:p>
        </w:tc>
      </w:tr>
      <w:tr>
        <w:tblPrEx>
          <w:tblLayout w:type="fixed"/>
          <w:tblCellMar>
            <w:top w:w="0" w:type="dxa"/>
            <w:left w:w="108" w:type="dxa"/>
            <w:bottom w:w="0" w:type="dxa"/>
            <w:right w:w="108" w:type="dxa"/>
          </w:tblCellMar>
        </w:tblPrEx>
        <w:trPr>
          <w:trHeight w:val="857"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安全审计</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提供访问日志记录与查询功能，可根据域名、URL、客户端IP、返回码、访问区域、访问时间段进行查询，查询后的日志数据可导出Excel文件。</w:t>
            </w:r>
          </w:p>
        </w:tc>
      </w:tr>
      <w:tr>
        <w:tblPrEx>
          <w:tblLayout w:type="fixed"/>
          <w:tblCellMar>
            <w:top w:w="0" w:type="dxa"/>
            <w:left w:w="108" w:type="dxa"/>
            <w:bottom w:w="0" w:type="dxa"/>
            <w:right w:w="108" w:type="dxa"/>
          </w:tblCellMar>
        </w:tblPrEx>
        <w:trPr>
          <w:trHeight w:val="203" w:hRule="atLeast"/>
        </w:trPr>
        <w:tc>
          <w:tcPr>
            <w:tcW w:w="1616" w:type="dxa"/>
            <w:vMerge w:val="continue"/>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攻击日志记录与查询功能，攻击日志至少保存6个月，满足《网络安全法要求》，可根据域名、URL、攻击方法、返回码、威胁等级、攻击IP、攻击区域和攻击类型进行查询，查询后的攻击日志数据可导出Excel文件。</w:t>
            </w:r>
          </w:p>
        </w:tc>
      </w:tr>
      <w:tr>
        <w:tblPrEx>
          <w:tblLayout w:type="fixed"/>
          <w:tblCellMar>
            <w:top w:w="0" w:type="dxa"/>
            <w:left w:w="108" w:type="dxa"/>
            <w:bottom w:w="0" w:type="dxa"/>
            <w:right w:w="108" w:type="dxa"/>
          </w:tblCellMar>
        </w:tblPrEx>
        <w:tc>
          <w:tcPr>
            <w:tcW w:w="1616" w:type="dxa"/>
            <w:vMerge w:val="continue"/>
            <w:tcBorders>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*提供访问与攻击原始日志离线下载功能，可按天进行下载，原始日志包含访问IP、访问时间、URL、返回码、UA、访问域名等信息。</w:t>
            </w:r>
          </w:p>
        </w:tc>
      </w:tr>
      <w:tr>
        <w:tblPrEx>
          <w:tblLayout w:type="fixed"/>
          <w:tblCellMar>
            <w:top w:w="0" w:type="dxa"/>
            <w:left w:w="108" w:type="dxa"/>
            <w:bottom w:w="0" w:type="dxa"/>
            <w:right w:w="108" w:type="dxa"/>
          </w:tblCellMar>
        </w:tblPrEx>
        <w:trPr>
          <w:trHeight w:val="1012"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报表</w:t>
            </w:r>
          </w:p>
        </w:tc>
        <w:tc>
          <w:tcPr>
            <w:tcW w:w="7378" w:type="dxa"/>
            <w:tcBorders>
              <w:top w:val="single" w:color="auto" w:sz="4" w:space="0"/>
              <w:left w:val="nil"/>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lang w:eastAsia="zh-CN"/>
              </w:rPr>
            </w:pPr>
            <w:r>
              <w:rPr>
                <w:rFonts w:hint="eastAsia" w:ascii="宋体" w:hAnsi="宋体" w:cs="宋体"/>
                <w:color w:val="000000"/>
              </w:rPr>
              <w:t>可查看安全防护报告，包含攻击流量、攻击者区域统计、攻击者IP统计、被攻击页面统计、被攻击域名统计、攻击事件统计、攻击威胁等级统计等报告</w:t>
            </w:r>
            <w:r>
              <w:rPr>
                <w:rFonts w:hint="eastAsia" w:ascii="宋体" w:hAnsi="宋体" w:cs="宋体"/>
                <w:color w:val="000000"/>
                <w:lang w:eastAsia="zh-CN"/>
              </w:rPr>
              <w:t>。</w:t>
            </w:r>
          </w:p>
        </w:tc>
      </w:tr>
      <w:tr>
        <w:tblPrEx>
          <w:tblLayout w:type="fixed"/>
          <w:tblCellMar>
            <w:top w:w="0" w:type="dxa"/>
            <w:left w:w="108" w:type="dxa"/>
            <w:bottom w:w="0" w:type="dxa"/>
            <w:right w:w="108" w:type="dxa"/>
          </w:tblCellMar>
        </w:tblPrEx>
        <w:trPr>
          <w:trHeight w:val="201"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可查看网站访问报告，包含访问流量、访问区域统计、访问源IP统计、访问页面排行、访问终端、死链、静态资源等统计报告</w:t>
            </w:r>
          </w:p>
        </w:tc>
      </w:tr>
      <w:tr>
        <w:tblPrEx>
          <w:tblLayout w:type="fixed"/>
          <w:tblCellMar>
            <w:top w:w="0" w:type="dxa"/>
            <w:left w:w="108" w:type="dxa"/>
            <w:bottom w:w="0" w:type="dxa"/>
            <w:right w:w="108" w:type="dxa"/>
          </w:tblCellMar>
        </w:tblPrEx>
        <w:trPr>
          <w:trHeight w:val="638"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可查看服务质量监测报告，包含全国各省监测节点可用性分析、线路故障、CDN命中分析、首页加载时长分析、网站更新频率分析等</w:t>
            </w:r>
          </w:p>
        </w:tc>
      </w:tr>
      <w:tr>
        <w:tblPrEx>
          <w:tblLayout w:type="fixed"/>
          <w:tblCellMar>
            <w:top w:w="0" w:type="dxa"/>
            <w:left w:w="108" w:type="dxa"/>
            <w:bottom w:w="0" w:type="dxa"/>
            <w:right w:w="108" w:type="dxa"/>
          </w:tblCellMar>
        </w:tblPrEx>
        <w:trPr>
          <w:trHeight w:val="310"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lang w:eastAsia="zh-CN"/>
              </w:rPr>
            </w:pPr>
            <w:r>
              <w:rPr>
                <w:rFonts w:hint="eastAsia" w:ascii="宋体" w:hAnsi="宋体" w:cs="宋体"/>
                <w:color w:val="000000"/>
              </w:rPr>
              <w:t>支持日报、月报 ，并支持html、pdf格式导出</w:t>
            </w:r>
            <w:r>
              <w:rPr>
                <w:rFonts w:hint="eastAsia" w:ascii="宋体" w:hAnsi="宋体" w:cs="宋体"/>
                <w:color w:val="000000"/>
                <w:lang w:eastAsia="zh-CN"/>
              </w:rPr>
              <w:t>。</w:t>
            </w:r>
          </w:p>
        </w:tc>
      </w:tr>
      <w:tr>
        <w:tblPrEx>
          <w:tblLayout w:type="fixed"/>
          <w:tblCellMar>
            <w:top w:w="0" w:type="dxa"/>
            <w:left w:w="108" w:type="dxa"/>
            <w:bottom w:w="0" w:type="dxa"/>
            <w:right w:w="108" w:type="dxa"/>
          </w:tblCellMar>
        </w:tblPrEx>
        <w:trPr>
          <w:trHeight w:val="91" w:hRule="atLeast"/>
        </w:trPr>
        <w:tc>
          <w:tcPr>
            <w:tcW w:w="1616" w:type="dxa"/>
            <w:vMerge w:val="continue"/>
            <w:tcBorders>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支持单个网站生成报表，也支持网站群生成一个汇总报表</w:t>
            </w:r>
          </w:p>
        </w:tc>
      </w:tr>
      <w:tr>
        <w:tblPrEx>
          <w:tblLayout w:type="fixed"/>
          <w:tblCellMar>
            <w:top w:w="0" w:type="dxa"/>
            <w:left w:w="108" w:type="dxa"/>
            <w:bottom w:w="0" w:type="dxa"/>
            <w:right w:w="108" w:type="dxa"/>
          </w:tblCellMar>
        </w:tblPrEx>
        <w:trPr>
          <w:trHeight w:val="213" w:hRule="atLeast"/>
        </w:trPr>
        <w:tc>
          <w:tcPr>
            <w:tcW w:w="1616" w:type="dxa"/>
            <w:vMerge w:val="restart"/>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可视化展现</w:t>
            </w:r>
          </w:p>
        </w:tc>
        <w:tc>
          <w:tcPr>
            <w:tcW w:w="7378" w:type="dxa"/>
            <w:tcBorders>
              <w:top w:val="single" w:color="auto" w:sz="4" w:space="0"/>
              <w:left w:val="nil"/>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可视化页面需要可以投放到大屏幕，分辨率不低于1400*900；</w:t>
            </w:r>
          </w:p>
        </w:tc>
      </w:tr>
      <w:tr>
        <w:tblPrEx>
          <w:tblLayout w:type="fixed"/>
          <w:tblCellMar>
            <w:top w:w="0" w:type="dxa"/>
            <w:left w:w="108" w:type="dxa"/>
            <w:bottom w:w="0" w:type="dxa"/>
            <w:right w:w="108" w:type="dxa"/>
          </w:tblCellMar>
        </w:tblPrEx>
        <w:trPr>
          <w:trHeight w:val="466"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整体网站群攻击态势可视化分析，包括访问与攻击流量趋势、CC攻击趋势、受攻击网站趋势、攻击IP排行、网站访问排行等、攻击区域热点展示与挖掘</w:t>
            </w:r>
          </w:p>
        </w:tc>
      </w:tr>
      <w:tr>
        <w:tblPrEx>
          <w:tblLayout w:type="fixed"/>
          <w:tblCellMar>
            <w:top w:w="0" w:type="dxa"/>
            <w:left w:w="108" w:type="dxa"/>
            <w:bottom w:w="0" w:type="dxa"/>
            <w:right w:w="108" w:type="dxa"/>
          </w:tblCellMar>
        </w:tblPrEx>
        <w:trPr>
          <w:trHeight w:val="1250"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单个网站可视化分析，包括访问流量、访问区域热点展示、访问与攻击源实时分析、访问源IP排行、攻击趋势、攻击区域分布、攻击类型、攻击时段、攻击源IP排行等数据展示与挖掘</w:t>
            </w:r>
          </w:p>
        </w:tc>
      </w:tr>
      <w:tr>
        <w:tblPrEx>
          <w:tblLayout w:type="fixed"/>
          <w:tblCellMar>
            <w:top w:w="0" w:type="dxa"/>
            <w:left w:w="108" w:type="dxa"/>
            <w:bottom w:w="0" w:type="dxa"/>
            <w:right w:w="108" w:type="dxa"/>
          </w:tblCellMar>
        </w:tblPrEx>
        <w:trPr>
          <w:trHeight w:val="663"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手机APP管理</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*通过手机APP查看网站整体防护态势，包含网站漏洞监测、可用性监测、攻击防御状态、防护报表、页面防篡改等状态信息，提供现场演示</w:t>
            </w:r>
          </w:p>
        </w:tc>
      </w:tr>
      <w:tr>
        <w:tblPrEx>
          <w:tblLayout w:type="fixed"/>
          <w:tblCellMar>
            <w:top w:w="0" w:type="dxa"/>
            <w:left w:w="108" w:type="dxa"/>
            <w:bottom w:w="0" w:type="dxa"/>
            <w:right w:w="108" w:type="dxa"/>
          </w:tblCellMar>
        </w:tblPrEx>
        <w:trPr>
          <w:trHeight w:val="259"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lang w:eastAsia="zh-CN"/>
              </w:rPr>
            </w:pPr>
            <w:r>
              <w:rPr>
                <w:rFonts w:hint="eastAsia" w:ascii="宋体" w:hAnsi="宋体" w:cs="宋体"/>
                <w:color w:val="000000"/>
              </w:rPr>
              <w:t>*通过手机APP完成防护配置，包括一键关停、防护模式、永久在线等功能</w:t>
            </w:r>
            <w:r>
              <w:rPr>
                <w:rFonts w:hint="eastAsia" w:ascii="宋体" w:hAnsi="宋体" w:cs="宋体"/>
                <w:color w:val="000000"/>
                <w:lang w:eastAsia="zh-CN"/>
              </w:rPr>
              <w:t>。</w:t>
            </w:r>
          </w:p>
        </w:tc>
      </w:tr>
      <w:tr>
        <w:tblPrEx>
          <w:tblLayout w:type="fixed"/>
          <w:tblCellMar>
            <w:top w:w="0" w:type="dxa"/>
            <w:left w:w="108" w:type="dxa"/>
            <w:bottom w:w="0" w:type="dxa"/>
            <w:right w:w="108" w:type="dxa"/>
          </w:tblCellMar>
        </w:tblPrEx>
        <w:trPr>
          <w:trHeight w:val="318" w:hRule="atLeast"/>
        </w:trPr>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服务告警方式</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根据不同告警级别发送邮件、短信、电话等多种告警方式</w:t>
            </w:r>
          </w:p>
        </w:tc>
      </w:tr>
      <w:tr>
        <w:tblPrEx>
          <w:tblLayout w:type="fixed"/>
          <w:tblCellMar>
            <w:top w:w="0" w:type="dxa"/>
            <w:left w:w="108" w:type="dxa"/>
            <w:bottom w:w="0" w:type="dxa"/>
            <w:right w:w="108" w:type="dxa"/>
          </w:tblCellMar>
        </w:tblPrEx>
        <w:trPr>
          <w:trHeight w:val="907" w:hRule="atLeast"/>
        </w:trPr>
        <w:tc>
          <w:tcPr>
            <w:tcW w:w="1616" w:type="dxa"/>
            <w:vMerge w:val="restart"/>
            <w:tcBorders>
              <w:top w:val="single" w:color="auto" w:sz="4" w:space="0"/>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服务能力</w:t>
            </w: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本次项目的服务人员需要有面向CN/CERT、公安部提供安全通报服务的经验，并在近三年内获得公安行业通报工作的相关奖励；（提供至少2份获奖证明）。</w:t>
            </w:r>
          </w:p>
        </w:tc>
      </w:tr>
      <w:tr>
        <w:tblPrEx>
          <w:tblLayout w:type="fixed"/>
          <w:tblCellMar>
            <w:top w:w="0" w:type="dxa"/>
            <w:left w:w="108" w:type="dxa"/>
            <w:bottom w:w="0" w:type="dxa"/>
            <w:right w:w="108" w:type="dxa"/>
          </w:tblCellMar>
        </w:tblPrEx>
        <w:trPr>
          <w:trHeight w:val="207"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*具有7*24小时反共黑客值守及应急响应能力，提供反共事件发现截图及分析报告证明</w:t>
            </w:r>
          </w:p>
        </w:tc>
      </w:tr>
      <w:tr>
        <w:tblPrEx>
          <w:tblLayout w:type="fixed"/>
          <w:tblCellMar>
            <w:top w:w="0" w:type="dxa"/>
            <w:left w:w="108" w:type="dxa"/>
            <w:bottom w:w="0" w:type="dxa"/>
            <w:right w:w="108" w:type="dxa"/>
          </w:tblCellMar>
        </w:tblPrEx>
        <w:trPr>
          <w:trHeight w:val="1239"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本次安全厂商需要向公安部、20个以上的cert分中心以及各地的公安部门提供安全通告经验，至少有通告3000多起事件。</w:t>
            </w:r>
          </w:p>
        </w:tc>
      </w:tr>
      <w:tr>
        <w:tblPrEx>
          <w:tblLayout w:type="fixed"/>
          <w:tblCellMar>
            <w:top w:w="0" w:type="dxa"/>
            <w:left w:w="108" w:type="dxa"/>
            <w:bottom w:w="0" w:type="dxa"/>
            <w:right w:w="108" w:type="dxa"/>
          </w:tblCellMar>
        </w:tblPrEx>
        <w:trPr>
          <w:trHeight w:val="2163" w:hRule="atLeast"/>
        </w:trPr>
        <w:tc>
          <w:tcPr>
            <w:tcW w:w="1616" w:type="dxa"/>
            <w:vMerge w:val="continue"/>
            <w:tcBorders>
              <w:left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具有云端7*24远程安全专家服务能力，提供7*24小时安全值守和应急响应服务。提供策略优化、配置调整、规则更新、问题处理、技术咨询安全事件通告等常规技术支持服务，实时监测和感知DDOS、持续性攻击、0day攻击等事件，并及时响应和对抗，同时在重大节会期间提供更高级别的安全响应服务，需提供相关的证明材料（含办工场地，人员情况，服务过程性材料截图等）。</w:t>
            </w:r>
          </w:p>
        </w:tc>
      </w:tr>
      <w:tr>
        <w:tblPrEx>
          <w:tblLayout w:type="fixed"/>
          <w:tblCellMar>
            <w:top w:w="0" w:type="dxa"/>
            <w:left w:w="108" w:type="dxa"/>
            <w:bottom w:w="0" w:type="dxa"/>
            <w:right w:w="108" w:type="dxa"/>
          </w:tblCellMar>
        </w:tblPrEx>
        <w:trPr>
          <w:trHeight w:val="237" w:hRule="atLeast"/>
        </w:trPr>
        <w:tc>
          <w:tcPr>
            <w:tcW w:w="1616" w:type="dxa"/>
            <w:vMerge w:val="continue"/>
            <w:tcBorders>
              <w:left w:val="single" w:color="auto" w:sz="4" w:space="0"/>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p>
        </w:tc>
        <w:tc>
          <w:tcPr>
            <w:tcW w:w="7378" w:type="dxa"/>
            <w:tcBorders>
              <w:top w:val="single" w:color="auto" w:sz="4" w:space="0"/>
              <w:left w:val="nil"/>
              <w:bottom w:val="single" w:color="auto" w:sz="4" w:space="0"/>
              <w:right w:val="single" w:color="auto" w:sz="4" w:space="0"/>
            </w:tcBorders>
            <w:shd w:val="clear" w:color="auto" w:fill="auto"/>
            <w:vAlign w:val="center"/>
          </w:tcPr>
          <w:p>
            <w:pPr>
              <w:pStyle w:val="5"/>
              <w:spacing w:before="100" w:beforeAutospacing="1" w:after="100" w:afterAutospacing="1" w:line="240" w:lineRule="auto"/>
              <w:outlineLvl w:val="1"/>
              <w:rPr>
                <w:rFonts w:hint="eastAsia" w:ascii="宋体" w:hAnsi="宋体" w:cs="宋体"/>
                <w:color w:val="000000"/>
              </w:rPr>
            </w:pPr>
            <w:r>
              <w:rPr>
                <w:rFonts w:hint="eastAsia" w:ascii="宋体" w:hAnsi="宋体" w:cs="宋体"/>
                <w:color w:val="000000"/>
              </w:rPr>
              <w:t>*具有G20峰会、世界互联网大会、上合组织峰会、一带一路等国际峰会官网云防护安保案例，提供官方感谢信或证明文件</w:t>
            </w:r>
          </w:p>
        </w:tc>
      </w:tr>
    </w:tbl>
    <w:p>
      <w:pPr>
        <w:spacing w:line="360" w:lineRule="auto"/>
        <w:ind w:firstLine="420" w:firstLineChars="200"/>
        <w:rPr>
          <w:rFonts w:hint="eastAsia" w:ascii="宋体" w:hAnsi="宋体" w:cs="宋体"/>
          <w:kern w:val="0"/>
          <w:szCs w:val="21"/>
          <w:lang w:eastAsia="zh-CN"/>
        </w:rPr>
      </w:pPr>
    </w:p>
    <w:p>
      <w:pPr>
        <w:numPr>
          <w:ilvl w:val="0"/>
          <w:numId w:val="1"/>
        </w:numP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资质及服务团队要求</w:t>
      </w:r>
    </w:p>
    <w:p>
      <w:pPr>
        <w:widowControl/>
        <w:spacing w:line="360" w:lineRule="auto"/>
        <w:ind w:firstLine="422" w:firstLineChars="200"/>
        <w:jc w:val="left"/>
        <w:rPr>
          <w:rFonts w:ascii="宋体" w:hAnsi="宋体"/>
          <w:b/>
          <w:color w:val="000000"/>
          <w:kern w:val="0"/>
          <w:sz w:val="28"/>
          <w:szCs w:val="28"/>
        </w:rPr>
      </w:pPr>
      <w:r>
        <w:rPr>
          <w:rFonts w:hint="eastAsia" w:ascii="宋体" w:hAnsi="宋体" w:cs="宋体"/>
          <w:b/>
          <w:color w:val="000000"/>
        </w:rPr>
        <w:t>本次</w:t>
      </w:r>
      <w:r>
        <w:rPr>
          <w:rFonts w:ascii="宋体" w:hAnsi="宋体" w:cs="宋体"/>
          <w:b/>
          <w:color w:val="000000"/>
        </w:rPr>
        <w:t>项目包含安全运维服务类项目，特别注重投标人</w:t>
      </w:r>
      <w:r>
        <w:rPr>
          <w:rFonts w:hint="eastAsia" w:ascii="宋体" w:hAnsi="宋体" w:cs="宋体"/>
          <w:b/>
          <w:color w:val="000000"/>
        </w:rPr>
        <w:t>自身</w:t>
      </w:r>
      <w:r>
        <w:rPr>
          <w:rFonts w:ascii="宋体" w:hAnsi="宋体" w:cs="宋体"/>
          <w:b/>
          <w:color w:val="000000"/>
        </w:rPr>
        <w:t>安全服务能力</w:t>
      </w:r>
      <w:r>
        <w:rPr>
          <w:rFonts w:hint="eastAsia" w:ascii="宋体" w:hAnsi="宋体" w:cs="宋体"/>
          <w:b/>
          <w:color w:val="000000"/>
        </w:rPr>
        <w:t>以及</w:t>
      </w:r>
      <w:r>
        <w:rPr>
          <w:rFonts w:ascii="宋体" w:hAnsi="宋体" w:cs="宋体"/>
          <w:b/>
          <w:color w:val="000000"/>
        </w:rPr>
        <w:t>所能涉及的服务范围，</w:t>
      </w:r>
      <w:r>
        <w:rPr>
          <w:rFonts w:hint="eastAsia" w:ascii="宋体" w:hAnsi="宋体" w:cs="宋体"/>
          <w:b/>
          <w:color w:val="000000"/>
        </w:rPr>
        <w:t>因此</w:t>
      </w:r>
      <w:r>
        <w:rPr>
          <w:rFonts w:ascii="宋体" w:hAnsi="宋体" w:cs="宋体"/>
          <w:b/>
          <w:color w:val="000000"/>
        </w:rPr>
        <w:t>对投标人技术</w:t>
      </w:r>
      <w:r>
        <w:rPr>
          <w:rFonts w:hint="eastAsia" w:ascii="宋体" w:hAnsi="宋体" w:cs="宋体"/>
          <w:b/>
          <w:color w:val="000000"/>
        </w:rPr>
        <w:t>水平</w:t>
      </w:r>
      <w:r>
        <w:rPr>
          <w:rFonts w:ascii="宋体" w:hAnsi="宋体" w:cs="宋体"/>
          <w:b/>
          <w:color w:val="000000"/>
        </w:rPr>
        <w:t>要求较高，需要</w:t>
      </w:r>
      <w:r>
        <w:rPr>
          <w:rFonts w:hint="eastAsia" w:ascii="宋体" w:hAnsi="宋体" w:cs="宋体"/>
          <w:b/>
          <w:color w:val="000000"/>
        </w:rPr>
        <w:t>投标</w:t>
      </w:r>
      <w:r>
        <w:rPr>
          <w:rFonts w:ascii="宋体" w:hAnsi="宋体" w:cs="宋体"/>
          <w:b/>
          <w:color w:val="000000"/>
        </w:rPr>
        <w:t>人满足以下</w:t>
      </w:r>
      <w:r>
        <w:rPr>
          <w:rFonts w:hint="eastAsia" w:ascii="宋体" w:hAnsi="宋体" w:cs="宋体"/>
          <w:b/>
          <w:color w:val="000000"/>
        </w:rPr>
        <w:t>企业</w:t>
      </w:r>
      <w:r>
        <w:rPr>
          <w:rFonts w:ascii="宋体" w:hAnsi="宋体" w:cs="宋体"/>
          <w:b/>
          <w:color w:val="000000"/>
        </w:rPr>
        <w:t>资质及人员资质</w:t>
      </w:r>
      <w:r>
        <w:rPr>
          <w:rFonts w:hint="eastAsia" w:ascii="宋体" w:hAnsi="宋体" w:cs="宋体"/>
          <w:b/>
          <w:color w:val="000000"/>
        </w:rPr>
        <w:t>要求</w:t>
      </w:r>
      <w:r>
        <w:rPr>
          <w:rFonts w:ascii="宋体" w:hAnsi="宋体" w:cs="宋体"/>
          <w:b/>
          <w:color w:val="000000"/>
        </w:rPr>
        <w:t>。</w:t>
      </w:r>
    </w:p>
    <w:p>
      <w:pPr>
        <w:spacing w:line="360" w:lineRule="auto"/>
        <w:rPr>
          <w:rFonts w:ascii="宋体" w:hAnsi="宋体"/>
          <w:color w:val="000000"/>
          <w:kern w:val="0"/>
          <w:szCs w:val="21"/>
        </w:rPr>
      </w:pPr>
      <w:r>
        <w:rPr>
          <w:rFonts w:ascii="宋体" w:hAnsi="宋体"/>
          <w:color w:val="000000"/>
          <w:kern w:val="0"/>
          <w:szCs w:val="21"/>
        </w:rPr>
        <w:t>（一）</w:t>
      </w:r>
      <w:r>
        <w:rPr>
          <w:rFonts w:hint="eastAsia" w:ascii="宋体" w:hAnsi="宋体"/>
          <w:color w:val="000000"/>
          <w:kern w:val="0"/>
          <w:szCs w:val="21"/>
        </w:rPr>
        <w:t>投标公司应是在信息</w:t>
      </w:r>
      <w:r>
        <w:rPr>
          <w:rFonts w:ascii="宋体" w:hAnsi="宋体"/>
          <w:color w:val="000000"/>
          <w:kern w:val="0"/>
          <w:szCs w:val="21"/>
        </w:rPr>
        <w:t>安全</w:t>
      </w:r>
      <w:r>
        <w:rPr>
          <w:rFonts w:hint="eastAsia" w:ascii="宋体" w:hAnsi="宋体"/>
          <w:color w:val="000000"/>
          <w:kern w:val="0"/>
          <w:szCs w:val="21"/>
        </w:rPr>
        <w:t>领域须具有丰富的经验和先进的技术，能满足以下资质要求</w:t>
      </w:r>
      <w:r>
        <w:rPr>
          <w:rFonts w:hint="eastAsia" w:ascii="宋体" w:hAnsi="宋体"/>
          <w:kern w:val="0"/>
          <w:szCs w:val="21"/>
        </w:rPr>
        <w:t>之一：</w:t>
      </w:r>
    </w:p>
    <w:p>
      <w:pPr>
        <w:spacing w:line="360" w:lineRule="auto"/>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w:t>
      </w:r>
      <w:r>
        <w:rPr>
          <w:rFonts w:hint="eastAsia"/>
          <w:color w:val="auto"/>
          <w:szCs w:val="24"/>
        </w:rPr>
        <w:t>投标人应具有中国信息安全认证中心颁发的信息系统安全运维二级及以上服务资质证书；</w:t>
      </w:r>
    </w:p>
    <w:p>
      <w:pPr>
        <w:spacing w:line="360" w:lineRule="auto"/>
        <w:ind w:firstLine="420" w:firstLineChars="200"/>
        <w:rPr>
          <w:rFonts w:ascii="宋体" w:hAnsi="宋体"/>
          <w:color w:val="000000"/>
          <w:kern w:val="0"/>
          <w:szCs w:val="21"/>
        </w:rPr>
      </w:pPr>
      <w:r>
        <w:rPr>
          <w:rFonts w:ascii="宋体" w:hAnsi="宋体"/>
          <w:color w:val="000000"/>
          <w:kern w:val="0"/>
          <w:szCs w:val="21"/>
        </w:rPr>
        <w:t>2</w:t>
      </w:r>
      <w:r>
        <w:rPr>
          <w:rFonts w:hint="eastAsia" w:ascii="宋体" w:hAnsi="宋体"/>
          <w:color w:val="000000"/>
          <w:kern w:val="0"/>
          <w:szCs w:val="21"/>
        </w:rPr>
        <w:t>、</w:t>
      </w:r>
      <w:r>
        <w:rPr>
          <w:rFonts w:hint="eastAsia"/>
          <w:szCs w:val="24"/>
        </w:rPr>
        <w:t>投标人应具有有效的计算机信息系统集成叁级及以上资质</w:t>
      </w:r>
      <w:r>
        <w:rPr>
          <w:rFonts w:ascii="宋体" w:hAnsi="宋体"/>
          <w:color w:val="000000"/>
          <w:kern w:val="0"/>
          <w:szCs w:val="21"/>
        </w:rPr>
        <w:t>。</w:t>
      </w:r>
    </w:p>
    <w:p>
      <w:pPr>
        <w:spacing w:line="360" w:lineRule="auto"/>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lang w:eastAsia="zh-CN"/>
        </w:rPr>
        <w:t>二</w:t>
      </w:r>
      <w:r>
        <w:rPr>
          <w:rFonts w:ascii="宋体" w:hAnsi="宋体"/>
          <w:color w:val="000000"/>
          <w:kern w:val="0"/>
          <w:szCs w:val="21"/>
        </w:rPr>
        <w:t>）</w:t>
      </w:r>
      <w:r>
        <w:rPr>
          <w:rFonts w:hint="eastAsia" w:ascii="宋体" w:hAnsi="宋体"/>
          <w:color w:val="000000"/>
          <w:kern w:val="0"/>
          <w:szCs w:val="21"/>
        </w:rPr>
        <w:t>投标</w:t>
      </w:r>
      <w:r>
        <w:rPr>
          <w:rFonts w:ascii="宋体" w:hAnsi="宋体"/>
          <w:color w:val="000000"/>
          <w:kern w:val="0"/>
          <w:szCs w:val="21"/>
        </w:rPr>
        <w:t>人提供</w:t>
      </w:r>
      <w:r>
        <w:rPr>
          <w:rFonts w:hint="eastAsia" w:ascii="宋体" w:hAnsi="宋体"/>
          <w:color w:val="000000"/>
          <w:kern w:val="0"/>
          <w:szCs w:val="21"/>
        </w:rPr>
        <w:t>业绩证明</w:t>
      </w:r>
      <w:r>
        <w:rPr>
          <w:rFonts w:ascii="宋体" w:hAnsi="宋体"/>
          <w:color w:val="000000"/>
          <w:kern w:val="0"/>
          <w:szCs w:val="21"/>
        </w:rPr>
        <w:t>。</w:t>
      </w:r>
    </w:p>
    <w:p>
      <w:pPr>
        <w:spacing w:line="360" w:lineRule="auto"/>
        <w:ind w:firstLine="420"/>
        <w:rPr>
          <w:rFonts w:ascii="宋体" w:hAnsi="宋体"/>
          <w:b/>
          <w:color w:val="000000"/>
          <w:kern w:val="0"/>
          <w:szCs w:val="21"/>
        </w:rPr>
      </w:pPr>
      <w:r>
        <w:rPr>
          <w:rFonts w:hint="eastAsia" w:ascii="宋体" w:hAnsi="宋体"/>
          <w:b/>
          <w:color w:val="000000"/>
          <w:kern w:val="0"/>
          <w:szCs w:val="21"/>
        </w:rPr>
        <w:t>具体要求：</w:t>
      </w:r>
    </w:p>
    <w:p>
      <w:pPr>
        <w:spacing w:line="360" w:lineRule="auto"/>
        <w:ind w:firstLine="420"/>
        <w:rPr>
          <w:rFonts w:ascii="宋体" w:hAnsi="宋体"/>
          <w:color w:val="000000"/>
          <w:kern w:val="0"/>
          <w:szCs w:val="21"/>
        </w:rPr>
      </w:pPr>
      <w:r>
        <w:rPr>
          <w:rFonts w:hint="eastAsia" w:ascii="宋体" w:hAnsi="宋体"/>
          <w:color w:val="000000"/>
          <w:kern w:val="0"/>
          <w:szCs w:val="21"/>
        </w:rPr>
        <w:t>投标人</w:t>
      </w:r>
      <w:r>
        <w:rPr>
          <w:rFonts w:ascii="宋体" w:hAnsi="宋体"/>
          <w:color w:val="000000"/>
          <w:kern w:val="0"/>
          <w:szCs w:val="21"/>
        </w:rPr>
        <w:t>自</w:t>
      </w:r>
      <w:r>
        <w:rPr>
          <w:rFonts w:hint="eastAsia" w:ascii="宋体" w:hAnsi="宋体"/>
          <w:color w:val="000000"/>
          <w:kern w:val="0"/>
          <w:szCs w:val="21"/>
        </w:rPr>
        <w:t>201</w:t>
      </w:r>
      <w:r>
        <w:rPr>
          <w:rFonts w:ascii="宋体" w:hAnsi="宋体"/>
          <w:color w:val="000000"/>
          <w:kern w:val="0"/>
          <w:szCs w:val="21"/>
        </w:rPr>
        <w:t>5</w:t>
      </w:r>
      <w:r>
        <w:rPr>
          <w:rFonts w:hint="eastAsia" w:ascii="宋体" w:hAnsi="宋体"/>
          <w:color w:val="000000"/>
          <w:kern w:val="0"/>
          <w:szCs w:val="21"/>
        </w:rPr>
        <w:t>年1月1日以来承担过宁波市</w:t>
      </w:r>
      <w:r>
        <w:rPr>
          <w:rFonts w:ascii="宋体" w:hAnsi="宋体"/>
          <w:color w:val="000000"/>
          <w:kern w:val="0"/>
          <w:szCs w:val="21"/>
        </w:rPr>
        <w:t>高校行业</w:t>
      </w:r>
      <w:r>
        <w:rPr>
          <w:rFonts w:hint="eastAsia" w:ascii="宋体" w:hAnsi="宋体"/>
          <w:color w:val="000000"/>
          <w:kern w:val="0"/>
          <w:szCs w:val="21"/>
        </w:rPr>
        <w:t>大规模信息安全</w:t>
      </w:r>
      <w:r>
        <w:rPr>
          <w:rFonts w:ascii="宋体" w:hAnsi="宋体"/>
          <w:color w:val="000000"/>
          <w:kern w:val="0"/>
          <w:szCs w:val="21"/>
        </w:rPr>
        <w:t>运维</w:t>
      </w:r>
      <w:r>
        <w:rPr>
          <w:rFonts w:hint="eastAsia" w:ascii="宋体" w:hAnsi="宋体"/>
          <w:color w:val="000000"/>
          <w:kern w:val="0"/>
          <w:szCs w:val="21"/>
        </w:rPr>
        <w:t>服务供应及实施工作。需提供</w:t>
      </w:r>
      <w:r>
        <w:rPr>
          <w:rFonts w:ascii="宋体" w:hAnsi="宋体"/>
          <w:color w:val="000000"/>
          <w:kern w:val="0"/>
          <w:szCs w:val="21"/>
        </w:rPr>
        <w:t>至少5</w:t>
      </w:r>
      <w:r>
        <w:rPr>
          <w:rFonts w:hint="eastAsia" w:ascii="宋体" w:hAnsi="宋体"/>
          <w:color w:val="000000"/>
          <w:kern w:val="0"/>
          <w:szCs w:val="21"/>
        </w:rPr>
        <w:t>个项目案例，每个案例的合同金额不少于</w:t>
      </w:r>
      <w:r>
        <w:rPr>
          <w:rFonts w:hint="eastAsia" w:ascii="宋体" w:hAnsi="宋体"/>
          <w:color w:val="000000"/>
          <w:kern w:val="0"/>
          <w:szCs w:val="21"/>
          <w:lang w:val="en-US" w:eastAsia="zh-CN"/>
        </w:rPr>
        <w:t>15</w:t>
      </w:r>
      <w:r>
        <w:rPr>
          <w:rFonts w:hint="eastAsia" w:ascii="宋体" w:hAnsi="宋体"/>
          <w:color w:val="000000"/>
          <w:kern w:val="0"/>
          <w:szCs w:val="21"/>
        </w:rPr>
        <w:t>万元。</w:t>
      </w:r>
    </w:p>
    <w:p>
      <w:pPr>
        <w:spacing w:line="360" w:lineRule="auto"/>
        <w:ind w:firstLine="420"/>
        <w:rPr>
          <w:rFonts w:ascii="宋体" w:hAnsi="宋体"/>
          <w:color w:val="000000"/>
          <w:kern w:val="0"/>
          <w:szCs w:val="21"/>
        </w:rPr>
      </w:pPr>
      <w:r>
        <w:rPr>
          <w:rFonts w:hint="eastAsia" w:ascii="宋体" w:hAnsi="宋体"/>
          <w:color w:val="000000"/>
          <w:kern w:val="0"/>
          <w:szCs w:val="21"/>
        </w:rPr>
        <w:t>上述案例材料中须包括项目名称、最终用户的有效联系方式、项目金额等，并提供与用户签订的合同首页、标的及其金额所在页、签字盖章页及产品明细清单的复印件等确切的相关资料。</w:t>
      </w:r>
    </w:p>
    <w:p>
      <w:pPr>
        <w:spacing w:line="360" w:lineRule="auto"/>
        <w:rPr>
          <w:rFonts w:ascii="宋体" w:hAnsi="宋体"/>
          <w:color w:val="000000"/>
          <w:kern w:val="0"/>
          <w:szCs w:val="21"/>
        </w:rPr>
      </w:pPr>
      <w:r>
        <w:rPr>
          <w:rFonts w:ascii="宋体" w:hAnsi="宋体"/>
          <w:color w:val="000000"/>
          <w:kern w:val="0"/>
          <w:szCs w:val="21"/>
        </w:rPr>
        <w:t>（</w:t>
      </w:r>
      <w:r>
        <w:rPr>
          <w:rFonts w:hint="eastAsia" w:ascii="宋体" w:hAnsi="宋体"/>
          <w:color w:val="000000"/>
          <w:kern w:val="0"/>
          <w:szCs w:val="21"/>
        </w:rPr>
        <w:t>四</w:t>
      </w:r>
      <w:r>
        <w:rPr>
          <w:rFonts w:ascii="宋体" w:hAnsi="宋体"/>
          <w:color w:val="000000"/>
          <w:kern w:val="0"/>
          <w:szCs w:val="21"/>
        </w:rPr>
        <w:t>）</w:t>
      </w:r>
      <w:r>
        <w:rPr>
          <w:rFonts w:hint="eastAsia" w:ascii="宋体" w:hAnsi="宋体"/>
          <w:color w:val="000000"/>
          <w:kern w:val="0"/>
          <w:szCs w:val="21"/>
        </w:rPr>
        <w:t>服务</w:t>
      </w:r>
      <w:r>
        <w:rPr>
          <w:rFonts w:ascii="宋体" w:hAnsi="宋体"/>
          <w:color w:val="000000"/>
          <w:kern w:val="0"/>
          <w:szCs w:val="21"/>
        </w:rPr>
        <w:t>团队要求</w:t>
      </w:r>
    </w:p>
    <w:p>
      <w:pPr>
        <w:spacing w:line="360" w:lineRule="auto"/>
        <w:ind w:firstLine="420"/>
        <w:rPr>
          <w:rFonts w:ascii="宋体" w:hAnsi="宋体"/>
          <w:b/>
          <w:color w:val="000000"/>
          <w:kern w:val="0"/>
          <w:szCs w:val="21"/>
        </w:rPr>
      </w:pPr>
      <w:r>
        <w:rPr>
          <w:rFonts w:ascii="宋体" w:hAnsi="宋体"/>
          <w:b/>
          <w:color w:val="000000"/>
          <w:kern w:val="0"/>
          <w:szCs w:val="21"/>
        </w:rPr>
        <w:t>具体要求：</w:t>
      </w:r>
      <w:r>
        <w:rPr>
          <w:rFonts w:hint="eastAsia" w:ascii="宋体" w:hAnsi="宋体"/>
          <w:b/>
          <w:color w:val="000000"/>
          <w:kern w:val="0"/>
          <w:szCs w:val="21"/>
        </w:rPr>
        <w:t xml:space="preserve"> </w:t>
      </w:r>
    </w:p>
    <w:p>
      <w:pPr>
        <w:widowControl/>
        <w:spacing w:line="360" w:lineRule="auto"/>
        <w:ind w:firstLine="420"/>
        <w:jc w:val="left"/>
        <w:rPr>
          <w:rFonts w:ascii="宋体" w:hAnsi="宋体"/>
          <w:color w:val="000000"/>
          <w:kern w:val="0"/>
          <w:szCs w:val="21"/>
        </w:rPr>
      </w:pPr>
      <w:r>
        <w:rPr>
          <w:rFonts w:hint="eastAsia" w:ascii="宋体" w:hAnsi="宋体"/>
          <w:color w:val="000000"/>
          <w:kern w:val="0"/>
          <w:szCs w:val="21"/>
        </w:rPr>
        <w:t>投标商必须提供维护实施组人员名单（6人以上）；其中项目经理必须具有</w:t>
      </w:r>
      <w:r>
        <w:rPr>
          <w:rFonts w:ascii="宋体" w:hAnsi="宋体"/>
          <w:color w:val="000000"/>
          <w:kern w:val="0"/>
          <w:szCs w:val="21"/>
        </w:rPr>
        <w:t>CISP</w:t>
      </w:r>
      <w:r>
        <w:rPr>
          <w:rFonts w:hint="eastAsia" w:ascii="宋体" w:hAnsi="宋体"/>
          <w:color w:val="000000"/>
          <w:kern w:val="0"/>
          <w:szCs w:val="21"/>
        </w:rPr>
        <w:t>认证资质；运维实施人员至少一名H3C、华为或CISCO认证工程师；以上人员提供资质证书复印件并加盖公章，并提供近3个月社保证明。</w:t>
      </w:r>
    </w:p>
    <w:p>
      <w:pPr>
        <w:numPr>
          <w:ilvl w:val="0"/>
          <w:numId w:val="0"/>
        </w:numPr>
        <w:rPr>
          <w:rFonts w:hint="eastAsia" w:asciiTheme="minorEastAsia" w:hAnsiTheme="minorEastAsia" w:eastAsiaTheme="minorEastAsia" w:cstheme="minorEastAsia"/>
          <w:b/>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B7C3B"/>
    <w:multiLevelType w:val="singleLevel"/>
    <w:tmpl w:val="A73B7C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A110A"/>
    <w:rsid w:val="24B37BB8"/>
    <w:rsid w:val="26AE5D7A"/>
    <w:rsid w:val="32997936"/>
    <w:rsid w:val="36AC64B4"/>
    <w:rsid w:val="40034C19"/>
    <w:rsid w:val="48D82671"/>
    <w:rsid w:val="4AE33FD6"/>
    <w:rsid w:val="6FE866AC"/>
    <w:rsid w:val="7D5F4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6">
    <w:name w:val="font9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考拉1422139913</cp:lastModifiedBy>
  <dcterms:modified xsi:type="dcterms:W3CDTF">2019-07-05T04:34:41Z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