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上网认证平台升级</w:t>
      </w:r>
    </w:p>
    <w:p>
      <w:pPr>
        <w:numPr>
          <w:ilvl w:val="0"/>
          <w:numId w:val="2"/>
        </w:numPr>
        <w:jc w:val="left"/>
        <w:outlineLvl w:val="0"/>
        <w:rPr>
          <w:rFonts w:hint="eastAsia"/>
          <w:sz w:val="28"/>
          <w:szCs w:val="28"/>
        </w:rPr>
      </w:pPr>
      <w:r>
        <w:rPr>
          <w:rFonts w:hint="eastAsia"/>
          <w:sz w:val="28"/>
          <w:szCs w:val="28"/>
        </w:rPr>
        <w:t>设备需求清单</w:t>
      </w:r>
    </w:p>
    <w:tbl>
      <w:tblPr>
        <w:tblStyle w:val="4"/>
        <w:tblpPr w:leftFromText="180" w:rightFromText="180" w:vertAnchor="text" w:horzAnchor="page" w:tblpX="1779" w:tblpY="30"/>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84"/>
        <w:gridCol w:w="4038"/>
        <w:gridCol w:w="67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序号</w:t>
            </w:r>
          </w:p>
        </w:tc>
        <w:tc>
          <w:tcPr>
            <w:tcW w:w="18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b/>
                <w:bCs/>
              </w:rPr>
            </w:pPr>
            <w:r>
              <w:rPr>
                <w:rFonts w:hint="eastAsia" w:ascii="宋体" w:hAnsi="宋体"/>
                <w:b/>
                <w:bCs/>
              </w:rPr>
              <w:t>设备</w:t>
            </w:r>
            <w:r>
              <w:rPr>
                <w:rFonts w:hint="eastAsia" w:ascii="宋体" w:hAnsi="宋体"/>
                <w:b/>
                <w:bCs/>
                <w:lang w:val="en-US" w:eastAsia="zh-CN"/>
              </w:rPr>
              <w:t>/软件</w:t>
            </w:r>
            <w:r>
              <w:rPr>
                <w:rFonts w:hint="eastAsia" w:ascii="宋体" w:hAnsi="宋体"/>
                <w:b/>
                <w:bCs/>
              </w:rPr>
              <w:t>名称</w:t>
            </w:r>
          </w:p>
        </w:tc>
        <w:tc>
          <w:tcPr>
            <w:tcW w:w="403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b/>
                <w:bCs/>
              </w:rPr>
            </w:pPr>
            <w:r>
              <w:rPr>
                <w:rFonts w:hint="eastAsia" w:ascii="宋体" w:hAnsi="宋体"/>
                <w:b/>
                <w:bCs/>
              </w:rPr>
              <w:t>品牌型号及配置要求</w:t>
            </w:r>
          </w:p>
        </w:tc>
        <w:tc>
          <w:tcPr>
            <w:tcW w:w="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b/>
                <w:bCs/>
              </w:rPr>
            </w:pPr>
            <w:r>
              <w:rPr>
                <w:rFonts w:hint="eastAsia" w:ascii="宋体" w:hAnsi="宋体"/>
                <w:b/>
                <w:bCs/>
              </w:rPr>
              <w:t>数量</w:t>
            </w:r>
          </w:p>
        </w:tc>
        <w:tc>
          <w:tcPr>
            <w:tcW w:w="12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b/>
                <w:bCs/>
              </w:rPr>
            </w:pPr>
            <w:r>
              <w:rPr>
                <w:rFonts w:hint="eastAsia" w:ascii="宋体" w:hAnsi="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rPr>
            </w:pPr>
            <w:r>
              <w:rPr>
                <w:rFonts w:hint="eastAsia" w:ascii="宋体" w:hAnsi="宋体"/>
              </w:rPr>
              <w:t>1</w:t>
            </w:r>
          </w:p>
        </w:tc>
        <w:tc>
          <w:tcPr>
            <w:tcW w:w="1884" w:type="dxa"/>
            <w:tcBorders>
              <w:top w:val="single" w:color="auto" w:sz="4" w:space="0"/>
              <w:left w:val="nil"/>
              <w:bottom w:val="single" w:color="auto" w:sz="4" w:space="0"/>
              <w:right w:val="single" w:color="auto" w:sz="4" w:space="0"/>
            </w:tcBorders>
            <w:vAlign w:val="center"/>
          </w:tcPr>
          <w:p>
            <w:pPr>
              <w:jc w:val="center"/>
              <w:rPr>
                <w:rFonts w:hint="default" w:ascii="等线" w:hAnsi="等线" w:eastAsia="宋体"/>
                <w:lang w:val="en-US" w:eastAsia="zh-CN"/>
              </w:rPr>
            </w:pPr>
            <w:r>
              <w:rPr>
                <w:rFonts w:hint="eastAsia" w:ascii="等线" w:hAnsi="等线"/>
                <w:lang w:val="en-US" w:eastAsia="zh-CN"/>
              </w:rPr>
              <w:t>上网认证平台升级</w:t>
            </w:r>
          </w:p>
        </w:tc>
        <w:tc>
          <w:tcPr>
            <w:tcW w:w="403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4"/>
                <w:szCs w:val="24"/>
              </w:rPr>
            </w:pPr>
            <w:r>
              <w:rPr>
                <w:rFonts w:hint="eastAsia" w:ascii="宋体" w:hAnsi="宋体" w:eastAsia="宋体"/>
                <w:sz w:val="24"/>
                <w:szCs w:val="24"/>
              </w:rPr>
              <w:t>锐捷</w:t>
            </w:r>
            <w:r>
              <w:rPr>
                <w:rFonts w:ascii="宋体" w:hAnsi="宋体" w:eastAsia="宋体"/>
                <w:sz w:val="24"/>
                <w:szCs w:val="24"/>
              </w:rPr>
              <w:t>RG-SAM+</w:t>
            </w:r>
          </w:p>
          <w:p>
            <w:pPr>
              <w:spacing w:line="360" w:lineRule="auto"/>
              <w:jc w:val="left"/>
              <w:rPr>
                <w:rFonts w:hint="eastAsia" w:ascii="宋体" w:hAnsi="宋体"/>
              </w:rPr>
            </w:pPr>
            <w:r>
              <w:rPr>
                <w:rFonts w:hint="eastAsia" w:ascii="宋体" w:hAnsi="宋体"/>
              </w:rPr>
              <w:t>具体参数性能要求详见“具体性能参数”</w:t>
            </w:r>
          </w:p>
        </w:tc>
        <w:tc>
          <w:tcPr>
            <w:tcW w:w="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rPr>
            </w:pPr>
            <w:r>
              <w:rPr>
                <w:rFonts w:hint="eastAsia" w:ascii="宋体" w:hAnsi="宋体"/>
              </w:rPr>
              <w:t>1</w:t>
            </w:r>
          </w:p>
        </w:tc>
        <w:tc>
          <w:tcPr>
            <w:tcW w:w="12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Theme="minorEastAsia"/>
                <w:lang w:eastAsia="zh-CN"/>
              </w:rPr>
            </w:pPr>
            <w:r>
              <w:rPr>
                <w:rFonts w:hint="eastAsia" w:ascii="宋体" w:hAnsi="宋体"/>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6" w:hRule="atLeast"/>
        </w:trPr>
        <w:tc>
          <w:tcPr>
            <w:tcW w:w="848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315"/>
              <w:rPr>
                <w:rFonts w:hint="eastAsia" w:ascii="宋体" w:hAnsi="宋体"/>
              </w:rPr>
            </w:pPr>
            <w:r>
              <w:rPr>
                <w:rFonts w:hint="eastAsia" w:ascii="宋体" w:hAnsi="宋体"/>
              </w:rPr>
              <w:t>特别说明：</w:t>
            </w:r>
          </w:p>
          <w:p>
            <w:pPr>
              <w:spacing w:line="360" w:lineRule="auto"/>
              <w:rPr>
                <w:rFonts w:hint="eastAsia" w:ascii="宋体" w:hAnsi="宋体"/>
              </w:rPr>
            </w:pPr>
            <w:r>
              <w:rPr>
                <w:rFonts w:hint="eastAsia" w:ascii="宋体" w:hAnsi="宋体"/>
              </w:rPr>
              <w:t>（1）招标方案中，投标产品的质量性能指标及服务内容不得低于该品牌型号的质量性能指标和服务内容；</w:t>
            </w:r>
          </w:p>
          <w:p>
            <w:pPr>
              <w:spacing w:line="360" w:lineRule="auto"/>
              <w:rPr>
                <w:rFonts w:hint="eastAsia" w:ascii="宋体" w:hAnsi="宋体"/>
              </w:rPr>
            </w:pPr>
            <w:r>
              <w:rPr>
                <w:rFonts w:hint="eastAsia" w:ascii="宋体" w:hAnsi="宋体"/>
              </w:rPr>
              <w:t>（2）</w:t>
            </w:r>
            <w:r>
              <w:rPr>
                <w:rFonts w:hint="eastAsia" w:ascii="宋体" w:hAnsi="宋体"/>
                <w:lang w:val="en-US" w:eastAsia="zh-CN"/>
              </w:rPr>
              <w:t>软件</w:t>
            </w:r>
            <w:r>
              <w:rPr>
                <w:rFonts w:hint="eastAsia" w:ascii="宋体" w:hAnsi="宋体"/>
              </w:rPr>
              <w:t>提供原厂三年7*24小时保修服务，供货时提供三年服务证明材料；</w:t>
            </w:r>
          </w:p>
          <w:p>
            <w:pPr>
              <w:spacing w:line="360" w:lineRule="auto"/>
              <w:rPr>
                <w:rFonts w:hint="eastAsia" w:ascii="宋体" w:hAnsi="宋体"/>
              </w:rPr>
            </w:pPr>
            <w:r>
              <w:rPr>
                <w:rFonts w:hint="eastAsia" w:ascii="宋体" w:hAnsi="宋体"/>
              </w:rPr>
              <w:t>（3）设备最终用户名为：宁波城市职业技术学院（原厂400电话可查）；</w:t>
            </w:r>
          </w:p>
          <w:p>
            <w:pPr>
              <w:spacing w:line="360" w:lineRule="auto"/>
              <w:rPr>
                <w:rFonts w:hint="eastAsia" w:ascii="宋体" w:hAnsi="宋体"/>
              </w:rPr>
            </w:pPr>
            <w:r>
              <w:rPr>
                <w:rFonts w:hint="eastAsia" w:ascii="宋体" w:hAnsi="宋体"/>
              </w:rPr>
              <w:t>（</w:t>
            </w:r>
            <w:r>
              <w:rPr>
                <w:rFonts w:ascii="宋体" w:hAnsi="宋体"/>
              </w:rPr>
              <w:t>4</w:t>
            </w:r>
            <w:r>
              <w:rPr>
                <w:rFonts w:hint="eastAsia" w:ascii="宋体" w:hAnsi="宋体"/>
              </w:rPr>
              <w:t>）为保障售后服务的时效性，投标单位须在宁波市内有常设服务机构；</w:t>
            </w:r>
          </w:p>
          <w:p>
            <w:pPr>
              <w:spacing w:line="360" w:lineRule="auto"/>
              <w:jc w:val="left"/>
              <w:rPr>
                <w:rFonts w:ascii="宋体" w:hAnsi="宋体"/>
              </w:rPr>
            </w:pPr>
            <w:r>
              <w:rPr>
                <w:rFonts w:hint="eastAsia" w:ascii="宋体" w:hAnsi="宋体"/>
              </w:rPr>
              <w:t>（</w:t>
            </w:r>
            <w:r>
              <w:rPr>
                <w:rFonts w:hint="eastAsia" w:ascii="宋体" w:hAnsi="宋体"/>
                <w:lang w:eastAsia="zh-CN"/>
              </w:rPr>
              <w:t>５</w:t>
            </w:r>
            <w:r>
              <w:rPr>
                <w:rFonts w:hint="eastAsia" w:ascii="宋体" w:hAnsi="宋体"/>
              </w:rPr>
              <w:t>）中标供应商供货时须提供“规格要求”中的其他要求的证件、资料；</w:t>
            </w:r>
          </w:p>
          <w:p>
            <w:pPr>
              <w:spacing w:line="360" w:lineRule="auto"/>
              <w:jc w:val="left"/>
              <w:rPr>
                <w:rFonts w:hint="eastAsia" w:ascii="宋体" w:hAnsi="宋体"/>
              </w:rPr>
            </w:pPr>
            <w:r>
              <w:rPr>
                <w:rFonts w:hint="eastAsia" w:ascii="宋体" w:hAnsi="宋体"/>
                <w:b/>
                <w:bCs/>
              </w:rPr>
              <w:t>注：投标单位须根据上述要求在竞价文件中提供相应的证明文件，若没有按照相关要求提供的，则采购方完全有权拒绝接收货物，由此造成的后果全部由投标商自负。</w:t>
            </w:r>
          </w:p>
        </w:tc>
      </w:tr>
    </w:tbl>
    <w:p>
      <w:pPr>
        <w:rPr>
          <w:rFonts w:hint="default"/>
          <w:lang w:val="en-US" w:eastAsia="zh-CN"/>
        </w:rPr>
      </w:pPr>
    </w:p>
    <w:p>
      <w:pPr>
        <w:rPr>
          <w:rFonts w:hint="eastAsia"/>
        </w:rPr>
      </w:pPr>
    </w:p>
    <w:p>
      <w:pPr>
        <w:numPr>
          <w:ilvl w:val="0"/>
          <w:numId w:val="2"/>
        </w:numPr>
        <w:jc w:val="left"/>
        <w:outlineLvl w:val="0"/>
        <w:rPr>
          <w:rFonts w:hint="eastAsia"/>
          <w:sz w:val="28"/>
          <w:szCs w:val="28"/>
        </w:rPr>
      </w:pPr>
      <w:r>
        <w:rPr>
          <w:rFonts w:hint="eastAsia"/>
          <w:sz w:val="28"/>
          <w:szCs w:val="28"/>
        </w:rPr>
        <w:t>具体性能参数</w:t>
      </w:r>
    </w:p>
    <w:tbl>
      <w:tblPr>
        <w:tblStyle w:val="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91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shd w:val="clear" w:color="auto" w:fill="auto"/>
            <w:vAlign w:val="center"/>
          </w:tcPr>
          <w:p>
            <w:pPr>
              <w:jc w:val="center"/>
              <w:rPr>
                <w:rFonts w:ascii="等线" w:hAnsi="等线" w:eastAsia="等线"/>
              </w:rPr>
            </w:pPr>
            <w:r>
              <w:rPr>
                <w:rFonts w:hint="eastAsia" w:ascii="等线" w:hAnsi="等线" w:eastAsia="等线"/>
              </w:rPr>
              <w:t>序号</w:t>
            </w:r>
          </w:p>
        </w:tc>
        <w:tc>
          <w:tcPr>
            <w:tcW w:w="911" w:type="dxa"/>
            <w:shd w:val="clear" w:color="auto" w:fill="auto"/>
            <w:vAlign w:val="center"/>
          </w:tcPr>
          <w:p>
            <w:pPr>
              <w:jc w:val="center"/>
              <w:rPr>
                <w:rFonts w:ascii="等线" w:hAnsi="等线" w:eastAsia="等线"/>
              </w:rPr>
            </w:pPr>
            <w:r>
              <w:rPr>
                <w:rFonts w:ascii="等线" w:hAnsi="等线" w:eastAsia="等线"/>
              </w:rPr>
              <w:t>设备</w:t>
            </w:r>
            <w:r>
              <w:rPr>
                <w:rFonts w:hint="eastAsia" w:ascii="等线" w:hAnsi="等线" w:eastAsia="等线"/>
              </w:rPr>
              <w:t xml:space="preserve"> </w:t>
            </w:r>
            <w:r>
              <w:rPr>
                <w:rFonts w:ascii="等线" w:hAnsi="等线" w:eastAsia="等线"/>
              </w:rPr>
              <w:t>名称</w:t>
            </w:r>
          </w:p>
        </w:tc>
        <w:tc>
          <w:tcPr>
            <w:tcW w:w="6869" w:type="dxa"/>
            <w:shd w:val="clear" w:color="auto" w:fill="auto"/>
            <w:vAlign w:val="center"/>
          </w:tcPr>
          <w:p>
            <w:pPr>
              <w:jc w:val="center"/>
              <w:rPr>
                <w:rFonts w:ascii="等线" w:hAnsi="等线" w:eastAsia="等线"/>
              </w:rPr>
            </w:pPr>
            <w:r>
              <w:rPr>
                <w:rFonts w:hint="eastAsia" w:ascii="等线" w:hAnsi="等线" w:eastAsia="等线"/>
              </w:rPr>
              <w:t>技术</w:t>
            </w:r>
            <w:r>
              <w:rPr>
                <w:rFonts w:ascii="等线" w:hAnsi="等线" w:eastAsia="等线"/>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shd w:val="clear" w:color="auto" w:fill="auto"/>
            <w:vAlign w:val="center"/>
          </w:tcPr>
          <w:p>
            <w:pPr>
              <w:jc w:val="center"/>
              <w:rPr>
                <w:rFonts w:ascii="等线" w:hAnsi="等线" w:eastAsia="等线"/>
                <w:b/>
              </w:rPr>
            </w:pPr>
            <w:r>
              <w:rPr>
                <w:rFonts w:hint="eastAsia" w:ascii="等线" w:hAnsi="等线" w:eastAsia="等线"/>
                <w:b/>
              </w:rPr>
              <w:t>1</w:t>
            </w:r>
          </w:p>
        </w:tc>
        <w:tc>
          <w:tcPr>
            <w:tcW w:w="911" w:type="dxa"/>
            <w:shd w:val="clear" w:color="auto" w:fill="auto"/>
            <w:vAlign w:val="center"/>
          </w:tcPr>
          <w:p>
            <w:pPr>
              <w:jc w:val="center"/>
              <w:rPr>
                <w:rFonts w:hint="eastAsia" w:ascii="等线" w:hAnsi="等线" w:eastAsia="等线"/>
                <w:b/>
              </w:rPr>
            </w:pPr>
            <w:r>
              <w:rPr>
                <w:rFonts w:hint="eastAsia" w:ascii="等线" w:hAnsi="等线"/>
                <w:lang w:val="en-US" w:eastAsia="zh-CN"/>
              </w:rPr>
              <w:t>上网认证平台</w:t>
            </w:r>
          </w:p>
        </w:tc>
        <w:tc>
          <w:tcPr>
            <w:tcW w:w="6869" w:type="dxa"/>
            <w:shd w:val="clear" w:color="auto" w:fill="auto"/>
          </w:tcPr>
          <w:p>
            <w:pPr>
              <w:rPr>
                <w:sz w:val="20"/>
              </w:rPr>
            </w:pPr>
            <w:r>
              <w:rPr>
                <w:sz w:val="20"/>
              </w:rPr>
              <w:t>1、</w:t>
            </w:r>
            <w:r>
              <w:rPr>
                <w:rFonts w:ascii="Segoe UI Symbol" w:hAnsi="Segoe UI Symbol" w:cs="Segoe UI Symbol"/>
                <w:sz w:val="20"/>
              </w:rPr>
              <w:t>★</w:t>
            </w:r>
            <w:r>
              <w:rPr>
                <w:sz w:val="20"/>
              </w:rPr>
              <w:t>为降低出口链路单点故障，此次部署的认证计费平台必须为旁路部署模式</w:t>
            </w:r>
          </w:p>
          <w:p>
            <w:pPr>
              <w:rPr>
                <w:sz w:val="20"/>
              </w:rPr>
            </w:pPr>
            <w:r>
              <w:rPr>
                <w:sz w:val="20"/>
              </w:rPr>
              <w:t>2、要求支持集群部署模式，可当其中一套平台发生故障时，可以确保业务系统能够正常运行（如通过一卡通系统对上网账号的缴费）</w:t>
            </w:r>
          </w:p>
          <w:p>
            <w:pPr>
              <w:rPr>
                <w:sz w:val="20"/>
              </w:rPr>
            </w:pPr>
            <w:r>
              <w:rPr>
                <w:sz w:val="20"/>
              </w:rPr>
              <w:t>3、为管理的方便性和灵活性，要求系统满足基于B/S方式进行操作管理端和用户自助端</w:t>
            </w:r>
          </w:p>
          <w:p>
            <w:pPr>
              <w:rPr>
                <w:sz w:val="20"/>
              </w:rPr>
            </w:pPr>
            <w:r>
              <w:rPr>
                <w:sz w:val="20"/>
              </w:rPr>
              <w:t>4、为实现校园网的统一管理，要求支持基于VPN接入方式的认证管理</w:t>
            </w:r>
          </w:p>
          <w:p>
            <w:pPr>
              <w:rPr>
                <w:sz w:val="20"/>
              </w:rPr>
            </w:pPr>
            <w:r>
              <w:rPr>
                <w:sz w:val="20"/>
              </w:rPr>
              <w:t>5、支持准入准出一体化认证方案</w:t>
            </w:r>
          </w:p>
          <w:p>
            <w:pPr>
              <w:rPr>
                <w:sz w:val="20"/>
              </w:rPr>
            </w:pPr>
            <w:r>
              <w:rPr>
                <w:sz w:val="20"/>
              </w:rPr>
              <w:t>6、支持有线接入情况下帐号与IP</w:t>
            </w:r>
            <w:r>
              <w:rPr>
                <w:rFonts w:hint="eastAsia"/>
                <w:sz w:val="20"/>
                <w:lang w:val="en-US" w:eastAsia="zh-CN"/>
              </w:rPr>
              <w:t>V4、IPV6</w:t>
            </w:r>
            <w:r>
              <w:rPr>
                <w:sz w:val="20"/>
              </w:rPr>
              <w:t>、MAC、接入交换机IP、端口的绑定；支持无线接入方式下帐号、用户MAC、AP MAC绑定、SSID绑定、无线交换机IP</w:t>
            </w:r>
            <w:r>
              <w:rPr>
                <w:rFonts w:hint="eastAsia"/>
                <w:sz w:val="20"/>
                <w:lang w:val="en-US" w:eastAsia="zh-CN"/>
              </w:rPr>
              <w:t>V4/IPV6</w:t>
            </w:r>
            <w:r>
              <w:rPr>
                <w:sz w:val="20"/>
              </w:rPr>
              <w:t>绑定</w:t>
            </w:r>
          </w:p>
          <w:p>
            <w:pPr>
              <w:rPr>
                <w:sz w:val="20"/>
              </w:rPr>
            </w:pPr>
            <w:r>
              <w:rPr>
                <w:sz w:val="20"/>
              </w:rPr>
              <w:t>7、支持用户在绑定状态下漫游。提供配置界面截图</w:t>
            </w:r>
          </w:p>
          <w:p>
            <w:pPr>
              <w:rPr>
                <w:sz w:val="20"/>
              </w:rPr>
            </w:pPr>
            <w:r>
              <w:rPr>
                <w:sz w:val="20"/>
              </w:rPr>
              <w:t>8、支持限制用户使用静态IP或者是动态获取的方式登录，支持对于日/周/</w:t>
            </w:r>
            <w:bookmarkStart w:id="0" w:name="_GoBack"/>
            <w:bookmarkEnd w:id="0"/>
            <w:r>
              <w:rPr>
                <w:sz w:val="20"/>
              </w:rPr>
              <w:t>节假日进行用户时间控制，或按照时间段进行控制</w:t>
            </w:r>
          </w:p>
          <w:p>
            <w:pPr>
              <w:rPr>
                <w:sz w:val="20"/>
              </w:rPr>
            </w:pPr>
            <w:r>
              <w:rPr>
                <w:sz w:val="20"/>
              </w:rPr>
              <w:t>9、支持根据用户的IP、NAS IP进行区域的划分，控制用户可以在哪些指定的区域上网</w:t>
            </w:r>
          </w:p>
          <w:p>
            <w:pPr>
              <w:rPr>
                <w:sz w:val="20"/>
              </w:rPr>
            </w:pPr>
            <w:r>
              <w:rPr>
                <w:sz w:val="20"/>
              </w:rPr>
              <w:t>10、支持有线802.1X认证、无线和有线接入的portal认证、无线网络的多SSID无感知认证；支持基于不同计费策略的认证；对接Ldap加密模式，支持无线802.1x无感认证。</w:t>
            </w:r>
          </w:p>
          <w:p>
            <w:pPr>
              <w:rPr>
                <w:sz w:val="20"/>
              </w:rPr>
            </w:pPr>
            <w:r>
              <w:rPr>
                <w:rFonts w:hint="eastAsia"/>
                <w:sz w:val="20"/>
              </w:rPr>
              <w:t>有线终端认证、无线终端认证均采用</w:t>
            </w:r>
            <w:r>
              <w:rPr>
                <w:sz w:val="20"/>
              </w:rPr>
              <w:t>WEB认证架构。</w:t>
            </w:r>
          </w:p>
          <w:p>
            <w:pPr>
              <w:rPr>
                <w:sz w:val="20"/>
              </w:rPr>
            </w:pPr>
            <w:r>
              <w:rPr>
                <w:sz w:val="20"/>
              </w:rPr>
              <w:t>11、要求对校园内的运营商帐号进行接入控制管理（如:接入时段管理、在线信息查询、上网情况统计等) 可定制精确的认证失败提示信息，使校方和运营商的分工界面清晰，确保用户在报修时准确拨打报修电话。提供各个运营商的开户、销户、在线用户报表，通过此报表能准确把握运营趋势。学校需要对校内开户账号或运营商开户账号（手机号或流水号等）进行统一认证、统一管理</w:t>
            </w:r>
          </w:p>
          <w:p>
            <w:pPr>
              <w:rPr>
                <w:sz w:val="20"/>
              </w:rPr>
            </w:pPr>
            <w:r>
              <w:rPr>
                <w:sz w:val="20"/>
              </w:rPr>
              <w:t>12、MAC认证性能：2500次/秒，IPOE认证性能：1000次/秒</w:t>
            </w:r>
          </w:p>
          <w:p>
            <w:pPr>
              <w:rPr>
                <w:sz w:val="20"/>
              </w:rPr>
            </w:pPr>
            <w:r>
              <w:rPr>
                <w:sz w:val="20"/>
              </w:rPr>
              <w:t>13、</w:t>
            </w:r>
            <w:r>
              <w:rPr>
                <w:rFonts w:hint="eastAsia"/>
                <w:sz w:val="20"/>
              </w:rPr>
              <w:t>★</w:t>
            </w:r>
            <w:r>
              <w:rPr>
                <w:sz w:val="20"/>
              </w:rPr>
              <w:t>为避免认证系统故障导致全校出现断网，此次</w:t>
            </w:r>
            <w:r>
              <w:rPr>
                <w:rFonts w:hint="eastAsia"/>
                <w:sz w:val="20"/>
              </w:rPr>
              <w:t>配置</w:t>
            </w:r>
            <w:r>
              <w:rPr>
                <w:sz w:val="20"/>
              </w:rPr>
              <w:t>的认证计费系统必须为旁路部署模式、软件形态存在，且必须支持与</w:t>
            </w:r>
            <w:r>
              <w:rPr>
                <w:rFonts w:hint="eastAsia"/>
                <w:sz w:val="20"/>
              </w:rPr>
              <w:t>我校扁平化改造后的核心</w:t>
            </w:r>
            <w:r>
              <w:rPr>
                <w:sz w:val="20"/>
              </w:rPr>
              <w:t>进行联动逃生</w:t>
            </w:r>
            <w:r>
              <w:rPr>
                <w:rFonts w:hint="eastAsia"/>
                <w:sz w:val="20"/>
              </w:rPr>
              <w:t>部署</w:t>
            </w:r>
            <w:r>
              <w:rPr>
                <w:sz w:val="20"/>
              </w:rPr>
              <w:t>，在投标</w:t>
            </w:r>
            <w:r>
              <w:rPr>
                <w:rFonts w:hint="eastAsia"/>
                <w:sz w:val="20"/>
              </w:rPr>
              <w:t>文件</w:t>
            </w:r>
            <w:r>
              <w:rPr>
                <w:sz w:val="20"/>
              </w:rPr>
              <w:t>中要有详细的如何实现逃生功能的说明，并提供</w:t>
            </w:r>
            <w:r>
              <w:rPr>
                <w:rFonts w:hint="eastAsia"/>
                <w:sz w:val="20"/>
              </w:rPr>
              <w:t>宁波同类型高校测试</w:t>
            </w:r>
            <w:r>
              <w:rPr>
                <w:sz w:val="20"/>
              </w:rPr>
              <w:t>报告</w:t>
            </w:r>
          </w:p>
          <w:p>
            <w:pPr>
              <w:rPr>
                <w:sz w:val="20"/>
              </w:rPr>
            </w:pPr>
            <w:r>
              <w:rPr>
                <w:sz w:val="20"/>
              </w:rPr>
              <w:t>14、上网明细1000w条查询，可一次性导出5w用户</w:t>
            </w:r>
          </w:p>
          <w:p>
            <w:pPr>
              <w:rPr>
                <w:sz w:val="20"/>
              </w:rPr>
            </w:pPr>
            <w:r>
              <w:rPr>
                <w:sz w:val="20"/>
              </w:rPr>
              <w:t>15、支持计天、包月、流量计费、时长计费、自定义周期计费、自定义计费策略、本周起不使用不扣费、一次付费分段开通、有线无线综合计费策略</w:t>
            </w:r>
          </w:p>
          <w:p>
            <w:pPr>
              <w:rPr>
                <w:sz w:val="20"/>
              </w:rPr>
            </w:pPr>
            <w:r>
              <w:rPr>
                <w:sz w:val="20"/>
              </w:rPr>
              <w:t>16、支持在线用户管理、在线人数分析、上网明细管理、网络报修管理、日志管理、无线漫游管理，系统能够自动提供运行报告</w:t>
            </w:r>
          </w:p>
          <w:p>
            <w:pPr>
              <w:rPr>
                <w:sz w:val="20"/>
              </w:rPr>
            </w:pPr>
            <w:r>
              <w:rPr>
                <w:sz w:val="20"/>
              </w:rPr>
              <w:t>17、支持访客授权二维码认证；</w:t>
            </w:r>
          </w:p>
          <w:p>
            <w:pPr>
              <w:rPr>
                <w:sz w:val="20"/>
              </w:rPr>
            </w:pPr>
            <w:r>
              <w:rPr>
                <w:rFonts w:hint="eastAsia"/>
                <w:sz w:val="20"/>
              </w:rPr>
              <w:t>支持访客账户信息对应接待人员账号，并提供截图；</w:t>
            </w:r>
          </w:p>
          <w:p>
            <w:pPr>
              <w:rPr>
                <w:sz w:val="20"/>
              </w:rPr>
            </w:pPr>
            <w:r>
              <w:rPr>
                <w:sz w:val="20"/>
              </w:rPr>
              <w:t>18、支持自助端模块自定义、用户上网明细查看、用户信息维护、充值卡充值、一次缴费，分段开通、余额不足和欠费提醒、用户预注册、用户网络故障报修、用户花费清单查询</w:t>
            </w:r>
          </w:p>
          <w:p>
            <w:pPr>
              <w:rPr>
                <w:sz w:val="20"/>
              </w:rPr>
            </w:pPr>
            <w:r>
              <w:rPr>
                <w:sz w:val="20"/>
              </w:rPr>
              <w:t>19、支持通过订阅号、服务号实现微信连WiFi认证上网，支持进行用户姓名修改、手机绑定、邮箱绑定，查看账户余额、当前套餐、变更套餐；支持查看在线设备，将用户踢下线、取消无感知认证</w:t>
            </w:r>
          </w:p>
          <w:p>
            <w:pPr>
              <w:rPr>
                <w:sz w:val="20"/>
              </w:rPr>
            </w:pPr>
            <w:r>
              <w:rPr>
                <w:sz w:val="20"/>
              </w:rPr>
              <w:t>20、以动态实时的图形、图表等直观的方式，展示目前系统的在线人数、上网位置、上网区域分布、接入方式等信息，并提供截图；</w:t>
            </w:r>
          </w:p>
          <w:p>
            <w:pPr>
              <w:rPr>
                <w:sz w:val="20"/>
              </w:rPr>
            </w:pPr>
            <w:r>
              <w:rPr>
                <w:sz w:val="20"/>
              </w:rPr>
              <w:t>21、能够兼容其他主流交换机厂商的交换机设备（思科、H3C、锐捷、华为），支持与LDAP服务器联动，与第三方身份源系统对接，获取用户身份信息，实现统一身份认证。支持基于C和java的第三方接口</w:t>
            </w:r>
          </w:p>
          <w:p>
            <w:pPr>
              <w:rPr>
                <w:sz w:val="20"/>
              </w:rPr>
            </w:pPr>
            <w:r>
              <w:rPr>
                <w:sz w:val="20"/>
              </w:rPr>
              <w:t>22、</w:t>
            </w:r>
            <w:r>
              <w:rPr>
                <w:rFonts w:ascii="Segoe UI Symbol" w:hAnsi="Segoe UI Symbol" w:cs="Segoe UI Symbol"/>
                <w:sz w:val="20"/>
              </w:rPr>
              <w:t>★</w:t>
            </w:r>
            <w:r>
              <w:rPr>
                <w:sz w:val="20"/>
              </w:rPr>
              <w:t>实配</w:t>
            </w:r>
            <w:r>
              <w:rPr>
                <w:rFonts w:hint="eastAsia"/>
                <w:sz w:val="20"/>
              </w:rPr>
              <w:t>1</w:t>
            </w:r>
            <w:r>
              <w:rPr>
                <w:sz w:val="20"/>
              </w:rPr>
              <w:t>1000用户开户授权、实配自助服务组件、</w:t>
            </w:r>
            <w:r>
              <w:rPr>
                <w:rFonts w:hint="eastAsia"/>
                <w:sz w:val="20"/>
              </w:rPr>
              <w:t>微信自助</w:t>
            </w:r>
            <w:r>
              <w:rPr>
                <w:sz w:val="20"/>
              </w:rPr>
              <w:t>组件、实配portal功能模块，并实配</w:t>
            </w:r>
            <w:r>
              <w:rPr>
                <w:rFonts w:hint="eastAsia"/>
                <w:sz w:val="20"/>
              </w:rPr>
              <w:t>1</w:t>
            </w:r>
            <w:r>
              <w:rPr>
                <w:sz w:val="20"/>
              </w:rPr>
              <w:t>1000个并发用户license许可</w:t>
            </w:r>
          </w:p>
          <w:p>
            <w:pPr>
              <w:rPr>
                <w:rFonts w:hint="default" w:eastAsia="宋体"/>
                <w:sz w:val="20"/>
                <w:lang w:val="en-US" w:eastAsia="zh-CN"/>
              </w:rPr>
            </w:pPr>
            <w:r>
              <w:rPr>
                <w:sz w:val="20"/>
              </w:rPr>
              <w:t>23、</w:t>
            </w:r>
            <w:r>
              <w:rPr>
                <w:rFonts w:ascii="Segoe UI Symbol" w:hAnsi="Segoe UI Symbol" w:cs="Segoe UI Symbol"/>
                <w:sz w:val="20"/>
              </w:rPr>
              <w:t>★</w:t>
            </w:r>
            <w:r>
              <w:rPr>
                <w:sz w:val="20"/>
              </w:rPr>
              <w:t>投标产品需具备有国家版权局颁发的“计算机软件著作权登记证”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DBAE8"/>
    <w:multiLevelType w:val="singleLevel"/>
    <w:tmpl w:val="8A8DBAE8"/>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lvlText w:val="2.%2"/>
      <w:lvlJc w:val="left"/>
      <w:pPr>
        <w:ind w:left="794" w:hanging="794"/>
      </w:pPr>
      <w:rPr>
        <w:rFonts w:hint="eastAsia"/>
        <w:b/>
        <w:sz w:val="30"/>
        <w:szCs w:val="30"/>
      </w:rPr>
    </w:lvl>
    <w:lvl w:ilvl="2" w:tentative="0">
      <w:start w:val="1"/>
      <w:numFmt w:val="decimal"/>
      <w:pStyle w:val="6"/>
      <w:isLgl/>
      <w:suff w:val="space"/>
      <w:lvlText w:val="%1.%2.%3 "/>
      <w:lvlJc w:val="left"/>
      <w:pPr>
        <w:ind w:left="907" w:hanging="907"/>
      </w:pPr>
      <w:rPr>
        <w:rFonts w:hint="eastAsia"/>
      </w:rPr>
    </w:lvl>
    <w:lvl w:ilvl="3" w:tentative="0">
      <w:start w:val="1"/>
      <w:numFmt w:val="decimal"/>
      <w:pStyle w:val="7"/>
      <w:isLgl/>
      <w:suff w:val="space"/>
      <w:lvlText w:val="%1.%2.%3.%4 "/>
      <w:lvlJc w:val="left"/>
      <w:pPr>
        <w:ind w:left="1021" w:hanging="1021"/>
      </w:pPr>
      <w:rPr>
        <w:rFonts w:hint="eastAsia"/>
      </w:rPr>
    </w:lvl>
    <w:lvl w:ilvl="4" w:tentative="0">
      <w:start w:val="1"/>
      <w:numFmt w:val="decimal"/>
      <w:pStyle w:val="8"/>
      <w:isLgl/>
      <w:suff w:val="space"/>
      <w:lvlText w:val="%1.%2.%3.%4.%5 "/>
      <w:lvlJc w:val="left"/>
      <w:pPr>
        <w:ind w:left="1134" w:hanging="1134"/>
      </w:pPr>
      <w:rPr>
        <w:rFonts w:hint="eastAsia"/>
      </w:rPr>
    </w:lvl>
    <w:lvl w:ilvl="5" w:tentative="0">
      <w:start w:val="1"/>
      <w:numFmt w:val="decimal"/>
      <w:pStyle w:val="9"/>
      <w:isLgl/>
      <w:suff w:val="space"/>
      <w:lvlText w:val="%1.%2.%3.%4.%5.%6 "/>
      <w:lvlJc w:val="left"/>
      <w:pPr>
        <w:ind w:left="1247" w:hanging="1247"/>
      </w:pPr>
      <w:rPr>
        <w:rFonts w:hint="eastAsia"/>
      </w:rPr>
    </w:lvl>
    <w:lvl w:ilvl="6" w:tentative="0">
      <w:start w:val="1"/>
      <w:numFmt w:val="decimal"/>
      <w:lvlRestart w:val="1"/>
      <w:pStyle w:val="10"/>
      <w:isLgl/>
      <w:suff w:val="space"/>
      <w:lvlText w:val="图 %1.%7 "/>
      <w:lvlJc w:val="left"/>
      <w:pPr>
        <w:ind w:left="2268" w:firstLine="0"/>
      </w:pPr>
      <w:rPr>
        <w:rFonts w:hint="eastAsia"/>
      </w:rPr>
    </w:lvl>
    <w:lvl w:ilvl="7" w:tentative="0">
      <w:start w:val="1"/>
      <w:numFmt w:val="decimal"/>
      <w:lvlRestart w:val="1"/>
      <w:pStyle w:val="1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21"/>
    <w:rsid w:val="001904D4"/>
    <w:rsid w:val="00537F0B"/>
    <w:rsid w:val="008D3111"/>
    <w:rsid w:val="00E20B6D"/>
    <w:rsid w:val="00F95221"/>
    <w:rsid w:val="18E748FE"/>
    <w:rsid w:val="1C17277E"/>
    <w:rsid w:val="26B63291"/>
    <w:rsid w:val="28080DB3"/>
    <w:rsid w:val="2C3F0496"/>
    <w:rsid w:val="4D0966B3"/>
    <w:rsid w:val="6E4E797E"/>
    <w:rsid w:val="7B97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6">
    <w:name w:val="标题 3（Hirisun）"/>
    <w:basedOn w:val="2"/>
    <w:next w:val="1"/>
    <w:qFormat/>
    <w:uiPriority w:val="0"/>
    <w:pPr>
      <w:numPr>
        <w:ilvl w:val="2"/>
        <w:numId w:val="1"/>
      </w:numPr>
      <w:tabs>
        <w:tab w:val="left" w:pos="360"/>
        <w:tab w:val="left" w:pos="960"/>
      </w:tabs>
      <w:spacing w:line="415" w:lineRule="auto"/>
      <w:ind w:left="0" w:firstLine="0"/>
      <w:jc w:val="left"/>
    </w:pPr>
    <w:rPr>
      <w:rFonts w:ascii="Arial" w:hAnsi="Arial" w:eastAsia="黑体"/>
      <w:bCs w:val="0"/>
      <w:kern w:val="0"/>
      <w:sz w:val="30"/>
      <w:szCs w:val="30"/>
    </w:rPr>
  </w:style>
  <w:style w:type="paragraph" w:customStyle="1" w:styleId="7">
    <w:name w:val="标题 4（Hirisun）"/>
    <w:basedOn w:val="3"/>
    <w:next w:val="1"/>
    <w:qFormat/>
    <w:uiPriority w:val="0"/>
    <w:pPr>
      <w:widowControl/>
      <w:numPr>
        <w:ilvl w:val="3"/>
        <w:numId w:val="1"/>
      </w:numPr>
      <w:tabs>
        <w:tab w:val="left" w:pos="360"/>
      </w:tabs>
      <w:spacing w:after="156"/>
      <w:ind w:left="0" w:firstLine="0"/>
      <w:jc w:val="left"/>
    </w:pPr>
    <w:rPr>
      <w:rFonts w:ascii="Arial" w:hAnsi="Arial" w:eastAsia="黑体" w:cs="Times New Roman"/>
      <w:bCs w:val="0"/>
      <w:kern w:val="0"/>
    </w:rPr>
  </w:style>
  <w:style w:type="paragraph" w:customStyle="1" w:styleId="8">
    <w:name w:val="标题 5（有编号）（Hirisun）"/>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9">
    <w:name w:val="标题 6（有编号）（Hirisun）"/>
    <w:basedOn w:val="1"/>
    <w:next w:val="1"/>
    <w:qFormat/>
    <w:uiPriority w:val="0"/>
    <w:pPr>
      <w:keepNext/>
      <w:keepLines/>
      <w:numPr>
        <w:ilvl w:val="5"/>
        <w:numId w:val="1"/>
      </w:numPr>
      <w:spacing w:before="240" w:after="64" w:line="319" w:lineRule="auto"/>
      <w:jc w:val="left"/>
      <w:outlineLvl w:val="5"/>
    </w:pPr>
    <w:rPr>
      <w:rFonts w:ascii="Arial" w:hAnsi="Arial" w:eastAsia="黑体"/>
      <w:b/>
      <w:kern w:val="0"/>
      <w:szCs w:val="24"/>
    </w:rPr>
  </w:style>
  <w:style w:type="paragraph" w:customStyle="1" w:styleId="10">
    <w:name w:val="插图标注（Hirisun）"/>
    <w:next w:val="1"/>
    <w:qFormat/>
    <w:uiPriority w:val="0"/>
    <w:pPr>
      <w:numPr>
        <w:ilvl w:val="6"/>
        <w:numId w:val="1"/>
      </w:numPr>
      <w:spacing w:after="156"/>
      <w:jc w:val="center"/>
    </w:pPr>
    <w:rPr>
      <w:rFonts w:ascii="Arial" w:hAnsi="Arial" w:eastAsia="宋体" w:cs="Arial"/>
      <w:kern w:val="0"/>
      <w:sz w:val="21"/>
      <w:szCs w:val="21"/>
      <w:lang w:val="en-US" w:eastAsia="zh-CN" w:bidi="ar-SA"/>
    </w:rPr>
  </w:style>
  <w:style w:type="paragraph" w:customStyle="1" w:styleId="11">
    <w:name w:val="表格标注（Hirisun）"/>
    <w:basedOn w:val="10"/>
    <w:next w:val="1"/>
    <w:qFormat/>
    <w:uiPriority w:val="0"/>
    <w:pPr>
      <w:numPr>
        <w:ilvl w:val="7"/>
      </w:numPr>
    </w:pPr>
  </w:style>
  <w:style w:type="character" w:customStyle="1" w:styleId="12">
    <w:name w:val="标题 3 字符"/>
    <w:basedOn w:val="5"/>
    <w:link w:val="2"/>
    <w:semiHidden/>
    <w:qFormat/>
    <w:uiPriority w:val="9"/>
    <w:rPr>
      <w:rFonts w:ascii="Calibri" w:hAnsi="Calibri" w:eastAsia="宋体" w:cs="Times New Roman"/>
      <w:b/>
      <w:bCs/>
      <w:sz w:val="32"/>
      <w:szCs w:val="32"/>
    </w:rPr>
  </w:style>
  <w:style w:type="character" w:customStyle="1" w:styleId="13">
    <w:name w:val="标题 4 字符"/>
    <w:basedOn w:val="5"/>
    <w:link w:val="3"/>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1274</Characters>
  <Lines>10</Lines>
  <Paragraphs>2</Paragraphs>
  <TotalTime>10</TotalTime>
  <ScaleCrop>false</ScaleCrop>
  <LinksUpToDate>false</LinksUpToDate>
  <CharactersWithSpaces>1495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2019-07-06T01:12:00Z</dcterms:created>
  <dc:creator>WM SS</dc:creator>
  <cp:lastModifiedBy>考拉1422139913</cp:lastModifiedBy>
  <dcterms:modified xsi:type="dcterms:W3CDTF">2019-07-06T07:53:53Z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