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b/>
          <w:sz w:val="44"/>
          <w:szCs w:val="44"/>
        </w:rPr>
      </w:pPr>
      <w:r>
        <w:rPr>
          <w:rFonts w:hint="eastAsia" w:ascii="楷体" w:hAnsi="楷体" w:eastAsia="楷体"/>
          <w:b/>
          <w:sz w:val="44"/>
          <w:szCs w:val="44"/>
        </w:rPr>
        <w:t>宁波高新技术产业开发区人民法院高</w:t>
      </w:r>
      <w:r>
        <w:rPr>
          <w:rFonts w:hint="eastAsia" w:ascii="楷体" w:hAnsi="楷体" w:eastAsia="楷体"/>
          <w:b/>
          <w:sz w:val="44"/>
          <w:szCs w:val="44"/>
          <w:lang w:val="en-US" w:eastAsia="zh-CN"/>
        </w:rPr>
        <w:t>清</w:t>
      </w:r>
      <w:r>
        <w:rPr>
          <w:rFonts w:hint="eastAsia" w:ascii="楷体" w:hAnsi="楷体" w:eastAsia="楷体"/>
          <w:b/>
          <w:sz w:val="44"/>
          <w:szCs w:val="44"/>
        </w:rPr>
        <w:t>数字法庭新建项目</w:t>
      </w:r>
    </w:p>
    <w:p>
      <w:pPr>
        <w:widowControl/>
        <w:spacing w:line="360" w:lineRule="auto"/>
        <w:ind w:firstLine="360" w:firstLineChars="100"/>
        <w:jc w:val="center"/>
        <w:outlineLvl w:val="0"/>
        <w:rPr>
          <w:rFonts w:hint="eastAsia" w:ascii="宋体"/>
          <w:sz w:val="36"/>
          <w:szCs w:val="36"/>
          <w:lang w:val="en-US" w:eastAsia="zh-CN"/>
        </w:rPr>
      </w:pPr>
    </w:p>
    <w:p>
      <w:pPr>
        <w:widowControl/>
        <w:spacing w:line="360" w:lineRule="auto"/>
        <w:ind w:firstLine="360" w:firstLineChars="100"/>
        <w:jc w:val="center"/>
        <w:outlineLvl w:val="0"/>
        <w:rPr>
          <w:rFonts w:ascii="宋体" w:hAnsi="宋体" w:cs="宋体"/>
          <w:b/>
          <w:kern w:val="0"/>
          <w:sz w:val="36"/>
          <w:szCs w:val="36"/>
        </w:rPr>
      </w:pPr>
      <w:r>
        <w:rPr>
          <w:rFonts w:hint="eastAsia" w:ascii="宋体"/>
          <w:sz w:val="36"/>
          <w:szCs w:val="36"/>
          <w:lang w:val="en-US" w:eastAsia="zh-CN"/>
        </w:rPr>
        <w:t>一、</w:t>
      </w:r>
      <w:r>
        <w:rPr>
          <w:rFonts w:hint="eastAsia" w:ascii="宋体" w:hAnsi="宋体" w:cs="宋体"/>
          <w:b/>
          <w:kern w:val="0"/>
          <w:sz w:val="36"/>
          <w:szCs w:val="36"/>
        </w:rPr>
        <w:t>资质要求</w:t>
      </w:r>
    </w:p>
    <w:p>
      <w:pPr>
        <w:pStyle w:val="13"/>
        <w:numPr>
          <w:ilvl w:val="0"/>
          <w:numId w:val="1"/>
        </w:numPr>
        <w:ind w:firstLineChars="0"/>
        <w:jc w:val="left"/>
        <w:rPr>
          <w:rFonts w:ascii="宋体" w:hAnsi="宋体" w:cs="宋体"/>
          <w:kern w:val="0"/>
          <w:szCs w:val="21"/>
        </w:rPr>
      </w:pPr>
      <w:r>
        <w:rPr>
          <w:rFonts w:hint="eastAsia" w:ascii="宋体" w:hAnsi="宋体" w:cs="宋体"/>
          <w:kern w:val="0"/>
          <w:szCs w:val="21"/>
        </w:rPr>
        <w:t>宁波大区内具有售后服务机构。</w:t>
      </w:r>
    </w:p>
    <w:p>
      <w:pPr>
        <w:numPr>
          <w:ilvl w:val="0"/>
          <w:numId w:val="0"/>
        </w:numPr>
        <w:ind w:leftChars="15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具有信息技术服务管理体系资质</w:t>
      </w:r>
      <w:r>
        <w:rPr>
          <w:rFonts w:hint="eastAsia" w:ascii="宋体" w:hAnsi="宋体" w:eastAsia="宋体" w:cs="宋体"/>
          <w:bCs/>
          <w:sz w:val="24"/>
          <w:szCs w:val="24"/>
          <w:lang w:val="en-US" w:eastAsia="zh-CN"/>
        </w:rPr>
        <w:t>及安全</w:t>
      </w:r>
      <w:r>
        <w:rPr>
          <w:rFonts w:hint="eastAsia" w:ascii="宋体" w:hAnsi="宋体" w:cs="宋体"/>
          <w:bCs/>
          <w:sz w:val="24"/>
          <w:szCs w:val="24"/>
          <w:lang w:val="en-US" w:eastAsia="zh-CN"/>
        </w:rPr>
        <w:t>技术防范行业资信</w:t>
      </w:r>
      <w:r>
        <w:rPr>
          <w:rFonts w:hint="eastAsia" w:ascii="宋体" w:hAnsi="宋体" w:eastAsia="宋体" w:cs="宋体"/>
          <w:bCs/>
          <w:sz w:val="24"/>
          <w:szCs w:val="24"/>
          <w:lang w:val="en-US" w:eastAsia="zh-CN"/>
        </w:rPr>
        <w:t>证书</w:t>
      </w:r>
      <w:r>
        <w:rPr>
          <w:rFonts w:hint="eastAsia" w:ascii="宋体" w:hAnsi="宋体" w:eastAsia="宋体" w:cs="宋体"/>
          <w:bCs/>
          <w:sz w:val="24"/>
          <w:szCs w:val="24"/>
          <w:lang w:eastAsia="zh-CN"/>
        </w:rPr>
        <w:t>。</w:t>
      </w:r>
    </w:p>
    <w:p>
      <w:pPr>
        <w:spacing w:line="360" w:lineRule="auto"/>
        <w:jc w:val="center"/>
        <w:rPr>
          <w:rFonts w:hint="eastAsia" w:ascii="楷体" w:hAnsi="楷体" w:eastAsia="楷体"/>
          <w:b/>
          <w:sz w:val="44"/>
          <w:szCs w:val="44"/>
        </w:rPr>
      </w:pPr>
    </w:p>
    <w:p>
      <w:pPr>
        <w:spacing w:line="360" w:lineRule="auto"/>
        <w:jc w:val="center"/>
        <w:rPr>
          <w:rFonts w:hint="eastAsia" w:ascii="楷体" w:hAnsi="楷体" w:eastAsia="楷体"/>
          <w:b/>
          <w:sz w:val="44"/>
          <w:szCs w:val="44"/>
        </w:rPr>
      </w:pPr>
    </w:p>
    <w:p>
      <w:pPr>
        <w:pStyle w:val="14"/>
        <w:outlineLvl w:val="0"/>
        <w:rPr>
          <w:rFonts w:hint="eastAsia" w:eastAsia="宋体"/>
          <w:sz w:val="36"/>
          <w:szCs w:val="36"/>
          <w:lang w:val="en-US" w:eastAsia="zh-CN"/>
        </w:rPr>
      </w:pPr>
      <w:r>
        <w:rPr>
          <w:rFonts w:hint="eastAsia"/>
          <w:sz w:val="36"/>
          <w:szCs w:val="36"/>
          <w:lang w:val="en-US" w:eastAsia="zh-CN"/>
        </w:rPr>
        <w:t>二、</w:t>
      </w:r>
      <w:r>
        <w:rPr>
          <w:rFonts w:hint="eastAsia"/>
          <w:sz w:val="36"/>
          <w:szCs w:val="36"/>
        </w:rPr>
        <w:t xml:space="preserve"> </w:t>
      </w:r>
      <w:r>
        <w:rPr>
          <w:rFonts w:hint="eastAsia"/>
          <w:sz w:val="36"/>
          <w:szCs w:val="36"/>
          <w:lang w:val="en-US" w:eastAsia="zh-CN"/>
        </w:rPr>
        <w:t>项目概述</w:t>
      </w:r>
    </w:p>
    <w:p>
      <w:pPr>
        <w:rPr>
          <w:rFonts w:hint="eastAsia" w:eastAsia="宋体"/>
          <w:b/>
          <w:bCs/>
          <w:sz w:val="28"/>
          <w:szCs w:val="28"/>
          <w:lang w:val="en-US" w:eastAsia="zh-CN"/>
        </w:rPr>
      </w:pPr>
      <w:r>
        <w:rPr>
          <w:rFonts w:hint="eastAsia"/>
          <w:b/>
          <w:bCs/>
          <w:sz w:val="28"/>
          <w:szCs w:val="28"/>
        </w:rPr>
        <w:t>一、概述</w:t>
      </w:r>
      <w:r>
        <w:rPr>
          <w:rFonts w:hint="eastAsia"/>
          <w:b/>
          <w:bCs/>
          <w:sz w:val="28"/>
          <w:szCs w:val="28"/>
          <w:lang w:val="en-US" w:eastAsia="zh-CN"/>
        </w:rPr>
        <w:t xml:space="preserve"> </w:t>
      </w:r>
    </w:p>
    <w:p>
      <w:pPr>
        <w:spacing w:line="440" w:lineRule="exact"/>
        <w:ind w:firstLine="411" w:firstLineChars="196"/>
        <w:rPr>
          <w:rFonts w:ascii="宋体"/>
          <w:b/>
          <w:szCs w:val="21"/>
        </w:rPr>
      </w:pPr>
      <w:r>
        <w:rPr>
          <w:rFonts w:ascii="宋体" w:hAnsi="宋体"/>
          <w:b/>
          <w:szCs w:val="21"/>
        </w:rPr>
        <w:t>1</w:t>
      </w:r>
      <w:r>
        <w:rPr>
          <w:rFonts w:hint="eastAsia" w:ascii="宋体" w:hAnsi="宋体"/>
          <w:b/>
          <w:szCs w:val="21"/>
        </w:rPr>
        <w:t>、数字法庭概述</w:t>
      </w:r>
    </w:p>
    <w:p>
      <w:pPr>
        <w:pStyle w:val="16"/>
        <w:spacing w:line="440" w:lineRule="exact"/>
        <w:ind w:firstLine="420"/>
        <w:rPr>
          <w:rFonts w:ascii="宋体"/>
          <w:sz w:val="21"/>
          <w:szCs w:val="21"/>
        </w:rPr>
      </w:pPr>
      <w:r>
        <w:rPr>
          <w:rFonts w:hint="eastAsia" w:ascii="宋体" w:hAnsi="宋体"/>
          <w:sz w:val="21"/>
          <w:szCs w:val="21"/>
        </w:rPr>
        <w:t>庭审活动是以法官为中心，原、被告及其各自的律师、证人参与的交互活动。从审判业务的角度来讲，数字化审判法庭是指借助于现代科学技术装备，通过扩展、延伸传统的审判法庭功能，适应新的庭审需求，达到强化庭审效果、提高庭审效率、促进审判工作的公正、公开的现代化审判场所。</w:t>
      </w:r>
    </w:p>
    <w:p/>
    <w:p>
      <w:pPr>
        <w:widowControl/>
        <w:jc w:val="left"/>
        <w:rPr>
          <w:rFonts w:ascii="宋体" w:hAnsi="宋体"/>
          <w:b/>
          <w:sz w:val="21"/>
          <w:szCs w:val="21"/>
        </w:rPr>
      </w:pPr>
      <w:r>
        <w:rPr>
          <w:rFonts w:hint="eastAsia" w:ascii="宋体" w:hAnsi="宋体"/>
          <w:b/>
          <w:sz w:val="21"/>
          <w:szCs w:val="21"/>
        </w:rPr>
        <w:t>二、建设方案</w:t>
      </w:r>
    </w:p>
    <w:p>
      <w:pPr>
        <w:pStyle w:val="16"/>
        <w:spacing w:line="440" w:lineRule="exact"/>
        <w:ind w:left="480"/>
        <w:rPr>
          <w:rFonts w:ascii="宋体"/>
          <w:b/>
          <w:sz w:val="21"/>
          <w:szCs w:val="21"/>
        </w:rPr>
      </w:pPr>
      <w:r>
        <w:rPr>
          <w:rFonts w:ascii="宋体" w:hAnsi="宋体"/>
          <w:b/>
          <w:sz w:val="21"/>
          <w:szCs w:val="21"/>
        </w:rPr>
        <w:t>1</w:t>
      </w:r>
      <w:r>
        <w:rPr>
          <w:rFonts w:hint="eastAsia" w:ascii="宋体" w:hAnsi="宋体"/>
          <w:b/>
          <w:sz w:val="21"/>
          <w:szCs w:val="21"/>
        </w:rPr>
        <w:t>、高清数字法庭布局图</w:t>
      </w:r>
    </w:p>
    <w:p>
      <w:pPr>
        <w:spacing w:line="440" w:lineRule="exact"/>
        <w:jc w:val="center"/>
        <w:rPr>
          <w:rFonts w:hint="eastAsia" w:ascii="宋体" w:hAnsi="宋体"/>
          <w:kern w:val="0"/>
          <w:szCs w:val="21"/>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r>
        <w:rPr>
          <w:rFonts w:hint="eastAsia" w:ascii="宋体" w:hAnsi="宋体" w:eastAsia="宋体"/>
          <w:kern w:val="0"/>
          <w:szCs w:val="21"/>
          <w:lang w:eastAsia="zh-CN"/>
        </w:rPr>
        <w:drawing>
          <wp:anchor distT="0" distB="0" distL="114300" distR="114300" simplePos="0" relativeHeight="251658240" behindDoc="0" locked="0" layoutInCell="1" allowOverlap="1">
            <wp:simplePos x="0" y="0"/>
            <wp:positionH relativeFrom="column">
              <wp:posOffset>28575</wp:posOffset>
            </wp:positionH>
            <wp:positionV relativeFrom="paragraph">
              <wp:posOffset>4445</wp:posOffset>
            </wp:positionV>
            <wp:extent cx="5273675" cy="3296285"/>
            <wp:effectExtent l="0" t="0" r="3175" b="18415"/>
            <wp:wrapNone/>
            <wp:docPr id="1" name="图片 5" descr="7d68220de72ed84cd5a7861cf55d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7d68220de72ed84cd5a7861cf55dc5c"/>
                    <pic:cNvPicPr>
                      <a:picLocks noChangeAspect="1"/>
                    </pic:cNvPicPr>
                  </pic:nvPicPr>
                  <pic:blipFill>
                    <a:blip r:embed="rId4"/>
                    <a:stretch>
                      <a:fillRect/>
                    </a:stretch>
                  </pic:blipFill>
                  <pic:spPr>
                    <a:xfrm>
                      <a:off x="0" y="0"/>
                      <a:ext cx="5273675" cy="3296285"/>
                    </a:xfrm>
                    <a:prstGeom prst="rect">
                      <a:avLst/>
                    </a:prstGeom>
                    <a:noFill/>
                    <a:ln w="9525">
                      <a:noFill/>
                    </a:ln>
                  </pic:spPr>
                </pic:pic>
              </a:graphicData>
            </a:graphic>
          </wp:anchor>
        </w:drawing>
      </w: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eastAsia="宋体"/>
          <w:kern w:val="0"/>
          <w:szCs w:val="21"/>
          <w:lang w:eastAsia="zh-CN"/>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kern w:val="0"/>
          <w:szCs w:val="21"/>
        </w:rPr>
      </w:pPr>
    </w:p>
    <w:p>
      <w:pPr>
        <w:spacing w:line="440" w:lineRule="exact"/>
        <w:jc w:val="center"/>
        <w:rPr>
          <w:rFonts w:hint="eastAsia" w:ascii="宋体" w:hAnsi="宋体" w:eastAsia="宋体"/>
          <w:kern w:val="0"/>
          <w:szCs w:val="21"/>
          <w:lang w:eastAsia="zh-CN"/>
        </w:rPr>
      </w:pPr>
      <w:r>
        <w:rPr>
          <w:rFonts w:hint="eastAsia" w:ascii="宋体" w:hAnsi="宋体" w:eastAsia="宋体"/>
          <w:kern w:val="0"/>
          <w:szCs w:val="21"/>
          <w:lang w:eastAsia="zh-CN"/>
        </w:rPr>
        <w:drawing>
          <wp:anchor distT="0" distB="0" distL="114300" distR="114300" simplePos="0" relativeHeight="251659264" behindDoc="0" locked="0" layoutInCell="1" allowOverlap="1">
            <wp:simplePos x="0" y="0"/>
            <wp:positionH relativeFrom="column">
              <wp:posOffset>60325</wp:posOffset>
            </wp:positionH>
            <wp:positionV relativeFrom="paragraph">
              <wp:posOffset>-3364230</wp:posOffset>
            </wp:positionV>
            <wp:extent cx="5281930" cy="3730625"/>
            <wp:effectExtent l="0" t="0" r="13970" b="3175"/>
            <wp:wrapNone/>
            <wp:docPr id="2" name="图片 6" descr="037ae8d96b8dd546c1099dff747f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037ae8d96b8dd546c1099dff747f548"/>
                    <pic:cNvPicPr>
                      <a:picLocks noChangeAspect="1"/>
                    </pic:cNvPicPr>
                  </pic:nvPicPr>
                  <pic:blipFill>
                    <a:blip r:embed="rId5"/>
                    <a:stretch>
                      <a:fillRect/>
                    </a:stretch>
                  </pic:blipFill>
                  <pic:spPr>
                    <a:xfrm>
                      <a:off x="0" y="0"/>
                      <a:ext cx="5281930" cy="3730625"/>
                    </a:xfrm>
                    <a:prstGeom prst="rect">
                      <a:avLst/>
                    </a:prstGeom>
                    <a:noFill/>
                    <a:ln w="9525">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Toc285835321"/>
      <w:bookmarkStart w:id="1" w:name="_Toc433612907"/>
    </w:p>
    <w:p>
      <w:pPr>
        <w:rPr>
          <w:rFonts w:hint="eastAsia"/>
        </w:rPr>
      </w:pPr>
    </w:p>
    <w:p>
      <w:pPr>
        <w:rPr>
          <w:rFonts w:hint="eastAsia"/>
        </w:rPr>
      </w:pPr>
    </w:p>
    <w:p>
      <w:pPr>
        <w:rPr>
          <w:rFonts w:hint="eastAsia"/>
        </w:rPr>
      </w:pPr>
    </w:p>
    <w:p>
      <w:pPr>
        <w:pStyle w:val="14"/>
        <w:numPr>
          <w:ilvl w:val="0"/>
          <w:numId w:val="2"/>
        </w:numPr>
        <w:outlineLvl w:val="0"/>
        <w:rPr>
          <w:rFonts w:hint="eastAsia" w:ascii="宋体"/>
          <w:sz w:val="36"/>
          <w:szCs w:val="36"/>
          <w:lang w:eastAsia="zh-CN"/>
        </w:rPr>
      </w:pPr>
      <w:r>
        <w:rPr>
          <w:rFonts w:hint="eastAsia" w:ascii="宋体"/>
          <w:sz w:val="36"/>
          <w:szCs w:val="36"/>
        </w:rPr>
        <w:t>招标技术</w:t>
      </w:r>
      <w:bookmarkEnd w:id="0"/>
      <w:bookmarkStart w:id="2" w:name="_Toc523896480"/>
      <w:bookmarkStart w:id="3" w:name="_Toc526174160"/>
      <w:bookmarkStart w:id="4" w:name="_Toc507232274"/>
      <w:bookmarkStart w:id="5" w:name="第一章"/>
      <w:bookmarkStart w:id="6" w:name="_Toc517174259"/>
      <w:bookmarkStart w:id="7" w:name="_Toc112128254"/>
      <w:bookmarkStart w:id="8" w:name="_Toc403418710"/>
      <w:bookmarkStart w:id="9" w:name="_Toc523815528"/>
      <w:bookmarkStart w:id="10" w:name="_Toc507229826"/>
      <w:bookmarkStart w:id="11" w:name="_Toc511633617"/>
      <w:bookmarkStart w:id="12" w:name="_Toc507231997"/>
      <w:r>
        <w:rPr>
          <w:rFonts w:hint="eastAsia" w:ascii="宋体"/>
          <w:sz w:val="36"/>
          <w:szCs w:val="36"/>
          <w:lang w:eastAsia="zh-CN"/>
        </w:rPr>
        <w:t>要求</w:t>
      </w:r>
      <w:bookmarkEnd w:id="1"/>
    </w:p>
    <w:tbl>
      <w:tblPr>
        <w:tblStyle w:val="11"/>
        <w:tblW w:w="10098" w:type="dxa"/>
        <w:jc w:val="center"/>
        <w:tblInd w:w="-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4"/>
        <w:gridCol w:w="898"/>
        <w:gridCol w:w="7079"/>
        <w:gridCol w:w="1"/>
        <w:gridCol w:w="548"/>
        <w:gridCol w:w="1"/>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序号</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产品名称</w:t>
            </w:r>
          </w:p>
        </w:tc>
        <w:tc>
          <w:tcPr>
            <w:tcW w:w="7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参数</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单位</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jc w:val="center"/>
        </w:trPr>
        <w:tc>
          <w:tcPr>
            <w:tcW w:w="10098"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2352"/>
              </w:tabs>
              <w:jc w:val="left"/>
              <w:rPr>
                <w:rFonts w:hint="eastAsia" w:ascii="宋体" w:hAnsi="宋体" w:eastAsia="宋体" w:cs="宋体"/>
                <w:b/>
                <w:i w:val="0"/>
                <w:color w:val="000000"/>
                <w:sz w:val="21"/>
                <w:szCs w:val="21"/>
                <w:u w:val="none"/>
                <w:lang w:eastAsia="zh-CN"/>
              </w:rPr>
            </w:pPr>
            <w:r>
              <w:rPr>
                <w:rFonts w:hint="eastAsia" w:ascii="宋体" w:hAnsi="宋体" w:eastAsia="宋体" w:cs="宋体"/>
                <w:b/>
                <w:i w:val="0"/>
                <w:color w:val="000000"/>
                <w:sz w:val="21"/>
                <w:szCs w:val="21"/>
                <w:u w:val="none"/>
                <w:lang w:eastAsia="zh-CN"/>
              </w:rPr>
              <w:t>一、数字法庭设备清单部分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高清摄像头</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高清摄像头产品类型：彩色会议摄像机;图像传感器:1/2.8英寸Exmor CMOS成像器。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1、视像分辨率：1080p/29.97,1080p/25,1080i/59.94,1080i/50；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2、变焦倍数：240倍变焦（20倍光学变焦，12倍数字变焦）；视角：水平视角达到2.9°(远端)到 55.4°(广角)；平移：正负170（最高速度100度/秒）；俯仰：-20到+90度（最高速度90度/秒）；具有电子翻转功能，可适用桌面安装和天花板吊顶安装；HD-SDI接口；接口协议：VISCA；</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3、通过屏幕菜单，可使用红外线遥控器进行设置；6个预设位；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4、能够和庭审主机兼容，能接收庭审主机发出的控制指令</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高清定点摄像机</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1、具有200万像素 CMOS传感器；最大分辨率1920x1080。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2、需具有20路取流路数能力，以满足更多用户同时在线访问摄像机视频。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3、最低照度彩色：0.005 lx (AGC开，BNC输出)，黑白:0.0005 lx (AGC开，BNC输出)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4、需支持三码流技术，可同时输出三路码流，主码流最高1920x1080@60fps，第三码流最大1920x1080 @ 30fps；子码流704x576@25fps。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5、在1920x1080 @ 25fps下，码率设定为2Mbps，网口输出，清晰度不小于1000TVL。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6、支持H.264、MPEG-4、MJPEG视频编码格式，其中H.264支持Baseline/Main/High Profile。</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7、在分辨率1920x1080 @ 60fps，码流1Mbps时，延时不大于120ms。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8、信噪比不小于54dB。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9、需支持8行OSD字符叠加，可支持字体大小调整，字体颜色修改。需具有logo图片叠加到视频画面功能。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10、需具备人脸检测、区域入侵检测、越界检测、徘徊、人员聚集、场景变更、虚焦检测、声强突变检测等功能。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11、需具有实时视频透雾功能，电子防抖功能，ROI感兴趣区域设置功能。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12、摄像机能够在-30~60摄氏度，湿度小于93%环境下稳定工作。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13、支持摄像机与客户端之间的双向语音对讲功能。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14、需具有认证模式，且WEB认证具有basic和digest两种选项。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15、需具有1个报警输入接口、1个报警输出接口、1个音频输入接口、1个音频输出接口。需支持MP2L2和AAC音频编。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16、需具有1路SDI视频输出接口；1个RJ-45 10/100mbps网络接口。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kern w:val="0"/>
                <w:sz w:val="21"/>
                <w:szCs w:val="21"/>
              </w:rPr>
              <w:t>★</w:t>
            </w:r>
            <w:r>
              <w:rPr>
                <w:rFonts w:hint="eastAsia" w:ascii="宋体" w:hAnsi="宋体" w:eastAsia="宋体" w:cs="宋体"/>
                <w:i w:val="0"/>
                <w:color w:val="000000"/>
                <w:kern w:val="0"/>
                <w:sz w:val="21"/>
                <w:szCs w:val="21"/>
                <w:u w:val="none"/>
                <w:lang w:val="en-US" w:eastAsia="zh-CN" w:bidi="ar"/>
              </w:rPr>
              <w:t>17、需同时支持DC12V、AC24V和PoE供电，且在不小于DC12V±30%/AC24V±30%范围内变化时可以正常工作（公安部型式检验报告证明）。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18、需支持本地SD卡存储，最大支持128G。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19、配镜头。</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高清庭审主机</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省高院高清公布入围品牌；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kern w:val="0"/>
                <w:sz w:val="21"/>
                <w:szCs w:val="21"/>
              </w:rPr>
              <w:t>★</w:t>
            </w:r>
            <w:r>
              <w:rPr>
                <w:rFonts w:hint="eastAsia" w:ascii="宋体" w:hAnsi="宋体" w:eastAsia="宋体" w:cs="宋体"/>
                <w:i w:val="0"/>
                <w:color w:val="000000"/>
                <w:kern w:val="0"/>
                <w:sz w:val="21"/>
                <w:szCs w:val="21"/>
                <w:u w:val="none"/>
                <w:lang w:val="en-US" w:eastAsia="zh-CN" w:bidi="ar"/>
              </w:rPr>
              <w:t>2、嵌入式架构，硬件画面分割 ,主机高度集成，高度不高于 3U，深度不超过 45CM，以确保可以安装至法庭任意位置（含书记员桌下）。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kern w:val="0"/>
                <w:sz w:val="21"/>
                <w:szCs w:val="21"/>
              </w:rPr>
              <w:t>★</w:t>
            </w:r>
            <w:r>
              <w:rPr>
                <w:rFonts w:hint="eastAsia" w:ascii="宋体" w:hAnsi="宋体" w:eastAsia="宋体" w:cs="宋体"/>
                <w:i w:val="0"/>
                <w:color w:val="000000"/>
                <w:kern w:val="0"/>
                <w:sz w:val="21"/>
                <w:szCs w:val="21"/>
                <w:u w:val="none"/>
                <w:lang w:val="en-US" w:eastAsia="zh-CN" w:bidi="ar"/>
              </w:rPr>
              <w:t>3、不少于 10路数字高清 1080P视频输入 ,使用 HD-SDI接口，用于接入数字高清旋转摄像机等设备；提供投标设备高清 1080P视频输入接口照片。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4、不少于 4路 VGA信号输入，用于接入远程信号、公诉席或辩护席外接的笔记本信号、书记员电脑笔录信号、展台证据信号等；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5、内置智能红外学习功能，直接编译控制；不少于 8路可编程红外发射端口；可同时控制多个使用红外控制的设备，（如电视机、高清同步监视器等、远程终端以及各类音响设备等）；</w:t>
            </w:r>
          </w:p>
          <w:p>
            <w:pPr>
              <w:keepNext w:val="0"/>
              <w:keepLines w:val="0"/>
              <w:widowControl/>
              <w:numPr>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6、不少于 10路可编程 RS-232/RS-485混用端口；可同时控制多个使用RS-232/RS-485控制的设备，（如高清摄像机、证据展示台、高清投影机、远程终端、各类矩阵、各类音响设备等）；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7、支持不少于 8路高清独立编码录像，以确保案件审理过程中每个当事人的每个庭审细节都能清晰还原。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8、支持外接音频识别处理器，实现语音激励（，画面自动切换，支持不少于 3台摄像机的摄像联动控制）联动视频切换功能。（每个音频识别处理器提供 8路麦克风接入（最大支持最大 64台音频识别处理器级联）；</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9、每个独立画面均支持语音激励大小全景功能，即法庭中每个区域所对应的麦克风均不发言时，摄像机自动切换至该区域的全景画面，切换时间可自定义；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kern w:val="0"/>
                <w:sz w:val="21"/>
                <w:szCs w:val="21"/>
              </w:rPr>
              <w:t>★</w:t>
            </w:r>
            <w:r>
              <w:rPr>
                <w:rFonts w:hint="eastAsia" w:ascii="宋体" w:hAnsi="宋体" w:eastAsia="宋体" w:cs="宋体"/>
                <w:i w:val="0"/>
                <w:color w:val="000000"/>
                <w:kern w:val="0"/>
                <w:sz w:val="21"/>
                <w:szCs w:val="21"/>
                <w:u w:val="none"/>
                <w:lang w:val="en-US" w:eastAsia="zh-CN" w:bidi="ar"/>
              </w:rPr>
              <w:t>10、不少于 8路 HD-SDI数字高清 1080P视频输出、 6路 VGA信号输出、以适应各类显示设备、远程终端的显示需求；提供设备接口照片。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11、不少于 6路音频输入，其中 1路支持全向麦输入（主机可为全向麦提供音频 48V幻象供电）， (1路麦克风混合音输入， 4路外接音频输入，用于接入录音笔、 DVD、笔记本音频等多媒体音频信号 )3路支持笔记本、书记员电脑的立体声输入， 2路支持远程终端、音频识别处理器的 AUX音频输入；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12、不少于 6路音频输出，采用双编组设计，通过内置 6*6的音频矩阵自由切换，彻底解决远程音频正反馈问题，即回声干扰问题；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13、支持 1/2/4/6/8多画面显示，合成画面分辨率 1080P；</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14、支持 TCP、 UDP、 RTP、 RTSP、组播传输网络协议；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15、支持案件数据安全存储，内置 3T硬盘存储空间，可扩展至 4块。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16、支持独立远程视频模块，兼容标清、高清解码输出，突破高清标清界限，轻松实现远程提讯、远程审判、远程证据展示等功能；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17、内置温度传感器，实时检测主机内部温度，智能控制散热风扇工作，支持外接温湿度传感器模块，实时检测室内温湿度；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18、主机前面板内置高清监视屏，真识还原庭审现场；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19、主机前面板内置 LCD显示屏，灵活显示设备温度，室内温湿度，红外学习状态， IP地址等信息；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21、支持庭审音频独立存储，证据信号截图存储;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kern w:val="0"/>
                <w:sz w:val="21"/>
                <w:szCs w:val="21"/>
              </w:rPr>
              <w:t>★</w:t>
            </w:r>
            <w:r>
              <w:rPr>
                <w:rFonts w:hint="eastAsia" w:ascii="宋体" w:hAnsi="宋体" w:eastAsia="宋体" w:cs="宋体"/>
                <w:i w:val="0"/>
                <w:color w:val="000000"/>
                <w:kern w:val="0"/>
                <w:sz w:val="21"/>
                <w:szCs w:val="21"/>
                <w:u w:val="none"/>
                <w:lang w:val="en-US" w:eastAsia="zh-CN" w:bidi="ar"/>
              </w:rPr>
              <w:t>22、中标人需在中标后签订合同之前提供原厂商针对本项目出具的三年原厂质保原件并加盖厂商公章（投标人须在投标文件中提供承诺书）。</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幻象供电音频分配器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U金属机箱设计；激励方式：点对点接入方式；频率响应：20Hz～20Khz；总谐波失真：低于0.3%，40HZ-20KHZ；灵敏度：输入0.3mv/47k，输出0.775mv/1k；通道分离度：&gt;80dB；信噪比：&gt;90dB；输入：单机提供8路麦克风接入（支持最大64台机级联）；1路可独立调节线性输入；输出：2路独立可调输出，4路麦克风输出；语音激励：最大支持256路语音识别激励（RS232/9pin通信端口连接）；识别拾音麦克风的识别率≥95%</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鹅颈话筒</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有线会议专用麦克风，电容式,静电型收音头，心形指向性，灵敏度-37.5 dB (13.8 mV) re 1V at 1 Pa，频响范围70Hz-16.5kHz，最大声压134dB，内置三针XLRM卡农公头接口，阻抗100Ω，幻象供电，动态范围 106 dB, 1 kHz at Max SP，原装底座</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反馈抑制器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输入阻抗： XLR和1/4”TRS，电子平衡，非平衡平兼容&gt;10K,最大输入电平：10dBu,输出阻抗：XLR和1/4”TRS，电子平衡，非平衡兼容&lt;100,最大输出电平：10dBu</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功放</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功率：立体声(0.5%THD):2*500W/8欧,2*750w/4欧,1500W/桥接8欧;频率响应：20Hz-20kHz;阻尼系数：200:1；信噪比：≥100dB；输入灵敏度:0.775V；输出连接：专业输出插连接；</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吸顶音箱</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功率(AES)  60W/8Ω(AES)或60W/30W/15W@70V,频率响应:75Hz-20KHz(-10dB) ;灵敏度dB（1W/1m） :85dB ;最大声压级dB（1m）:99dB</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调音台</w:t>
            </w:r>
          </w:p>
        </w:tc>
        <w:tc>
          <w:tcPr>
            <w:tcW w:w="7079"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12通道调音台：6个话筒 / 12 个线路输入 (4 个单声道 + 4 个立体声) / 2 编组母线 + 1 立体声母线 / 2 AUX (包括 FX);“D-PRE”话放，带有倒向晶体管电路。单旋钮压缩器;单声道输入通道上的PAD开关;+48V幻象供电;XLR平衡输出;金属机身</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审判长显示器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1、屏幕类型: LED</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2、屏幕尺寸: 29英寸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3、屏幕比例: 21:9</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4、接口类型: 2*HDMI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5、垂直/水平可视角度: 178°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6、面板类型: IPS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7、分辨率: 2560*1080（超宽全高清）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8、支持VESA标准孔距：100*100 mm</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显示器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21.5英寸LED宽屏显示器，HDMI与VGA接，分辨率：1920*1080</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液晶底座</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折叠液晶底座</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微法庭与书记员电脑主机</w:t>
            </w:r>
          </w:p>
        </w:tc>
        <w:tc>
          <w:tcPr>
            <w:tcW w:w="7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NewCorei5-9500F(3.0G/9M/6核)/8G(DDR42666)/256GSSD+1T机械硬盘/2G显卡64bit/Windows10Home64位(中文版)/DVDRW/USB键盘/USB鼠标/新180W90%高效电源</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5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8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HD-SDI视频采集卡</w:t>
            </w:r>
          </w:p>
        </w:tc>
        <w:tc>
          <w:tcPr>
            <w:tcW w:w="7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全接口单路高清采集卡，输入接口：1路HD-SDI，1路HDMI、1路DVI，DVI可转接VGA、YPbPr多接口单路输入，接口类型:PCIE;支持HD 1080p/30Hz即时录像，采用MST3367CMK-LF-170 10-bit高画质影像处理芯片，支持NTSC / PAL视讯系统，支持各种高、标清视频制式，包括HDTV 1080i 1080P（1920X1080）/59.94、1080i/50、720p（1280X720）/59.94、720p/50。</w:t>
            </w:r>
          </w:p>
        </w:tc>
        <w:tc>
          <w:tcPr>
            <w:tcW w:w="54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打印机</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A4幅面黑白激光打印机， 首页输出时间：5.7秒；打印速度：38PPM(A4)；分辨率：1200x1200dpi；内存：128M RAM；处理器：1200MHz；打印语言：PCL 5e，PCL 6，PS 3仿真, PDF, URF,PCLM,PWG；输入： 250页纸盒+100页多功能纸盒；输出：150页出纸盒；标配自动双面打印；打印负荷：最高80,000/月；接口：USB2.0, 10/100/1000M网络接口，主机USB接口；可选配550页纸盒D9P29A ;硒鼓：CF228A普通型3000页；CF228X增量型 9200页；|本地供货商3年上门服务</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内网交换机</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16个10/100Base-TX以太网端口；8个10/100/1000Base-T以太网端口4个100/1000Base-X SFP端口；1个Console口,交换容量：128Gbps；包转发率：20.4Mpps</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外网交换机</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8口百兆小交换机</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电源时序发生器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16路电源输出，每路输出AC220V(10A);设有电子锁开关，手动和自动两种模式;16路电源插座依次接通或断开;每一路接通或断开时间相差1S;电源插口总容量达6KVA。</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高度：1600mm，宽度：600mm，深度：800mm，前后门为网孔门；</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多功能桌面盒</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支持电源、VGA、音频、话筒、USB等多种接口，铝合金面板（数量暂定，按实计算）</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HDMI分配器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一分四HDMI分配器，支持1080P Full HD，支持340MHz频宽，信号传输速率3.4Gbit/s</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双模无线键鼠套装</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2.4G无线与蓝牙双模无线光电键鼠套装，</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蓝牙适配器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蓝牙4.0 USB适配器</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全向麦克风</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1、接口连接：USB连接器USB 2.0标准B类迷你型接口，控制按健音量增加音量降低MIC静音。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2、音频性能，扬声器频响范围: 150Hz-15kHz可达输出声压级: 80dBSPL @1foot，麦克风频响范围: 50Hz-8kH</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线路输入频率响应: 20Hz-20kHz +/- 1dB 可达输入电平: +6 dBu输入阻抗: 10K Ohms；线路输出频率响应: 20Hz-20kHz +/- 1dB可达输出电平:+6 dBu输出阻抗: 50 Ohms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3、处理器，声反馈回声消除噪声抑制线路回声消除，电源供电USB供电提供5V电压，顶峰500毫安电流</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施工与材料费</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包工包工程材料，负责无缝对接浙江法院数字法庭信息管理平台，实现数字法庭开庭、休庭、复庭、闭庭、在线直播与点播等功能。</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庭</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原标清服务器对接费用</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★原法明标清数字法庭数据迁移并对接到本次投标数字法庭平台服务器的技术服务费。</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1009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二、法庭装修部分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原部分装修拆除</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原饰面板、墙布、栏杆拆除</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墙面批平</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墙面石膏粉批平整，包括工人与相关材料</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高档墙布</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高档墙布，包括底层湿防水涂料与相关材料</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窗帘</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1：2双层布制落地式窗帘，包括相关配件</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来</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木工板打底</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背景墙与法台，木工板打底（主材、辅材）</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木档</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木档</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吸音板</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多孔吸音板</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罗马杆木扶手</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罗马杆木扶手（主材、辅材）</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实木多层地板</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法台实木多层地板</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平方米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地板压条</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地板压条</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米</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成品保护</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顶面与地面成品保护</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顶面油漆修复</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定制</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背景墙与法台木工施工费</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工日</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定制</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装修垃圾搬运，运输处理等费用，</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定制</w:t>
            </w:r>
          </w:p>
        </w:tc>
        <w:tc>
          <w:tcPr>
            <w:tcW w:w="7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装修现场协调与管理费用、税金等</w:t>
            </w:r>
          </w:p>
        </w:tc>
        <w:tc>
          <w:tcPr>
            <w:tcW w:w="5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w:t>
            </w:r>
          </w:p>
        </w:tc>
        <w:tc>
          <w:tcPr>
            <w:tcW w:w="9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bookmarkEnd w:id="2"/>
      <w:bookmarkEnd w:id="3"/>
      <w:bookmarkEnd w:id="4"/>
      <w:bookmarkEnd w:id="5"/>
      <w:bookmarkEnd w:id="6"/>
      <w:bookmarkEnd w:id="7"/>
      <w:bookmarkEnd w:id="8"/>
      <w:bookmarkEnd w:id="9"/>
      <w:bookmarkEnd w:id="10"/>
      <w:bookmarkEnd w:id="11"/>
      <w:bookmarkEnd w:id="12"/>
    </w:tbl>
    <w:p>
      <w:pPr>
        <w:widowControl/>
        <w:spacing w:line="360" w:lineRule="auto"/>
        <w:ind w:firstLine="205" w:firstLineChars="98"/>
        <w:jc w:val="left"/>
        <w:outlineLvl w:val="0"/>
        <w:rPr>
          <w:rFonts w:ascii="宋体" w:hAnsi="宋体" w:cs="宋体"/>
          <w:b/>
          <w:kern w:val="0"/>
          <w:szCs w:val="21"/>
        </w:rPr>
      </w:pPr>
      <w:r>
        <w:rPr>
          <w:rFonts w:hint="eastAsia" w:ascii="宋体" w:hAnsi="宋体" w:cs="宋体"/>
          <w:b/>
          <w:kern w:val="0"/>
          <w:szCs w:val="21"/>
        </w:rPr>
        <w:t>注：打★指标必须满足。</w:t>
      </w:r>
    </w:p>
    <w:p>
      <w:pPr>
        <w:spacing w:line="360" w:lineRule="auto"/>
        <w:rPr>
          <w:rFonts w:hint="eastAsia" w:ascii="仿宋_GB2312" w:hAnsi="楷体" w:eastAsia="仿宋_GB2312"/>
          <w:b/>
          <w:sz w:val="32"/>
          <w:szCs w:val="32"/>
        </w:rPr>
      </w:pPr>
    </w:p>
    <w:p>
      <w:pPr>
        <w:spacing w:line="360" w:lineRule="auto"/>
        <w:rPr>
          <w:rFonts w:hint="eastAsia" w:ascii="仿宋_GB2312" w:hAnsi="楷体" w:eastAsia="仿宋_GB2312"/>
          <w:b/>
          <w:sz w:val="32"/>
          <w:szCs w:val="32"/>
        </w:rPr>
      </w:pPr>
    </w:p>
    <w:p>
      <w:pPr>
        <w:rPr>
          <w:rFonts w:hint="eastAsia"/>
          <w:sz w:val="32"/>
        </w:rPr>
      </w:pPr>
      <w:bookmarkStart w:id="13" w:name="_GoBack"/>
      <w:bookmarkEnd w:id="13"/>
    </w:p>
    <w:sectPr>
      <w:type w:val="continuous"/>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10CCF"/>
    <w:multiLevelType w:val="singleLevel"/>
    <w:tmpl w:val="99010CCF"/>
    <w:lvl w:ilvl="0" w:tentative="0">
      <w:start w:val="3"/>
      <w:numFmt w:val="chineseCounting"/>
      <w:suff w:val="nothing"/>
      <w:lvlText w:val="%1、"/>
      <w:lvlJc w:val="left"/>
      <w:rPr>
        <w:rFonts w:hint="eastAsia"/>
      </w:rPr>
    </w:lvl>
  </w:abstractNum>
  <w:abstractNum w:abstractNumId="1">
    <w:nsid w:val="0F793E23"/>
    <w:multiLevelType w:val="multilevel"/>
    <w:tmpl w:val="0F793E23"/>
    <w:lvl w:ilvl="0" w:tentative="0">
      <w:start w:val="1"/>
      <w:numFmt w:val="decimal"/>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
    <w:nsid w:val="7314640C"/>
    <w:multiLevelType w:val="singleLevel"/>
    <w:tmpl w:val="7314640C"/>
    <w:lvl w:ilvl="0" w:tentative="0">
      <w:start w:val="1"/>
      <w:numFmt w:val="decimal"/>
      <w:suff w:val="nothing"/>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8F"/>
    <w:rsid w:val="000110F4"/>
    <w:rsid w:val="00025460"/>
    <w:rsid w:val="00042150"/>
    <w:rsid w:val="000B2B20"/>
    <w:rsid w:val="000E1E09"/>
    <w:rsid w:val="000F4163"/>
    <w:rsid w:val="00101777"/>
    <w:rsid w:val="0011640B"/>
    <w:rsid w:val="002007F4"/>
    <w:rsid w:val="0022241F"/>
    <w:rsid w:val="00233FF6"/>
    <w:rsid w:val="0027475D"/>
    <w:rsid w:val="002C2979"/>
    <w:rsid w:val="002C3569"/>
    <w:rsid w:val="002E20B3"/>
    <w:rsid w:val="003166AC"/>
    <w:rsid w:val="004067E0"/>
    <w:rsid w:val="00432752"/>
    <w:rsid w:val="005048CD"/>
    <w:rsid w:val="00531F7A"/>
    <w:rsid w:val="005428DE"/>
    <w:rsid w:val="00554161"/>
    <w:rsid w:val="00566ABD"/>
    <w:rsid w:val="005A02D0"/>
    <w:rsid w:val="005A046D"/>
    <w:rsid w:val="006A4E67"/>
    <w:rsid w:val="006C2ADE"/>
    <w:rsid w:val="006D66DE"/>
    <w:rsid w:val="00710D60"/>
    <w:rsid w:val="0076743B"/>
    <w:rsid w:val="007736EE"/>
    <w:rsid w:val="007826AA"/>
    <w:rsid w:val="00784EE0"/>
    <w:rsid w:val="007A0E28"/>
    <w:rsid w:val="007B3838"/>
    <w:rsid w:val="007D62DA"/>
    <w:rsid w:val="00820BB1"/>
    <w:rsid w:val="00826931"/>
    <w:rsid w:val="00876B9C"/>
    <w:rsid w:val="008A3F34"/>
    <w:rsid w:val="008A669B"/>
    <w:rsid w:val="008E3ECA"/>
    <w:rsid w:val="00950C8A"/>
    <w:rsid w:val="009E4577"/>
    <w:rsid w:val="00A07D7E"/>
    <w:rsid w:val="00AA4A56"/>
    <w:rsid w:val="00B21117"/>
    <w:rsid w:val="00BD753B"/>
    <w:rsid w:val="00BF3C37"/>
    <w:rsid w:val="00C16A33"/>
    <w:rsid w:val="00C7068E"/>
    <w:rsid w:val="00C95F07"/>
    <w:rsid w:val="00C96C7B"/>
    <w:rsid w:val="00CA53EC"/>
    <w:rsid w:val="00CC3577"/>
    <w:rsid w:val="00CD63D1"/>
    <w:rsid w:val="00CE7DA9"/>
    <w:rsid w:val="00D00159"/>
    <w:rsid w:val="00D073B5"/>
    <w:rsid w:val="00D24201"/>
    <w:rsid w:val="00D50CE3"/>
    <w:rsid w:val="00D56DF1"/>
    <w:rsid w:val="00D768CD"/>
    <w:rsid w:val="00DB729C"/>
    <w:rsid w:val="00DE5BA4"/>
    <w:rsid w:val="00E37CC9"/>
    <w:rsid w:val="00E934DF"/>
    <w:rsid w:val="00F1250B"/>
    <w:rsid w:val="00F55774"/>
    <w:rsid w:val="00F96429"/>
    <w:rsid w:val="00FE1C8F"/>
    <w:rsid w:val="00FF6324"/>
    <w:rsid w:val="00FF6CF9"/>
    <w:rsid w:val="071273FF"/>
    <w:rsid w:val="0BCA1B2F"/>
    <w:rsid w:val="0F432FA6"/>
    <w:rsid w:val="15704FF2"/>
    <w:rsid w:val="159A0DA4"/>
    <w:rsid w:val="1E270D50"/>
    <w:rsid w:val="1F9E15A5"/>
    <w:rsid w:val="27911CA4"/>
    <w:rsid w:val="2E551A67"/>
    <w:rsid w:val="2EAB7A46"/>
    <w:rsid w:val="3A2033CD"/>
    <w:rsid w:val="3AD901A9"/>
    <w:rsid w:val="413266E4"/>
    <w:rsid w:val="448A4508"/>
    <w:rsid w:val="47391B26"/>
    <w:rsid w:val="47B32B90"/>
    <w:rsid w:val="4C630E7D"/>
    <w:rsid w:val="4D994335"/>
    <w:rsid w:val="50BA16E9"/>
    <w:rsid w:val="53DE473A"/>
    <w:rsid w:val="54872DA2"/>
    <w:rsid w:val="599F0510"/>
    <w:rsid w:val="607A6435"/>
    <w:rsid w:val="68813456"/>
    <w:rsid w:val="6C666538"/>
    <w:rsid w:val="6DA01C8C"/>
    <w:rsid w:val="6F6F17C8"/>
    <w:rsid w:val="71B00F94"/>
    <w:rsid w:val="76E50D4E"/>
    <w:rsid w:val="7796046E"/>
    <w:rsid w:val="780F17FE"/>
    <w:rsid w:val="787036CF"/>
    <w:rsid w:val="7EFB0C55"/>
    <w:rsid w:val="7F2165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link w:val="9"/>
    <w:semiHidden/>
    <w:uiPriority w:val="0"/>
    <w:rPr>
      <w:rFonts w:ascii="Tahoma" w:hAnsi="Tahoma"/>
      <w:sz w:val="24"/>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Date"/>
    <w:basedOn w:val="1"/>
    <w:next w:val="1"/>
    <w:qFormat/>
    <w:uiPriority w:val="0"/>
    <w:pPr>
      <w:ind w:left="100" w:leftChars="2500"/>
    </w:p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Char Char Char"/>
    <w:basedOn w:val="1"/>
    <w:link w:val="8"/>
    <w:qFormat/>
    <w:uiPriority w:val="0"/>
    <w:rPr>
      <w:rFonts w:ascii="Tahoma" w:hAnsi="Tahoma"/>
      <w:sz w:val="24"/>
    </w:rPr>
  </w:style>
  <w:style w:type="character" w:styleId="10">
    <w:name w:val="page number"/>
    <w:basedOn w:val="8"/>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qFormat/>
    <w:uiPriority w:val="0"/>
    <w:pPr>
      <w:ind w:firstLine="420" w:firstLineChars="200"/>
    </w:pPr>
  </w:style>
  <w:style w:type="paragraph" w:customStyle="1" w:styleId="14">
    <w:name w:val="标题1"/>
    <w:basedOn w:val="1"/>
    <w:link w:val="20"/>
    <w:qFormat/>
    <w:uiPriority w:val="0"/>
    <w:pPr>
      <w:adjustRightInd w:val="0"/>
      <w:snapToGrid w:val="0"/>
      <w:spacing w:line="360" w:lineRule="auto"/>
      <w:jc w:val="center"/>
    </w:pPr>
    <w:rPr>
      <w:rFonts w:ascii="Arial" w:hAnsi="宋体"/>
      <w:b/>
      <w:bCs/>
      <w:sz w:val="44"/>
      <w:szCs w:val="24"/>
    </w:rPr>
  </w:style>
  <w:style w:type="paragraph" w:customStyle="1" w:styleId="15">
    <w:name w:val="表格内容1"/>
    <w:basedOn w:val="1"/>
    <w:qFormat/>
    <w:uiPriority w:val="0"/>
    <w:rPr>
      <w:sz w:val="24"/>
    </w:rPr>
  </w:style>
  <w:style w:type="paragraph" w:customStyle="1" w:styleId="16">
    <w:name w:val="4"/>
    <w:basedOn w:val="1"/>
    <w:next w:val="1"/>
    <w:qFormat/>
    <w:uiPriority w:val="0"/>
    <w:rPr>
      <w:sz w:val="24"/>
      <w:szCs w:val="20"/>
    </w:rPr>
  </w:style>
  <w:style w:type="character" w:customStyle="1" w:styleId="17">
    <w:name w:val="font51"/>
    <w:basedOn w:val="8"/>
    <w:qFormat/>
    <w:uiPriority w:val="0"/>
    <w:rPr>
      <w:rFonts w:hint="eastAsia" w:ascii="宋体" w:hAnsi="宋体" w:eastAsia="宋体" w:cs="宋体"/>
      <w:color w:val="FF0000"/>
      <w:sz w:val="20"/>
      <w:szCs w:val="20"/>
      <w:u w:val="none"/>
    </w:rPr>
  </w:style>
  <w:style w:type="character" w:customStyle="1" w:styleId="18">
    <w:name w:val="页眉 Char"/>
    <w:basedOn w:val="8"/>
    <w:link w:val="7"/>
    <w:qFormat/>
    <w:uiPriority w:val="0"/>
    <w:rPr>
      <w:kern w:val="2"/>
      <w:sz w:val="18"/>
      <w:szCs w:val="18"/>
    </w:rPr>
  </w:style>
  <w:style w:type="character" w:customStyle="1" w:styleId="19">
    <w:name w:val="页脚 Char"/>
    <w:basedOn w:val="8"/>
    <w:link w:val="6"/>
    <w:uiPriority w:val="0"/>
    <w:rPr>
      <w:kern w:val="2"/>
      <w:sz w:val="18"/>
      <w:szCs w:val="18"/>
    </w:rPr>
  </w:style>
  <w:style w:type="character" w:customStyle="1" w:styleId="20">
    <w:name w:val="标题1 Char"/>
    <w:link w:val="14"/>
    <w:uiPriority w:val="0"/>
    <w:rPr>
      <w:rFonts w:ascii="Arial" w:hAnsi="宋体" w:eastAsia="宋体"/>
      <w:b/>
      <w:bCs/>
      <w:kern w:val="2"/>
      <w:sz w:val="44"/>
      <w:szCs w:val="24"/>
      <w:lang w:bidi="ar-SA"/>
    </w:rPr>
  </w:style>
  <w:style w:type="character" w:customStyle="1" w:styleId="21">
    <w:name w:val="font8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222</Words>
  <Characters>1269</Characters>
  <Lines>10</Lines>
  <Paragraphs>2</Paragraphs>
  <TotalTime>0</TotalTime>
  <ScaleCrop>false</ScaleCrop>
  <LinksUpToDate>false</LinksUpToDate>
  <CharactersWithSpaces>1489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2016-11-30T02:53:00Z</dcterms:created>
  <dc:creator>刘振</dc:creator>
  <cp:lastModifiedBy>宇</cp:lastModifiedBy>
  <dcterms:modified xsi:type="dcterms:W3CDTF">2020-05-20T02:57:46Z</dcterms:modified>
  <dc:title>宁波市公路局大屏综合指挥可视化演示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