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D8" w:rsidRDefault="00660FB3">
      <w:pPr>
        <w:jc w:val="center"/>
        <w:rPr>
          <w:b/>
          <w:sz w:val="32"/>
          <w:szCs w:val="32"/>
        </w:rPr>
      </w:pPr>
      <w:r>
        <w:rPr>
          <w:rFonts w:hint="eastAsia"/>
          <w:b/>
          <w:sz w:val="32"/>
          <w:szCs w:val="32"/>
        </w:rPr>
        <w:t>配置要求</w:t>
      </w:r>
    </w:p>
    <w:tbl>
      <w:tblPr>
        <w:tblW w:w="9048" w:type="dxa"/>
        <w:jc w:val="center"/>
        <w:tblLayout w:type="fixed"/>
        <w:tblLook w:val="04A0"/>
      </w:tblPr>
      <w:tblGrid>
        <w:gridCol w:w="1636"/>
        <w:gridCol w:w="7412"/>
      </w:tblGrid>
      <w:tr w:rsidR="008D0AD8">
        <w:trPr>
          <w:trHeight w:val="589"/>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b/>
                <w:bCs/>
                <w:color w:val="000000"/>
                <w:sz w:val="24"/>
                <w:szCs w:val="24"/>
              </w:rPr>
            </w:pPr>
            <w:r>
              <w:rPr>
                <w:rFonts w:ascii="宋体" w:hAnsi="宋体" w:hint="eastAsia"/>
                <w:b/>
                <w:bCs/>
                <w:color w:val="000000"/>
                <w:sz w:val="24"/>
                <w:szCs w:val="24"/>
              </w:rPr>
              <w:t>项</w:t>
            </w:r>
            <w:r>
              <w:rPr>
                <w:rFonts w:ascii="宋体" w:hAnsi="宋体" w:hint="eastAsia"/>
                <w:b/>
                <w:bCs/>
                <w:color w:val="000000"/>
                <w:sz w:val="24"/>
                <w:szCs w:val="24"/>
              </w:rPr>
              <w:t xml:space="preserve"> </w:t>
            </w:r>
            <w:r>
              <w:rPr>
                <w:rFonts w:ascii="宋体" w:hAnsi="宋体" w:hint="eastAsia"/>
                <w:b/>
                <w:bCs/>
                <w:color w:val="000000"/>
                <w:sz w:val="24"/>
                <w:szCs w:val="24"/>
              </w:rPr>
              <w:t>目</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center"/>
              <w:rPr>
                <w:rFonts w:ascii="宋体" w:hAnsi="宋体"/>
                <w:b/>
                <w:bCs/>
                <w:color w:val="000000"/>
                <w:sz w:val="24"/>
                <w:szCs w:val="24"/>
              </w:rPr>
            </w:pPr>
            <w:r>
              <w:rPr>
                <w:rFonts w:ascii="宋体" w:hAnsi="宋体" w:hint="eastAsia"/>
                <w:b/>
                <w:bCs/>
                <w:color w:val="000000"/>
                <w:sz w:val="24"/>
                <w:szCs w:val="24"/>
              </w:rPr>
              <w:t>技术规格要求</w:t>
            </w:r>
          </w:p>
        </w:tc>
      </w:tr>
      <w:tr w:rsidR="008D0AD8">
        <w:trPr>
          <w:trHeight w:val="589"/>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b/>
                <w:bCs/>
                <w:color w:val="000000"/>
                <w:sz w:val="24"/>
                <w:szCs w:val="24"/>
              </w:rPr>
            </w:pPr>
            <w:r>
              <w:rPr>
                <w:rFonts w:ascii="宋体" w:hAnsi="宋体" w:hint="eastAsia"/>
                <w:color w:val="000000"/>
                <w:sz w:val="24"/>
                <w:szCs w:val="24"/>
              </w:rPr>
              <w:t>品牌型号</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b/>
                <w:bCs/>
                <w:color w:val="000000"/>
                <w:sz w:val="24"/>
                <w:szCs w:val="24"/>
              </w:rPr>
            </w:pPr>
            <w:proofErr w:type="gramStart"/>
            <w:r>
              <w:rPr>
                <w:rFonts w:ascii="宋体" w:hAnsi="宋体" w:hint="eastAsia"/>
                <w:color w:val="000000"/>
                <w:sz w:val="24"/>
                <w:szCs w:val="24"/>
              </w:rPr>
              <w:t>联想启天</w:t>
            </w:r>
            <w:proofErr w:type="gramEnd"/>
            <w:r>
              <w:rPr>
                <w:rFonts w:ascii="宋体" w:hAnsi="宋体" w:hint="eastAsia"/>
                <w:color w:val="000000"/>
                <w:sz w:val="24"/>
                <w:szCs w:val="24"/>
              </w:rPr>
              <w:t>M425</w:t>
            </w:r>
          </w:p>
        </w:tc>
      </w:tr>
      <w:tr w:rsidR="008D0AD8">
        <w:trPr>
          <w:trHeight w:val="504"/>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CPU</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hint="eastAsia"/>
                <w:color w:val="000000"/>
                <w:sz w:val="24"/>
                <w:szCs w:val="24"/>
              </w:rPr>
              <w:t>Intel Core i5-9500 3G 6C</w:t>
            </w:r>
            <w:r>
              <w:rPr>
                <w:rFonts w:ascii="宋体" w:hAnsi="宋体" w:hint="eastAsia"/>
                <w:color w:val="000000"/>
                <w:sz w:val="24"/>
                <w:szCs w:val="24"/>
              </w:rPr>
              <w:t>（不接受偏离）</w:t>
            </w:r>
          </w:p>
        </w:tc>
      </w:tr>
      <w:tr w:rsidR="008D0AD8">
        <w:trPr>
          <w:trHeight w:val="447"/>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主板</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hint="eastAsia"/>
                <w:color w:val="000000"/>
                <w:sz w:val="24"/>
                <w:szCs w:val="24"/>
              </w:rPr>
              <w:t xml:space="preserve">Intel B360 </w:t>
            </w:r>
          </w:p>
        </w:tc>
      </w:tr>
      <w:tr w:rsidR="008D0AD8">
        <w:trPr>
          <w:trHeight w:val="390"/>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内存</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hint="eastAsia"/>
                <w:color w:val="000000"/>
                <w:sz w:val="24"/>
                <w:szCs w:val="24"/>
              </w:rPr>
              <w:t xml:space="preserve">8G DDR4 2400MHz </w:t>
            </w:r>
            <w:r>
              <w:rPr>
                <w:rFonts w:ascii="宋体" w:hAnsi="宋体" w:hint="eastAsia"/>
                <w:color w:val="000000"/>
                <w:sz w:val="24"/>
                <w:szCs w:val="24"/>
              </w:rPr>
              <w:t>内存，提供双内存槽位</w:t>
            </w:r>
          </w:p>
        </w:tc>
      </w:tr>
      <w:tr w:rsidR="008D0AD8">
        <w:trPr>
          <w:trHeight w:val="459"/>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显卡</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hint="eastAsia"/>
                <w:color w:val="000000"/>
                <w:sz w:val="24"/>
                <w:szCs w:val="24"/>
              </w:rPr>
              <w:t>集成显卡</w:t>
            </w:r>
          </w:p>
        </w:tc>
      </w:tr>
      <w:tr w:rsidR="008D0AD8">
        <w:trPr>
          <w:trHeight w:val="595"/>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声卡</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b/>
                <w:sz w:val="24"/>
                <w:szCs w:val="24"/>
              </w:rPr>
            </w:pPr>
            <w:r>
              <w:rPr>
                <w:rFonts w:ascii="宋体" w:hAnsi="宋体" w:hint="eastAsia"/>
                <w:bCs/>
                <w:sz w:val="24"/>
                <w:szCs w:val="24"/>
              </w:rPr>
              <w:t>集成声卡，支持</w:t>
            </w:r>
            <w:r>
              <w:rPr>
                <w:rFonts w:ascii="宋体" w:hAnsi="宋体" w:hint="eastAsia"/>
                <w:bCs/>
                <w:sz w:val="24"/>
                <w:szCs w:val="24"/>
              </w:rPr>
              <w:t>5.1</w:t>
            </w:r>
            <w:r>
              <w:rPr>
                <w:rFonts w:ascii="宋体" w:hAnsi="宋体" w:hint="eastAsia"/>
                <w:bCs/>
                <w:sz w:val="24"/>
                <w:szCs w:val="24"/>
              </w:rPr>
              <w:t>声道（提供前</w:t>
            </w:r>
            <w:r>
              <w:rPr>
                <w:rFonts w:ascii="宋体" w:hAnsi="宋体" w:hint="eastAsia"/>
                <w:bCs/>
                <w:sz w:val="24"/>
                <w:szCs w:val="24"/>
              </w:rPr>
              <w:t>2</w:t>
            </w:r>
            <w:r>
              <w:rPr>
                <w:rFonts w:ascii="宋体" w:hAnsi="宋体" w:hint="eastAsia"/>
                <w:bCs/>
                <w:sz w:val="24"/>
                <w:szCs w:val="24"/>
              </w:rPr>
              <w:t>后</w:t>
            </w:r>
            <w:r>
              <w:rPr>
                <w:rFonts w:ascii="宋体" w:hAnsi="宋体" w:hint="eastAsia"/>
                <w:bCs/>
                <w:sz w:val="24"/>
                <w:szCs w:val="24"/>
              </w:rPr>
              <w:t>3</w:t>
            </w:r>
            <w:r>
              <w:rPr>
                <w:rFonts w:ascii="宋体" w:hAnsi="宋体" w:hint="eastAsia"/>
                <w:bCs/>
                <w:sz w:val="24"/>
                <w:szCs w:val="24"/>
              </w:rPr>
              <w:t>共</w:t>
            </w:r>
            <w:r>
              <w:rPr>
                <w:rFonts w:ascii="宋体" w:hAnsi="宋体" w:hint="eastAsia"/>
                <w:bCs/>
                <w:sz w:val="24"/>
                <w:szCs w:val="24"/>
              </w:rPr>
              <w:t>5</w:t>
            </w:r>
            <w:r>
              <w:rPr>
                <w:rFonts w:ascii="宋体" w:hAnsi="宋体" w:hint="eastAsia"/>
                <w:bCs/>
                <w:sz w:val="24"/>
                <w:szCs w:val="24"/>
              </w:rPr>
              <w:t>个音频接口）</w:t>
            </w:r>
          </w:p>
        </w:tc>
      </w:tr>
      <w:tr w:rsidR="008D0AD8">
        <w:trPr>
          <w:trHeight w:val="457"/>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硬盘</w:t>
            </w:r>
          </w:p>
        </w:tc>
        <w:tc>
          <w:tcPr>
            <w:tcW w:w="7412" w:type="dxa"/>
            <w:tcBorders>
              <w:top w:val="single" w:sz="6" w:space="0" w:color="000000"/>
              <w:left w:val="nil"/>
              <w:right w:val="single" w:sz="6" w:space="0" w:color="000000"/>
            </w:tcBorders>
            <w:vAlign w:val="center"/>
          </w:tcPr>
          <w:p w:rsidR="008D0AD8" w:rsidRDefault="00FF5562">
            <w:pPr>
              <w:widowControl/>
              <w:spacing w:before="100" w:beforeAutospacing="1" w:after="100" w:afterAutospacing="1"/>
              <w:jc w:val="left"/>
              <w:rPr>
                <w:rFonts w:ascii="宋体" w:hAnsi="宋体"/>
                <w:sz w:val="24"/>
                <w:szCs w:val="24"/>
              </w:rPr>
            </w:pPr>
            <w:r>
              <w:rPr>
                <w:rFonts w:ascii="宋体" w:hAnsi="宋体" w:hint="eastAsia"/>
                <w:sz w:val="24"/>
                <w:szCs w:val="24"/>
              </w:rPr>
              <w:t>128固态硬盘+</w:t>
            </w:r>
            <w:r w:rsidR="00660FB3">
              <w:rPr>
                <w:rFonts w:ascii="宋体" w:hAnsi="宋体" w:hint="eastAsia"/>
                <w:sz w:val="24"/>
                <w:szCs w:val="24"/>
              </w:rPr>
              <w:t xml:space="preserve">1TB SATA3 7200rpm </w:t>
            </w:r>
            <w:r w:rsidR="00660FB3">
              <w:rPr>
                <w:rFonts w:ascii="宋体" w:hAnsi="宋体" w:hint="eastAsia"/>
                <w:sz w:val="24"/>
                <w:szCs w:val="24"/>
              </w:rPr>
              <w:t>硬盘</w:t>
            </w:r>
          </w:p>
        </w:tc>
      </w:tr>
      <w:tr w:rsidR="008D0AD8">
        <w:trPr>
          <w:trHeight w:val="454"/>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网卡</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集成</w:t>
            </w:r>
            <w:r>
              <w:rPr>
                <w:rFonts w:ascii="宋体" w:hAnsi="宋体" w:hint="eastAsia"/>
                <w:sz w:val="24"/>
                <w:szCs w:val="24"/>
              </w:rPr>
              <w:t>10/100/1000M</w:t>
            </w:r>
            <w:r>
              <w:rPr>
                <w:rFonts w:ascii="宋体" w:hAnsi="宋体" w:hint="eastAsia"/>
                <w:sz w:val="24"/>
                <w:szCs w:val="24"/>
              </w:rPr>
              <w:t>以太网卡；</w:t>
            </w:r>
          </w:p>
        </w:tc>
      </w:tr>
      <w:tr w:rsidR="008D0AD8">
        <w:trPr>
          <w:trHeight w:val="536"/>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扩展槽</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1</w:t>
            </w:r>
            <w:r>
              <w:rPr>
                <w:rFonts w:ascii="宋体" w:hAnsi="宋体" w:hint="eastAsia"/>
                <w:sz w:val="24"/>
                <w:szCs w:val="24"/>
              </w:rPr>
              <w:t>个</w:t>
            </w:r>
            <w:r>
              <w:rPr>
                <w:rFonts w:ascii="宋体" w:hAnsi="宋体" w:hint="eastAsia"/>
                <w:sz w:val="24"/>
                <w:szCs w:val="24"/>
              </w:rPr>
              <w:t>PCI-E*16</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个</w:t>
            </w:r>
            <w:r>
              <w:rPr>
                <w:rFonts w:ascii="宋体" w:hAnsi="宋体" w:hint="eastAsia"/>
                <w:sz w:val="24"/>
                <w:szCs w:val="24"/>
              </w:rPr>
              <w:t>PCI-E*1</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个</w:t>
            </w:r>
            <w:r>
              <w:rPr>
                <w:rFonts w:ascii="宋体" w:hAnsi="宋体" w:hint="eastAsia"/>
                <w:sz w:val="24"/>
                <w:szCs w:val="24"/>
              </w:rPr>
              <w:t>PCI</w:t>
            </w:r>
            <w:r>
              <w:rPr>
                <w:rFonts w:ascii="宋体" w:hAnsi="宋体" w:hint="eastAsia"/>
                <w:sz w:val="24"/>
                <w:szCs w:val="24"/>
              </w:rPr>
              <w:t>槽位</w:t>
            </w:r>
          </w:p>
        </w:tc>
      </w:tr>
      <w:tr w:rsidR="008D0AD8">
        <w:trPr>
          <w:trHeight w:val="364"/>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显示器</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w:t>
            </w:r>
            <w:r>
              <w:rPr>
                <w:rFonts w:ascii="宋体" w:hAnsi="宋体" w:hint="eastAsia"/>
                <w:sz w:val="24"/>
                <w:szCs w:val="24"/>
              </w:rPr>
              <w:t>19.5</w:t>
            </w:r>
            <w:r>
              <w:rPr>
                <w:rFonts w:ascii="宋体" w:hAnsi="宋体" w:hint="eastAsia"/>
                <w:sz w:val="24"/>
                <w:szCs w:val="24"/>
              </w:rPr>
              <w:t>寸</w:t>
            </w:r>
            <w:r>
              <w:rPr>
                <w:rFonts w:ascii="宋体" w:hAnsi="宋体" w:hint="eastAsia"/>
                <w:sz w:val="24"/>
                <w:szCs w:val="24"/>
              </w:rPr>
              <w:t>LED</w:t>
            </w:r>
            <w:r>
              <w:rPr>
                <w:rFonts w:ascii="宋体" w:hAnsi="宋体" w:hint="eastAsia"/>
                <w:sz w:val="24"/>
                <w:szCs w:val="24"/>
              </w:rPr>
              <w:t>显示器</w:t>
            </w:r>
          </w:p>
        </w:tc>
      </w:tr>
      <w:tr w:rsidR="008D0AD8">
        <w:trPr>
          <w:trHeight w:val="435"/>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键盘、鼠标</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防水抗菌键盘、抗菌鼠标</w:t>
            </w:r>
            <w:r>
              <w:rPr>
                <w:rFonts w:ascii="宋体" w:hAnsi="宋体" w:hint="eastAsia"/>
                <w:sz w:val="24"/>
                <w:szCs w:val="24"/>
              </w:rPr>
              <w:t> </w:t>
            </w:r>
          </w:p>
        </w:tc>
      </w:tr>
      <w:tr w:rsidR="008D0AD8">
        <w:trPr>
          <w:trHeight w:val="698"/>
          <w:jc w:val="center"/>
        </w:trPr>
        <w:tc>
          <w:tcPr>
            <w:tcW w:w="1636" w:type="dxa"/>
            <w:tcBorders>
              <w:top w:val="single" w:sz="6" w:space="0" w:color="000000"/>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接口</w:t>
            </w:r>
          </w:p>
        </w:tc>
        <w:tc>
          <w:tcPr>
            <w:tcW w:w="7412" w:type="dxa"/>
            <w:tcBorders>
              <w:top w:val="single" w:sz="6" w:space="0" w:color="000000"/>
              <w:left w:val="nil"/>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10</w:t>
            </w:r>
            <w:r>
              <w:rPr>
                <w:rFonts w:ascii="宋体" w:hAnsi="宋体" w:hint="eastAsia"/>
                <w:sz w:val="24"/>
                <w:szCs w:val="24"/>
              </w:rPr>
              <w:t>个</w:t>
            </w:r>
            <w:r>
              <w:rPr>
                <w:rFonts w:ascii="宋体" w:hAnsi="宋体" w:hint="eastAsia"/>
                <w:sz w:val="24"/>
                <w:szCs w:val="24"/>
              </w:rPr>
              <w:t>USB 3.1</w:t>
            </w:r>
            <w:r>
              <w:rPr>
                <w:rFonts w:ascii="宋体" w:hAnsi="宋体" w:hint="eastAsia"/>
                <w:sz w:val="24"/>
                <w:szCs w:val="24"/>
              </w:rPr>
              <w:t>接口</w:t>
            </w:r>
            <w:r>
              <w:rPr>
                <w:rFonts w:ascii="宋体" w:hAnsi="宋体" w:hint="eastAsia"/>
                <w:sz w:val="24"/>
                <w:szCs w:val="24"/>
              </w:rPr>
              <w:t>(</w:t>
            </w:r>
            <w:r>
              <w:rPr>
                <w:rFonts w:ascii="宋体" w:hAnsi="宋体" w:hint="eastAsia"/>
                <w:sz w:val="24"/>
                <w:szCs w:val="24"/>
              </w:rPr>
              <w:t>前置</w:t>
            </w:r>
            <w:r>
              <w:rPr>
                <w:rFonts w:ascii="宋体" w:hAnsi="宋体" w:hint="eastAsia"/>
                <w:sz w:val="24"/>
                <w:szCs w:val="24"/>
              </w:rPr>
              <w:t>6</w:t>
            </w:r>
            <w:r>
              <w:rPr>
                <w:rFonts w:ascii="宋体" w:hAnsi="宋体" w:hint="eastAsia"/>
                <w:sz w:val="24"/>
                <w:szCs w:val="24"/>
              </w:rPr>
              <w:t>个</w:t>
            </w:r>
            <w:r>
              <w:rPr>
                <w:rFonts w:ascii="宋体" w:hAnsi="宋体" w:hint="eastAsia"/>
                <w:sz w:val="24"/>
                <w:szCs w:val="24"/>
              </w:rPr>
              <w:t>USB 3.1 G1</w:t>
            </w:r>
            <w:r>
              <w:rPr>
                <w:rFonts w:ascii="宋体" w:hAnsi="宋体" w:hint="eastAsia"/>
                <w:sz w:val="24"/>
                <w:szCs w:val="24"/>
              </w:rPr>
              <w:t>，后置</w:t>
            </w:r>
            <w:r>
              <w:rPr>
                <w:rFonts w:ascii="宋体" w:hAnsi="宋体" w:hint="eastAsia"/>
                <w:sz w:val="24"/>
                <w:szCs w:val="24"/>
              </w:rPr>
              <w:t>4</w:t>
            </w:r>
            <w:r>
              <w:rPr>
                <w:rFonts w:ascii="宋体" w:hAnsi="宋体" w:hint="eastAsia"/>
                <w:sz w:val="24"/>
                <w:szCs w:val="24"/>
              </w:rPr>
              <w:t>个</w:t>
            </w:r>
            <w:r>
              <w:rPr>
                <w:rFonts w:ascii="宋体" w:hAnsi="宋体" w:hint="eastAsia"/>
                <w:sz w:val="24"/>
                <w:szCs w:val="24"/>
              </w:rPr>
              <w:t>USB 2.0)</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组</w:t>
            </w:r>
            <w:r>
              <w:rPr>
                <w:rFonts w:ascii="宋体" w:hAnsi="宋体" w:hint="eastAsia"/>
                <w:sz w:val="24"/>
                <w:szCs w:val="24"/>
              </w:rPr>
              <w:t>PS/2</w:t>
            </w:r>
            <w:r>
              <w:rPr>
                <w:rFonts w:ascii="宋体" w:hAnsi="宋体" w:hint="eastAsia"/>
                <w:sz w:val="24"/>
                <w:szCs w:val="24"/>
              </w:rPr>
              <w:t>接口、</w:t>
            </w:r>
            <w:r>
              <w:rPr>
                <w:rFonts w:ascii="宋体" w:hAnsi="宋体" w:hint="eastAsia"/>
                <w:sz w:val="24"/>
                <w:szCs w:val="24"/>
              </w:rPr>
              <w:t>1</w:t>
            </w:r>
            <w:r>
              <w:rPr>
                <w:rFonts w:ascii="宋体" w:hAnsi="宋体" w:hint="eastAsia"/>
                <w:sz w:val="24"/>
                <w:szCs w:val="24"/>
              </w:rPr>
              <w:t>个串口、</w:t>
            </w:r>
            <w:r>
              <w:rPr>
                <w:rFonts w:ascii="宋体" w:hAnsi="宋体" w:hint="eastAsia"/>
                <w:sz w:val="24"/>
                <w:szCs w:val="24"/>
              </w:rPr>
              <w:t>VGA+HDMI</w:t>
            </w:r>
            <w:r>
              <w:rPr>
                <w:rFonts w:ascii="宋体" w:hAnsi="宋体" w:hint="eastAsia"/>
                <w:sz w:val="24"/>
                <w:szCs w:val="24"/>
              </w:rPr>
              <w:t>接口（</w:t>
            </w:r>
            <w:r>
              <w:rPr>
                <w:rFonts w:ascii="宋体" w:hAnsi="宋体" w:hint="eastAsia"/>
                <w:sz w:val="24"/>
                <w:szCs w:val="24"/>
              </w:rPr>
              <w:t>VGA</w:t>
            </w:r>
            <w:r>
              <w:rPr>
                <w:rFonts w:ascii="宋体" w:hAnsi="宋体" w:hint="eastAsia"/>
                <w:sz w:val="24"/>
                <w:szCs w:val="24"/>
              </w:rPr>
              <w:t>非转接）；</w:t>
            </w:r>
            <w:r>
              <w:rPr>
                <w:rFonts w:ascii="宋体" w:hAnsi="宋体" w:hint="eastAsia"/>
                <w:sz w:val="24"/>
                <w:szCs w:val="24"/>
              </w:rPr>
              <w:t> </w:t>
            </w:r>
          </w:p>
        </w:tc>
      </w:tr>
      <w:tr w:rsidR="008D0AD8">
        <w:trPr>
          <w:trHeight w:val="450"/>
          <w:jc w:val="center"/>
        </w:trPr>
        <w:tc>
          <w:tcPr>
            <w:tcW w:w="1636" w:type="dxa"/>
            <w:tcBorders>
              <w:top w:val="single" w:sz="6" w:space="0" w:color="000000"/>
              <w:left w:val="single" w:sz="6" w:space="0" w:color="000000"/>
              <w:bottom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电源</w:t>
            </w:r>
          </w:p>
        </w:tc>
        <w:tc>
          <w:tcPr>
            <w:tcW w:w="7412" w:type="dxa"/>
            <w:tcBorders>
              <w:top w:val="single" w:sz="6" w:space="0" w:color="000000"/>
              <w:left w:val="nil"/>
              <w:bottom w:val="single" w:sz="6" w:space="0" w:color="000000"/>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w:t>
            </w:r>
            <w:r>
              <w:rPr>
                <w:rFonts w:ascii="宋体" w:hAnsi="宋体" w:hint="eastAsia"/>
                <w:sz w:val="24"/>
                <w:szCs w:val="24"/>
              </w:rPr>
              <w:t>180W</w:t>
            </w:r>
            <w:r>
              <w:rPr>
                <w:rFonts w:ascii="宋体" w:hAnsi="宋体" w:hint="eastAsia"/>
                <w:sz w:val="24"/>
                <w:szCs w:val="24"/>
              </w:rPr>
              <w:t>节能电源</w:t>
            </w:r>
          </w:p>
        </w:tc>
      </w:tr>
      <w:tr w:rsidR="008D0AD8">
        <w:trPr>
          <w:trHeight w:val="649"/>
          <w:jc w:val="center"/>
        </w:trPr>
        <w:tc>
          <w:tcPr>
            <w:tcW w:w="1636" w:type="dxa"/>
            <w:tcBorders>
              <w:top w:val="single" w:sz="6" w:space="0" w:color="000000"/>
              <w:left w:val="single" w:sz="6" w:space="0" w:color="000000"/>
              <w:bottom w:val="single" w:sz="4" w:space="0" w:color="auto"/>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安全特性</w:t>
            </w:r>
          </w:p>
        </w:tc>
        <w:tc>
          <w:tcPr>
            <w:tcW w:w="7412" w:type="dxa"/>
            <w:tcBorders>
              <w:top w:val="single" w:sz="6" w:space="0" w:color="000000"/>
              <w:left w:val="nil"/>
              <w:bottom w:val="single" w:sz="6" w:space="0" w:color="000000"/>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bCs/>
                <w:sz w:val="24"/>
                <w:szCs w:val="24"/>
              </w:rPr>
              <w:t>智能</w:t>
            </w:r>
            <w:r>
              <w:rPr>
                <w:rFonts w:ascii="宋体" w:hAnsi="宋体" w:hint="eastAsia"/>
                <w:bCs/>
                <w:sz w:val="24"/>
                <w:szCs w:val="24"/>
              </w:rPr>
              <w:t>USB</w:t>
            </w:r>
            <w:r>
              <w:rPr>
                <w:rFonts w:ascii="宋体" w:hAnsi="宋体" w:hint="eastAsia"/>
                <w:bCs/>
                <w:sz w:val="24"/>
                <w:szCs w:val="24"/>
              </w:rPr>
              <w:t>屏蔽技术，仅识别键盘、鼠标，无法识别</w:t>
            </w:r>
            <w:r>
              <w:rPr>
                <w:rFonts w:ascii="宋体" w:hAnsi="宋体" w:hint="eastAsia"/>
                <w:bCs/>
                <w:sz w:val="24"/>
                <w:szCs w:val="24"/>
              </w:rPr>
              <w:t>USB</w:t>
            </w:r>
            <w:r>
              <w:rPr>
                <w:rFonts w:ascii="宋体" w:hAnsi="宋体" w:hint="eastAsia"/>
                <w:bCs/>
                <w:sz w:val="24"/>
                <w:szCs w:val="24"/>
              </w:rPr>
              <w:t>读取设备，有效防止数据泄露；原厂商通过国家信息安全一级认证</w:t>
            </w:r>
          </w:p>
        </w:tc>
      </w:tr>
      <w:tr w:rsidR="008D0AD8">
        <w:trPr>
          <w:trHeight w:val="832"/>
          <w:jc w:val="center"/>
        </w:trPr>
        <w:tc>
          <w:tcPr>
            <w:tcW w:w="1636" w:type="dxa"/>
            <w:tcBorders>
              <w:top w:val="single" w:sz="4" w:space="0" w:color="auto"/>
              <w:left w:val="single" w:sz="4" w:space="0" w:color="auto"/>
              <w:bottom w:val="single" w:sz="4" w:space="0" w:color="auto"/>
              <w:right w:val="single" w:sz="4" w:space="0" w:color="auto"/>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机箱</w:t>
            </w:r>
          </w:p>
        </w:tc>
        <w:tc>
          <w:tcPr>
            <w:tcW w:w="7412" w:type="dxa"/>
            <w:tcBorders>
              <w:top w:val="single" w:sz="6" w:space="0" w:color="000000"/>
              <w:left w:val="single" w:sz="4" w:space="0" w:color="auto"/>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标准</w:t>
            </w:r>
            <w:r>
              <w:rPr>
                <w:rFonts w:ascii="宋体" w:hAnsi="宋体" w:hint="eastAsia"/>
                <w:sz w:val="24"/>
                <w:szCs w:val="24"/>
              </w:rPr>
              <w:t>MATX</w:t>
            </w:r>
            <w:r>
              <w:rPr>
                <w:rFonts w:ascii="宋体" w:hAnsi="宋体" w:hint="eastAsia"/>
                <w:sz w:val="24"/>
                <w:szCs w:val="24"/>
              </w:rPr>
              <w:t>立式机箱，使用蜂窝散热及二级进风口设计，散热更为有效；配置顶置电源开关键、</w:t>
            </w:r>
            <w:r>
              <w:rPr>
                <w:rFonts w:ascii="宋体" w:hAnsi="宋体" w:hint="eastAsia"/>
                <w:b/>
                <w:sz w:val="24"/>
                <w:szCs w:val="24"/>
              </w:rPr>
              <w:t>顶置提手</w:t>
            </w:r>
            <w:r>
              <w:rPr>
                <w:rFonts w:ascii="宋体" w:hAnsi="宋体" w:hint="eastAsia"/>
                <w:sz w:val="24"/>
                <w:szCs w:val="24"/>
              </w:rPr>
              <w:t>方便提拿，机箱体积小巧，</w:t>
            </w:r>
            <w:r>
              <w:rPr>
                <w:rFonts w:ascii="宋体" w:hAnsi="宋体" w:hint="eastAsia"/>
                <w:b/>
                <w:sz w:val="24"/>
                <w:szCs w:val="24"/>
              </w:rPr>
              <w:t>≤</w:t>
            </w:r>
            <w:r>
              <w:rPr>
                <w:rFonts w:ascii="宋体" w:hAnsi="宋体" w:hint="eastAsia"/>
                <w:b/>
                <w:sz w:val="24"/>
                <w:szCs w:val="24"/>
              </w:rPr>
              <w:t>15L</w:t>
            </w:r>
          </w:p>
        </w:tc>
      </w:tr>
      <w:tr w:rsidR="008D0AD8">
        <w:trPr>
          <w:trHeight w:val="535"/>
          <w:jc w:val="center"/>
        </w:trPr>
        <w:tc>
          <w:tcPr>
            <w:tcW w:w="1636" w:type="dxa"/>
            <w:tcBorders>
              <w:top w:val="single" w:sz="4" w:space="0" w:color="auto"/>
              <w:left w:val="single" w:sz="4" w:space="0" w:color="auto"/>
              <w:bottom w:val="single" w:sz="4" w:space="0" w:color="auto"/>
              <w:right w:val="single" w:sz="4" w:space="0" w:color="auto"/>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hint="eastAsia"/>
                <w:color w:val="000000"/>
                <w:sz w:val="24"/>
                <w:szCs w:val="24"/>
              </w:rPr>
              <w:t>环保功能</w:t>
            </w:r>
          </w:p>
        </w:tc>
        <w:tc>
          <w:tcPr>
            <w:tcW w:w="7412" w:type="dxa"/>
            <w:tcBorders>
              <w:top w:val="single" w:sz="6" w:space="0" w:color="000000"/>
              <w:left w:val="single" w:sz="4" w:space="0" w:color="auto"/>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bCs/>
                <w:sz w:val="24"/>
                <w:szCs w:val="24"/>
              </w:rPr>
              <w:t>可拆卸防尘罩，光触媒风扇，具有光触媒功能，可有效清除空气中的苯、甲醛、</w:t>
            </w:r>
            <w:r>
              <w:rPr>
                <w:rFonts w:ascii="宋体" w:hAnsi="宋体" w:hint="eastAsia"/>
                <w:bCs/>
                <w:sz w:val="24"/>
                <w:szCs w:val="24"/>
              </w:rPr>
              <w:t>TVOC</w:t>
            </w:r>
            <w:r>
              <w:rPr>
                <w:rFonts w:ascii="宋体" w:hAnsi="宋体" w:hint="eastAsia"/>
                <w:bCs/>
                <w:sz w:val="24"/>
                <w:szCs w:val="24"/>
              </w:rPr>
              <w:t>和细菌，提供国家权威机构的检测报告。</w:t>
            </w:r>
          </w:p>
        </w:tc>
      </w:tr>
      <w:tr w:rsidR="008D0AD8">
        <w:trPr>
          <w:trHeight w:val="633"/>
          <w:jc w:val="center"/>
        </w:trPr>
        <w:tc>
          <w:tcPr>
            <w:tcW w:w="1636" w:type="dxa"/>
            <w:tcBorders>
              <w:top w:val="single" w:sz="4" w:space="0" w:color="auto"/>
              <w:left w:val="single" w:sz="6" w:space="0" w:color="000000"/>
              <w:right w:val="single" w:sz="6" w:space="0" w:color="000000"/>
            </w:tcBorders>
            <w:vAlign w:val="center"/>
          </w:tcPr>
          <w:p w:rsidR="008D0AD8" w:rsidRDefault="00660FB3">
            <w:pPr>
              <w:widowControl/>
              <w:spacing w:before="100" w:beforeAutospacing="1" w:after="100" w:afterAutospacing="1"/>
              <w:jc w:val="center"/>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管理</w:t>
            </w:r>
            <w:proofErr w:type="gramStart"/>
            <w:r>
              <w:rPr>
                <w:rFonts w:ascii="宋体" w:hAnsi="宋体" w:hint="eastAsia"/>
                <w:color w:val="000000"/>
                <w:sz w:val="24"/>
                <w:szCs w:val="24"/>
              </w:rPr>
              <w:t>布署</w:t>
            </w:r>
            <w:proofErr w:type="gramEnd"/>
            <w:r>
              <w:rPr>
                <w:rFonts w:ascii="宋体" w:hAnsi="宋体" w:hint="eastAsia"/>
                <w:color w:val="000000"/>
                <w:sz w:val="24"/>
                <w:szCs w:val="24"/>
              </w:rPr>
              <w:t>功能</w:t>
            </w:r>
          </w:p>
        </w:tc>
        <w:tc>
          <w:tcPr>
            <w:tcW w:w="7412" w:type="dxa"/>
            <w:tcBorders>
              <w:top w:val="single" w:sz="6" w:space="0" w:color="000000"/>
              <w:left w:val="nil"/>
              <w:right w:val="single" w:sz="6" w:space="0" w:color="000000"/>
            </w:tcBorders>
            <w:vAlign w:val="center"/>
          </w:tcPr>
          <w:p w:rsidR="008D0AD8" w:rsidRDefault="00660FB3">
            <w:pPr>
              <w:widowControl/>
              <w:rPr>
                <w:rFonts w:ascii="宋体" w:hAnsi="宋体" w:cs="宋体"/>
                <w:kern w:val="0"/>
                <w:sz w:val="24"/>
                <w:szCs w:val="24"/>
              </w:rPr>
            </w:pPr>
            <w:r>
              <w:rPr>
                <w:rFonts w:ascii="宋体" w:hAnsi="宋体" w:cs="宋体" w:hint="eastAsia"/>
                <w:kern w:val="0"/>
                <w:sz w:val="24"/>
                <w:szCs w:val="24"/>
              </w:rPr>
              <w:t>实现所有的计算机终端集中统一管理、部署、同传及还原等功能，</w:t>
            </w:r>
            <w:r>
              <w:rPr>
                <w:rFonts w:ascii="宋体" w:hAnsi="宋体" w:cs="宋体" w:hint="eastAsia"/>
                <w:sz w:val="24"/>
                <w:szCs w:val="24"/>
              </w:rPr>
              <w:t>具体功能要求如下：</w:t>
            </w:r>
            <w:r>
              <w:rPr>
                <w:rFonts w:ascii="宋体" w:hAnsi="宋体" w:cs="宋体" w:hint="eastAsia"/>
                <w:sz w:val="24"/>
                <w:szCs w:val="24"/>
              </w:rPr>
              <w:t>1</w:t>
            </w:r>
            <w:r>
              <w:rPr>
                <w:rFonts w:ascii="宋体" w:hAnsi="宋体" w:cs="宋体" w:hint="eastAsia"/>
                <w:sz w:val="24"/>
                <w:szCs w:val="24"/>
              </w:rPr>
              <w:t>、支持系统快照，可以对单独的终端设备设置快照模式，当系统出现故障时候，可以根据快照还原点，还原到初始状态（投标时提供终端快照截屏）；</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支持在全局还原模式下，支持个性化设置，保留用户自定义的用户名和密码、桌面壁纸等个性化配置，必须</w:t>
            </w:r>
            <w:proofErr w:type="gramStart"/>
            <w:r>
              <w:rPr>
                <w:rFonts w:ascii="宋体" w:hAnsi="宋体" w:cs="宋体" w:hint="eastAsia"/>
                <w:sz w:val="24"/>
                <w:szCs w:val="24"/>
              </w:rPr>
              <w:t>保持重启前</w:t>
            </w:r>
            <w:proofErr w:type="gramEnd"/>
            <w:r>
              <w:rPr>
                <w:rFonts w:ascii="宋体" w:hAnsi="宋体" w:cs="宋体" w:hint="eastAsia"/>
                <w:sz w:val="24"/>
                <w:szCs w:val="24"/>
              </w:rPr>
              <w:t>状态，不会还原（需提供个性化设置迁移的功能截图）；</w:t>
            </w:r>
            <w:r>
              <w:rPr>
                <w:rFonts w:ascii="宋体" w:hAnsi="宋体" w:cs="宋体" w:hint="eastAsia"/>
                <w:sz w:val="24"/>
                <w:szCs w:val="24"/>
              </w:rPr>
              <w:t>3</w:t>
            </w:r>
            <w:r>
              <w:rPr>
                <w:rFonts w:ascii="宋体" w:hAnsi="宋体" w:cs="宋体" w:hint="eastAsia"/>
                <w:sz w:val="24"/>
                <w:szCs w:val="24"/>
              </w:rPr>
              <w:t>、支持底层</w:t>
            </w:r>
            <w:r>
              <w:rPr>
                <w:rFonts w:ascii="宋体" w:hAnsi="宋体" w:cs="宋体" w:hint="eastAsia"/>
                <w:sz w:val="24"/>
                <w:szCs w:val="24"/>
              </w:rPr>
              <w:t>P2P</w:t>
            </w:r>
            <w:r>
              <w:rPr>
                <w:rFonts w:ascii="宋体" w:hAnsi="宋体" w:cs="宋体" w:hint="eastAsia"/>
                <w:sz w:val="24"/>
                <w:szCs w:val="24"/>
              </w:rPr>
              <w:t>技术，桌面系统在未进入到系统前，可以通过</w:t>
            </w:r>
            <w:r>
              <w:rPr>
                <w:rFonts w:ascii="宋体" w:hAnsi="宋体" w:cs="宋体" w:hint="eastAsia"/>
                <w:sz w:val="24"/>
                <w:szCs w:val="24"/>
              </w:rPr>
              <w:t>P2P</w:t>
            </w:r>
            <w:r>
              <w:rPr>
                <w:rFonts w:ascii="宋体" w:hAnsi="宋体" w:cs="宋体" w:hint="eastAsia"/>
                <w:sz w:val="24"/>
                <w:szCs w:val="24"/>
              </w:rPr>
              <w:t>技术，向邻近的缓存好的终端系统下载系统（需提供底层</w:t>
            </w:r>
            <w:r>
              <w:rPr>
                <w:rFonts w:ascii="宋体" w:hAnsi="宋体" w:cs="宋体" w:hint="eastAsia"/>
                <w:sz w:val="24"/>
                <w:szCs w:val="24"/>
              </w:rPr>
              <w:t>P2P</w:t>
            </w:r>
            <w:r>
              <w:rPr>
                <w:rFonts w:ascii="宋体" w:hAnsi="宋体" w:cs="宋体" w:hint="eastAsia"/>
                <w:sz w:val="24"/>
                <w:szCs w:val="24"/>
              </w:rPr>
              <w:t>技术截图）</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、支持软件驱动分离技术，支持同一个镜像系统模板，能支持不同的硬件终端使用，保证软件的统一更新和使用（需提供驱动分离的功能截图）；</w:t>
            </w:r>
            <w:r>
              <w:rPr>
                <w:rFonts w:ascii="宋体" w:hAnsi="宋体" w:cs="宋体" w:hint="eastAsia"/>
                <w:sz w:val="24"/>
                <w:szCs w:val="24"/>
              </w:rPr>
              <w:t>5</w:t>
            </w:r>
            <w:r>
              <w:rPr>
                <w:rFonts w:ascii="宋体" w:hAnsi="宋体" w:cs="宋体" w:hint="eastAsia"/>
                <w:sz w:val="24"/>
                <w:szCs w:val="24"/>
              </w:rPr>
              <w:t>、支持软件统一更新，为了避免工作期间系统更新影响业务，平台应该提供更新限速策略，根据实际情况</w:t>
            </w:r>
            <w:r>
              <w:rPr>
                <w:rFonts w:ascii="宋体" w:hAnsi="宋体" w:cs="宋体" w:hint="eastAsia"/>
                <w:sz w:val="24"/>
                <w:szCs w:val="24"/>
              </w:rPr>
              <w:t>动态限</w:t>
            </w:r>
            <w:r>
              <w:rPr>
                <w:rFonts w:ascii="宋体" w:hAnsi="宋体" w:cs="宋体" w:hint="eastAsia"/>
                <w:sz w:val="24"/>
                <w:szCs w:val="24"/>
              </w:rPr>
              <w:lastRenderedPageBreak/>
              <w:t>制终端操作系统和软件的更新速度。（需提供更新限速的功能截图）；</w:t>
            </w:r>
            <w:r>
              <w:rPr>
                <w:rFonts w:ascii="宋体" w:hAnsi="宋体" w:cs="宋体" w:hint="eastAsia"/>
                <w:sz w:val="24"/>
                <w:szCs w:val="24"/>
              </w:rPr>
              <w:t>6</w:t>
            </w:r>
            <w:r>
              <w:rPr>
                <w:rFonts w:ascii="宋体" w:hAnsi="宋体" w:cs="宋体" w:hint="eastAsia"/>
                <w:sz w:val="24"/>
                <w:szCs w:val="24"/>
              </w:rPr>
              <w:t>、终端软件更新进度显示，当电脑的系统在更新软件时候，用户可以在系统里直观的看到更新进度，更新显示为按照百分比的方式显示，（提供终端更新进度截图）；</w:t>
            </w:r>
            <w:r>
              <w:rPr>
                <w:rFonts w:ascii="宋体" w:hAnsi="宋体" w:cs="宋体" w:hint="eastAsia"/>
                <w:sz w:val="24"/>
                <w:szCs w:val="24"/>
              </w:rPr>
              <w:t>7</w:t>
            </w:r>
            <w:r>
              <w:rPr>
                <w:rFonts w:ascii="宋体" w:hAnsi="宋体" w:cs="宋体" w:hint="eastAsia"/>
                <w:sz w:val="24"/>
                <w:szCs w:val="24"/>
              </w:rPr>
              <w:t>、系统必须支持网络和</w:t>
            </w:r>
            <w:proofErr w:type="gramStart"/>
            <w:r>
              <w:rPr>
                <w:rFonts w:ascii="宋体" w:hAnsi="宋体" w:cs="宋体" w:hint="eastAsia"/>
                <w:sz w:val="24"/>
                <w:szCs w:val="24"/>
              </w:rPr>
              <w:t>硬盘双</w:t>
            </w:r>
            <w:proofErr w:type="gramEnd"/>
            <w:r>
              <w:rPr>
                <w:rFonts w:ascii="宋体" w:hAnsi="宋体" w:cs="宋体" w:hint="eastAsia"/>
                <w:sz w:val="24"/>
                <w:szCs w:val="24"/>
              </w:rPr>
              <w:t>启动方式：当终端电脑出现硬盘故障或者无硬盘时，终端自动通过网络启动；当网络中断时，终端可正常运行无需重启。（需提供配置启动模式的功能截图）；</w:t>
            </w:r>
          </w:p>
        </w:tc>
      </w:tr>
      <w:tr w:rsidR="008D0AD8">
        <w:trPr>
          <w:trHeight w:val="609"/>
          <w:jc w:val="center"/>
        </w:trPr>
        <w:tc>
          <w:tcPr>
            <w:tcW w:w="1636" w:type="dxa"/>
            <w:tcBorders>
              <w:top w:val="single" w:sz="6" w:space="0" w:color="000000"/>
              <w:left w:val="single" w:sz="6" w:space="0" w:color="000000"/>
              <w:bottom w:val="single" w:sz="6" w:space="0" w:color="000000"/>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hint="eastAsia"/>
                <w:color w:val="000000"/>
                <w:sz w:val="24"/>
                <w:szCs w:val="24"/>
              </w:rPr>
              <w:lastRenderedPageBreak/>
              <w:t>整机认证</w:t>
            </w:r>
            <w:r>
              <w:rPr>
                <w:rFonts w:ascii="宋体" w:hAnsi="宋体" w:hint="eastAsia"/>
                <w:color w:val="000000"/>
                <w:sz w:val="24"/>
                <w:szCs w:val="24"/>
              </w:rPr>
              <w:t> </w:t>
            </w:r>
          </w:p>
        </w:tc>
        <w:tc>
          <w:tcPr>
            <w:tcW w:w="7412" w:type="dxa"/>
            <w:tcBorders>
              <w:top w:val="single" w:sz="6" w:space="0" w:color="000000"/>
              <w:left w:val="nil"/>
              <w:bottom w:val="single" w:sz="6" w:space="0" w:color="000000"/>
              <w:right w:val="single" w:sz="6" w:space="0" w:color="000000"/>
            </w:tcBorders>
            <w:vAlign w:val="center"/>
          </w:tcPr>
          <w:p w:rsidR="008D0AD8" w:rsidRDefault="00660FB3">
            <w:pPr>
              <w:widowControl/>
              <w:spacing w:before="100" w:beforeAutospacing="1" w:after="100" w:afterAutospacing="1"/>
              <w:jc w:val="left"/>
              <w:rPr>
                <w:rFonts w:ascii="宋体" w:hAnsi="宋体"/>
                <w:sz w:val="24"/>
                <w:szCs w:val="24"/>
              </w:rPr>
            </w:pPr>
            <w:r>
              <w:rPr>
                <w:rFonts w:ascii="宋体" w:hAnsi="宋体" w:hint="eastAsia"/>
                <w:sz w:val="24"/>
                <w:szCs w:val="24"/>
              </w:rPr>
              <w:t>3C</w:t>
            </w:r>
            <w:r>
              <w:rPr>
                <w:rFonts w:ascii="宋体" w:hAnsi="宋体" w:hint="eastAsia"/>
                <w:sz w:val="24"/>
                <w:szCs w:val="24"/>
              </w:rPr>
              <w:t>认证、整机防雷测试</w:t>
            </w:r>
          </w:p>
        </w:tc>
      </w:tr>
      <w:tr w:rsidR="008D0AD8">
        <w:trPr>
          <w:trHeight w:val="2917"/>
          <w:jc w:val="center"/>
        </w:trPr>
        <w:tc>
          <w:tcPr>
            <w:tcW w:w="1636" w:type="dxa"/>
            <w:tcBorders>
              <w:top w:val="single" w:sz="6" w:space="0" w:color="000000"/>
              <w:left w:val="single" w:sz="6" w:space="0" w:color="000000"/>
              <w:bottom w:val="single" w:sz="6" w:space="0" w:color="000000"/>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cs="宋体" w:hint="eastAsia"/>
                <w:color w:val="000000"/>
              </w:rPr>
              <w:t>*</w:t>
            </w:r>
            <w:r>
              <w:rPr>
                <w:rFonts w:ascii="宋体" w:hAnsi="宋体" w:hint="eastAsia"/>
                <w:color w:val="000000"/>
                <w:sz w:val="24"/>
                <w:szCs w:val="24"/>
              </w:rPr>
              <w:t>售后服务及质量保证</w:t>
            </w:r>
          </w:p>
        </w:tc>
        <w:tc>
          <w:tcPr>
            <w:tcW w:w="7412" w:type="dxa"/>
            <w:tcBorders>
              <w:top w:val="single" w:sz="6" w:space="0" w:color="000000"/>
              <w:left w:val="nil"/>
              <w:bottom w:val="single" w:sz="6" w:space="0" w:color="000000"/>
              <w:right w:val="single" w:sz="6" w:space="0" w:color="000000"/>
            </w:tcBorders>
            <w:vAlign w:val="center"/>
          </w:tcPr>
          <w:p w:rsidR="008D0AD8" w:rsidRDefault="00660FB3">
            <w:pPr>
              <w:pStyle w:val="a6"/>
              <w:numPr>
                <w:ilvl w:val="0"/>
                <w:numId w:val="1"/>
              </w:numPr>
              <w:spacing w:before="100" w:beforeAutospacing="1" w:after="100" w:afterAutospacing="1"/>
              <w:ind w:firstLineChars="0"/>
              <w:rPr>
                <w:rFonts w:cs="Times New Roman"/>
              </w:rPr>
            </w:pPr>
            <w:r>
              <w:rPr>
                <w:rFonts w:hint="eastAsia"/>
                <w:szCs w:val="21"/>
              </w:rPr>
              <w:t>整机原厂工程师三</w:t>
            </w:r>
            <w:r>
              <w:rPr>
                <w:szCs w:val="21"/>
              </w:rPr>
              <w:t>年</w:t>
            </w:r>
            <w:r>
              <w:rPr>
                <w:rFonts w:hint="eastAsia"/>
                <w:szCs w:val="21"/>
              </w:rPr>
              <w:t>保修，中标后提供原厂质</w:t>
            </w:r>
            <w:proofErr w:type="gramStart"/>
            <w:r>
              <w:rPr>
                <w:rFonts w:hint="eastAsia"/>
                <w:szCs w:val="21"/>
              </w:rPr>
              <w:t>保文件</w:t>
            </w:r>
            <w:proofErr w:type="gramEnd"/>
            <w:r>
              <w:rPr>
                <w:rFonts w:hint="eastAsia"/>
                <w:szCs w:val="21"/>
              </w:rPr>
              <w:t>原件；</w:t>
            </w:r>
            <w:r>
              <w:rPr>
                <w:rFonts w:hint="eastAsia"/>
                <w:szCs w:val="21"/>
              </w:rPr>
              <w:t>365</w:t>
            </w:r>
            <w:r>
              <w:rPr>
                <w:rFonts w:hint="eastAsia"/>
                <w:szCs w:val="21"/>
              </w:rPr>
              <w:t>天全年无休，第二自然日上门服务</w:t>
            </w:r>
            <w:r>
              <w:rPr>
                <w:rFonts w:cs="Times New Roman" w:hint="eastAsia"/>
              </w:rPr>
              <w:t>；以上服务信息原厂</w:t>
            </w:r>
            <w:r>
              <w:rPr>
                <w:rFonts w:cs="Times New Roman"/>
              </w:rPr>
              <w:t>400/800</w:t>
            </w:r>
            <w:r>
              <w:rPr>
                <w:rFonts w:cs="Times New Roman" w:hint="eastAsia"/>
              </w:rPr>
              <w:t>售后电话</w:t>
            </w:r>
            <w:proofErr w:type="gramStart"/>
            <w:r>
              <w:rPr>
                <w:rFonts w:cs="Times New Roman" w:hint="eastAsia"/>
              </w:rPr>
              <w:t>或官网可查</w:t>
            </w:r>
            <w:proofErr w:type="gramEnd"/>
            <w:r>
              <w:rPr>
                <w:rFonts w:cs="Times New Roman" w:hint="eastAsia"/>
              </w:rPr>
              <w:t>；</w:t>
            </w:r>
          </w:p>
          <w:p w:rsidR="008D0AD8" w:rsidRDefault="00660FB3">
            <w:pPr>
              <w:pStyle w:val="a6"/>
              <w:numPr>
                <w:ilvl w:val="0"/>
                <w:numId w:val="1"/>
              </w:numPr>
              <w:spacing w:before="100" w:beforeAutospacing="1" w:after="100" w:afterAutospacing="1"/>
              <w:ind w:firstLineChars="0"/>
              <w:rPr>
                <w:rFonts w:cs="Times New Roman"/>
              </w:rPr>
            </w:pPr>
            <w:r>
              <w:rPr>
                <w:rFonts w:cs="Times New Roman" w:hint="eastAsia"/>
              </w:rPr>
              <w:t>制造厂商自有设计中心通过工业和信息化部国家级工业设计中心认定（工信</w:t>
            </w:r>
            <w:proofErr w:type="gramStart"/>
            <w:r>
              <w:rPr>
                <w:rFonts w:cs="Times New Roman" w:hint="eastAsia"/>
              </w:rPr>
              <w:t>部官网</w:t>
            </w:r>
            <w:proofErr w:type="gramEnd"/>
            <w:r>
              <w:rPr>
                <w:rFonts w:cs="Times New Roman" w:hint="eastAsia"/>
              </w:rPr>
              <w:t>可查）</w:t>
            </w:r>
          </w:p>
          <w:p w:rsidR="008D0AD8" w:rsidRDefault="00660FB3">
            <w:pPr>
              <w:pStyle w:val="a6"/>
              <w:numPr>
                <w:ilvl w:val="0"/>
                <w:numId w:val="1"/>
              </w:numPr>
              <w:spacing w:before="100" w:beforeAutospacing="1" w:after="100" w:afterAutospacing="1"/>
              <w:ind w:firstLineChars="0"/>
              <w:rPr>
                <w:rFonts w:cs="Times New Roman"/>
              </w:rPr>
            </w:pPr>
            <w:r>
              <w:rPr>
                <w:rFonts w:cs="Times New Roman" w:hint="eastAsia"/>
              </w:rPr>
              <w:t>提供制造厂商服务体系通过</w:t>
            </w:r>
            <w:proofErr w:type="gramStart"/>
            <w:r>
              <w:rPr>
                <w:rFonts w:cs="Times New Roman" w:hint="eastAsia"/>
              </w:rPr>
              <w:t>国家国家</w:t>
            </w:r>
            <w:proofErr w:type="gramEnd"/>
            <w:r>
              <w:rPr>
                <w:rFonts w:cs="Times New Roman" w:hint="eastAsia"/>
              </w:rPr>
              <w:t>信息安全测评中心—信息安全服务资质证书</w:t>
            </w:r>
          </w:p>
          <w:p w:rsidR="008D0AD8" w:rsidRDefault="00660FB3">
            <w:pPr>
              <w:pStyle w:val="a6"/>
              <w:numPr>
                <w:ilvl w:val="0"/>
                <w:numId w:val="1"/>
              </w:numPr>
              <w:spacing w:before="100" w:beforeAutospacing="1" w:after="100" w:afterAutospacing="1"/>
              <w:ind w:firstLineChars="0"/>
              <w:rPr>
                <w:rFonts w:cs="Times New Roman"/>
              </w:rPr>
            </w:pPr>
            <w:r>
              <w:rPr>
                <w:rFonts w:cs="Times New Roman" w:hint="eastAsia"/>
              </w:rPr>
              <w:t>要求原厂商原包装直发客户，货到时原厂工程师上门验机服务</w:t>
            </w:r>
          </w:p>
        </w:tc>
      </w:tr>
      <w:tr w:rsidR="008D0AD8">
        <w:trPr>
          <w:trHeight w:val="667"/>
          <w:jc w:val="center"/>
        </w:trPr>
        <w:tc>
          <w:tcPr>
            <w:tcW w:w="1636" w:type="dxa"/>
            <w:tcBorders>
              <w:top w:val="single" w:sz="6" w:space="0" w:color="000000"/>
              <w:left w:val="single" w:sz="6" w:space="0" w:color="000000"/>
              <w:bottom w:val="single" w:sz="6" w:space="0" w:color="000000"/>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其他</w:t>
            </w:r>
          </w:p>
        </w:tc>
        <w:tc>
          <w:tcPr>
            <w:tcW w:w="7412" w:type="dxa"/>
            <w:tcBorders>
              <w:top w:val="single" w:sz="6" w:space="0" w:color="000000"/>
              <w:left w:val="nil"/>
              <w:bottom w:val="single" w:sz="6" w:space="0" w:color="000000"/>
              <w:right w:val="single" w:sz="6" w:space="0" w:color="000000"/>
            </w:tcBorders>
            <w:vAlign w:val="center"/>
          </w:tcPr>
          <w:p w:rsidR="008D0AD8" w:rsidRDefault="00660FB3">
            <w:pPr>
              <w:widowControl/>
              <w:spacing w:before="100" w:beforeAutospacing="1" w:after="100" w:afterAutospacing="1"/>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w:t>
            </w:r>
            <w:r>
              <w:rPr>
                <w:rFonts w:ascii="宋体" w:hAnsi="宋体" w:hint="eastAsia"/>
                <w:color w:val="000000"/>
                <w:sz w:val="24"/>
                <w:szCs w:val="24"/>
              </w:rPr>
              <w:t>”部分不接受偏离或负偏离</w:t>
            </w:r>
          </w:p>
        </w:tc>
      </w:tr>
    </w:tbl>
    <w:p w:rsidR="008D0AD8" w:rsidRDefault="00660FB3">
      <w:pPr>
        <w:rPr>
          <w:b/>
          <w:sz w:val="28"/>
          <w:szCs w:val="28"/>
        </w:rPr>
      </w:pPr>
      <w:r>
        <w:rPr>
          <w:rFonts w:hint="eastAsia"/>
          <w:b/>
          <w:sz w:val="28"/>
          <w:szCs w:val="28"/>
        </w:rPr>
        <w:t>*</w:t>
      </w:r>
      <w:r>
        <w:rPr>
          <w:rFonts w:hint="eastAsia"/>
          <w:b/>
          <w:sz w:val="28"/>
          <w:szCs w:val="28"/>
        </w:rPr>
        <w:t>特别说明：</w:t>
      </w:r>
      <w:r>
        <w:rPr>
          <w:rFonts w:hint="eastAsia"/>
          <w:b/>
          <w:sz w:val="28"/>
          <w:szCs w:val="28"/>
        </w:rPr>
        <w:t>1</w:t>
      </w:r>
      <w:r>
        <w:rPr>
          <w:rFonts w:hint="eastAsia"/>
          <w:b/>
          <w:sz w:val="28"/>
          <w:szCs w:val="28"/>
        </w:rPr>
        <w:t>、投标人应保证所提供的设备和技术参数不得低于本次招标要求中所提出的各项要求</w:t>
      </w:r>
      <w:r>
        <w:rPr>
          <w:rFonts w:hint="eastAsia"/>
          <w:b/>
          <w:sz w:val="28"/>
          <w:szCs w:val="28"/>
        </w:rPr>
        <w:t>,</w:t>
      </w:r>
      <w:r>
        <w:rPr>
          <w:rFonts w:hint="eastAsia"/>
          <w:b/>
          <w:sz w:val="28"/>
          <w:szCs w:val="28"/>
        </w:rPr>
        <w:t>不得虚假应标，如有负偏离</w:t>
      </w:r>
      <w:r>
        <w:rPr>
          <w:rFonts w:hint="eastAsia"/>
          <w:b/>
          <w:sz w:val="28"/>
          <w:szCs w:val="28"/>
        </w:rPr>
        <w:t>,</w:t>
      </w:r>
      <w:proofErr w:type="gramStart"/>
      <w:r>
        <w:rPr>
          <w:rFonts w:hint="eastAsia"/>
          <w:b/>
          <w:sz w:val="28"/>
          <w:szCs w:val="28"/>
        </w:rPr>
        <w:t>以废标处理</w:t>
      </w:r>
      <w:proofErr w:type="gramEnd"/>
      <w:r>
        <w:rPr>
          <w:rFonts w:hint="eastAsia"/>
          <w:b/>
          <w:sz w:val="28"/>
          <w:szCs w:val="28"/>
        </w:rPr>
        <w:t>。</w:t>
      </w:r>
    </w:p>
    <w:p w:rsidR="008D0AD8" w:rsidRDefault="00660FB3">
      <w:pPr>
        <w:rPr>
          <w:b/>
          <w:sz w:val="28"/>
          <w:szCs w:val="28"/>
        </w:rPr>
      </w:pPr>
      <w:r>
        <w:rPr>
          <w:rFonts w:hint="eastAsia"/>
          <w:b/>
          <w:sz w:val="28"/>
          <w:szCs w:val="28"/>
        </w:rPr>
        <w:t>2</w:t>
      </w:r>
      <w:r>
        <w:rPr>
          <w:rFonts w:hint="eastAsia"/>
          <w:b/>
          <w:sz w:val="28"/>
          <w:szCs w:val="28"/>
        </w:rPr>
        <w:t>、为了保证产品质量及可靠的售后服务体系，所投产品必须是未拆封厂商原装全新正品，整体包装在运抵用户地点前中途不得作任何形式的拆封，不接受部件改装升级，拒绝水货及拆机翻新配件，验货时逐一核对详细的装箱配置清单，也可通过序列号</w:t>
      </w:r>
      <w:proofErr w:type="gramStart"/>
      <w:r>
        <w:rPr>
          <w:rFonts w:hint="eastAsia"/>
          <w:b/>
          <w:sz w:val="28"/>
          <w:szCs w:val="28"/>
        </w:rPr>
        <w:t>在官网或</w:t>
      </w:r>
      <w:proofErr w:type="gramEnd"/>
      <w:r>
        <w:rPr>
          <w:rFonts w:hint="eastAsia"/>
          <w:b/>
          <w:sz w:val="28"/>
          <w:szCs w:val="28"/>
        </w:rPr>
        <w:t>800</w:t>
      </w:r>
      <w:r>
        <w:rPr>
          <w:rFonts w:hint="eastAsia"/>
          <w:b/>
          <w:sz w:val="28"/>
          <w:szCs w:val="28"/>
        </w:rPr>
        <w:t>查询，设备出厂最终用户为宁波市镇海炼化医院</w:t>
      </w:r>
      <w:r>
        <w:rPr>
          <w:rFonts w:hint="eastAsia"/>
          <w:b/>
          <w:sz w:val="28"/>
          <w:szCs w:val="28"/>
        </w:rPr>
        <w:t>,</w:t>
      </w:r>
      <w:r>
        <w:rPr>
          <w:rFonts w:hint="eastAsia"/>
          <w:b/>
          <w:sz w:val="28"/>
          <w:szCs w:val="28"/>
        </w:rPr>
        <w:t>必须符合我院要求，与我院其他软件无缝对接，</w:t>
      </w:r>
      <w:bookmarkStart w:id="0" w:name="_GoBack"/>
      <w:bookmarkEnd w:id="0"/>
      <w:r>
        <w:rPr>
          <w:rFonts w:hint="eastAsia"/>
          <w:b/>
          <w:sz w:val="28"/>
          <w:szCs w:val="28"/>
        </w:rPr>
        <w:t>合同签订前提供针对于本单位的原厂三年质</w:t>
      </w:r>
      <w:proofErr w:type="gramStart"/>
      <w:r>
        <w:rPr>
          <w:rFonts w:hint="eastAsia"/>
          <w:b/>
          <w:sz w:val="28"/>
          <w:szCs w:val="28"/>
        </w:rPr>
        <w:t>保材料</w:t>
      </w:r>
      <w:proofErr w:type="gramEnd"/>
      <w:r>
        <w:rPr>
          <w:rFonts w:hint="eastAsia"/>
          <w:b/>
          <w:sz w:val="28"/>
          <w:szCs w:val="28"/>
        </w:rPr>
        <w:t>证明函原件，如不能满足以上要求，将视为不明来源货物，我单位有权拒签合同并通知采购中心处理。</w:t>
      </w:r>
    </w:p>
    <w:p w:rsidR="008D0AD8" w:rsidRDefault="00660FB3">
      <w:pPr>
        <w:rPr>
          <w:b/>
          <w:sz w:val="28"/>
          <w:szCs w:val="28"/>
        </w:rPr>
      </w:pPr>
      <w:r>
        <w:rPr>
          <w:rFonts w:hint="eastAsia"/>
          <w:b/>
          <w:sz w:val="28"/>
          <w:szCs w:val="28"/>
        </w:rPr>
        <w:t>3</w:t>
      </w:r>
      <w:r>
        <w:rPr>
          <w:rFonts w:hint="eastAsia"/>
          <w:b/>
          <w:sz w:val="28"/>
          <w:szCs w:val="28"/>
        </w:rPr>
        <w:t>、货物不接受外区货运、快递，宁波地区本地化服务。</w:t>
      </w:r>
    </w:p>
    <w:sectPr w:rsidR="008D0AD8" w:rsidSect="008D0A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B3" w:rsidRDefault="00660FB3" w:rsidP="00E87F20">
      <w:r>
        <w:separator/>
      </w:r>
    </w:p>
  </w:endnote>
  <w:endnote w:type="continuationSeparator" w:id="0">
    <w:p w:rsidR="00660FB3" w:rsidRDefault="00660FB3" w:rsidP="00E87F2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B3" w:rsidRDefault="00660FB3" w:rsidP="00E87F20">
      <w:r>
        <w:separator/>
      </w:r>
    </w:p>
  </w:footnote>
  <w:footnote w:type="continuationSeparator" w:id="0">
    <w:p w:rsidR="00660FB3" w:rsidRDefault="00660FB3" w:rsidP="00E8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9EB"/>
    <w:multiLevelType w:val="multilevel"/>
    <w:tmpl w:val="377C49EB"/>
    <w:lvl w:ilvl="0">
      <w:start w:val="1"/>
      <w:numFmt w:val="decimal"/>
      <w:lvlText w:val="%1、"/>
      <w:lvlJc w:val="left"/>
      <w:pPr>
        <w:ind w:left="360" w:hanging="360"/>
      </w:pPr>
      <w:rPr>
        <w:rFonts w:ascii="宋体" w:eastAsia="宋体" w:hAnsi="宋体" w:cs="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F1E"/>
    <w:rsid w:val="00044A90"/>
    <w:rsid w:val="000A4387"/>
    <w:rsid w:val="000E67F6"/>
    <w:rsid w:val="000F36B9"/>
    <w:rsid w:val="00155F3B"/>
    <w:rsid w:val="001724EC"/>
    <w:rsid w:val="001740AA"/>
    <w:rsid w:val="00196812"/>
    <w:rsid w:val="001A332A"/>
    <w:rsid w:val="00202A72"/>
    <w:rsid w:val="0024418B"/>
    <w:rsid w:val="00257003"/>
    <w:rsid w:val="002870AB"/>
    <w:rsid w:val="00293E46"/>
    <w:rsid w:val="002A1204"/>
    <w:rsid w:val="002E2AF5"/>
    <w:rsid w:val="0030205F"/>
    <w:rsid w:val="00311C8F"/>
    <w:rsid w:val="00315517"/>
    <w:rsid w:val="00353375"/>
    <w:rsid w:val="00361BFA"/>
    <w:rsid w:val="00363DDB"/>
    <w:rsid w:val="0044513E"/>
    <w:rsid w:val="00474839"/>
    <w:rsid w:val="004B0604"/>
    <w:rsid w:val="004B409C"/>
    <w:rsid w:val="004C7EC0"/>
    <w:rsid w:val="004E16FD"/>
    <w:rsid w:val="004E2BB8"/>
    <w:rsid w:val="00501CA7"/>
    <w:rsid w:val="00554715"/>
    <w:rsid w:val="0057775A"/>
    <w:rsid w:val="0058444F"/>
    <w:rsid w:val="005E0FAC"/>
    <w:rsid w:val="00642ABC"/>
    <w:rsid w:val="00660FB3"/>
    <w:rsid w:val="00675788"/>
    <w:rsid w:val="006B04D0"/>
    <w:rsid w:val="006B6A84"/>
    <w:rsid w:val="00722564"/>
    <w:rsid w:val="0073378C"/>
    <w:rsid w:val="007565BF"/>
    <w:rsid w:val="00767457"/>
    <w:rsid w:val="007D19A9"/>
    <w:rsid w:val="007E0630"/>
    <w:rsid w:val="0083563F"/>
    <w:rsid w:val="008707D3"/>
    <w:rsid w:val="008A4103"/>
    <w:rsid w:val="008D0AD8"/>
    <w:rsid w:val="008D30A2"/>
    <w:rsid w:val="008E6F30"/>
    <w:rsid w:val="008F3694"/>
    <w:rsid w:val="00995032"/>
    <w:rsid w:val="009B57C1"/>
    <w:rsid w:val="00A1232D"/>
    <w:rsid w:val="00A16F1E"/>
    <w:rsid w:val="00A2766E"/>
    <w:rsid w:val="00A4190F"/>
    <w:rsid w:val="00A873EF"/>
    <w:rsid w:val="00AA11D3"/>
    <w:rsid w:val="00AB3B74"/>
    <w:rsid w:val="00AD7CA3"/>
    <w:rsid w:val="00B00106"/>
    <w:rsid w:val="00B15DCF"/>
    <w:rsid w:val="00B653AC"/>
    <w:rsid w:val="00B779D5"/>
    <w:rsid w:val="00BA0DD8"/>
    <w:rsid w:val="00BA2E56"/>
    <w:rsid w:val="00BC6ED8"/>
    <w:rsid w:val="00BF39D4"/>
    <w:rsid w:val="00C276BF"/>
    <w:rsid w:val="00C4327A"/>
    <w:rsid w:val="00C442AA"/>
    <w:rsid w:val="00C8613E"/>
    <w:rsid w:val="00D25CC7"/>
    <w:rsid w:val="00D31396"/>
    <w:rsid w:val="00D33D05"/>
    <w:rsid w:val="00D459A2"/>
    <w:rsid w:val="00D81602"/>
    <w:rsid w:val="00D91299"/>
    <w:rsid w:val="00DA4A40"/>
    <w:rsid w:val="00DD2734"/>
    <w:rsid w:val="00DE4CD6"/>
    <w:rsid w:val="00E52AAE"/>
    <w:rsid w:val="00E56584"/>
    <w:rsid w:val="00E72A0E"/>
    <w:rsid w:val="00E87F20"/>
    <w:rsid w:val="00EA2E40"/>
    <w:rsid w:val="00ED5243"/>
    <w:rsid w:val="00EE2DBC"/>
    <w:rsid w:val="00EF487E"/>
    <w:rsid w:val="00F33161"/>
    <w:rsid w:val="00F41E07"/>
    <w:rsid w:val="00F671A7"/>
    <w:rsid w:val="00FC5DAE"/>
    <w:rsid w:val="00FC6AF6"/>
    <w:rsid w:val="00FD6BD4"/>
    <w:rsid w:val="00FE48D7"/>
    <w:rsid w:val="00FF5562"/>
    <w:rsid w:val="06C6026E"/>
    <w:rsid w:val="15433921"/>
    <w:rsid w:val="2D1D7CC0"/>
    <w:rsid w:val="53E67E40"/>
    <w:rsid w:val="5CCB0F4C"/>
    <w:rsid w:val="61363804"/>
    <w:rsid w:val="62977352"/>
    <w:rsid w:val="7AAB3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D0AD8"/>
    <w:pPr>
      <w:tabs>
        <w:tab w:val="center" w:pos="4153"/>
        <w:tab w:val="right" w:pos="8306"/>
      </w:tabs>
      <w:snapToGrid w:val="0"/>
      <w:jc w:val="left"/>
    </w:pPr>
    <w:rPr>
      <w:sz w:val="18"/>
      <w:szCs w:val="18"/>
    </w:rPr>
  </w:style>
  <w:style w:type="paragraph" w:styleId="a4">
    <w:name w:val="header"/>
    <w:basedOn w:val="a"/>
    <w:link w:val="Char0"/>
    <w:uiPriority w:val="99"/>
    <w:unhideWhenUsed/>
    <w:rsid w:val="008D0AD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8D0AD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8D0AD8"/>
    <w:pPr>
      <w:widowControl/>
      <w:ind w:firstLineChars="200" w:firstLine="420"/>
      <w:jc w:val="left"/>
    </w:pPr>
    <w:rPr>
      <w:rFonts w:ascii="宋体" w:hAnsi="宋体" w:cs="宋体"/>
      <w:kern w:val="0"/>
      <w:sz w:val="24"/>
      <w:szCs w:val="24"/>
    </w:rPr>
  </w:style>
  <w:style w:type="paragraph" w:customStyle="1" w:styleId="newstyle16">
    <w:name w:val="newstyle16"/>
    <w:basedOn w:val="a"/>
    <w:qFormat/>
    <w:rsid w:val="008D0AD8"/>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sid w:val="008D0AD8"/>
    <w:rPr>
      <w:sz w:val="18"/>
      <w:szCs w:val="18"/>
    </w:rPr>
  </w:style>
  <w:style w:type="character" w:customStyle="1" w:styleId="Char">
    <w:name w:val="页脚 Char"/>
    <w:basedOn w:val="a0"/>
    <w:link w:val="a3"/>
    <w:uiPriority w:val="99"/>
    <w:qFormat/>
    <w:rsid w:val="008D0AD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1441</Characters>
  <Application>Microsoft Office Word</Application>
  <DocSecurity>0</DocSecurity>
  <Lines>12</Lines>
  <Paragraphs>3</Paragraphs>
  <ScaleCrop>false</ScaleCrop>
  <Company>微软中国</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4</cp:revision>
  <dcterms:created xsi:type="dcterms:W3CDTF">2019-09-24T00:44:00Z</dcterms:created>
  <dcterms:modified xsi:type="dcterms:W3CDTF">2019-09-25T01:55:00Z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