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leftChars="0"/>
        <w:jc w:val="center"/>
        <w:textAlignment w:val="auto"/>
        <w:rPr>
          <w:rFonts w:hint="eastAsia" w:ascii="宋体" w:hAnsi="宋体" w:eastAsia="宋体" w:cs="宋体"/>
          <w:sz w:val="36"/>
          <w:szCs w:val="36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F2C"/>
          <w:spacing w:val="0"/>
          <w:sz w:val="36"/>
          <w:szCs w:val="36"/>
          <w:shd w:val="clear" w:color="auto" w:fill="auto"/>
        </w:rPr>
        <w:t>宁波市文化遗产管理研究院</w:t>
      </w:r>
      <w:r>
        <w:rPr>
          <w:rFonts w:hint="eastAsia" w:ascii="宋体" w:hAnsi="宋体" w:eastAsia="宋体" w:cs="宋体"/>
          <w:i w:val="0"/>
          <w:iCs w:val="0"/>
          <w:caps w:val="0"/>
          <w:color w:val="111F2C"/>
          <w:spacing w:val="0"/>
          <w:sz w:val="36"/>
          <w:szCs w:val="36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11F2C"/>
          <w:spacing w:val="0"/>
          <w:sz w:val="36"/>
          <w:szCs w:val="36"/>
          <w:shd w:val="clear" w:color="auto" w:fill="auto"/>
        </w:rPr>
        <w:t>斗门爱国增产水闸处大运河宁波段</w:t>
      </w:r>
      <w:r>
        <w:rPr>
          <w:rFonts w:hint="eastAsia" w:ascii="宋体" w:hAnsi="宋体" w:eastAsia="宋体" w:cs="宋体"/>
          <w:i w:val="0"/>
          <w:iCs w:val="0"/>
          <w:caps w:val="0"/>
          <w:color w:val="111F2C"/>
          <w:spacing w:val="0"/>
          <w:sz w:val="36"/>
          <w:szCs w:val="36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11F2C"/>
          <w:spacing w:val="0"/>
          <w:sz w:val="36"/>
          <w:szCs w:val="36"/>
          <w:shd w:val="clear" w:color="auto" w:fill="auto"/>
        </w:rPr>
        <w:t>标志碑制作与安装服务需求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树立世界遗产标志碑是落实世界遗产保护管理工作的重要举措，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警示和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告知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社会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公众和外国参观者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遗产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所具有的非同寻常的特殊价值和世界意义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现根据实际保护工作需求，特采购本项目。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630"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内容：</w:t>
      </w:r>
      <w:r>
        <w:rPr>
          <w:rFonts w:hint="eastAsia" w:ascii="仿宋" w:hAnsi="仿宋" w:eastAsia="仿宋" w:cs="仿宋"/>
          <w:i w:val="0"/>
          <w:iCs w:val="0"/>
          <w:caps w:val="0"/>
          <w:color w:val="111F2C"/>
          <w:spacing w:val="0"/>
          <w:sz w:val="30"/>
          <w:szCs w:val="30"/>
          <w:shd w:val="clear" w:color="auto" w:fill="auto"/>
        </w:rPr>
        <w:t>斗门爱国增产水闸处大运河宁波段标志碑</w:t>
      </w:r>
      <w:r>
        <w:rPr>
          <w:rFonts w:hint="eastAsia" w:ascii="仿宋" w:hAnsi="仿宋" w:eastAsia="仿宋" w:cs="仿宋"/>
          <w:i w:val="0"/>
          <w:iCs w:val="0"/>
          <w:caps w:val="0"/>
          <w:color w:val="111F2C"/>
          <w:spacing w:val="0"/>
          <w:sz w:val="30"/>
          <w:szCs w:val="30"/>
          <w:shd w:val="clear" w:color="auto" w:fill="auto"/>
          <w:lang w:val="en-US" w:eastAsia="zh-CN"/>
        </w:rPr>
        <w:t>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世界遗产“中国大运河”遗产标志碑的制作与安装。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2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数量：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2021年9月20日前完成标志碑的制作；经我单位审核确认后5个工作日内于指定地点完成标志碑的安装。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2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于宁波市余姚市马渚镇斗门村斗门爱国增产水闸处交货，并于交货当日完成安装。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00" w:lineRule="auto"/>
        <w:ind w:left="602" w:left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项目预算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00" w:lineRule="auto"/>
        <w:ind w:left="602"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10万元（含税）。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以上费用包括制作并安装验收合格的遗产标志碑所产生的全部费用。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left="555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三、技术要求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遗产标志碑须根据《大运河遗产展示与标识系统设计指导意见》中的要求进行形态设计；碑身、碑座均须采用花岗岩(青色系列石材)整石进行制作；竖式碑身采用人工雕琢与局部自然造型相结合的肌理效果，与运河本体及历史风貌、周边环境相协调。标志碑具体样式、规格尺寸、界面信息设计与图文刻制要求等详见示意图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ind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left="420" w:leftChars="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left="420" w:leftChars="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4391025" cy="775081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77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left="420" w:leftChars="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4295140" cy="6920230"/>
            <wp:effectExtent l="0" t="0" r="1016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69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left="420" w:lef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381250" cy="6238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ind w:left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四、</w:t>
      </w:r>
      <w:r>
        <w:rPr>
          <w:rFonts w:hint="eastAsia" w:ascii="仿宋" w:hAnsi="仿宋" w:eastAsia="仿宋" w:cs="仿宋"/>
          <w:sz w:val="30"/>
          <w:szCs w:val="30"/>
        </w:rPr>
        <w:t>服务要求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及质保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此标志碑用于马渚横河水利航运设施(斗门老闸)，对虞余运河的遗产进行解说。遗产点段文字介绍内容由甲方提供；碑体上的文字及图案、颜色选用等需由甲方确认后方可制作。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标志碑制作安装后，质保期为一年，质保期间出现文字图案掉漆、倾倒、裂隙等情况时，</w:t>
      </w:r>
      <w:r>
        <w:rPr>
          <w:rFonts w:hint="eastAsia" w:ascii="仿宋" w:hAnsi="仿宋" w:eastAsia="仿宋" w:cs="仿宋"/>
          <w:sz w:val="30"/>
          <w:szCs w:val="30"/>
        </w:rPr>
        <w:t>投标人须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于项目需求方通知起24小时内响应，48小时内解决故障。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ind w:left="602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投标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需知</w:t>
      </w:r>
    </w:p>
    <w:p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投标单位须具有独立法人资格，经营范围含有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花岗岩石材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石雕工艺品加工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安装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销售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等相关内容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具有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文物相关标志碑、展示牌制作安装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工作业绩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报价不超过1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万元。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ind w:leftChars="200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投标单位符合上述要求的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为本项目合格投标单位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采购人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按照采购人单位相关内部遴选程序，综合报价、业绩、资质等情况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确定中标单位。</w:t>
      </w:r>
    </w:p>
    <w:p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合作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 xml:space="preserve">经费分两次支付：第一次支付合同总金额的 50%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支付时间为合同生效后的15个工作日内。第二次支付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至工程审计结算价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 xml:space="preserve">0%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支付时间为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工程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通过专家审核验收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工程审计结束后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的1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个工作日内。</w:t>
      </w:r>
    </w:p>
    <w:p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合同正式签订前，中标单位支付中标金额5%的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保证金。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工程结束后，转为质量保证金，质保期满后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全额无息返还。</w:t>
      </w:r>
    </w:p>
    <w:p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30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投标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材料：1.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营业执照；2.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加盖公章的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工程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方案；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111F2C"/>
          <w:spacing w:val="0"/>
          <w:sz w:val="30"/>
          <w:szCs w:val="30"/>
          <w:shd w:val="clear" w:fill="FFFFFF"/>
        </w:rPr>
        <w:t>.相关证明材料（业绩证明等）。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6281942"/>
    </w:sdtPr>
    <w:sdtEndPr>
      <w:rPr>
        <w:rFonts w:ascii="宋体" w:hAnsi="宋体"/>
        <w:b/>
        <w:sz w:val="18"/>
        <w:szCs w:val="18"/>
      </w:rPr>
    </w:sdtEndPr>
    <w:sdtContent>
      <w:p>
        <w:pPr>
          <w:pStyle w:val="4"/>
          <w:adjustRightInd w:val="0"/>
          <w:snapToGrid w:val="0"/>
          <w:jc w:val="center"/>
          <w:rPr>
            <w:rFonts w:ascii="宋体" w:hAnsi="宋体"/>
            <w:b/>
            <w:sz w:val="18"/>
            <w:szCs w:val="18"/>
          </w:rPr>
        </w:pPr>
        <w:r>
          <w:rPr>
            <w:rFonts w:ascii="宋体" w:hAnsi="宋体"/>
            <w:b/>
            <w:sz w:val="18"/>
            <w:szCs w:val="18"/>
          </w:rPr>
          <w:fldChar w:fldCharType="begin"/>
        </w:r>
        <w:r>
          <w:rPr>
            <w:rFonts w:ascii="宋体" w:hAnsi="宋体"/>
            <w:b/>
            <w:sz w:val="18"/>
            <w:szCs w:val="18"/>
          </w:rPr>
          <w:instrText xml:space="preserve">PAGE   \* MERGEFORMAT</w:instrText>
        </w:r>
        <w:r>
          <w:rPr>
            <w:rFonts w:ascii="宋体" w:hAnsi="宋体"/>
            <w:b/>
            <w:sz w:val="18"/>
            <w:szCs w:val="18"/>
          </w:rPr>
          <w:fldChar w:fldCharType="separate"/>
        </w:r>
        <w:r>
          <w:rPr>
            <w:rFonts w:ascii="宋体" w:hAnsi="宋体"/>
            <w:b/>
            <w:sz w:val="18"/>
            <w:szCs w:val="18"/>
            <w:lang w:val="zh-CN" w:eastAsia="zh-CN"/>
          </w:rPr>
          <w:t>1</w:t>
        </w:r>
        <w:r>
          <w:rPr>
            <w:rFonts w:ascii="宋体" w:hAnsi="宋体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653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bCs/>
        <w:lang w:val="zh-CN"/>
      </w:rPr>
      <w:t>4</w:t>
    </w:r>
    <w:r>
      <w:rPr>
        <w:b/>
        <w:bCs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CEEE1"/>
    <w:multiLevelType w:val="singleLevel"/>
    <w:tmpl w:val="920CEEE1"/>
    <w:lvl w:ilvl="0" w:tentative="0">
      <w:start w:val="1"/>
      <w:numFmt w:val="chineseCounting"/>
      <w:suff w:val="nothing"/>
      <w:lvlText w:val="（%1）"/>
      <w:lvlJc w:val="left"/>
      <w:rPr>
        <w:rFonts w:hint="eastAsia"/>
        <w:b w:val="0"/>
        <w:bCs w:val="0"/>
      </w:rPr>
    </w:lvl>
  </w:abstractNum>
  <w:abstractNum w:abstractNumId="1">
    <w:nsid w:val="A85878DA"/>
    <w:multiLevelType w:val="singleLevel"/>
    <w:tmpl w:val="A85878DA"/>
    <w:lvl w:ilvl="0" w:tentative="0">
      <w:start w:val="5"/>
      <w:numFmt w:val="chineseCounting"/>
      <w:suff w:val="nothing"/>
      <w:lvlText w:val="%1、"/>
      <w:lvlJc w:val="left"/>
      <w:pPr>
        <w:ind w:left="602" w:leftChars="0" w:firstLine="0" w:firstLineChars="0"/>
      </w:pPr>
      <w:rPr>
        <w:rFonts w:hint="eastAsia"/>
      </w:rPr>
    </w:lvl>
  </w:abstractNum>
  <w:abstractNum w:abstractNumId="2">
    <w:nsid w:val="45133286"/>
    <w:multiLevelType w:val="multilevel"/>
    <w:tmpl w:val="45133286"/>
    <w:lvl w:ilvl="0" w:tentative="0">
      <w:start w:val="1"/>
      <w:numFmt w:val="chineseCountingThousand"/>
      <w:pStyle w:val="2"/>
      <w:suff w:val="nothing"/>
      <w:lvlText w:val="%1."/>
      <w:lvlJc w:val="left"/>
      <w:pPr>
        <w:ind w:left="142" w:firstLine="0"/>
      </w:pPr>
      <w:rPr>
        <w:rFonts w:hint="eastAsia" w:ascii="宋体" w:hAnsi="宋体" w:eastAsia="宋体"/>
        <w:b/>
        <w:i w:val="0"/>
        <w:sz w:val="36"/>
        <w:szCs w:val="21"/>
        <w:lang w:val="en-US"/>
      </w:rPr>
    </w:lvl>
    <w:lvl w:ilvl="1" w:tentative="0">
      <w:start w:val="1"/>
      <w:numFmt w:val="decimal"/>
      <w:pStyle w:val="3"/>
      <w:suff w:val="nothing"/>
      <w:lvlText w:val="%2."/>
      <w:lvlJc w:val="left"/>
      <w:pPr>
        <w:ind w:left="0" w:firstLine="0"/>
      </w:pPr>
      <w:rPr>
        <w:rFonts w:hint="eastAsia" w:ascii="宋体" w:eastAsia="宋体"/>
        <w:b/>
        <w:i w:val="0"/>
        <w:sz w:val="32"/>
      </w:rPr>
    </w:lvl>
    <w:lvl w:ilvl="2" w:tentative="0">
      <w:start w:val="1"/>
      <w:numFmt w:val="decimal"/>
      <w:suff w:val="nothing"/>
      <w:lvlText w:val="%2.%3."/>
      <w:lvlJc w:val="left"/>
      <w:pPr>
        <w:ind w:left="284" w:firstLine="0"/>
      </w:pPr>
      <w:rPr>
        <w:rFonts w:hint="eastAsia" w:ascii="宋体" w:eastAsia="宋体"/>
        <w:b/>
        <w:i w:val="0"/>
        <w:sz w:val="30"/>
      </w:rPr>
    </w:lvl>
    <w:lvl w:ilvl="3" w:tentative="0">
      <w:start w:val="1"/>
      <w:numFmt w:val="decimal"/>
      <w:suff w:val="nothing"/>
      <w:lvlText w:val="%2.%3.%4.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4" w:tentative="0">
      <w:start w:val="1"/>
      <w:numFmt w:val="decimal"/>
      <w:suff w:val="nothing"/>
      <w:lvlText w:val="%2.%3.%4.%5."/>
      <w:lvlJc w:val="left"/>
      <w:pPr>
        <w:ind w:left="1702" w:firstLine="0"/>
      </w:pPr>
      <w:rPr>
        <w:rFonts w:hint="eastAsia" w:ascii="宋体" w:eastAsia="宋体"/>
        <w:b/>
        <w:i w:val="0"/>
        <w:sz w:val="24"/>
      </w:rPr>
    </w:lvl>
    <w:lvl w:ilvl="5" w:tentative="0">
      <w:start w:val="1"/>
      <w:numFmt w:val="decimal"/>
      <w:isLgl/>
      <w:suff w:val="nothing"/>
      <w:lvlText w:val="%2.%3.%4.%5.%6."/>
      <w:lvlJc w:val="left"/>
      <w:pPr>
        <w:ind w:left="0" w:firstLine="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6" w:tentative="0">
      <w:start w:val="1"/>
      <w:numFmt w:val="decimal"/>
      <w:lvlText w:val="（%7）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67DD7"/>
    <w:rsid w:val="01267DD7"/>
    <w:rsid w:val="04B219E9"/>
    <w:rsid w:val="055F469F"/>
    <w:rsid w:val="10EC032C"/>
    <w:rsid w:val="11B17E21"/>
    <w:rsid w:val="12964B40"/>
    <w:rsid w:val="13355272"/>
    <w:rsid w:val="13710D96"/>
    <w:rsid w:val="1474761A"/>
    <w:rsid w:val="169D772B"/>
    <w:rsid w:val="17535790"/>
    <w:rsid w:val="1C3327D6"/>
    <w:rsid w:val="1ECB5D86"/>
    <w:rsid w:val="204332B7"/>
    <w:rsid w:val="23CE6CC7"/>
    <w:rsid w:val="26C86912"/>
    <w:rsid w:val="26EF72B6"/>
    <w:rsid w:val="2BAD02A9"/>
    <w:rsid w:val="2C280569"/>
    <w:rsid w:val="2DB5589E"/>
    <w:rsid w:val="2DD00734"/>
    <w:rsid w:val="302F2838"/>
    <w:rsid w:val="319A07E9"/>
    <w:rsid w:val="3500404E"/>
    <w:rsid w:val="3BB732F8"/>
    <w:rsid w:val="3D342D59"/>
    <w:rsid w:val="42B7269D"/>
    <w:rsid w:val="4D876626"/>
    <w:rsid w:val="52094F98"/>
    <w:rsid w:val="53815256"/>
    <w:rsid w:val="5C132D4E"/>
    <w:rsid w:val="6A8315E9"/>
    <w:rsid w:val="6B4C1F45"/>
    <w:rsid w:val="6C835C96"/>
    <w:rsid w:val="71084C19"/>
    <w:rsid w:val="71AE21D4"/>
    <w:rsid w:val="73A03451"/>
    <w:rsid w:val="7824105B"/>
    <w:rsid w:val="7A21336E"/>
    <w:rsid w:val="7C2F1D48"/>
    <w:rsid w:val="7D1673FA"/>
    <w:rsid w:val="7D3C51AE"/>
    <w:rsid w:val="7D6E28B4"/>
    <w:rsid w:val="7F8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ind w:left="0"/>
      <w:outlineLvl w:val="0"/>
    </w:pPr>
    <w:rPr>
      <w:b/>
      <w:kern w:val="44"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asciiTheme="majorEastAsia" w:hAnsiTheme="majorEastAsia" w:eastAsiaTheme="majorEastAsia" w:cstheme="majorEastAsia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320"/>
        <w:tab w:val="right" w:pos="8640"/>
      </w:tabs>
    </w:pPr>
    <w:rPr>
      <w:rFonts w:ascii="Futura Bk" w:hAnsi="Futura Bk"/>
      <w:lang w:val="en-GB" w:eastAsia="en-US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2021-05-11T06:09:00Z</dcterms:created>
  <dc:creator>Administrator</dc:creator>
  <cp:lastModifiedBy>改名字了</cp:lastModifiedBy>
  <dcterms:modified xsi:type="dcterms:W3CDTF">2021-06-17T02:45:43Z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8F4014076107405CB0EF530991E40C3F</vt:lpwstr>
  </property>
</Properties>
</file>