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F6742">
      <w:pPr>
        <w:ind w:firstLine="720"/>
        <w:jc w:val="center"/>
        <w:rPr>
          <w:rFonts w:ascii="仿宋" w:hAnsi="仿宋" w:cs="仿宋"/>
          <w:sz w:val="36"/>
          <w:szCs w:val="36"/>
        </w:rPr>
      </w:pPr>
    </w:p>
    <w:p w14:paraId="071659E9">
      <w:pPr>
        <w:ind w:firstLine="720"/>
        <w:jc w:val="center"/>
        <w:rPr>
          <w:rFonts w:ascii="仿宋" w:hAnsi="仿宋" w:cs="仿宋"/>
          <w:sz w:val="36"/>
          <w:szCs w:val="36"/>
        </w:rPr>
      </w:pPr>
    </w:p>
    <w:p w14:paraId="543AD284">
      <w:pPr>
        <w:ind w:firstLine="720"/>
        <w:jc w:val="center"/>
        <w:rPr>
          <w:rFonts w:ascii="仿宋" w:hAnsi="仿宋" w:cs="仿宋"/>
          <w:sz w:val="36"/>
          <w:szCs w:val="36"/>
        </w:rPr>
      </w:pPr>
    </w:p>
    <w:p w14:paraId="6C2026DC">
      <w:pPr>
        <w:ind w:firstLine="0" w:firstLineChars="0"/>
        <w:jc w:val="both"/>
        <w:rPr>
          <w:rFonts w:ascii="仿宋" w:hAnsi="仿宋" w:cs="仿宋"/>
          <w:sz w:val="52"/>
          <w:szCs w:val="52"/>
        </w:rPr>
      </w:pPr>
    </w:p>
    <w:p w14:paraId="1A47B90F">
      <w:pPr>
        <w:ind w:firstLine="1044"/>
        <w:jc w:val="center"/>
        <w:rPr>
          <w:rFonts w:ascii="仿宋" w:hAnsi="仿宋" w:cs="仿宋"/>
          <w:b/>
          <w:bCs/>
          <w:sz w:val="52"/>
          <w:szCs w:val="52"/>
        </w:rPr>
      </w:pPr>
      <w:r>
        <w:rPr>
          <w:rFonts w:hint="eastAsia" w:ascii="仿宋" w:hAnsi="仿宋" w:cs="仿宋"/>
          <w:b/>
          <w:bCs/>
          <w:sz w:val="52"/>
          <w:szCs w:val="52"/>
        </w:rPr>
        <w:t>国家税务总局丹东市税务局</w:t>
      </w:r>
    </w:p>
    <w:p w14:paraId="5718BF40">
      <w:pPr>
        <w:ind w:firstLine="1044"/>
        <w:jc w:val="center"/>
        <w:rPr>
          <w:rFonts w:ascii="仿宋" w:hAnsi="仿宋" w:cs="仿宋"/>
          <w:b/>
          <w:bCs/>
          <w:sz w:val="52"/>
          <w:szCs w:val="52"/>
        </w:rPr>
      </w:pPr>
      <w:r>
        <w:rPr>
          <w:rFonts w:hint="eastAsia" w:ascii="仿宋" w:hAnsi="仿宋" w:cs="仿宋"/>
          <w:b/>
          <w:bCs/>
          <w:sz w:val="52"/>
          <w:szCs w:val="52"/>
        </w:rPr>
        <w:t>无线覆盖采购项目需求文件</w:t>
      </w:r>
    </w:p>
    <w:p w14:paraId="222D5239">
      <w:pPr>
        <w:ind w:firstLine="720"/>
        <w:rPr>
          <w:rFonts w:ascii="仿宋" w:hAnsi="仿宋" w:cs="仿宋"/>
          <w:sz w:val="36"/>
          <w:szCs w:val="36"/>
        </w:rPr>
      </w:pPr>
    </w:p>
    <w:p w14:paraId="768E71C6">
      <w:pPr>
        <w:ind w:firstLine="720"/>
        <w:rPr>
          <w:rFonts w:ascii="仿宋" w:hAnsi="仿宋" w:cs="仿宋"/>
          <w:sz w:val="36"/>
          <w:szCs w:val="36"/>
        </w:rPr>
      </w:pPr>
    </w:p>
    <w:p w14:paraId="3A6278E7">
      <w:pPr>
        <w:ind w:firstLine="720"/>
        <w:rPr>
          <w:rFonts w:ascii="仿宋" w:hAnsi="仿宋" w:cs="仿宋"/>
          <w:sz w:val="36"/>
          <w:szCs w:val="36"/>
        </w:rPr>
      </w:pPr>
    </w:p>
    <w:p w14:paraId="57ADE368">
      <w:pPr>
        <w:ind w:firstLine="720"/>
        <w:rPr>
          <w:rFonts w:ascii="仿宋" w:hAnsi="仿宋" w:cs="仿宋"/>
          <w:sz w:val="36"/>
          <w:szCs w:val="36"/>
        </w:rPr>
      </w:pPr>
    </w:p>
    <w:p w14:paraId="66803DBE">
      <w:pPr>
        <w:pStyle w:val="2"/>
        <w:ind w:firstLine="480"/>
        <w:rPr>
          <w:rFonts w:ascii="仿宋" w:hAnsi="仿宋" w:cs="仿宋"/>
        </w:rPr>
      </w:pPr>
    </w:p>
    <w:p w14:paraId="24C49782">
      <w:pPr>
        <w:pStyle w:val="2"/>
        <w:ind w:firstLine="480"/>
        <w:rPr>
          <w:rFonts w:ascii="仿宋" w:hAnsi="仿宋" w:cs="仿宋"/>
        </w:rPr>
      </w:pPr>
    </w:p>
    <w:p w14:paraId="4A0BA5FC">
      <w:pPr>
        <w:pStyle w:val="2"/>
        <w:ind w:firstLine="0" w:firstLineChars="0"/>
        <w:rPr>
          <w:rFonts w:ascii="仿宋" w:hAnsi="仿宋" w:cs="仿宋"/>
        </w:rPr>
      </w:pPr>
    </w:p>
    <w:p w14:paraId="3B4DBD7B">
      <w:pPr>
        <w:pStyle w:val="2"/>
        <w:ind w:firstLine="480"/>
        <w:rPr>
          <w:rFonts w:ascii="仿宋" w:hAnsi="仿宋" w:cs="仿宋"/>
        </w:rPr>
      </w:pPr>
    </w:p>
    <w:p w14:paraId="172A175F">
      <w:pPr>
        <w:pStyle w:val="2"/>
        <w:ind w:firstLine="0" w:firstLineChars="0"/>
        <w:rPr>
          <w:rFonts w:ascii="仿宋" w:hAnsi="仿宋" w:cs="仿宋"/>
        </w:rPr>
      </w:pPr>
    </w:p>
    <w:p w14:paraId="7F346D2E">
      <w:pPr>
        <w:ind w:firstLine="720"/>
        <w:jc w:val="center"/>
        <w:rPr>
          <w:rFonts w:ascii="仿宋" w:hAnsi="仿宋" w:cs="仿宋"/>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cs="仿宋"/>
          <w:sz w:val="36"/>
          <w:szCs w:val="36"/>
        </w:rPr>
        <w:t>国家税务总局丹东市税务局</w:t>
      </w:r>
    </w:p>
    <w:p w14:paraId="3AF62699">
      <w:pPr>
        <w:ind w:firstLine="720"/>
        <w:jc w:val="center"/>
        <w:rPr>
          <w:rFonts w:ascii="仿宋" w:hAnsi="仿宋" w:cs="仿宋"/>
          <w:sz w:val="36"/>
          <w:szCs w:val="36"/>
        </w:rPr>
      </w:pPr>
    </w:p>
    <w:p w14:paraId="3E280D3B">
      <w:pPr>
        <w:pStyle w:val="13"/>
        <w:numPr>
          <w:ilvl w:val="0"/>
          <w:numId w:val="1"/>
        </w:numPr>
        <w:ind w:left="426" w:firstLineChars="0"/>
        <w:rPr>
          <w:rFonts w:ascii="仿宋" w:hAnsi="仿宋" w:eastAsia="仿宋" w:cs="仿宋"/>
          <w:sz w:val="28"/>
          <w:szCs w:val="28"/>
        </w:rPr>
      </w:pPr>
      <w:r>
        <w:rPr>
          <w:rFonts w:hint="eastAsia" w:ascii="仿宋" w:hAnsi="仿宋" w:eastAsia="仿宋" w:cs="仿宋"/>
          <w:sz w:val="28"/>
          <w:szCs w:val="28"/>
        </w:rPr>
        <w:t>项目背景</w:t>
      </w:r>
    </w:p>
    <w:p w14:paraId="7B9C0ACE">
      <w:pPr>
        <w:pStyle w:val="13"/>
        <w:ind w:firstLineChars="0"/>
        <w:rPr>
          <w:rFonts w:ascii="仿宋" w:hAnsi="仿宋" w:eastAsia="仿宋" w:cs="仿宋"/>
          <w:b w:val="0"/>
          <w:bCs w:val="0"/>
          <w:kern w:val="2"/>
          <w:sz w:val="24"/>
          <w:szCs w:val="21"/>
        </w:rPr>
      </w:pPr>
      <w:r>
        <w:rPr>
          <w:rFonts w:hint="eastAsia" w:ascii="仿宋" w:hAnsi="仿宋" w:eastAsia="仿宋" w:cs="仿宋"/>
          <w:b w:val="0"/>
          <w:bCs w:val="0"/>
          <w:kern w:val="2"/>
          <w:sz w:val="24"/>
          <w:szCs w:val="21"/>
        </w:rPr>
        <w:t>为解决满足各部门办公网络无线接入不稳定，信号差，网络维护、管理困难等需求问题，国家税务总局丹东市税务局急需采购无线覆盖设备一套，利用最新无线网络技术实现与现有网络系统进行对接，从而满足无线办公的需求。</w:t>
      </w:r>
    </w:p>
    <w:p w14:paraId="4CA3B38E">
      <w:pPr>
        <w:pStyle w:val="13"/>
        <w:numPr>
          <w:ilvl w:val="0"/>
          <w:numId w:val="1"/>
        </w:numPr>
        <w:ind w:left="426" w:firstLineChars="0"/>
        <w:rPr>
          <w:rFonts w:ascii="仿宋" w:hAnsi="仿宋" w:eastAsia="仿宋" w:cs="仿宋"/>
          <w:sz w:val="28"/>
          <w:szCs w:val="28"/>
        </w:rPr>
      </w:pPr>
      <w:r>
        <w:rPr>
          <w:rFonts w:hint="eastAsia" w:ascii="仿宋" w:hAnsi="仿宋" w:eastAsia="仿宋" w:cs="仿宋"/>
          <w:sz w:val="28"/>
          <w:szCs w:val="28"/>
        </w:rPr>
        <w:t>技术规格、参数与要求</w:t>
      </w:r>
    </w:p>
    <w:p w14:paraId="52A33DB8">
      <w:pPr>
        <w:ind w:firstLine="0" w:firstLineChars="0"/>
        <w:rPr>
          <w:rFonts w:ascii="仿宋" w:hAnsi="仿宋" w:cs="仿宋"/>
          <w:b/>
          <w:kern w:val="0"/>
        </w:rPr>
      </w:pPr>
      <w:r>
        <w:rPr>
          <w:rFonts w:hint="eastAsia" w:ascii="仿宋" w:hAnsi="仿宋" w:cs="仿宋"/>
          <w:b/>
          <w:kern w:val="0"/>
        </w:rPr>
        <w:t>2.1设备采购清单</w:t>
      </w:r>
    </w:p>
    <w:p w14:paraId="163FF36D">
      <w:pPr>
        <w:ind w:firstLine="480"/>
        <w:rPr>
          <w:rFonts w:ascii="仿宋" w:hAnsi="仿宋" w:cs="仿宋"/>
        </w:rPr>
      </w:pPr>
      <w:r>
        <w:rPr>
          <w:rFonts w:hint="eastAsia" w:ascii="仿宋" w:hAnsi="仿宋" w:cs="仿宋"/>
        </w:rPr>
        <w:t>本次项目所需采购的设备清单如下表：</w:t>
      </w:r>
    </w:p>
    <w:tbl>
      <w:tblPr>
        <w:tblStyle w:val="8"/>
        <w:tblW w:w="8040" w:type="dxa"/>
        <w:tblInd w:w="-216" w:type="dxa"/>
        <w:tblLayout w:type="fixed"/>
        <w:tblCellMar>
          <w:top w:w="0" w:type="dxa"/>
          <w:left w:w="108" w:type="dxa"/>
          <w:bottom w:w="0" w:type="dxa"/>
          <w:right w:w="108" w:type="dxa"/>
        </w:tblCellMar>
      </w:tblPr>
      <w:tblGrid>
        <w:gridCol w:w="1175"/>
        <w:gridCol w:w="2683"/>
        <w:gridCol w:w="3051"/>
        <w:gridCol w:w="1131"/>
      </w:tblGrid>
      <w:tr w14:paraId="0991B153">
        <w:tblPrEx>
          <w:tblCellMar>
            <w:top w:w="0" w:type="dxa"/>
            <w:left w:w="108" w:type="dxa"/>
            <w:bottom w:w="0" w:type="dxa"/>
            <w:right w:w="108" w:type="dxa"/>
          </w:tblCellMar>
        </w:tblPrEx>
        <w:trPr>
          <w:trHeight w:val="493" w:hRule="atLeast"/>
        </w:trPr>
        <w:tc>
          <w:tcPr>
            <w:tcW w:w="1175" w:type="dxa"/>
            <w:tcBorders>
              <w:top w:val="single" w:color="auto" w:sz="8" w:space="0"/>
              <w:left w:val="single" w:color="auto" w:sz="8" w:space="0"/>
              <w:bottom w:val="single" w:color="auto" w:sz="8" w:space="0"/>
              <w:right w:val="single" w:color="auto" w:sz="8" w:space="0"/>
            </w:tcBorders>
            <w:vAlign w:val="center"/>
          </w:tcPr>
          <w:p w14:paraId="1B102F37">
            <w:pPr>
              <w:ind w:firstLine="0" w:firstLineChars="0"/>
              <w:jc w:val="center"/>
              <w:rPr>
                <w:rFonts w:ascii="仿宋" w:hAnsi="仿宋" w:cs="仿宋"/>
                <w:b/>
                <w:kern w:val="0"/>
              </w:rPr>
            </w:pPr>
            <w:r>
              <w:rPr>
                <w:rFonts w:hint="eastAsia" w:ascii="仿宋" w:hAnsi="仿宋" w:cs="仿宋"/>
                <w:b/>
                <w:kern w:val="0"/>
              </w:rPr>
              <w:t>序号</w:t>
            </w:r>
          </w:p>
        </w:tc>
        <w:tc>
          <w:tcPr>
            <w:tcW w:w="2683" w:type="dxa"/>
            <w:tcBorders>
              <w:top w:val="single" w:color="auto" w:sz="8" w:space="0"/>
              <w:left w:val="single" w:color="auto" w:sz="8" w:space="0"/>
              <w:bottom w:val="single" w:color="auto" w:sz="8" w:space="0"/>
              <w:right w:val="single" w:color="auto" w:sz="8" w:space="0"/>
            </w:tcBorders>
            <w:vAlign w:val="center"/>
          </w:tcPr>
          <w:p w14:paraId="2C322030">
            <w:pPr>
              <w:ind w:firstLine="0" w:firstLineChars="0"/>
              <w:jc w:val="center"/>
              <w:rPr>
                <w:rFonts w:ascii="仿宋" w:hAnsi="仿宋" w:cs="仿宋"/>
                <w:b/>
                <w:kern w:val="0"/>
              </w:rPr>
            </w:pPr>
            <w:r>
              <w:rPr>
                <w:rFonts w:hint="eastAsia" w:ascii="仿宋" w:hAnsi="仿宋" w:cs="仿宋"/>
                <w:b/>
                <w:kern w:val="0"/>
              </w:rPr>
              <w:t>设备名称</w:t>
            </w:r>
          </w:p>
        </w:tc>
        <w:tc>
          <w:tcPr>
            <w:tcW w:w="3051" w:type="dxa"/>
            <w:tcBorders>
              <w:top w:val="single" w:color="auto" w:sz="8" w:space="0"/>
              <w:left w:val="single" w:color="auto" w:sz="8" w:space="0"/>
              <w:bottom w:val="single" w:color="auto" w:sz="8" w:space="0"/>
              <w:right w:val="single" w:color="auto" w:sz="8" w:space="0"/>
            </w:tcBorders>
            <w:vAlign w:val="center"/>
          </w:tcPr>
          <w:p w14:paraId="728901F3">
            <w:pPr>
              <w:ind w:firstLine="0" w:firstLineChars="0"/>
              <w:jc w:val="center"/>
              <w:rPr>
                <w:rFonts w:ascii="仿宋" w:hAnsi="仿宋" w:cs="仿宋"/>
                <w:b/>
                <w:kern w:val="0"/>
              </w:rPr>
            </w:pPr>
            <w:r>
              <w:rPr>
                <w:rFonts w:hint="eastAsia" w:ascii="仿宋" w:hAnsi="仿宋" w:cs="仿宋"/>
                <w:b/>
                <w:kern w:val="0"/>
              </w:rPr>
              <w:t>规格描述</w:t>
            </w:r>
          </w:p>
        </w:tc>
        <w:tc>
          <w:tcPr>
            <w:tcW w:w="1131" w:type="dxa"/>
            <w:tcBorders>
              <w:top w:val="single" w:color="auto" w:sz="8" w:space="0"/>
              <w:left w:val="single" w:color="auto" w:sz="8" w:space="0"/>
              <w:bottom w:val="single" w:color="auto" w:sz="8" w:space="0"/>
              <w:right w:val="single" w:color="auto" w:sz="8" w:space="0"/>
            </w:tcBorders>
            <w:vAlign w:val="center"/>
          </w:tcPr>
          <w:p w14:paraId="5DE86AE7">
            <w:pPr>
              <w:ind w:firstLine="0" w:firstLineChars="0"/>
              <w:jc w:val="center"/>
              <w:rPr>
                <w:rFonts w:hint="eastAsia" w:ascii="仿宋" w:hAnsi="仿宋" w:cs="仿宋"/>
                <w:b/>
                <w:kern w:val="0"/>
              </w:rPr>
            </w:pPr>
            <w:r>
              <w:rPr>
                <w:rFonts w:hint="eastAsia" w:ascii="仿宋" w:hAnsi="仿宋" w:cs="仿宋"/>
                <w:b/>
                <w:kern w:val="0"/>
              </w:rPr>
              <w:t>数量</w:t>
            </w:r>
          </w:p>
        </w:tc>
      </w:tr>
      <w:tr w14:paraId="619C0EEE">
        <w:tblPrEx>
          <w:tblCellMar>
            <w:top w:w="0" w:type="dxa"/>
            <w:left w:w="108" w:type="dxa"/>
            <w:bottom w:w="0" w:type="dxa"/>
            <w:right w:w="108" w:type="dxa"/>
          </w:tblCellMar>
        </w:tblPrEx>
        <w:trPr>
          <w:trHeight w:val="513" w:hRule="atLeast"/>
        </w:trPr>
        <w:tc>
          <w:tcPr>
            <w:tcW w:w="1175" w:type="dxa"/>
            <w:tcBorders>
              <w:top w:val="single" w:color="auto" w:sz="8" w:space="0"/>
              <w:left w:val="single" w:color="auto" w:sz="8" w:space="0"/>
              <w:bottom w:val="single" w:color="auto" w:sz="8" w:space="0"/>
              <w:right w:val="single" w:color="auto" w:sz="8" w:space="0"/>
            </w:tcBorders>
            <w:vAlign w:val="center"/>
          </w:tcPr>
          <w:p w14:paraId="4528BEB6">
            <w:pPr>
              <w:ind w:firstLine="174" w:firstLineChars="83"/>
              <w:jc w:val="center"/>
              <w:rPr>
                <w:rFonts w:ascii="仿宋" w:hAnsi="仿宋" w:cs="仿宋"/>
                <w:kern w:val="0"/>
                <w:sz w:val="21"/>
              </w:rPr>
            </w:pPr>
            <w:r>
              <w:rPr>
                <w:rFonts w:ascii="仿宋" w:hAnsi="仿宋" w:cs="仿宋"/>
                <w:color w:val="000000"/>
                <w:sz w:val="21"/>
              </w:rPr>
              <w:t>1</w:t>
            </w:r>
          </w:p>
        </w:tc>
        <w:tc>
          <w:tcPr>
            <w:tcW w:w="2683" w:type="dxa"/>
            <w:tcBorders>
              <w:top w:val="single" w:color="auto" w:sz="8" w:space="0"/>
              <w:left w:val="single" w:color="auto" w:sz="8" w:space="0"/>
              <w:bottom w:val="single" w:color="auto" w:sz="8" w:space="0"/>
              <w:right w:val="single" w:color="auto" w:sz="8" w:space="0"/>
            </w:tcBorders>
            <w:vAlign w:val="top"/>
          </w:tcPr>
          <w:p w14:paraId="24F084C0">
            <w:pPr>
              <w:keepNext w:val="0"/>
              <w:keepLines w:val="0"/>
              <w:widowControl/>
              <w:suppressLineNumbers w:val="0"/>
              <w:ind w:left="0" w:leftChars="0" w:firstLine="0" w:firstLineChars="0"/>
              <w:jc w:val="both"/>
              <w:textAlignment w:val="center"/>
              <w:rPr>
                <w:rFonts w:hint="eastAsia" w:ascii="仿宋" w:hAnsi="仿宋" w:eastAsia="仿宋" w:cs="仿宋"/>
                <w:kern w:val="0"/>
                <w:sz w:val="20"/>
                <w:szCs w:val="20"/>
              </w:rPr>
            </w:pPr>
            <w:r>
              <w:rPr>
                <w:rFonts w:hint="eastAsia" w:ascii="仿宋" w:hAnsi="仿宋" w:eastAsia="仿宋" w:cs="仿宋"/>
                <w:i w:val="0"/>
                <w:color w:val="000000"/>
                <w:kern w:val="0"/>
                <w:sz w:val="20"/>
                <w:szCs w:val="20"/>
                <w:u w:val="none"/>
                <w:lang w:val="en-US" w:eastAsia="zh-CN" w:bidi="ar"/>
              </w:rPr>
              <w:t>核心交换机</w:t>
            </w:r>
          </w:p>
        </w:tc>
        <w:tc>
          <w:tcPr>
            <w:tcW w:w="3051" w:type="dxa"/>
            <w:tcBorders>
              <w:top w:val="single" w:color="auto" w:sz="8" w:space="0"/>
              <w:left w:val="single" w:color="auto" w:sz="8" w:space="0"/>
              <w:bottom w:val="single" w:color="auto" w:sz="8" w:space="0"/>
              <w:right w:val="single" w:color="auto" w:sz="8" w:space="0"/>
            </w:tcBorders>
            <w:vAlign w:val="center"/>
          </w:tcPr>
          <w:p w14:paraId="1200654F">
            <w:pPr>
              <w:ind w:firstLine="0" w:firstLineChars="0"/>
              <w:jc w:val="center"/>
              <w:rPr>
                <w:rFonts w:ascii="仿宋" w:hAnsi="仿宋" w:cs="仿宋"/>
                <w:color w:val="000000"/>
                <w:sz w:val="20"/>
                <w:szCs w:val="20"/>
              </w:rPr>
            </w:pPr>
            <w:r>
              <w:rPr>
                <w:rFonts w:hint="eastAsia" w:ascii="仿宋" w:hAnsi="仿宋" w:cs="仿宋"/>
                <w:color w:val="000000"/>
                <w:sz w:val="20"/>
                <w:szCs w:val="20"/>
              </w:rPr>
              <w:t>详见具体技术参数指标</w:t>
            </w:r>
          </w:p>
        </w:tc>
        <w:tc>
          <w:tcPr>
            <w:tcW w:w="1131" w:type="dxa"/>
            <w:tcBorders>
              <w:top w:val="single" w:color="auto" w:sz="8" w:space="0"/>
              <w:left w:val="single" w:color="auto" w:sz="8" w:space="0"/>
              <w:bottom w:val="single" w:color="auto" w:sz="8" w:space="0"/>
              <w:right w:val="single" w:color="auto" w:sz="8" w:space="0"/>
            </w:tcBorders>
            <w:vAlign w:val="center"/>
          </w:tcPr>
          <w:p w14:paraId="6D8D48B8">
            <w:pPr>
              <w:ind w:firstLine="0" w:firstLineChars="0"/>
              <w:jc w:val="center"/>
              <w:rPr>
                <w:rFonts w:hint="eastAsia" w:ascii="仿宋" w:hAnsi="仿宋" w:cs="仿宋"/>
                <w:color w:val="000000"/>
                <w:sz w:val="20"/>
                <w:szCs w:val="20"/>
              </w:rPr>
            </w:pPr>
            <w:r>
              <w:rPr>
                <w:rFonts w:hint="eastAsia" w:ascii="仿宋" w:hAnsi="仿宋" w:cs="仿宋"/>
                <w:color w:val="000000"/>
                <w:sz w:val="21"/>
              </w:rPr>
              <w:t>1</w:t>
            </w:r>
            <w:r>
              <w:rPr>
                <w:rFonts w:hint="eastAsia" w:ascii="仿宋" w:hAnsi="仿宋" w:cs="仿宋"/>
                <w:color w:val="000000"/>
                <w:sz w:val="21"/>
                <w:lang w:val="en-US" w:eastAsia="zh-CN"/>
              </w:rPr>
              <w:t>台</w:t>
            </w:r>
          </w:p>
        </w:tc>
      </w:tr>
      <w:tr w14:paraId="51C9E0E8">
        <w:tblPrEx>
          <w:tblCellMar>
            <w:top w:w="0" w:type="dxa"/>
            <w:left w:w="108" w:type="dxa"/>
            <w:bottom w:w="0" w:type="dxa"/>
            <w:right w:w="108" w:type="dxa"/>
          </w:tblCellMar>
        </w:tblPrEx>
        <w:trPr>
          <w:trHeight w:val="513" w:hRule="atLeast"/>
        </w:trPr>
        <w:tc>
          <w:tcPr>
            <w:tcW w:w="1175" w:type="dxa"/>
            <w:tcBorders>
              <w:top w:val="single" w:color="auto" w:sz="8" w:space="0"/>
              <w:left w:val="single" w:color="auto" w:sz="8" w:space="0"/>
              <w:bottom w:val="single" w:color="auto" w:sz="8" w:space="0"/>
              <w:right w:val="single" w:color="auto" w:sz="8" w:space="0"/>
            </w:tcBorders>
            <w:vAlign w:val="center"/>
          </w:tcPr>
          <w:p w14:paraId="2A14871A">
            <w:pPr>
              <w:ind w:firstLine="174" w:firstLineChars="83"/>
              <w:jc w:val="center"/>
              <w:rPr>
                <w:rFonts w:ascii="仿宋" w:hAnsi="仿宋" w:cs="仿宋"/>
                <w:kern w:val="0"/>
                <w:sz w:val="21"/>
              </w:rPr>
            </w:pPr>
            <w:r>
              <w:rPr>
                <w:rFonts w:hint="eastAsia" w:ascii="仿宋" w:hAnsi="仿宋" w:cs="仿宋"/>
                <w:color w:val="000000"/>
                <w:sz w:val="21"/>
              </w:rPr>
              <w:t>2</w:t>
            </w:r>
          </w:p>
        </w:tc>
        <w:tc>
          <w:tcPr>
            <w:tcW w:w="2683" w:type="dxa"/>
            <w:tcBorders>
              <w:top w:val="single" w:color="auto" w:sz="8" w:space="0"/>
              <w:left w:val="single" w:color="auto" w:sz="8" w:space="0"/>
              <w:bottom w:val="single" w:color="auto" w:sz="8" w:space="0"/>
              <w:right w:val="single" w:color="auto" w:sz="8" w:space="0"/>
            </w:tcBorders>
            <w:vAlign w:val="top"/>
          </w:tcPr>
          <w:p w14:paraId="0131B3DE">
            <w:pPr>
              <w:keepNext w:val="0"/>
              <w:keepLines w:val="0"/>
              <w:widowControl/>
              <w:suppressLineNumbers w:val="0"/>
              <w:ind w:left="0" w:leftChars="0" w:firstLine="0" w:firstLineChars="0"/>
              <w:jc w:val="both"/>
              <w:textAlignment w:val="center"/>
              <w:rPr>
                <w:rFonts w:hint="eastAsia" w:ascii="仿宋" w:hAnsi="仿宋" w:eastAsia="仿宋" w:cs="仿宋"/>
                <w:kern w:val="0"/>
                <w:sz w:val="20"/>
                <w:szCs w:val="20"/>
              </w:rPr>
            </w:pPr>
            <w:r>
              <w:rPr>
                <w:rFonts w:hint="eastAsia" w:ascii="仿宋" w:hAnsi="仿宋" w:eastAsia="仿宋" w:cs="仿宋"/>
                <w:i w:val="0"/>
                <w:color w:val="000000"/>
                <w:kern w:val="0"/>
                <w:sz w:val="20"/>
                <w:szCs w:val="20"/>
                <w:u w:val="none"/>
                <w:lang w:val="en-US" w:eastAsia="zh-CN" w:bidi="ar"/>
              </w:rPr>
              <w:t>电源模块</w:t>
            </w:r>
          </w:p>
        </w:tc>
        <w:tc>
          <w:tcPr>
            <w:tcW w:w="3051" w:type="dxa"/>
            <w:tcBorders>
              <w:top w:val="single" w:color="auto" w:sz="8" w:space="0"/>
              <w:left w:val="single" w:color="auto" w:sz="8" w:space="0"/>
              <w:bottom w:val="single" w:color="auto" w:sz="8" w:space="0"/>
              <w:right w:val="single" w:color="auto" w:sz="8" w:space="0"/>
            </w:tcBorders>
            <w:vAlign w:val="center"/>
          </w:tcPr>
          <w:p w14:paraId="335F5444">
            <w:pPr>
              <w:ind w:firstLine="0" w:firstLineChars="0"/>
              <w:jc w:val="center"/>
              <w:rPr>
                <w:rFonts w:ascii="仿宋" w:hAnsi="仿宋" w:cs="仿宋"/>
                <w:color w:val="000000"/>
                <w:sz w:val="20"/>
                <w:szCs w:val="20"/>
              </w:rPr>
            </w:pPr>
            <w:r>
              <w:rPr>
                <w:rFonts w:hint="eastAsia" w:ascii="仿宋" w:hAnsi="仿宋" w:cs="仿宋"/>
                <w:color w:val="000000"/>
                <w:sz w:val="20"/>
                <w:szCs w:val="20"/>
              </w:rPr>
              <w:t>详见具体技术参数指标</w:t>
            </w:r>
          </w:p>
        </w:tc>
        <w:tc>
          <w:tcPr>
            <w:tcW w:w="1131" w:type="dxa"/>
            <w:tcBorders>
              <w:top w:val="single" w:color="auto" w:sz="8" w:space="0"/>
              <w:left w:val="single" w:color="auto" w:sz="8" w:space="0"/>
              <w:bottom w:val="single" w:color="auto" w:sz="8" w:space="0"/>
              <w:right w:val="single" w:color="auto" w:sz="8" w:space="0"/>
            </w:tcBorders>
            <w:vAlign w:val="center"/>
          </w:tcPr>
          <w:p w14:paraId="6714F50A">
            <w:pPr>
              <w:ind w:firstLine="0" w:firstLineChars="0"/>
              <w:jc w:val="center"/>
              <w:rPr>
                <w:rFonts w:hint="eastAsia" w:ascii="仿宋" w:hAnsi="仿宋" w:cs="仿宋"/>
                <w:color w:val="000000"/>
                <w:sz w:val="20"/>
                <w:szCs w:val="20"/>
                <w:lang w:val="en-US"/>
              </w:rPr>
            </w:pPr>
            <w:r>
              <w:rPr>
                <w:rFonts w:hint="eastAsia" w:ascii="仿宋" w:hAnsi="仿宋" w:cs="仿宋"/>
                <w:color w:val="000000"/>
                <w:sz w:val="21"/>
                <w:lang w:val="en-US" w:eastAsia="zh-CN"/>
              </w:rPr>
              <w:t>2个</w:t>
            </w:r>
          </w:p>
        </w:tc>
      </w:tr>
      <w:tr w14:paraId="62CA4D4E">
        <w:tblPrEx>
          <w:tblCellMar>
            <w:top w:w="0" w:type="dxa"/>
            <w:left w:w="108" w:type="dxa"/>
            <w:bottom w:w="0" w:type="dxa"/>
            <w:right w:w="108" w:type="dxa"/>
          </w:tblCellMar>
        </w:tblPrEx>
        <w:trPr>
          <w:trHeight w:val="513" w:hRule="atLeast"/>
        </w:trPr>
        <w:tc>
          <w:tcPr>
            <w:tcW w:w="1175" w:type="dxa"/>
            <w:tcBorders>
              <w:top w:val="single" w:color="auto" w:sz="8" w:space="0"/>
              <w:left w:val="single" w:color="auto" w:sz="8" w:space="0"/>
              <w:bottom w:val="single" w:color="auto" w:sz="8" w:space="0"/>
              <w:right w:val="single" w:color="auto" w:sz="8" w:space="0"/>
            </w:tcBorders>
            <w:vAlign w:val="center"/>
          </w:tcPr>
          <w:p w14:paraId="43852C04">
            <w:pPr>
              <w:ind w:firstLine="174" w:firstLineChars="83"/>
              <w:jc w:val="center"/>
              <w:rPr>
                <w:rFonts w:ascii="仿宋" w:hAnsi="仿宋" w:cs="仿宋"/>
                <w:kern w:val="0"/>
                <w:sz w:val="21"/>
              </w:rPr>
            </w:pPr>
            <w:r>
              <w:rPr>
                <w:rFonts w:hint="eastAsia" w:ascii="仿宋" w:hAnsi="仿宋" w:cs="仿宋"/>
                <w:color w:val="000000"/>
                <w:sz w:val="21"/>
              </w:rPr>
              <w:t>3</w:t>
            </w:r>
          </w:p>
        </w:tc>
        <w:tc>
          <w:tcPr>
            <w:tcW w:w="2683" w:type="dxa"/>
            <w:tcBorders>
              <w:top w:val="single" w:color="auto" w:sz="8" w:space="0"/>
              <w:left w:val="single" w:color="auto" w:sz="8" w:space="0"/>
              <w:bottom w:val="single" w:color="auto" w:sz="8" w:space="0"/>
              <w:right w:val="single" w:color="auto" w:sz="8" w:space="0"/>
            </w:tcBorders>
            <w:vAlign w:val="top"/>
          </w:tcPr>
          <w:p w14:paraId="28736EF0">
            <w:pPr>
              <w:keepNext w:val="0"/>
              <w:keepLines w:val="0"/>
              <w:widowControl/>
              <w:suppressLineNumbers w:val="0"/>
              <w:ind w:left="0" w:leftChars="0" w:firstLine="0" w:firstLineChars="0"/>
              <w:jc w:val="both"/>
              <w:textAlignment w:val="center"/>
              <w:rPr>
                <w:rFonts w:hint="eastAsia" w:ascii="仿宋" w:hAnsi="仿宋" w:eastAsia="仿宋" w:cs="仿宋"/>
                <w:kern w:val="0"/>
                <w:sz w:val="20"/>
                <w:szCs w:val="20"/>
              </w:rPr>
            </w:pPr>
            <w:r>
              <w:rPr>
                <w:rFonts w:hint="eastAsia" w:ascii="仿宋" w:hAnsi="仿宋" w:cs="仿宋"/>
                <w:i w:val="0"/>
                <w:color w:val="000000"/>
                <w:kern w:val="0"/>
                <w:sz w:val="20"/>
                <w:szCs w:val="20"/>
                <w:u w:val="none"/>
                <w:lang w:val="en-US" w:eastAsia="zh-CN" w:bidi="ar"/>
              </w:rPr>
              <w:t>核心</w:t>
            </w:r>
            <w:r>
              <w:rPr>
                <w:rFonts w:hint="eastAsia" w:ascii="仿宋" w:hAnsi="仿宋" w:eastAsia="仿宋" w:cs="仿宋"/>
                <w:i w:val="0"/>
                <w:color w:val="000000"/>
                <w:kern w:val="0"/>
                <w:sz w:val="20"/>
                <w:szCs w:val="20"/>
                <w:u w:val="none"/>
                <w:lang w:val="en-US" w:eastAsia="zh-CN" w:bidi="ar"/>
              </w:rPr>
              <w:t>路由</w:t>
            </w:r>
            <w:r>
              <w:rPr>
                <w:rFonts w:hint="eastAsia" w:ascii="仿宋" w:hAnsi="仿宋" w:cs="仿宋"/>
                <w:i w:val="0"/>
                <w:color w:val="000000"/>
                <w:kern w:val="0"/>
                <w:sz w:val="20"/>
                <w:szCs w:val="20"/>
                <w:u w:val="none"/>
                <w:lang w:val="en-US" w:eastAsia="zh-CN" w:bidi="ar"/>
              </w:rPr>
              <w:t>器</w:t>
            </w:r>
          </w:p>
        </w:tc>
        <w:tc>
          <w:tcPr>
            <w:tcW w:w="3051" w:type="dxa"/>
            <w:tcBorders>
              <w:top w:val="single" w:color="auto" w:sz="8" w:space="0"/>
              <w:left w:val="single" w:color="auto" w:sz="8" w:space="0"/>
              <w:bottom w:val="single" w:color="auto" w:sz="8" w:space="0"/>
              <w:right w:val="single" w:color="auto" w:sz="8" w:space="0"/>
            </w:tcBorders>
            <w:vAlign w:val="center"/>
          </w:tcPr>
          <w:p w14:paraId="682C1E11">
            <w:pPr>
              <w:ind w:firstLine="0" w:firstLineChars="0"/>
              <w:jc w:val="center"/>
              <w:rPr>
                <w:rFonts w:ascii="仿宋" w:hAnsi="仿宋" w:cs="仿宋"/>
                <w:color w:val="000000"/>
                <w:sz w:val="20"/>
                <w:szCs w:val="20"/>
              </w:rPr>
            </w:pPr>
            <w:r>
              <w:rPr>
                <w:rFonts w:hint="eastAsia" w:ascii="仿宋" w:hAnsi="仿宋" w:cs="仿宋"/>
                <w:color w:val="000000"/>
                <w:sz w:val="20"/>
                <w:szCs w:val="20"/>
              </w:rPr>
              <w:t>详见具体技术参数指标</w:t>
            </w:r>
          </w:p>
        </w:tc>
        <w:tc>
          <w:tcPr>
            <w:tcW w:w="1131" w:type="dxa"/>
            <w:tcBorders>
              <w:top w:val="single" w:color="auto" w:sz="8" w:space="0"/>
              <w:left w:val="single" w:color="auto" w:sz="8" w:space="0"/>
              <w:bottom w:val="single" w:color="auto" w:sz="8" w:space="0"/>
              <w:right w:val="single" w:color="auto" w:sz="8" w:space="0"/>
            </w:tcBorders>
            <w:vAlign w:val="center"/>
          </w:tcPr>
          <w:p w14:paraId="3708B80D">
            <w:pPr>
              <w:ind w:firstLine="0" w:firstLineChars="0"/>
              <w:jc w:val="center"/>
              <w:rPr>
                <w:rFonts w:hint="eastAsia" w:ascii="仿宋" w:hAnsi="仿宋" w:cs="仿宋"/>
                <w:color w:val="000000"/>
                <w:sz w:val="20"/>
                <w:szCs w:val="20"/>
              </w:rPr>
            </w:pPr>
            <w:r>
              <w:rPr>
                <w:rFonts w:hint="eastAsia" w:ascii="仿宋" w:hAnsi="仿宋" w:cs="仿宋"/>
                <w:color w:val="000000"/>
                <w:sz w:val="21"/>
                <w:lang w:val="en-US" w:eastAsia="zh-CN"/>
              </w:rPr>
              <w:t>1台</w:t>
            </w:r>
          </w:p>
        </w:tc>
      </w:tr>
      <w:tr w14:paraId="333EAD5B">
        <w:tblPrEx>
          <w:tblCellMar>
            <w:top w:w="0" w:type="dxa"/>
            <w:left w:w="108" w:type="dxa"/>
            <w:bottom w:w="0" w:type="dxa"/>
            <w:right w:w="108" w:type="dxa"/>
          </w:tblCellMar>
        </w:tblPrEx>
        <w:trPr>
          <w:trHeight w:val="513" w:hRule="atLeast"/>
        </w:trPr>
        <w:tc>
          <w:tcPr>
            <w:tcW w:w="1175" w:type="dxa"/>
            <w:tcBorders>
              <w:top w:val="single" w:color="auto" w:sz="8" w:space="0"/>
              <w:left w:val="single" w:color="auto" w:sz="8" w:space="0"/>
              <w:bottom w:val="single" w:color="auto" w:sz="8" w:space="0"/>
              <w:right w:val="single" w:color="auto" w:sz="8" w:space="0"/>
            </w:tcBorders>
            <w:vAlign w:val="center"/>
          </w:tcPr>
          <w:p w14:paraId="0DE117F8">
            <w:pPr>
              <w:ind w:firstLine="174" w:firstLineChars="83"/>
              <w:jc w:val="center"/>
              <w:rPr>
                <w:rFonts w:ascii="仿宋" w:hAnsi="仿宋" w:cs="仿宋"/>
                <w:kern w:val="0"/>
                <w:sz w:val="21"/>
              </w:rPr>
            </w:pPr>
            <w:r>
              <w:rPr>
                <w:rFonts w:hint="eastAsia" w:ascii="仿宋" w:hAnsi="仿宋" w:cs="仿宋"/>
                <w:color w:val="000000"/>
                <w:sz w:val="21"/>
              </w:rPr>
              <w:t>4</w:t>
            </w:r>
          </w:p>
        </w:tc>
        <w:tc>
          <w:tcPr>
            <w:tcW w:w="2683" w:type="dxa"/>
            <w:tcBorders>
              <w:top w:val="single" w:color="auto" w:sz="8" w:space="0"/>
              <w:left w:val="single" w:color="auto" w:sz="8" w:space="0"/>
              <w:bottom w:val="single" w:color="auto" w:sz="8" w:space="0"/>
              <w:right w:val="single" w:color="auto" w:sz="8" w:space="0"/>
            </w:tcBorders>
            <w:vAlign w:val="top"/>
          </w:tcPr>
          <w:p w14:paraId="41423B34">
            <w:pPr>
              <w:keepNext w:val="0"/>
              <w:keepLines w:val="0"/>
              <w:widowControl/>
              <w:suppressLineNumbers w:val="0"/>
              <w:ind w:left="0" w:leftChars="0" w:firstLine="0" w:firstLineChars="0"/>
              <w:jc w:val="both"/>
              <w:textAlignment w:val="center"/>
              <w:rPr>
                <w:rFonts w:hint="eastAsia" w:ascii="仿宋" w:hAnsi="仿宋" w:eastAsia="仿宋" w:cs="仿宋"/>
                <w:kern w:val="0"/>
                <w:sz w:val="20"/>
                <w:szCs w:val="20"/>
              </w:rPr>
            </w:pPr>
            <w:r>
              <w:rPr>
                <w:rFonts w:hint="eastAsia" w:ascii="仿宋" w:hAnsi="仿宋" w:eastAsia="仿宋" w:cs="仿宋"/>
                <w:i w:val="0"/>
                <w:color w:val="000000"/>
                <w:kern w:val="0"/>
                <w:sz w:val="20"/>
                <w:szCs w:val="20"/>
                <w:u w:val="none"/>
                <w:lang w:val="en-US" w:eastAsia="zh-CN" w:bidi="ar"/>
              </w:rPr>
              <w:t>无线控制器</w:t>
            </w:r>
          </w:p>
        </w:tc>
        <w:tc>
          <w:tcPr>
            <w:tcW w:w="3051" w:type="dxa"/>
            <w:tcBorders>
              <w:top w:val="single" w:color="auto" w:sz="8" w:space="0"/>
              <w:left w:val="single" w:color="auto" w:sz="8" w:space="0"/>
              <w:bottom w:val="single" w:color="auto" w:sz="8" w:space="0"/>
              <w:right w:val="single" w:color="auto" w:sz="8" w:space="0"/>
            </w:tcBorders>
            <w:vAlign w:val="center"/>
          </w:tcPr>
          <w:p w14:paraId="7909A4EC">
            <w:pPr>
              <w:ind w:firstLine="0" w:firstLineChars="0"/>
              <w:jc w:val="center"/>
              <w:rPr>
                <w:rFonts w:ascii="仿宋" w:hAnsi="仿宋" w:cs="仿宋"/>
                <w:color w:val="000000"/>
                <w:sz w:val="20"/>
                <w:szCs w:val="20"/>
              </w:rPr>
            </w:pPr>
            <w:r>
              <w:rPr>
                <w:rFonts w:hint="eastAsia" w:ascii="仿宋" w:hAnsi="仿宋" w:cs="仿宋"/>
                <w:color w:val="000000"/>
                <w:sz w:val="20"/>
                <w:szCs w:val="20"/>
              </w:rPr>
              <w:t>详见具体技术参数指标</w:t>
            </w:r>
          </w:p>
        </w:tc>
        <w:tc>
          <w:tcPr>
            <w:tcW w:w="1131" w:type="dxa"/>
            <w:tcBorders>
              <w:top w:val="single" w:color="auto" w:sz="8" w:space="0"/>
              <w:left w:val="single" w:color="auto" w:sz="8" w:space="0"/>
              <w:bottom w:val="single" w:color="auto" w:sz="8" w:space="0"/>
              <w:right w:val="single" w:color="auto" w:sz="8" w:space="0"/>
            </w:tcBorders>
            <w:vAlign w:val="center"/>
          </w:tcPr>
          <w:p w14:paraId="5CE53961">
            <w:pPr>
              <w:ind w:firstLine="0" w:firstLineChars="0"/>
              <w:jc w:val="center"/>
              <w:rPr>
                <w:rFonts w:hint="eastAsia" w:ascii="仿宋" w:hAnsi="仿宋" w:cs="仿宋"/>
                <w:color w:val="000000"/>
                <w:sz w:val="20"/>
                <w:szCs w:val="20"/>
                <w:lang w:val="en-US"/>
              </w:rPr>
            </w:pPr>
            <w:r>
              <w:rPr>
                <w:rFonts w:hint="eastAsia" w:ascii="仿宋" w:hAnsi="仿宋" w:cs="仿宋"/>
                <w:color w:val="000000"/>
                <w:sz w:val="21"/>
                <w:lang w:val="en-US" w:eastAsia="zh-CN"/>
              </w:rPr>
              <w:t>1台</w:t>
            </w:r>
          </w:p>
        </w:tc>
      </w:tr>
      <w:tr w14:paraId="7498A5BE">
        <w:tblPrEx>
          <w:tblCellMar>
            <w:top w:w="0" w:type="dxa"/>
            <w:left w:w="108" w:type="dxa"/>
            <w:bottom w:w="0" w:type="dxa"/>
            <w:right w:w="108" w:type="dxa"/>
          </w:tblCellMar>
        </w:tblPrEx>
        <w:trPr>
          <w:trHeight w:val="513" w:hRule="atLeast"/>
        </w:trPr>
        <w:tc>
          <w:tcPr>
            <w:tcW w:w="1175" w:type="dxa"/>
            <w:tcBorders>
              <w:top w:val="single" w:color="auto" w:sz="8" w:space="0"/>
              <w:left w:val="single" w:color="auto" w:sz="8" w:space="0"/>
              <w:bottom w:val="single" w:color="auto" w:sz="8" w:space="0"/>
              <w:right w:val="single" w:color="auto" w:sz="8" w:space="0"/>
            </w:tcBorders>
            <w:vAlign w:val="center"/>
          </w:tcPr>
          <w:p w14:paraId="69700AAF">
            <w:pPr>
              <w:ind w:firstLine="174" w:firstLineChars="83"/>
              <w:jc w:val="center"/>
              <w:rPr>
                <w:rFonts w:ascii="仿宋" w:hAnsi="仿宋" w:cs="仿宋"/>
                <w:kern w:val="0"/>
                <w:sz w:val="21"/>
              </w:rPr>
            </w:pPr>
            <w:r>
              <w:rPr>
                <w:rFonts w:hint="eastAsia" w:ascii="仿宋" w:hAnsi="仿宋" w:cs="仿宋"/>
                <w:color w:val="000000"/>
                <w:sz w:val="21"/>
              </w:rPr>
              <w:t>5</w:t>
            </w:r>
          </w:p>
        </w:tc>
        <w:tc>
          <w:tcPr>
            <w:tcW w:w="2683" w:type="dxa"/>
            <w:tcBorders>
              <w:top w:val="single" w:color="auto" w:sz="8" w:space="0"/>
              <w:left w:val="single" w:color="auto" w:sz="8" w:space="0"/>
              <w:bottom w:val="single" w:color="auto" w:sz="8" w:space="0"/>
              <w:right w:val="single" w:color="auto" w:sz="8" w:space="0"/>
            </w:tcBorders>
            <w:vAlign w:val="top"/>
          </w:tcPr>
          <w:p w14:paraId="0C42ED6E">
            <w:pPr>
              <w:keepNext w:val="0"/>
              <w:keepLines w:val="0"/>
              <w:widowControl/>
              <w:suppressLineNumbers w:val="0"/>
              <w:ind w:left="0" w:leftChars="0" w:firstLine="0" w:firstLineChars="0"/>
              <w:jc w:val="both"/>
              <w:textAlignment w:val="center"/>
              <w:rPr>
                <w:rFonts w:hint="eastAsia" w:ascii="仿宋" w:hAnsi="仿宋" w:eastAsia="仿宋" w:cs="仿宋"/>
                <w:kern w:val="0"/>
                <w:sz w:val="20"/>
                <w:szCs w:val="20"/>
              </w:rPr>
            </w:pPr>
            <w:r>
              <w:rPr>
                <w:rFonts w:hint="eastAsia" w:ascii="仿宋" w:hAnsi="仿宋" w:eastAsia="仿宋" w:cs="仿宋"/>
                <w:i w:val="0"/>
                <w:color w:val="000000"/>
                <w:kern w:val="0"/>
                <w:sz w:val="20"/>
                <w:szCs w:val="20"/>
                <w:u w:val="none"/>
                <w:lang w:val="en-US" w:eastAsia="zh-CN" w:bidi="ar"/>
              </w:rPr>
              <w:t>24口POE交换机</w:t>
            </w:r>
          </w:p>
        </w:tc>
        <w:tc>
          <w:tcPr>
            <w:tcW w:w="3051" w:type="dxa"/>
            <w:tcBorders>
              <w:top w:val="single" w:color="auto" w:sz="8" w:space="0"/>
              <w:left w:val="single" w:color="auto" w:sz="8" w:space="0"/>
              <w:bottom w:val="single" w:color="auto" w:sz="8" w:space="0"/>
              <w:right w:val="single" w:color="auto" w:sz="8" w:space="0"/>
            </w:tcBorders>
            <w:vAlign w:val="center"/>
          </w:tcPr>
          <w:p w14:paraId="030CE055">
            <w:pPr>
              <w:ind w:firstLine="0" w:firstLineChars="0"/>
              <w:jc w:val="center"/>
              <w:rPr>
                <w:rFonts w:ascii="仿宋" w:hAnsi="仿宋" w:cs="仿宋"/>
                <w:color w:val="000000"/>
                <w:sz w:val="20"/>
                <w:szCs w:val="20"/>
              </w:rPr>
            </w:pPr>
            <w:r>
              <w:rPr>
                <w:rFonts w:hint="eastAsia" w:ascii="仿宋" w:hAnsi="仿宋" w:cs="仿宋"/>
                <w:color w:val="000000"/>
                <w:sz w:val="20"/>
                <w:szCs w:val="20"/>
              </w:rPr>
              <w:t>详见具体技术参数指标</w:t>
            </w:r>
          </w:p>
        </w:tc>
        <w:tc>
          <w:tcPr>
            <w:tcW w:w="1131" w:type="dxa"/>
            <w:tcBorders>
              <w:top w:val="single" w:color="auto" w:sz="8" w:space="0"/>
              <w:left w:val="single" w:color="auto" w:sz="8" w:space="0"/>
              <w:bottom w:val="single" w:color="auto" w:sz="8" w:space="0"/>
              <w:right w:val="single" w:color="auto" w:sz="8" w:space="0"/>
            </w:tcBorders>
            <w:vAlign w:val="center"/>
          </w:tcPr>
          <w:p w14:paraId="6CA4F28D">
            <w:pPr>
              <w:ind w:firstLine="0" w:firstLineChars="0"/>
              <w:jc w:val="center"/>
              <w:rPr>
                <w:rFonts w:hint="eastAsia" w:ascii="仿宋" w:hAnsi="仿宋" w:cs="仿宋"/>
                <w:color w:val="000000"/>
                <w:sz w:val="20"/>
                <w:szCs w:val="20"/>
                <w:lang w:val="en-US"/>
              </w:rPr>
            </w:pPr>
            <w:r>
              <w:rPr>
                <w:rFonts w:hint="eastAsia" w:ascii="仿宋" w:hAnsi="仿宋" w:cs="仿宋"/>
                <w:color w:val="000000"/>
                <w:sz w:val="21"/>
                <w:lang w:val="en-US" w:eastAsia="zh-CN"/>
              </w:rPr>
              <w:t>14台</w:t>
            </w:r>
          </w:p>
        </w:tc>
      </w:tr>
      <w:tr w14:paraId="5AC6CDFB">
        <w:tblPrEx>
          <w:tblCellMar>
            <w:top w:w="0" w:type="dxa"/>
            <w:left w:w="108" w:type="dxa"/>
            <w:bottom w:w="0" w:type="dxa"/>
            <w:right w:w="108" w:type="dxa"/>
          </w:tblCellMar>
        </w:tblPrEx>
        <w:trPr>
          <w:trHeight w:val="533" w:hRule="atLeast"/>
        </w:trPr>
        <w:tc>
          <w:tcPr>
            <w:tcW w:w="1175" w:type="dxa"/>
            <w:tcBorders>
              <w:top w:val="single" w:color="auto" w:sz="8" w:space="0"/>
              <w:left w:val="single" w:color="auto" w:sz="8" w:space="0"/>
              <w:bottom w:val="single" w:color="auto" w:sz="8" w:space="0"/>
              <w:right w:val="single" w:color="auto" w:sz="8" w:space="0"/>
            </w:tcBorders>
            <w:vAlign w:val="center"/>
          </w:tcPr>
          <w:p w14:paraId="577F0216">
            <w:pPr>
              <w:ind w:firstLine="174" w:firstLineChars="83"/>
              <w:jc w:val="center"/>
              <w:rPr>
                <w:rFonts w:ascii="仿宋" w:hAnsi="仿宋" w:cs="仿宋"/>
                <w:kern w:val="0"/>
                <w:sz w:val="21"/>
              </w:rPr>
            </w:pPr>
            <w:r>
              <w:rPr>
                <w:rFonts w:hint="eastAsia" w:ascii="仿宋" w:hAnsi="仿宋" w:cs="仿宋"/>
                <w:color w:val="000000"/>
                <w:sz w:val="21"/>
              </w:rPr>
              <w:t>6</w:t>
            </w:r>
          </w:p>
        </w:tc>
        <w:tc>
          <w:tcPr>
            <w:tcW w:w="2683" w:type="dxa"/>
            <w:tcBorders>
              <w:top w:val="single" w:color="auto" w:sz="8" w:space="0"/>
              <w:left w:val="single" w:color="auto" w:sz="8" w:space="0"/>
              <w:bottom w:val="single" w:color="auto" w:sz="8" w:space="0"/>
              <w:right w:val="single" w:color="auto" w:sz="8" w:space="0"/>
            </w:tcBorders>
            <w:vAlign w:val="top"/>
          </w:tcPr>
          <w:p w14:paraId="092C5FB7">
            <w:pPr>
              <w:keepNext w:val="0"/>
              <w:keepLines w:val="0"/>
              <w:widowControl/>
              <w:suppressLineNumbers w:val="0"/>
              <w:ind w:left="0" w:leftChars="0" w:firstLine="0" w:firstLineChars="0"/>
              <w:jc w:val="both"/>
              <w:textAlignment w:val="center"/>
              <w:rPr>
                <w:rFonts w:hint="eastAsia" w:ascii="仿宋" w:hAnsi="仿宋" w:eastAsia="仿宋" w:cs="仿宋"/>
                <w:kern w:val="0"/>
                <w:sz w:val="20"/>
                <w:szCs w:val="20"/>
              </w:rPr>
            </w:pPr>
            <w:r>
              <w:rPr>
                <w:rFonts w:hint="eastAsia" w:ascii="仿宋" w:hAnsi="仿宋" w:eastAsia="仿宋" w:cs="仿宋"/>
                <w:i w:val="0"/>
                <w:color w:val="000000"/>
                <w:kern w:val="0"/>
                <w:sz w:val="20"/>
                <w:szCs w:val="20"/>
                <w:u w:val="none"/>
                <w:lang w:val="en-US" w:eastAsia="zh-CN" w:bidi="ar"/>
              </w:rPr>
              <w:t>无限设备接入许可</w:t>
            </w:r>
          </w:p>
        </w:tc>
        <w:tc>
          <w:tcPr>
            <w:tcW w:w="3051" w:type="dxa"/>
            <w:tcBorders>
              <w:top w:val="single" w:color="auto" w:sz="8" w:space="0"/>
              <w:left w:val="single" w:color="auto" w:sz="8" w:space="0"/>
              <w:bottom w:val="single" w:color="auto" w:sz="8" w:space="0"/>
              <w:right w:val="single" w:color="auto" w:sz="8" w:space="0"/>
            </w:tcBorders>
            <w:vAlign w:val="center"/>
          </w:tcPr>
          <w:p w14:paraId="1D9499FC">
            <w:pPr>
              <w:ind w:firstLine="0" w:firstLineChars="0"/>
              <w:jc w:val="center"/>
              <w:rPr>
                <w:rFonts w:ascii="仿宋" w:hAnsi="仿宋" w:cs="仿宋"/>
                <w:color w:val="000000"/>
                <w:sz w:val="20"/>
                <w:szCs w:val="20"/>
              </w:rPr>
            </w:pPr>
            <w:r>
              <w:rPr>
                <w:rFonts w:hint="eastAsia" w:ascii="仿宋" w:hAnsi="仿宋" w:cs="仿宋"/>
                <w:color w:val="000000"/>
                <w:sz w:val="20"/>
                <w:szCs w:val="20"/>
              </w:rPr>
              <w:t>详见具体技术参数指标</w:t>
            </w:r>
          </w:p>
        </w:tc>
        <w:tc>
          <w:tcPr>
            <w:tcW w:w="1131" w:type="dxa"/>
            <w:tcBorders>
              <w:top w:val="single" w:color="auto" w:sz="8" w:space="0"/>
              <w:left w:val="single" w:color="auto" w:sz="8" w:space="0"/>
              <w:bottom w:val="single" w:color="auto" w:sz="8" w:space="0"/>
              <w:right w:val="single" w:color="auto" w:sz="8" w:space="0"/>
            </w:tcBorders>
            <w:vAlign w:val="center"/>
          </w:tcPr>
          <w:p w14:paraId="42F9A85E">
            <w:pPr>
              <w:ind w:firstLine="0" w:firstLineChars="0"/>
              <w:jc w:val="center"/>
              <w:rPr>
                <w:rFonts w:hint="eastAsia" w:ascii="仿宋" w:hAnsi="仿宋" w:cs="仿宋"/>
                <w:color w:val="000000"/>
                <w:sz w:val="20"/>
                <w:szCs w:val="20"/>
                <w:lang w:val="en-US"/>
              </w:rPr>
            </w:pPr>
            <w:r>
              <w:rPr>
                <w:rFonts w:hint="eastAsia" w:ascii="仿宋" w:hAnsi="仿宋" w:cs="仿宋"/>
                <w:color w:val="000000"/>
                <w:sz w:val="21"/>
                <w:lang w:val="en-US" w:eastAsia="zh-CN"/>
              </w:rPr>
              <w:t>1套</w:t>
            </w:r>
          </w:p>
        </w:tc>
      </w:tr>
    </w:tbl>
    <w:p w14:paraId="78DCDF1D">
      <w:pPr>
        <w:ind w:firstLine="0" w:firstLineChars="0"/>
        <w:rPr>
          <w:rFonts w:ascii="仿宋" w:hAnsi="仿宋" w:cs="仿宋"/>
          <w:b/>
          <w:kern w:val="0"/>
        </w:rPr>
      </w:pPr>
      <w:r>
        <w:rPr>
          <w:rFonts w:hint="eastAsia" w:ascii="仿宋" w:hAnsi="仿宋" w:cs="仿宋"/>
          <w:b/>
          <w:kern w:val="0"/>
        </w:rPr>
        <w:t>2.2 技术参数指标</w:t>
      </w:r>
    </w:p>
    <w:tbl>
      <w:tblPr>
        <w:tblStyle w:val="8"/>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12"/>
        <w:gridCol w:w="5674"/>
      </w:tblGrid>
      <w:tr w14:paraId="6A0A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8" w:type="dxa"/>
            <w:vMerge w:val="restart"/>
            <w:shd w:val="clear" w:color="auto" w:fill="D9D9D9"/>
            <w:vAlign w:val="center"/>
          </w:tcPr>
          <w:p w14:paraId="20E382DE">
            <w:pPr>
              <w:spacing w:line="240" w:lineRule="auto"/>
              <w:ind w:firstLine="0" w:firstLineChars="0"/>
              <w:textAlignment w:val="center"/>
              <w:rPr>
                <w:rFonts w:ascii="仿宋" w:hAnsi="仿宋" w:cs="仿宋"/>
                <w:b/>
                <w:bCs/>
                <w:color w:val="000000"/>
                <w:sz w:val="18"/>
                <w:szCs w:val="18"/>
              </w:rPr>
            </w:pPr>
            <w:r>
              <w:rPr>
                <w:rFonts w:hint="eastAsia" w:ascii="仿宋" w:hAnsi="仿宋" w:cs="仿宋"/>
                <w:b/>
                <w:bCs/>
                <w:color w:val="000000"/>
                <w:sz w:val="18"/>
                <w:szCs w:val="18"/>
                <w:lang w:bidi="ar"/>
              </w:rPr>
              <w:t>序号</w:t>
            </w:r>
          </w:p>
        </w:tc>
        <w:tc>
          <w:tcPr>
            <w:tcW w:w="1312" w:type="dxa"/>
            <w:vMerge w:val="restart"/>
            <w:shd w:val="clear" w:color="auto" w:fill="D9D9D9"/>
            <w:vAlign w:val="center"/>
          </w:tcPr>
          <w:p w14:paraId="7E7F69B3">
            <w:pPr>
              <w:spacing w:line="240" w:lineRule="auto"/>
              <w:ind w:firstLine="361"/>
              <w:textAlignment w:val="center"/>
              <w:rPr>
                <w:rFonts w:ascii="仿宋" w:hAnsi="仿宋" w:cs="仿宋"/>
                <w:b/>
                <w:bCs/>
                <w:color w:val="000000"/>
                <w:sz w:val="18"/>
                <w:szCs w:val="18"/>
              </w:rPr>
            </w:pPr>
            <w:r>
              <w:rPr>
                <w:rFonts w:hint="eastAsia" w:ascii="仿宋" w:hAnsi="仿宋" w:cs="仿宋"/>
                <w:b/>
                <w:bCs/>
                <w:color w:val="000000"/>
                <w:sz w:val="18"/>
                <w:szCs w:val="18"/>
                <w:lang w:bidi="ar"/>
              </w:rPr>
              <w:t>类型</w:t>
            </w:r>
          </w:p>
        </w:tc>
        <w:tc>
          <w:tcPr>
            <w:tcW w:w="5674" w:type="dxa"/>
            <w:vMerge w:val="restart"/>
            <w:shd w:val="clear" w:color="auto" w:fill="D9D9D9"/>
            <w:vAlign w:val="center"/>
          </w:tcPr>
          <w:p w14:paraId="49E9CF37">
            <w:pPr>
              <w:spacing w:line="240" w:lineRule="auto"/>
              <w:ind w:firstLine="361"/>
              <w:jc w:val="center"/>
              <w:textAlignment w:val="center"/>
              <w:rPr>
                <w:rFonts w:ascii="仿宋" w:hAnsi="仿宋" w:cs="仿宋"/>
                <w:b/>
                <w:bCs/>
                <w:color w:val="000000"/>
                <w:sz w:val="18"/>
                <w:szCs w:val="18"/>
              </w:rPr>
            </w:pPr>
            <w:r>
              <w:rPr>
                <w:rFonts w:hint="eastAsia" w:ascii="仿宋" w:hAnsi="仿宋" w:cs="仿宋"/>
                <w:b/>
                <w:bCs/>
                <w:color w:val="000000"/>
                <w:sz w:val="18"/>
                <w:szCs w:val="18"/>
                <w:lang w:bidi="ar"/>
              </w:rPr>
              <w:t>主要性能描述</w:t>
            </w:r>
          </w:p>
        </w:tc>
      </w:tr>
      <w:tr w14:paraId="47CA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8" w:type="dxa"/>
            <w:vMerge w:val="continue"/>
            <w:shd w:val="clear" w:color="auto" w:fill="D9D9D9"/>
            <w:vAlign w:val="center"/>
          </w:tcPr>
          <w:p w14:paraId="1ED1FF99">
            <w:pPr>
              <w:spacing w:line="240" w:lineRule="auto"/>
              <w:ind w:firstLine="361"/>
              <w:rPr>
                <w:rFonts w:ascii="仿宋" w:hAnsi="仿宋" w:cs="仿宋"/>
                <w:b/>
                <w:bCs/>
                <w:color w:val="000000"/>
                <w:sz w:val="18"/>
                <w:szCs w:val="18"/>
              </w:rPr>
            </w:pPr>
          </w:p>
        </w:tc>
        <w:tc>
          <w:tcPr>
            <w:tcW w:w="1312" w:type="dxa"/>
            <w:vMerge w:val="continue"/>
            <w:shd w:val="clear" w:color="auto" w:fill="D9D9D9"/>
            <w:vAlign w:val="center"/>
          </w:tcPr>
          <w:p w14:paraId="63EE954B">
            <w:pPr>
              <w:spacing w:line="240" w:lineRule="auto"/>
              <w:ind w:firstLine="361"/>
              <w:jc w:val="center"/>
              <w:rPr>
                <w:rFonts w:ascii="仿宋" w:hAnsi="仿宋" w:cs="仿宋"/>
                <w:b/>
                <w:bCs/>
                <w:color w:val="000000"/>
                <w:sz w:val="18"/>
                <w:szCs w:val="18"/>
              </w:rPr>
            </w:pPr>
          </w:p>
        </w:tc>
        <w:tc>
          <w:tcPr>
            <w:tcW w:w="5674" w:type="dxa"/>
            <w:vMerge w:val="continue"/>
            <w:shd w:val="clear" w:color="auto" w:fill="D9D9D9"/>
            <w:vAlign w:val="center"/>
          </w:tcPr>
          <w:p w14:paraId="7EC9D4CD">
            <w:pPr>
              <w:spacing w:line="240" w:lineRule="auto"/>
              <w:ind w:firstLine="361"/>
              <w:jc w:val="center"/>
              <w:rPr>
                <w:rFonts w:ascii="仿宋" w:hAnsi="仿宋" w:cs="仿宋"/>
                <w:b/>
                <w:bCs/>
                <w:color w:val="000000"/>
                <w:sz w:val="18"/>
                <w:szCs w:val="18"/>
              </w:rPr>
            </w:pPr>
          </w:p>
        </w:tc>
      </w:tr>
      <w:tr w14:paraId="389D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shd w:val="clear" w:color="auto" w:fill="auto"/>
            <w:vAlign w:val="center"/>
          </w:tcPr>
          <w:p w14:paraId="385B8BAE">
            <w:pPr>
              <w:spacing w:line="240" w:lineRule="auto"/>
              <w:ind w:firstLine="400"/>
              <w:textAlignment w:val="center"/>
              <w:rPr>
                <w:rFonts w:ascii="仿宋" w:hAnsi="仿宋" w:cs="仿宋"/>
                <w:color w:val="000000"/>
                <w:sz w:val="20"/>
                <w:szCs w:val="20"/>
              </w:rPr>
            </w:pPr>
            <w:r>
              <w:rPr>
                <w:rFonts w:ascii="仿宋" w:hAnsi="仿宋" w:cs="仿宋"/>
                <w:color w:val="000000"/>
                <w:sz w:val="20"/>
                <w:szCs w:val="20"/>
              </w:rPr>
              <w:t>1</w:t>
            </w:r>
          </w:p>
        </w:tc>
        <w:tc>
          <w:tcPr>
            <w:tcW w:w="1312" w:type="dxa"/>
            <w:shd w:val="clear" w:color="auto" w:fill="auto"/>
            <w:vAlign w:val="center"/>
          </w:tcPr>
          <w:p w14:paraId="00B2486B">
            <w:pPr>
              <w:spacing w:line="240" w:lineRule="auto"/>
              <w:ind w:firstLine="0" w:firstLineChars="0"/>
              <w:textAlignment w:val="center"/>
              <w:rPr>
                <w:rFonts w:ascii="仿宋" w:hAnsi="仿宋" w:cs="仿宋"/>
                <w:color w:val="000000"/>
                <w:sz w:val="20"/>
                <w:szCs w:val="20"/>
              </w:rPr>
            </w:pPr>
            <w:r>
              <w:rPr>
                <w:rFonts w:hint="eastAsia" w:ascii="仿宋" w:hAnsi="仿宋" w:eastAsia="仿宋" w:cs="仿宋"/>
                <w:i w:val="0"/>
                <w:color w:val="000000"/>
                <w:kern w:val="0"/>
                <w:sz w:val="20"/>
                <w:szCs w:val="20"/>
                <w:u w:val="none"/>
                <w:lang w:val="en-US" w:eastAsia="zh-CN" w:bidi="ar"/>
              </w:rPr>
              <w:t>核心交换机</w:t>
            </w:r>
          </w:p>
        </w:tc>
        <w:tc>
          <w:tcPr>
            <w:tcW w:w="5674" w:type="dxa"/>
            <w:shd w:val="clear" w:color="auto" w:fill="FFFFFF"/>
            <w:vAlign w:val="center"/>
          </w:tcPr>
          <w:p w14:paraId="09EBC94D">
            <w:pPr>
              <w:rPr>
                <w:sz w:val="20"/>
                <w:szCs w:val="20"/>
              </w:rPr>
            </w:pPr>
            <w:r>
              <w:rPr>
                <w:rFonts w:hint="eastAsia"/>
                <w:sz w:val="20"/>
                <w:szCs w:val="20"/>
              </w:rPr>
              <w:t>★ 1.交换容量≥672Gbps，以最小值为准;</w:t>
            </w:r>
          </w:p>
          <w:p w14:paraId="065A9114">
            <w:pPr>
              <w:rPr>
                <w:sz w:val="20"/>
                <w:szCs w:val="20"/>
              </w:rPr>
            </w:pPr>
            <w:r>
              <w:rPr>
                <w:rFonts w:hint="eastAsia"/>
                <w:sz w:val="20"/>
                <w:szCs w:val="20"/>
              </w:rPr>
              <w:t>★ 2. 包转发率≥228Mpps，以最小值为准;</w:t>
            </w:r>
          </w:p>
          <w:p w14:paraId="6B3AB39F">
            <w:pPr>
              <w:rPr>
                <w:sz w:val="20"/>
                <w:szCs w:val="20"/>
              </w:rPr>
            </w:pPr>
            <w:r>
              <w:rPr>
                <w:rFonts w:hint="eastAsia"/>
                <w:sz w:val="20"/>
                <w:szCs w:val="20"/>
              </w:rPr>
              <w:t>★ 3. 固化10/100/1000M电口≥28个，复用100/1000M SFP光口≥4个，固化10G/1G SFP+光接口≥4个;</w:t>
            </w:r>
          </w:p>
          <w:p w14:paraId="35366157">
            <w:pPr>
              <w:rPr>
                <w:sz w:val="20"/>
                <w:szCs w:val="20"/>
              </w:rPr>
            </w:pPr>
            <w:r>
              <w:rPr>
                <w:rFonts w:hint="eastAsia"/>
                <w:sz w:val="20"/>
                <w:szCs w:val="20"/>
              </w:rPr>
              <w:t>★ 4.支持并实配双模块化电源，支持电源1+1冗余;</w:t>
            </w:r>
          </w:p>
          <w:p w14:paraId="340A65A8">
            <w:pPr>
              <w:rPr>
                <w:sz w:val="20"/>
                <w:szCs w:val="20"/>
              </w:rPr>
            </w:pPr>
            <w:r>
              <w:rPr>
                <w:rFonts w:hint="eastAsia"/>
                <w:sz w:val="20"/>
                <w:szCs w:val="20"/>
              </w:rPr>
              <w:t>5.支持特有的CPU保护策略，对发往CPU的数据流，进行流区分和优先级队列分级处理，并根据需要实施带宽限速，充分保护CPU不被非法流量占用、恶意攻击和资源消耗;</w:t>
            </w:r>
          </w:p>
          <w:p w14:paraId="0F035089">
            <w:pPr>
              <w:rPr>
                <w:sz w:val="20"/>
                <w:szCs w:val="20"/>
              </w:rPr>
            </w:pPr>
            <w:r>
              <w:rPr>
                <w:rFonts w:hint="eastAsia"/>
                <w:sz w:val="20"/>
                <w:szCs w:val="20"/>
              </w:rPr>
              <w:t>6.支持静态路由,RIP，RIPng,OSPFv2，OSPFv3，IS-ISv4，IS-ISv6,BGP4，BGP4+等理由协议；</w:t>
            </w:r>
          </w:p>
          <w:p w14:paraId="39A82B2C">
            <w:pPr>
              <w:rPr>
                <w:sz w:val="20"/>
                <w:szCs w:val="20"/>
              </w:rPr>
            </w:pPr>
            <w:r>
              <w:rPr>
                <w:rFonts w:hint="eastAsia"/>
                <w:sz w:val="20"/>
                <w:szCs w:val="20"/>
              </w:rPr>
              <w:t>7.支持IGMP v1，v2，v3，支持PIM-DM，PIM-SM，PIM-SSM</w:t>
            </w:r>
          </w:p>
          <w:p w14:paraId="2F687BF6">
            <w:pPr>
              <w:rPr>
                <w:rFonts w:hint="eastAsia"/>
                <w:sz w:val="20"/>
                <w:szCs w:val="20"/>
              </w:rPr>
            </w:pPr>
            <w:r>
              <w:rPr>
                <w:rFonts w:hint="eastAsia"/>
                <w:sz w:val="20"/>
                <w:szCs w:val="20"/>
              </w:rPr>
              <w:t>8.支持IP、MAC、端口三元素绑定；</w:t>
            </w:r>
          </w:p>
          <w:p w14:paraId="07BAFB96">
            <w:pPr>
              <w:rPr>
                <w:color w:val="auto"/>
                <w:sz w:val="20"/>
                <w:szCs w:val="20"/>
              </w:rPr>
            </w:pPr>
            <w:r>
              <w:rPr>
                <w:rFonts w:hint="eastAsia" w:ascii="仿宋" w:hAnsi="仿宋" w:cs="仿宋"/>
                <w:sz w:val="21"/>
              </w:rPr>
              <w:t>▲</w:t>
            </w:r>
            <w:r>
              <w:rPr>
                <w:rFonts w:hint="eastAsia"/>
                <w:color w:val="auto"/>
                <w:sz w:val="20"/>
                <w:szCs w:val="20"/>
                <w:lang w:val="en-US" w:eastAsia="zh-CN"/>
              </w:rPr>
              <w:t>9</w:t>
            </w:r>
            <w:r>
              <w:rPr>
                <w:rFonts w:hint="eastAsia"/>
                <w:color w:val="auto"/>
                <w:sz w:val="20"/>
                <w:szCs w:val="20"/>
              </w:rPr>
              <w:t>.要求所投交换机IK防护测试级别至少达到IK05，提供等级测试报告并加盖产品厂商公章。</w:t>
            </w:r>
          </w:p>
          <w:p w14:paraId="5169B987">
            <w:r>
              <w:rPr>
                <w:rFonts w:hint="eastAsia" w:ascii="仿宋" w:hAnsi="仿宋" w:cs="仿宋"/>
                <w:sz w:val="21"/>
              </w:rPr>
              <w:t>▲</w:t>
            </w:r>
            <w:r>
              <w:rPr>
                <w:rFonts w:hint="eastAsia"/>
                <w:color w:val="auto"/>
                <w:sz w:val="20"/>
                <w:szCs w:val="20"/>
                <w:lang w:val="en-US" w:eastAsia="zh-CN"/>
              </w:rPr>
              <w:t>10</w:t>
            </w:r>
            <w:r>
              <w:rPr>
                <w:rFonts w:hint="eastAsia"/>
                <w:color w:val="auto"/>
                <w:sz w:val="20"/>
                <w:szCs w:val="20"/>
              </w:rPr>
              <w:t>.支持基础网络保护策略，限制用户向网络中发送ARP报文、ICMP请求报文、DHCP请求报文的数率，对超过限速阈值的报文进行丢弃处理，能够识别攻击行为，对有攻击行为的用户进行隔离。提供官网截图并加盖产品厂商公章。</w:t>
            </w:r>
          </w:p>
        </w:tc>
      </w:tr>
      <w:tr w14:paraId="2534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shd w:val="clear" w:color="auto" w:fill="auto"/>
            <w:vAlign w:val="center"/>
          </w:tcPr>
          <w:p w14:paraId="6B2FD89F">
            <w:pPr>
              <w:spacing w:line="240" w:lineRule="auto"/>
              <w:ind w:firstLine="400"/>
              <w:textAlignment w:val="center"/>
              <w:rPr>
                <w:rFonts w:ascii="仿宋" w:hAnsi="仿宋" w:cs="仿宋"/>
                <w:color w:val="000000"/>
                <w:sz w:val="20"/>
                <w:szCs w:val="20"/>
              </w:rPr>
            </w:pPr>
            <w:r>
              <w:rPr>
                <w:rFonts w:hint="eastAsia" w:ascii="仿宋" w:hAnsi="仿宋" w:cs="仿宋"/>
                <w:color w:val="000000"/>
                <w:sz w:val="20"/>
                <w:szCs w:val="20"/>
              </w:rPr>
              <w:t>2</w:t>
            </w:r>
          </w:p>
        </w:tc>
        <w:tc>
          <w:tcPr>
            <w:tcW w:w="1312" w:type="dxa"/>
            <w:shd w:val="clear" w:color="auto" w:fill="auto"/>
            <w:vAlign w:val="center"/>
          </w:tcPr>
          <w:p w14:paraId="41B8B34B">
            <w:pPr>
              <w:spacing w:line="240" w:lineRule="auto"/>
              <w:ind w:firstLine="222" w:firstLineChars="111"/>
              <w:textAlignment w:val="center"/>
              <w:rPr>
                <w:rFonts w:ascii="仿宋" w:hAnsi="仿宋" w:cs="仿宋"/>
                <w:color w:val="000000"/>
                <w:sz w:val="20"/>
                <w:szCs w:val="20"/>
              </w:rPr>
            </w:pPr>
            <w:r>
              <w:rPr>
                <w:rFonts w:hint="eastAsia" w:ascii="仿宋" w:hAnsi="仿宋" w:eastAsia="仿宋" w:cs="仿宋"/>
                <w:i w:val="0"/>
                <w:color w:val="000000"/>
                <w:kern w:val="0"/>
                <w:sz w:val="20"/>
                <w:szCs w:val="20"/>
                <w:u w:val="none"/>
                <w:lang w:val="en-US" w:eastAsia="zh-CN" w:bidi="ar"/>
              </w:rPr>
              <w:t>电源模块</w:t>
            </w:r>
          </w:p>
        </w:tc>
        <w:tc>
          <w:tcPr>
            <w:tcW w:w="5674" w:type="dxa"/>
            <w:shd w:val="clear" w:color="auto" w:fill="FFFFFF"/>
            <w:vAlign w:val="center"/>
          </w:tcPr>
          <w:p w14:paraId="2544E5C8">
            <w:pPr>
              <w:jc w:val="left"/>
              <w:rPr>
                <w:szCs w:val="20"/>
              </w:rPr>
            </w:pPr>
            <w:r>
              <w:rPr>
                <w:rFonts w:hint="eastAsia"/>
                <w:sz w:val="20"/>
                <w:szCs w:val="20"/>
              </w:rPr>
              <w:t>70W交流电源模块，支持1+1电源冗余</w:t>
            </w:r>
          </w:p>
        </w:tc>
      </w:tr>
      <w:tr w14:paraId="077D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shd w:val="clear" w:color="auto" w:fill="auto"/>
            <w:vAlign w:val="center"/>
          </w:tcPr>
          <w:p w14:paraId="6BDF90C7">
            <w:pPr>
              <w:spacing w:line="240" w:lineRule="auto"/>
              <w:ind w:firstLine="222" w:firstLineChars="111"/>
              <w:textAlignment w:val="center"/>
              <w:rPr>
                <w:rFonts w:ascii="仿宋" w:hAnsi="仿宋" w:cs="仿宋"/>
                <w:color w:val="000000"/>
                <w:sz w:val="20"/>
                <w:szCs w:val="20"/>
              </w:rPr>
            </w:pPr>
            <w:r>
              <w:rPr>
                <w:rFonts w:hint="eastAsia" w:ascii="仿宋" w:hAnsi="仿宋" w:cs="仿宋"/>
                <w:color w:val="000000"/>
                <w:sz w:val="20"/>
                <w:szCs w:val="20"/>
              </w:rPr>
              <w:t>3</w:t>
            </w:r>
          </w:p>
        </w:tc>
        <w:tc>
          <w:tcPr>
            <w:tcW w:w="1312" w:type="dxa"/>
            <w:shd w:val="clear" w:color="auto" w:fill="auto"/>
            <w:vAlign w:val="center"/>
          </w:tcPr>
          <w:p w14:paraId="2B32BBC4">
            <w:pPr>
              <w:spacing w:line="240" w:lineRule="auto"/>
              <w:ind w:left="0" w:leftChars="0" w:firstLine="0" w:firstLineChars="0"/>
              <w:textAlignment w:val="center"/>
              <w:rPr>
                <w:rFonts w:ascii="仿宋" w:hAnsi="仿宋" w:cs="仿宋"/>
                <w:color w:val="000000"/>
                <w:sz w:val="20"/>
                <w:szCs w:val="20"/>
                <w:lang w:val="en-US"/>
              </w:rPr>
            </w:pPr>
            <w:r>
              <w:rPr>
                <w:rFonts w:hint="eastAsia" w:ascii="仿宋" w:hAnsi="仿宋" w:cs="仿宋"/>
                <w:i w:val="0"/>
                <w:color w:val="000000"/>
                <w:kern w:val="0"/>
                <w:sz w:val="20"/>
                <w:szCs w:val="20"/>
                <w:u w:val="none"/>
                <w:lang w:val="en-US" w:eastAsia="zh-CN" w:bidi="ar"/>
              </w:rPr>
              <w:t>核心</w:t>
            </w:r>
            <w:r>
              <w:rPr>
                <w:rFonts w:hint="eastAsia" w:ascii="仿宋" w:hAnsi="仿宋" w:eastAsia="仿宋" w:cs="仿宋"/>
                <w:i w:val="0"/>
                <w:color w:val="000000"/>
                <w:kern w:val="0"/>
                <w:sz w:val="20"/>
                <w:szCs w:val="20"/>
                <w:u w:val="none"/>
                <w:lang w:val="en-US" w:eastAsia="zh-CN" w:bidi="ar"/>
              </w:rPr>
              <w:t>路由</w:t>
            </w:r>
            <w:r>
              <w:rPr>
                <w:rFonts w:hint="eastAsia" w:ascii="仿宋" w:hAnsi="仿宋" w:cs="仿宋"/>
                <w:i w:val="0"/>
                <w:color w:val="000000"/>
                <w:kern w:val="0"/>
                <w:sz w:val="20"/>
                <w:szCs w:val="20"/>
                <w:u w:val="none"/>
                <w:lang w:val="en-US" w:eastAsia="zh-CN" w:bidi="ar"/>
              </w:rPr>
              <w:t>器</w:t>
            </w:r>
          </w:p>
        </w:tc>
        <w:tc>
          <w:tcPr>
            <w:tcW w:w="5674" w:type="dxa"/>
            <w:shd w:val="clear" w:color="auto" w:fill="FFFFFF"/>
            <w:vAlign w:val="center"/>
          </w:tcPr>
          <w:p w14:paraId="4AC46931">
            <w:pPr>
              <w:rPr>
                <w:color w:val="auto"/>
                <w:sz w:val="20"/>
                <w:szCs w:val="20"/>
              </w:rPr>
            </w:pPr>
            <w:r>
              <w:rPr>
                <w:rFonts w:hint="eastAsia"/>
                <w:color w:val="auto"/>
                <w:sz w:val="20"/>
                <w:szCs w:val="20"/>
              </w:rPr>
              <w:t>★1.支持内存≥2GB；</w:t>
            </w:r>
          </w:p>
          <w:p w14:paraId="2E0F7BD3">
            <w:pPr>
              <w:rPr>
                <w:color w:val="auto"/>
                <w:sz w:val="20"/>
                <w:szCs w:val="20"/>
              </w:rPr>
            </w:pPr>
            <w:r>
              <w:rPr>
                <w:rFonts w:hint="eastAsia"/>
                <w:color w:val="auto"/>
                <w:sz w:val="20"/>
                <w:szCs w:val="20"/>
              </w:rPr>
              <w:t>★2.支持固化千兆电口≥8个，固化千兆光口≥2个；</w:t>
            </w:r>
          </w:p>
          <w:p w14:paraId="4871F904">
            <w:pPr>
              <w:rPr>
                <w:sz w:val="20"/>
                <w:szCs w:val="20"/>
              </w:rPr>
            </w:pPr>
            <w:r>
              <w:rPr>
                <w:rFonts w:hint="eastAsia"/>
                <w:sz w:val="20"/>
                <w:szCs w:val="20"/>
              </w:rPr>
              <w:t>3.标准1U设备，多核非X86架构；</w:t>
            </w:r>
          </w:p>
          <w:p w14:paraId="5147FE62">
            <w:pPr>
              <w:rPr>
                <w:sz w:val="20"/>
                <w:szCs w:val="20"/>
              </w:rPr>
            </w:pPr>
            <w:r>
              <w:rPr>
                <w:rFonts w:hint="eastAsia"/>
                <w:sz w:val="20"/>
                <w:szCs w:val="20"/>
              </w:rPr>
              <w:t>4.支持1个硬盘，硬盘容量≥1TB；</w:t>
            </w:r>
          </w:p>
          <w:p w14:paraId="774CB36A">
            <w:pPr>
              <w:rPr>
                <w:sz w:val="20"/>
                <w:szCs w:val="20"/>
              </w:rPr>
            </w:pPr>
            <w:r>
              <w:rPr>
                <w:rFonts w:hint="eastAsia"/>
                <w:sz w:val="20"/>
                <w:szCs w:val="20"/>
              </w:rPr>
              <w:t>5.支持静态路由、RIP(V1/V2)、RIPng、OSPFv2等多种路由协议；</w:t>
            </w:r>
          </w:p>
          <w:p w14:paraId="4276AD07">
            <w:pPr>
              <w:rPr>
                <w:sz w:val="20"/>
                <w:szCs w:val="20"/>
              </w:rPr>
            </w:pPr>
            <w:r>
              <w:rPr>
                <w:rFonts w:hint="eastAsia"/>
                <w:sz w:val="20"/>
                <w:szCs w:val="20"/>
              </w:rPr>
              <w:t>6.支持ARP 防攻击、防止分片报文攻击、防止ICMP flood攻击、防止Smurf攻击、防止ICMP 重定向攻击；</w:t>
            </w:r>
          </w:p>
          <w:p w14:paraId="7003E34E">
            <w:pPr>
              <w:rPr>
                <w:sz w:val="20"/>
                <w:szCs w:val="20"/>
              </w:rPr>
            </w:pPr>
            <w:r>
              <w:rPr>
                <w:rFonts w:hint="eastAsia"/>
                <w:sz w:val="20"/>
                <w:szCs w:val="20"/>
              </w:rPr>
              <w:t>7.支持TCP/IP 协议簇，支持IP、ICMP、IGMP、TCP和UDP等协议；</w:t>
            </w:r>
          </w:p>
          <w:p w14:paraId="6AA4256A">
            <w:pPr>
              <w:rPr>
                <w:rFonts w:hint="eastAsia" w:eastAsia="仿宋"/>
                <w:color w:val="FF0000"/>
                <w:lang w:eastAsia="zh-CN"/>
              </w:rPr>
            </w:pPr>
            <w:r>
              <w:rPr>
                <w:rFonts w:hint="eastAsia"/>
                <w:sz w:val="20"/>
                <w:szCs w:val="20"/>
              </w:rPr>
              <w:t>8.支持IPSec VPN 和 SSL VPN</w:t>
            </w:r>
            <w:r>
              <w:rPr>
                <w:rFonts w:hint="eastAsia"/>
                <w:sz w:val="20"/>
                <w:szCs w:val="20"/>
                <w:lang w:eastAsia="zh-CN"/>
              </w:rPr>
              <w:t>；</w:t>
            </w:r>
          </w:p>
          <w:p w14:paraId="320DAD5E">
            <w:pPr>
              <w:rPr>
                <w:color w:val="auto"/>
                <w:sz w:val="20"/>
                <w:szCs w:val="20"/>
              </w:rPr>
            </w:pPr>
            <w:r>
              <w:rPr>
                <w:rFonts w:hint="eastAsia" w:ascii="仿宋" w:hAnsi="仿宋" w:cs="仿宋"/>
                <w:sz w:val="21"/>
              </w:rPr>
              <w:t>▲</w:t>
            </w:r>
            <w:r>
              <w:rPr>
                <w:rFonts w:hint="eastAsia"/>
                <w:color w:val="auto"/>
                <w:sz w:val="20"/>
                <w:szCs w:val="20"/>
                <w:lang w:val="en-US" w:eastAsia="zh-CN"/>
              </w:rPr>
              <w:t>9</w:t>
            </w:r>
            <w:r>
              <w:rPr>
                <w:rFonts w:hint="eastAsia"/>
                <w:color w:val="auto"/>
                <w:sz w:val="20"/>
                <w:szCs w:val="20"/>
              </w:rPr>
              <w:t>.支持对无线AP进行管理，提供设备配置界面截图证明并加盖产品厂商公章</w:t>
            </w:r>
          </w:p>
          <w:p w14:paraId="75FCE2A5">
            <w:pPr>
              <w:rPr>
                <w:color w:val="auto"/>
                <w:sz w:val="20"/>
                <w:szCs w:val="20"/>
              </w:rPr>
            </w:pPr>
            <w:r>
              <w:rPr>
                <w:rFonts w:hint="eastAsia" w:ascii="仿宋" w:hAnsi="仿宋" w:cs="仿宋"/>
                <w:sz w:val="21"/>
              </w:rPr>
              <w:t>▲</w:t>
            </w:r>
            <w:r>
              <w:rPr>
                <w:rFonts w:hint="eastAsia"/>
                <w:color w:val="auto"/>
                <w:sz w:val="20"/>
                <w:szCs w:val="20"/>
                <w:lang w:val="en-US" w:eastAsia="zh-CN"/>
              </w:rPr>
              <w:t>10</w:t>
            </w:r>
            <w:r>
              <w:rPr>
                <w:rFonts w:hint="eastAsia"/>
                <w:color w:val="auto"/>
                <w:sz w:val="20"/>
                <w:szCs w:val="20"/>
              </w:rPr>
              <w:t>.支持终端迁移告警，可显示迁移终端IP及MAC，终端迁移时间，迁移前后接入设备IP及MAC，迁移前后VLAN及端口，提供设备配置界面截图并加盖产品厂商公章；</w:t>
            </w:r>
          </w:p>
          <w:p w14:paraId="3B6449E0">
            <w:pPr>
              <w:rPr>
                <w:color w:val="auto"/>
                <w:sz w:val="20"/>
                <w:szCs w:val="20"/>
              </w:rPr>
            </w:pPr>
            <w:r>
              <w:rPr>
                <w:rFonts w:hint="eastAsia" w:ascii="仿宋" w:hAnsi="仿宋" w:cs="仿宋"/>
                <w:sz w:val="21"/>
              </w:rPr>
              <w:t>▲</w:t>
            </w:r>
            <w:r>
              <w:rPr>
                <w:rFonts w:hint="eastAsia"/>
                <w:color w:val="auto"/>
                <w:sz w:val="20"/>
                <w:szCs w:val="20"/>
                <w:lang w:val="en-US" w:eastAsia="zh-CN"/>
              </w:rPr>
              <w:t>11</w:t>
            </w:r>
            <w:r>
              <w:rPr>
                <w:rFonts w:hint="eastAsia"/>
                <w:color w:val="auto"/>
                <w:sz w:val="20"/>
                <w:szCs w:val="20"/>
              </w:rPr>
              <w:t>.支持智能DNS，无需内部服务器做任何修改情况下，为外网用户提供一个与该用户相同运营商的链路对内访问，提供设备配置界面截图并加盖产品厂商公章；</w:t>
            </w:r>
          </w:p>
          <w:p w14:paraId="31FC2137">
            <w:pPr>
              <w:rPr>
                <w:color w:val="auto"/>
                <w:sz w:val="20"/>
                <w:szCs w:val="20"/>
              </w:rPr>
            </w:pPr>
            <w:r>
              <w:rPr>
                <w:rFonts w:hint="eastAsia" w:ascii="仿宋" w:hAnsi="仿宋" w:cs="仿宋"/>
                <w:sz w:val="21"/>
              </w:rPr>
              <w:t>▲</w:t>
            </w:r>
            <w:r>
              <w:rPr>
                <w:rFonts w:hint="eastAsia"/>
                <w:color w:val="auto"/>
                <w:sz w:val="20"/>
                <w:szCs w:val="20"/>
                <w:lang w:val="en-US" w:eastAsia="zh-CN"/>
              </w:rPr>
              <w:t>12</w:t>
            </w:r>
            <w:r>
              <w:rPr>
                <w:rFonts w:hint="eastAsia"/>
                <w:color w:val="auto"/>
                <w:sz w:val="20"/>
                <w:szCs w:val="20"/>
              </w:rPr>
              <w:t>.防运营商检测，可以避免ISP ADSL线路封杀共享，提供配置界面截图并加盖产品厂商公章；</w:t>
            </w:r>
          </w:p>
          <w:p w14:paraId="7EF55356">
            <w:pPr>
              <w:rPr>
                <w:szCs w:val="20"/>
              </w:rPr>
            </w:pPr>
            <w:r>
              <w:rPr>
                <w:rFonts w:hint="eastAsia" w:ascii="仿宋" w:hAnsi="仿宋" w:cs="仿宋"/>
                <w:sz w:val="21"/>
              </w:rPr>
              <w:t>▲</w:t>
            </w:r>
            <w:r>
              <w:rPr>
                <w:rFonts w:hint="eastAsia"/>
                <w:color w:val="auto"/>
                <w:sz w:val="20"/>
                <w:szCs w:val="20"/>
                <w:lang w:val="en-US" w:eastAsia="zh-CN"/>
              </w:rPr>
              <w:t>13</w:t>
            </w:r>
            <w:r>
              <w:rPr>
                <w:rFonts w:hint="eastAsia"/>
                <w:color w:val="auto"/>
                <w:sz w:val="20"/>
                <w:szCs w:val="20"/>
              </w:rPr>
              <w:t>.应用缓存加速（被动缓存）支持精确缓存指定的APP，避免浪费本地存储空间；提供设备配置界面截图并加盖产品厂商公章；</w:t>
            </w:r>
          </w:p>
        </w:tc>
      </w:tr>
      <w:tr w14:paraId="7A21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shd w:val="clear" w:color="auto" w:fill="auto"/>
            <w:vAlign w:val="center"/>
          </w:tcPr>
          <w:p w14:paraId="4DF03814">
            <w:pPr>
              <w:spacing w:line="240" w:lineRule="auto"/>
              <w:ind w:firstLine="222" w:firstLineChars="111"/>
              <w:textAlignment w:val="center"/>
              <w:rPr>
                <w:rFonts w:ascii="仿宋" w:hAnsi="仿宋" w:cs="仿宋"/>
                <w:color w:val="000000"/>
                <w:sz w:val="20"/>
                <w:szCs w:val="20"/>
              </w:rPr>
            </w:pPr>
            <w:r>
              <w:rPr>
                <w:rFonts w:hint="eastAsia" w:ascii="仿宋" w:hAnsi="仿宋" w:cs="仿宋"/>
                <w:color w:val="000000"/>
                <w:sz w:val="20"/>
                <w:szCs w:val="20"/>
              </w:rPr>
              <w:t>4</w:t>
            </w:r>
          </w:p>
        </w:tc>
        <w:tc>
          <w:tcPr>
            <w:tcW w:w="1312" w:type="dxa"/>
            <w:shd w:val="clear" w:color="auto" w:fill="auto"/>
            <w:vAlign w:val="center"/>
          </w:tcPr>
          <w:p w14:paraId="1614FB46">
            <w:pPr>
              <w:spacing w:line="240" w:lineRule="auto"/>
              <w:ind w:left="0" w:leftChars="0" w:firstLine="0" w:firstLineChars="0"/>
              <w:textAlignment w:val="center"/>
              <w:rPr>
                <w:rFonts w:ascii="仿宋" w:hAnsi="仿宋" w:cs="仿宋"/>
                <w:color w:val="000000"/>
                <w:sz w:val="20"/>
                <w:szCs w:val="20"/>
              </w:rPr>
            </w:pPr>
            <w:r>
              <w:rPr>
                <w:rFonts w:hint="eastAsia" w:ascii="仿宋" w:hAnsi="仿宋" w:eastAsia="仿宋" w:cs="仿宋"/>
                <w:i w:val="0"/>
                <w:color w:val="000000"/>
                <w:kern w:val="0"/>
                <w:sz w:val="20"/>
                <w:szCs w:val="20"/>
                <w:u w:val="none"/>
                <w:lang w:val="en-US" w:eastAsia="zh-CN" w:bidi="ar"/>
              </w:rPr>
              <w:t>无线控制器</w:t>
            </w:r>
          </w:p>
        </w:tc>
        <w:tc>
          <w:tcPr>
            <w:tcW w:w="5674" w:type="dxa"/>
            <w:shd w:val="clear" w:color="auto" w:fill="FFFFFF"/>
            <w:vAlign w:val="center"/>
          </w:tcPr>
          <w:p w14:paraId="220FC8C8">
            <w:pPr>
              <w:rPr>
                <w:color w:val="auto"/>
                <w:sz w:val="20"/>
                <w:szCs w:val="20"/>
              </w:rPr>
            </w:pPr>
            <w:r>
              <w:rPr>
                <w:rFonts w:hint="eastAsia"/>
                <w:color w:val="auto"/>
                <w:sz w:val="20"/>
                <w:szCs w:val="20"/>
              </w:rPr>
              <w:t>★1. 标准1U机架式结构；</w:t>
            </w:r>
          </w:p>
          <w:p w14:paraId="44754925">
            <w:pPr>
              <w:rPr>
                <w:color w:val="auto"/>
                <w:sz w:val="20"/>
                <w:szCs w:val="20"/>
              </w:rPr>
            </w:pPr>
            <w:r>
              <w:rPr>
                <w:rFonts w:hint="eastAsia"/>
                <w:color w:val="auto"/>
                <w:sz w:val="20"/>
                <w:szCs w:val="20"/>
              </w:rPr>
              <w:t>★2.固化千兆电口≥8个，固化千兆光口≥1个，固化万兆光口≥1个；</w:t>
            </w:r>
          </w:p>
          <w:p w14:paraId="21740870">
            <w:pPr>
              <w:rPr>
                <w:color w:val="auto"/>
                <w:sz w:val="20"/>
                <w:szCs w:val="20"/>
              </w:rPr>
            </w:pPr>
            <w:r>
              <w:rPr>
                <w:rFonts w:hint="eastAsia"/>
                <w:color w:val="auto"/>
                <w:sz w:val="20"/>
                <w:szCs w:val="20"/>
              </w:rPr>
              <w:t>★3.吞吐性能≥8G；</w:t>
            </w:r>
          </w:p>
          <w:p w14:paraId="0C564032">
            <w:pPr>
              <w:rPr>
                <w:color w:val="auto"/>
                <w:sz w:val="20"/>
                <w:szCs w:val="20"/>
              </w:rPr>
            </w:pPr>
            <w:r>
              <w:rPr>
                <w:rFonts w:hint="eastAsia"/>
                <w:color w:val="auto"/>
                <w:sz w:val="20"/>
                <w:szCs w:val="20"/>
              </w:rPr>
              <w:t>4.支持WEB认证、802.1X认证等认证功能；</w:t>
            </w:r>
          </w:p>
          <w:p w14:paraId="1E1DCE31">
            <w:pPr>
              <w:rPr>
                <w:color w:val="auto"/>
                <w:sz w:val="20"/>
                <w:szCs w:val="20"/>
              </w:rPr>
            </w:pPr>
            <w:r>
              <w:rPr>
                <w:rFonts w:hint="eastAsia"/>
                <w:color w:val="auto"/>
                <w:sz w:val="20"/>
                <w:szCs w:val="20"/>
              </w:rPr>
              <w:t>5.支持集中转发，支持本地转发，支持基于业务的灵活转发；</w:t>
            </w:r>
          </w:p>
          <w:p w14:paraId="688A3489">
            <w:pPr>
              <w:rPr>
                <w:color w:val="auto"/>
                <w:sz w:val="20"/>
                <w:szCs w:val="20"/>
              </w:rPr>
            </w:pPr>
            <w:r>
              <w:rPr>
                <w:rFonts w:hint="eastAsia"/>
                <w:color w:val="auto"/>
                <w:sz w:val="20"/>
                <w:szCs w:val="20"/>
              </w:rPr>
              <w:t>6.支持基于AP的带宽限速，支持基于WLAN的带宽限速，支持基于用户的静态限速和智能限速；</w:t>
            </w:r>
          </w:p>
          <w:p w14:paraId="3D60530B">
            <w:pPr>
              <w:rPr>
                <w:color w:val="auto"/>
                <w:sz w:val="20"/>
                <w:szCs w:val="20"/>
              </w:rPr>
            </w:pPr>
            <w:r>
              <w:rPr>
                <w:rFonts w:hint="eastAsia"/>
                <w:color w:val="auto"/>
                <w:sz w:val="20"/>
                <w:szCs w:val="20"/>
              </w:rPr>
              <w:t>7.支持基于全局AC的用户隔离，基于AP的用户隔离，基于WLAN的用户隔离；</w:t>
            </w:r>
          </w:p>
          <w:p w14:paraId="1E781D1D">
            <w:pPr>
              <w:rPr>
                <w:color w:val="auto"/>
                <w:sz w:val="20"/>
                <w:szCs w:val="20"/>
              </w:rPr>
            </w:pPr>
            <w:r>
              <w:rPr>
                <w:rFonts w:hint="eastAsia"/>
                <w:color w:val="auto"/>
                <w:sz w:val="20"/>
                <w:szCs w:val="20"/>
              </w:rPr>
              <w:t>8.支持AC热备份，支持多AC集群；</w:t>
            </w:r>
          </w:p>
          <w:p w14:paraId="62B6AA6E">
            <w:pPr>
              <w:rPr>
                <w:szCs w:val="20"/>
              </w:rPr>
            </w:pPr>
            <w:bookmarkStart w:id="0" w:name="_GoBack"/>
            <w:bookmarkEnd w:id="0"/>
            <w:r>
              <w:rPr>
                <w:rFonts w:hint="eastAsia"/>
                <w:color w:val="auto"/>
                <w:sz w:val="20"/>
                <w:szCs w:val="20"/>
              </w:rPr>
              <w:t>9.配置相应数量AP授权，满足交付。</w:t>
            </w:r>
          </w:p>
        </w:tc>
      </w:tr>
      <w:tr w14:paraId="5ABA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shd w:val="clear" w:color="auto" w:fill="auto"/>
            <w:vAlign w:val="center"/>
          </w:tcPr>
          <w:p w14:paraId="1E1F67B0">
            <w:pPr>
              <w:spacing w:line="240" w:lineRule="auto"/>
              <w:ind w:firstLine="222" w:firstLineChars="111"/>
              <w:textAlignment w:val="center"/>
              <w:rPr>
                <w:rFonts w:ascii="仿宋" w:hAnsi="仿宋" w:cs="仿宋"/>
                <w:color w:val="000000"/>
                <w:sz w:val="20"/>
                <w:szCs w:val="20"/>
              </w:rPr>
            </w:pPr>
            <w:r>
              <w:rPr>
                <w:rFonts w:hint="eastAsia" w:ascii="仿宋" w:hAnsi="仿宋" w:cs="仿宋"/>
                <w:color w:val="000000"/>
                <w:sz w:val="20"/>
                <w:szCs w:val="20"/>
              </w:rPr>
              <w:t>5</w:t>
            </w:r>
          </w:p>
        </w:tc>
        <w:tc>
          <w:tcPr>
            <w:tcW w:w="1312" w:type="dxa"/>
            <w:shd w:val="clear" w:color="auto" w:fill="auto"/>
            <w:vAlign w:val="center"/>
          </w:tcPr>
          <w:p w14:paraId="5DBE2448">
            <w:pPr>
              <w:spacing w:line="240" w:lineRule="auto"/>
              <w:ind w:firstLine="0" w:firstLineChars="0"/>
              <w:textAlignment w:val="center"/>
              <w:rPr>
                <w:rFonts w:ascii="仿宋" w:hAnsi="仿宋" w:cs="仿宋"/>
                <w:color w:val="000000"/>
                <w:sz w:val="20"/>
                <w:szCs w:val="20"/>
              </w:rPr>
            </w:pPr>
            <w:r>
              <w:rPr>
                <w:rFonts w:hint="eastAsia" w:ascii="仿宋" w:hAnsi="仿宋" w:eastAsia="仿宋" w:cs="仿宋"/>
                <w:i w:val="0"/>
                <w:color w:val="000000"/>
                <w:kern w:val="0"/>
                <w:sz w:val="20"/>
                <w:szCs w:val="20"/>
                <w:u w:val="none"/>
                <w:lang w:val="en-US" w:eastAsia="zh-CN" w:bidi="ar"/>
              </w:rPr>
              <w:t>24口POE交换机</w:t>
            </w:r>
          </w:p>
        </w:tc>
        <w:tc>
          <w:tcPr>
            <w:tcW w:w="5674" w:type="dxa"/>
            <w:shd w:val="clear" w:color="auto" w:fill="FFFFFF"/>
            <w:vAlign w:val="center"/>
          </w:tcPr>
          <w:p w14:paraId="50A6E41A">
            <w:pPr>
              <w:rPr>
                <w:color w:val="auto"/>
                <w:sz w:val="20"/>
                <w:szCs w:val="20"/>
              </w:rPr>
            </w:pPr>
            <w:r>
              <w:rPr>
                <w:rFonts w:hint="eastAsia"/>
                <w:color w:val="auto"/>
                <w:sz w:val="20"/>
                <w:szCs w:val="20"/>
              </w:rPr>
              <w:t>★1. 交换容量≥336Gbps，以最小值为准；</w:t>
            </w:r>
          </w:p>
          <w:p w14:paraId="75140D54">
            <w:pPr>
              <w:rPr>
                <w:color w:val="auto"/>
                <w:sz w:val="20"/>
                <w:szCs w:val="20"/>
              </w:rPr>
            </w:pPr>
            <w:r>
              <w:rPr>
                <w:rFonts w:hint="eastAsia"/>
                <w:color w:val="auto"/>
                <w:sz w:val="20"/>
                <w:szCs w:val="20"/>
              </w:rPr>
              <w:t>★2.包转发率≥126Mpps，以最小值为准；</w:t>
            </w:r>
          </w:p>
          <w:p w14:paraId="730A4776">
            <w:pPr>
              <w:rPr>
                <w:color w:val="auto"/>
                <w:sz w:val="20"/>
                <w:szCs w:val="20"/>
              </w:rPr>
            </w:pPr>
            <w:r>
              <w:rPr>
                <w:rFonts w:hint="eastAsia"/>
                <w:color w:val="auto"/>
                <w:sz w:val="20"/>
                <w:szCs w:val="20"/>
              </w:rPr>
              <w:t>★3. 固化10/100/1000M以太网端口≥24个，1G SFP光接口≥4个；支持POE和POE+供电，整机POE功率输出≥370W</w:t>
            </w:r>
          </w:p>
          <w:p w14:paraId="4475407F">
            <w:pPr>
              <w:rPr>
                <w:color w:val="auto"/>
                <w:sz w:val="20"/>
                <w:szCs w:val="20"/>
              </w:rPr>
            </w:pPr>
            <w:r>
              <w:rPr>
                <w:rFonts w:hint="eastAsia"/>
                <w:color w:val="auto"/>
                <w:sz w:val="20"/>
                <w:szCs w:val="20"/>
              </w:rPr>
              <w:t>4.要求所投设备MAC地址≥16K</w:t>
            </w:r>
          </w:p>
          <w:p w14:paraId="408FB67B">
            <w:pPr>
              <w:rPr>
                <w:color w:val="auto"/>
                <w:sz w:val="20"/>
                <w:szCs w:val="20"/>
              </w:rPr>
            </w:pPr>
            <w:r>
              <w:rPr>
                <w:rFonts w:hint="eastAsia"/>
                <w:color w:val="auto"/>
                <w:sz w:val="20"/>
                <w:szCs w:val="20"/>
              </w:rPr>
              <w:t>★5.支持IPv4和IPv6的静态路由、RIP/RIPng、OSPFv2/OSPFv3三层路由协议；</w:t>
            </w:r>
          </w:p>
          <w:p w14:paraId="1070F098">
            <w:pPr>
              <w:rPr>
                <w:sz w:val="20"/>
                <w:szCs w:val="20"/>
              </w:rPr>
            </w:pPr>
            <w:r>
              <w:rPr>
                <w:rFonts w:hint="eastAsia"/>
                <w:sz w:val="20"/>
                <w:szCs w:val="20"/>
              </w:rPr>
              <w:t>6.支持1对1、基于流、基于VLAN的镜像；支持RSPAN；</w:t>
            </w:r>
          </w:p>
          <w:p w14:paraId="3347D053">
            <w:pPr>
              <w:rPr>
                <w:sz w:val="20"/>
                <w:szCs w:val="20"/>
              </w:rPr>
            </w:pPr>
            <w:r>
              <w:rPr>
                <w:rFonts w:hint="eastAsia"/>
                <w:sz w:val="20"/>
                <w:szCs w:val="20"/>
              </w:rPr>
              <w:t>7.支持SP、WRR、DRR、SP+WFQ、 SP+WRR、SP+DRR、RED/WRED队列调度</w:t>
            </w:r>
          </w:p>
          <w:p w14:paraId="2CDDB638">
            <w:pPr>
              <w:rPr>
                <w:rFonts w:ascii="宋体" w:hAnsi="宋体"/>
                <w:szCs w:val="20"/>
              </w:rPr>
            </w:pPr>
            <w:r>
              <w:rPr>
                <w:rFonts w:hint="eastAsia"/>
                <w:sz w:val="20"/>
                <w:szCs w:val="20"/>
              </w:rPr>
              <w:t>8.支持CPU保护功能，能够针对发往CPU处理的各种报文进行流区分和优先级队列分级处理，保护交换机在各种环境下稳定工作。</w:t>
            </w:r>
          </w:p>
        </w:tc>
      </w:tr>
      <w:tr w14:paraId="77FC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shd w:val="clear" w:color="auto" w:fill="auto"/>
            <w:vAlign w:val="center"/>
          </w:tcPr>
          <w:p w14:paraId="14345AD5">
            <w:pPr>
              <w:spacing w:line="240" w:lineRule="auto"/>
              <w:ind w:firstLine="222" w:firstLineChars="111"/>
              <w:textAlignment w:val="center"/>
              <w:rPr>
                <w:rFonts w:ascii="仿宋" w:hAnsi="仿宋" w:cs="仿宋"/>
                <w:color w:val="000000"/>
                <w:sz w:val="20"/>
                <w:szCs w:val="20"/>
              </w:rPr>
            </w:pPr>
            <w:r>
              <w:rPr>
                <w:rFonts w:hint="eastAsia" w:ascii="仿宋" w:hAnsi="仿宋" w:cs="仿宋"/>
                <w:color w:val="000000"/>
                <w:sz w:val="20"/>
                <w:szCs w:val="20"/>
              </w:rPr>
              <w:t>6</w:t>
            </w:r>
          </w:p>
        </w:tc>
        <w:tc>
          <w:tcPr>
            <w:tcW w:w="1312" w:type="dxa"/>
            <w:shd w:val="clear" w:color="auto" w:fill="auto"/>
            <w:vAlign w:val="center"/>
          </w:tcPr>
          <w:p w14:paraId="54A922A4">
            <w:pPr>
              <w:spacing w:line="240" w:lineRule="auto"/>
              <w:ind w:firstLine="0" w:firstLineChars="0"/>
              <w:textAlignment w:val="center"/>
              <w:rPr>
                <w:rFonts w:ascii="仿宋" w:hAnsi="仿宋" w:cs="仿宋"/>
                <w:color w:val="000000"/>
                <w:sz w:val="20"/>
                <w:szCs w:val="20"/>
              </w:rPr>
            </w:pPr>
            <w:r>
              <w:rPr>
                <w:rFonts w:hint="eastAsia" w:ascii="仿宋" w:hAnsi="仿宋" w:eastAsia="仿宋" w:cs="仿宋"/>
                <w:i w:val="0"/>
                <w:color w:val="000000"/>
                <w:kern w:val="0"/>
                <w:sz w:val="20"/>
                <w:szCs w:val="20"/>
                <w:u w:val="none"/>
                <w:lang w:val="en-US" w:eastAsia="zh-CN" w:bidi="ar"/>
              </w:rPr>
              <w:t>无限设备接入许可</w:t>
            </w:r>
          </w:p>
        </w:tc>
        <w:tc>
          <w:tcPr>
            <w:tcW w:w="5674" w:type="dxa"/>
            <w:shd w:val="clear" w:color="auto" w:fill="FFFFFF"/>
            <w:vAlign w:val="center"/>
          </w:tcPr>
          <w:p w14:paraId="0977A85F">
            <w:pPr>
              <w:keepNext w:val="0"/>
              <w:keepLines w:val="0"/>
              <w:widowControl/>
              <w:suppressLineNumbers w:val="0"/>
              <w:ind w:firstLine="420" w:firstLineChars="200"/>
              <w:jc w:val="left"/>
              <w:textAlignment w:val="center"/>
              <w:rPr>
                <w:szCs w:val="20"/>
              </w:rPr>
            </w:pPr>
            <w:r>
              <w:rPr>
                <w:rFonts w:hint="eastAsia" w:ascii="仿宋" w:hAnsi="仿宋" w:cs="仿宋"/>
                <w:sz w:val="21"/>
              </w:rPr>
              <w:t>▲</w:t>
            </w:r>
            <w:r>
              <w:rPr>
                <w:rFonts w:hint="eastAsia" w:ascii="仿宋" w:hAnsi="仿宋" w:eastAsia="仿宋" w:cs="仿宋"/>
                <w:b w:val="0"/>
                <w:bCs/>
                <w:i w:val="0"/>
                <w:color w:val="000000"/>
                <w:kern w:val="0"/>
                <w:sz w:val="20"/>
                <w:szCs w:val="20"/>
                <w:u w:val="none"/>
                <w:lang w:val="en-US" w:eastAsia="zh-CN" w:bidi="ar"/>
              </w:rPr>
              <w:t>产品专用许可证</w:t>
            </w:r>
            <w:r>
              <w:rPr>
                <w:rFonts w:hint="eastAsia" w:ascii="仿宋" w:hAnsi="仿宋" w:cs="仿宋"/>
                <w:b w:val="0"/>
                <w:bCs/>
                <w:i w:val="0"/>
                <w:color w:val="000000"/>
                <w:kern w:val="0"/>
                <w:sz w:val="20"/>
                <w:szCs w:val="20"/>
                <w:u w:val="none"/>
                <w:lang w:val="en-US" w:eastAsia="zh-CN" w:bidi="ar"/>
              </w:rPr>
              <w:t>至少</w:t>
            </w:r>
            <w:r>
              <w:rPr>
                <w:rFonts w:hint="eastAsia" w:ascii="仿宋" w:hAnsi="仿宋" w:eastAsia="仿宋" w:cs="仿宋"/>
                <w:b w:val="0"/>
                <w:bCs/>
                <w:i w:val="0"/>
                <w:color w:val="000000"/>
                <w:kern w:val="0"/>
                <w:sz w:val="20"/>
                <w:szCs w:val="20"/>
                <w:u w:val="none"/>
                <w:lang w:val="en-US" w:eastAsia="zh-CN" w:bidi="ar"/>
              </w:rPr>
              <w:t>可扩展128个License，每License包含1个普通AP或2个墙面型AP。</w:t>
            </w:r>
          </w:p>
        </w:tc>
      </w:tr>
    </w:tbl>
    <w:p w14:paraId="4028242F">
      <w:pPr>
        <w:pStyle w:val="2"/>
        <w:ind w:firstLine="480"/>
      </w:pPr>
    </w:p>
    <w:p w14:paraId="7B10544F">
      <w:pPr>
        <w:ind w:firstLine="0" w:firstLineChars="0"/>
        <w:rPr>
          <w:rFonts w:ascii="仿宋" w:hAnsi="仿宋" w:cs="仿宋"/>
          <w:b/>
          <w:kern w:val="0"/>
        </w:rPr>
      </w:pPr>
      <w:r>
        <w:rPr>
          <w:rFonts w:hint="eastAsia" w:ascii="仿宋" w:hAnsi="仿宋" w:cs="仿宋"/>
          <w:b/>
          <w:kern w:val="0"/>
        </w:rPr>
        <w:t>2.3技术响应要求</w:t>
      </w:r>
    </w:p>
    <w:p w14:paraId="37E841C9">
      <w:pPr>
        <w:ind w:firstLine="420"/>
        <w:contextualSpacing/>
        <w:rPr>
          <w:rFonts w:ascii="仿宋" w:hAnsi="仿宋" w:cs="仿宋"/>
          <w:sz w:val="21"/>
        </w:rPr>
      </w:pPr>
      <w:r>
        <w:rPr>
          <w:rFonts w:hint="eastAsia" w:ascii="仿宋" w:hAnsi="仿宋" w:cs="仿宋"/>
          <w:sz w:val="21"/>
        </w:rPr>
        <w:t>1、参数指标中带★的技术参数为实质性要求，不允许负偏离，参数指标中带▲的技术参数需要响应人按技术参数文件要求提供相关证明文件，提供的证明文件需加盖设备厂商公章，不提供或未加盖设备厂商公章者视为未实质性响应，作废标处理。</w:t>
      </w:r>
    </w:p>
    <w:p w14:paraId="77CD51FB">
      <w:pPr>
        <w:ind w:firstLine="420"/>
        <w:contextualSpacing/>
        <w:rPr>
          <w:rFonts w:ascii="仿宋" w:hAnsi="仿宋" w:cs="仿宋"/>
          <w:color w:val="000000" w:themeColor="text1"/>
          <w:sz w:val="21"/>
        </w:rPr>
      </w:pPr>
      <w:r>
        <w:rPr>
          <w:rFonts w:ascii="仿宋" w:hAnsi="仿宋" w:cs="仿宋"/>
          <w:color w:val="000000" w:themeColor="text1"/>
          <w:sz w:val="21"/>
        </w:rPr>
        <w:t>2</w:t>
      </w:r>
      <w:r>
        <w:rPr>
          <w:rFonts w:hint="eastAsia" w:ascii="仿宋" w:hAnsi="仿宋" w:cs="仿宋"/>
          <w:color w:val="000000" w:themeColor="text1"/>
          <w:sz w:val="21"/>
        </w:rPr>
        <w:t>、响应人所投产品应为主流品牌。</w:t>
      </w:r>
    </w:p>
    <w:p w14:paraId="62CB76A4">
      <w:pPr>
        <w:ind w:firstLine="420"/>
        <w:contextualSpacing/>
        <w:rPr>
          <w:rFonts w:ascii="仿宋" w:hAnsi="仿宋" w:cs="仿宋"/>
          <w:sz w:val="21"/>
        </w:rPr>
      </w:pPr>
      <w:r>
        <w:rPr>
          <w:rFonts w:ascii="仿宋" w:hAnsi="仿宋" w:cs="仿宋"/>
          <w:sz w:val="21"/>
        </w:rPr>
        <w:t>3</w:t>
      </w:r>
      <w:r>
        <w:rPr>
          <w:rFonts w:hint="eastAsia" w:ascii="仿宋" w:hAnsi="仿宋" w:cs="仿宋"/>
          <w:sz w:val="21"/>
        </w:rPr>
        <w:t>、响应人须负责完成本项目涉及的整体安装调试、服务实施等相关工作，需上门实地勘察并提供设备测试确认和理解用户原有的网络系统情况，否则不允许参与竞价。</w:t>
      </w:r>
    </w:p>
    <w:p w14:paraId="27BFE405">
      <w:pPr>
        <w:ind w:firstLine="420"/>
        <w:contextualSpacing/>
        <w:rPr>
          <w:rFonts w:ascii="仿宋" w:hAnsi="仿宋" w:cs="仿宋"/>
          <w:sz w:val="21"/>
        </w:rPr>
      </w:pPr>
      <w:r>
        <w:rPr>
          <w:rFonts w:ascii="仿宋" w:hAnsi="仿宋" w:cs="仿宋"/>
          <w:sz w:val="21"/>
        </w:rPr>
        <w:t>4</w:t>
      </w:r>
      <w:r>
        <w:rPr>
          <w:rFonts w:hint="eastAsia" w:ascii="仿宋" w:hAnsi="仿宋" w:cs="仿宋"/>
          <w:sz w:val="21"/>
        </w:rPr>
        <w:t>、本次项目的建设目标和服务要求，并严格根据使用单位项目进度安排完成实施工作，如有偏差由响应方负责。</w:t>
      </w:r>
    </w:p>
    <w:p w14:paraId="3EC973B8">
      <w:pPr>
        <w:ind w:firstLine="420"/>
        <w:contextualSpacing/>
        <w:rPr>
          <w:rFonts w:ascii="仿宋" w:hAnsi="仿宋" w:cs="仿宋"/>
          <w:sz w:val="21"/>
        </w:rPr>
      </w:pPr>
      <w:r>
        <w:rPr>
          <w:rFonts w:ascii="仿宋" w:hAnsi="仿宋" w:cs="仿宋"/>
          <w:sz w:val="21"/>
        </w:rPr>
        <w:t>5</w:t>
      </w:r>
      <w:r>
        <w:rPr>
          <w:rFonts w:hint="eastAsia" w:ascii="仿宋" w:hAnsi="仿宋" w:cs="仿宋"/>
          <w:sz w:val="21"/>
        </w:rPr>
        <w:t>、响应方应提供投标产品对安装环境的各项要求，并且有责任检查安装现场是否符合产品安装条件。</w:t>
      </w:r>
    </w:p>
    <w:p w14:paraId="12D5ACC0">
      <w:pPr>
        <w:ind w:firstLine="420"/>
        <w:contextualSpacing/>
        <w:rPr>
          <w:rFonts w:ascii="仿宋" w:hAnsi="仿宋" w:cs="仿宋"/>
          <w:sz w:val="21"/>
        </w:rPr>
      </w:pPr>
      <w:r>
        <w:rPr>
          <w:rFonts w:ascii="仿宋" w:hAnsi="仿宋" w:cs="仿宋"/>
          <w:sz w:val="21"/>
        </w:rPr>
        <w:t>6</w:t>
      </w:r>
      <w:r>
        <w:rPr>
          <w:rFonts w:hint="eastAsia" w:ascii="仿宋" w:hAnsi="仿宋" w:cs="仿宋"/>
          <w:sz w:val="21"/>
        </w:rPr>
        <w:t>、因部门紧急使用，如有供应商恶意参与竞价，我方有权向政采云平台投诉并取消该供应商的中标资格。</w:t>
      </w:r>
    </w:p>
    <w:p w14:paraId="067C1FE8">
      <w:pPr>
        <w:pStyle w:val="13"/>
        <w:numPr>
          <w:ilvl w:val="0"/>
          <w:numId w:val="1"/>
        </w:numPr>
        <w:ind w:left="426" w:firstLineChars="0"/>
        <w:rPr>
          <w:rFonts w:ascii="仿宋" w:hAnsi="仿宋" w:eastAsia="仿宋" w:cs="仿宋"/>
          <w:sz w:val="28"/>
          <w:szCs w:val="28"/>
        </w:rPr>
      </w:pPr>
      <w:r>
        <w:rPr>
          <w:rFonts w:hint="eastAsia" w:ascii="仿宋" w:hAnsi="仿宋" w:eastAsia="仿宋" w:cs="仿宋"/>
          <w:sz w:val="28"/>
          <w:szCs w:val="28"/>
        </w:rPr>
        <w:t>商务要求</w:t>
      </w:r>
    </w:p>
    <w:p w14:paraId="479B02B6">
      <w:pPr>
        <w:autoSpaceDE w:val="0"/>
        <w:autoSpaceDN w:val="0"/>
        <w:ind w:firstLine="420"/>
        <w:rPr>
          <w:rFonts w:ascii="仿宋" w:hAnsi="仿宋" w:cs="仿宋"/>
          <w:sz w:val="21"/>
        </w:rPr>
      </w:pPr>
      <w:r>
        <w:rPr>
          <w:rFonts w:hint="eastAsia" w:ascii="仿宋" w:hAnsi="仿宋" w:cs="仿宋"/>
          <w:sz w:val="21"/>
        </w:rPr>
        <w:t>1、中标供应商公司负责本项目现场安装、调试服务，需方不承担任何费用。以上设备全部提供</w:t>
      </w:r>
      <w:r>
        <w:rPr>
          <w:rFonts w:ascii="仿宋" w:hAnsi="仿宋" w:cs="仿宋"/>
          <w:sz w:val="21"/>
        </w:rPr>
        <w:t>2</w:t>
      </w:r>
      <w:r>
        <w:rPr>
          <w:rFonts w:hint="eastAsia" w:ascii="仿宋" w:hAnsi="仿宋" w:cs="仿宋"/>
          <w:sz w:val="21"/>
        </w:rPr>
        <w:t>年质保服务。</w:t>
      </w:r>
    </w:p>
    <w:p w14:paraId="79B87C0F">
      <w:pPr>
        <w:autoSpaceDE w:val="0"/>
        <w:autoSpaceDN w:val="0"/>
        <w:ind w:firstLine="420"/>
        <w:rPr>
          <w:rFonts w:ascii="仿宋" w:hAnsi="仿宋" w:cs="仿宋"/>
          <w:sz w:val="21"/>
        </w:rPr>
      </w:pPr>
      <w:r>
        <w:rPr>
          <w:rFonts w:hint="eastAsia" w:ascii="仿宋" w:hAnsi="仿宋" w:cs="仿宋"/>
          <w:sz w:val="21"/>
        </w:rPr>
        <w:t>2、所有产品要求在合同签署后</w:t>
      </w:r>
      <w:r>
        <w:rPr>
          <w:rFonts w:ascii="仿宋" w:hAnsi="仿宋" w:cs="仿宋"/>
          <w:sz w:val="21"/>
        </w:rPr>
        <w:t>15</w:t>
      </w:r>
      <w:r>
        <w:rPr>
          <w:rFonts w:hint="eastAsia" w:ascii="仿宋" w:hAnsi="仿宋" w:cs="仿宋"/>
          <w:sz w:val="21"/>
        </w:rPr>
        <w:t>日内供货并完成安装调试，若合同签署后供应商所供货物不满足各项要求和指标，采购方有权终止合同，并且有权要求退赔。为保证售后服务的及时性，要求供货商在广东省内注册或者有服务机构。报价中包含施工，相关辅材费用等。</w:t>
      </w:r>
    </w:p>
    <w:p w14:paraId="7C94769A">
      <w:pPr>
        <w:ind w:firstLine="420"/>
        <w:contextualSpacing/>
        <w:rPr>
          <w:rFonts w:ascii="仿宋" w:hAnsi="仿宋" w:cs="仿宋"/>
          <w:sz w:val="21"/>
        </w:rPr>
      </w:pPr>
      <w:r>
        <w:rPr>
          <w:rFonts w:hint="eastAsia" w:ascii="仿宋" w:hAnsi="仿宋" w:cs="仿宋"/>
          <w:sz w:val="21"/>
        </w:rPr>
        <w:t>3、响应人在竞价前请认真阅读文件及相关要求。本项目包含与</w:t>
      </w:r>
      <w:r>
        <w:rPr>
          <w:rFonts w:hint="eastAsia" w:ascii="仿宋" w:hAnsi="仿宋" w:cs="仿宋"/>
          <w:color w:val="000000" w:themeColor="text1"/>
          <w:sz w:val="21"/>
        </w:rPr>
        <w:t>网络系统</w:t>
      </w:r>
      <w:r>
        <w:rPr>
          <w:rFonts w:hint="eastAsia" w:ascii="仿宋" w:hAnsi="仿宋" w:cs="仿宋"/>
          <w:sz w:val="21"/>
        </w:rPr>
        <w:t>等相关平台无缝对接，竞价人对本项目进行报价前，应对项目现场情况有充分的了解，须先进行现场勘查。</w:t>
      </w:r>
    </w:p>
    <w:p w14:paraId="72EAFB7B">
      <w:pPr>
        <w:ind w:firstLine="420"/>
        <w:contextualSpacing/>
        <w:rPr>
          <w:rFonts w:ascii="仿宋" w:hAnsi="仿宋" w:cs="仿宋"/>
          <w:sz w:val="21"/>
        </w:rPr>
      </w:pPr>
      <w:r>
        <w:rPr>
          <w:rFonts w:hint="eastAsia" w:ascii="仿宋" w:hAnsi="仿宋" w:cs="仿宋"/>
          <w:sz w:val="21"/>
        </w:rPr>
        <w:t>4、响应人所提供的产品包括配件必须是厂家原包装全新正品，供应商竞价成功后1</w:t>
      </w:r>
      <w:r>
        <w:rPr>
          <w:rFonts w:ascii="仿宋" w:hAnsi="仿宋" w:cs="仿宋"/>
          <w:sz w:val="21"/>
        </w:rPr>
        <w:t>5</w:t>
      </w:r>
      <w:r>
        <w:rPr>
          <w:rFonts w:hint="eastAsia" w:ascii="仿宋" w:hAnsi="仿宋" w:cs="仿宋"/>
          <w:color w:val="FF0000"/>
          <w:sz w:val="21"/>
        </w:rPr>
        <w:t>X</w:t>
      </w:r>
      <w:r>
        <w:rPr>
          <w:rFonts w:hint="eastAsia" w:ascii="仿宋" w:hAnsi="仿宋" w:cs="仿宋"/>
          <w:sz w:val="21"/>
        </w:rPr>
        <w:t>日内完成全部设备的到货、旧设备拆除提供必要的辅材，并提供现场操作测试，要求所提供设备必须与我局现有系统及设备无缝对接，完美兼容，测试时间为1天，测试未通过的视为不满足采购需求并退货，视为未实质性响应，作废标处理。</w:t>
      </w:r>
    </w:p>
    <w:p w14:paraId="1914D932">
      <w:pPr>
        <w:ind w:firstLine="420"/>
        <w:contextualSpacing/>
        <w:rPr>
          <w:rFonts w:ascii="仿宋" w:hAnsi="仿宋" w:cs="仿宋"/>
          <w:sz w:val="21"/>
        </w:rPr>
      </w:pPr>
      <w:r>
        <w:rPr>
          <w:rFonts w:hint="eastAsia" w:ascii="仿宋" w:hAnsi="仿宋" w:cs="仿宋"/>
          <w:sz w:val="21"/>
        </w:rPr>
        <w:t>5、售后服务：为了能提供及时的服务响应、必须是在《税务采购网》内注册的供应商投标，当用户设备发生系统故障，供应商需提供2小时内到达用户使用现场的服务，4小时内完成维修并正常使用。</w:t>
      </w:r>
    </w:p>
    <w:p w14:paraId="49EBEF94">
      <w:pPr>
        <w:ind w:firstLine="422"/>
        <w:contextualSpacing/>
        <w:rPr>
          <w:rFonts w:ascii="仿宋" w:hAnsi="仿宋" w:cs="仿宋"/>
          <w:b/>
          <w:bCs/>
          <w:sz w:val="21"/>
        </w:rPr>
      </w:pPr>
      <w:r>
        <w:rPr>
          <w:rFonts w:hint="eastAsia" w:ascii="仿宋" w:hAnsi="仿宋" w:cs="仿宋"/>
          <w:b/>
          <w:bCs/>
          <w:sz w:val="21"/>
        </w:rPr>
        <w:t>以上商务条款中标供应商必须全部满足，否则视作虚假应标，供应商和所供产品必须全部满足技术要求、服务条款和商务条件，如因竞价者造成虚假报价、项目流标或无效投标的一切损失由竞价供应商负责，并上报中国政府采购网及信用中国网列入失信行为名单。</w:t>
      </w:r>
    </w:p>
    <w:p w14:paraId="031B5AAB">
      <w:pPr>
        <w:pStyle w:val="2"/>
        <w:ind w:firstLine="480"/>
        <w:rPr>
          <w:rFonts w:ascii="仿宋" w:hAnsi="仿宋" w:cs="仿宋"/>
        </w:rPr>
      </w:pPr>
      <w:r>
        <w:rPr>
          <w:rFonts w:hint="eastAsia" w:ascii="仿宋" w:hAnsi="仿宋" w:cs="仿宋"/>
        </w:rPr>
        <w:br w:type="page"/>
      </w:r>
    </w:p>
    <w:p w14:paraId="61D46E1B">
      <w:pPr>
        <w:pStyle w:val="13"/>
        <w:numPr>
          <w:ilvl w:val="0"/>
          <w:numId w:val="1"/>
        </w:numPr>
        <w:ind w:left="426" w:firstLineChars="0"/>
        <w:rPr>
          <w:rFonts w:ascii="仿宋" w:hAnsi="仿宋" w:eastAsia="仿宋" w:cs="仿宋"/>
          <w:sz w:val="28"/>
          <w:szCs w:val="28"/>
        </w:rPr>
      </w:pPr>
      <w:r>
        <w:rPr>
          <w:rFonts w:hint="eastAsia" w:ascii="仿宋" w:hAnsi="仿宋" w:eastAsia="仿宋" w:cs="仿宋"/>
          <w:sz w:val="28"/>
          <w:szCs w:val="28"/>
        </w:rPr>
        <w:t>验收流程</w:t>
      </w:r>
    </w:p>
    <w:p w14:paraId="10584F34">
      <w:pPr>
        <w:spacing w:before="156" w:beforeLines="50" w:after="156" w:afterLines="50"/>
        <w:ind w:left="198" w:firstLine="420"/>
        <w:rPr>
          <w:rFonts w:ascii="仿宋" w:hAnsi="仿宋" w:cs="仿宋"/>
          <w:sz w:val="21"/>
        </w:rPr>
      </w:pPr>
      <w:r>
        <w:rPr>
          <w:rFonts w:hint="eastAsia" w:ascii="仿宋" w:hAnsi="仿宋" w:cs="仿宋"/>
          <w:sz w:val="21"/>
        </w:rPr>
        <w:t>中标供应商要针对项目验收提出与所投设备有关的完整的验收方案。</w:t>
      </w:r>
    </w:p>
    <w:p w14:paraId="3769ACFB">
      <w:pPr>
        <w:spacing w:before="156" w:beforeLines="50" w:after="156" w:afterLines="50"/>
        <w:ind w:left="198" w:firstLine="420"/>
        <w:rPr>
          <w:rFonts w:ascii="仿宋" w:hAnsi="仿宋" w:cs="仿宋"/>
          <w:sz w:val="21"/>
        </w:rPr>
      </w:pPr>
      <w:r>
        <w:rPr>
          <w:rFonts w:hint="eastAsia" w:ascii="仿宋" w:hAnsi="仿宋" w:cs="仿宋"/>
          <w:sz w:val="21"/>
        </w:rPr>
        <w:t>全部设备到货后，采购人对全部产品的型号、规格、配置、数量、外型、包装及资料、文件（如装箱单、保修单、随箱介质等）进行初次验收，并按照本竞价文件所列功能进行逐一验证测试。如果产品未能满足全部技术规格，采购人有权提前解除部分或全部合同并要求中标供应商赔偿相应的损失。</w:t>
      </w:r>
    </w:p>
    <w:p w14:paraId="19532268">
      <w:pPr>
        <w:spacing w:before="156" w:beforeLines="50" w:after="156" w:afterLines="50"/>
        <w:ind w:left="198" w:firstLine="420"/>
        <w:rPr>
          <w:rFonts w:ascii="仿宋" w:hAnsi="仿宋" w:cs="仿宋"/>
          <w:sz w:val="21"/>
        </w:rPr>
      </w:pPr>
      <w:r>
        <w:rPr>
          <w:rFonts w:hint="eastAsia" w:ascii="仿宋" w:hAnsi="仿宋" w:cs="仿宋"/>
          <w:sz w:val="21"/>
        </w:rPr>
        <w:t>中标供应商应在初次验收后5天内完成所有产品的安装、配置、调试和试运行，在确保运行稳定和售后响应及时的情况下，采购人对本项目进行最终验收。</w:t>
      </w:r>
    </w:p>
    <w:p w14:paraId="7C3D8E03">
      <w:pPr>
        <w:spacing w:before="156" w:beforeLines="50" w:after="156" w:afterLines="50"/>
        <w:ind w:left="198" w:firstLine="420"/>
        <w:rPr>
          <w:rFonts w:ascii="仿宋" w:hAnsi="仿宋" w:cs="仿宋"/>
          <w:sz w:val="21"/>
        </w:rPr>
      </w:pPr>
      <w:r>
        <w:rPr>
          <w:rFonts w:hint="eastAsia" w:ascii="仿宋" w:hAnsi="仿宋" w:cs="仿宋"/>
          <w:sz w:val="21"/>
        </w:rPr>
        <w:t>对于以上验收工作完成后产生的所有测试、验收报告必须经采购人、中标供应商共同签字盖章后方有效。</w:t>
      </w:r>
    </w:p>
    <w:p w14:paraId="37811CF6">
      <w:pPr>
        <w:pStyle w:val="13"/>
        <w:numPr>
          <w:ilvl w:val="0"/>
          <w:numId w:val="1"/>
        </w:numPr>
        <w:ind w:left="426" w:firstLineChars="0"/>
        <w:rPr>
          <w:rFonts w:ascii="仿宋" w:hAnsi="仿宋" w:eastAsia="仿宋" w:cs="仿宋"/>
          <w:sz w:val="28"/>
          <w:szCs w:val="28"/>
        </w:rPr>
      </w:pPr>
      <w:r>
        <w:rPr>
          <w:rFonts w:hint="eastAsia" w:ascii="仿宋" w:hAnsi="仿宋" w:eastAsia="仿宋" w:cs="仿宋"/>
          <w:sz w:val="28"/>
          <w:szCs w:val="28"/>
        </w:rPr>
        <w:t>付款方式</w:t>
      </w:r>
    </w:p>
    <w:p w14:paraId="103DBE6F">
      <w:pPr>
        <w:spacing w:before="156" w:beforeLines="50" w:after="156" w:afterLines="50"/>
        <w:ind w:left="198" w:firstLine="420"/>
        <w:rPr>
          <w:rFonts w:ascii="仿宋" w:hAnsi="仿宋" w:cs="仿宋"/>
          <w:kern w:val="0"/>
          <w:sz w:val="21"/>
        </w:rPr>
      </w:pPr>
      <w:r>
        <w:rPr>
          <w:rFonts w:hint="eastAsia" w:ascii="仿宋" w:hAnsi="仿宋" w:cs="仿宋"/>
          <w:kern w:val="0"/>
          <w:sz w:val="21"/>
        </w:rPr>
        <w:t>本合同项下的全部货物安装调试完毕并经最终验收合格后10个自然日内，甲方向乙方支付全部合同价款。</w:t>
      </w:r>
    </w:p>
    <w:p w14:paraId="7B7DF688">
      <w:pPr>
        <w:pStyle w:val="13"/>
        <w:numPr>
          <w:ilvl w:val="0"/>
          <w:numId w:val="1"/>
        </w:numPr>
        <w:ind w:left="426" w:firstLineChars="0"/>
        <w:rPr>
          <w:rFonts w:ascii="仿宋" w:hAnsi="仿宋" w:eastAsia="仿宋" w:cs="仿宋"/>
          <w:sz w:val="28"/>
          <w:szCs w:val="28"/>
        </w:rPr>
      </w:pPr>
      <w:r>
        <w:rPr>
          <w:rFonts w:hint="eastAsia" w:ascii="仿宋" w:hAnsi="仿宋" w:eastAsia="仿宋" w:cs="仿宋"/>
          <w:sz w:val="28"/>
          <w:szCs w:val="28"/>
        </w:rPr>
        <w:t>责任</w:t>
      </w:r>
    </w:p>
    <w:p w14:paraId="38A54841">
      <w:pPr>
        <w:spacing w:before="156" w:beforeLines="50" w:after="156" w:afterLines="50"/>
        <w:ind w:left="198" w:firstLine="420"/>
        <w:rPr>
          <w:rFonts w:ascii="仿宋" w:hAnsi="仿宋" w:cs="仿宋"/>
          <w:kern w:val="0"/>
          <w:sz w:val="21"/>
        </w:rPr>
      </w:pPr>
      <w:r>
        <w:rPr>
          <w:rFonts w:hint="eastAsia" w:ascii="仿宋" w:hAnsi="仿宋" w:cs="仿宋"/>
          <w:kern w:val="0"/>
          <w:sz w:val="21"/>
        </w:rPr>
        <w:t>1、若发现竞价单位存在未实质性响应文件行为，将进行废标处理，情节严重者，按照虚假竞价进行处理并记录备案。</w:t>
      </w:r>
    </w:p>
    <w:p w14:paraId="61325A79">
      <w:pPr>
        <w:spacing w:before="156" w:beforeLines="50" w:after="156" w:afterLines="50"/>
        <w:ind w:left="198" w:firstLine="420"/>
        <w:rPr>
          <w:rFonts w:ascii="仿宋" w:hAnsi="仿宋" w:cs="仿宋"/>
          <w:kern w:val="0"/>
          <w:sz w:val="21"/>
        </w:rPr>
      </w:pPr>
      <w:r>
        <w:rPr>
          <w:rFonts w:hint="eastAsia" w:ascii="仿宋" w:hAnsi="仿宋" w:cs="仿宋"/>
          <w:kern w:val="0"/>
          <w:sz w:val="21"/>
        </w:rPr>
        <w:t>2、若发现竞价单位存在虚假竞价行为，将在税务采购网平台列为失信供应商记录。</w:t>
      </w:r>
    </w:p>
    <w:p w14:paraId="796B6B7F">
      <w:pPr>
        <w:spacing w:before="156" w:beforeLines="50" w:after="156" w:afterLines="50"/>
        <w:ind w:left="198" w:firstLine="420"/>
        <w:rPr>
          <w:rFonts w:ascii="仿宋" w:hAnsi="仿宋" w:cs="仿宋"/>
          <w:kern w:val="0"/>
          <w:sz w:val="21"/>
        </w:rPr>
      </w:pPr>
      <w:r>
        <w:rPr>
          <w:rFonts w:hint="eastAsia" w:ascii="仿宋" w:hAnsi="仿宋" w:cs="仿宋"/>
          <w:kern w:val="0"/>
          <w:sz w:val="21"/>
        </w:rPr>
        <w:t>3、供应商参与本项目投标报价即视为响应本项目所有商务需求，否则视为无效投标。本项目面向中小企业采购，大型企业投标为无效标。</w:t>
      </w:r>
    </w:p>
    <w:p w14:paraId="03729DB6">
      <w:pPr>
        <w:pStyle w:val="2"/>
        <w:ind w:firstLine="480"/>
      </w:pPr>
    </w:p>
    <w:p w14:paraId="3DFCA93A">
      <w:pPr>
        <w:pStyle w:val="2"/>
        <w:ind w:firstLine="480"/>
      </w:pPr>
    </w:p>
    <w:p w14:paraId="5DC7AFDB">
      <w:pPr>
        <w:pStyle w:val="2"/>
        <w:ind w:firstLine="480"/>
      </w:pPr>
    </w:p>
    <w:p w14:paraId="3C3966C7">
      <w:pPr>
        <w:pStyle w:val="2"/>
        <w:ind w:firstLine="480"/>
      </w:pPr>
    </w:p>
    <w:p w14:paraId="18D4F770">
      <w:pPr>
        <w:pStyle w:val="2"/>
        <w:ind w:firstLine="0" w:firstLineChars="0"/>
        <w:rPr>
          <w:rFonts w:hint="eastAsia"/>
        </w:rPr>
      </w:pPr>
    </w:p>
    <w:sectPr>
      <w:pgSz w:w="11906" w:h="16838"/>
      <w:pgMar w:top="1440" w:right="1800" w:bottom="993"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0579">
    <w:pPr>
      <w:pStyle w:val="6"/>
    </w:pPr>
    <w:r>
      <w:pict>
        <v:shape id="_x0000_s1025" o:spid="_x0000_s1025"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">
          <v:path/>
          <v:fill on="f" focussize="0,0"/>
          <v:stroke on="f" weight="0.5pt" joinstyle="miter"/>
          <v:imagedata o:title=""/>
          <o:lock v:ext="edit"/>
          <v:textbox inset="0mm,0mm,0mm,0mm" style="mso-fit-shape-to-text:t;">
            <w:txbxContent>
              <w:p w14:paraId="1F6DD758">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F7A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B59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6E8E">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0909">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F088">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D368E"/>
    <w:multiLevelType w:val="multilevel"/>
    <w:tmpl w:val="070D368E"/>
    <w:lvl w:ilvl="0" w:tentative="0">
      <w:start w:val="1"/>
      <w:numFmt w:val="japaneseCounting"/>
      <w:lvlText w:val="%1."/>
      <w:lvlJc w:val="left"/>
      <w:pPr>
        <w:ind w:left="991" w:hanging="44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1NmQ2MTkwNDBjOTZmZmI0MGQ0ZTA5YjU0Njk0NzkifQ=="/>
  </w:docVars>
  <w:rsids>
    <w:rsidRoot w:val="00780EF3"/>
    <w:rsid w:val="000D0D8C"/>
    <w:rsid w:val="000D2141"/>
    <w:rsid w:val="000F5E08"/>
    <w:rsid w:val="00114AA7"/>
    <w:rsid w:val="00116CA4"/>
    <w:rsid w:val="0017724E"/>
    <w:rsid w:val="00184433"/>
    <w:rsid w:val="001D086A"/>
    <w:rsid w:val="00200CA9"/>
    <w:rsid w:val="00231ED5"/>
    <w:rsid w:val="00280C7D"/>
    <w:rsid w:val="003053BA"/>
    <w:rsid w:val="003266FC"/>
    <w:rsid w:val="00331952"/>
    <w:rsid w:val="00363DC5"/>
    <w:rsid w:val="003E1851"/>
    <w:rsid w:val="003F59AA"/>
    <w:rsid w:val="003F6D2D"/>
    <w:rsid w:val="0040695A"/>
    <w:rsid w:val="00421991"/>
    <w:rsid w:val="00453E8E"/>
    <w:rsid w:val="0046656A"/>
    <w:rsid w:val="00486608"/>
    <w:rsid w:val="005752E2"/>
    <w:rsid w:val="005B78DF"/>
    <w:rsid w:val="005C6E9A"/>
    <w:rsid w:val="005E26B2"/>
    <w:rsid w:val="005E547C"/>
    <w:rsid w:val="00607FEC"/>
    <w:rsid w:val="00692240"/>
    <w:rsid w:val="006D5545"/>
    <w:rsid w:val="007275E6"/>
    <w:rsid w:val="00741171"/>
    <w:rsid w:val="00770EB8"/>
    <w:rsid w:val="007774CF"/>
    <w:rsid w:val="00780EF3"/>
    <w:rsid w:val="00793C2D"/>
    <w:rsid w:val="007E099C"/>
    <w:rsid w:val="00843403"/>
    <w:rsid w:val="0084751A"/>
    <w:rsid w:val="008A3F82"/>
    <w:rsid w:val="008E349D"/>
    <w:rsid w:val="008E49BF"/>
    <w:rsid w:val="008F728C"/>
    <w:rsid w:val="009168B3"/>
    <w:rsid w:val="00993E33"/>
    <w:rsid w:val="00A0014C"/>
    <w:rsid w:val="00A04C6C"/>
    <w:rsid w:val="00A12A56"/>
    <w:rsid w:val="00A70EE3"/>
    <w:rsid w:val="00A81A55"/>
    <w:rsid w:val="00AB08AF"/>
    <w:rsid w:val="00AC2172"/>
    <w:rsid w:val="00AD0CD9"/>
    <w:rsid w:val="00B22B35"/>
    <w:rsid w:val="00B33A0D"/>
    <w:rsid w:val="00BE4BC8"/>
    <w:rsid w:val="00BF2A36"/>
    <w:rsid w:val="00C03B6A"/>
    <w:rsid w:val="00C101C7"/>
    <w:rsid w:val="00C13EA7"/>
    <w:rsid w:val="00CA652E"/>
    <w:rsid w:val="00D07214"/>
    <w:rsid w:val="00D52B5C"/>
    <w:rsid w:val="00D6356E"/>
    <w:rsid w:val="00D81812"/>
    <w:rsid w:val="00D971DE"/>
    <w:rsid w:val="00E00A1C"/>
    <w:rsid w:val="00E2445D"/>
    <w:rsid w:val="00E326C7"/>
    <w:rsid w:val="00EA617C"/>
    <w:rsid w:val="00EB759C"/>
    <w:rsid w:val="00EC43F0"/>
    <w:rsid w:val="00F34369"/>
    <w:rsid w:val="00F624B5"/>
    <w:rsid w:val="00F804EE"/>
    <w:rsid w:val="00F871C5"/>
    <w:rsid w:val="00FD7448"/>
    <w:rsid w:val="02943313"/>
    <w:rsid w:val="07563889"/>
    <w:rsid w:val="0D464CD7"/>
    <w:rsid w:val="0D552A94"/>
    <w:rsid w:val="1044254E"/>
    <w:rsid w:val="12681CFB"/>
    <w:rsid w:val="126B57BC"/>
    <w:rsid w:val="12ED1BA4"/>
    <w:rsid w:val="16C3779A"/>
    <w:rsid w:val="17100031"/>
    <w:rsid w:val="20316909"/>
    <w:rsid w:val="27032CCE"/>
    <w:rsid w:val="34852EA4"/>
    <w:rsid w:val="364E44F4"/>
    <w:rsid w:val="368462CF"/>
    <w:rsid w:val="374D25D5"/>
    <w:rsid w:val="375D4A6A"/>
    <w:rsid w:val="3A3561DB"/>
    <w:rsid w:val="3B682BA3"/>
    <w:rsid w:val="3FB120BF"/>
    <w:rsid w:val="48AD6235"/>
    <w:rsid w:val="4A8B4F81"/>
    <w:rsid w:val="4AC9208D"/>
    <w:rsid w:val="4B9728CA"/>
    <w:rsid w:val="4E606AEE"/>
    <w:rsid w:val="5C6367D0"/>
    <w:rsid w:val="67303A0B"/>
    <w:rsid w:val="6959750E"/>
    <w:rsid w:val="6B833D40"/>
    <w:rsid w:val="6C763025"/>
    <w:rsid w:val="6FDE7B6F"/>
    <w:rsid w:val="71BB4562"/>
    <w:rsid w:val="73EE6D40"/>
    <w:rsid w:val="7C741E2E"/>
    <w:rsid w:val="7E8C4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opLinePunct/>
      <w:adjustRightInd w:val="0"/>
      <w:spacing w:line="360" w:lineRule="auto"/>
      <w:ind w:firstLine="200" w:firstLineChars="200"/>
    </w:pPr>
    <w:rPr>
      <w:rFonts w:ascii="Times New Roman" w:hAnsi="Times New Roman" w:eastAsia="仿宋" w:cs="Arial"/>
      <w:kern w:val="2"/>
      <w:sz w:val="24"/>
      <w:szCs w:val="21"/>
      <w:lang w:val="en-US" w:eastAsia="zh-CN" w:bidi="ar-SA"/>
    </w:rPr>
  </w:style>
  <w:style w:type="paragraph" w:styleId="3">
    <w:name w:val="heading 3"/>
    <w:next w:val="1"/>
    <w:qFormat/>
    <w:uiPriority w:val="0"/>
    <w:pPr>
      <w:keepNext/>
      <w:keepLines/>
      <w:spacing w:beforeLines="50" w:afterLines="50" w:line="360" w:lineRule="auto"/>
      <w:outlineLvl w:val="2"/>
    </w:pPr>
    <w:rPr>
      <w:rFonts w:ascii="Times New Roman" w:hAnsi="Times New Roman" w:eastAsia="宋体" w:cs="Times New Roman"/>
      <w:b/>
      <w:sz w:val="28"/>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rPr>
  </w:style>
  <w:style w:type="paragraph" w:styleId="4">
    <w:name w:val="Plain Text"/>
    <w:basedOn w:val="1"/>
    <w:link w:val="17"/>
    <w:qFormat/>
    <w:uiPriority w:val="0"/>
    <w:pPr>
      <w:topLinePunct w:val="0"/>
      <w:adjustRightInd/>
      <w:spacing w:line="240" w:lineRule="auto"/>
      <w:ind w:firstLine="0" w:firstLineChars="0"/>
    </w:pPr>
    <w:rPr>
      <w:rFonts w:ascii="Calibri" w:hAnsi="Courier New" w:eastAsia="宋体" w:cs="Courier New"/>
      <w:kern w:val="0"/>
      <w:sz w:val="20"/>
    </w:rPr>
  </w:style>
  <w:style w:type="paragraph" w:styleId="5">
    <w:name w:val="Balloon Text"/>
    <w:basedOn w:val="1"/>
    <w:link w:val="16"/>
    <w:qFormat/>
    <w:uiPriority w:val="0"/>
    <w:pPr>
      <w:spacing w:line="240" w:lineRule="auto"/>
    </w:pPr>
    <w:rPr>
      <w:sz w:val="18"/>
      <w:szCs w:val="18"/>
    </w:rPr>
  </w:style>
  <w:style w:type="paragraph" w:styleId="6">
    <w:name w:val="footer"/>
    <w:basedOn w:val="1"/>
    <w:link w:val="11"/>
    <w:unhideWhenUsed/>
    <w:qFormat/>
    <w:uiPriority w:val="99"/>
    <w:pPr>
      <w:widowControl w:val="0"/>
      <w:tabs>
        <w:tab w:val="center" w:pos="4153"/>
        <w:tab w:val="right" w:pos="8306"/>
      </w:tabs>
      <w:topLinePunct w:val="0"/>
      <w:adjustRightInd/>
      <w:snapToGrid w:val="0"/>
      <w:spacing w:line="240" w:lineRule="auto"/>
      <w:ind w:firstLine="0" w:firstLineChars="0"/>
    </w:pPr>
    <w:rPr>
      <w:rFonts w:eastAsia="宋体" w:cs="Times New Roman"/>
      <w:kern w:val="0"/>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10">
    <w:name w:val="List Paragraph"/>
    <w:basedOn w:val="1"/>
    <w:link w:val="15"/>
    <w:unhideWhenUsed/>
    <w:qFormat/>
    <w:uiPriority w:val="34"/>
    <w:pPr>
      <w:widowControl w:val="0"/>
      <w:topLinePunct w:val="0"/>
      <w:adjustRightInd/>
      <w:spacing w:line="240" w:lineRule="auto"/>
      <w:ind w:firstLine="420"/>
      <w:jc w:val="both"/>
    </w:pPr>
    <w:rPr>
      <w:rFonts w:eastAsia="宋体" w:cs="Times New Roman"/>
      <w:kern w:val="0"/>
      <w:szCs w:val="24"/>
    </w:rPr>
  </w:style>
  <w:style w:type="character" w:customStyle="1" w:styleId="11">
    <w:name w:val="页脚 字符"/>
    <w:basedOn w:val="9"/>
    <w:link w:val="6"/>
    <w:qFormat/>
    <w:uiPriority w:val="99"/>
    <w:rPr>
      <w:rFonts w:ascii="Times New Roman" w:hAnsi="Times New Roman" w:eastAsia="宋体" w:cs="Times New Roman"/>
      <w:sz w:val="18"/>
      <w:szCs w:val="18"/>
    </w:rPr>
  </w:style>
  <w:style w:type="paragraph" w:customStyle="1" w:styleId="12">
    <w:name w:val="12-E3-正文"/>
    <w:basedOn w:val="1"/>
    <w:qFormat/>
    <w:uiPriority w:val="0"/>
    <w:pPr>
      <w:widowControl w:val="0"/>
      <w:topLinePunct w:val="0"/>
      <w:ind w:firstLine="420" w:firstLineChars="0"/>
      <w:textAlignment w:val="baseline"/>
    </w:pPr>
    <w:rPr>
      <w:rFonts w:eastAsia="仿宋_GB2312" w:cs="Times New Roman"/>
      <w:kern w:val="0"/>
      <w:szCs w:val="20"/>
    </w:rPr>
  </w:style>
  <w:style w:type="paragraph" w:customStyle="1" w:styleId="13">
    <w:name w:val="招标_正文2b"/>
    <w:basedOn w:val="1"/>
    <w:qFormat/>
    <w:uiPriority w:val="0"/>
    <w:pPr>
      <w:widowControl w:val="0"/>
      <w:topLinePunct w:val="0"/>
      <w:adjustRightInd/>
      <w:ind w:firstLine="482"/>
      <w:jc w:val="both"/>
    </w:pPr>
    <w:rPr>
      <w:rFonts w:eastAsia="宋体" w:cs="Times New Roman"/>
      <w:b/>
      <w:bCs/>
      <w:kern w:val="0"/>
      <w:sz w:val="20"/>
      <w:szCs w:val="20"/>
    </w:rPr>
  </w:style>
  <w:style w:type="character" w:customStyle="1" w:styleId="14">
    <w:name w:val="页眉 字符"/>
    <w:basedOn w:val="9"/>
    <w:link w:val="7"/>
    <w:semiHidden/>
    <w:qFormat/>
    <w:uiPriority w:val="0"/>
    <w:rPr>
      <w:rFonts w:ascii="Times New Roman" w:hAnsi="Times New Roman" w:eastAsia="仿宋" w:cs="Arial"/>
      <w:kern w:val="2"/>
      <w:sz w:val="18"/>
      <w:szCs w:val="18"/>
    </w:rPr>
  </w:style>
  <w:style w:type="character" w:customStyle="1" w:styleId="15">
    <w:name w:val="列表段落 字符"/>
    <w:link w:val="10"/>
    <w:qFormat/>
    <w:uiPriority w:val="34"/>
    <w:rPr>
      <w:rFonts w:ascii="Times New Roman" w:hAnsi="Times New Roman" w:eastAsia="宋体" w:cs="Times New Roman"/>
      <w:sz w:val="24"/>
      <w:szCs w:val="24"/>
    </w:rPr>
  </w:style>
  <w:style w:type="character" w:customStyle="1" w:styleId="16">
    <w:name w:val="批注框文本 字符"/>
    <w:basedOn w:val="9"/>
    <w:link w:val="5"/>
    <w:qFormat/>
    <w:uiPriority w:val="0"/>
    <w:rPr>
      <w:rFonts w:ascii="Times New Roman" w:hAnsi="Times New Roman" w:eastAsia="仿宋" w:cs="Arial"/>
      <w:kern w:val="2"/>
      <w:sz w:val="18"/>
      <w:szCs w:val="18"/>
    </w:rPr>
  </w:style>
  <w:style w:type="character" w:customStyle="1" w:styleId="17">
    <w:name w:val="纯文本 字符"/>
    <w:link w:val="4"/>
    <w:qFormat/>
    <w:uiPriority w:val="0"/>
    <w:rPr>
      <w:rFonts w:ascii="Calibri" w:hAnsi="Courier New" w:eastAsia="宋体" w:cs="Courier New"/>
      <w:szCs w:val="21"/>
    </w:rPr>
  </w:style>
  <w:style w:type="character" w:customStyle="1" w:styleId="18">
    <w:name w:val="纯文本 字符1"/>
    <w:basedOn w:val="9"/>
    <w:semiHidden/>
    <w:qFormat/>
    <w:uiPriority w:val="0"/>
    <w:rPr>
      <w:rFonts w:hAnsi="Courier New" w:cs="Courier New" w:asciiTheme="minorEastAsia"/>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3000</Words>
  <Characters>3421</Characters>
  <Lines>43</Lines>
  <Paragraphs>12</Paragraphs>
  <TotalTime>3</TotalTime>
  <ScaleCrop>false</ScaleCrop>
  <LinksUpToDate>false</LinksUpToDate>
  <CharactersWithSpaces>3445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2022-01-10T14:00:00Z</dcterms:created>
  <dc:creator>A</dc:creator>
  <cp:lastModifiedBy>A宏安-刘玉金</cp:lastModifiedBy>
  <dcterms:modified xsi:type="dcterms:W3CDTF">2024-08-19T08:46:47Z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7FCE39471BC643AE8589FCE51528F80D</vt:lpwstr>
  </property>
</Properties>
</file>