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4A32D">
      <w:pPr>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国家税务总局</w:t>
      </w:r>
      <w:r>
        <w:rPr>
          <w:rFonts w:hint="eastAsia" w:ascii="宋体" w:hAnsi="宋体" w:eastAsia="宋体" w:cs="宋体"/>
          <w:b/>
          <w:bCs/>
          <w:color w:val="000000"/>
          <w:kern w:val="0"/>
          <w:sz w:val="32"/>
          <w:szCs w:val="32"/>
          <w:lang w:eastAsia="zh-CN"/>
        </w:rPr>
        <w:t>那曲市</w:t>
      </w:r>
      <w:r>
        <w:rPr>
          <w:rFonts w:hint="eastAsia" w:ascii="宋体" w:hAnsi="宋体" w:eastAsia="宋体" w:cs="宋体"/>
          <w:b/>
          <w:bCs/>
          <w:color w:val="000000"/>
          <w:kern w:val="0"/>
          <w:sz w:val="32"/>
          <w:szCs w:val="32"/>
        </w:rPr>
        <w:t>税务局视频会议系统设备采购项目</w:t>
      </w:r>
    </w:p>
    <w:p w14:paraId="0EE1800C">
      <w:pPr>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竞价文件</w:t>
      </w:r>
    </w:p>
    <w:p w14:paraId="2B0408BA">
      <w:pPr>
        <w:jc w:val="center"/>
        <w:rPr>
          <w:rFonts w:ascii="宋体" w:hAnsi="宋体" w:eastAsia="宋体" w:cs="宋体"/>
          <w:b/>
          <w:bCs/>
          <w:color w:val="000000"/>
          <w:kern w:val="0"/>
          <w:sz w:val="32"/>
          <w:szCs w:val="32"/>
        </w:rPr>
      </w:pPr>
    </w:p>
    <w:p w14:paraId="144CF0B0">
      <w:pPr>
        <w:pStyle w:val="8"/>
        <w:numPr>
          <w:ilvl w:val="0"/>
          <w:numId w:val="1"/>
        </w:numPr>
        <w:ind w:firstLineChars="0"/>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项目概述：</w:t>
      </w:r>
    </w:p>
    <w:p w14:paraId="70CE789E">
      <w:pPr>
        <w:ind w:firstLine="640" w:firstLineChars="200"/>
        <w:jc w:val="left"/>
        <w:rPr>
          <w:rFonts w:ascii="宋体" w:hAnsi="宋体" w:eastAsia="宋体" w:cs="宋体"/>
          <w:bCs/>
          <w:color w:val="000000"/>
          <w:kern w:val="0"/>
          <w:sz w:val="32"/>
          <w:szCs w:val="32"/>
        </w:rPr>
      </w:pPr>
      <w:r>
        <w:rPr>
          <w:rFonts w:hint="eastAsia" w:ascii="宋体" w:hAnsi="宋体" w:eastAsia="宋体" w:cs="宋体"/>
          <w:bCs/>
          <w:color w:val="000000"/>
          <w:kern w:val="0"/>
          <w:sz w:val="32"/>
          <w:szCs w:val="32"/>
        </w:rPr>
        <w:t>我局视频会议系统现有中兴</w:t>
      </w:r>
      <w:r>
        <w:rPr>
          <w:rFonts w:hint="eastAsia" w:ascii="宋体" w:hAnsi="宋体" w:eastAsia="宋体" w:cs="宋体"/>
          <w:bCs/>
          <w:color w:val="000000"/>
          <w:kern w:val="0"/>
          <w:sz w:val="32"/>
          <w:szCs w:val="32"/>
          <w:lang w:val="en-US" w:eastAsia="zh-CN"/>
        </w:rPr>
        <w:t>ZX</w:t>
      </w:r>
      <w:r>
        <w:rPr>
          <w:rFonts w:hint="eastAsia" w:ascii="宋体" w:hAnsi="宋体" w:eastAsia="宋体" w:cs="宋体"/>
          <w:bCs/>
          <w:color w:val="000000"/>
          <w:kern w:val="0"/>
          <w:sz w:val="32"/>
          <w:szCs w:val="32"/>
        </w:rPr>
        <w:t>M</w:t>
      </w:r>
      <w:r>
        <w:rPr>
          <w:rFonts w:hint="eastAsia" w:ascii="宋体" w:hAnsi="宋体" w:eastAsia="宋体" w:cs="宋体"/>
          <w:bCs/>
          <w:color w:val="000000"/>
          <w:kern w:val="0"/>
          <w:sz w:val="32"/>
          <w:szCs w:val="32"/>
          <w:lang w:val="en-US" w:eastAsia="zh-CN"/>
        </w:rPr>
        <w:t xml:space="preserve">VC </w:t>
      </w:r>
      <w:r>
        <w:rPr>
          <w:rFonts w:ascii="宋体" w:hAnsi="宋体" w:eastAsia="宋体" w:cs="宋体"/>
          <w:bCs/>
          <w:color w:val="000000"/>
          <w:kern w:val="0"/>
          <w:sz w:val="32"/>
          <w:szCs w:val="32"/>
        </w:rPr>
        <w:t xml:space="preserve">8900 </w:t>
      </w:r>
      <w:r>
        <w:rPr>
          <w:rFonts w:hint="eastAsia" w:ascii="宋体" w:hAnsi="宋体" w:eastAsia="宋体" w:cs="宋体"/>
          <w:bCs/>
          <w:color w:val="000000"/>
          <w:kern w:val="0"/>
          <w:sz w:val="32"/>
          <w:szCs w:val="32"/>
        </w:rPr>
        <w:t>MCU设备已投入使用1</w:t>
      </w:r>
      <w:r>
        <w:rPr>
          <w:rFonts w:ascii="宋体" w:hAnsi="宋体" w:eastAsia="宋体" w:cs="宋体"/>
          <w:bCs/>
          <w:color w:val="000000"/>
          <w:kern w:val="0"/>
          <w:sz w:val="32"/>
          <w:szCs w:val="32"/>
        </w:rPr>
        <w:t>0余年，设备虽经多次升级，但依旧老化严重，设备生产厂家已停止提供保修服务。近期MCU设备</w:t>
      </w:r>
      <w:r>
        <w:rPr>
          <w:rFonts w:hint="eastAsia" w:ascii="宋体" w:hAnsi="宋体" w:eastAsia="宋体" w:cs="宋体"/>
          <w:bCs/>
          <w:color w:val="000000"/>
          <w:kern w:val="0"/>
          <w:sz w:val="32"/>
          <w:szCs w:val="32"/>
          <w:lang w:eastAsia="zh-CN"/>
        </w:rPr>
        <w:t>不间断</w:t>
      </w:r>
      <w:r>
        <w:rPr>
          <w:rFonts w:ascii="宋体" w:hAnsi="宋体" w:eastAsia="宋体" w:cs="宋体"/>
          <w:bCs/>
          <w:color w:val="000000"/>
          <w:kern w:val="0"/>
          <w:sz w:val="32"/>
          <w:szCs w:val="32"/>
        </w:rPr>
        <w:t>出现</w:t>
      </w:r>
      <w:r>
        <w:rPr>
          <w:rFonts w:hint="eastAsia" w:ascii="宋体" w:hAnsi="宋体" w:eastAsia="宋体" w:cs="宋体"/>
          <w:bCs/>
          <w:color w:val="000000"/>
          <w:kern w:val="0"/>
          <w:sz w:val="32"/>
          <w:szCs w:val="32"/>
        </w:rPr>
        <w:t>故障，经工程师检查无法修复，严重影响我局正常税务会议工作的开展，须紧急采购MCU设备及管理软件系统，本项目包含设备采购、安装及三年维保服务。</w:t>
      </w:r>
    </w:p>
    <w:p w14:paraId="7D330DE0">
      <w:pPr>
        <w:pStyle w:val="8"/>
        <w:numPr>
          <w:ilvl w:val="0"/>
          <w:numId w:val="1"/>
        </w:numPr>
        <w:ind w:firstLineChars="0"/>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技术要求：</w:t>
      </w:r>
    </w:p>
    <w:p w14:paraId="786BEBA1">
      <w:pPr>
        <w:pStyle w:val="8"/>
        <w:numPr>
          <w:ilvl w:val="0"/>
          <w:numId w:val="2"/>
        </w:numPr>
        <w:ind w:firstLineChars="0"/>
        <w:rPr>
          <w:rFonts w:ascii="宋体" w:hAnsi="宋体" w:eastAsia="宋体" w:cs="宋体"/>
          <w:b/>
          <w:bCs/>
          <w:color w:val="000000"/>
          <w:kern w:val="0"/>
          <w:sz w:val="32"/>
          <w:szCs w:val="32"/>
        </w:rPr>
      </w:pPr>
      <w:r>
        <w:rPr>
          <w:rFonts w:hint="eastAsia" w:ascii="宋体" w:hAnsi="宋体" w:eastAsia="宋体" w:cs="宋体"/>
          <w:bCs/>
          <w:color w:val="000000"/>
          <w:kern w:val="0"/>
          <w:sz w:val="32"/>
          <w:szCs w:val="32"/>
        </w:rPr>
        <w:t>招标需求中的所有参数为最低技术参数，投标产品的技术参数必须全部符合或高于招标参数，不得有负偏离。供应商必须按照文件的要求做出实质性响应， 若不响应视为无效投标。</w:t>
      </w:r>
    </w:p>
    <w:p w14:paraId="389AD019">
      <w:pPr>
        <w:pStyle w:val="8"/>
        <w:numPr>
          <w:ilvl w:val="0"/>
          <w:numId w:val="2"/>
        </w:numPr>
        <w:ind w:firstLineChars="0"/>
        <w:rPr>
          <w:rFonts w:ascii="宋体" w:hAnsi="宋体" w:eastAsia="宋体" w:cs="宋体"/>
          <w:b/>
          <w:bCs/>
          <w:color w:val="000000"/>
          <w:kern w:val="0"/>
          <w:sz w:val="32"/>
          <w:szCs w:val="32"/>
        </w:rPr>
      </w:pPr>
      <w:r>
        <w:rPr>
          <w:rFonts w:hint="eastAsia" w:ascii="宋体" w:hAnsi="宋体" w:eastAsia="宋体" w:cs="宋体"/>
          <w:bCs/>
          <w:color w:val="000000"/>
          <w:kern w:val="0"/>
          <w:sz w:val="32"/>
          <w:szCs w:val="32"/>
        </w:rPr>
        <w:t>供应商提供的MCU设备及视频会议管理平台软件必须与用户现有本地视频会议系统完全融合，与我市下属区县视频会议系统完全兼容，通过视频会议管理平台统一管理控制。</w:t>
      </w:r>
    </w:p>
    <w:p w14:paraId="512E6D00">
      <w:pPr>
        <w:pStyle w:val="8"/>
        <w:numPr>
          <w:ilvl w:val="0"/>
          <w:numId w:val="2"/>
        </w:numPr>
        <w:ind w:firstLineChars="0"/>
        <w:rPr>
          <w:rFonts w:ascii="宋体" w:hAnsi="宋体" w:eastAsia="宋体" w:cs="宋体"/>
          <w:b/>
          <w:bCs/>
          <w:color w:val="000000"/>
          <w:kern w:val="0"/>
          <w:sz w:val="32"/>
          <w:szCs w:val="32"/>
        </w:rPr>
      </w:pPr>
      <w:r>
        <w:rPr>
          <w:rFonts w:hint="eastAsia" w:ascii="宋体" w:hAnsi="宋体" w:eastAsia="宋体" w:cs="宋体"/>
          <w:bCs/>
          <w:color w:val="000000"/>
          <w:kern w:val="0"/>
          <w:sz w:val="32"/>
          <w:szCs w:val="32"/>
        </w:rPr>
        <w:t>供应商提供的MCU设备及视频会议管理平台软件</w:t>
      </w:r>
      <w:r>
        <w:rPr>
          <w:rFonts w:ascii="宋体" w:hAnsi="宋体" w:eastAsia="宋体" w:cs="宋体"/>
          <w:bCs/>
          <w:color w:val="000000"/>
          <w:kern w:val="0"/>
          <w:sz w:val="32"/>
          <w:szCs w:val="32"/>
        </w:rPr>
        <w:t>须纳入上级西藏自治区税务局现有视频会议系统管理平台，实现统一管理控制，相关配合协调工作及设备调试等费用由供应商自行承担。</w:t>
      </w:r>
    </w:p>
    <w:p w14:paraId="7C081F46">
      <w:pPr>
        <w:pStyle w:val="8"/>
        <w:numPr>
          <w:ilvl w:val="0"/>
          <w:numId w:val="1"/>
        </w:numPr>
        <w:ind w:firstLineChars="0"/>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报价要求：</w:t>
      </w:r>
    </w:p>
    <w:p w14:paraId="44357862">
      <w:pPr>
        <w:pStyle w:val="8"/>
        <w:numPr>
          <w:ilvl w:val="0"/>
          <w:numId w:val="3"/>
        </w:numPr>
        <w:ind w:firstLineChars="0"/>
        <w:rPr>
          <w:rFonts w:ascii="宋体" w:hAnsi="宋体" w:eastAsia="宋体" w:cs="宋体"/>
          <w:bCs/>
          <w:color w:val="000000"/>
          <w:kern w:val="0"/>
          <w:sz w:val="32"/>
          <w:szCs w:val="32"/>
        </w:rPr>
      </w:pPr>
      <w:r>
        <w:rPr>
          <w:rFonts w:hint="eastAsia" w:ascii="宋体" w:hAnsi="宋体" w:eastAsia="宋体" w:cs="宋体"/>
          <w:bCs/>
          <w:color w:val="000000"/>
          <w:kern w:val="0"/>
          <w:sz w:val="32"/>
          <w:szCs w:val="32"/>
        </w:rPr>
        <w:t>供应商应对本项目中的所有需求货物进行报价，提供报价明细单，报价产品必须提供具体品牌及型号，不得漏报，否则作无效报价处理。</w:t>
      </w:r>
    </w:p>
    <w:p w14:paraId="1C212A04">
      <w:pPr>
        <w:pStyle w:val="8"/>
        <w:numPr>
          <w:ilvl w:val="0"/>
          <w:numId w:val="3"/>
        </w:numPr>
        <w:ind w:firstLineChars="0"/>
        <w:rPr>
          <w:rFonts w:ascii="宋体" w:hAnsi="宋体" w:eastAsia="宋体" w:cs="宋体"/>
          <w:bCs/>
          <w:color w:val="000000"/>
          <w:kern w:val="0"/>
          <w:sz w:val="32"/>
          <w:szCs w:val="32"/>
        </w:rPr>
      </w:pPr>
      <w:r>
        <w:rPr>
          <w:rFonts w:hint="eastAsia" w:ascii="宋体" w:hAnsi="宋体" w:eastAsia="宋体" w:cs="宋体"/>
          <w:bCs/>
          <w:color w:val="000000"/>
          <w:kern w:val="0"/>
          <w:sz w:val="32"/>
          <w:szCs w:val="32"/>
        </w:rPr>
        <w:t>因本项目设备必须与采购人现有视频会议系统及上级视频会议系统统一管理控制，供应商应对项目现场进行踏勘，但踏勘费用由供应商自行承担。供应商在报价时应充分考虑现场实际情况，采购人不负担因供应商对项目现场情况考虑不周而产生的其他任何费用。参与现场勘察人员均需提供：加盖单位公章的《现场勘查确认函》、个人身份证复印件。资料不全者，采购人有权不予受理；各供应商参加勘察现场人员最多不超过2人，并服从采购人管理和安排。现场勘查后，采购人对供应商的《现场勘查确认函》签字确认。供应商投标时将经采购人签字确认的《现场勘查确认函》扫描上传。未到现场进行实地勘验，未上传经采购人签字确认的《现场勘查确认函》视为未响应招标文件要求，将作废标处理。</w:t>
      </w:r>
    </w:p>
    <w:p w14:paraId="55A1CBF6">
      <w:pPr>
        <w:pStyle w:val="8"/>
        <w:numPr>
          <w:ilvl w:val="0"/>
          <w:numId w:val="3"/>
        </w:numPr>
        <w:ind w:firstLineChars="0"/>
        <w:rPr>
          <w:rFonts w:ascii="宋体" w:hAnsi="宋体" w:eastAsia="宋体" w:cs="宋体"/>
          <w:bCs/>
          <w:color w:val="000000"/>
          <w:kern w:val="0"/>
          <w:sz w:val="32"/>
          <w:szCs w:val="32"/>
        </w:rPr>
      </w:pPr>
      <w:r>
        <w:rPr>
          <w:rFonts w:hint="eastAsia" w:ascii="宋体" w:hAnsi="宋体" w:eastAsia="宋体" w:cs="宋体"/>
          <w:bCs/>
          <w:color w:val="000000"/>
          <w:kern w:val="0"/>
          <w:sz w:val="32"/>
          <w:szCs w:val="32"/>
        </w:rPr>
        <w:t>本项目应以人民币报价，报价总价包括：货物费、运输费、配件费、安装调试费、配件线材费、安装耗材费、质量保证费、培训费、服务费、货物本身已支付或将支付的各种税费以及其他交付用户使用前所产生的所有费用。</w:t>
      </w:r>
    </w:p>
    <w:p w14:paraId="18B6AF19">
      <w:pPr>
        <w:pStyle w:val="8"/>
        <w:numPr>
          <w:ilvl w:val="0"/>
          <w:numId w:val="1"/>
        </w:numPr>
        <w:ind w:firstLineChars="0"/>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工期要求：</w:t>
      </w:r>
    </w:p>
    <w:p w14:paraId="6B8B5B0C">
      <w:pPr>
        <w:pStyle w:val="8"/>
        <w:ind w:left="1363" w:firstLine="0" w:firstLineChars="0"/>
        <w:rPr>
          <w:rFonts w:ascii="宋体" w:hAnsi="宋体" w:eastAsia="宋体" w:cs="宋体"/>
          <w:bCs/>
          <w:color w:val="000000"/>
          <w:kern w:val="0"/>
          <w:sz w:val="32"/>
          <w:szCs w:val="32"/>
        </w:rPr>
      </w:pPr>
      <w:r>
        <w:rPr>
          <w:rFonts w:ascii="宋体" w:hAnsi="宋体" w:eastAsia="宋体" w:cs="宋体"/>
          <w:bCs/>
          <w:color w:val="000000"/>
          <w:kern w:val="0"/>
          <w:sz w:val="32"/>
          <w:szCs w:val="32"/>
        </w:rPr>
        <w:t>合同签定后</w:t>
      </w:r>
      <w:r>
        <w:rPr>
          <w:rFonts w:hint="eastAsia" w:ascii="宋体" w:hAnsi="宋体" w:eastAsia="宋体" w:cs="宋体"/>
          <w:bCs/>
          <w:color w:val="000000"/>
          <w:kern w:val="0"/>
          <w:sz w:val="32"/>
          <w:szCs w:val="32"/>
          <w:lang w:val="en-US" w:eastAsia="zh-CN"/>
        </w:rPr>
        <w:t>5</w:t>
      </w:r>
      <w:r>
        <w:rPr>
          <w:rFonts w:hint="eastAsia" w:ascii="宋体" w:hAnsi="宋体" w:eastAsia="宋体" w:cs="宋体"/>
          <w:bCs/>
          <w:color w:val="000000"/>
          <w:kern w:val="0"/>
          <w:sz w:val="32"/>
          <w:szCs w:val="32"/>
        </w:rPr>
        <w:t>天内完成设备到货验收及系统的安装、调试等工作，并经采购人初验合格。</w:t>
      </w:r>
    </w:p>
    <w:p w14:paraId="20B86ADC">
      <w:pPr>
        <w:pStyle w:val="8"/>
        <w:numPr>
          <w:ilvl w:val="0"/>
          <w:numId w:val="1"/>
        </w:numPr>
        <w:ind w:firstLineChars="0"/>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付款条件：</w:t>
      </w:r>
    </w:p>
    <w:p w14:paraId="6F7B588A">
      <w:pPr>
        <w:pStyle w:val="8"/>
        <w:ind w:left="1363" w:firstLine="0" w:firstLineChars="0"/>
        <w:rPr>
          <w:rFonts w:ascii="宋体" w:hAnsi="宋体" w:eastAsia="宋体" w:cs="宋体"/>
          <w:bCs/>
          <w:color w:val="000000"/>
          <w:kern w:val="0"/>
          <w:sz w:val="32"/>
          <w:szCs w:val="32"/>
        </w:rPr>
      </w:pPr>
      <w:r>
        <w:rPr>
          <w:rFonts w:ascii="宋体" w:hAnsi="宋体" w:eastAsia="宋体" w:cs="宋体"/>
          <w:bCs/>
          <w:color w:val="000000"/>
          <w:kern w:val="0"/>
          <w:sz w:val="32"/>
          <w:szCs w:val="32"/>
        </w:rPr>
        <w:t>本项目</w:t>
      </w:r>
      <w:r>
        <w:rPr>
          <w:rFonts w:hint="eastAsia" w:ascii="宋体" w:hAnsi="宋体" w:eastAsia="宋体" w:cs="宋体"/>
          <w:bCs/>
          <w:color w:val="000000"/>
          <w:kern w:val="0"/>
          <w:sz w:val="32"/>
          <w:szCs w:val="32"/>
        </w:rPr>
        <w:t>无预付款，签署合同，设备到货并完成安装调试，经双方初验合格，正常运行</w:t>
      </w:r>
      <w:r>
        <w:rPr>
          <w:rFonts w:hint="eastAsia" w:ascii="宋体" w:hAnsi="宋体" w:eastAsia="宋体" w:cs="宋体"/>
          <w:bCs/>
          <w:color w:val="000000"/>
          <w:kern w:val="0"/>
          <w:sz w:val="32"/>
          <w:szCs w:val="32"/>
          <w:lang w:val="en-US" w:eastAsia="zh-CN"/>
        </w:rPr>
        <w:t>一周</w:t>
      </w:r>
      <w:r>
        <w:rPr>
          <w:rFonts w:hint="eastAsia" w:ascii="宋体" w:hAnsi="宋体" w:eastAsia="宋体" w:cs="宋体"/>
          <w:bCs/>
          <w:color w:val="000000"/>
          <w:kern w:val="0"/>
          <w:sz w:val="32"/>
          <w:szCs w:val="32"/>
        </w:rPr>
        <w:t>后，供应商开具合同全额发票，采购人一次性支付</w:t>
      </w:r>
      <w:r>
        <w:rPr>
          <w:rFonts w:hint="eastAsia" w:ascii="宋体" w:hAnsi="宋体" w:eastAsia="宋体" w:cs="宋体"/>
          <w:bCs/>
          <w:color w:val="000000"/>
          <w:kern w:val="0"/>
          <w:sz w:val="32"/>
          <w:szCs w:val="32"/>
          <w:lang w:val="en-US" w:eastAsia="zh-CN"/>
        </w:rPr>
        <w:t>95%</w:t>
      </w:r>
      <w:r>
        <w:rPr>
          <w:rFonts w:hint="eastAsia" w:ascii="宋体" w:hAnsi="宋体" w:eastAsia="宋体" w:cs="宋体"/>
          <w:bCs/>
          <w:color w:val="000000"/>
          <w:kern w:val="0"/>
          <w:sz w:val="32"/>
          <w:szCs w:val="32"/>
        </w:rPr>
        <w:t>合同款</w:t>
      </w:r>
      <w:r>
        <w:rPr>
          <w:rFonts w:hint="eastAsia" w:ascii="宋体" w:hAnsi="宋体" w:eastAsia="宋体" w:cs="宋体"/>
          <w:bCs/>
          <w:color w:val="000000"/>
          <w:kern w:val="0"/>
          <w:sz w:val="32"/>
          <w:szCs w:val="32"/>
          <w:lang w:eastAsia="zh-CN"/>
        </w:rPr>
        <w:t>，保留</w:t>
      </w:r>
      <w:r>
        <w:rPr>
          <w:rFonts w:hint="eastAsia" w:ascii="宋体" w:hAnsi="宋体" w:eastAsia="宋体" w:cs="宋体"/>
          <w:bCs/>
          <w:color w:val="000000"/>
          <w:kern w:val="0"/>
          <w:sz w:val="32"/>
          <w:szCs w:val="32"/>
          <w:lang w:val="en-US" w:eastAsia="zh-CN"/>
        </w:rPr>
        <w:t>5%的质保金，合同签订之日起一年后支付质保金</w:t>
      </w:r>
      <w:r>
        <w:rPr>
          <w:rFonts w:hint="eastAsia" w:ascii="宋体" w:hAnsi="宋体" w:eastAsia="宋体" w:cs="宋体"/>
          <w:bCs/>
          <w:color w:val="000000"/>
          <w:kern w:val="0"/>
          <w:sz w:val="32"/>
          <w:szCs w:val="32"/>
        </w:rPr>
        <w:t>。</w:t>
      </w:r>
    </w:p>
    <w:p w14:paraId="74F2FD3C">
      <w:pPr>
        <w:pStyle w:val="8"/>
        <w:numPr>
          <w:ilvl w:val="0"/>
          <w:numId w:val="1"/>
        </w:numPr>
        <w:ind w:firstLineChars="0"/>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其他要求：</w:t>
      </w:r>
    </w:p>
    <w:p w14:paraId="357F595B">
      <w:pPr>
        <w:pStyle w:val="8"/>
        <w:numPr>
          <w:ilvl w:val="0"/>
          <w:numId w:val="4"/>
        </w:numPr>
        <w:ind w:firstLine="0" w:firstLineChars="0"/>
        <w:rPr>
          <w:rFonts w:ascii="宋体" w:hAnsi="宋体" w:eastAsia="宋体" w:cs="宋体"/>
          <w:bCs/>
          <w:color w:val="000000"/>
          <w:kern w:val="0"/>
          <w:sz w:val="32"/>
          <w:szCs w:val="32"/>
        </w:rPr>
      </w:pPr>
      <w:r>
        <w:rPr>
          <w:rFonts w:hint="eastAsia" w:ascii="宋体" w:hAnsi="宋体" w:eastAsia="宋体" w:cs="宋体"/>
          <w:bCs/>
          <w:color w:val="000000"/>
          <w:kern w:val="0"/>
          <w:sz w:val="32"/>
          <w:szCs w:val="32"/>
        </w:rPr>
        <w:t>供应商具备税务云平台在线竞价供货商资质。</w:t>
      </w:r>
    </w:p>
    <w:p w14:paraId="743CABC1">
      <w:pPr>
        <w:pStyle w:val="8"/>
        <w:numPr>
          <w:ilvl w:val="0"/>
          <w:numId w:val="4"/>
        </w:numPr>
        <w:ind w:firstLine="0" w:firstLineChars="0"/>
        <w:rPr>
          <w:rFonts w:ascii="宋体" w:hAnsi="宋体" w:eastAsia="宋体" w:cs="宋体"/>
          <w:bCs/>
          <w:color w:val="000000"/>
          <w:kern w:val="0"/>
          <w:sz w:val="32"/>
          <w:szCs w:val="32"/>
        </w:rPr>
      </w:pPr>
      <w:r>
        <w:rPr>
          <w:rFonts w:hint="eastAsia" w:ascii="宋体" w:hAnsi="宋体" w:eastAsia="宋体" w:cs="宋体"/>
          <w:bCs/>
          <w:color w:val="000000"/>
          <w:kern w:val="0"/>
          <w:sz w:val="32"/>
          <w:szCs w:val="32"/>
        </w:rPr>
        <w:t>中标后供货商不能毁约，否则我单位有权追究其法律责任。采购人将在供应商供货时对货物进行验收，验收包括货物的型号、规格、数量、外观质量、性能功能等是否符合规定，包装是否完好，用户手册、原厂质保函、随机资料及配件、随机工具等相关内容是否齐全。</w:t>
      </w:r>
    </w:p>
    <w:p w14:paraId="6637A511">
      <w:pPr>
        <w:pStyle w:val="8"/>
        <w:numPr>
          <w:ilvl w:val="0"/>
          <w:numId w:val="4"/>
        </w:numPr>
        <w:ind w:firstLine="0" w:firstLineChars="0"/>
        <w:rPr>
          <w:rFonts w:ascii="宋体" w:hAnsi="宋体" w:eastAsia="宋体" w:cs="宋体"/>
          <w:bCs/>
          <w:color w:val="000000"/>
          <w:kern w:val="0"/>
          <w:sz w:val="32"/>
          <w:szCs w:val="32"/>
        </w:rPr>
      </w:pPr>
      <w:r>
        <w:rPr>
          <w:rFonts w:hint="eastAsia" w:ascii="宋体" w:hAnsi="宋体" w:eastAsia="宋体" w:cs="宋体"/>
          <w:bCs/>
          <w:color w:val="000000"/>
          <w:kern w:val="0"/>
          <w:sz w:val="32"/>
          <w:szCs w:val="32"/>
        </w:rPr>
        <w:t>验收标准：技术性能参数要求必须全部满足，不得有负偏离。若合同签署后供应商所供货物不满足各项要求和指标，产品不能通过验收，采购方有权终止合同，并且有权要求退赔。</w:t>
      </w:r>
    </w:p>
    <w:p w14:paraId="2878DE11">
      <w:pPr>
        <w:pStyle w:val="8"/>
        <w:numPr>
          <w:ilvl w:val="0"/>
          <w:numId w:val="4"/>
        </w:numPr>
        <w:ind w:firstLine="0" w:firstLineChars="0"/>
        <w:rPr>
          <w:rFonts w:ascii="宋体" w:hAnsi="宋体" w:eastAsia="宋体" w:cs="宋体"/>
          <w:bCs/>
          <w:color w:val="000000"/>
          <w:kern w:val="0"/>
          <w:sz w:val="32"/>
          <w:szCs w:val="32"/>
        </w:rPr>
      </w:pPr>
      <w:r>
        <w:rPr>
          <w:rFonts w:hint="eastAsia" w:ascii="宋体" w:hAnsi="宋体" w:eastAsia="宋体" w:cs="宋体"/>
          <w:bCs/>
          <w:color w:val="000000"/>
          <w:kern w:val="0"/>
          <w:sz w:val="32"/>
          <w:szCs w:val="32"/>
        </w:rPr>
        <w:t>供应商验收时须提供设备原厂项目授权，否则无效。</w:t>
      </w:r>
    </w:p>
    <w:p w14:paraId="3F0D7BB4">
      <w:pPr>
        <w:pStyle w:val="8"/>
        <w:numPr>
          <w:ilvl w:val="0"/>
          <w:numId w:val="4"/>
        </w:numPr>
        <w:ind w:firstLine="0" w:firstLineChars="0"/>
        <w:rPr>
          <w:rFonts w:ascii="宋体" w:hAnsi="宋体" w:eastAsia="宋体" w:cs="宋体"/>
          <w:bCs/>
          <w:color w:val="000000"/>
          <w:kern w:val="0"/>
          <w:sz w:val="32"/>
          <w:szCs w:val="32"/>
        </w:rPr>
      </w:pPr>
      <w:r>
        <w:rPr>
          <w:rFonts w:hint="eastAsia" w:ascii="宋体" w:hAnsi="宋体" w:eastAsia="宋体" w:cs="宋体"/>
          <w:bCs/>
          <w:color w:val="000000"/>
          <w:kern w:val="0"/>
          <w:sz w:val="32"/>
          <w:szCs w:val="32"/>
        </w:rPr>
        <w:t>供应商提供的货物应包含</w:t>
      </w:r>
      <w:r>
        <w:rPr>
          <w:rFonts w:ascii="宋体" w:hAnsi="宋体" w:eastAsia="宋体" w:cs="宋体"/>
          <w:bCs/>
          <w:color w:val="000000"/>
          <w:kern w:val="0"/>
          <w:sz w:val="32"/>
          <w:szCs w:val="32"/>
        </w:rPr>
        <w:t>3</w:t>
      </w:r>
      <w:r>
        <w:rPr>
          <w:rFonts w:hint="eastAsia" w:ascii="宋体" w:hAnsi="宋体" w:eastAsia="宋体" w:cs="宋体"/>
          <w:bCs/>
          <w:color w:val="000000"/>
          <w:kern w:val="0"/>
          <w:sz w:val="32"/>
          <w:szCs w:val="32"/>
        </w:rPr>
        <w:t>年免费软硬件质保服务。</w:t>
      </w:r>
    </w:p>
    <w:p w14:paraId="7FDAE099">
      <w:pPr>
        <w:pStyle w:val="8"/>
        <w:numPr>
          <w:ilvl w:val="0"/>
          <w:numId w:val="4"/>
        </w:numPr>
        <w:ind w:firstLine="0" w:firstLineChars="0"/>
        <w:rPr>
          <w:rFonts w:ascii="宋体" w:hAnsi="宋体" w:eastAsia="宋体" w:cs="宋体"/>
          <w:bCs/>
          <w:color w:val="000000"/>
          <w:kern w:val="0"/>
          <w:sz w:val="32"/>
          <w:szCs w:val="32"/>
        </w:rPr>
      </w:pPr>
      <w:r>
        <w:rPr>
          <w:rFonts w:hint="eastAsia" w:ascii="宋体" w:hAnsi="宋体" w:eastAsia="宋体" w:cs="宋体"/>
          <w:bCs/>
          <w:color w:val="000000"/>
          <w:kern w:val="0"/>
          <w:sz w:val="32"/>
          <w:szCs w:val="32"/>
        </w:rPr>
        <w:t>若发现供应商存在未实质性响应竞价文件行为，将进行废标处理。供应商必须认真审核竞价文件所有要求，如明知不满足竞价文件对于品牌型号、商务条款、单位资质要求进行恶意竞争的，将根据《政采云平台电子卖场权益维护及纠纷处理规则》的规定处理。</w:t>
      </w:r>
    </w:p>
    <w:p w14:paraId="6FFCE572">
      <w:pPr>
        <w:pStyle w:val="8"/>
        <w:numPr>
          <w:ilvl w:val="0"/>
          <w:numId w:val="1"/>
        </w:numPr>
        <w:ind w:firstLineChars="0"/>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设备采购清单：</w:t>
      </w:r>
    </w:p>
    <w:p w14:paraId="32A3D9C4"/>
    <w:tbl>
      <w:tblPr>
        <w:tblStyle w:val="5"/>
        <w:tblW w:w="8532"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545"/>
        <w:gridCol w:w="5387"/>
        <w:gridCol w:w="740"/>
      </w:tblGrid>
      <w:tr w14:paraId="411B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60" w:type="dxa"/>
            <w:shd w:val="clear" w:color="auto" w:fill="auto"/>
            <w:vAlign w:val="center"/>
          </w:tcPr>
          <w:p w14:paraId="2A42E4C9">
            <w:pPr>
              <w:widowControl/>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1545" w:type="dxa"/>
            <w:shd w:val="clear" w:color="auto" w:fill="auto"/>
            <w:vAlign w:val="center"/>
          </w:tcPr>
          <w:p w14:paraId="77E1E596">
            <w:pPr>
              <w:widowControl/>
              <w:jc w:val="center"/>
              <w:rPr>
                <w:rFonts w:ascii="仿宋" w:hAnsi="仿宋" w:eastAsia="仿宋" w:cs="宋体"/>
                <w:b/>
                <w:bCs/>
                <w:kern w:val="0"/>
                <w:szCs w:val="21"/>
              </w:rPr>
            </w:pPr>
            <w:r>
              <w:rPr>
                <w:rFonts w:hint="eastAsia" w:ascii="仿宋" w:hAnsi="仿宋" w:eastAsia="仿宋" w:cs="宋体"/>
                <w:b/>
                <w:bCs/>
                <w:kern w:val="0"/>
                <w:szCs w:val="21"/>
              </w:rPr>
              <w:t>设备名称</w:t>
            </w:r>
          </w:p>
        </w:tc>
        <w:tc>
          <w:tcPr>
            <w:tcW w:w="5387" w:type="dxa"/>
            <w:shd w:val="clear" w:color="auto" w:fill="auto"/>
            <w:vAlign w:val="center"/>
          </w:tcPr>
          <w:p w14:paraId="1D71F2B7">
            <w:pPr>
              <w:widowControl/>
              <w:jc w:val="center"/>
              <w:rPr>
                <w:rFonts w:ascii="仿宋" w:hAnsi="仿宋" w:eastAsia="仿宋" w:cs="宋体"/>
                <w:b/>
                <w:bCs/>
                <w:kern w:val="0"/>
                <w:szCs w:val="21"/>
              </w:rPr>
            </w:pPr>
            <w:r>
              <w:rPr>
                <w:rFonts w:hint="eastAsia" w:ascii="仿宋" w:hAnsi="仿宋" w:eastAsia="仿宋" w:cs="宋体"/>
                <w:b/>
                <w:bCs/>
                <w:kern w:val="0"/>
                <w:szCs w:val="21"/>
              </w:rPr>
              <w:t>要求</w:t>
            </w:r>
          </w:p>
        </w:tc>
        <w:tc>
          <w:tcPr>
            <w:tcW w:w="740" w:type="dxa"/>
            <w:shd w:val="clear" w:color="auto" w:fill="auto"/>
            <w:vAlign w:val="center"/>
          </w:tcPr>
          <w:p w14:paraId="7AEBE403">
            <w:pPr>
              <w:widowControl/>
              <w:jc w:val="center"/>
              <w:rPr>
                <w:rFonts w:ascii="仿宋" w:hAnsi="仿宋" w:eastAsia="仿宋" w:cs="宋体"/>
                <w:b/>
                <w:bCs/>
                <w:kern w:val="0"/>
                <w:szCs w:val="21"/>
              </w:rPr>
            </w:pPr>
            <w:r>
              <w:rPr>
                <w:rFonts w:hint="eastAsia" w:ascii="仿宋" w:hAnsi="仿宋" w:eastAsia="仿宋" w:cs="宋体"/>
                <w:b/>
                <w:bCs/>
                <w:kern w:val="0"/>
                <w:szCs w:val="21"/>
              </w:rPr>
              <w:t>数量</w:t>
            </w:r>
          </w:p>
        </w:tc>
      </w:tr>
      <w:tr w14:paraId="398E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860" w:type="dxa"/>
            <w:shd w:val="clear" w:color="auto" w:fill="auto"/>
            <w:vAlign w:val="center"/>
          </w:tcPr>
          <w:p w14:paraId="760780D7">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1545" w:type="dxa"/>
            <w:shd w:val="clear" w:color="auto" w:fill="auto"/>
            <w:vAlign w:val="center"/>
          </w:tcPr>
          <w:p w14:paraId="5F2F6B43">
            <w:pPr>
              <w:widowControl/>
              <w:jc w:val="left"/>
              <w:rPr>
                <w:rFonts w:ascii="仿宋" w:hAnsi="仿宋" w:eastAsia="仿宋" w:cs="宋体"/>
                <w:kern w:val="0"/>
                <w:szCs w:val="21"/>
              </w:rPr>
            </w:pPr>
            <w:r>
              <w:rPr>
                <w:rFonts w:hint="eastAsia" w:ascii="仿宋" w:hAnsi="仿宋" w:eastAsia="仿宋" w:cs="宋体"/>
                <w:kern w:val="0"/>
                <w:szCs w:val="21"/>
              </w:rPr>
              <w:t>高清MCU</w:t>
            </w:r>
          </w:p>
        </w:tc>
        <w:tc>
          <w:tcPr>
            <w:tcW w:w="5387" w:type="dxa"/>
            <w:shd w:val="clear" w:color="auto" w:fill="auto"/>
            <w:vAlign w:val="center"/>
          </w:tcPr>
          <w:p w14:paraId="6E52286F">
            <w:pPr>
              <w:widowControl/>
              <w:jc w:val="left"/>
              <w:rPr>
                <w:rFonts w:ascii="仿宋" w:hAnsi="仿宋" w:eastAsia="仿宋" w:cs="宋体"/>
                <w:kern w:val="0"/>
                <w:szCs w:val="21"/>
              </w:rPr>
            </w:pPr>
            <w:r>
              <w:rPr>
                <w:rFonts w:hint="eastAsia" w:ascii="仿宋" w:hAnsi="仿宋" w:eastAsia="仿宋" w:cs="宋体"/>
                <w:kern w:val="0"/>
                <w:szCs w:val="21"/>
              </w:rPr>
              <w:t>MCU基于电信级架构，采用插卡式设计，设备要求采用稳定性更强、安全性更好的嵌入式操作系统，非Windows，能够和符合国际标准的产品互通。MCU为大型容量设备。须至少支持1</w:t>
            </w:r>
            <w:r>
              <w:rPr>
                <w:rFonts w:hint="eastAsia" w:ascii="仿宋" w:hAnsi="仿宋" w:eastAsia="仿宋" w:cs="宋体"/>
                <w:kern w:val="0"/>
                <w:szCs w:val="21"/>
                <w:lang w:val="en-US" w:eastAsia="zh-CN"/>
              </w:rPr>
              <w:t>2</w:t>
            </w:r>
            <w:r>
              <w:rPr>
                <w:rFonts w:hint="eastAsia" w:ascii="仿宋" w:hAnsi="仿宋" w:eastAsia="仿宋" w:cs="宋体"/>
                <w:kern w:val="0"/>
                <w:szCs w:val="21"/>
              </w:rPr>
              <w:t>块单板，方便后续通过增加板卡扩容。</w:t>
            </w:r>
          </w:p>
        </w:tc>
        <w:tc>
          <w:tcPr>
            <w:tcW w:w="740" w:type="dxa"/>
            <w:shd w:val="clear" w:color="auto" w:fill="auto"/>
            <w:vAlign w:val="center"/>
          </w:tcPr>
          <w:p w14:paraId="2EBA10FF">
            <w:pPr>
              <w:widowControl/>
              <w:jc w:val="center"/>
              <w:rPr>
                <w:rFonts w:ascii="仿宋" w:hAnsi="仿宋" w:eastAsia="仿宋" w:cs="宋体"/>
                <w:kern w:val="0"/>
                <w:szCs w:val="21"/>
              </w:rPr>
            </w:pPr>
            <w:r>
              <w:rPr>
                <w:rFonts w:ascii="仿宋" w:hAnsi="仿宋" w:eastAsia="仿宋" w:cs="宋体"/>
                <w:kern w:val="0"/>
                <w:szCs w:val="21"/>
              </w:rPr>
              <w:t>1</w:t>
            </w:r>
          </w:p>
        </w:tc>
      </w:tr>
      <w:tr w14:paraId="6C7C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860" w:type="dxa"/>
            <w:shd w:val="clear" w:color="auto" w:fill="auto"/>
            <w:vAlign w:val="center"/>
          </w:tcPr>
          <w:p w14:paraId="6AF10540">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1545" w:type="dxa"/>
            <w:shd w:val="clear" w:color="auto" w:fill="auto"/>
            <w:vAlign w:val="center"/>
          </w:tcPr>
          <w:p w14:paraId="721C3362">
            <w:pPr>
              <w:widowControl/>
              <w:jc w:val="left"/>
              <w:rPr>
                <w:rFonts w:ascii="仿宋" w:hAnsi="仿宋" w:eastAsia="仿宋" w:cs="宋体"/>
                <w:kern w:val="0"/>
                <w:szCs w:val="21"/>
              </w:rPr>
            </w:pPr>
            <w:r>
              <w:rPr>
                <w:rFonts w:hint="eastAsia" w:ascii="仿宋" w:hAnsi="仿宋" w:eastAsia="仿宋" w:cs="宋体"/>
                <w:kern w:val="0"/>
                <w:szCs w:val="21"/>
              </w:rPr>
              <w:t>视频会议管理系统</w:t>
            </w:r>
          </w:p>
        </w:tc>
        <w:tc>
          <w:tcPr>
            <w:tcW w:w="5387" w:type="dxa"/>
            <w:shd w:val="clear" w:color="auto" w:fill="auto"/>
            <w:vAlign w:val="center"/>
          </w:tcPr>
          <w:p w14:paraId="3F98779A">
            <w:pPr>
              <w:widowControl/>
              <w:jc w:val="left"/>
              <w:rPr>
                <w:rFonts w:ascii="仿宋" w:hAnsi="仿宋" w:eastAsia="仿宋" w:cs="宋体"/>
                <w:kern w:val="0"/>
                <w:szCs w:val="21"/>
              </w:rPr>
            </w:pPr>
            <w:r>
              <w:rPr>
                <w:rFonts w:hint="eastAsia" w:ascii="仿宋" w:hAnsi="仿宋" w:eastAsia="仿宋" w:cs="宋体"/>
                <w:kern w:val="0"/>
                <w:szCs w:val="21"/>
              </w:rPr>
              <w:t>采用B/S架构的软件，提供全中文的操作管理界面，为了安全起见，操作系统和数据库运行环境非Microsoft Windows平台。，与MCU必须采用同品牌，并无缝对接原有的MCU及会议管理系统。满足7*24小时连续正常工作，支持会议管理平台双机热备功能。</w:t>
            </w:r>
          </w:p>
        </w:tc>
        <w:tc>
          <w:tcPr>
            <w:tcW w:w="740" w:type="dxa"/>
            <w:shd w:val="clear" w:color="auto" w:fill="auto"/>
            <w:vAlign w:val="center"/>
          </w:tcPr>
          <w:p w14:paraId="31BD0D72">
            <w:pPr>
              <w:widowControl/>
              <w:jc w:val="center"/>
              <w:rPr>
                <w:rFonts w:ascii="仿宋" w:hAnsi="仿宋" w:eastAsia="仿宋" w:cs="宋体"/>
                <w:kern w:val="0"/>
                <w:szCs w:val="21"/>
              </w:rPr>
            </w:pPr>
            <w:r>
              <w:rPr>
                <w:rFonts w:hint="eastAsia" w:ascii="仿宋" w:hAnsi="仿宋" w:eastAsia="仿宋" w:cs="宋体"/>
                <w:kern w:val="0"/>
                <w:szCs w:val="21"/>
              </w:rPr>
              <w:t>1</w:t>
            </w:r>
          </w:p>
        </w:tc>
      </w:tr>
      <w:tr w14:paraId="153F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60" w:type="dxa"/>
            <w:shd w:val="clear" w:color="auto" w:fill="auto"/>
            <w:vAlign w:val="center"/>
          </w:tcPr>
          <w:p w14:paraId="501C0A2B">
            <w:pPr>
              <w:widowControl/>
              <w:jc w:val="center"/>
              <w:rPr>
                <w:rFonts w:ascii="仿宋" w:hAnsi="仿宋" w:eastAsia="仿宋" w:cs="宋体"/>
                <w:kern w:val="0"/>
                <w:szCs w:val="21"/>
              </w:rPr>
            </w:pPr>
            <w:r>
              <w:rPr>
                <w:rFonts w:hint="eastAsia" w:ascii="仿宋" w:hAnsi="仿宋" w:eastAsia="仿宋" w:cs="宋体"/>
                <w:kern w:val="0"/>
                <w:szCs w:val="21"/>
              </w:rPr>
              <w:t>3</w:t>
            </w:r>
          </w:p>
        </w:tc>
        <w:tc>
          <w:tcPr>
            <w:tcW w:w="1545" w:type="dxa"/>
            <w:shd w:val="clear" w:color="auto" w:fill="auto"/>
            <w:vAlign w:val="center"/>
          </w:tcPr>
          <w:p w14:paraId="1C335782">
            <w:pPr>
              <w:widowControl/>
              <w:jc w:val="left"/>
              <w:rPr>
                <w:rFonts w:ascii="仿宋" w:hAnsi="仿宋" w:eastAsia="仿宋" w:cs="宋体"/>
                <w:kern w:val="0"/>
                <w:szCs w:val="21"/>
              </w:rPr>
            </w:pPr>
            <w:r>
              <w:rPr>
                <w:rFonts w:hint="eastAsia" w:ascii="仿宋" w:hAnsi="仿宋" w:eastAsia="仿宋" w:cs="宋体"/>
                <w:kern w:val="0"/>
                <w:szCs w:val="21"/>
              </w:rPr>
              <w:t>年度技术服务费</w:t>
            </w:r>
          </w:p>
        </w:tc>
        <w:tc>
          <w:tcPr>
            <w:tcW w:w="5387" w:type="dxa"/>
            <w:shd w:val="clear" w:color="auto" w:fill="auto"/>
            <w:vAlign w:val="center"/>
          </w:tcPr>
          <w:p w14:paraId="4A656837">
            <w:pPr>
              <w:widowControl/>
              <w:jc w:val="left"/>
              <w:rPr>
                <w:rFonts w:ascii="仿宋" w:hAnsi="仿宋" w:eastAsia="仿宋" w:cs="宋体"/>
                <w:kern w:val="0"/>
                <w:szCs w:val="21"/>
              </w:rPr>
            </w:pPr>
            <w:r>
              <w:rPr>
                <w:rFonts w:hint="eastAsia" w:ascii="仿宋" w:hAnsi="仿宋" w:eastAsia="仿宋" w:cs="宋体"/>
                <w:kern w:val="0"/>
                <w:szCs w:val="21"/>
              </w:rPr>
              <w:t>视频会议系统年度技术服务费。</w:t>
            </w:r>
          </w:p>
        </w:tc>
        <w:tc>
          <w:tcPr>
            <w:tcW w:w="740" w:type="dxa"/>
            <w:shd w:val="clear" w:color="auto" w:fill="auto"/>
            <w:vAlign w:val="center"/>
          </w:tcPr>
          <w:p w14:paraId="3D0C645D">
            <w:pPr>
              <w:widowControl/>
              <w:jc w:val="center"/>
              <w:rPr>
                <w:rFonts w:ascii="仿宋" w:hAnsi="仿宋" w:eastAsia="仿宋" w:cs="宋体"/>
                <w:kern w:val="0"/>
                <w:szCs w:val="21"/>
              </w:rPr>
            </w:pPr>
            <w:r>
              <w:rPr>
                <w:rFonts w:hint="eastAsia" w:ascii="仿宋" w:hAnsi="仿宋" w:eastAsia="仿宋" w:cs="宋体"/>
                <w:kern w:val="0"/>
                <w:szCs w:val="21"/>
              </w:rPr>
              <w:t>3</w:t>
            </w:r>
          </w:p>
        </w:tc>
      </w:tr>
    </w:tbl>
    <w:p w14:paraId="21DB95BE">
      <w:pPr>
        <w:jc w:val="center"/>
        <w:rPr>
          <w:rFonts w:ascii="宋体" w:hAnsi="宋体" w:eastAsia="宋体" w:cs="宋体"/>
          <w:bCs/>
          <w:color w:val="000000"/>
          <w:kern w:val="0"/>
          <w:sz w:val="32"/>
          <w:szCs w:val="32"/>
        </w:rPr>
      </w:pPr>
    </w:p>
    <w:p w14:paraId="02690819">
      <w:pPr>
        <w:pStyle w:val="8"/>
        <w:numPr>
          <w:ilvl w:val="0"/>
          <w:numId w:val="1"/>
        </w:numPr>
        <w:ind w:firstLineChars="0"/>
        <w:rPr>
          <w:rFonts w:ascii="宋体" w:hAnsi="宋体" w:eastAsia="宋体" w:cs="宋体"/>
          <w:b/>
          <w:bCs/>
          <w:color w:val="000000"/>
          <w:kern w:val="0"/>
          <w:sz w:val="32"/>
          <w:szCs w:val="32"/>
        </w:rPr>
      </w:pPr>
      <w:r>
        <w:rPr>
          <w:rFonts w:ascii="宋体" w:hAnsi="宋体" w:eastAsia="宋体" w:cs="宋体"/>
          <w:b/>
          <w:bCs/>
          <w:color w:val="000000"/>
          <w:kern w:val="0"/>
          <w:sz w:val="32"/>
          <w:szCs w:val="32"/>
        </w:rPr>
        <w:t>技术要求</w:t>
      </w:r>
    </w:p>
    <w:p w14:paraId="3A88E164">
      <w:pPr>
        <w:snapToGrid w:val="0"/>
        <w:spacing w:line="400" w:lineRule="exact"/>
        <w:ind w:firstLine="480" w:firstLineChars="200"/>
        <w:contextualSpacing/>
        <w:rPr>
          <w:rFonts w:ascii="仿宋" w:hAnsi="仿宋" w:eastAsia="仿宋"/>
          <w:sz w:val="24"/>
          <w:szCs w:val="24"/>
        </w:rPr>
      </w:pPr>
    </w:p>
    <w:p w14:paraId="1851C276">
      <w:pPr>
        <w:pStyle w:val="8"/>
        <w:numPr>
          <w:ilvl w:val="0"/>
          <w:numId w:val="5"/>
        </w:numPr>
        <w:autoSpaceDE w:val="0"/>
        <w:autoSpaceDN w:val="0"/>
        <w:adjustRightInd w:val="0"/>
        <w:snapToGrid w:val="0"/>
        <w:spacing w:line="400" w:lineRule="exact"/>
        <w:ind w:firstLineChars="0"/>
        <w:contextualSpacing/>
        <w:jc w:val="left"/>
        <w:rPr>
          <w:rFonts w:ascii="仿宋" w:hAnsi="仿宋" w:eastAsia="仿宋"/>
          <w:b/>
          <w:bCs/>
          <w:sz w:val="24"/>
          <w:szCs w:val="24"/>
        </w:rPr>
      </w:pPr>
      <w:r>
        <w:rPr>
          <w:rFonts w:hint="eastAsia" w:ascii="仿宋" w:hAnsi="仿宋" w:eastAsia="仿宋"/>
          <w:b/>
          <w:bCs/>
          <w:sz w:val="24"/>
          <w:szCs w:val="24"/>
        </w:rPr>
        <w:t>高清MCU</w:t>
      </w:r>
      <w:r>
        <w:rPr>
          <w:rFonts w:ascii="仿宋" w:hAnsi="仿宋" w:eastAsia="仿宋"/>
          <w:b/>
          <w:bCs/>
          <w:sz w:val="24"/>
          <w:szCs w:val="24"/>
        </w:rPr>
        <w:t>参数要求</w:t>
      </w:r>
    </w:p>
    <w:tbl>
      <w:tblPr>
        <w:tblStyle w:val="5"/>
        <w:tblW w:w="8505" w:type="dxa"/>
        <w:tblInd w:w="421" w:type="dxa"/>
        <w:tblLayout w:type="autofit"/>
        <w:tblCellMar>
          <w:top w:w="0" w:type="dxa"/>
          <w:left w:w="108" w:type="dxa"/>
          <w:bottom w:w="0" w:type="dxa"/>
          <w:right w:w="108" w:type="dxa"/>
        </w:tblCellMar>
      </w:tblPr>
      <w:tblGrid>
        <w:gridCol w:w="780"/>
        <w:gridCol w:w="1063"/>
        <w:gridCol w:w="6662"/>
      </w:tblGrid>
      <w:tr w14:paraId="0C6F6F7B">
        <w:tblPrEx>
          <w:tblCellMar>
            <w:top w:w="0" w:type="dxa"/>
            <w:left w:w="108" w:type="dxa"/>
            <w:bottom w:w="0" w:type="dxa"/>
            <w:right w:w="108" w:type="dxa"/>
          </w:tblCellMar>
        </w:tblPrEx>
        <w:trPr>
          <w:trHeight w:val="480"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99FA6A2">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序号</w:t>
            </w:r>
          </w:p>
        </w:tc>
        <w:tc>
          <w:tcPr>
            <w:tcW w:w="1063" w:type="dxa"/>
            <w:tcBorders>
              <w:top w:val="single" w:color="auto" w:sz="4" w:space="0"/>
              <w:left w:val="nil"/>
              <w:bottom w:val="single" w:color="auto" w:sz="4" w:space="0"/>
              <w:right w:val="single" w:color="auto" w:sz="4" w:space="0"/>
            </w:tcBorders>
            <w:shd w:val="clear" w:color="auto" w:fill="auto"/>
            <w:vAlign w:val="center"/>
          </w:tcPr>
          <w:p w14:paraId="59DB7D0A">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指标项</w:t>
            </w:r>
          </w:p>
        </w:tc>
        <w:tc>
          <w:tcPr>
            <w:tcW w:w="6662" w:type="dxa"/>
            <w:tcBorders>
              <w:top w:val="single" w:color="auto" w:sz="4" w:space="0"/>
              <w:left w:val="nil"/>
              <w:bottom w:val="single" w:color="auto" w:sz="4" w:space="0"/>
              <w:right w:val="single" w:color="auto" w:sz="4" w:space="0"/>
            </w:tcBorders>
            <w:shd w:val="clear" w:color="auto" w:fill="auto"/>
            <w:vAlign w:val="center"/>
          </w:tcPr>
          <w:p w14:paraId="0CAC8771">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指标项要求</w:t>
            </w:r>
          </w:p>
        </w:tc>
      </w:tr>
      <w:tr w14:paraId="279E92B2">
        <w:tblPrEx>
          <w:tblCellMar>
            <w:top w:w="0" w:type="dxa"/>
            <w:left w:w="108" w:type="dxa"/>
            <w:bottom w:w="0" w:type="dxa"/>
            <w:right w:w="108" w:type="dxa"/>
          </w:tblCellMar>
        </w:tblPrEx>
        <w:trPr>
          <w:trHeight w:val="72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6BC0D64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063" w:type="dxa"/>
            <w:tcBorders>
              <w:top w:val="nil"/>
              <w:left w:val="nil"/>
              <w:bottom w:val="single" w:color="auto" w:sz="4" w:space="0"/>
              <w:right w:val="single" w:color="auto" w:sz="4" w:space="0"/>
            </w:tcBorders>
            <w:shd w:val="clear" w:color="auto" w:fill="auto"/>
            <w:vAlign w:val="center"/>
          </w:tcPr>
          <w:p w14:paraId="41865370">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设备架构</w:t>
            </w:r>
          </w:p>
        </w:tc>
        <w:tc>
          <w:tcPr>
            <w:tcW w:w="6662" w:type="dxa"/>
            <w:tcBorders>
              <w:top w:val="nil"/>
              <w:left w:val="nil"/>
              <w:bottom w:val="single" w:color="auto" w:sz="4" w:space="0"/>
              <w:right w:val="single" w:color="auto" w:sz="4" w:space="0"/>
            </w:tcBorders>
            <w:shd w:val="clear" w:color="auto" w:fill="auto"/>
            <w:vAlign w:val="center"/>
          </w:tcPr>
          <w:p w14:paraId="04F2DDE6">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MCU基于电信级架构，采用插卡式设计，设备要求采用稳定性更强、安全性更好的嵌入式操作系统，非Windows，能够和符合国际标准的产品互通。</w:t>
            </w:r>
          </w:p>
        </w:tc>
      </w:tr>
      <w:tr w14:paraId="002167BC">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7CA1C6FE">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063" w:type="dxa"/>
            <w:tcBorders>
              <w:top w:val="nil"/>
              <w:left w:val="nil"/>
              <w:bottom w:val="single" w:color="auto" w:sz="4" w:space="0"/>
              <w:right w:val="single" w:color="auto" w:sz="4" w:space="0"/>
            </w:tcBorders>
            <w:shd w:val="clear" w:color="auto" w:fill="auto"/>
            <w:vAlign w:val="center"/>
          </w:tcPr>
          <w:p w14:paraId="7B29D96D">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可扩充性</w:t>
            </w:r>
          </w:p>
        </w:tc>
        <w:tc>
          <w:tcPr>
            <w:tcW w:w="6662" w:type="dxa"/>
            <w:tcBorders>
              <w:top w:val="nil"/>
              <w:left w:val="nil"/>
              <w:bottom w:val="single" w:color="auto" w:sz="4" w:space="0"/>
              <w:right w:val="single" w:color="auto" w:sz="4" w:space="0"/>
            </w:tcBorders>
            <w:shd w:val="clear" w:color="auto" w:fill="auto"/>
            <w:vAlign w:val="center"/>
          </w:tcPr>
          <w:p w14:paraId="6B9A035E">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MCU为大型容量设备。须至少支持10块单板，方便后续通过增加板卡扩容。</w:t>
            </w:r>
          </w:p>
        </w:tc>
      </w:tr>
      <w:tr w14:paraId="61083814">
        <w:tblPrEx>
          <w:tblCellMar>
            <w:top w:w="0" w:type="dxa"/>
            <w:left w:w="108" w:type="dxa"/>
            <w:bottom w:w="0" w:type="dxa"/>
            <w:right w:w="108" w:type="dxa"/>
          </w:tblCellMar>
        </w:tblPrEx>
        <w:trPr>
          <w:trHeight w:val="120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5BEEE41A">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063" w:type="dxa"/>
            <w:tcBorders>
              <w:top w:val="nil"/>
              <w:left w:val="nil"/>
              <w:bottom w:val="single" w:color="auto" w:sz="4" w:space="0"/>
              <w:right w:val="single" w:color="auto" w:sz="4" w:space="0"/>
            </w:tcBorders>
            <w:shd w:val="clear" w:color="auto" w:fill="auto"/>
            <w:vAlign w:val="center"/>
          </w:tcPr>
          <w:p w14:paraId="64233CFB">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冗余性</w:t>
            </w:r>
          </w:p>
        </w:tc>
        <w:tc>
          <w:tcPr>
            <w:tcW w:w="6662" w:type="dxa"/>
            <w:tcBorders>
              <w:top w:val="nil"/>
              <w:left w:val="nil"/>
              <w:bottom w:val="single" w:color="auto" w:sz="4" w:space="0"/>
              <w:right w:val="single" w:color="auto" w:sz="4" w:space="0"/>
            </w:tcBorders>
            <w:shd w:val="clear" w:color="auto" w:fill="auto"/>
            <w:vAlign w:val="center"/>
          </w:tcPr>
          <w:p w14:paraId="547ED369">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所投产品必须满足7*24小时连续正常工作，本次所投的 MCU须实现双机热备功能。MCU支持主控板、业务板热备份功能，支持双电源备份、双网口备份。任意一台MCU出现故障时，MCU可在短暂时间内将本台设备上的业务自动切换至备份MCU上。须提供第三方权威机构检测报告。</w:t>
            </w:r>
          </w:p>
        </w:tc>
      </w:tr>
      <w:tr w14:paraId="14F6957B">
        <w:tblPrEx>
          <w:tblCellMar>
            <w:top w:w="0" w:type="dxa"/>
            <w:left w:w="108" w:type="dxa"/>
            <w:bottom w:w="0" w:type="dxa"/>
            <w:right w:w="108" w:type="dxa"/>
          </w:tblCellMar>
        </w:tblPrEx>
        <w:trPr>
          <w:trHeight w:val="555"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7D75F40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063" w:type="dxa"/>
            <w:tcBorders>
              <w:top w:val="nil"/>
              <w:left w:val="nil"/>
              <w:bottom w:val="single" w:color="auto" w:sz="4" w:space="0"/>
              <w:right w:val="single" w:color="auto" w:sz="4" w:space="0"/>
            </w:tcBorders>
            <w:shd w:val="clear" w:color="auto" w:fill="auto"/>
            <w:vAlign w:val="center"/>
          </w:tcPr>
          <w:p w14:paraId="651BF381">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兼容性</w:t>
            </w:r>
          </w:p>
        </w:tc>
        <w:tc>
          <w:tcPr>
            <w:tcW w:w="6662" w:type="dxa"/>
            <w:tcBorders>
              <w:top w:val="nil"/>
              <w:left w:val="nil"/>
              <w:bottom w:val="single" w:color="auto" w:sz="4" w:space="0"/>
              <w:right w:val="single" w:color="auto" w:sz="4" w:space="0"/>
            </w:tcBorders>
            <w:shd w:val="clear" w:color="auto" w:fill="auto"/>
            <w:vAlign w:val="center"/>
          </w:tcPr>
          <w:p w14:paraId="32DF4A45">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为了保护现有的投资，要求新购的MCU设备与用户上级西藏自治区税务局现有视频会议MCU设备支持无缝数据级联，实现互通、互控、互备。</w:t>
            </w:r>
          </w:p>
        </w:tc>
      </w:tr>
      <w:tr w14:paraId="404651B1">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72DA5321">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063" w:type="dxa"/>
            <w:tcBorders>
              <w:top w:val="nil"/>
              <w:left w:val="nil"/>
              <w:bottom w:val="single" w:color="auto" w:sz="4" w:space="0"/>
              <w:right w:val="single" w:color="auto" w:sz="4" w:space="0"/>
            </w:tcBorders>
            <w:shd w:val="clear" w:color="auto" w:fill="auto"/>
            <w:vAlign w:val="center"/>
          </w:tcPr>
          <w:p w14:paraId="2409EECB">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管理系统</w:t>
            </w:r>
          </w:p>
        </w:tc>
        <w:tc>
          <w:tcPr>
            <w:tcW w:w="6662" w:type="dxa"/>
            <w:tcBorders>
              <w:top w:val="nil"/>
              <w:left w:val="nil"/>
              <w:bottom w:val="single" w:color="auto" w:sz="4" w:space="0"/>
              <w:right w:val="single" w:color="auto" w:sz="4" w:space="0"/>
            </w:tcBorders>
            <w:shd w:val="clear" w:color="auto" w:fill="auto"/>
            <w:vAlign w:val="center"/>
          </w:tcPr>
          <w:p w14:paraId="41C12E1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除本次配置的外置会议管理系统外，设备还支持内置会议管理系统以备后期冗余。</w:t>
            </w:r>
          </w:p>
        </w:tc>
      </w:tr>
      <w:tr w14:paraId="0CC94D1D">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68A5194B">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1063" w:type="dxa"/>
            <w:tcBorders>
              <w:top w:val="nil"/>
              <w:left w:val="nil"/>
              <w:bottom w:val="single" w:color="auto" w:sz="4" w:space="0"/>
              <w:right w:val="single" w:color="auto" w:sz="4" w:space="0"/>
            </w:tcBorders>
            <w:shd w:val="clear" w:color="auto" w:fill="auto"/>
            <w:vAlign w:val="center"/>
          </w:tcPr>
          <w:p w14:paraId="7BF27BC7">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通用协议</w:t>
            </w:r>
          </w:p>
        </w:tc>
        <w:tc>
          <w:tcPr>
            <w:tcW w:w="6662" w:type="dxa"/>
            <w:tcBorders>
              <w:top w:val="nil"/>
              <w:left w:val="nil"/>
              <w:bottom w:val="single" w:color="auto" w:sz="4" w:space="0"/>
              <w:right w:val="single" w:color="auto" w:sz="4" w:space="0"/>
            </w:tcBorders>
            <w:shd w:val="clear" w:color="auto" w:fill="auto"/>
            <w:vAlign w:val="center"/>
          </w:tcPr>
          <w:p w14:paraId="155FB06D">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设备符合ITU-T H.320、ITU-T H.323、IETF SIP标准，支持64kbps至8Mbps呼叫带宽。</w:t>
            </w:r>
          </w:p>
        </w:tc>
      </w:tr>
      <w:tr w14:paraId="6AD12824">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07D8903E">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1063" w:type="dxa"/>
            <w:tcBorders>
              <w:top w:val="nil"/>
              <w:left w:val="nil"/>
              <w:bottom w:val="single" w:color="auto" w:sz="4" w:space="0"/>
              <w:right w:val="single" w:color="auto" w:sz="4" w:space="0"/>
            </w:tcBorders>
            <w:shd w:val="clear" w:color="auto" w:fill="auto"/>
            <w:vAlign w:val="center"/>
          </w:tcPr>
          <w:p w14:paraId="51C1B65A">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容量</w:t>
            </w:r>
          </w:p>
        </w:tc>
        <w:tc>
          <w:tcPr>
            <w:tcW w:w="6662" w:type="dxa"/>
            <w:tcBorders>
              <w:top w:val="nil"/>
              <w:left w:val="nil"/>
              <w:bottom w:val="single" w:color="auto" w:sz="4" w:space="0"/>
              <w:right w:val="single" w:color="auto" w:sz="4" w:space="0"/>
            </w:tcBorders>
            <w:shd w:val="clear" w:color="auto" w:fill="auto"/>
            <w:vAlign w:val="center"/>
          </w:tcPr>
          <w:p w14:paraId="79C11B57">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所投产品要求单台MCU至少支持110个4M全编全解高清视频会议终端的接入容量。</w:t>
            </w:r>
          </w:p>
        </w:tc>
      </w:tr>
      <w:tr w14:paraId="2A74C1C8">
        <w:tblPrEx>
          <w:tblCellMar>
            <w:top w:w="0" w:type="dxa"/>
            <w:left w:w="108" w:type="dxa"/>
            <w:bottom w:w="0" w:type="dxa"/>
            <w:right w:w="108" w:type="dxa"/>
          </w:tblCellMar>
        </w:tblPrEx>
        <w:trPr>
          <w:trHeight w:val="72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5243938A">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1063" w:type="dxa"/>
            <w:tcBorders>
              <w:top w:val="nil"/>
              <w:left w:val="nil"/>
              <w:bottom w:val="single" w:color="auto" w:sz="4" w:space="0"/>
              <w:right w:val="single" w:color="auto" w:sz="4" w:space="0"/>
            </w:tcBorders>
            <w:shd w:val="clear" w:color="auto" w:fill="auto"/>
            <w:vAlign w:val="center"/>
          </w:tcPr>
          <w:p w14:paraId="53FE9624">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视频协议</w:t>
            </w:r>
          </w:p>
        </w:tc>
        <w:tc>
          <w:tcPr>
            <w:tcW w:w="6662" w:type="dxa"/>
            <w:tcBorders>
              <w:top w:val="nil"/>
              <w:left w:val="nil"/>
              <w:bottom w:val="single" w:color="auto" w:sz="4" w:space="0"/>
              <w:right w:val="single" w:color="auto" w:sz="4" w:space="0"/>
            </w:tcBorders>
            <w:shd w:val="clear" w:color="auto" w:fill="auto"/>
            <w:vAlign w:val="center"/>
          </w:tcPr>
          <w:p w14:paraId="65C6CF94">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设备支持ITU-T H.265、 H.264、H.264 HP、H.264 SVC、H.263、H.261视频协议。支持1080P60帧、1080P30帧、720P60帧、720P30帧，并向下兼容4CIF、CIF图像格式。</w:t>
            </w:r>
          </w:p>
        </w:tc>
      </w:tr>
      <w:tr w14:paraId="2853FE97">
        <w:tblPrEx>
          <w:tblCellMar>
            <w:top w:w="0" w:type="dxa"/>
            <w:left w:w="108" w:type="dxa"/>
            <w:bottom w:w="0" w:type="dxa"/>
            <w:right w:w="108" w:type="dxa"/>
          </w:tblCellMar>
        </w:tblPrEx>
        <w:trPr>
          <w:trHeight w:val="699"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007F0B9D">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w:t>
            </w:r>
          </w:p>
        </w:tc>
        <w:tc>
          <w:tcPr>
            <w:tcW w:w="1063" w:type="dxa"/>
            <w:vMerge w:val="restart"/>
            <w:tcBorders>
              <w:top w:val="nil"/>
              <w:left w:val="single" w:color="auto" w:sz="4" w:space="0"/>
              <w:bottom w:val="single" w:color="auto" w:sz="4" w:space="0"/>
              <w:right w:val="single" w:color="auto" w:sz="4" w:space="0"/>
            </w:tcBorders>
            <w:shd w:val="clear" w:color="auto" w:fill="auto"/>
            <w:vAlign w:val="center"/>
          </w:tcPr>
          <w:p w14:paraId="3946A3FB">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编解码能力</w:t>
            </w:r>
          </w:p>
        </w:tc>
        <w:tc>
          <w:tcPr>
            <w:tcW w:w="6662" w:type="dxa"/>
            <w:tcBorders>
              <w:top w:val="nil"/>
              <w:left w:val="nil"/>
              <w:bottom w:val="single" w:color="auto" w:sz="4" w:space="0"/>
              <w:right w:val="single" w:color="auto" w:sz="4" w:space="0"/>
            </w:tcBorders>
            <w:shd w:val="clear" w:color="auto" w:fill="auto"/>
            <w:vAlign w:val="center"/>
          </w:tcPr>
          <w:p w14:paraId="1F612CDF">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当采用H.265视频编解码标准协议时，支持在256Kbps 带宽下实现1080P30fps视频通讯，图像质量良好，画面连贯流畅。提供国家权威部门检测报告以证明，或支持在128Kbps 带宽下实现720P30fps视频通讯，图像质量良好，画面连贯流畅。须提供第三方权威机构检测报告或者图片。</w:t>
            </w:r>
          </w:p>
        </w:tc>
      </w:tr>
      <w:tr w14:paraId="6B741687">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736ED7A2">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1063" w:type="dxa"/>
            <w:vMerge w:val="continue"/>
            <w:tcBorders>
              <w:top w:val="nil"/>
              <w:left w:val="single" w:color="auto" w:sz="4" w:space="0"/>
              <w:bottom w:val="single" w:color="auto" w:sz="4" w:space="0"/>
              <w:right w:val="single" w:color="auto" w:sz="4" w:space="0"/>
            </w:tcBorders>
            <w:vAlign w:val="center"/>
          </w:tcPr>
          <w:p w14:paraId="254E8943">
            <w:pPr>
              <w:widowControl/>
              <w:jc w:val="left"/>
              <w:rPr>
                <w:rFonts w:ascii="仿宋" w:hAnsi="仿宋" w:eastAsia="仿宋" w:cs="宋体"/>
                <w:color w:val="000000"/>
                <w:kern w:val="0"/>
                <w:sz w:val="20"/>
                <w:szCs w:val="20"/>
              </w:rPr>
            </w:pPr>
          </w:p>
        </w:tc>
        <w:tc>
          <w:tcPr>
            <w:tcW w:w="6662" w:type="dxa"/>
            <w:tcBorders>
              <w:top w:val="nil"/>
              <w:left w:val="nil"/>
              <w:bottom w:val="single" w:color="auto" w:sz="4" w:space="0"/>
              <w:right w:val="single" w:color="auto" w:sz="4" w:space="0"/>
            </w:tcBorders>
            <w:shd w:val="clear" w:color="auto" w:fill="auto"/>
            <w:vAlign w:val="center"/>
          </w:tcPr>
          <w:p w14:paraId="291DAD76">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当采用H.264HP视频编解码标准协议时，支持在192Kbps 带宽下实现720P30fps视频通讯，图像质量良好，画面连贯流畅。</w:t>
            </w:r>
          </w:p>
        </w:tc>
      </w:tr>
      <w:tr w14:paraId="2E257A3C">
        <w:tblPrEx>
          <w:tblCellMar>
            <w:top w:w="0" w:type="dxa"/>
            <w:left w:w="108" w:type="dxa"/>
            <w:bottom w:w="0" w:type="dxa"/>
            <w:right w:w="108" w:type="dxa"/>
          </w:tblCellMar>
        </w:tblPrEx>
        <w:trPr>
          <w:trHeight w:val="72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1008A3FE">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w:t>
            </w:r>
          </w:p>
        </w:tc>
        <w:tc>
          <w:tcPr>
            <w:tcW w:w="1063" w:type="dxa"/>
            <w:tcBorders>
              <w:top w:val="nil"/>
              <w:left w:val="nil"/>
              <w:bottom w:val="single" w:color="auto" w:sz="4" w:space="0"/>
              <w:right w:val="single" w:color="auto" w:sz="4" w:space="0"/>
            </w:tcBorders>
            <w:shd w:val="clear" w:color="auto" w:fill="auto"/>
            <w:vAlign w:val="center"/>
          </w:tcPr>
          <w:p w14:paraId="241E3D1E">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音频协议</w:t>
            </w:r>
          </w:p>
        </w:tc>
        <w:tc>
          <w:tcPr>
            <w:tcW w:w="6662" w:type="dxa"/>
            <w:tcBorders>
              <w:top w:val="nil"/>
              <w:left w:val="nil"/>
              <w:bottom w:val="single" w:color="auto" w:sz="4" w:space="0"/>
              <w:right w:val="single" w:color="auto" w:sz="4" w:space="0"/>
            </w:tcBorders>
            <w:shd w:val="clear" w:color="auto" w:fill="auto"/>
            <w:vAlign w:val="center"/>
          </w:tcPr>
          <w:p w14:paraId="15AF3258">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设备支持AAC-LC/LD、AAC-LD Stereo、G.722.1、G.722.1C(G.722.1 Annex C)、G.711(G.711a/u)、G.722、G.728、G.723.1、G.719音频协议。</w:t>
            </w:r>
          </w:p>
        </w:tc>
      </w:tr>
      <w:tr w14:paraId="5020F67E">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1C2325CD">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1063" w:type="dxa"/>
            <w:vMerge w:val="restart"/>
            <w:tcBorders>
              <w:top w:val="nil"/>
              <w:left w:val="single" w:color="auto" w:sz="4" w:space="0"/>
              <w:bottom w:val="single" w:color="auto" w:sz="4" w:space="0"/>
              <w:right w:val="single" w:color="auto" w:sz="4" w:space="0"/>
            </w:tcBorders>
            <w:shd w:val="clear" w:color="auto" w:fill="auto"/>
            <w:vAlign w:val="center"/>
          </w:tcPr>
          <w:p w14:paraId="33E64DB2">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设备功能</w:t>
            </w:r>
          </w:p>
        </w:tc>
        <w:tc>
          <w:tcPr>
            <w:tcW w:w="6662" w:type="dxa"/>
            <w:tcBorders>
              <w:top w:val="nil"/>
              <w:left w:val="nil"/>
              <w:bottom w:val="single" w:color="auto" w:sz="4" w:space="0"/>
              <w:right w:val="single" w:color="auto" w:sz="4" w:space="0"/>
            </w:tcBorders>
            <w:shd w:val="clear" w:color="auto" w:fill="auto"/>
            <w:vAlign w:val="center"/>
          </w:tcPr>
          <w:p w14:paraId="2F8A223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支持左右声道声音独立传送。须提供第三方权威机构检测报告或者图片。</w:t>
            </w:r>
          </w:p>
        </w:tc>
      </w:tr>
      <w:tr w14:paraId="649415DD">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7E57EA10">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w:t>
            </w:r>
          </w:p>
        </w:tc>
        <w:tc>
          <w:tcPr>
            <w:tcW w:w="1063" w:type="dxa"/>
            <w:vMerge w:val="continue"/>
            <w:tcBorders>
              <w:top w:val="nil"/>
              <w:left w:val="single" w:color="auto" w:sz="4" w:space="0"/>
              <w:bottom w:val="single" w:color="auto" w:sz="4" w:space="0"/>
              <w:right w:val="single" w:color="auto" w:sz="4" w:space="0"/>
            </w:tcBorders>
            <w:vAlign w:val="center"/>
          </w:tcPr>
          <w:p w14:paraId="29DF8D96">
            <w:pPr>
              <w:widowControl/>
              <w:jc w:val="left"/>
              <w:rPr>
                <w:rFonts w:ascii="仿宋" w:hAnsi="仿宋" w:eastAsia="仿宋" w:cs="宋体"/>
                <w:color w:val="000000"/>
                <w:kern w:val="0"/>
                <w:sz w:val="20"/>
                <w:szCs w:val="20"/>
              </w:rPr>
            </w:pPr>
          </w:p>
        </w:tc>
        <w:tc>
          <w:tcPr>
            <w:tcW w:w="6662" w:type="dxa"/>
            <w:tcBorders>
              <w:top w:val="nil"/>
              <w:left w:val="nil"/>
              <w:bottom w:val="single" w:color="auto" w:sz="4" w:space="0"/>
              <w:right w:val="single" w:color="auto" w:sz="4" w:space="0"/>
            </w:tcBorders>
            <w:shd w:val="clear" w:color="auto" w:fill="auto"/>
            <w:vAlign w:val="center"/>
          </w:tcPr>
          <w:p w14:paraId="415C5DAD">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所投MCU设备支持至少25画面，具有69种以上多画面模式切换，须提供第三方权威机构检测报告。</w:t>
            </w:r>
            <w:bookmarkStart w:id="1" w:name="_GoBack"/>
            <w:bookmarkEnd w:id="1"/>
          </w:p>
        </w:tc>
      </w:tr>
      <w:tr w14:paraId="66C1E7E7">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0B56683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14</w:t>
            </w:r>
          </w:p>
        </w:tc>
        <w:tc>
          <w:tcPr>
            <w:tcW w:w="1063" w:type="dxa"/>
            <w:vMerge w:val="continue"/>
            <w:tcBorders>
              <w:top w:val="nil"/>
              <w:left w:val="single" w:color="auto" w:sz="4" w:space="0"/>
              <w:bottom w:val="single" w:color="auto" w:sz="4" w:space="0"/>
              <w:right w:val="single" w:color="auto" w:sz="4" w:space="0"/>
            </w:tcBorders>
            <w:vAlign w:val="center"/>
          </w:tcPr>
          <w:p w14:paraId="1580B185">
            <w:pPr>
              <w:widowControl/>
              <w:jc w:val="left"/>
              <w:rPr>
                <w:rFonts w:ascii="仿宋" w:hAnsi="仿宋" w:eastAsia="仿宋" w:cs="宋体"/>
                <w:color w:val="000000"/>
                <w:kern w:val="0"/>
                <w:sz w:val="20"/>
                <w:szCs w:val="20"/>
              </w:rPr>
            </w:pPr>
          </w:p>
        </w:tc>
        <w:tc>
          <w:tcPr>
            <w:tcW w:w="6662" w:type="dxa"/>
            <w:tcBorders>
              <w:top w:val="nil"/>
              <w:left w:val="nil"/>
              <w:bottom w:val="single" w:color="auto" w:sz="4" w:space="0"/>
              <w:right w:val="single" w:color="auto" w:sz="4" w:space="0"/>
            </w:tcBorders>
            <w:shd w:val="clear" w:color="auto" w:fill="auto"/>
            <w:vAlign w:val="center"/>
          </w:tcPr>
          <w:p w14:paraId="561CF82A">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支持在多画面中显示辅视频流，须提供第三方权威机构检测报告或者图片。</w:t>
            </w:r>
          </w:p>
        </w:tc>
      </w:tr>
      <w:tr w14:paraId="1F0646FA">
        <w:tblPrEx>
          <w:tblCellMar>
            <w:top w:w="0" w:type="dxa"/>
            <w:left w:w="108" w:type="dxa"/>
            <w:bottom w:w="0" w:type="dxa"/>
            <w:right w:w="108" w:type="dxa"/>
          </w:tblCellMar>
        </w:tblPrEx>
        <w:trPr>
          <w:trHeight w:val="120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0DC43F6A">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15</w:t>
            </w:r>
          </w:p>
        </w:tc>
        <w:tc>
          <w:tcPr>
            <w:tcW w:w="1063" w:type="dxa"/>
            <w:vMerge w:val="continue"/>
            <w:tcBorders>
              <w:top w:val="nil"/>
              <w:left w:val="single" w:color="auto" w:sz="4" w:space="0"/>
              <w:bottom w:val="single" w:color="auto" w:sz="4" w:space="0"/>
              <w:right w:val="single" w:color="auto" w:sz="4" w:space="0"/>
            </w:tcBorders>
            <w:vAlign w:val="center"/>
          </w:tcPr>
          <w:p w14:paraId="3E7C4189">
            <w:pPr>
              <w:widowControl/>
              <w:jc w:val="left"/>
              <w:rPr>
                <w:rFonts w:ascii="仿宋" w:hAnsi="仿宋" w:eastAsia="仿宋" w:cs="宋体"/>
                <w:color w:val="000000"/>
                <w:kern w:val="0"/>
                <w:sz w:val="20"/>
                <w:szCs w:val="20"/>
              </w:rPr>
            </w:pPr>
          </w:p>
        </w:tc>
        <w:tc>
          <w:tcPr>
            <w:tcW w:w="6662" w:type="dxa"/>
            <w:tcBorders>
              <w:top w:val="nil"/>
              <w:left w:val="nil"/>
              <w:bottom w:val="single" w:color="auto" w:sz="4" w:space="0"/>
              <w:right w:val="single" w:color="auto" w:sz="4" w:space="0"/>
            </w:tcBorders>
            <w:shd w:val="clear" w:color="auto" w:fill="auto"/>
            <w:vAlign w:val="center"/>
          </w:tcPr>
          <w:p w14:paraId="5B6B3B6B">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支持全编全解功能。每会场设置不同多画面子画面数和布局（最大可设置为25画面），每个与会终端均能自由选看不同的画面组合。与会的终端设备可以通过遥控器按键选择自己会场独特的多画面组合方式，并且其他会场清晰度、观看多画面方式均不受影响。须提供第三方权威机构检测报告或者图片。</w:t>
            </w:r>
          </w:p>
        </w:tc>
      </w:tr>
      <w:tr w14:paraId="013AFB5B">
        <w:tblPrEx>
          <w:tblCellMar>
            <w:top w:w="0" w:type="dxa"/>
            <w:left w:w="108" w:type="dxa"/>
            <w:bottom w:w="0" w:type="dxa"/>
            <w:right w:w="108" w:type="dxa"/>
          </w:tblCellMar>
        </w:tblPrEx>
        <w:trPr>
          <w:trHeight w:val="120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6A7A345D">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1063" w:type="dxa"/>
            <w:vMerge w:val="continue"/>
            <w:tcBorders>
              <w:top w:val="nil"/>
              <w:left w:val="single" w:color="auto" w:sz="4" w:space="0"/>
              <w:bottom w:val="single" w:color="auto" w:sz="4" w:space="0"/>
              <w:right w:val="single" w:color="auto" w:sz="4" w:space="0"/>
            </w:tcBorders>
            <w:vAlign w:val="center"/>
          </w:tcPr>
          <w:p w14:paraId="3608FF69">
            <w:pPr>
              <w:widowControl/>
              <w:jc w:val="left"/>
              <w:rPr>
                <w:rFonts w:ascii="仿宋" w:hAnsi="仿宋" w:eastAsia="仿宋" w:cs="宋体"/>
                <w:color w:val="000000"/>
                <w:kern w:val="0"/>
                <w:sz w:val="20"/>
                <w:szCs w:val="20"/>
              </w:rPr>
            </w:pPr>
          </w:p>
        </w:tc>
        <w:tc>
          <w:tcPr>
            <w:tcW w:w="6662" w:type="dxa"/>
            <w:tcBorders>
              <w:top w:val="nil"/>
              <w:left w:val="nil"/>
              <w:bottom w:val="single" w:color="auto" w:sz="4" w:space="0"/>
              <w:right w:val="single" w:color="auto" w:sz="4" w:space="0"/>
            </w:tcBorders>
            <w:shd w:val="clear" w:color="auto" w:fill="auto"/>
            <w:vAlign w:val="center"/>
          </w:tcPr>
          <w:p w14:paraId="459C7CC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所投产品支持全编全解技术，支持对每一路接入终端的媒体全适配处理能力，确保每个接入的会场均可以任意不同的协议、不同的带宽、不同的分辨率、不同的帧率参加同一组会议，每个会场均可有独立不同的多画面。须提供第三方权威机构检测报告或者图片。</w:t>
            </w:r>
          </w:p>
        </w:tc>
      </w:tr>
      <w:tr w14:paraId="367EF414">
        <w:tblPrEx>
          <w:tblCellMar>
            <w:top w:w="0" w:type="dxa"/>
            <w:left w:w="108" w:type="dxa"/>
            <w:bottom w:w="0" w:type="dxa"/>
            <w:right w:w="108" w:type="dxa"/>
          </w:tblCellMar>
        </w:tblPrEx>
        <w:trPr>
          <w:trHeight w:val="72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275E270A">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17</w:t>
            </w:r>
          </w:p>
        </w:tc>
        <w:tc>
          <w:tcPr>
            <w:tcW w:w="1063" w:type="dxa"/>
            <w:vMerge w:val="continue"/>
            <w:tcBorders>
              <w:top w:val="nil"/>
              <w:left w:val="single" w:color="auto" w:sz="4" w:space="0"/>
              <w:bottom w:val="single" w:color="auto" w:sz="4" w:space="0"/>
              <w:right w:val="single" w:color="auto" w:sz="4" w:space="0"/>
            </w:tcBorders>
            <w:vAlign w:val="center"/>
          </w:tcPr>
          <w:p w14:paraId="299BABFF">
            <w:pPr>
              <w:widowControl/>
              <w:jc w:val="left"/>
              <w:rPr>
                <w:rFonts w:ascii="仿宋" w:hAnsi="仿宋" w:eastAsia="仿宋" w:cs="宋体"/>
                <w:color w:val="000000"/>
                <w:kern w:val="0"/>
                <w:sz w:val="20"/>
                <w:szCs w:val="20"/>
              </w:rPr>
            </w:pPr>
          </w:p>
        </w:tc>
        <w:tc>
          <w:tcPr>
            <w:tcW w:w="6662" w:type="dxa"/>
            <w:tcBorders>
              <w:top w:val="nil"/>
              <w:left w:val="nil"/>
              <w:bottom w:val="single" w:color="auto" w:sz="4" w:space="0"/>
              <w:right w:val="single" w:color="auto" w:sz="4" w:space="0"/>
            </w:tcBorders>
            <w:shd w:val="clear" w:color="auto" w:fill="auto"/>
            <w:vAlign w:val="center"/>
          </w:tcPr>
          <w:p w14:paraId="5849851B">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在IP 网络状态不好的情况下，减弱网络质量原因对音频效果的影响，支持网络70%丢包时不影响会议进行。须提供第三方权威机构检测报告或者图片。</w:t>
            </w:r>
          </w:p>
        </w:tc>
      </w:tr>
      <w:tr w14:paraId="50688B52">
        <w:tblPrEx>
          <w:tblCellMar>
            <w:top w:w="0" w:type="dxa"/>
            <w:left w:w="108" w:type="dxa"/>
            <w:bottom w:w="0" w:type="dxa"/>
            <w:right w:w="108" w:type="dxa"/>
          </w:tblCellMar>
        </w:tblPrEx>
        <w:trPr>
          <w:trHeight w:val="72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4888434E">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18</w:t>
            </w:r>
          </w:p>
        </w:tc>
        <w:tc>
          <w:tcPr>
            <w:tcW w:w="1063" w:type="dxa"/>
            <w:vMerge w:val="continue"/>
            <w:tcBorders>
              <w:top w:val="nil"/>
              <w:left w:val="single" w:color="auto" w:sz="4" w:space="0"/>
              <w:bottom w:val="single" w:color="auto" w:sz="4" w:space="0"/>
              <w:right w:val="single" w:color="auto" w:sz="4" w:space="0"/>
            </w:tcBorders>
            <w:vAlign w:val="center"/>
          </w:tcPr>
          <w:p w14:paraId="2077B33D">
            <w:pPr>
              <w:widowControl/>
              <w:jc w:val="left"/>
              <w:rPr>
                <w:rFonts w:ascii="仿宋" w:hAnsi="仿宋" w:eastAsia="仿宋" w:cs="宋体"/>
                <w:color w:val="000000"/>
                <w:kern w:val="0"/>
                <w:sz w:val="20"/>
                <w:szCs w:val="20"/>
              </w:rPr>
            </w:pPr>
          </w:p>
        </w:tc>
        <w:tc>
          <w:tcPr>
            <w:tcW w:w="6662" w:type="dxa"/>
            <w:tcBorders>
              <w:top w:val="nil"/>
              <w:left w:val="nil"/>
              <w:bottom w:val="single" w:color="auto" w:sz="4" w:space="0"/>
              <w:right w:val="single" w:color="auto" w:sz="4" w:space="0"/>
            </w:tcBorders>
            <w:shd w:val="clear" w:color="auto" w:fill="auto"/>
            <w:vAlign w:val="center"/>
          </w:tcPr>
          <w:p w14:paraId="74FFA090">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在IP 网络状态不好的情况下，减弱网络质量原因对视频效果的影响，支持网络40%丢包时不影响会议进行，视频流畅，无卡顿、无花屏现象。须提供第三方权威机构检测报告或者图片。</w:t>
            </w:r>
          </w:p>
        </w:tc>
      </w:tr>
      <w:tr w14:paraId="52188B1A">
        <w:tblPrEx>
          <w:tblCellMar>
            <w:top w:w="0" w:type="dxa"/>
            <w:left w:w="108" w:type="dxa"/>
            <w:bottom w:w="0" w:type="dxa"/>
            <w:right w:w="108" w:type="dxa"/>
          </w:tblCellMar>
        </w:tblPrEx>
        <w:trPr>
          <w:trHeight w:val="72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57CA1C61">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19</w:t>
            </w:r>
          </w:p>
        </w:tc>
        <w:tc>
          <w:tcPr>
            <w:tcW w:w="1063" w:type="dxa"/>
            <w:vMerge w:val="continue"/>
            <w:tcBorders>
              <w:top w:val="nil"/>
              <w:left w:val="single" w:color="auto" w:sz="4" w:space="0"/>
              <w:bottom w:val="single" w:color="auto" w:sz="4" w:space="0"/>
              <w:right w:val="single" w:color="auto" w:sz="4" w:space="0"/>
            </w:tcBorders>
            <w:vAlign w:val="center"/>
          </w:tcPr>
          <w:p w14:paraId="76D2A693">
            <w:pPr>
              <w:widowControl/>
              <w:jc w:val="left"/>
              <w:rPr>
                <w:rFonts w:ascii="仿宋" w:hAnsi="仿宋" w:eastAsia="仿宋" w:cs="宋体"/>
                <w:color w:val="000000"/>
                <w:kern w:val="0"/>
                <w:sz w:val="20"/>
                <w:szCs w:val="20"/>
              </w:rPr>
            </w:pPr>
          </w:p>
        </w:tc>
        <w:tc>
          <w:tcPr>
            <w:tcW w:w="6662" w:type="dxa"/>
            <w:tcBorders>
              <w:top w:val="nil"/>
              <w:left w:val="nil"/>
              <w:bottom w:val="single" w:color="auto" w:sz="4" w:space="0"/>
              <w:right w:val="single" w:color="auto" w:sz="4" w:space="0"/>
            </w:tcBorders>
            <w:shd w:val="clear" w:color="auto" w:fill="auto"/>
            <w:vAlign w:val="center"/>
          </w:tcPr>
          <w:p w14:paraId="2E25E5CD">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支持终端电视墙模式，可指定一个或多个终端当电视墙解码服务器使用，监控多画面图像，不影响其他会场的显示。须提供第三方权威机构检测报告或者图片。</w:t>
            </w:r>
          </w:p>
        </w:tc>
      </w:tr>
      <w:tr w14:paraId="7C925D2D">
        <w:tblPrEx>
          <w:tblCellMar>
            <w:top w:w="0" w:type="dxa"/>
            <w:left w:w="108" w:type="dxa"/>
            <w:bottom w:w="0" w:type="dxa"/>
            <w:right w:w="108" w:type="dxa"/>
          </w:tblCellMar>
        </w:tblPrEx>
        <w:trPr>
          <w:trHeight w:val="72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01DE5D8E">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1063" w:type="dxa"/>
            <w:vMerge w:val="continue"/>
            <w:tcBorders>
              <w:top w:val="nil"/>
              <w:left w:val="single" w:color="auto" w:sz="4" w:space="0"/>
              <w:bottom w:val="single" w:color="auto" w:sz="4" w:space="0"/>
              <w:right w:val="single" w:color="auto" w:sz="4" w:space="0"/>
            </w:tcBorders>
            <w:vAlign w:val="center"/>
          </w:tcPr>
          <w:p w14:paraId="68AB961E">
            <w:pPr>
              <w:widowControl/>
              <w:jc w:val="left"/>
              <w:rPr>
                <w:rFonts w:ascii="仿宋" w:hAnsi="仿宋" w:eastAsia="仿宋" w:cs="宋体"/>
                <w:color w:val="000000"/>
                <w:kern w:val="0"/>
                <w:sz w:val="20"/>
                <w:szCs w:val="20"/>
              </w:rPr>
            </w:pPr>
          </w:p>
        </w:tc>
        <w:tc>
          <w:tcPr>
            <w:tcW w:w="6662" w:type="dxa"/>
            <w:tcBorders>
              <w:top w:val="nil"/>
              <w:left w:val="nil"/>
              <w:bottom w:val="single" w:color="auto" w:sz="4" w:space="0"/>
              <w:right w:val="single" w:color="auto" w:sz="4" w:space="0"/>
            </w:tcBorders>
            <w:shd w:val="clear" w:color="auto" w:fill="auto"/>
            <w:vAlign w:val="center"/>
          </w:tcPr>
          <w:p w14:paraId="308F09C7">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支持不少于3级的多通道会议级联，级联会议中，可以选择下级会议中多路视频画面和音频上传到上一级会议。须提供第三方权威机构检测报告或者图片。</w:t>
            </w:r>
          </w:p>
        </w:tc>
      </w:tr>
      <w:tr w14:paraId="20932451">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22F24F11">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w:t>
            </w:r>
          </w:p>
        </w:tc>
        <w:tc>
          <w:tcPr>
            <w:tcW w:w="1063" w:type="dxa"/>
            <w:vMerge w:val="continue"/>
            <w:tcBorders>
              <w:top w:val="nil"/>
              <w:left w:val="single" w:color="auto" w:sz="4" w:space="0"/>
              <w:bottom w:val="single" w:color="auto" w:sz="4" w:space="0"/>
              <w:right w:val="single" w:color="auto" w:sz="4" w:space="0"/>
            </w:tcBorders>
            <w:vAlign w:val="center"/>
          </w:tcPr>
          <w:p w14:paraId="1F4721A3">
            <w:pPr>
              <w:widowControl/>
              <w:jc w:val="left"/>
              <w:rPr>
                <w:rFonts w:ascii="仿宋" w:hAnsi="仿宋" w:eastAsia="仿宋" w:cs="宋体"/>
                <w:color w:val="000000"/>
                <w:kern w:val="0"/>
                <w:sz w:val="20"/>
                <w:szCs w:val="20"/>
              </w:rPr>
            </w:pPr>
          </w:p>
        </w:tc>
        <w:tc>
          <w:tcPr>
            <w:tcW w:w="6662" w:type="dxa"/>
            <w:tcBorders>
              <w:top w:val="nil"/>
              <w:left w:val="nil"/>
              <w:bottom w:val="single" w:color="auto" w:sz="4" w:space="0"/>
              <w:right w:val="single" w:color="auto" w:sz="4" w:space="0"/>
            </w:tcBorders>
            <w:shd w:val="clear" w:color="auto" w:fill="auto"/>
            <w:vAlign w:val="center"/>
          </w:tcPr>
          <w:p w14:paraId="5C296977">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支持录播服务器接入视频会议系统，能对会议进行录播，须提供第三方权威机构检测报告或者图片。</w:t>
            </w:r>
          </w:p>
        </w:tc>
      </w:tr>
      <w:tr w14:paraId="7D69C817">
        <w:tblPrEx>
          <w:tblCellMar>
            <w:top w:w="0" w:type="dxa"/>
            <w:left w:w="108" w:type="dxa"/>
            <w:bottom w:w="0" w:type="dxa"/>
            <w:right w:w="108" w:type="dxa"/>
          </w:tblCellMar>
        </w:tblPrEx>
        <w:trPr>
          <w:trHeight w:val="120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5323E1A8">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22</w:t>
            </w:r>
          </w:p>
        </w:tc>
        <w:tc>
          <w:tcPr>
            <w:tcW w:w="1063" w:type="dxa"/>
            <w:tcBorders>
              <w:top w:val="nil"/>
              <w:left w:val="nil"/>
              <w:bottom w:val="single" w:color="auto" w:sz="4" w:space="0"/>
              <w:right w:val="single" w:color="auto" w:sz="4" w:space="0"/>
            </w:tcBorders>
            <w:shd w:val="clear" w:color="auto" w:fill="auto"/>
            <w:vAlign w:val="center"/>
          </w:tcPr>
          <w:p w14:paraId="685A15CF">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MCU资源池</w:t>
            </w:r>
          </w:p>
        </w:tc>
        <w:tc>
          <w:tcPr>
            <w:tcW w:w="6662" w:type="dxa"/>
            <w:tcBorders>
              <w:top w:val="nil"/>
              <w:left w:val="nil"/>
              <w:bottom w:val="single" w:color="auto" w:sz="4" w:space="0"/>
              <w:right w:val="single" w:color="auto" w:sz="4" w:space="0"/>
            </w:tcBorders>
            <w:shd w:val="clear" w:color="auto" w:fill="auto"/>
            <w:vAlign w:val="center"/>
          </w:tcPr>
          <w:p w14:paraId="01B21ADF">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支持多台MCU 配置为资源池使用模式，当一台MCU 发生断电或通讯网络中断的情况下，该MCU 上正在召开会议自动切换到资源池中另外一台MCU 上继续召开，不需要人为再去配置或呼叫终端，整个备份切换时间不超过5 秒。须提供第三方权威机构检测报告或者图片。</w:t>
            </w:r>
          </w:p>
        </w:tc>
      </w:tr>
      <w:tr w14:paraId="2F616ACB">
        <w:tblPrEx>
          <w:tblCellMar>
            <w:top w:w="0" w:type="dxa"/>
            <w:left w:w="108" w:type="dxa"/>
            <w:bottom w:w="0" w:type="dxa"/>
            <w:right w:w="108" w:type="dxa"/>
          </w:tblCellMar>
        </w:tblPrEx>
        <w:trPr>
          <w:trHeight w:val="144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657F5BA9">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23</w:t>
            </w:r>
          </w:p>
        </w:tc>
        <w:tc>
          <w:tcPr>
            <w:tcW w:w="1063" w:type="dxa"/>
            <w:tcBorders>
              <w:top w:val="nil"/>
              <w:left w:val="nil"/>
              <w:bottom w:val="single" w:color="auto" w:sz="4" w:space="0"/>
              <w:right w:val="single" w:color="auto" w:sz="4" w:space="0"/>
            </w:tcBorders>
            <w:shd w:val="clear" w:color="auto" w:fill="auto"/>
            <w:vAlign w:val="center"/>
          </w:tcPr>
          <w:p w14:paraId="3D85B4B7">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终端备份</w:t>
            </w:r>
          </w:p>
        </w:tc>
        <w:tc>
          <w:tcPr>
            <w:tcW w:w="6662" w:type="dxa"/>
            <w:tcBorders>
              <w:top w:val="nil"/>
              <w:left w:val="nil"/>
              <w:bottom w:val="single" w:color="auto" w:sz="4" w:space="0"/>
              <w:right w:val="single" w:color="auto" w:sz="4" w:space="0"/>
            </w:tcBorders>
            <w:shd w:val="clear" w:color="auto" w:fill="auto"/>
            <w:vAlign w:val="center"/>
          </w:tcPr>
          <w:p w14:paraId="73AAE77A">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为保证会议无缝稳定进行，需要支持重保会议功能。MCU 召集重保会议以后，参会终端在会议中出现故障（如终端异常断电，存在大量网络丢包等）时，可以自动切换到备份终端，主备终端共用相同的显示设备，切换过程中无重新呼叫过程、无图像冻结，切换完成后，备份终端依然在同一个会议，会议中的广播源，选看源不发生变化。须提供第三方权威机构检测报告或者图片。</w:t>
            </w:r>
          </w:p>
        </w:tc>
      </w:tr>
      <w:tr w14:paraId="09D130F8">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3CB7F537">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24</w:t>
            </w:r>
          </w:p>
        </w:tc>
        <w:tc>
          <w:tcPr>
            <w:tcW w:w="1063" w:type="dxa"/>
            <w:vMerge w:val="restart"/>
            <w:tcBorders>
              <w:top w:val="nil"/>
              <w:left w:val="single" w:color="auto" w:sz="4" w:space="0"/>
              <w:bottom w:val="single" w:color="auto" w:sz="4" w:space="0"/>
              <w:right w:val="single" w:color="auto" w:sz="4" w:space="0"/>
            </w:tcBorders>
            <w:shd w:val="clear" w:color="auto" w:fill="auto"/>
            <w:vAlign w:val="center"/>
          </w:tcPr>
          <w:p w14:paraId="18E94F9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设备认证资质</w:t>
            </w:r>
          </w:p>
        </w:tc>
        <w:tc>
          <w:tcPr>
            <w:tcW w:w="6662" w:type="dxa"/>
            <w:tcBorders>
              <w:top w:val="nil"/>
              <w:left w:val="nil"/>
              <w:bottom w:val="single" w:color="auto" w:sz="4" w:space="0"/>
              <w:right w:val="single" w:color="auto" w:sz="4" w:space="0"/>
            </w:tcBorders>
            <w:shd w:val="clear" w:color="auto" w:fill="auto"/>
            <w:vAlign w:val="center"/>
          </w:tcPr>
          <w:p w14:paraId="3F860D45">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投标产品具有电信设备入网证。</w:t>
            </w:r>
          </w:p>
        </w:tc>
      </w:tr>
      <w:tr w14:paraId="64E7E500">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16982FBD">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25</w:t>
            </w:r>
          </w:p>
        </w:tc>
        <w:tc>
          <w:tcPr>
            <w:tcW w:w="1063" w:type="dxa"/>
            <w:vMerge w:val="continue"/>
            <w:tcBorders>
              <w:top w:val="nil"/>
              <w:left w:val="single" w:color="auto" w:sz="4" w:space="0"/>
              <w:bottom w:val="single" w:color="auto" w:sz="4" w:space="0"/>
              <w:right w:val="single" w:color="auto" w:sz="4" w:space="0"/>
            </w:tcBorders>
            <w:vAlign w:val="center"/>
          </w:tcPr>
          <w:p w14:paraId="78A2FFF9">
            <w:pPr>
              <w:widowControl/>
              <w:jc w:val="left"/>
              <w:rPr>
                <w:rFonts w:ascii="仿宋" w:hAnsi="仿宋" w:eastAsia="仿宋" w:cs="宋体"/>
                <w:color w:val="000000"/>
                <w:kern w:val="0"/>
                <w:sz w:val="20"/>
                <w:szCs w:val="20"/>
              </w:rPr>
            </w:pPr>
          </w:p>
        </w:tc>
        <w:tc>
          <w:tcPr>
            <w:tcW w:w="6662" w:type="dxa"/>
            <w:tcBorders>
              <w:top w:val="nil"/>
              <w:left w:val="nil"/>
              <w:bottom w:val="single" w:color="auto" w:sz="4" w:space="0"/>
              <w:right w:val="single" w:color="auto" w:sz="4" w:space="0"/>
            </w:tcBorders>
            <w:shd w:val="clear" w:color="auto" w:fill="auto"/>
            <w:vAlign w:val="center"/>
          </w:tcPr>
          <w:p w14:paraId="7CE1DDBC">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投标产品具有RoHS认证。</w:t>
            </w:r>
          </w:p>
        </w:tc>
      </w:tr>
      <w:tr w14:paraId="307EDCDC">
        <w:tblPrEx>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0CE2CF41">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26</w:t>
            </w:r>
          </w:p>
        </w:tc>
        <w:tc>
          <w:tcPr>
            <w:tcW w:w="1063" w:type="dxa"/>
            <w:vMerge w:val="continue"/>
            <w:tcBorders>
              <w:top w:val="nil"/>
              <w:left w:val="single" w:color="auto" w:sz="4" w:space="0"/>
              <w:bottom w:val="single" w:color="auto" w:sz="4" w:space="0"/>
              <w:right w:val="single" w:color="auto" w:sz="4" w:space="0"/>
            </w:tcBorders>
            <w:vAlign w:val="center"/>
          </w:tcPr>
          <w:p w14:paraId="3CA74496">
            <w:pPr>
              <w:widowControl/>
              <w:jc w:val="left"/>
              <w:rPr>
                <w:rFonts w:ascii="仿宋" w:hAnsi="仿宋" w:eastAsia="仿宋" w:cs="宋体"/>
                <w:color w:val="000000"/>
                <w:kern w:val="0"/>
                <w:sz w:val="20"/>
                <w:szCs w:val="20"/>
              </w:rPr>
            </w:pPr>
          </w:p>
        </w:tc>
        <w:tc>
          <w:tcPr>
            <w:tcW w:w="6662" w:type="dxa"/>
            <w:tcBorders>
              <w:top w:val="nil"/>
              <w:left w:val="nil"/>
              <w:bottom w:val="single" w:color="auto" w:sz="4" w:space="0"/>
              <w:right w:val="single" w:color="auto" w:sz="4" w:space="0"/>
            </w:tcBorders>
            <w:shd w:val="clear" w:color="auto" w:fill="auto"/>
            <w:vAlign w:val="center"/>
          </w:tcPr>
          <w:p w14:paraId="47207C66">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投标产品具有CCC认证。</w:t>
            </w:r>
          </w:p>
        </w:tc>
      </w:tr>
    </w:tbl>
    <w:p w14:paraId="57C945E5">
      <w:pPr>
        <w:autoSpaceDE w:val="0"/>
        <w:autoSpaceDN w:val="0"/>
        <w:adjustRightInd w:val="0"/>
        <w:snapToGrid w:val="0"/>
        <w:spacing w:line="400" w:lineRule="exact"/>
        <w:contextualSpacing/>
        <w:jc w:val="left"/>
        <w:rPr>
          <w:rFonts w:ascii="仿宋" w:hAnsi="仿宋" w:eastAsia="仿宋"/>
          <w:b/>
          <w:bCs/>
          <w:sz w:val="24"/>
          <w:szCs w:val="24"/>
        </w:rPr>
      </w:pPr>
    </w:p>
    <w:p w14:paraId="040FCA1A">
      <w:pPr>
        <w:pStyle w:val="8"/>
        <w:numPr>
          <w:ilvl w:val="0"/>
          <w:numId w:val="5"/>
        </w:numPr>
        <w:autoSpaceDE w:val="0"/>
        <w:autoSpaceDN w:val="0"/>
        <w:adjustRightInd w:val="0"/>
        <w:snapToGrid w:val="0"/>
        <w:spacing w:line="400" w:lineRule="exact"/>
        <w:ind w:firstLineChars="0"/>
        <w:contextualSpacing/>
        <w:jc w:val="left"/>
        <w:rPr>
          <w:rFonts w:ascii="仿宋" w:hAnsi="仿宋" w:eastAsia="仿宋"/>
          <w:b/>
          <w:bCs/>
          <w:sz w:val="24"/>
          <w:szCs w:val="24"/>
        </w:rPr>
      </w:pPr>
      <w:r>
        <w:rPr>
          <w:rFonts w:hint="eastAsia" w:ascii="仿宋" w:hAnsi="仿宋" w:eastAsia="仿宋"/>
          <w:b/>
          <w:bCs/>
          <w:sz w:val="24"/>
          <w:szCs w:val="24"/>
        </w:rPr>
        <w:t>视频会议管理系统</w:t>
      </w:r>
      <w:r>
        <w:rPr>
          <w:rFonts w:ascii="仿宋" w:hAnsi="仿宋" w:eastAsia="仿宋"/>
          <w:b/>
          <w:bCs/>
          <w:sz w:val="24"/>
          <w:szCs w:val="24"/>
        </w:rPr>
        <w:t>要求</w:t>
      </w:r>
    </w:p>
    <w:tbl>
      <w:tblPr>
        <w:tblStyle w:val="5"/>
        <w:tblW w:w="8505" w:type="dxa"/>
        <w:tblInd w:w="421" w:type="dxa"/>
        <w:tblLayout w:type="autofit"/>
        <w:tblCellMar>
          <w:top w:w="0" w:type="dxa"/>
          <w:left w:w="108" w:type="dxa"/>
          <w:bottom w:w="0" w:type="dxa"/>
          <w:right w:w="108" w:type="dxa"/>
        </w:tblCellMar>
      </w:tblPr>
      <w:tblGrid>
        <w:gridCol w:w="780"/>
        <w:gridCol w:w="1080"/>
        <w:gridCol w:w="6645"/>
      </w:tblGrid>
      <w:tr w14:paraId="3336B740">
        <w:tblPrEx>
          <w:tblCellMar>
            <w:top w:w="0" w:type="dxa"/>
            <w:left w:w="108" w:type="dxa"/>
            <w:bottom w:w="0" w:type="dxa"/>
            <w:right w:w="108" w:type="dxa"/>
          </w:tblCellMar>
        </w:tblPrEx>
        <w:trPr>
          <w:trHeight w:val="570"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4C2CB3D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序号</w:t>
            </w:r>
          </w:p>
        </w:tc>
        <w:tc>
          <w:tcPr>
            <w:tcW w:w="1080" w:type="dxa"/>
            <w:tcBorders>
              <w:top w:val="single" w:color="auto" w:sz="4" w:space="0"/>
              <w:left w:val="nil"/>
              <w:bottom w:val="single" w:color="auto" w:sz="4" w:space="0"/>
              <w:right w:val="single" w:color="auto" w:sz="4" w:space="0"/>
            </w:tcBorders>
            <w:shd w:val="clear" w:color="auto" w:fill="auto"/>
            <w:vAlign w:val="center"/>
          </w:tcPr>
          <w:p w14:paraId="7EB65D0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指标项</w:t>
            </w:r>
          </w:p>
        </w:tc>
        <w:tc>
          <w:tcPr>
            <w:tcW w:w="6645" w:type="dxa"/>
            <w:tcBorders>
              <w:top w:val="single" w:color="auto" w:sz="4" w:space="0"/>
              <w:left w:val="nil"/>
              <w:bottom w:val="single" w:color="auto" w:sz="4" w:space="0"/>
              <w:right w:val="single" w:color="auto" w:sz="4" w:space="0"/>
            </w:tcBorders>
            <w:shd w:val="clear" w:color="auto" w:fill="auto"/>
            <w:vAlign w:val="center"/>
          </w:tcPr>
          <w:p w14:paraId="2CBA404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指标项要求</w:t>
            </w:r>
          </w:p>
        </w:tc>
      </w:tr>
      <w:tr w14:paraId="545BFFD4">
        <w:tblPrEx>
          <w:tblCellMar>
            <w:top w:w="0" w:type="dxa"/>
            <w:left w:w="108" w:type="dxa"/>
            <w:bottom w:w="0" w:type="dxa"/>
            <w:right w:w="108" w:type="dxa"/>
          </w:tblCellMar>
        </w:tblPrEx>
        <w:trPr>
          <w:trHeight w:val="1425"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44D1849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080" w:type="dxa"/>
            <w:tcBorders>
              <w:top w:val="nil"/>
              <w:left w:val="nil"/>
              <w:bottom w:val="single" w:color="auto" w:sz="4" w:space="0"/>
              <w:right w:val="single" w:color="auto" w:sz="4" w:space="0"/>
            </w:tcBorders>
            <w:shd w:val="clear" w:color="auto" w:fill="auto"/>
            <w:vAlign w:val="center"/>
          </w:tcPr>
          <w:p w14:paraId="7CF5764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系统构架</w:t>
            </w:r>
          </w:p>
        </w:tc>
        <w:tc>
          <w:tcPr>
            <w:tcW w:w="6645" w:type="dxa"/>
            <w:tcBorders>
              <w:top w:val="nil"/>
              <w:left w:val="nil"/>
              <w:bottom w:val="single" w:color="auto" w:sz="4" w:space="0"/>
              <w:right w:val="single" w:color="auto" w:sz="4" w:space="0"/>
            </w:tcBorders>
            <w:shd w:val="clear" w:color="auto" w:fill="auto"/>
            <w:vAlign w:val="center"/>
          </w:tcPr>
          <w:p w14:paraId="467CF87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采用B/S架构的软件，提供全中文的操作管理界面，为了安全起见，操作系统和数据库运行环境非Microsoft Windows平台。与MCU必须采用同品牌，并无缝对接原有的MCU及会议管理系统。满足7*24小时连续正常工作，支持会议管理平台双机热备功能。</w:t>
            </w:r>
          </w:p>
        </w:tc>
      </w:tr>
      <w:tr w14:paraId="43F13BE4">
        <w:tblPrEx>
          <w:tblCellMar>
            <w:top w:w="0" w:type="dxa"/>
            <w:left w:w="108" w:type="dxa"/>
            <w:bottom w:w="0" w:type="dxa"/>
            <w:right w:w="108" w:type="dxa"/>
          </w:tblCellMar>
        </w:tblPrEx>
        <w:trPr>
          <w:trHeight w:val="57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5A811C1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080" w:type="dxa"/>
            <w:tcBorders>
              <w:top w:val="nil"/>
              <w:left w:val="nil"/>
              <w:bottom w:val="single" w:color="auto" w:sz="4" w:space="0"/>
              <w:right w:val="single" w:color="auto" w:sz="4" w:space="0"/>
            </w:tcBorders>
            <w:shd w:val="clear" w:color="auto" w:fill="auto"/>
            <w:vAlign w:val="center"/>
          </w:tcPr>
          <w:p w14:paraId="7F194F8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设备组网</w:t>
            </w:r>
          </w:p>
        </w:tc>
        <w:tc>
          <w:tcPr>
            <w:tcW w:w="6645" w:type="dxa"/>
            <w:tcBorders>
              <w:top w:val="nil"/>
              <w:left w:val="nil"/>
              <w:bottom w:val="single" w:color="auto" w:sz="4" w:space="0"/>
              <w:right w:val="single" w:color="auto" w:sz="4" w:space="0"/>
            </w:tcBorders>
            <w:shd w:val="clear" w:color="auto" w:fill="auto"/>
            <w:vAlign w:val="center"/>
          </w:tcPr>
          <w:p w14:paraId="16B4C01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支持同时管理多台MCU，满足大规模组网需求。须提供第三方权威机构检测报告或者图片。</w:t>
            </w:r>
          </w:p>
        </w:tc>
      </w:tr>
      <w:tr w14:paraId="23B45F84">
        <w:tblPrEx>
          <w:tblCellMar>
            <w:top w:w="0" w:type="dxa"/>
            <w:left w:w="108" w:type="dxa"/>
            <w:bottom w:w="0" w:type="dxa"/>
            <w:right w:w="108" w:type="dxa"/>
          </w:tblCellMar>
        </w:tblPrEx>
        <w:trPr>
          <w:trHeight w:val="416"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2947564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080" w:type="dxa"/>
            <w:tcBorders>
              <w:top w:val="nil"/>
              <w:left w:val="nil"/>
              <w:bottom w:val="single" w:color="auto" w:sz="4" w:space="0"/>
              <w:right w:val="single" w:color="auto" w:sz="4" w:space="0"/>
            </w:tcBorders>
            <w:shd w:val="clear" w:color="auto" w:fill="auto"/>
            <w:vAlign w:val="center"/>
          </w:tcPr>
          <w:p w14:paraId="26FF725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会议管理</w:t>
            </w:r>
          </w:p>
        </w:tc>
        <w:tc>
          <w:tcPr>
            <w:tcW w:w="6645" w:type="dxa"/>
            <w:tcBorders>
              <w:top w:val="nil"/>
              <w:left w:val="nil"/>
              <w:bottom w:val="single" w:color="auto" w:sz="4" w:space="0"/>
              <w:right w:val="single" w:color="auto" w:sz="4" w:space="0"/>
            </w:tcBorders>
            <w:shd w:val="clear" w:color="auto" w:fill="auto"/>
            <w:vAlign w:val="center"/>
          </w:tcPr>
          <w:p w14:paraId="2FBFA03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对于正在召开的会议，会议管理员可进行会议控制，包括：广播、选看、点名、发言、禁止/允许发言、禁止/允许收听、断开/连接/添加/删除会场、发送/停止辅流、语音激励、终端轮询、设主会场、设为主席、关注会场、会议锁定、延长会议、结束会议。须提供第三方权威机构检测报告或者图片。</w:t>
            </w:r>
          </w:p>
        </w:tc>
      </w:tr>
      <w:tr w14:paraId="4CDB9478">
        <w:tblPrEx>
          <w:tblCellMar>
            <w:top w:w="0" w:type="dxa"/>
            <w:left w:w="108" w:type="dxa"/>
            <w:bottom w:w="0" w:type="dxa"/>
            <w:right w:w="108" w:type="dxa"/>
          </w:tblCellMar>
        </w:tblPrEx>
        <w:trPr>
          <w:trHeight w:val="1425"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0B8661E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1080" w:type="dxa"/>
            <w:tcBorders>
              <w:top w:val="nil"/>
              <w:left w:val="nil"/>
              <w:bottom w:val="single" w:color="auto" w:sz="4" w:space="0"/>
              <w:right w:val="single" w:color="auto" w:sz="4" w:space="0"/>
            </w:tcBorders>
            <w:shd w:val="clear" w:color="auto" w:fill="auto"/>
            <w:vAlign w:val="center"/>
          </w:tcPr>
          <w:p w14:paraId="6F2B72A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多画面功能</w:t>
            </w:r>
          </w:p>
        </w:tc>
        <w:tc>
          <w:tcPr>
            <w:tcW w:w="6645" w:type="dxa"/>
            <w:tcBorders>
              <w:top w:val="nil"/>
              <w:left w:val="nil"/>
              <w:bottom w:val="single" w:color="auto" w:sz="4" w:space="0"/>
              <w:right w:val="single" w:color="auto" w:sz="4" w:space="0"/>
            </w:tcBorders>
            <w:shd w:val="clear" w:color="auto" w:fill="auto"/>
            <w:vAlign w:val="center"/>
          </w:tcPr>
          <w:p w14:paraId="79B062E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多画面功能，包括：多画面默认布局、多画面多种合成方案选择、多画面自动合成、多画面手动选择、会议中多画面动态切换、多画面分页轮询，辅视频进多画面、其他会议终端进多画面。须提供第三方权威机构检测报告或者图片。</w:t>
            </w:r>
          </w:p>
        </w:tc>
      </w:tr>
      <w:tr w14:paraId="0D26482A">
        <w:tblPrEx>
          <w:tblCellMar>
            <w:top w:w="0" w:type="dxa"/>
            <w:left w:w="108" w:type="dxa"/>
            <w:bottom w:w="0" w:type="dxa"/>
            <w:right w:w="108" w:type="dxa"/>
          </w:tblCellMar>
        </w:tblPrEx>
        <w:trPr>
          <w:trHeight w:val="855"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0D9D314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1080" w:type="dxa"/>
            <w:tcBorders>
              <w:top w:val="nil"/>
              <w:left w:val="nil"/>
              <w:bottom w:val="single" w:color="auto" w:sz="4" w:space="0"/>
              <w:right w:val="single" w:color="auto" w:sz="4" w:space="0"/>
            </w:tcBorders>
            <w:shd w:val="clear" w:color="auto" w:fill="auto"/>
            <w:vAlign w:val="center"/>
          </w:tcPr>
          <w:p w14:paraId="3550F9E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音视频监控</w:t>
            </w:r>
          </w:p>
        </w:tc>
        <w:tc>
          <w:tcPr>
            <w:tcW w:w="6645" w:type="dxa"/>
            <w:tcBorders>
              <w:top w:val="nil"/>
              <w:left w:val="nil"/>
              <w:bottom w:val="single" w:color="auto" w:sz="4" w:space="0"/>
              <w:right w:val="single" w:color="auto" w:sz="4" w:space="0"/>
            </w:tcBorders>
            <w:shd w:val="clear" w:color="auto" w:fill="auto"/>
            <w:vAlign w:val="center"/>
          </w:tcPr>
          <w:p w14:paraId="5ACA7B9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支持会场web页面在线音视频监控，查看当前与会终端的声音和图像，同一个web页面至少支持8路音视频监控。须提供第三方权威机构检测报告或者图片。</w:t>
            </w:r>
          </w:p>
        </w:tc>
      </w:tr>
      <w:tr w14:paraId="25CF297D">
        <w:tblPrEx>
          <w:tblCellMar>
            <w:top w:w="0" w:type="dxa"/>
            <w:left w:w="108" w:type="dxa"/>
            <w:bottom w:w="0" w:type="dxa"/>
            <w:right w:w="108" w:type="dxa"/>
          </w:tblCellMar>
        </w:tblPrEx>
        <w:trPr>
          <w:trHeight w:val="57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1EBC459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1080" w:type="dxa"/>
            <w:tcBorders>
              <w:top w:val="nil"/>
              <w:left w:val="nil"/>
              <w:bottom w:val="single" w:color="auto" w:sz="4" w:space="0"/>
              <w:right w:val="single" w:color="auto" w:sz="4" w:space="0"/>
            </w:tcBorders>
            <w:shd w:val="clear" w:color="auto" w:fill="auto"/>
            <w:vAlign w:val="center"/>
          </w:tcPr>
          <w:p w14:paraId="5A4131E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终端电视墙</w:t>
            </w:r>
          </w:p>
        </w:tc>
        <w:tc>
          <w:tcPr>
            <w:tcW w:w="6645" w:type="dxa"/>
            <w:tcBorders>
              <w:top w:val="nil"/>
              <w:left w:val="nil"/>
              <w:bottom w:val="single" w:color="auto" w:sz="4" w:space="0"/>
              <w:right w:val="single" w:color="auto" w:sz="4" w:space="0"/>
            </w:tcBorders>
            <w:shd w:val="clear" w:color="auto" w:fill="auto"/>
            <w:vAlign w:val="center"/>
          </w:tcPr>
          <w:p w14:paraId="4D767EF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支持配置终端电视墙，终端充当电视墙使用，监控多画面图像。</w:t>
            </w:r>
          </w:p>
        </w:tc>
      </w:tr>
      <w:tr w14:paraId="0955B553">
        <w:tblPrEx>
          <w:tblCellMar>
            <w:top w:w="0" w:type="dxa"/>
            <w:left w:w="108" w:type="dxa"/>
            <w:bottom w:w="0" w:type="dxa"/>
            <w:right w:w="108" w:type="dxa"/>
          </w:tblCellMar>
        </w:tblPrEx>
        <w:trPr>
          <w:trHeight w:val="855"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422931B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c>
          <w:tcPr>
            <w:tcW w:w="1080" w:type="dxa"/>
            <w:tcBorders>
              <w:top w:val="nil"/>
              <w:left w:val="nil"/>
              <w:bottom w:val="single" w:color="auto" w:sz="4" w:space="0"/>
              <w:right w:val="single" w:color="auto" w:sz="4" w:space="0"/>
            </w:tcBorders>
            <w:shd w:val="clear" w:color="auto" w:fill="auto"/>
            <w:vAlign w:val="center"/>
          </w:tcPr>
          <w:p w14:paraId="7965639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远程控制</w:t>
            </w:r>
          </w:p>
        </w:tc>
        <w:tc>
          <w:tcPr>
            <w:tcW w:w="6645" w:type="dxa"/>
            <w:tcBorders>
              <w:top w:val="nil"/>
              <w:left w:val="nil"/>
              <w:bottom w:val="single" w:color="auto" w:sz="4" w:space="0"/>
              <w:right w:val="single" w:color="auto" w:sz="4" w:space="0"/>
            </w:tcBorders>
            <w:shd w:val="clear" w:color="auto" w:fill="auto"/>
            <w:vAlign w:val="center"/>
          </w:tcPr>
          <w:p w14:paraId="3844C74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支持通过会议控制页面对各个分会场的摄像头进行远程控制（上下左右、远近、调焦）、进行视频源选择，进行预置位控制。</w:t>
            </w:r>
          </w:p>
        </w:tc>
      </w:tr>
      <w:tr w14:paraId="1CCDAB66">
        <w:tblPrEx>
          <w:tblCellMar>
            <w:top w:w="0" w:type="dxa"/>
            <w:left w:w="108" w:type="dxa"/>
            <w:bottom w:w="0" w:type="dxa"/>
            <w:right w:w="108" w:type="dxa"/>
          </w:tblCellMar>
        </w:tblPrEx>
        <w:trPr>
          <w:trHeight w:val="855"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05A3F99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1080" w:type="dxa"/>
            <w:tcBorders>
              <w:top w:val="nil"/>
              <w:left w:val="nil"/>
              <w:bottom w:val="single" w:color="auto" w:sz="4" w:space="0"/>
              <w:right w:val="single" w:color="auto" w:sz="4" w:space="0"/>
            </w:tcBorders>
            <w:shd w:val="clear" w:color="auto" w:fill="auto"/>
            <w:vAlign w:val="center"/>
          </w:tcPr>
          <w:p w14:paraId="03CAFA6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字幕消息</w:t>
            </w:r>
          </w:p>
        </w:tc>
        <w:tc>
          <w:tcPr>
            <w:tcW w:w="6645" w:type="dxa"/>
            <w:tcBorders>
              <w:top w:val="nil"/>
              <w:left w:val="nil"/>
              <w:bottom w:val="single" w:color="auto" w:sz="4" w:space="0"/>
              <w:right w:val="single" w:color="auto" w:sz="4" w:space="0"/>
            </w:tcBorders>
            <w:shd w:val="clear" w:color="auto" w:fill="auto"/>
            <w:vAlign w:val="center"/>
          </w:tcPr>
          <w:p w14:paraId="55228B8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支持横幅、字幕、短消息功能,包括设置横幅字体、背景；支持字幕滚动显示；支持向所有会场发送短消息；支持向特定会场发送短消息。</w:t>
            </w:r>
          </w:p>
        </w:tc>
      </w:tr>
      <w:tr w14:paraId="5D2F3C7F">
        <w:tblPrEx>
          <w:tblCellMar>
            <w:top w:w="0" w:type="dxa"/>
            <w:left w:w="108" w:type="dxa"/>
            <w:bottom w:w="0" w:type="dxa"/>
            <w:right w:w="108" w:type="dxa"/>
          </w:tblCellMar>
        </w:tblPrEx>
        <w:trPr>
          <w:trHeight w:val="114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23F617B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c>
          <w:tcPr>
            <w:tcW w:w="1080" w:type="dxa"/>
            <w:tcBorders>
              <w:top w:val="nil"/>
              <w:left w:val="nil"/>
              <w:bottom w:val="single" w:color="auto" w:sz="4" w:space="0"/>
              <w:right w:val="single" w:color="auto" w:sz="4" w:space="0"/>
            </w:tcBorders>
            <w:shd w:val="clear" w:color="auto" w:fill="auto"/>
            <w:vAlign w:val="center"/>
          </w:tcPr>
          <w:p w14:paraId="0952D91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会议拆分与合并</w:t>
            </w:r>
          </w:p>
        </w:tc>
        <w:tc>
          <w:tcPr>
            <w:tcW w:w="6645" w:type="dxa"/>
            <w:tcBorders>
              <w:top w:val="nil"/>
              <w:left w:val="nil"/>
              <w:bottom w:val="single" w:color="auto" w:sz="4" w:space="0"/>
              <w:right w:val="single" w:color="auto" w:sz="4" w:space="0"/>
            </w:tcBorders>
            <w:shd w:val="clear" w:color="auto" w:fill="auto"/>
            <w:vAlign w:val="center"/>
          </w:tcPr>
          <w:p w14:paraId="6A7DCC8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会议拆分与合并功能，支持在会议进行中进行拆分为多个小型会议，同时支持在会议进行中将小型会议合并到一个大型会议中，以满足大会分组讨论与合并讨论的功能需求。须提供第三方权威机构检测报告或者图片。</w:t>
            </w:r>
          </w:p>
        </w:tc>
      </w:tr>
      <w:tr w14:paraId="70BFB084">
        <w:tblPrEx>
          <w:tblCellMar>
            <w:top w:w="0" w:type="dxa"/>
            <w:left w:w="108" w:type="dxa"/>
            <w:bottom w:w="0" w:type="dxa"/>
            <w:right w:w="108" w:type="dxa"/>
          </w:tblCellMar>
        </w:tblPrEx>
        <w:trPr>
          <w:trHeight w:val="855"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485DC52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c>
          <w:tcPr>
            <w:tcW w:w="1080" w:type="dxa"/>
            <w:tcBorders>
              <w:top w:val="nil"/>
              <w:left w:val="nil"/>
              <w:bottom w:val="single" w:color="auto" w:sz="4" w:space="0"/>
              <w:right w:val="single" w:color="auto" w:sz="4" w:space="0"/>
            </w:tcBorders>
            <w:shd w:val="clear" w:color="auto" w:fill="auto"/>
            <w:vAlign w:val="center"/>
          </w:tcPr>
          <w:p w14:paraId="0621D2D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终端备份</w:t>
            </w:r>
          </w:p>
        </w:tc>
        <w:tc>
          <w:tcPr>
            <w:tcW w:w="6645" w:type="dxa"/>
            <w:tcBorders>
              <w:top w:val="nil"/>
              <w:left w:val="nil"/>
              <w:bottom w:val="single" w:color="auto" w:sz="4" w:space="0"/>
              <w:right w:val="single" w:color="auto" w:sz="4" w:space="0"/>
            </w:tcBorders>
            <w:shd w:val="clear" w:color="auto" w:fill="auto"/>
            <w:vAlign w:val="center"/>
          </w:tcPr>
          <w:p w14:paraId="6027FB7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支持终端备份功能，当主用终端出现故障时可自动呼叫备用终端上会。支持视频会议语音备份功能，会议中视频终端异常，系统可自动将该视频终端切换到关联的音频终端上。</w:t>
            </w:r>
          </w:p>
        </w:tc>
      </w:tr>
      <w:tr w14:paraId="79CF6FB5">
        <w:tblPrEx>
          <w:tblCellMar>
            <w:top w:w="0" w:type="dxa"/>
            <w:left w:w="108" w:type="dxa"/>
            <w:bottom w:w="0" w:type="dxa"/>
            <w:right w:w="108" w:type="dxa"/>
          </w:tblCellMar>
        </w:tblPrEx>
        <w:trPr>
          <w:trHeight w:val="855"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4649AB2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11</w:t>
            </w:r>
          </w:p>
        </w:tc>
        <w:tc>
          <w:tcPr>
            <w:tcW w:w="1080" w:type="dxa"/>
            <w:tcBorders>
              <w:top w:val="nil"/>
              <w:left w:val="nil"/>
              <w:bottom w:val="single" w:color="auto" w:sz="4" w:space="0"/>
              <w:right w:val="single" w:color="auto" w:sz="4" w:space="0"/>
            </w:tcBorders>
            <w:shd w:val="clear" w:color="auto" w:fill="auto"/>
            <w:vAlign w:val="center"/>
          </w:tcPr>
          <w:p w14:paraId="7FD6791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MCU备份</w:t>
            </w:r>
          </w:p>
        </w:tc>
        <w:tc>
          <w:tcPr>
            <w:tcW w:w="6645" w:type="dxa"/>
            <w:tcBorders>
              <w:top w:val="nil"/>
              <w:left w:val="nil"/>
              <w:bottom w:val="single" w:color="auto" w:sz="4" w:space="0"/>
              <w:right w:val="single" w:color="auto" w:sz="4" w:space="0"/>
            </w:tcBorders>
            <w:shd w:val="clear" w:color="auto" w:fill="auto"/>
            <w:vAlign w:val="center"/>
          </w:tcPr>
          <w:p w14:paraId="1B64495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支持MCU备份功能，一个MCU出现故障，会议切换的备份MCU上去，会议不受影响，会议管理平台出现异常，支持切换到备份会议管理平台上去</w:t>
            </w:r>
          </w:p>
        </w:tc>
      </w:tr>
      <w:tr w14:paraId="339696B6">
        <w:tblPrEx>
          <w:tblCellMar>
            <w:top w:w="0" w:type="dxa"/>
            <w:left w:w="108" w:type="dxa"/>
            <w:bottom w:w="0" w:type="dxa"/>
            <w:right w:w="108" w:type="dxa"/>
          </w:tblCellMar>
        </w:tblPrEx>
        <w:trPr>
          <w:trHeight w:val="855"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6EACD70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c>
          <w:tcPr>
            <w:tcW w:w="1080" w:type="dxa"/>
            <w:tcBorders>
              <w:top w:val="nil"/>
              <w:left w:val="nil"/>
              <w:bottom w:val="single" w:color="auto" w:sz="4" w:space="0"/>
              <w:right w:val="single" w:color="auto" w:sz="4" w:space="0"/>
            </w:tcBorders>
            <w:shd w:val="clear" w:color="auto" w:fill="auto"/>
            <w:vAlign w:val="center"/>
          </w:tcPr>
          <w:p w14:paraId="0A1AAB4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自动会议</w:t>
            </w:r>
          </w:p>
        </w:tc>
        <w:tc>
          <w:tcPr>
            <w:tcW w:w="6645" w:type="dxa"/>
            <w:tcBorders>
              <w:top w:val="nil"/>
              <w:left w:val="nil"/>
              <w:bottom w:val="single" w:color="auto" w:sz="4" w:space="0"/>
              <w:right w:val="single" w:color="auto" w:sz="4" w:space="0"/>
            </w:tcBorders>
            <w:shd w:val="clear" w:color="auto" w:fill="auto"/>
            <w:vAlign w:val="center"/>
          </w:tcPr>
          <w:p w14:paraId="67619BDC">
            <w:pPr>
              <w:widowControl/>
              <w:jc w:val="left"/>
              <w:rPr>
                <w:rFonts w:ascii="仿宋" w:hAnsi="仿宋" w:eastAsia="仿宋" w:cs="宋体"/>
                <w:color w:val="000000"/>
                <w:kern w:val="0"/>
                <w:szCs w:val="21"/>
              </w:rPr>
            </w:pPr>
            <w:bookmarkStart w:id="0" w:name="RANGE!D49"/>
            <w:r>
              <w:rPr>
                <w:rFonts w:hint="eastAsia" w:ascii="仿宋" w:hAnsi="仿宋" w:eastAsia="仿宋" w:cs="宋体"/>
                <w:color w:val="000000"/>
                <w:kern w:val="0"/>
                <w:szCs w:val="21"/>
              </w:rPr>
              <w:t>可以按照用户域结构自动召开会议，自动召开下级会议，自动添加域内终端入会；只需要维护地址簿域内终端即可，不需要频繁修改会议草稿。</w:t>
            </w:r>
            <w:bookmarkEnd w:id="0"/>
          </w:p>
        </w:tc>
      </w:tr>
      <w:tr w14:paraId="19B4ACCF">
        <w:tblPrEx>
          <w:tblCellMar>
            <w:top w:w="0" w:type="dxa"/>
            <w:left w:w="108" w:type="dxa"/>
            <w:bottom w:w="0" w:type="dxa"/>
            <w:right w:w="108" w:type="dxa"/>
          </w:tblCellMar>
        </w:tblPrEx>
        <w:trPr>
          <w:trHeight w:val="855"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40A3065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13</w:t>
            </w:r>
          </w:p>
        </w:tc>
        <w:tc>
          <w:tcPr>
            <w:tcW w:w="1080" w:type="dxa"/>
            <w:tcBorders>
              <w:top w:val="nil"/>
              <w:left w:val="nil"/>
              <w:bottom w:val="single" w:color="auto" w:sz="4" w:space="0"/>
              <w:right w:val="single" w:color="auto" w:sz="4" w:space="0"/>
            </w:tcBorders>
            <w:shd w:val="clear" w:color="auto" w:fill="auto"/>
            <w:vAlign w:val="center"/>
          </w:tcPr>
          <w:p w14:paraId="44C6A6D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会议关联</w:t>
            </w:r>
          </w:p>
        </w:tc>
        <w:tc>
          <w:tcPr>
            <w:tcW w:w="6645" w:type="dxa"/>
            <w:tcBorders>
              <w:top w:val="nil"/>
              <w:left w:val="nil"/>
              <w:bottom w:val="single" w:color="auto" w:sz="4" w:space="0"/>
              <w:right w:val="single" w:color="auto" w:sz="4" w:space="0"/>
            </w:tcBorders>
            <w:shd w:val="clear" w:color="auto" w:fill="auto"/>
            <w:vAlign w:val="center"/>
          </w:tcPr>
          <w:p w14:paraId="2D50583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多个会议管理平台之间召开级联会议，在任意一个会议管理平台上召开会议，可以把相邻会议管理平台上的相关会议召开起开，避免到多个环境上分别召开会议。</w:t>
            </w:r>
          </w:p>
        </w:tc>
      </w:tr>
    </w:tbl>
    <w:p w14:paraId="16B14784">
      <w:pPr>
        <w:autoSpaceDE w:val="0"/>
        <w:autoSpaceDN w:val="0"/>
        <w:adjustRightInd w:val="0"/>
        <w:snapToGrid w:val="0"/>
        <w:spacing w:line="400" w:lineRule="exact"/>
        <w:contextualSpacing/>
        <w:jc w:val="left"/>
        <w:rPr>
          <w:rFonts w:ascii="仿宋" w:hAnsi="仿宋" w:eastAsia="仿宋"/>
          <w:b/>
          <w:bCs/>
          <w:sz w:val="24"/>
          <w:szCs w:val="24"/>
        </w:rPr>
      </w:pPr>
    </w:p>
    <w:p w14:paraId="799A6800">
      <w:pPr>
        <w:pStyle w:val="8"/>
        <w:ind w:left="660" w:firstLine="0" w:firstLineChars="0"/>
        <w:rPr>
          <w:rFonts w:ascii="宋体" w:hAnsi="宋体" w:eastAsia="宋体" w:cs="宋体"/>
          <w:b/>
          <w:bCs/>
          <w:color w:val="000000"/>
          <w:kern w:val="0"/>
          <w:sz w:val="32"/>
          <w:szCs w:val="32"/>
        </w:rPr>
      </w:pPr>
    </w:p>
    <w:p w14:paraId="52F7CD45">
      <w:pPr>
        <w:widowControl/>
        <w:jc w:val="left"/>
        <w:rPr>
          <w:rFonts w:ascii="宋体" w:hAnsi="宋体" w:eastAsia="宋体" w:cs="宋体"/>
          <w:b/>
          <w:bCs/>
          <w:color w:val="000000"/>
          <w:kern w:val="0"/>
          <w:sz w:val="32"/>
          <w:szCs w:val="32"/>
        </w:rPr>
      </w:pPr>
      <w:r>
        <w:rPr>
          <w:rFonts w:ascii="宋体" w:hAnsi="宋体" w:eastAsia="宋体" w:cs="宋体"/>
          <w:b/>
          <w:bCs/>
          <w:color w:val="000000"/>
          <w:kern w:val="0"/>
          <w:sz w:val="32"/>
          <w:szCs w:val="32"/>
        </w:rPr>
        <w:br w:type="page"/>
      </w:r>
    </w:p>
    <w:p w14:paraId="3B166CDC">
      <w:pPr>
        <w:pStyle w:val="8"/>
        <w:ind w:left="660" w:firstLine="0" w:firstLineChars="0"/>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附件：</w:t>
      </w:r>
    </w:p>
    <w:p w14:paraId="19714417">
      <w:pPr>
        <w:ind w:firstLine="640" w:firstLineChars="200"/>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国家税务总局</w:t>
      </w:r>
      <w:r>
        <w:rPr>
          <w:rFonts w:hint="eastAsia" w:ascii="宋体" w:hAnsi="宋体" w:eastAsia="宋体" w:cs="宋体"/>
          <w:b/>
          <w:bCs/>
          <w:color w:val="000000"/>
          <w:kern w:val="0"/>
          <w:sz w:val="32"/>
          <w:szCs w:val="32"/>
          <w:lang w:eastAsia="zh-CN"/>
        </w:rPr>
        <w:t>那曲市</w:t>
      </w:r>
      <w:r>
        <w:rPr>
          <w:rFonts w:hint="eastAsia" w:ascii="宋体" w:hAnsi="宋体" w:eastAsia="宋体" w:cs="宋体"/>
          <w:b/>
          <w:bCs/>
          <w:color w:val="000000"/>
          <w:kern w:val="0"/>
          <w:sz w:val="32"/>
          <w:szCs w:val="32"/>
        </w:rPr>
        <w:t>税务局视频会议系统设备采购项目</w:t>
      </w:r>
    </w:p>
    <w:p w14:paraId="6B96163C">
      <w:pPr>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竞价现场勘查确认函</w:t>
      </w:r>
    </w:p>
    <w:p w14:paraId="749CC1CB">
      <w:pPr>
        <w:jc w:val="center"/>
        <w:rPr>
          <w:rFonts w:ascii="宋体" w:hAnsi="宋体" w:eastAsia="宋体" w:cs="宋体"/>
          <w:bCs/>
          <w:color w:val="000000"/>
          <w:kern w:val="0"/>
          <w:sz w:val="32"/>
          <w:szCs w:val="32"/>
        </w:rPr>
      </w:pPr>
    </w:p>
    <w:p w14:paraId="1888AB4A">
      <w:pPr>
        <w:snapToGrid w:val="0"/>
        <w:spacing w:line="360" w:lineRule="auto"/>
        <w:jc w:val="left"/>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国家税务总局</w:t>
      </w:r>
      <w:r>
        <w:rPr>
          <w:rFonts w:hint="eastAsia" w:ascii="宋体" w:hAnsi="宋体" w:eastAsia="宋体" w:cs="宋体"/>
          <w:bCs/>
          <w:color w:val="000000"/>
          <w:kern w:val="0"/>
          <w:sz w:val="28"/>
          <w:szCs w:val="28"/>
          <w:lang w:eastAsia="zh-CN"/>
        </w:rPr>
        <w:t>那曲市</w:t>
      </w:r>
      <w:r>
        <w:rPr>
          <w:rFonts w:hint="eastAsia" w:ascii="宋体" w:hAnsi="宋体" w:eastAsia="宋体" w:cs="宋体"/>
          <w:bCs/>
          <w:color w:val="000000"/>
          <w:kern w:val="0"/>
          <w:sz w:val="28"/>
          <w:szCs w:val="28"/>
        </w:rPr>
        <w:t>税务局：</w:t>
      </w:r>
    </w:p>
    <w:p w14:paraId="2DC4C362">
      <w:pPr>
        <w:snapToGrid w:val="0"/>
        <w:spacing w:line="360" w:lineRule="auto"/>
        <w:ind w:firstLine="700" w:firstLineChars="250"/>
        <w:jc w:val="left"/>
        <w:rPr>
          <w:rFonts w:ascii="宋体" w:hAnsi="宋体" w:eastAsia="宋体" w:cs="宋体"/>
          <w:b/>
          <w:bCs/>
          <w:color w:val="000000"/>
          <w:kern w:val="0"/>
          <w:sz w:val="28"/>
          <w:szCs w:val="28"/>
        </w:rPr>
      </w:pPr>
      <w:r>
        <w:rPr>
          <w:rFonts w:hint="eastAsia" w:ascii="宋体" w:hAnsi="宋体" w:eastAsia="宋体" w:cs="宋体"/>
          <w:bCs/>
          <w:color w:val="000000"/>
          <w:kern w:val="0"/>
          <w:sz w:val="28"/>
          <w:szCs w:val="28"/>
        </w:rPr>
        <w:t>我单位对“国家税务总局</w:t>
      </w:r>
      <w:r>
        <w:rPr>
          <w:rFonts w:hint="eastAsia" w:ascii="宋体" w:hAnsi="宋体" w:eastAsia="宋体" w:cs="宋体"/>
          <w:bCs/>
          <w:color w:val="000000"/>
          <w:kern w:val="0"/>
          <w:sz w:val="28"/>
          <w:szCs w:val="28"/>
          <w:lang w:eastAsia="zh-CN"/>
        </w:rPr>
        <w:t>那曲市</w:t>
      </w:r>
      <w:r>
        <w:rPr>
          <w:rFonts w:hint="eastAsia" w:ascii="宋体" w:hAnsi="宋体" w:eastAsia="宋体" w:cs="宋体"/>
          <w:bCs/>
          <w:color w:val="000000"/>
          <w:kern w:val="0"/>
          <w:sz w:val="28"/>
          <w:szCs w:val="28"/>
        </w:rPr>
        <w:t>税务局视频会议系统设备采购项目”进行了现场细致勘查，对投标内容充分了解，对报价范围充分清楚，项目范围内的风险由我公司承担。</w:t>
      </w:r>
    </w:p>
    <w:p w14:paraId="3C7A2E0B">
      <w:pPr>
        <w:snapToGrid w:val="0"/>
        <w:spacing w:line="360" w:lineRule="auto"/>
        <w:ind w:firstLine="700" w:firstLineChars="250"/>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特此函告。</w:t>
      </w:r>
    </w:p>
    <w:p w14:paraId="0D860C6D">
      <w:pPr>
        <w:snapToGrid w:val="0"/>
        <w:spacing w:line="360" w:lineRule="auto"/>
        <w:jc w:val="left"/>
        <w:rPr>
          <w:rFonts w:ascii="宋体" w:hAnsi="宋体" w:eastAsia="宋体" w:cs="宋体"/>
          <w:b/>
          <w:bCs/>
          <w:color w:val="000000"/>
          <w:kern w:val="0"/>
          <w:sz w:val="28"/>
          <w:szCs w:val="28"/>
        </w:rPr>
      </w:pPr>
    </w:p>
    <w:p w14:paraId="157D96FE">
      <w:pPr>
        <w:snapToGrid w:val="0"/>
        <w:spacing w:line="360" w:lineRule="auto"/>
        <w:jc w:val="left"/>
        <w:rPr>
          <w:rFonts w:ascii="宋体" w:hAnsi="宋体" w:eastAsia="宋体" w:cs="宋体"/>
          <w:bCs/>
          <w:color w:val="000000"/>
          <w:kern w:val="0"/>
          <w:sz w:val="28"/>
          <w:szCs w:val="28"/>
        </w:rPr>
      </w:pPr>
    </w:p>
    <w:p w14:paraId="3B96B26F">
      <w:pPr>
        <w:snapToGrid w:val="0"/>
        <w:spacing w:line="360" w:lineRule="auto"/>
        <w:jc w:val="left"/>
        <w:rPr>
          <w:rFonts w:ascii="宋体" w:hAnsi="宋体" w:eastAsia="宋体" w:cs="宋体"/>
          <w:bCs/>
          <w:color w:val="000000"/>
          <w:kern w:val="0"/>
          <w:sz w:val="28"/>
          <w:szCs w:val="28"/>
        </w:rPr>
      </w:pPr>
    </w:p>
    <w:p w14:paraId="084C0BCE">
      <w:pPr>
        <w:snapToGrid w:val="0"/>
        <w:spacing w:line="360" w:lineRule="auto"/>
        <w:ind w:firstLine="3080" w:firstLineChars="1100"/>
        <w:jc w:val="left"/>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投标人（章）</w:t>
      </w:r>
    </w:p>
    <w:p w14:paraId="4F00D414">
      <w:pPr>
        <w:snapToGrid w:val="0"/>
        <w:spacing w:line="360" w:lineRule="auto"/>
        <w:ind w:firstLine="3080" w:firstLineChars="1100"/>
        <w:jc w:val="left"/>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联系人：</w:t>
      </w:r>
    </w:p>
    <w:p w14:paraId="0E36C61D">
      <w:pPr>
        <w:snapToGrid w:val="0"/>
        <w:spacing w:line="360" w:lineRule="auto"/>
        <w:ind w:firstLine="3080" w:firstLineChars="1100"/>
        <w:jc w:val="left"/>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电  话：</w:t>
      </w:r>
    </w:p>
    <w:p w14:paraId="0D99F6DC">
      <w:pPr>
        <w:snapToGrid w:val="0"/>
        <w:spacing w:line="360" w:lineRule="auto"/>
        <w:jc w:val="left"/>
        <w:rPr>
          <w:rFonts w:ascii="宋体" w:hAnsi="宋体" w:eastAsia="宋体" w:cs="宋体"/>
          <w:bCs/>
          <w:color w:val="000000"/>
          <w:kern w:val="0"/>
          <w:sz w:val="28"/>
          <w:szCs w:val="28"/>
        </w:rPr>
      </w:pPr>
    </w:p>
    <w:p w14:paraId="3492EEDD">
      <w:pPr>
        <w:snapToGrid w:val="0"/>
        <w:spacing w:line="360" w:lineRule="auto"/>
        <w:jc w:val="left"/>
        <w:rPr>
          <w:rFonts w:ascii="宋体" w:hAnsi="宋体" w:eastAsia="宋体" w:cs="宋体"/>
          <w:bCs/>
          <w:color w:val="000000"/>
          <w:kern w:val="0"/>
          <w:sz w:val="28"/>
          <w:szCs w:val="28"/>
        </w:rPr>
      </w:pPr>
      <w:r>
        <w:rPr>
          <w:rFonts w:hint="eastAsia" w:ascii="宋体" w:hAnsi="宋体" w:eastAsia="宋体" w:cs="宋体"/>
          <w:bCs/>
          <w:color w:val="000000"/>
          <w:kern w:val="0"/>
          <w:sz w:val="28"/>
          <w:szCs w:val="28"/>
          <w:lang w:eastAsia="zh-CN"/>
        </w:rPr>
        <w:t>那曲市</w:t>
      </w:r>
      <w:r>
        <w:rPr>
          <w:rFonts w:hint="eastAsia" w:ascii="宋体" w:hAnsi="宋体" w:eastAsia="宋体" w:cs="宋体"/>
          <w:bCs/>
          <w:color w:val="000000"/>
          <w:kern w:val="0"/>
          <w:sz w:val="28"/>
          <w:szCs w:val="28"/>
        </w:rPr>
        <w:t>税务局现场勘查人员（签字）：</w:t>
      </w:r>
    </w:p>
    <w:p w14:paraId="2284AA14">
      <w:pPr>
        <w:snapToGrid w:val="0"/>
        <w:spacing w:line="360" w:lineRule="auto"/>
        <w:jc w:val="left"/>
        <w:rPr>
          <w:rFonts w:ascii="宋体" w:hAnsi="宋体" w:eastAsia="宋体" w:cs="宋体"/>
          <w:bCs/>
          <w:color w:val="000000"/>
          <w:kern w:val="0"/>
          <w:sz w:val="28"/>
          <w:szCs w:val="28"/>
        </w:rPr>
      </w:pPr>
    </w:p>
    <w:p w14:paraId="66E4D4F8">
      <w:pPr>
        <w:snapToGrid w:val="0"/>
        <w:spacing w:line="360" w:lineRule="auto"/>
        <w:jc w:val="left"/>
        <w:rPr>
          <w:rFonts w:ascii="宋体" w:hAnsi="宋体" w:eastAsia="宋体" w:cs="宋体"/>
          <w:bCs/>
          <w:color w:val="000000"/>
          <w:kern w:val="0"/>
          <w:sz w:val="28"/>
          <w:szCs w:val="28"/>
        </w:rPr>
      </w:pPr>
    </w:p>
    <w:p w14:paraId="05F05F3F">
      <w:pPr>
        <w:snapToGrid w:val="0"/>
        <w:spacing w:line="360" w:lineRule="auto"/>
        <w:jc w:val="left"/>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（项目勘查后，</w:t>
      </w:r>
      <w:r>
        <w:rPr>
          <w:rFonts w:hint="eastAsia" w:ascii="宋体" w:hAnsi="宋体" w:eastAsia="宋体" w:cs="宋体"/>
          <w:bCs/>
          <w:color w:val="000000"/>
          <w:kern w:val="0"/>
          <w:sz w:val="28"/>
          <w:szCs w:val="28"/>
          <w:lang w:eastAsia="zh-CN"/>
        </w:rPr>
        <w:t>那曲市</w:t>
      </w:r>
      <w:r>
        <w:rPr>
          <w:rFonts w:hint="eastAsia" w:ascii="宋体" w:hAnsi="宋体" w:eastAsia="宋体" w:cs="宋体"/>
          <w:bCs/>
          <w:color w:val="000000"/>
          <w:kern w:val="0"/>
          <w:sz w:val="28"/>
          <w:szCs w:val="28"/>
        </w:rPr>
        <w:t>税务局项目负责人签字，供应商扫描上传，作为附件，无此文件为无效标）</w:t>
      </w:r>
    </w:p>
    <w:p w14:paraId="39151DF9">
      <w:pPr>
        <w:snapToGrid w:val="0"/>
        <w:spacing w:line="276" w:lineRule="auto"/>
        <w:rPr>
          <w:rFonts w:asciiTheme="minorEastAsia" w:hAnsiTheme="minorEastAsia"/>
          <w:sz w:val="28"/>
          <w:szCs w:val="28"/>
        </w:rPr>
      </w:pPr>
    </w:p>
    <w:p w14:paraId="65534359">
      <w:pPr>
        <w:snapToGrid w:val="0"/>
        <w:spacing w:line="276" w:lineRule="auto"/>
        <w:rPr>
          <w:rFonts w:asciiTheme="minorEastAsia" w:hAnsiTheme="minorEastAsia"/>
          <w:sz w:val="28"/>
          <w:szCs w:val="28"/>
        </w:rPr>
      </w:pPr>
    </w:p>
    <w:p w14:paraId="0701A136">
      <w:pPr>
        <w:pStyle w:val="8"/>
        <w:ind w:left="660" w:firstLine="0" w:firstLineChars="0"/>
        <w:rPr>
          <w:rFonts w:ascii="宋体" w:hAnsi="宋体" w:eastAsia="宋体" w:cs="宋体"/>
          <w:b/>
          <w:bCs/>
          <w:color w:val="000000"/>
          <w:kern w:val="0"/>
          <w:sz w:val="32"/>
          <w:szCs w:val="32"/>
        </w:rPr>
      </w:pPr>
    </w:p>
    <w:sectPr>
      <w:pgSz w:w="11907" w:h="16840"/>
      <w:pgMar w:top="1440" w:right="1304" w:bottom="1440"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2631F"/>
    <w:multiLevelType w:val="multilevel"/>
    <w:tmpl w:val="0232631F"/>
    <w:lvl w:ilvl="0" w:tentative="0">
      <w:start w:val="1"/>
      <w:numFmt w:val="decimal"/>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213645E2"/>
    <w:multiLevelType w:val="multilevel"/>
    <w:tmpl w:val="213645E2"/>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F929F2"/>
    <w:multiLevelType w:val="multilevel"/>
    <w:tmpl w:val="54F929F2"/>
    <w:lvl w:ilvl="0" w:tentative="0">
      <w:start w:val="1"/>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6A1A320C"/>
    <w:multiLevelType w:val="multilevel"/>
    <w:tmpl w:val="6A1A320C"/>
    <w:lvl w:ilvl="0" w:tentative="0">
      <w:start w:val="1"/>
      <w:numFmt w:val="decimal"/>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4">
    <w:nsid w:val="7BB0578E"/>
    <w:multiLevelType w:val="multilevel"/>
    <w:tmpl w:val="7BB0578E"/>
    <w:lvl w:ilvl="0" w:tentative="0">
      <w:start w:val="1"/>
      <w:numFmt w:val="decimal"/>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AC"/>
    <w:rsid w:val="00011A03"/>
    <w:rsid w:val="00014859"/>
    <w:rsid w:val="0003594D"/>
    <w:rsid w:val="00040DE7"/>
    <w:rsid w:val="00121C23"/>
    <w:rsid w:val="00147B7E"/>
    <w:rsid w:val="00195102"/>
    <w:rsid w:val="001B37FE"/>
    <w:rsid w:val="00211701"/>
    <w:rsid w:val="002121F4"/>
    <w:rsid w:val="002168AC"/>
    <w:rsid w:val="00231B65"/>
    <w:rsid w:val="00281E83"/>
    <w:rsid w:val="00316A38"/>
    <w:rsid w:val="003412DE"/>
    <w:rsid w:val="00373327"/>
    <w:rsid w:val="00375C1D"/>
    <w:rsid w:val="003A5E06"/>
    <w:rsid w:val="003B057D"/>
    <w:rsid w:val="003F633A"/>
    <w:rsid w:val="004268E4"/>
    <w:rsid w:val="00462276"/>
    <w:rsid w:val="00471BED"/>
    <w:rsid w:val="004B6B39"/>
    <w:rsid w:val="004E1940"/>
    <w:rsid w:val="004F2484"/>
    <w:rsid w:val="004F4893"/>
    <w:rsid w:val="0051394F"/>
    <w:rsid w:val="00523BCF"/>
    <w:rsid w:val="00566DF2"/>
    <w:rsid w:val="005A111E"/>
    <w:rsid w:val="005C580E"/>
    <w:rsid w:val="005E021F"/>
    <w:rsid w:val="00647A08"/>
    <w:rsid w:val="00674A4D"/>
    <w:rsid w:val="006875B9"/>
    <w:rsid w:val="006A62F1"/>
    <w:rsid w:val="006B14BB"/>
    <w:rsid w:val="006B4278"/>
    <w:rsid w:val="006D7D42"/>
    <w:rsid w:val="00747792"/>
    <w:rsid w:val="00791B76"/>
    <w:rsid w:val="007C34B4"/>
    <w:rsid w:val="007F6C02"/>
    <w:rsid w:val="008766F5"/>
    <w:rsid w:val="008871A4"/>
    <w:rsid w:val="008B3727"/>
    <w:rsid w:val="008C02D2"/>
    <w:rsid w:val="008F1091"/>
    <w:rsid w:val="008F512F"/>
    <w:rsid w:val="00912FB9"/>
    <w:rsid w:val="00923CAC"/>
    <w:rsid w:val="0094677D"/>
    <w:rsid w:val="00952C0F"/>
    <w:rsid w:val="00975A4B"/>
    <w:rsid w:val="009E0D2E"/>
    <w:rsid w:val="009E358A"/>
    <w:rsid w:val="00A06D83"/>
    <w:rsid w:val="00A104E5"/>
    <w:rsid w:val="00A24825"/>
    <w:rsid w:val="00A64E64"/>
    <w:rsid w:val="00A852DA"/>
    <w:rsid w:val="00AC4646"/>
    <w:rsid w:val="00B156EC"/>
    <w:rsid w:val="00B16299"/>
    <w:rsid w:val="00B82650"/>
    <w:rsid w:val="00BA0B01"/>
    <w:rsid w:val="00BC14C4"/>
    <w:rsid w:val="00BC3705"/>
    <w:rsid w:val="00BD0714"/>
    <w:rsid w:val="00BD665D"/>
    <w:rsid w:val="00C06F98"/>
    <w:rsid w:val="00C1096A"/>
    <w:rsid w:val="00C51C3B"/>
    <w:rsid w:val="00C711DA"/>
    <w:rsid w:val="00C928DF"/>
    <w:rsid w:val="00CA3E84"/>
    <w:rsid w:val="00CC0F44"/>
    <w:rsid w:val="00D20AA1"/>
    <w:rsid w:val="00D24E8B"/>
    <w:rsid w:val="00DE0B29"/>
    <w:rsid w:val="00DF5220"/>
    <w:rsid w:val="00E070E5"/>
    <w:rsid w:val="00E108B2"/>
    <w:rsid w:val="00E43DD6"/>
    <w:rsid w:val="00E67176"/>
    <w:rsid w:val="00E9080E"/>
    <w:rsid w:val="00F060AF"/>
    <w:rsid w:val="00F306E8"/>
    <w:rsid w:val="00F41CCC"/>
    <w:rsid w:val="00F8114D"/>
    <w:rsid w:val="00FA30BF"/>
    <w:rsid w:val="00FD4DF5"/>
    <w:rsid w:val="00FF3F53"/>
    <w:rsid w:val="56E26B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3"/>
    <w:uiPriority w:val="99"/>
    <w:rPr>
      <w:sz w:val="18"/>
      <w:szCs w:val="18"/>
    </w:rPr>
  </w:style>
  <w:style w:type="character" w:customStyle="1" w:styleId="10">
    <w:name w:val="页脚 Char"/>
    <w:basedOn w:val="7"/>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4594</Words>
  <Characters>4984</Characters>
  <Lines>37</Lines>
  <Paragraphs>10</Paragraphs>
  <TotalTime>25</TotalTime>
  <ScaleCrop>false</ScaleCrop>
  <LinksUpToDate>false</LinksUpToDate>
  <CharactersWithSpaces>5012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2021-03-24T02:14:00Z</dcterms:created>
  <dc:creator>汪雅炜</dc:creator>
  <cp:lastModifiedBy>成成</cp:lastModifiedBy>
  <dcterms:modified xsi:type="dcterms:W3CDTF">2024-11-25T04:56:25Z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EC1CB5D7CFF04BA6BAE2241FB5B28A4E_13</vt:lpwstr>
  </property>
</Properties>
</file>