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720"/>
        <w:jc w:val="center"/>
        <w:rPr>
          <w:rFonts w:ascii="仿宋" w:hAnsi="仿宋" w:cs="仿宋"/>
          <w:sz w:val="36"/>
          <w:szCs w:val="36"/>
        </w:rPr>
      </w:pPr>
    </w:p>
    <w:p>
      <w:pPr>
        <w:ind w:firstLine="720"/>
        <w:jc w:val="center"/>
        <w:rPr>
          <w:rFonts w:ascii="仿宋" w:hAnsi="仿宋" w:cs="仿宋"/>
          <w:sz w:val="36"/>
          <w:szCs w:val="36"/>
        </w:rPr>
      </w:pPr>
    </w:p>
    <w:p>
      <w:pPr>
        <w:ind w:firstLine="720"/>
        <w:jc w:val="center"/>
        <w:rPr>
          <w:rFonts w:ascii="仿宋" w:hAnsi="仿宋" w:cs="仿宋"/>
          <w:sz w:val="36"/>
          <w:szCs w:val="36"/>
        </w:rPr>
      </w:pPr>
    </w:p>
    <w:p>
      <w:pPr>
        <w:ind w:firstLine="0" w:firstLineChars="0"/>
        <w:jc w:val="center"/>
        <w:rPr>
          <w:rFonts w:ascii="仿宋" w:hAnsi="仿宋" w:cs="仿宋"/>
          <w:sz w:val="52"/>
          <w:szCs w:val="52"/>
        </w:rPr>
      </w:pPr>
    </w:p>
    <w:p>
      <w:pPr>
        <w:ind w:firstLine="1044"/>
        <w:outlineLvl w:val="0"/>
        <w:rPr>
          <w:rFonts w:ascii="仿宋" w:hAnsi="仿宋" w:cs="仿宋"/>
          <w:b/>
          <w:bCs/>
          <w:sz w:val="52"/>
          <w:szCs w:val="52"/>
        </w:rPr>
      </w:pPr>
      <w:r>
        <w:rPr>
          <w:rFonts w:hint="eastAsia" w:ascii="仿宋" w:hAnsi="仿宋" w:cs="仿宋"/>
          <w:b/>
          <w:bCs/>
          <w:sz w:val="52"/>
          <w:szCs w:val="52"/>
          <w:lang w:eastAsia="zh-CN"/>
        </w:rPr>
        <w:t>国家税务总局南雄市税务局</w:t>
      </w:r>
    </w:p>
    <w:p>
      <w:pPr>
        <w:ind w:firstLine="0" w:firstLineChars="0"/>
        <w:jc w:val="center"/>
        <w:outlineLvl w:val="0"/>
        <w:rPr>
          <w:rFonts w:ascii="仿宋" w:hAnsi="仿宋" w:cs="仿宋"/>
          <w:b/>
          <w:bCs/>
          <w:sz w:val="52"/>
          <w:szCs w:val="52"/>
        </w:rPr>
      </w:pPr>
      <w:r>
        <w:rPr>
          <w:rFonts w:hint="eastAsia" w:ascii="仿宋" w:hAnsi="仿宋" w:cs="仿宋"/>
          <w:b/>
          <w:bCs/>
          <w:sz w:val="52"/>
          <w:szCs w:val="52"/>
        </w:rPr>
        <w:t>无线安全网络覆盖项目需求文件</w:t>
      </w:r>
    </w:p>
    <w:p>
      <w:pPr>
        <w:ind w:firstLine="720"/>
        <w:rPr>
          <w:rFonts w:ascii="仿宋" w:hAnsi="仿宋" w:cs="仿宋"/>
          <w:sz w:val="36"/>
          <w:szCs w:val="36"/>
        </w:rPr>
      </w:pPr>
    </w:p>
    <w:p>
      <w:pPr>
        <w:ind w:firstLine="720"/>
        <w:rPr>
          <w:rFonts w:ascii="仿宋" w:hAnsi="仿宋" w:cs="仿宋"/>
          <w:sz w:val="36"/>
          <w:szCs w:val="36"/>
        </w:rPr>
      </w:pPr>
    </w:p>
    <w:p>
      <w:pPr>
        <w:ind w:firstLine="720"/>
        <w:rPr>
          <w:rFonts w:ascii="仿宋" w:hAnsi="仿宋" w:cs="仿宋"/>
          <w:sz w:val="36"/>
          <w:szCs w:val="36"/>
        </w:rPr>
      </w:pPr>
    </w:p>
    <w:p>
      <w:pPr>
        <w:ind w:firstLine="720"/>
        <w:rPr>
          <w:rFonts w:ascii="仿宋" w:hAnsi="仿宋" w:cs="仿宋"/>
          <w:sz w:val="36"/>
          <w:szCs w:val="36"/>
        </w:rPr>
      </w:pPr>
    </w:p>
    <w:p>
      <w:pPr>
        <w:pStyle w:val="2"/>
        <w:ind w:firstLine="480"/>
        <w:rPr>
          <w:rFonts w:ascii="仿宋" w:hAnsi="仿宋" w:cs="仿宋"/>
        </w:rPr>
      </w:pPr>
    </w:p>
    <w:p>
      <w:pPr>
        <w:pStyle w:val="2"/>
        <w:ind w:firstLine="480"/>
        <w:rPr>
          <w:rFonts w:ascii="仿宋" w:hAnsi="仿宋" w:cs="仿宋"/>
        </w:rPr>
      </w:pPr>
    </w:p>
    <w:p>
      <w:pPr>
        <w:pStyle w:val="2"/>
        <w:ind w:firstLine="0" w:firstLineChars="0"/>
        <w:rPr>
          <w:rFonts w:ascii="仿宋" w:hAnsi="仿宋" w:cs="仿宋"/>
        </w:rPr>
      </w:pPr>
    </w:p>
    <w:p>
      <w:pPr>
        <w:pStyle w:val="2"/>
        <w:ind w:firstLine="480"/>
        <w:rPr>
          <w:rFonts w:ascii="仿宋" w:hAnsi="仿宋" w:cs="仿宋"/>
        </w:rPr>
      </w:pPr>
    </w:p>
    <w:p>
      <w:pPr>
        <w:pStyle w:val="2"/>
        <w:ind w:firstLine="0" w:firstLineChars="0"/>
        <w:rPr>
          <w:rFonts w:ascii="仿宋" w:hAnsi="仿宋" w:cs="仿宋"/>
        </w:rPr>
      </w:pPr>
    </w:p>
    <w:p>
      <w:pPr>
        <w:ind w:firstLine="720"/>
        <w:jc w:val="center"/>
        <w:outlineLvl w:val="0"/>
        <w:rPr>
          <w:rFonts w:ascii="仿宋" w:hAnsi="仿宋" w:cs="仿宋"/>
          <w:sz w:val="36"/>
          <w:szCs w:val="36"/>
        </w:rPr>
      </w:pPr>
      <w:r>
        <w:rPr>
          <w:rFonts w:hint="eastAsia" w:ascii="仿宋" w:hAnsi="仿宋" w:cs="仿宋"/>
          <w:sz w:val="36"/>
          <w:szCs w:val="36"/>
        </w:rPr>
        <w:t>国家税务总局</w:t>
      </w:r>
      <w:r>
        <w:rPr>
          <w:rFonts w:hint="eastAsia" w:ascii="仿宋" w:hAnsi="仿宋" w:cs="仿宋"/>
          <w:sz w:val="36"/>
          <w:szCs w:val="36"/>
          <w:lang w:val="en-US" w:eastAsia="zh-CN"/>
        </w:rPr>
        <w:t>南雄</w:t>
      </w:r>
      <w:r>
        <w:rPr>
          <w:rFonts w:hint="eastAsia" w:ascii="仿宋" w:hAnsi="仿宋" w:cs="仿宋"/>
          <w:sz w:val="36"/>
          <w:szCs w:val="36"/>
        </w:rPr>
        <w:t>市税务局</w:t>
      </w:r>
    </w:p>
    <w:p>
      <w:pPr>
        <w:pStyle w:val="2"/>
        <w:ind w:firstLine="720"/>
        <w:rPr>
          <w:rFonts w:ascii="仿宋" w:hAnsi="仿宋" w:cs="仿宋"/>
          <w:sz w:val="36"/>
          <w:szCs w:val="36"/>
        </w:rPr>
      </w:pPr>
    </w:p>
    <w:p>
      <w:pPr>
        <w:pStyle w:val="10"/>
        <w:numPr>
          <w:ilvl w:val="0"/>
          <w:numId w:val="1"/>
        </w:numPr>
        <w:ind w:left="426" w:firstLineChars="0"/>
        <w:outlineLvl w:val="0"/>
        <w:rPr>
          <w:rFonts w:ascii="仿宋" w:hAnsi="仿宋" w:eastAsia="仿宋" w:cs="仿宋"/>
          <w:sz w:val="28"/>
          <w:szCs w:val="28"/>
        </w:rPr>
        <w:sectPr>
          <w:pgSz w:w="11906" w:h="16838"/>
          <w:pgMar w:top="1440" w:right="1800" w:bottom="1440" w:left="1800" w:header="851" w:footer="992" w:gutter="0"/>
          <w:cols w:space="720" w:num="1"/>
          <w:docGrid w:type="lines" w:linePitch="312" w:charSpace="0"/>
        </w:sectPr>
      </w:pPr>
    </w:p>
    <w:p>
      <w:pPr>
        <w:pStyle w:val="10"/>
        <w:numPr>
          <w:ilvl w:val="0"/>
          <w:numId w:val="1"/>
        </w:numPr>
        <w:ind w:left="426" w:firstLineChars="0"/>
        <w:outlineLvl w:val="0"/>
        <w:rPr>
          <w:rFonts w:ascii="仿宋" w:hAnsi="仿宋" w:eastAsia="仿宋" w:cs="仿宋"/>
          <w:sz w:val="28"/>
          <w:szCs w:val="28"/>
        </w:rPr>
      </w:pPr>
      <w:r>
        <w:rPr>
          <w:rFonts w:hint="eastAsia" w:ascii="仿宋" w:hAnsi="仿宋" w:eastAsia="仿宋" w:cs="仿宋"/>
          <w:sz w:val="28"/>
          <w:szCs w:val="28"/>
        </w:rPr>
        <w:t>项目背景</w:t>
      </w:r>
    </w:p>
    <w:p>
      <w:pPr>
        <w:pStyle w:val="10"/>
        <w:ind w:firstLine="420" w:firstLineChars="0"/>
        <w:outlineLvl w:val="0"/>
        <w:rPr>
          <w:rFonts w:ascii="仿宋" w:hAnsi="仿宋" w:eastAsia="仿宋" w:cs="仿宋"/>
          <w:b w:val="0"/>
          <w:bCs w:val="0"/>
          <w:kern w:val="2"/>
          <w:sz w:val="28"/>
          <w:szCs w:val="28"/>
        </w:rPr>
      </w:pPr>
      <w:r>
        <w:rPr>
          <w:rFonts w:hint="eastAsia" w:ascii="仿宋" w:hAnsi="仿宋" w:eastAsia="仿宋" w:cs="仿宋"/>
          <w:b w:val="0"/>
          <w:bCs w:val="0"/>
          <w:kern w:val="2"/>
          <w:sz w:val="28"/>
          <w:szCs w:val="28"/>
        </w:rPr>
        <w:t>为满足纳税人缴费人在办公区使用手提、手机等移动设备办理纳税缴费业务的需求，同时满足局内各单位的日常学习</w:t>
      </w:r>
      <w:bookmarkStart w:id="0" w:name="_GoBack"/>
      <w:bookmarkEnd w:id="0"/>
      <w:r>
        <w:rPr>
          <w:rFonts w:hint="eastAsia" w:ascii="仿宋" w:hAnsi="仿宋" w:eastAsia="仿宋" w:cs="仿宋"/>
          <w:b w:val="0"/>
          <w:bCs w:val="0"/>
          <w:kern w:val="2"/>
          <w:sz w:val="28"/>
          <w:szCs w:val="28"/>
        </w:rPr>
        <w:t>、互联网办公会议、税费知识普及等需求，通过</w:t>
      </w:r>
      <w:r>
        <w:rPr>
          <w:rFonts w:hint="eastAsia" w:ascii="仿宋" w:hAnsi="仿宋" w:eastAsia="仿宋" w:cs="仿宋"/>
          <w:b w:val="0"/>
          <w:bCs w:val="0"/>
          <w:kern w:val="2"/>
          <w:sz w:val="28"/>
          <w:szCs w:val="28"/>
          <w:lang w:eastAsia="zh-CN"/>
        </w:rPr>
        <w:t>采购</w:t>
      </w:r>
      <w:r>
        <w:rPr>
          <w:rFonts w:hint="eastAsia" w:ascii="仿宋" w:hAnsi="仿宋" w:eastAsia="仿宋" w:cs="仿宋"/>
          <w:b w:val="0"/>
          <w:bCs w:val="0"/>
          <w:kern w:val="2"/>
          <w:sz w:val="28"/>
          <w:szCs w:val="28"/>
        </w:rPr>
        <w:t>符合国家网监审计和《网络安全法》相关要求</w:t>
      </w:r>
      <w:r>
        <w:rPr>
          <w:rFonts w:hint="eastAsia" w:ascii="仿宋" w:hAnsi="仿宋" w:eastAsia="仿宋" w:cs="仿宋"/>
          <w:b w:val="0"/>
          <w:bCs w:val="0"/>
          <w:kern w:val="2"/>
          <w:sz w:val="28"/>
          <w:szCs w:val="28"/>
          <w:lang w:eastAsia="zh-CN"/>
        </w:rPr>
        <w:t>且</w:t>
      </w:r>
      <w:r>
        <w:rPr>
          <w:rFonts w:hint="eastAsia" w:ascii="仿宋" w:hAnsi="仿宋" w:eastAsia="仿宋" w:cs="仿宋"/>
          <w:b w:val="0"/>
          <w:bCs w:val="0"/>
          <w:kern w:val="2"/>
          <w:sz w:val="28"/>
          <w:szCs w:val="28"/>
        </w:rPr>
        <w:t>具备相关日志审计功能</w:t>
      </w:r>
      <w:r>
        <w:rPr>
          <w:rFonts w:hint="eastAsia" w:ascii="仿宋" w:hAnsi="仿宋" w:eastAsia="仿宋" w:cs="仿宋"/>
          <w:b w:val="0"/>
          <w:bCs w:val="0"/>
          <w:kern w:val="2"/>
          <w:sz w:val="28"/>
          <w:szCs w:val="28"/>
          <w:lang w:eastAsia="zh-CN"/>
        </w:rPr>
        <w:t>的</w:t>
      </w:r>
      <w:r>
        <w:rPr>
          <w:rFonts w:hint="eastAsia" w:ascii="仿宋" w:hAnsi="仿宋" w:eastAsia="仿宋" w:cs="仿宋"/>
          <w:b w:val="0"/>
          <w:bCs w:val="0"/>
          <w:kern w:val="2"/>
          <w:sz w:val="28"/>
          <w:szCs w:val="28"/>
        </w:rPr>
        <w:t>无线安全网络覆盖项目，建设行政楼、附属楼、雄南办公区的无线网络覆盖及相关安全配套设施</w:t>
      </w:r>
      <w:r>
        <w:rPr>
          <w:rFonts w:hint="eastAsia" w:ascii="仿宋" w:hAnsi="仿宋" w:eastAsia="仿宋" w:cs="仿宋"/>
          <w:b w:val="0"/>
          <w:bCs w:val="0"/>
          <w:kern w:val="2"/>
          <w:sz w:val="28"/>
          <w:szCs w:val="28"/>
          <w:lang w:eastAsia="zh-CN"/>
        </w:rPr>
        <w:t>，</w:t>
      </w:r>
      <w:r>
        <w:rPr>
          <w:rFonts w:hint="eastAsia" w:ascii="仿宋" w:hAnsi="仿宋" w:eastAsia="仿宋" w:cs="仿宋"/>
          <w:b w:val="0"/>
          <w:bCs w:val="0"/>
          <w:kern w:val="2"/>
          <w:sz w:val="28"/>
          <w:szCs w:val="28"/>
        </w:rPr>
        <w:t>实现行政楼及附属楼、办公区无线覆盖(具体覆盖范围以我局实际需求为准)。</w:t>
      </w:r>
    </w:p>
    <w:p>
      <w:pPr>
        <w:pStyle w:val="10"/>
        <w:numPr>
          <w:ilvl w:val="0"/>
          <w:numId w:val="1"/>
        </w:numPr>
        <w:ind w:left="426" w:firstLineChars="0"/>
        <w:outlineLvl w:val="0"/>
        <w:rPr>
          <w:rFonts w:ascii="仿宋" w:hAnsi="仿宋" w:eastAsia="仿宋" w:cs="仿宋"/>
          <w:sz w:val="28"/>
          <w:szCs w:val="28"/>
        </w:rPr>
      </w:pPr>
      <w:r>
        <w:rPr>
          <w:rFonts w:hint="eastAsia" w:ascii="仿宋" w:hAnsi="仿宋" w:eastAsia="仿宋" w:cs="仿宋"/>
          <w:sz w:val="28"/>
          <w:szCs w:val="28"/>
        </w:rPr>
        <w:t>采购内容</w:t>
      </w:r>
    </w:p>
    <w:p>
      <w:pPr>
        <w:ind w:firstLine="0" w:firstLineChars="0"/>
        <w:outlineLvl w:val="1"/>
        <w:rPr>
          <w:rFonts w:ascii="仿宋" w:hAnsi="仿宋" w:cs="仿宋"/>
          <w:b/>
          <w:kern w:val="0"/>
          <w:sz w:val="28"/>
          <w:szCs w:val="28"/>
        </w:rPr>
      </w:pPr>
      <w:r>
        <w:rPr>
          <w:rFonts w:hint="eastAsia" w:ascii="仿宋" w:hAnsi="仿宋" w:cs="仿宋"/>
          <w:b/>
          <w:kern w:val="0"/>
          <w:sz w:val="28"/>
          <w:szCs w:val="28"/>
        </w:rPr>
        <w:t>（一）设备采购清单</w:t>
      </w:r>
    </w:p>
    <w:p>
      <w:pPr>
        <w:ind w:firstLine="560"/>
        <w:rPr>
          <w:rFonts w:ascii="仿宋" w:hAnsi="仿宋" w:cs="仿宋"/>
          <w:sz w:val="28"/>
          <w:szCs w:val="28"/>
        </w:rPr>
      </w:pPr>
      <w:r>
        <w:rPr>
          <w:rFonts w:hint="eastAsia" w:ascii="仿宋" w:hAnsi="仿宋" w:cs="仿宋"/>
          <w:sz w:val="28"/>
          <w:szCs w:val="28"/>
        </w:rPr>
        <w:t>本次项目所需采购的设备清单如下表：</w:t>
      </w:r>
    </w:p>
    <w:tbl>
      <w:tblPr>
        <w:tblStyle w:val="9"/>
        <w:tblW w:w="108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5"/>
        <w:gridCol w:w="1965"/>
        <w:gridCol w:w="5178"/>
        <w:gridCol w:w="896"/>
        <w:gridCol w:w="961"/>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ind w:firstLine="0" w:firstLineChars="0"/>
              <w:jc w:val="center"/>
              <w:textAlignment w:val="center"/>
              <w:rPr>
                <w:rFonts w:ascii="仿宋" w:hAnsi="仿宋" w:cs="仿宋"/>
                <w:b/>
                <w:bCs/>
              </w:rPr>
            </w:pPr>
            <w:r>
              <w:rPr>
                <w:rFonts w:hint="eastAsia" w:ascii="仿宋" w:hAnsi="仿宋" w:cs="仿宋"/>
                <w:b/>
                <w:bCs/>
              </w:rPr>
              <w:t>序号</w:t>
            </w:r>
          </w:p>
        </w:tc>
        <w:tc>
          <w:tcPr>
            <w:tcW w:w="196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ascii="仿宋" w:hAnsi="仿宋" w:cs="仿宋"/>
                <w:b/>
                <w:bCs/>
              </w:rPr>
            </w:pPr>
            <w:r>
              <w:rPr>
                <w:rFonts w:hint="eastAsia" w:ascii="仿宋" w:hAnsi="仿宋" w:cs="仿宋"/>
                <w:b/>
                <w:bCs/>
              </w:rPr>
              <w:t>设备名称</w:t>
            </w:r>
          </w:p>
        </w:tc>
        <w:tc>
          <w:tcPr>
            <w:tcW w:w="5178" w:type="dxa"/>
            <w:tcBorders>
              <w:top w:val="single" w:color="000000" w:sz="4" w:space="0"/>
              <w:left w:val="single" w:color="000000" w:sz="4" w:space="0"/>
              <w:bottom w:val="single" w:color="000000" w:sz="4" w:space="0"/>
              <w:right w:val="single" w:color="000000" w:sz="4" w:space="0"/>
            </w:tcBorders>
            <w:vAlign w:val="center"/>
          </w:tcPr>
          <w:p>
            <w:pPr>
              <w:ind w:firstLine="482"/>
              <w:jc w:val="center"/>
              <w:textAlignment w:val="center"/>
              <w:rPr>
                <w:rFonts w:ascii="仿宋" w:hAnsi="仿宋" w:cs="仿宋"/>
                <w:b/>
                <w:bCs/>
              </w:rPr>
            </w:pPr>
            <w:r>
              <w:rPr>
                <w:rFonts w:hint="eastAsia" w:ascii="仿宋" w:hAnsi="仿宋" w:cs="仿宋"/>
                <w:b/>
                <w:bCs/>
              </w:rPr>
              <w:t>规格描述</w:t>
            </w:r>
          </w:p>
        </w:tc>
        <w:tc>
          <w:tcPr>
            <w:tcW w:w="89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ascii="仿宋" w:hAnsi="仿宋" w:cs="仿宋"/>
                <w:b/>
                <w:bCs/>
              </w:rPr>
            </w:pPr>
            <w:r>
              <w:rPr>
                <w:rFonts w:hint="eastAsia" w:ascii="仿宋" w:hAnsi="仿宋" w:cs="仿宋"/>
                <w:b/>
                <w:bCs/>
              </w:rPr>
              <w:t>单位</w:t>
            </w:r>
          </w:p>
        </w:tc>
        <w:tc>
          <w:tcPr>
            <w:tcW w:w="961"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ascii="仿宋" w:hAnsi="仿宋" w:cs="仿宋"/>
                <w:b/>
                <w:bCs/>
              </w:rPr>
            </w:pPr>
            <w:r>
              <w:rPr>
                <w:rFonts w:hint="eastAsia" w:ascii="仿宋" w:hAnsi="仿宋" w:cs="仿宋"/>
                <w:b/>
                <w:bCs/>
              </w:rPr>
              <w:t>数量</w:t>
            </w:r>
          </w:p>
        </w:tc>
        <w:tc>
          <w:tcPr>
            <w:tcW w:w="1033"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textAlignment w:val="center"/>
              <w:rPr>
                <w:rFonts w:ascii="仿宋" w:hAnsi="仿宋" w:cs="仿宋"/>
                <w:b/>
                <w:bCs/>
              </w:rPr>
            </w:pPr>
            <w:r>
              <w:rPr>
                <w:rFonts w:hint="eastAsia" w:ascii="仿宋" w:hAnsi="仿宋" w:cs="仿宋"/>
                <w:b/>
                <w:bCs/>
              </w:rPr>
              <w:t>建议品牌及型号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1</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汇聚交换机</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highlight w:val="none"/>
              </w:rPr>
              <w:t>强三层千</w:t>
            </w:r>
            <w:r>
              <w:rPr>
                <w:rFonts w:hint="eastAsia" w:ascii="仿宋" w:hAnsi="仿宋"/>
                <w:sz w:val="22"/>
                <w:szCs w:val="22"/>
              </w:rPr>
              <w:t>兆交换机，24个1000M SFP光接口（1-16口为100M/1000M SFP光接口），8个复用的10/100/1000M自适应电口，8个1G/10G SFP+光口，1个业务扩展槽，内置固化3风扇，2个模块化电源插槽，150W交流电源模块，支持1+1电源冗余</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台</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ascii="仿宋" w:hAnsi="仿宋"/>
                <w:sz w:val="22"/>
                <w:szCs w:val="22"/>
              </w:rPr>
              <w:t>2</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锐捷、迪普、神州数码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2</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24口POE交换机</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highlight w:val="none"/>
              </w:rPr>
            </w:pPr>
            <w:r>
              <w:rPr>
                <w:rFonts w:hint="eastAsia" w:ascii="仿宋" w:hAnsi="仿宋"/>
                <w:sz w:val="22"/>
                <w:szCs w:val="22"/>
                <w:highlight w:val="none"/>
              </w:rPr>
              <w:t>24个10/100/1000M自适应电口，4个1G SFP光口，1-24口支持PoE+/PoE，固化交流电源和风扇，整机PoE最大输出370W。</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台</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ascii="仿宋" w:hAnsi="仿宋"/>
                <w:sz w:val="22"/>
                <w:szCs w:val="22"/>
              </w:rPr>
              <w:t>3</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锐捷、迪普、神州数码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3</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16口POE交换机</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highlight w:val="none"/>
              </w:rPr>
            </w:pPr>
            <w:r>
              <w:rPr>
                <w:rFonts w:hint="eastAsia" w:ascii="仿宋" w:hAnsi="仿宋"/>
                <w:sz w:val="22"/>
                <w:szCs w:val="22"/>
                <w:highlight w:val="none"/>
              </w:rPr>
              <w:t>16个10/100/1000M自适应电口，2个100M/1G SFP光口，</w:t>
            </w:r>
            <w:r>
              <w:rPr>
                <w:rFonts w:hint="eastAsia" w:ascii="仿宋" w:hAnsi="仿宋"/>
                <w:color w:val="000000"/>
                <w:sz w:val="22"/>
                <w:szCs w:val="22"/>
                <w:highlight w:val="none"/>
              </w:rPr>
              <w:t>固化单交流电源</w:t>
            </w:r>
            <w:r>
              <w:rPr>
                <w:rFonts w:hint="eastAsia" w:ascii="仿宋" w:hAnsi="仿宋"/>
                <w:sz w:val="22"/>
                <w:szCs w:val="22"/>
                <w:highlight w:val="none"/>
              </w:rPr>
              <w:t>，无风扇，1-8号电口支持PoE/PoE+供电，125W POE供电</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台</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ascii="仿宋" w:hAnsi="仿宋"/>
                <w:sz w:val="22"/>
                <w:szCs w:val="22"/>
              </w:rPr>
              <w:t>5</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锐捷、迪普、神州数码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4</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高密AP</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Wi-Fi 6四射频通用级高密放装型无线接入点；整机最大支持8条空间流，整机最高接入速率6.242Gbps，可支持802.11a/b/g/n/ac和802.11ax工作，胖/瘦模式切换、802.3bt/at/af供电和本地DC电源供电</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台</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ascii="仿宋" w:hAnsi="仿宋"/>
                <w:sz w:val="22"/>
                <w:szCs w:val="22"/>
              </w:rPr>
              <w:t>9</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锐捷、迪普、神州数码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5</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放装AP</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802.11ax双射频轻量级放装型无线接入点；整机最大支持4条空间流，整机最高接入速率2.975Gbps</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台</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ascii="仿宋" w:hAnsi="仿宋"/>
                <w:sz w:val="22"/>
                <w:szCs w:val="22"/>
              </w:rPr>
              <w:t>84</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锐捷、迪普、神州数码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6</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无线控制器</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多业务无线控制器，8-1000BASE-T网口；1个独立10G SFP+光口，1个独立1000BASE-X光口；内置超大容量1T硬盘，4G内存；支持License最小单位为1；通过License 的升级，最大可支持128个(A系列面板256个)AP的管理。AC完全本地转发模式下，通过License的升级，最大可支持800个AP(A系列面板1600个)的管理。</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台</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ascii="仿宋" w:hAnsi="仿宋"/>
                <w:sz w:val="22"/>
                <w:szCs w:val="22"/>
              </w:rPr>
              <w:t>2</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锐捷、迪普、神州数码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7</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上网行为审计</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标准1U机架设备，6GE，2SFP+，2扩展槽位(4光4电扩展卡)，单电源，支持400M审计带宽，1T硬盘；3年特征库授权</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套</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ascii="仿宋" w:hAnsi="仿宋"/>
                <w:sz w:val="22"/>
                <w:szCs w:val="22"/>
              </w:rPr>
              <w:t>2</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锐捷、迪普、神州数码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8</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千兆单模光模块</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1000BASE-LX mini GBIC转换模块（1310nm），10km</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sz w:val="22"/>
                <w:szCs w:val="22"/>
              </w:rPr>
              <w:t>套</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ascii="仿宋" w:hAnsi="仿宋"/>
                <w:sz w:val="22"/>
                <w:szCs w:val="22"/>
              </w:rPr>
              <w:t>20</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锐捷、迪普、神州数码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9</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六类非屏蔽网线</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99.97%无氧铜线芯，CAT6，符合国家标准：GB/T3953（通过福禄克测试）-0.57mm线径-灰色、橙色可选-305m/箱，4对0.57mm线芯，PVC外套</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箱</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25</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10</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六类水晶头</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采用加宽加厚镀金针片，传输性能更稳定；所有材料均符合ROHS标准，一体式水晶体头100个/盒</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盒</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3</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11</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电源线</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(RVV) 2x1.5</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项</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1</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12</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壁挂机柜</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450*550*400</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个</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6</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13</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机柜</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2000*600*600 中厚豪华S（配PDU电源</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套</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2</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14</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光纤线</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室外4芯OS2单模光缆</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项</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1</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15</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PVC线管</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联塑20PVC线管</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项</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1</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16</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辅材</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理线架、光纤盒、跳线、插排、插座、插头、胶粒螺丝、拉爆、线管直接弯头等</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项</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1</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815" w:type="dxa"/>
            <w:tcBorders>
              <w:top w:val="single" w:color="000000" w:sz="4" w:space="0"/>
              <w:left w:val="single" w:color="000000" w:sz="8"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b/>
                <w:bCs/>
                <w:color w:val="000000"/>
                <w:kern w:val="0"/>
                <w:sz w:val="22"/>
                <w:szCs w:val="22"/>
                <w:lang/>
              </w:rPr>
              <w:t>17</w:t>
            </w:r>
          </w:p>
        </w:tc>
        <w:tc>
          <w:tcPr>
            <w:tcW w:w="196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人员施工费用</w:t>
            </w:r>
          </w:p>
        </w:tc>
        <w:tc>
          <w:tcPr>
            <w:tcW w:w="517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宋体"/>
                <w:color w:val="000000"/>
                <w:kern w:val="0"/>
                <w:sz w:val="22"/>
                <w:szCs w:val="22"/>
                <w:lang/>
              </w:rPr>
              <w:t>包含光纤敷设、网络AP信息点位布线、AP设备安装调试等</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项</w:t>
            </w:r>
          </w:p>
        </w:tc>
        <w:tc>
          <w:tcPr>
            <w:tcW w:w="961"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olor w:val="000000"/>
                <w:sz w:val="22"/>
                <w:szCs w:val="22"/>
              </w:rPr>
              <w:t>1</w:t>
            </w:r>
          </w:p>
        </w:tc>
        <w:tc>
          <w:tcPr>
            <w:tcW w:w="1033"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textAlignment w:val="center"/>
              <w:rPr>
                <w:rFonts w:ascii="仿宋" w:hAnsi="仿宋" w:cs="仿宋"/>
                <w:sz w:val="22"/>
                <w:szCs w:val="22"/>
              </w:rPr>
            </w:pPr>
            <w:r>
              <w:rPr>
                <w:rFonts w:hint="eastAsia" w:ascii="仿宋" w:hAnsi="仿宋" w:cs="仿宋"/>
                <w:sz w:val="22"/>
                <w:szCs w:val="22"/>
              </w:rPr>
              <w:t>-</w:t>
            </w:r>
          </w:p>
        </w:tc>
      </w:tr>
    </w:tbl>
    <w:p>
      <w:pPr>
        <w:ind w:firstLine="0" w:firstLineChars="0"/>
        <w:outlineLvl w:val="1"/>
        <w:rPr>
          <w:rFonts w:ascii="仿宋" w:hAnsi="仿宋" w:cs="仿宋"/>
          <w:b/>
          <w:kern w:val="0"/>
          <w:sz w:val="28"/>
          <w:szCs w:val="28"/>
        </w:rPr>
      </w:pPr>
      <w:r>
        <w:rPr>
          <w:rFonts w:hint="eastAsia" w:ascii="仿宋" w:hAnsi="仿宋" w:cs="仿宋"/>
          <w:b/>
          <w:kern w:val="0"/>
          <w:sz w:val="28"/>
          <w:szCs w:val="28"/>
        </w:rPr>
        <w:t>（二） 技术参数指标</w:t>
      </w:r>
    </w:p>
    <w:tbl>
      <w:tblPr>
        <w:tblStyle w:val="9"/>
        <w:tblW w:w="98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6"/>
        <w:gridCol w:w="1545"/>
        <w:gridCol w:w="7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仿宋" w:hAnsi="仿宋" w:cs="仿宋"/>
                <w:b/>
                <w:bCs/>
              </w:rPr>
            </w:pPr>
            <w:r>
              <w:rPr>
                <w:rFonts w:hint="eastAsia" w:ascii="仿宋" w:hAnsi="仿宋" w:cs="仿宋"/>
                <w:b/>
                <w:bCs/>
              </w:rPr>
              <w:t>序号</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仿宋" w:hAnsi="仿宋" w:cs="仿宋"/>
                <w:b/>
                <w:bCs/>
              </w:rPr>
            </w:pPr>
            <w:r>
              <w:rPr>
                <w:rFonts w:hint="eastAsia" w:ascii="仿宋" w:hAnsi="仿宋" w:cs="仿宋"/>
                <w:b/>
                <w:bCs/>
              </w:rPr>
              <w:t>设备名称</w:t>
            </w:r>
          </w:p>
        </w:tc>
        <w:tc>
          <w:tcPr>
            <w:tcW w:w="7438"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仿宋" w:hAnsi="仿宋" w:cs="仿宋"/>
                <w:b/>
                <w:bCs/>
              </w:rPr>
            </w:pPr>
            <w:r>
              <w:rPr>
                <w:rFonts w:hint="eastAsia" w:ascii="仿宋" w:hAnsi="仿宋" w:cs="仿宋"/>
                <w:b/>
                <w:bCs/>
              </w:rPr>
              <w:t>主要技术参数及性能（配置）要求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仿宋" w:hAnsi="仿宋" w:cs="仿宋"/>
              </w:rPr>
            </w:pPr>
            <w:r>
              <w:rPr>
                <w:rFonts w:hint="eastAsia" w:ascii="仿宋" w:hAnsi="仿宋" w:cs="仿宋"/>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rPr>
            </w:pPr>
            <w:r>
              <w:rPr>
                <w:rFonts w:hint="eastAsia" w:ascii="宋体" w:hAnsi="宋体" w:cs="宋体"/>
              </w:rPr>
              <w:t>汇聚交换机</w:t>
            </w:r>
          </w:p>
        </w:tc>
        <w:tc>
          <w:tcPr>
            <w:tcW w:w="7438" w:type="dxa"/>
            <w:tcBorders>
              <w:top w:val="single" w:color="000000" w:sz="4" w:space="0"/>
              <w:left w:val="single" w:color="000000" w:sz="4" w:space="0"/>
              <w:bottom w:val="single" w:color="000000" w:sz="4" w:space="0"/>
              <w:right w:val="single" w:color="000000" w:sz="4" w:space="0"/>
            </w:tcBorders>
            <w:vAlign w:val="center"/>
          </w:tcPr>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交换容量≥2.4Tbps（制造厂商官网X/Y形式以最小值为准）；</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包转发率≥660Mpps（制造厂商官网X/Y形式以最小值为准）；</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固化24个1000M SFP光口，8个复用的10/100/1000Mbps电口，8个1G/10G SFP+光口；</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▲支持在64Bytes-1518Bytes下线速转发，提供第三方检测机构或实验室出具的具有CMA或CNAS标志的检测报告证明；</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整机采用绿色环保设计，满负荷情况下功耗≤80W；</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▲为保证设备在受到外界机械碰撞时能够正常运行，要求所投交换机IK防护测试级别至少达到IK05，提供第三方检测机构或实验室出具的具有CMA或CNAS标志的检测报告证明；</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要求所投设备MAC地址≥196K；</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路由表项≥64K；</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支持可拔插双模块化电源，支持电源1+1冗余，配置电源模块≥2</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支持RIPv2，OSPFv2/v3，BGP4/4+，IS-ISv4/v6；</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支持IGMP v1/v2/v3，PIM-SM等组播协议；</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支持基于IPv4/IPv6五元组、基于源/目的MAC、基于VLAN、基于802.1P优先级的ACL；</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支持特有的CPU保护策略，对发往CPU的数据流，进行流区分和优先级队列分级处理，并根据需要实施带宽限速，充分保护CPU不被非法流量占用、恶意攻击和资源消耗；</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支持硬件层级双boot，采用两个FLASH芯片存储boot软件（系统引导程序），实现硬件级boot冗余备份，避免因FLASH芯片故障导致交换机无法启动；</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支持基础网络保护策略，限制用户向网络中发送ARP报文、ICMP请求报文、DHCP请求报文的数率，对超过限速阈值的报文进行丢弃处理，能够识别攻击行为，对有攻击行为的用户进行隔离；</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▲支持基于流的采样功能，对所选数据流包头中的源IP地址、目的IP地址、协议号、源端口号、包长等信息进行采样，并发送至网管主机，提供第三方检测机构或实验室出具的具有CMA或CNAS标志的检测报告证明；</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支持虚拟化功能，可将多台物理设备虚拟化为一台逻辑设备统一管理，并且链路故障的收敛时间达到毫秒级；</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硬件支持IPv4/IPv6双协议栈多层线速交换，硬件区分和处理IPv4、IPv6协议报文，可根据IPv6网络的需求规划网络或者维持网络现状，提供灵活的IPv6网络通信方案；</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▲要求实配电路防护系统模块，结构为多功能软硬件一体机，非多个设备组合，减少故障点；（提供具有CNAS和CMA标识的第三方权威机构检测报告）；</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▲电路防护系统模块维护方式可通过手机扫描屏显电子二维码进行关注、查询、故障报修，本机触摸显示屏可查看显示监测指标信息；（提供具有CNAS和CMA标识的第三方权威机构检测报告）</w:t>
            </w:r>
          </w:p>
          <w:p>
            <w:pPr>
              <w:pStyle w:val="11"/>
              <w:widowControl/>
              <w:numPr>
                <w:ilvl w:val="0"/>
                <w:numId w:val="2"/>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▲电路防护系统模块内置告警扬声器≧1个，具有系统、网络、入网、RS485状态指示灯，告警方式支持本机扬声器告警、手机微信告警、管理平台告警；（提供具有CNAS和CMA标识的第三方权威机构检测报告）。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仿宋" w:hAnsi="仿宋" w:cs="仿宋"/>
              </w:rPr>
            </w:pPr>
            <w:r>
              <w:rPr>
                <w:rFonts w:hint="eastAsia" w:ascii="仿宋" w:hAnsi="仿宋" w:cs="仿宋"/>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rPr>
            </w:pPr>
            <w:r>
              <w:rPr>
                <w:rFonts w:hint="eastAsia" w:ascii="宋体" w:hAnsi="宋体" w:cs="宋体"/>
              </w:rPr>
              <w:t>24口POE交换机</w:t>
            </w:r>
          </w:p>
        </w:tc>
        <w:tc>
          <w:tcPr>
            <w:tcW w:w="7438" w:type="dxa"/>
            <w:tcBorders>
              <w:top w:val="single" w:color="000000" w:sz="4" w:space="0"/>
              <w:left w:val="single" w:color="000000" w:sz="4" w:space="0"/>
              <w:bottom w:val="single" w:color="000000" w:sz="4" w:space="0"/>
              <w:right w:val="single" w:color="000000" w:sz="4" w:space="0"/>
            </w:tcBorders>
            <w:vAlign w:val="center"/>
          </w:tcPr>
          <w:p>
            <w:pPr>
              <w:pStyle w:val="11"/>
              <w:widowControl/>
              <w:numPr>
                <w:ilvl w:val="0"/>
                <w:numId w:val="3"/>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交换容量≥336Gbps；</w:t>
            </w:r>
          </w:p>
          <w:p>
            <w:pPr>
              <w:pStyle w:val="11"/>
              <w:widowControl/>
              <w:numPr>
                <w:ilvl w:val="0"/>
                <w:numId w:val="3"/>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包转发率≥126Mpps；</w:t>
            </w:r>
          </w:p>
          <w:p>
            <w:pPr>
              <w:pStyle w:val="11"/>
              <w:widowControl/>
              <w:numPr>
                <w:ilvl w:val="0"/>
                <w:numId w:val="3"/>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固化10/100/1000M以太网端口≥24，固化1G SFP光接口≥4个；</w:t>
            </w:r>
          </w:p>
          <w:p>
            <w:pPr>
              <w:pStyle w:val="11"/>
              <w:widowControl/>
              <w:numPr>
                <w:ilvl w:val="0"/>
                <w:numId w:val="3"/>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要求所投设备MAC地址≥16K；</w:t>
            </w:r>
          </w:p>
          <w:p>
            <w:pPr>
              <w:pStyle w:val="11"/>
              <w:widowControl/>
              <w:numPr>
                <w:ilvl w:val="0"/>
                <w:numId w:val="3"/>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▲为保证设备在受到外界机械碰撞时能够正常运行，要求所投交换机IK防护测试级别至少达到IK05，提供第三方检测机构或实验室出具的具有CMA或CNAS标志的检测报告证明；</w:t>
            </w:r>
          </w:p>
          <w:p>
            <w:pPr>
              <w:pStyle w:val="11"/>
              <w:widowControl/>
              <w:numPr>
                <w:ilvl w:val="0"/>
                <w:numId w:val="3"/>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支持POE和POE+,同时可POE供电端口≥24个，POE最大输出功率≥370W；</w:t>
            </w:r>
          </w:p>
          <w:p>
            <w:pPr>
              <w:pStyle w:val="11"/>
              <w:widowControl/>
              <w:numPr>
                <w:ilvl w:val="0"/>
                <w:numId w:val="3"/>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▲投标产品面板自带一键查看PoE供电状态功能的LED Mode按钮，轻按即可查看设备当前的通信状态和供电状态，提供官网截图证明；</w:t>
            </w:r>
          </w:p>
          <w:p>
            <w:pPr>
              <w:pStyle w:val="11"/>
              <w:widowControl/>
              <w:numPr>
                <w:ilvl w:val="0"/>
                <w:numId w:val="3"/>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支持生成树协议STP(IEEE 802.1d)，RSTP(IEEE 802.1w)和MSTP(IEEE 802.1s)，完全保证快速收敛，提高容错能力，保证网络的稳定运行和链路的负载均衡，合理使用网络通道，提供冗余链路利用率；</w:t>
            </w:r>
          </w:p>
          <w:p>
            <w:pPr>
              <w:pStyle w:val="11"/>
              <w:widowControl/>
              <w:numPr>
                <w:ilvl w:val="0"/>
                <w:numId w:val="3"/>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支持IPV4/IPV6静态路由；</w:t>
            </w:r>
          </w:p>
          <w:p>
            <w:pPr>
              <w:pStyle w:val="11"/>
              <w:widowControl/>
              <w:numPr>
                <w:ilvl w:val="0"/>
                <w:numId w:val="3"/>
              </w:numPr>
              <w:spacing w:after="0" w:line="276" w:lineRule="auto"/>
              <w:jc w:val="both"/>
              <w:textAlignment w:val="center"/>
              <w:rPr>
                <w:rFonts w:ascii="宋体" w:hAnsi="宋体" w:eastAsia="仿宋" w:cs="宋体"/>
                <w:sz w:val="24"/>
                <w:szCs w:val="21"/>
              </w:rPr>
            </w:pPr>
            <w:r>
              <w:rPr>
                <w:rFonts w:hint="eastAsia" w:ascii="宋体" w:hAnsi="宋体" w:eastAsia="仿宋" w:cs="宋体"/>
                <w:sz w:val="24"/>
                <w:szCs w:val="21"/>
              </w:rPr>
              <w:t>支持SNMP、CLI(Telnet/Console)、RMON、SSH、Syslog/Debug、NTP/SNTP、FTP、TFTP、Web。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仿宋" w:hAnsi="仿宋" w:cs="仿宋"/>
              </w:rPr>
            </w:pPr>
            <w:r>
              <w:rPr>
                <w:rFonts w:hint="eastAsia" w:ascii="仿宋" w:hAnsi="仿宋" w:cs="仿宋"/>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rPr>
            </w:pPr>
            <w:r>
              <w:rPr>
                <w:rFonts w:hint="eastAsia" w:ascii="宋体" w:hAnsi="宋体" w:cs="宋体"/>
              </w:rPr>
              <w:t>16口POE交换机</w:t>
            </w:r>
          </w:p>
        </w:tc>
        <w:tc>
          <w:tcPr>
            <w:tcW w:w="7438"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固化10/100/1000M以太网电口≥16个，100/1000M SFP千兆光接口≥2个；</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交换容量≥432Gbps；</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包转发率≥82Mpps；</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尺寸小，支持放入400*300*100的标准弱电箱中部署，保障室内环境的美观；</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要求所投产品支持POE和POE+远程供电，POE供电功率≥125W；</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要求设备采用静音设计，噪声值＜20dB；</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▲为保证设备在受到外接机械碰撞时能够正常运行，要求所投交换机IK防护测试级别至少达到IK05，提供第三方检测机构或实验室出具的具有CMA或CNAS标志的检测报告证明；</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要求设备采用金属外壳和金属网口设计；</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支持端口浪涌抗扰度≥8KV（即具备8KV的防雷能力）；</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支持专门针对CPU的保护机制，能够针对发往CPU处理的各种报文进行流区分和优先级队列分级处理，保护交换机在各种环境下稳定工作；</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符合国家低碳环保等政策要求，支持IEEE 802.3az标准的EEE节能技术；</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支持生成树协议STP(IEEE 802.1d)，RSTP(IEEE 802.1w)和MSTP(IEEE 802.1s)，完全保证快速收敛，提高容错能力，保证网络的稳定运行和链路的负载均衡，合理使用网络通道，提供冗余链路利用率；</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支持通过excel批量导入、基于楼栋交换机端口两种方式绑定设备区域位置管理资产信息，适应不同工程厂商在网络开局阶段的工作流程，提供高效的资产登记和网络规划方案；投标时提供具有CMA或CAL或CNAS认证章的第三方权威机构检验报告证明；</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▲支持创建交换机的业务模板，支持图形化界面提前规划各端口业务；</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当室内交换机出现故障，支持替换用的新设备的零配置替换，新设备上电后配置自动下发，无需手动配置；</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支持在室内交换机上行链路断开、无法被网管软件发现纳管时，通过手持手机扫码一键拉取链路全部信息，无需逐点排查，快速定位是光模块还是光纤异常，并给出故障诊断及处理意见；</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▲支持光模块与光链路运维检测与故障告警，并可在拓扑中呈现并查看详细信息，包括提供告警原因分析与处理建议，投标时提供具有CMA或CAL或CNAS认证章的第三方权威机构检验报告证明；</w:t>
            </w:r>
          </w:p>
          <w:p>
            <w:pPr>
              <w:widowControl w:val="0"/>
              <w:numPr>
                <w:ilvl w:val="0"/>
                <w:numId w:val="4"/>
              </w:numPr>
              <w:adjustRightInd/>
              <w:spacing w:line="276" w:lineRule="auto"/>
              <w:ind w:firstLineChars="0"/>
              <w:jc w:val="both"/>
              <w:rPr>
                <w:rFonts w:ascii="宋体" w:hAnsi="宋体" w:cs="宋体"/>
              </w:rPr>
            </w:pPr>
            <w:r>
              <w:rPr>
                <w:rFonts w:hint="eastAsia" w:ascii="宋体" w:hAnsi="宋体" w:cs="宋体"/>
              </w:rPr>
              <w:t>支持SNMP、CLI(Telnet/Console)、Syslog、NTP、TFTP、Web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仿宋" w:hAnsi="仿宋" w:cs="仿宋"/>
              </w:rPr>
            </w:pPr>
            <w:r>
              <w:rPr>
                <w:rFonts w:hint="eastAsia" w:ascii="仿宋" w:hAnsi="仿宋" w:cs="仿宋"/>
              </w:rPr>
              <w:t>4</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rPr>
            </w:pPr>
            <w:r>
              <w:rPr>
                <w:rFonts w:hint="eastAsia" w:ascii="宋体" w:hAnsi="宋体" w:cs="宋体"/>
              </w:rPr>
              <w:t>高密AP</w:t>
            </w:r>
          </w:p>
        </w:tc>
        <w:tc>
          <w:tcPr>
            <w:tcW w:w="7438"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支持802.11ax标准。采用硬件独立的四射频设计；</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整机支持8条空间流，整机最大无线速率≥6Gbps；</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至少1个10/100/1000Base-T以太网接口支持对外供电，可扩展物联网模块；</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支持5G以太网接口≥1个，支持5G光口≥1个；</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支持USB 3.0接口≥1个；</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支持内置蓝牙5.1；</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▲为保障设备受到外部机械碰撞仍可以保持结构完整、功能完备，要求所投室内无线接入点至少达到防护等级IK08。提供第三方检测机构或实验室出具的具有CMA或CNAS标志的检测报告证明；</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▲整机最大终端接入数≥1552个。提供官网截图和链接证明；</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▲为保障移动终端的网络性能，所投AP可使用额外的一个射频进行环境扫描，并将信息上传AC，由AC引导终端漫游到附近信号更好的 AP，减少网络中的粘性终端以及避免终端主动漫游产生的丢包。提供第三方检测机构或实验室出具的检验报告证明材料复印件；</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为快速建立高度隔离的安全网络，设备应支持实现AP虚拟化功能，实现一台AP虚拟为多台AP，分别受不同AC设备独立管理，互不影响。不同虚拟AP之间数据隔离，虚拟AP在AC上不占用AP License；</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支持基于终端数或流量的智能负载均衡，支持基于STA/SSID/AP的限速；</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支持PSK认证、Web认证、微信认证、二维码访客认证、短信认证、无感知认证等认证方式；</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数据加密支持WPA（TKIP）、WPA-PSK、WPA2（AES）、WPA3、WEP（64/128位）；</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为避免无线网络中私接非法AP，所投AP应支持非法AP检测及反制功能。具有非法AP的精确反制和模糊反制功能，能够主动识别非法设备并令非法设备不能使用；</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支持通过Telnet、TFTP管理、Web管理；</w:t>
            </w:r>
          </w:p>
          <w:p>
            <w:pPr>
              <w:widowControl w:val="0"/>
              <w:numPr>
                <w:ilvl w:val="0"/>
                <w:numId w:val="5"/>
              </w:numPr>
              <w:adjustRightInd/>
              <w:spacing w:line="276" w:lineRule="auto"/>
              <w:ind w:firstLineChars="0"/>
              <w:jc w:val="both"/>
              <w:rPr>
                <w:rFonts w:ascii="宋体" w:hAnsi="宋体" w:cs="宋体"/>
              </w:rPr>
            </w:pPr>
            <w:r>
              <w:rPr>
                <w:rFonts w:hint="eastAsia" w:ascii="宋体" w:hAnsi="宋体" w:cs="宋体"/>
              </w:rPr>
              <w:t>当AP工作在Fit（瘦）模式时，可通过AC系列无线控制器切换为Fat模式；当AP工作在Fat（胖）模式时，可通过本地控制口、Telnet方式切换为Fit模式。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仿宋" w:hAnsi="仿宋" w:cs="仿宋"/>
              </w:rPr>
            </w:pPr>
            <w:r>
              <w:rPr>
                <w:rFonts w:hint="eastAsia" w:ascii="仿宋" w:hAnsi="仿宋" w:cs="仿宋"/>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rPr>
            </w:pPr>
            <w:r>
              <w:rPr>
                <w:rFonts w:hint="eastAsia" w:ascii="宋体" w:hAnsi="宋体" w:cs="宋体"/>
              </w:rPr>
              <w:t>放装AP</w:t>
            </w:r>
          </w:p>
        </w:tc>
        <w:tc>
          <w:tcPr>
            <w:tcW w:w="7438"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6"/>
              </w:numPr>
              <w:adjustRightInd/>
              <w:spacing w:line="276" w:lineRule="auto"/>
              <w:ind w:firstLineChars="0"/>
              <w:jc w:val="both"/>
              <w:rPr>
                <w:rFonts w:ascii="宋体" w:hAnsi="宋体" w:cs="宋体"/>
              </w:rPr>
            </w:pPr>
            <w:r>
              <w:rPr>
                <w:rFonts w:hint="eastAsia" w:ascii="宋体" w:hAnsi="宋体" w:cs="宋体"/>
              </w:rPr>
              <w:t>支持802.11ax协议；整机支持≥4条空间流；</w:t>
            </w:r>
          </w:p>
          <w:p>
            <w:pPr>
              <w:widowControl w:val="0"/>
              <w:numPr>
                <w:ilvl w:val="0"/>
                <w:numId w:val="6"/>
              </w:numPr>
              <w:adjustRightInd/>
              <w:spacing w:line="276" w:lineRule="auto"/>
              <w:ind w:firstLineChars="0"/>
              <w:jc w:val="both"/>
              <w:rPr>
                <w:rFonts w:ascii="宋体" w:hAnsi="宋体" w:cs="宋体"/>
              </w:rPr>
            </w:pPr>
            <w:r>
              <w:rPr>
                <w:rFonts w:hint="eastAsia" w:ascii="宋体" w:hAnsi="宋体" w:cs="宋体"/>
              </w:rPr>
              <w:t>整机最大无线速率≥2.97Gbps；</w:t>
            </w:r>
          </w:p>
          <w:p>
            <w:pPr>
              <w:widowControl w:val="0"/>
              <w:numPr>
                <w:ilvl w:val="0"/>
                <w:numId w:val="6"/>
              </w:numPr>
              <w:adjustRightInd/>
              <w:spacing w:line="276" w:lineRule="auto"/>
              <w:ind w:firstLineChars="0"/>
              <w:jc w:val="both"/>
              <w:rPr>
                <w:rFonts w:ascii="宋体" w:hAnsi="宋体" w:cs="宋体"/>
              </w:rPr>
            </w:pPr>
            <w:r>
              <w:rPr>
                <w:rFonts w:hint="eastAsia" w:ascii="宋体" w:hAnsi="宋体" w:cs="宋体"/>
              </w:rPr>
              <w:t>内置蓝牙5.1；</w:t>
            </w:r>
          </w:p>
          <w:p>
            <w:pPr>
              <w:widowControl w:val="0"/>
              <w:numPr>
                <w:ilvl w:val="0"/>
                <w:numId w:val="6"/>
              </w:numPr>
              <w:adjustRightInd/>
              <w:spacing w:line="276" w:lineRule="auto"/>
              <w:ind w:firstLineChars="0"/>
              <w:jc w:val="both"/>
              <w:rPr>
                <w:rFonts w:ascii="宋体" w:hAnsi="宋体" w:cs="宋体"/>
              </w:rPr>
            </w:pPr>
            <w:r>
              <w:rPr>
                <w:rFonts w:hint="eastAsia" w:ascii="宋体" w:hAnsi="宋体" w:cs="宋体"/>
              </w:rPr>
              <w:t>至少支持1个1000M自适应以太网端口；至少支持1个2.5G SFP光口；</w:t>
            </w:r>
          </w:p>
          <w:p>
            <w:pPr>
              <w:widowControl w:val="0"/>
              <w:numPr>
                <w:ilvl w:val="0"/>
                <w:numId w:val="6"/>
              </w:numPr>
              <w:adjustRightInd/>
              <w:spacing w:line="276" w:lineRule="auto"/>
              <w:ind w:firstLineChars="0"/>
              <w:jc w:val="both"/>
              <w:rPr>
                <w:rFonts w:ascii="宋体" w:hAnsi="宋体" w:cs="宋体"/>
              </w:rPr>
            </w:pPr>
            <w:r>
              <w:rPr>
                <w:rFonts w:hint="eastAsia" w:ascii="宋体" w:hAnsi="宋体" w:cs="宋体"/>
              </w:rPr>
              <w:t>为快速建立高度隔离的安全网络，设备应支持实现AP虚拟化功能，实现一台AP虚拟为多台AP，分别受不同AC设备独立管理，互不影响。不同虚拟AP之间数据隔离，虚拟AP在AC上不占用AP License；</w:t>
            </w:r>
          </w:p>
          <w:p>
            <w:pPr>
              <w:widowControl w:val="0"/>
              <w:numPr>
                <w:ilvl w:val="0"/>
                <w:numId w:val="6"/>
              </w:numPr>
              <w:adjustRightInd/>
              <w:spacing w:line="276" w:lineRule="auto"/>
              <w:ind w:firstLineChars="0"/>
              <w:jc w:val="both"/>
              <w:rPr>
                <w:rFonts w:ascii="宋体" w:hAnsi="宋体" w:cs="宋体"/>
              </w:rPr>
            </w:pPr>
            <w:r>
              <w:rPr>
                <w:rFonts w:hint="eastAsia" w:ascii="宋体" w:hAnsi="宋体" w:cs="宋体"/>
              </w:rPr>
              <w:t>所投AP具有WLAN自动网优功能，不借助任何网络优化软件，仅通过AP配置进行无线网络优化，降低无线网络中的频段干扰；</w:t>
            </w:r>
          </w:p>
          <w:p>
            <w:pPr>
              <w:widowControl w:val="0"/>
              <w:numPr>
                <w:ilvl w:val="0"/>
                <w:numId w:val="6"/>
              </w:numPr>
              <w:adjustRightInd/>
              <w:spacing w:line="276" w:lineRule="auto"/>
              <w:ind w:firstLineChars="0"/>
              <w:jc w:val="both"/>
              <w:rPr>
                <w:rFonts w:ascii="宋体" w:hAnsi="宋体" w:cs="宋体"/>
              </w:rPr>
            </w:pPr>
            <w:r>
              <w:rPr>
                <w:rFonts w:hint="eastAsia" w:ascii="宋体" w:hAnsi="宋体" w:cs="宋体"/>
              </w:rPr>
              <w:t>支持1024QAM调制解调方式；</w:t>
            </w:r>
          </w:p>
          <w:p>
            <w:pPr>
              <w:widowControl w:val="0"/>
              <w:numPr>
                <w:ilvl w:val="0"/>
                <w:numId w:val="6"/>
              </w:numPr>
              <w:adjustRightInd/>
              <w:spacing w:line="276" w:lineRule="auto"/>
              <w:ind w:firstLineChars="0"/>
              <w:jc w:val="both"/>
              <w:rPr>
                <w:rFonts w:ascii="宋体" w:hAnsi="宋体" w:cs="宋体"/>
              </w:rPr>
            </w:pPr>
            <w:r>
              <w:rPr>
                <w:rFonts w:hint="eastAsia" w:ascii="宋体" w:hAnsi="宋体" w:cs="宋体"/>
              </w:rPr>
              <w:t>支持SSID隐藏，支持为每个SSID配置单独的认证方式、加密机制，VLAN属性；</w:t>
            </w:r>
          </w:p>
          <w:p>
            <w:pPr>
              <w:widowControl w:val="0"/>
              <w:numPr>
                <w:ilvl w:val="0"/>
                <w:numId w:val="6"/>
              </w:numPr>
              <w:adjustRightInd/>
              <w:spacing w:line="276" w:lineRule="auto"/>
              <w:ind w:firstLineChars="0"/>
              <w:jc w:val="both"/>
              <w:rPr>
                <w:rFonts w:ascii="宋体" w:hAnsi="宋体" w:cs="宋体"/>
              </w:rPr>
            </w:pPr>
            <w:r>
              <w:rPr>
                <w:rFonts w:hint="eastAsia" w:ascii="宋体" w:hAnsi="宋体" w:cs="宋体"/>
              </w:rPr>
              <w:t>支持基于终端数或流量的智能负载均衡，支持基于STA/SSID/AP的限速；</w:t>
            </w:r>
          </w:p>
          <w:p>
            <w:pPr>
              <w:widowControl w:val="0"/>
              <w:numPr>
                <w:ilvl w:val="0"/>
                <w:numId w:val="6"/>
              </w:numPr>
              <w:adjustRightInd/>
              <w:spacing w:line="276" w:lineRule="auto"/>
              <w:ind w:firstLineChars="0"/>
              <w:jc w:val="both"/>
              <w:rPr>
                <w:rFonts w:ascii="宋体" w:hAnsi="宋体" w:cs="宋体"/>
              </w:rPr>
            </w:pPr>
            <w:r>
              <w:rPr>
                <w:rFonts w:hint="eastAsia" w:ascii="宋体" w:hAnsi="宋体" w:cs="宋体"/>
              </w:rPr>
              <w:t>支持胖模式（云模式）、瘦模式切换；</w:t>
            </w:r>
          </w:p>
          <w:p>
            <w:pPr>
              <w:widowControl w:val="0"/>
              <w:numPr>
                <w:ilvl w:val="0"/>
                <w:numId w:val="6"/>
              </w:numPr>
              <w:adjustRightInd/>
              <w:spacing w:line="276" w:lineRule="auto"/>
              <w:ind w:firstLineChars="0"/>
              <w:jc w:val="both"/>
              <w:rPr>
                <w:rFonts w:ascii="宋体" w:hAnsi="宋体" w:cs="宋体"/>
              </w:rPr>
            </w:pPr>
            <w:r>
              <w:rPr>
                <w:rFonts w:hint="eastAsia" w:ascii="宋体" w:hAnsi="宋体" w:cs="宋体"/>
              </w:rPr>
              <w:t>所投AP内置探针功能，能够对覆盖范围的终端MAC信息进行检测；</w:t>
            </w:r>
          </w:p>
          <w:p>
            <w:pPr>
              <w:widowControl w:val="0"/>
              <w:numPr>
                <w:ilvl w:val="0"/>
                <w:numId w:val="6"/>
              </w:numPr>
              <w:adjustRightInd/>
              <w:spacing w:line="276" w:lineRule="auto"/>
              <w:ind w:firstLineChars="0"/>
              <w:jc w:val="both"/>
              <w:rPr>
                <w:rFonts w:ascii="宋体" w:hAnsi="宋体" w:cs="宋体"/>
              </w:rPr>
            </w:pPr>
            <w:r>
              <w:rPr>
                <w:rFonts w:hint="eastAsia" w:ascii="宋体" w:hAnsi="宋体" w:cs="宋体"/>
              </w:rPr>
              <w:t>为避免无线网络中私接非法AP，所投AP应支持非法AP检测及反制功能。具有非法AP的精确反制和模糊反制功能，能够主动识别非法设备并令非法设备不能使用；</w:t>
            </w:r>
          </w:p>
          <w:p>
            <w:pPr>
              <w:widowControl w:val="0"/>
              <w:numPr>
                <w:ilvl w:val="0"/>
                <w:numId w:val="6"/>
              </w:numPr>
              <w:adjustRightInd/>
              <w:spacing w:line="276" w:lineRule="auto"/>
              <w:ind w:firstLineChars="0"/>
              <w:jc w:val="both"/>
              <w:rPr>
                <w:rFonts w:ascii="宋体" w:hAnsi="宋体" w:cs="宋体"/>
              </w:rPr>
            </w:pPr>
            <w:r>
              <w:rPr>
                <w:rFonts w:hint="eastAsia" w:ascii="宋体" w:hAnsi="宋体" w:cs="宋体"/>
              </w:rPr>
              <w:t>支持通过Telnet、TFTP管理、Web管理；</w:t>
            </w:r>
          </w:p>
          <w:p>
            <w:pPr>
              <w:widowControl w:val="0"/>
              <w:numPr>
                <w:ilvl w:val="0"/>
                <w:numId w:val="6"/>
              </w:numPr>
              <w:adjustRightInd/>
              <w:spacing w:line="276" w:lineRule="auto"/>
              <w:ind w:firstLineChars="0"/>
              <w:jc w:val="both"/>
              <w:rPr>
                <w:rFonts w:ascii="宋体" w:hAnsi="宋体" w:cs="宋体"/>
              </w:rPr>
            </w:pPr>
            <w:r>
              <w:rPr>
                <w:rFonts w:hint="eastAsia" w:ascii="宋体" w:hAnsi="宋体" w:cs="宋体"/>
              </w:rPr>
              <w:t>▲由于AP部署在开放环境中，为保障设备受到外部机械碰撞仍可以保持结构完整、功能完备，要求所投室内无线接入点至少达到防护等级IK08，提供第三方权威测试报告（需具备CNAS或CMA标志）复印件。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仿宋" w:hAnsi="仿宋" w:cs="仿宋"/>
              </w:rPr>
            </w:pPr>
            <w:r>
              <w:rPr>
                <w:rFonts w:hint="eastAsia" w:ascii="仿宋" w:hAnsi="仿宋" w:cs="仿宋"/>
              </w:rPr>
              <w:t>6</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rPr>
            </w:pPr>
            <w:r>
              <w:rPr>
                <w:rFonts w:hint="eastAsia" w:ascii="宋体" w:hAnsi="宋体" w:cs="宋体"/>
              </w:rPr>
              <w:t>无线控制器</w:t>
            </w:r>
          </w:p>
        </w:tc>
        <w:tc>
          <w:tcPr>
            <w:tcW w:w="7438"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标准1U机架式结构，固化千兆电口≥8个，固化千兆光口≥1个，固化万兆光口≥1个，固化1个USB接口；</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支持内存≥4G；</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内部实配硬盘插槽，且实配硬盘容量≥1T；</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出厂默认AP可管理数≥96个，集中转发AP可管理数≥128个，本地转发AP可管理数≥800个；</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面板AP支持的容量翻倍，吸顶AP、高密AP占用≤1个无线管理授权，面板AP占用≤0.5个无线管理授权；</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要求设备可配置AP的本地数据转发技术模式，即可根据网络的SSID和用户VLAN的规划，决定数据是否需要全部经过无线AC转发或直接进入有线网络进行本地交换，从而更好的适应未来无线网络更高流量传输的要求；</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支持内置portal认证页面定制，有专业知识的人员可以定义任何页面，做到完全自定义包上传；</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满足相关单位要求留存各个类型日志，有NAT日志、NAT44日志、 URL日志、IM日志、BBS日志、邮件日志、搜索引擎等日志；</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支持设备24小时流量趋势图展示；支持24小时用户流量TOP10排行；支持设备、源IP、应用的总流量、流量趋势图、流量明细的查询；</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满足《中华人民共和国网络安全法》至少存储6个月网络日志的要求；</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保障网络中的哑终端安全接入，无线控制器能够对终端识别并对其按不同级别、不同权限审批接入；</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保障网络中的哑终端在迁移时无需配置，无线控制器能够对哑终端提供策略随行；</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为便于网络资产管理快速定位哑终端的网络位置，无线控制器能够对哑终端进行位置识别；</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避免网络非法设备接入，无线控制器能够对终端进行审批管控，无线控制器具有审批终端接入功能；</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为方便终端在不同网段之间移动办公，无线控制器能够对终端进行MAC/DHCP地址段绑定，实现用户终端的策略随行，IP地址不变、策略不变；</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便于网络管理员随时对终端进行接入审批，能够通过手机对接入设备进行审批操作；</w:t>
            </w:r>
          </w:p>
          <w:p>
            <w:pPr>
              <w:widowControl w:val="0"/>
              <w:numPr>
                <w:ilvl w:val="0"/>
                <w:numId w:val="7"/>
              </w:numPr>
              <w:adjustRightInd/>
              <w:spacing w:line="276" w:lineRule="auto"/>
              <w:ind w:firstLineChars="0"/>
              <w:jc w:val="both"/>
              <w:rPr>
                <w:rFonts w:ascii="宋体" w:hAnsi="宋体" w:cs="宋体"/>
              </w:rPr>
            </w:pPr>
            <w:r>
              <w:rPr>
                <w:rFonts w:hint="eastAsia" w:ascii="宋体" w:hAnsi="宋体" w:cs="宋体"/>
              </w:rPr>
              <w:t>▲为保障设备受到外部机械碰撞仍可以保持结构完整、功能完备，要求所投无线控制器达到防护等级 IK07，提供第三方检测机构或实验室出具的具有 CMA 或 CNAS 标志的检测报告证明。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仿宋" w:hAnsi="仿宋" w:cs="仿宋"/>
              </w:rPr>
            </w:pPr>
            <w:r>
              <w:rPr>
                <w:rFonts w:hint="eastAsia" w:ascii="仿宋" w:hAnsi="仿宋" w:cs="仿宋"/>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rPr>
            </w:pPr>
            <w:r>
              <w:rPr>
                <w:rFonts w:hint="eastAsia" w:ascii="宋体" w:hAnsi="宋体" w:cs="宋体"/>
              </w:rPr>
              <w:t>上网行为审计</w:t>
            </w:r>
          </w:p>
        </w:tc>
        <w:tc>
          <w:tcPr>
            <w:tcW w:w="7438"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所投产品须整机最少支持板载6个电口+2个万兆光口，外加2个扩展槽；</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硬盘存储≥1TB，尺寸大小≤1U；</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全功能开启审计适用带宽≥400Mbps，要求所投整机最大支持并发连接数50万，要求所投整机每秒新建连接数≥10000/秒；</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▲ARP表/邻居表支持Web管理ARP表查看，并支持指定静态ARP；支持Web管理IPv6邻居表查看，并支持指定静态。（要求提供功能截图）；</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部署模式支持路由模式，旁路模式、网桥模式、混合模式部署；切换部署模式无需重启，不影响设备正常使用；</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▲支持基于应用层服务和SAAS的策略路由，可基于IP、国家列表、ISP自动地址表（电信、移动、网通、铁通等）和域名来控制目的地址。（要求提供功能截图）；</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支持PPPoE拨号以及负载均衡；支持基于链路的上行、下行、总流量自动均衡的多链路负载均衡算法，基于固定指派链路的自动均衡算法，基于最佳路径的多链路负载均衡算法；支持基于轮询的多链路负载均衡算法；</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链路聚合支持将多个以太网物理端口捆绑成一条逻辑端口（即将多个端口捆绑成一个逻辑的端口以增加带宽，同时增加链路备份）支持基于主备、哈希、802.3ad负载方式；</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VPN支持L2TP、GRE VPN、PPTP、IPSec；</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▲支持链路健康检查：支持DNS链路健康检查算法；支持ICMP链路健康检查算法；支持TCP链路健康检查算法；支持自定义的链路健康检查算法。（每项提供功能截图）；</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▲支持NetbIOS 协议扫描：可通过 NetbIOS 协议扫描内网的主机信息，扫描结果将列出每个主机的 IP 地址、MAC地址和主机名等，然后可以将其加入某个用户组中，逐步完善组织结构的管理。（要求提供功能截图）；</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单点登录支持AD、POP3、Proxy、PPPoE、 H3C IMC/CAMS、锐捷 SAM、城市热点、Web认证、天融信CSP和ESP平台等系统进行认证单点登录，简化用户操作；</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支持钉钉对接认证，企业微信对接认证，临时账号支持二维码扫描接入认证；</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支持违规网站、违规搜索、违规帖子、违规上传、违规邮件、还有潜在威胁的告警行为；</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根据每用户的“每日/每周/每月”使用的流量(上行/下行/双向)总和超过预设阀值，则自动进入黑名单。根据每用户在连续一段时间的“上行速率/下行速率”超过预设阀值，则自动进入黑名单。根据每用户在连续一段时间的并发会话数(上行/下行)超过预设阀值，则自动进入黑名单。对进入黑名单的用户可采取强制下线或修改“上行带宽/下行带宽/上行会话数/下行会话数”的方式对用户进行惩罚。惩罚时间到期，可正常上网。对连续进入黑名单多次（如5次，可配置）的用户，可对用户进行加倍惩罚，惩罚时间可以原来的N倍。(要求提供功能截图)；</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基于个人的所有行为监控报表，包括：网页标题记录、发贴记录、网页评论记录、在搜索引擎上的搜索记录、网页文件上传记录、URL访问记录、即时通讯的登录信息/聊天内容/文件传输记录、邮件记录（详细内容、附件）、FTP登录信息/上传记录/下载记录；</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支持记录合规准入的详细信息，包括用户名、IP/MAC、时间、策略名称、规则类型、违规类型和详情等信息；</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上网态势分析：从内网整体网络的宏观角度展现网络使用概况、上网目的地分布、热门应用流量分布、网站类型分析、终端类型分析、在线人群趋势、高风险任人群排名、违规行为统计等多维度全方位展现网络的使用综合态势，给网络管理提供依据。（要求提供功能截图）；</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网络质量分析：通过对网络线路实时流量趋势、以及应用流量、用户流量进行展示，统计分析出每条专线的负载情况，从而实时地掌握网络线路的使用情况；</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操作系统准入：支持检测Windows操作系统，细化到系统补丁例如sp1，如符合准入要求，可放行终端入网，否则禁止；</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进程准入：支持检测Windows PC是否运行，或者没有运行配置要求的进程，如符合准入要求，可放行终端入网，否则禁止；</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文件准入：支持检测Windows PC文件路径进行检测，如符合准入要求，可放行终端入网，否则禁止；</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▲注册表准入：支持检测Windows PC注册表项、名称、数据，通过注册表状态来判断是否可以入网，如符合准入要求，可放行终端入网，否则禁止。（要求提供功能截图）；</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IPv6功能支持接口配置IPv6地址、支持IPv6地址簿、支持IPv6策略路由、NAT64、NAT66、DNS64等相关配置。支持IPv6流量审计。支持IPv6环境下认证、流量控制、行为控制和防火墙策略；</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冗余部署支持路由模式下支持HA的部署模式（主主模式、主备模式）；桥模式下支持接口联动，配置同步；</w:t>
            </w:r>
          </w:p>
          <w:p>
            <w:pPr>
              <w:widowControl w:val="0"/>
              <w:numPr>
                <w:ilvl w:val="0"/>
                <w:numId w:val="8"/>
              </w:numPr>
              <w:adjustRightInd/>
              <w:spacing w:line="276" w:lineRule="auto"/>
              <w:ind w:firstLineChars="0"/>
              <w:jc w:val="both"/>
              <w:rPr>
                <w:rFonts w:ascii="宋体" w:hAnsi="宋体" w:cs="宋体"/>
              </w:rPr>
            </w:pPr>
            <w:r>
              <w:rPr>
                <w:rFonts w:hint="eastAsia" w:ascii="宋体" w:hAnsi="宋体" w:cs="宋体"/>
              </w:rPr>
              <w:t>分级管理默认支持三权分立，支持自定义角色等级划分，不同用户组的管理权限支持分配给不同管理员；</w:t>
            </w:r>
          </w:p>
          <w:p>
            <w:pPr>
              <w:spacing w:line="276" w:lineRule="auto"/>
              <w:ind w:firstLine="0" w:firstLineChars="0"/>
              <w:jc w:val="both"/>
              <w:rPr>
                <w:rFonts w:ascii="宋体" w:hAnsi="宋体" w:cs="宋体"/>
              </w:rPr>
            </w:pPr>
            <w:r>
              <w:rPr>
                <w:rFonts w:hint="eastAsia" w:ascii="宋体" w:hAnsi="宋体" w:cs="宋体"/>
              </w:rPr>
              <w:t>27.设备需配置特征库升级服务授权≥3年。</w:t>
            </w:r>
          </w:p>
        </w:tc>
      </w:tr>
    </w:tbl>
    <w:p>
      <w:pPr>
        <w:pStyle w:val="10"/>
        <w:numPr>
          <w:ilvl w:val="0"/>
          <w:numId w:val="1"/>
        </w:numPr>
        <w:ind w:left="0" w:firstLineChars="0"/>
        <w:outlineLvl w:val="0"/>
        <w:rPr>
          <w:rFonts w:ascii="仿宋" w:hAnsi="仿宋" w:eastAsia="仿宋" w:cs="仿宋"/>
          <w:sz w:val="28"/>
          <w:szCs w:val="28"/>
        </w:rPr>
      </w:pPr>
      <w:r>
        <w:rPr>
          <w:rFonts w:hint="eastAsia" w:ascii="仿宋" w:hAnsi="仿宋" w:eastAsia="仿宋" w:cs="仿宋"/>
          <w:sz w:val="28"/>
          <w:szCs w:val="28"/>
        </w:rPr>
        <w:t>供应商资格要求</w:t>
      </w:r>
    </w:p>
    <w:p>
      <w:pPr>
        <w:pStyle w:val="10"/>
        <w:ind w:firstLine="560"/>
        <w:rPr>
          <w:rFonts w:ascii="仿宋" w:hAnsi="仿宋" w:eastAsia="仿宋" w:cs="仿宋"/>
          <w:b w:val="0"/>
          <w:bCs w:val="0"/>
          <w:sz w:val="28"/>
          <w:szCs w:val="28"/>
        </w:rPr>
      </w:pPr>
      <w:r>
        <w:rPr>
          <w:rFonts w:hint="eastAsia" w:ascii="仿宋" w:hAnsi="仿宋" w:eastAsia="仿宋" w:cs="仿宋"/>
          <w:b w:val="0"/>
          <w:bCs w:val="0"/>
          <w:sz w:val="28"/>
          <w:szCs w:val="28"/>
        </w:rPr>
        <w:t>符合《中华人民共和国政府采购法》第二十二条的规定，符合《关于规范政府采购供应商资格设定及资格审查的通知》第六条规定且已在税务采购网注册并通过资质初审的供应商。</w:t>
      </w:r>
    </w:p>
    <w:p>
      <w:pPr>
        <w:pStyle w:val="10"/>
        <w:numPr>
          <w:ilvl w:val="0"/>
          <w:numId w:val="1"/>
        </w:numPr>
        <w:ind w:left="0" w:firstLineChars="0"/>
        <w:outlineLvl w:val="0"/>
        <w:rPr>
          <w:rFonts w:ascii="仿宋" w:hAnsi="仿宋" w:eastAsia="仿宋" w:cs="仿宋"/>
          <w:sz w:val="28"/>
          <w:szCs w:val="28"/>
        </w:rPr>
      </w:pPr>
      <w:r>
        <w:rPr>
          <w:rFonts w:hint="eastAsia" w:ascii="仿宋" w:hAnsi="仿宋" w:eastAsia="仿宋" w:cs="仿宋"/>
          <w:sz w:val="28"/>
          <w:szCs w:val="28"/>
        </w:rPr>
        <w:t>技术响应要求</w:t>
      </w:r>
    </w:p>
    <w:p>
      <w:pPr>
        <w:ind w:firstLine="560"/>
        <w:contextualSpacing/>
        <w:rPr>
          <w:rFonts w:ascii="仿宋" w:hAnsi="仿宋" w:cs="仿宋"/>
          <w:sz w:val="28"/>
          <w:szCs w:val="28"/>
        </w:rPr>
      </w:pPr>
      <w:r>
        <w:rPr>
          <w:rFonts w:hint="eastAsia" w:ascii="仿宋" w:hAnsi="仿宋" w:cs="仿宋"/>
          <w:sz w:val="28"/>
          <w:szCs w:val="28"/>
        </w:rPr>
        <w:t>（一）★参数指标中带“▲”的技术参数为重要条款，需要逐条如实响应，供应商需按技术参数文件要求提供</w:t>
      </w:r>
      <w:r>
        <w:rPr>
          <w:rFonts w:hint="eastAsia" w:ascii="仿宋" w:hAnsi="仿宋" w:cs="仿宋"/>
          <w:b/>
          <w:bCs/>
          <w:sz w:val="28"/>
          <w:szCs w:val="28"/>
        </w:rPr>
        <w:t>相关证明文件</w:t>
      </w:r>
      <w:r>
        <w:rPr>
          <w:rFonts w:hint="eastAsia" w:ascii="仿宋" w:hAnsi="仿宋" w:cs="仿宋"/>
          <w:sz w:val="28"/>
          <w:szCs w:val="28"/>
        </w:rPr>
        <w:t>（中标后，签订合同前提供），未提供或不符合要求的一律作无效响应处理。</w:t>
      </w:r>
    </w:p>
    <w:p>
      <w:pPr>
        <w:ind w:firstLine="560"/>
        <w:contextualSpacing/>
        <w:rPr>
          <w:rFonts w:ascii="仿宋" w:hAnsi="仿宋" w:cs="仿宋"/>
          <w:sz w:val="28"/>
          <w:szCs w:val="28"/>
        </w:rPr>
      </w:pPr>
      <w:r>
        <w:rPr>
          <w:rFonts w:hint="eastAsia" w:ascii="仿宋" w:hAnsi="仿宋" w:cs="仿宋"/>
          <w:sz w:val="28"/>
          <w:szCs w:val="28"/>
        </w:rPr>
        <w:t>（二）★保障本次项目后续运维的统一管理，要求所投核心设备：汇聚交换机、24口POE交换机 、16口POE交换机、高密AP、放装AP、无线控制器、上网行为审计，设备为同一品牌，并提供制造厂商出具的服务承诺函和授权函。</w:t>
      </w:r>
    </w:p>
    <w:p>
      <w:pPr>
        <w:pStyle w:val="4"/>
        <w:ind w:firstLine="560"/>
        <w:rPr>
          <w:rFonts w:ascii="仿宋" w:hAnsi="仿宋" w:eastAsia="仿宋" w:cs="仿宋"/>
          <w:sz w:val="28"/>
          <w:szCs w:val="28"/>
        </w:rPr>
      </w:pPr>
      <w:r>
        <w:rPr>
          <w:rFonts w:hint="eastAsia" w:ascii="仿宋" w:hAnsi="仿宋" w:eastAsia="仿宋" w:cs="仿宋"/>
          <w:sz w:val="28"/>
          <w:szCs w:val="28"/>
        </w:rPr>
        <w:t>（三）★本项目涉及到现场安装与环境装饰配合等因素，要求中标供应商设备安装调测时不得破坏原环境装饰，投标供应商在响应本项目前需实地查勘项目现场，但踏勘费用由供应商自行承担。为保证系统点位合理及后期终端使用质量，要求有意向供应商联系本单位负责人进行实地勘察，参与本项目报价时需输出AP点位热力图，并加盖供应商公章，如无实际地勘，输出AP点位图视为无效报价。</w:t>
      </w:r>
    </w:p>
    <w:p>
      <w:pPr>
        <w:pStyle w:val="10"/>
        <w:numPr>
          <w:ilvl w:val="0"/>
          <w:numId w:val="1"/>
        </w:numPr>
        <w:ind w:left="0" w:firstLineChars="0"/>
        <w:outlineLvl w:val="0"/>
        <w:rPr>
          <w:rFonts w:ascii="仿宋" w:hAnsi="仿宋" w:eastAsia="仿宋" w:cs="仿宋"/>
          <w:sz w:val="28"/>
          <w:szCs w:val="28"/>
        </w:rPr>
      </w:pPr>
      <w:r>
        <w:rPr>
          <w:rFonts w:hint="eastAsia" w:ascii="仿宋" w:hAnsi="仿宋" w:eastAsia="仿宋" w:cs="仿宋"/>
          <w:sz w:val="28"/>
          <w:szCs w:val="28"/>
        </w:rPr>
        <w:t>商务要求</w:t>
      </w:r>
    </w:p>
    <w:p>
      <w:pPr>
        <w:pStyle w:val="10"/>
        <w:ind w:firstLine="420" w:firstLineChars="0"/>
        <w:rPr>
          <w:rFonts w:ascii="仿宋" w:hAnsi="仿宋" w:eastAsia="仿宋" w:cs="仿宋"/>
          <w:sz w:val="28"/>
          <w:szCs w:val="28"/>
        </w:rPr>
      </w:pPr>
      <w:r>
        <w:rPr>
          <w:rFonts w:hint="eastAsia" w:ascii="仿宋" w:hAnsi="仿宋" w:eastAsia="仿宋" w:cs="仿宋"/>
          <w:b w:val="0"/>
          <w:bCs w:val="0"/>
          <w:sz w:val="28"/>
          <w:szCs w:val="28"/>
        </w:rPr>
        <w:t>（一）</w:t>
      </w:r>
      <w:r>
        <w:rPr>
          <w:rFonts w:hint="eastAsia" w:ascii="仿宋" w:hAnsi="仿宋" w:cs="仿宋"/>
          <w:sz w:val="28"/>
          <w:szCs w:val="28"/>
        </w:rPr>
        <w:t>★</w:t>
      </w:r>
      <w:r>
        <w:rPr>
          <w:rFonts w:hint="eastAsia" w:ascii="仿宋" w:hAnsi="仿宋" w:eastAsia="仿宋" w:cs="仿宋"/>
          <w:b w:val="0"/>
          <w:bCs w:val="0"/>
          <w:kern w:val="2"/>
          <w:sz w:val="28"/>
          <w:szCs w:val="28"/>
        </w:rPr>
        <w:t>竞价总价不得高于365000元。</w:t>
      </w:r>
    </w:p>
    <w:p>
      <w:pPr>
        <w:ind w:firstLine="560"/>
        <w:contextualSpacing/>
        <w:rPr>
          <w:rFonts w:ascii="仿宋" w:hAnsi="仿宋" w:cs="仿宋"/>
          <w:sz w:val="28"/>
          <w:szCs w:val="28"/>
        </w:rPr>
      </w:pPr>
      <w:r>
        <w:rPr>
          <w:rFonts w:hint="eastAsia" w:ascii="仿宋" w:hAnsi="仿宋" w:cs="仿宋"/>
          <w:sz w:val="28"/>
          <w:szCs w:val="28"/>
        </w:rPr>
        <w:t>（二）中标供应商负责本项目现场安装、调试服务，采购人不额外支付相关费用。供应商报价包含施工、相关辅材等费用。</w:t>
      </w:r>
    </w:p>
    <w:p>
      <w:pPr>
        <w:ind w:firstLine="560"/>
        <w:contextualSpacing/>
        <w:rPr>
          <w:rFonts w:ascii="仿宋" w:hAnsi="仿宋" w:cs="仿宋"/>
          <w:sz w:val="28"/>
          <w:szCs w:val="28"/>
        </w:rPr>
      </w:pPr>
      <w:r>
        <w:rPr>
          <w:rFonts w:hint="eastAsia" w:ascii="仿宋" w:hAnsi="仿宋" w:cs="仿宋"/>
          <w:sz w:val="28"/>
          <w:szCs w:val="28"/>
        </w:rPr>
        <w:t>（三）供应商竞价成功后，须在5个工作日内与我方签订采购合同，合同签署后7个工作日内供货，供货后30个工作日内完成安装调试；若合同签署后供应商所供货物不满足各项要求和指标，采购方有权终止合同，并且有权要求退赔。</w:t>
      </w:r>
    </w:p>
    <w:p>
      <w:pPr>
        <w:ind w:firstLine="560"/>
        <w:contextualSpacing/>
        <w:rPr>
          <w:rFonts w:ascii="仿宋" w:hAnsi="仿宋" w:cs="仿宋"/>
          <w:b/>
          <w:bCs/>
          <w:sz w:val="28"/>
          <w:szCs w:val="28"/>
        </w:rPr>
      </w:pPr>
      <w:r>
        <w:rPr>
          <w:rFonts w:hint="eastAsia" w:ascii="仿宋" w:hAnsi="仿宋" w:cs="仿宋"/>
          <w:sz w:val="28"/>
          <w:szCs w:val="28"/>
        </w:rPr>
        <w:t>（四）售后服务要求。质保期为</w:t>
      </w:r>
      <w:r>
        <w:rPr>
          <w:rFonts w:hint="eastAsia" w:ascii="仿宋" w:hAnsi="仿宋" w:cs="仿宋"/>
          <w:sz w:val="28"/>
          <w:szCs w:val="28"/>
          <w:lang w:val="en-US" w:eastAsia="zh-CN"/>
        </w:rPr>
        <w:t>3</w:t>
      </w:r>
      <w:r>
        <w:rPr>
          <w:rFonts w:hint="eastAsia" w:ascii="仿宋" w:hAnsi="仿宋" w:cs="仿宋"/>
          <w:sz w:val="28"/>
          <w:szCs w:val="28"/>
        </w:rPr>
        <w:t>年，从所有货物质保期和软件维护期间自最终验收合格交付之日起计算。质保期内，要求提供的维保服务为遇到问题2小时内上门服务，48小时完成维修。</w:t>
      </w:r>
    </w:p>
    <w:p>
      <w:pPr>
        <w:pStyle w:val="10"/>
        <w:numPr>
          <w:ilvl w:val="0"/>
          <w:numId w:val="1"/>
        </w:numPr>
        <w:ind w:left="0" w:firstLineChars="0"/>
        <w:outlineLvl w:val="0"/>
        <w:rPr>
          <w:rFonts w:ascii="仿宋" w:hAnsi="仿宋" w:eastAsia="仿宋" w:cs="仿宋"/>
          <w:sz w:val="28"/>
          <w:szCs w:val="28"/>
        </w:rPr>
      </w:pPr>
      <w:r>
        <w:rPr>
          <w:rFonts w:hint="eastAsia" w:ascii="仿宋" w:hAnsi="仿宋" w:eastAsia="仿宋" w:cs="仿宋"/>
          <w:sz w:val="28"/>
          <w:szCs w:val="28"/>
        </w:rPr>
        <w:t>验收</w:t>
      </w:r>
    </w:p>
    <w:p>
      <w:pPr>
        <w:ind w:firstLine="560"/>
        <w:contextualSpacing/>
        <w:rPr>
          <w:rFonts w:ascii="仿宋" w:hAnsi="仿宋" w:cs="仿宋"/>
          <w:sz w:val="28"/>
          <w:szCs w:val="28"/>
        </w:rPr>
      </w:pPr>
      <w:r>
        <w:rPr>
          <w:rFonts w:hint="eastAsia" w:ascii="仿宋" w:hAnsi="仿宋" w:cs="仿宋"/>
          <w:sz w:val="28"/>
          <w:szCs w:val="28"/>
        </w:rPr>
        <w:t>中标供应商要针对项目验收提供与所投设备有关的完整的验收报告。全部设备到货后，采购人对全部产品的型号、规格、配置、数量、外型、包装及资料、文件（如装箱单、保修单、随箱介质等）进行</w:t>
      </w:r>
      <w:r>
        <w:rPr>
          <w:rFonts w:hint="eastAsia" w:ascii="仿宋" w:hAnsi="仿宋" w:cs="仿宋"/>
          <w:b/>
          <w:bCs/>
          <w:sz w:val="28"/>
          <w:szCs w:val="28"/>
        </w:rPr>
        <w:t>初次验收</w:t>
      </w:r>
      <w:r>
        <w:rPr>
          <w:rFonts w:hint="eastAsia" w:ascii="仿宋" w:hAnsi="仿宋" w:cs="仿宋"/>
          <w:sz w:val="28"/>
          <w:szCs w:val="28"/>
        </w:rPr>
        <w:t>，并按照本竞价文件所列功能进行逐一验证测试。如果产品未能满足全部技术规格，采购人有权提前解除部分或全部合同并要求中标供应商赔偿相应的损失。</w:t>
      </w:r>
    </w:p>
    <w:p>
      <w:pPr>
        <w:ind w:firstLine="560"/>
        <w:contextualSpacing/>
        <w:rPr>
          <w:rFonts w:ascii="仿宋" w:hAnsi="仿宋" w:cs="仿宋"/>
          <w:sz w:val="28"/>
          <w:szCs w:val="28"/>
        </w:rPr>
      </w:pPr>
      <w:r>
        <w:rPr>
          <w:rFonts w:hint="eastAsia" w:ascii="仿宋" w:hAnsi="仿宋" w:cs="仿宋"/>
          <w:sz w:val="28"/>
          <w:szCs w:val="28"/>
        </w:rPr>
        <w:t>中标供应商所提供的产品包括配件必须是厂家原包装全新正品，要求所提供设备必须与我局现有系统及设备无缝对接，完美兼容，测试时间为3天，测试未通过的视为未通过最终验收；中标供应商须将设备、系统安装并调试至正常运行的最佳状态，通过测试视为</w:t>
      </w:r>
      <w:r>
        <w:rPr>
          <w:rFonts w:hint="eastAsia" w:ascii="仿宋" w:hAnsi="仿宋" w:cs="仿宋"/>
          <w:b/>
          <w:bCs/>
          <w:sz w:val="28"/>
          <w:szCs w:val="28"/>
        </w:rPr>
        <w:t>最终验收</w:t>
      </w:r>
      <w:r>
        <w:rPr>
          <w:rFonts w:hint="eastAsia" w:ascii="仿宋" w:hAnsi="仿宋" w:cs="仿宋"/>
          <w:sz w:val="28"/>
          <w:szCs w:val="28"/>
        </w:rPr>
        <w:t>合格。</w:t>
      </w:r>
    </w:p>
    <w:p>
      <w:pPr>
        <w:pStyle w:val="10"/>
        <w:numPr>
          <w:ilvl w:val="0"/>
          <w:numId w:val="1"/>
        </w:numPr>
        <w:ind w:left="0" w:firstLineChars="0"/>
        <w:outlineLvl w:val="0"/>
        <w:rPr>
          <w:rFonts w:ascii="仿宋" w:hAnsi="仿宋" w:eastAsia="仿宋" w:cs="仿宋"/>
          <w:sz w:val="28"/>
          <w:szCs w:val="28"/>
        </w:rPr>
      </w:pPr>
      <w:r>
        <w:rPr>
          <w:rFonts w:hint="eastAsia" w:ascii="仿宋" w:hAnsi="仿宋" w:eastAsia="仿宋" w:cs="仿宋"/>
          <w:sz w:val="28"/>
          <w:szCs w:val="28"/>
        </w:rPr>
        <w:t>其他</w:t>
      </w:r>
    </w:p>
    <w:p>
      <w:pPr>
        <w:ind w:firstLine="560"/>
        <w:contextualSpacing/>
        <w:rPr>
          <w:rFonts w:ascii="仿宋" w:hAnsi="仿宋" w:cs="仿宋"/>
          <w:sz w:val="28"/>
          <w:szCs w:val="28"/>
        </w:rPr>
      </w:pPr>
      <w:r>
        <w:rPr>
          <w:rFonts w:hint="eastAsia" w:ascii="仿宋" w:hAnsi="仿宋" w:cs="仿宋"/>
          <w:sz w:val="28"/>
          <w:szCs w:val="28"/>
        </w:rPr>
        <w:t>供应商不得以获取不正当利益为目的，采取馈赠礼品礼金、邀请娱乐旅游消费、提供便利条件等非正常交往手段“围猎”相关税务人员及亲属。</w:t>
      </w:r>
    </w:p>
    <w:p>
      <w:pPr>
        <w:ind w:firstLine="560"/>
        <w:contextualSpacing/>
        <w:rPr>
          <w:rFonts w:ascii="仿宋" w:hAnsi="仿宋" w:cs="仿宋"/>
          <w:sz w:val="28"/>
          <w:szCs w:val="28"/>
        </w:rPr>
      </w:pPr>
      <w:r>
        <w:rPr>
          <w:rFonts w:hint="eastAsia" w:ascii="仿宋" w:hAnsi="仿宋" w:cs="仿宋"/>
          <w:sz w:val="28"/>
          <w:szCs w:val="28"/>
        </w:rPr>
        <w:t>中标供应商须严格遵守国家保密法律、法规和规章制度，配合采购人做好网络和数据安全相关工作，遵守网络安全规定；若违反网络安全规定致使相关工作存在重大泄密隐患或发生泄密的，将承担相应法律责任。</w:t>
      </w:r>
    </w:p>
    <w:p>
      <w:pPr>
        <w:pStyle w:val="2"/>
        <w:ind w:firstLine="480"/>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firstLine="360"/>
    </w:pPr>
    <w:r>
      <w:rPr>
        <w:rFonts w:ascii="Times New Roman" w:hAnsi="Times New Roman" w:eastAsia="仿宋" w:cs="Arial"/>
        <w:kern w:val="2"/>
        <w:sz w:val="18"/>
        <w:szCs w:val="21"/>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ind w:firstLine="360"/>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36686826">
    <w:nsid w:val="4FAC38EA"/>
    <w:multiLevelType w:val="multilevel"/>
    <w:tmpl w:val="4FAC38EA"/>
    <w:lvl w:ilvl="0" w:tentative="1">
      <w:start w:val="1"/>
      <w:numFmt w:val="decimal"/>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1477138370">
    <w:nsid w:val="580B57C2"/>
    <w:multiLevelType w:val="multilevel"/>
    <w:tmpl w:val="580B57C2"/>
    <w:lvl w:ilvl="0" w:tentative="1">
      <w:start w:val="1"/>
      <w:numFmt w:val="decimal"/>
      <w:lvlText w:val="%1."/>
      <w:lvlJc w:val="left"/>
      <w:pPr>
        <w:ind w:left="315" w:hanging="315"/>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409548892">
    <w:nsid w:val="1869385C"/>
    <w:multiLevelType w:val="multilevel"/>
    <w:tmpl w:val="1869385C"/>
    <w:lvl w:ilvl="0" w:tentative="1">
      <w:start w:val="1"/>
      <w:numFmt w:val="decimal"/>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118306446">
    <w:nsid w:val="070D368E"/>
    <w:multiLevelType w:val="multilevel"/>
    <w:tmpl w:val="070D368E"/>
    <w:lvl w:ilvl="0" w:tentative="1">
      <w:start w:val="1"/>
      <w:numFmt w:val="japaneseCounting"/>
      <w:lvlText w:val="%1."/>
      <w:lvlJc w:val="left"/>
      <w:pPr>
        <w:ind w:left="991" w:hanging="440"/>
      </w:pPr>
      <w:rPr>
        <w:rFonts w:hint="default"/>
      </w:rPr>
    </w:lvl>
    <w:lvl w:ilvl="1" w:tentative="1">
      <w:start w:val="1"/>
      <w:numFmt w:val="lowerLetter"/>
      <w:lvlText w:val="%2)"/>
      <w:lvlJc w:val="left"/>
      <w:pPr>
        <w:ind w:left="1391" w:hanging="420"/>
      </w:pPr>
    </w:lvl>
    <w:lvl w:ilvl="2" w:tentative="1">
      <w:start w:val="1"/>
      <w:numFmt w:val="lowerRoman"/>
      <w:lvlText w:val="%3."/>
      <w:lvlJc w:val="right"/>
      <w:pPr>
        <w:ind w:left="1811" w:hanging="420"/>
      </w:pPr>
    </w:lvl>
    <w:lvl w:ilvl="3" w:tentative="1">
      <w:start w:val="1"/>
      <w:numFmt w:val="decimal"/>
      <w:lvlText w:val="%4."/>
      <w:lvlJc w:val="left"/>
      <w:pPr>
        <w:ind w:left="2231" w:hanging="420"/>
      </w:pPr>
    </w:lvl>
    <w:lvl w:ilvl="4" w:tentative="1">
      <w:start w:val="1"/>
      <w:numFmt w:val="lowerLetter"/>
      <w:lvlText w:val="%5)"/>
      <w:lvlJc w:val="left"/>
      <w:pPr>
        <w:ind w:left="2651" w:hanging="420"/>
      </w:pPr>
    </w:lvl>
    <w:lvl w:ilvl="5" w:tentative="1">
      <w:start w:val="1"/>
      <w:numFmt w:val="lowerRoman"/>
      <w:lvlText w:val="%6."/>
      <w:lvlJc w:val="right"/>
      <w:pPr>
        <w:ind w:left="3071" w:hanging="420"/>
      </w:pPr>
    </w:lvl>
    <w:lvl w:ilvl="6" w:tentative="1">
      <w:start w:val="1"/>
      <w:numFmt w:val="decimal"/>
      <w:lvlText w:val="%7."/>
      <w:lvlJc w:val="left"/>
      <w:pPr>
        <w:ind w:left="3491" w:hanging="420"/>
      </w:pPr>
    </w:lvl>
    <w:lvl w:ilvl="7" w:tentative="1">
      <w:start w:val="1"/>
      <w:numFmt w:val="lowerLetter"/>
      <w:lvlText w:val="%8)"/>
      <w:lvlJc w:val="left"/>
      <w:pPr>
        <w:ind w:left="3911" w:hanging="420"/>
      </w:pPr>
    </w:lvl>
    <w:lvl w:ilvl="8" w:tentative="1">
      <w:start w:val="1"/>
      <w:numFmt w:val="lowerRoman"/>
      <w:lvlText w:val="%9."/>
      <w:lvlJc w:val="right"/>
      <w:pPr>
        <w:ind w:left="4331" w:hanging="420"/>
      </w:pPr>
    </w:lvl>
  </w:abstractNum>
  <w:abstractNum w:abstractNumId="5329844">
    <w:nsid w:val="005153B4"/>
    <w:multiLevelType w:val="multilevel"/>
    <w:tmpl w:val="005153B4"/>
    <w:lvl w:ilvl="0" w:tentative="1">
      <w:start w:val="1"/>
      <w:numFmt w:val="decimal"/>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1012300744">
    <w:nsid w:val="3C567BC8"/>
    <w:multiLevelType w:val="multilevel"/>
    <w:tmpl w:val="3C567BC8"/>
    <w:lvl w:ilvl="0" w:tentative="1">
      <w:start w:val="1"/>
      <w:numFmt w:val="decimal"/>
      <w:lvlText w:val="%1."/>
      <w:lvlJc w:val="left"/>
      <w:pPr>
        <w:ind w:left="315" w:hanging="315"/>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592011767">
    <w:nsid w:val="234961F7"/>
    <w:multiLevelType w:val="multilevel"/>
    <w:tmpl w:val="234961F7"/>
    <w:lvl w:ilvl="0" w:tentative="1">
      <w:start w:val="1"/>
      <w:numFmt w:val="decimal"/>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420383540">
    <w:nsid w:val="190E8B34"/>
    <w:multiLevelType w:val="multilevel"/>
    <w:tmpl w:val="190E8B34"/>
    <w:lvl w:ilvl="0" w:tentative="1">
      <w:start w:val="1"/>
      <w:numFmt w:val="decimal"/>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num w:numId="1">
    <w:abstractNumId w:val="118306446"/>
  </w:num>
  <w:num w:numId="2">
    <w:abstractNumId w:val="5329844"/>
  </w:num>
  <w:num w:numId="3">
    <w:abstractNumId w:val="420383540"/>
  </w:num>
  <w:num w:numId="4">
    <w:abstractNumId w:val="409548892"/>
  </w:num>
  <w:num w:numId="5">
    <w:abstractNumId w:val="592011767"/>
  </w:num>
  <w:num w:numId="6">
    <w:abstractNumId w:val="1012300744"/>
  </w:num>
  <w:num w:numId="7">
    <w:abstractNumId w:val="1336686826"/>
  </w:num>
  <w:num w:numId="8">
    <w:abstractNumId w:val="14771383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hjOGEwOWU5NDIzNzkwNGFiYzZhOWEyOTU1ODkyZjQifQ=="/>
  </w:docVars>
  <w:rsids>
    <w:rsidRoot w:val="00460A2F"/>
    <w:rsid w:val="00043935"/>
    <w:rsid w:val="000A288B"/>
    <w:rsid w:val="000A6521"/>
    <w:rsid w:val="000F233F"/>
    <w:rsid w:val="001939F8"/>
    <w:rsid w:val="001956C7"/>
    <w:rsid w:val="001D5F7F"/>
    <w:rsid w:val="002506E3"/>
    <w:rsid w:val="002F67F7"/>
    <w:rsid w:val="00326C63"/>
    <w:rsid w:val="003738BA"/>
    <w:rsid w:val="003B415E"/>
    <w:rsid w:val="00460A2F"/>
    <w:rsid w:val="004C09F6"/>
    <w:rsid w:val="005531D7"/>
    <w:rsid w:val="006F667F"/>
    <w:rsid w:val="0070601B"/>
    <w:rsid w:val="00767AA9"/>
    <w:rsid w:val="007B5C61"/>
    <w:rsid w:val="00884381"/>
    <w:rsid w:val="008C37D4"/>
    <w:rsid w:val="00A2072F"/>
    <w:rsid w:val="00A94E93"/>
    <w:rsid w:val="00AB2E0F"/>
    <w:rsid w:val="00AE169D"/>
    <w:rsid w:val="00B2781A"/>
    <w:rsid w:val="00B744AE"/>
    <w:rsid w:val="00C4726A"/>
    <w:rsid w:val="00C522BB"/>
    <w:rsid w:val="00C52CEE"/>
    <w:rsid w:val="00CB4785"/>
    <w:rsid w:val="00D37061"/>
    <w:rsid w:val="00DD03C5"/>
    <w:rsid w:val="00EA478A"/>
    <w:rsid w:val="00F0451A"/>
    <w:rsid w:val="045C624C"/>
    <w:rsid w:val="0EA633B4"/>
    <w:rsid w:val="13A55430"/>
    <w:rsid w:val="16451124"/>
    <w:rsid w:val="1D570AEF"/>
    <w:rsid w:val="21443F00"/>
    <w:rsid w:val="27A0631A"/>
    <w:rsid w:val="298715DB"/>
    <w:rsid w:val="2A202ECD"/>
    <w:rsid w:val="2DE97CA9"/>
    <w:rsid w:val="2F944703"/>
    <w:rsid w:val="3128473F"/>
    <w:rsid w:val="37C97854"/>
    <w:rsid w:val="37EF227E"/>
    <w:rsid w:val="38CF3EBB"/>
    <w:rsid w:val="3A2847E4"/>
    <w:rsid w:val="454F36C5"/>
    <w:rsid w:val="460D0F7A"/>
    <w:rsid w:val="4D641037"/>
    <w:rsid w:val="5724409D"/>
    <w:rsid w:val="597E37DC"/>
    <w:rsid w:val="5C5E6748"/>
    <w:rsid w:val="5F4A23F3"/>
    <w:rsid w:val="62F6339C"/>
    <w:rsid w:val="679B47BF"/>
    <w:rsid w:val="6A475C58"/>
    <w:rsid w:val="6CCD11FC"/>
    <w:rsid w:val="6E072310"/>
    <w:rsid w:val="74EE6053"/>
    <w:rsid w:val="78ED65A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opLinePunct w:val="1"/>
      <w:adjustRightInd w:val="0"/>
      <w:spacing w:line="360" w:lineRule="auto"/>
      <w:ind w:firstLine="200" w:firstLineChars="200"/>
    </w:pPr>
    <w:rPr>
      <w:rFonts w:ascii="Times New Roman" w:hAnsi="Times New Roman" w:eastAsia="仿宋" w:cs="Arial"/>
      <w:kern w:val="2"/>
      <w:sz w:val="24"/>
      <w:szCs w:val="21"/>
      <w:lang w:val="en-US" w:eastAsia="zh-CN" w:bidi="ar-SA"/>
    </w:rPr>
  </w:style>
  <w:style w:type="paragraph" w:styleId="3">
    <w:name w:val="heading 7"/>
    <w:basedOn w:val="1"/>
    <w:next w:val="1"/>
    <w:link w:val="12"/>
    <w:qFormat/>
    <w:uiPriority w:val="9"/>
    <w:pPr>
      <w:adjustRightInd/>
      <w:spacing w:before="240" w:after="60" w:line="240" w:lineRule="auto"/>
      <w:ind w:firstLine="707" w:firstLineChars="221"/>
      <w:outlineLvl w:val="6"/>
    </w:pPr>
    <w:rPr>
      <w:rFonts w:ascii="Calibri" w:hAnsi="Calibri" w:eastAsia="宋体" w:cs="Times New Roman"/>
      <w:kern w:val="0"/>
      <w:szCs w:val="24"/>
    </w:rPr>
  </w:style>
  <w:style w:type="character" w:default="1" w:styleId="8">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next w:val="1"/>
    <w:qFormat/>
    <w:uiPriority w:val="0"/>
    <w:pPr>
      <w:spacing w:after="120"/>
    </w:pPr>
    <w:rPr>
      <w:rFonts w:cs="Times New Roman"/>
    </w:rPr>
  </w:style>
  <w:style w:type="paragraph" w:styleId="4">
    <w:name w:val="Normal Indent"/>
    <w:basedOn w:val="1"/>
    <w:qFormat/>
    <w:uiPriority w:val="0"/>
    <w:pPr>
      <w:ind w:firstLine="420"/>
    </w:pPr>
    <w:rPr>
      <w:rFonts w:eastAsia="宋体" w:cs="Times New Roman"/>
      <w:szCs w:val="20"/>
    </w:rPr>
  </w:style>
  <w:style w:type="paragraph" w:styleId="5">
    <w:name w:val="annotation text"/>
    <w:basedOn w:val="1"/>
    <w:link w:val="13"/>
    <w:qFormat/>
    <w:uiPriority w:val="99"/>
    <w:pPr>
      <w:widowControl w:val="0"/>
      <w:adjustRightInd/>
      <w:spacing w:line="240" w:lineRule="auto"/>
      <w:ind w:firstLine="0" w:firstLineChars="0"/>
    </w:pPr>
    <w:rPr>
      <w:rFonts w:eastAsia="宋体" w:cs="Times New Roman"/>
      <w:sz w:val="21"/>
      <w:szCs w:val="24"/>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customStyle="1" w:styleId="10">
    <w:name w:val="招标_正文2b"/>
    <w:basedOn w:val="1"/>
    <w:qFormat/>
    <w:uiPriority w:val="0"/>
    <w:pPr>
      <w:widowControl w:val="0"/>
      <w:adjustRightInd/>
      <w:ind w:firstLine="482"/>
      <w:jc w:val="both"/>
    </w:pPr>
    <w:rPr>
      <w:rFonts w:eastAsia="宋体" w:cs="Times New Roman"/>
      <w:b/>
      <w:bCs/>
      <w:kern w:val="0"/>
      <w:sz w:val="20"/>
      <w:szCs w:val="20"/>
    </w:rPr>
  </w:style>
  <w:style w:type="paragraph" w:customStyle="1" w:styleId="11">
    <w:name w:val="List Paragraph"/>
    <w:basedOn w:val="1"/>
    <w:qFormat/>
    <w:uiPriority w:val="34"/>
    <w:pPr>
      <w:widowControl w:val="0"/>
      <w:adjustRightInd/>
      <w:spacing w:after="160" w:line="278" w:lineRule="auto"/>
      <w:ind w:left="720" w:firstLine="0" w:firstLineChars="0"/>
      <w:contextualSpacing/>
    </w:pPr>
    <w:rPr>
      <w:rFonts w:ascii="Calibri" w:hAnsi="Calibri" w:eastAsia="宋体" w:cs="黑体"/>
      <w:sz w:val="22"/>
      <w:szCs w:val="24"/>
    </w:rPr>
  </w:style>
  <w:style w:type="character" w:customStyle="1" w:styleId="12">
    <w:name w:val="标题 7 字符"/>
    <w:basedOn w:val="8"/>
    <w:link w:val="3"/>
    <w:qFormat/>
    <w:uiPriority w:val="9"/>
    <w:rPr>
      <w:rFonts w:ascii="Calibri" w:hAnsi="Calibri"/>
      <w:sz w:val="24"/>
      <w:szCs w:val="24"/>
    </w:rPr>
  </w:style>
  <w:style w:type="character" w:customStyle="1" w:styleId="13">
    <w:name w:val="批注文字 字符"/>
    <w:basedOn w:val="8"/>
    <w:link w:val="5"/>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8170</Words>
  <Characters>9620</Characters>
  <Lines>13</Lines>
  <Paragraphs>20</Paragraphs>
  <TotalTime>0</TotalTime>
  <ScaleCrop>false</ScaleCrop>
  <LinksUpToDate>false</LinksUpToDate>
  <CharactersWithSpaces>0</CharactersWithSpaces>
  <Application>WPS Office 专业版_9.1.0.4898_{F1E327BC-269C-435d-A152-05C5408002CA}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2023-06-09T14:18:00Z</dcterms:created>
  <dc:creator>admin</dc:creator>
  <cp:lastModifiedBy>Administrator</cp:lastModifiedBy>
  <cp:lastPrinted>2023-06-20T11:33:00Z</cp:lastPrinted>
  <dcterms:modified xsi:type="dcterms:W3CDTF">2024-11-05T07:21:23Z</dcterms:modified>
  <dc:title>国家税务总局南雄市税务局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2052-9.1.0.4898</vt:lpwstr>
  </property>
  <property fmtid="{D5CDD505-2E9C-101B-9397-08002B2CF9AE}" pid="3" name="ICV">
    <vt:lpwstr>12F9030BFEC04C40AEAA591917FAEB76_13</vt:lpwstr>
  </property>
</Properties>
</file>