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 w:hAnsi="方正小标宋" w:eastAsia="方正小标宋" w:cs="方正小标宋"/>
          <w:b/>
          <w:bCs/>
          <w:color w:val="000000"/>
          <w:kern w:val="0"/>
          <w:sz w:val="44"/>
          <w:szCs w:val="44"/>
        </w:rPr>
      </w:pPr>
      <w:r>
        <w:rPr>
          <w:rFonts w:hint="eastAsia" w:ascii="方正小标宋" w:hAnsi="方正小标宋" w:eastAsia="方正小标宋" w:cs="方正小标宋"/>
          <w:b/>
          <w:bCs/>
          <w:color w:val="000000"/>
          <w:kern w:val="0"/>
          <w:sz w:val="44"/>
          <w:szCs w:val="44"/>
        </w:rPr>
        <w:t>国家税务总局</w:t>
      </w:r>
      <w:r>
        <w:rPr>
          <w:rFonts w:hint="eastAsia" w:ascii="方正小标宋" w:hAnsi="方正小标宋" w:eastAsia="方正小标宋" w:cs="方正小标宋"/>
          <w:b/>
          <w:bCs/>
          <w:color w:val="000000"/>
          <w:kern w:val="0"/>
          <w:sz w:val="44"/>
          <w:szCs w:val="44"/>
          <w:lang w:val="en-US" w:eastAsia="zh-CN"/>
        </w:rPr>
        <w:t>贵州贵安新区</w:t>
      </w:r>
      <w:r>
        <w:rPr>
          <w:rFonts w:hint="eastAsia" w:ascii="方正小标宋" w:hAnsi="方正小标宋" w:eastAsia="方正小标宋" w:cs="方正小标宋"/>
          <w:b/>
          <w:bCs/>
          <w:color w:val="000000"/>
          <w:kern w:val="0"/>
          <w:sz w:val="44"/>
          <w:szCs w:val="44"/>
        </w:rPr>
        <w:t>税务局</w:t>
      </w:r>
    </w:p>
    <w:p>
      <w:pPr>
        <w:jc w:val="center"/>
        <w:rPr>
          <w:rStyle w:val="10"/>
          <w:rFonts w:hint="eastAsia" w:ascii="方正小标宋" w:hAnsi="方正小标宋" w:eastAsia="方正小标宋" w:cs="方正小标宋"/>
          <w:sz w:val="44"/>
          <w:szCs w:val="44"/>
        </w:rPr>
      </w:pPr>
      <w:r>
        <w:rPr>
          <w:rFonts w:hint="eastAsia" w:ascii="方正小标宋" w:hAnsi="方正小标宋" w:eastAsia="方正小标宋" w:cs="方正小标宋"/>
          <w:b/>
          <w:bCs/>
          <w:color w:val="000000"/>
          <w:kern w:val="0"/>
          <w:sz w:val="44"/>
          <w:szCs w:val="44"/>
        </w:rPr>
        <w:t>汇聚交换机</w:t>
      </w:r>
      <w:r>
        <w:rPr>
          <w:rFonts w:hint="eastAsia" w:ascii="方正小标宋" w:hAnsi="方正小标宋" w:eastAsia="方正小标宋" w:cs="方正小标宋"/>
          <w:b/>
          <w:bCs/>
          <w:color w:val="000000"/>
          <w:kern w:val="0"/>
          <w:sz w:val="44"/>
          <w:szCs w:val="44"/>
          <w:lang w:val="en-US" w:eastAsia="zh-CN"/>
        </w:rPr>
        <w:t>1台在线竞价采购</w:t>
      </w:r>
      <w:r>
        <w:rPr>
          <w:rFonts w:hint="eastAsia" w:ascii="方正小标宋" w:hAnsi="方正小标宋" w:eastAsia="方正小标宋" w:cs="方正小标宋"/>
          <w:b/>
          <w:bCs/>
          <w:color w:val="000000"/>
          <w:kern w:val="0"/>
          <w:sz w:val="44"/>
          <w:szCs w:val="44"/>
        </w:rPr>
        <w:t>项目需求</w:t>
      </w:r>
    </w:p>
    <w:p>
      <w:pPr>
        <w:jc w:val="center"/>
        <w:rPr>
          <w:rFonts w:ascii="宋体" w:hAnsi="宋体" w:cs="宋体"/>
          <w:b/>
          <w:bCs/>
          <w:color w:val="000000"/>
          <w:kern w:val="0"/>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一、项目要求：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
          <w:bCs/>
          <w:color w:val="000000"/>
          <w:kern w:val="0"/>
          <w:sz w:val="32"/>
          <w:szCs w:val="32"/>
        </w:rPr>
      </w:pP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rPr>
        <w:t>技术：</w:t>
      </w:r>
      <w:r>
        <w:rPr>
          <w:rFonts w:hint="eastAsia" w:ascii="宋体" w:hAnsi="宋体" w:cs="宋体"/>
          <w:bCs/>
          <w:color w:val="000000"/>
          <w:kern w:val="0"/>
          <w:sz w:val="32"/>
          <w:szCs w:val="32"/>
        </w:rPr>
        <w:t>技术参数必须满足项目参数要求，否则为无效标。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Cs/>
          <w:color w:val="000000"/>
          <w:kern w:val="0"/>
          <w:sz w:val="32"/>
          <w:szCs w:val="32"/>
        </w:rPr>
      </w:pP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报价：</w:t>
      </w:r>
      <w:r>
        <w:rPr>
          <w:rFonts w:hint="eastAsia" w:ascii="宋体" w:hAnsi="宋体" w:cs="宋体"/>
          <w:bCs/>
          <w:color w:val="000000"/>
          <w:kern w:val="0"/>
          <w:sz w:val="32"/>
          <w:szCs w:val="32"/>
        </w:rPr>
        <w:t>报价含设备采购、安装、调试、辅材及三年原厂质保等所有费用。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Cs/>
          <w:color w:val="000000"/>
          <w:kern w:val="0"/>
          <w:sz w:val="32"/>
          <w:szCs w:val="32"/>
          <w:lang w:eastAsia="zh-CN"/>
        </w:rPr>
      </w:pP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工期：</w:t>
      </w:r>
      <w:r>
        <w:rPr>
          <w:rFonts w:hint="eastAsia" w:ascii="宋体" w:hAnsi="宋体" w:cs="宋体"/>
          <w:bCs/>
          <w:color w:val="000000"/>
          <w:kern w:val="0"/>
          <w:sz w:val="32"/>
          <w:szCs w:val="32"/>
        </w:rPr>
        <w:t>要求中标供应商在</w:t>
      </w:r>
      <w:r>
        <w:rPr>
          <w:rFonts w:hint="eastAsia" w:ascii="宋体" w:hAnsi="宋体" w:cs="宋体"/>
          <w:bCs/>
          <w:color w:val="000000"/>
          <w:kern w:val="0"/>
          <w:sz w:val="32"/>
          <w:szCs w:val="32"/>
          <w:lang w:val="en-US" w:eastAsia="zh-CN"/>
        </w:rPr>
        <w:t>合同签订</w:t>
      </w:r>
      <w:r>
        <w:rPr>
          <w:rFonts w:hint="eastAsia" w:ascii="宋体" w:hAnsi="宋体" w:cs="宋体"/>
          <w:bCs/>
          <w:color w:val="000000"/>
          <w:kern w:val="0"/>
          <w:sz w:val="32"/>
          <w:szCs w:val="32"/>
        </w:rPr>
        <w:t>后</w:t>
      </w:r>
      <w:r>
        <w:rPr>
          <w:rFonts w:hint="eastAsia" w:ascii="宋体" w:hAnsi="宋体" w:cs="宋体"/>
          <w:bCs/>
          <w:color w:val="000000"/>
          <w:kern w:val="0"/>
          <w:sz w:val="32"/>
          <w:szCs w:val="32"/>
          <w:lang w:val="en-US" w:eastAsia="zh-CN"/>
        </w:rPr>
        <w:t>5个工作日</w:t>
      </w:r>
      <w:r>
        <w:rPr>
          <w:rFonts w:hint="eastAsia" w:ascii="宋体" w:hAnsi="宋体" w:cs="宋体"/>
          <w:bCs/>
          <w:color w:val="000000"/>
          <w:kern w:val="0"/>
          <w:sz w:val="32"/>
          <w:szCs w:val="32"/>
        </w:rPr>
        <w:t>内完成设备的安装调试及此次涉及相关的其它所有设备的安装调试。</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Cs/>
          <w:color w:val="000000"/>
          <w:kern w:val="0"/>
          <w:sz w:val="32"/>
          <w:szCs w:val="32"/>
        </w:rPr>
      </w:pPr>
      <w:r>
        <w:rPr>
          <w:rFonts w:hint="eastAsia" w:ascii="宋体" w:hAnsi="宋体" w:cs="宋体"/>
          <w:b/>
          <w:bCs/>
          <w:color w:val="000000"/>
          <w:kern w:val="0"/>
          <w:sz w:val="32"/>
          <w:szCs w:val="32"/>
          <w:lang w:val="en-US" w:eastAsia="zh-CN"/>
        </w:rPr>
        <w:t>4.</w:t>
      </w:r>
      <w:r>
        <w:rPr>
          <w:rFonts w:hint="eastAsia" w:ascii="宋体" w:hAnsi="宋体" w:cs="宋体"/>
          <w:b/>
          <w:bCs/>
          <w:color w:val="000000"/>
          <w:kern w:val="0"/>
          <w:sz w:val="32"/>
          <w:szCs w:val="32"/>
        </w:rPr>
        <w:t>现场勘查：</w:t>
      </w:r>
      <w:r>
        <w:rPr>
          <w:rFonts w:hint="eastAsia" w:ascii="宋体" w:hAnsi="宋体" w:cs="宋体"/>
          <w:bCs/>
          <w:color w:val="000000"/>
          <w:kern w:val="0"/>
          <w:sz w:val="32"/>
          <w:szCs w:val="32"/>
        </w:rPr>
        <w:t>竞价单位需携带投标的样品进行测试、审核。并安排技术工程师到现场进行勘查。测试和勘查合格后，竞价单位获得签字确认的现场勘查函，并在竞价时作为附件拍照上传，否则视作无效报价。</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宋体" w:hAnsi="宋体" w:cs="宋体"/>
          <w:bCs/>
          <w:color w:val="000000"/>
          <w:kern w:val="0"/>
          <w:sz w:val="32"/>
          <w:szCs w:val="32"/>
        </w:rPr>
      </w:pPr>
      <w:r>
        <w:rPr>
          <w:rFonts w:hint="eastAsia" w:ascii="宋体" w:hAnsi="宋体" w:cs="宋体"/>
          <w:b/>
          <w:bCs/>
          <w:color w:val="000000"/>
          <w:kern w:val="0"/>
          <w:sz w:val="32"/>
          <w:szCs w:val="32"/>
        </w:rPr>
        <w:t>现场勘查时间：</w:t>
      </w:r>
      <w:r>
        <w:rPr>
          <w:rFonts w:hint="eastAsia" w:ascii="宋体" w:hAnsi="宋体" w:cs="宋体"/>
          <w:b/>
          <w:bCs/>
          <w:color w:val="FF0000"/>
          <w:kern w:val="0"/>
          <w:sz w:val="32"/>
          <w:szCs w:val="32"/>
        </w:rPr>
        <w:t xml:space="preserve">2024年 </w:t>
      </w:r>
      <w:r>
        <w:rPr>
          <w:rFonts w:hint="eastAsia" w:ascii="宋体" w:hAnsi="宋体" w:cs="宋体"/>
          <w:b/>
          <w:bCs/>
          <w:color w:val="FF0000"/>
          <w:kern w:val="0"/>
          <w:sz w:val="32"/>
          <w:szCs w:val="32"/>
          <w:lang w:val="en-US" w:eastAsia="zh-CN"/>
        </w:rPr>
        <w:t>10</w:t>
      </w:r>
      <w:r>
        <w:rPr>
          <w:rFonts w:ascii="宋体" w:hAnsi="宋体" w:cs="宋体"/>
          <w:b/>
          <w:bCs/>
          <w:color w:val="FF0000"/>
          <w:kern w:val="0"/>
          <w:sz w:val="32"/>
          <w:szCs w:val="32"/>
        </w:rPr>
        <w:t xml:space="preserve"> </w:t>
      </w:r>
      <w:r>
        <w:rPr>
          <w:rFonts w:hint="eastAsia" w:ascii="宋体" w:hAnsi="宋体" w:cs="宋体"/>
          <w:b/>
          <w:bCs/>
          <w:color w:val="FF0000"/>
          <w:kern w:val="0"/>
          <w:sz w:val="32"/>
          <w:szCs w:val="32"/>
        </w:rPr>
        <w:t xml:space="preserve">月 </w:t>
      </w:r>
      <w:r>
        <w:rPr>
          <w:rFonts w:hint="eastAsia" w:ascii="宋体" w:hAnsi="宋体" w:cs="宋体"/>
          <w:b/>
          <w:bCs/>
          <w:color w:val="FF0000"/>
          <w:kern w:val="0"/>
          <w:sz w:val="32"/>
          <w:szCs w:val="32"/>
          <w:lang w:val="en-US" w:eastAsia="zh-CN"/>
        </w:rPr>
        <w:t>23</w:t>
      </w:r>
      <w:r>
        <w:rPr>
          <w:rFonts w:ascii="宋体" w:hAnsi="宋体" w:cs="宋体"/>
          <w:b/>
          <w:bCs/>
          <w:color w:val="FF0000"/>
          <w:kern w:val="0"/>
          <w:sz w:val="32"/>
          <w:szCs w:val="32"/>
        </w:rPr>
        <w:t xml:space="preserve"> </w:t>
      </w:r>
      <w:r>
        <w:rPr>
          <w:rFonts w:hint="eastAsia" w:ascii="宋体" w:hAnsi="宋体" w:cs="宋体"/>
          <w:b/>
          <w:bCs/>
          <w:color w:val="FF0000"/>
          <w:kern w:val="0"/>
          <w:sz w:val="32"/>
          <w:szCs w:val="32"/>
        </w:rPr>
        <w:t xml:space="preserve">日 </w:t>
      </w:r>
      <w:r>
        <w:rPr>
          <w:rFonts w:hint="eastAsia" w:ascii="宋体" w:hAnsi="宋体" w:cs="宋体"/>
          <w:b/>
          <w:bCs/>
          <w:color w:val="FF0000"/>
          <w:kern w:val="0"/>
          <w:sz w:val="32"/>
          <w:szCs w:val="32"/>
          <w:lang w:val="en-US" w:eastAsia="zh-CN"/>
        </w:rPr>
        <w:t>9:00</w:t>
      </w:r>
      <w:r>
        <w:rPr>
          <w:rFonts w:hint="eastAsia" w:ascii="宋体" w:hAnsi="宋体" w:cs="宋体"/>
          <w:b/>
          <w:bCs/>
          <w:color w:val="FF0000"/>
          <w:kern w:val="0"/>
          <w:sz w:val="32"/>
          <w:szCs w:val="32"/>
        </w:rPr>
        <w:t xml:space="preserve">时至 </w:t>
      </w:r>
      <w:r>
        <w:rPr>
          <w:rFonts w:hint="eastAsia" w:ascii="宋体" w:hAnsi="宋体" w:cs="宋体"/>
          <w:b/>
          <w:bCs/>
          <w:color w:val="FF0000"/>
          <w:kern w:val="0"/>
          <w:sz w:val="32"/>
          <w:szCs w:val="32"/>
          <w:lang w:val="en-US" w:eastAsia="zh-CN"/>
        </w:rPr>
        <w:t>17:00</w:t>
      </w:r>
      <w:r>
        <w:rPr>
          <w:rFonts w:ascii="宋体" w:hAnsi="宋体" w:cs="宋体"/>
          <w:b/>
          <w:bCs/>
          <w:color w:val="FF0000"/>
          <w:kern w:val="0"/>
          <w:sz w:val="32"/>
          <w:szCs w:val="32"/>
        </w:rPr>
        <w:t xml:space="preserve"> </w:t>
      </w:r>
      <w:r>
        <w:rPr>
          <w:rFonts w:hint="eastAsia" w:ascii="宋体" w:hAnsi="宋体" w:cs="宋体"/>
          <w:b/>
          <w:bCs/>
          <w:color w:val="FF0000"/>
          <w:kern w:val="0"/>
          <w:sz w:val="32"/>
          <w:szCs w:val="32"/>
        </w:rPr>
        <w:t>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Cs/>
          <w:color w:val="000000"/>
          <w:kern w:val="0"/>
          <w:sz w:val="32"/>
          <w:szCs w:val="32"/>
        </w:rPr>
      </w:pPr>
      <w:r>
        <w:rPr>
          <w:rFonts w:hint="eastAsia" w:ascii="宋体" w:hAnsi="宋体" w:cs="宋体"/>
          <w:b/>
          <w:bCs/>
          <w:color w:val="000000"/>
          <w:kern w:val="0"/>
          <w:sz w:val="32"/>
          <w:szCs w:val="32"/>
          <w:lang w:val="en-US" w:eastAsia="zh-CN"/>
        </w:rPr>
        <w:t>5</w:t>
      </w:r>
      <w:r>
        <w:rPr>
          <w:rFonts w:hint="eastAsia" w:ascii="微软雅黑" w:hAnsi="微软雅黑" w:eastAsia="微软雅黑"/>
          <w:color w:val="666666"/>
          <w:sz w:val="18"/>
          <w:szCs w:val="18"/>
          <w:shd w:val="clear" w:color="auto" w:fill="FFFFFF"/>
          <w:lang w:val="en-US" w:eastAsia="zh-CN"/>
        </w:rPr>
        <w:t>.</w:t>
      </w:r>
      <w:r>
        <w:rPr>
          <w:rFonts w:hint="eastAsia" w:ascii="宋体" w:hAnsi="宋体" w:cs="宋体"/>
          <w:b/>
          <w:bCs/>
          <w:color w:val="000000"/>
          <w:kern w:val="0"/>
          <w:sz w:val="32"/>
          <w:szCs w:val="32"/>
        </w:rPr>
        <w:t>本项目所采购设备须提供不少于3年维保及升级服务，</w:t>
      </w:r>
      <w:r>
        <w:rPr>
          <w:rFonts w:hint="eastAsia" w:ascii="宋体" w:hAnsi="宋体" w:cs="宋体"/>
          <w:bCs/>
          <w:color w:val="000000"/>
          <w:kern w:val="0"/>
          <w:sz w:val="32"/>
          <w:szCs w:val="32"/>
        </w:rPr>
        <w:t>质保期时间自最终验收合格并交付使用之日起计算。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Cs/>
          <w:color w:val="000000"/>
          <w:kern w:val="0"/>
          <w:sz w:val="32"/>
          <w:szCs w:val="32"/>
        </w:rPr>
      </w:pPr>
      <w:r>
        <w:rPr>
          <w:rFonts w:hint="eastAsia" w:ascii="宋体" w:hAnsi="宋体" w:cs="宋体"/>
          <w:b/>
          <w:bCs/>
          <w:color w:val="000000"/>
          <w:kern w:val="0"/>
          <w:sz w:val="32"/>
          <w:szCs w:val="32"/>
          <w:lang w:val="en-US" w:eastAsia="zh-CN"/>
        </w:rPr>
        <w:t>6.</w:t>
      </w:r>
      <w:r>
        <w:rPr>
          <w:rFonts w:hint="eastAsia" w:ascii="宋体" w:hAnsi="宋体" w:cs="宋体"/>
          <w:b/>
          <w:bCs/>
          <w:color w:val="000000"/>
          <w:kern w:val="0"/>
          <w:sz w:val="32"/>
          <w:szCs w:val="32"/>
        </w:rPr>
        <w:t>安装调试要求：</w:t>
      </w:r>
      <w:r>
        <w:rPr>
          <w:rFonts w:hint="eastAsia" w:ascii="宋体" w:hAnsi="宋体" w:cs="宋体"/>
          <w:bCs/>
          <w:color w:val="000000"/>
          <w:kern w:val="0"/>
          <w:sz w:val="32"/>
          <w:szCs w:val="32"/>
        </w:rPr>
        <w:t>本次采购设备为</w:t>
      </w:r>
      <w:r>
        <w:rPr>
          <w:rFonts w:hint="eastAsia" w:ascii="宋体" w:hAnsi="宋体" w:cs="宋体"/>
          <w:bCs/>
          <w:color w:val="000000"/>
          <w:kern w:val="0"/>
          <w:sz w:val="32"/>
          <w:szCs w:val="32"/>
          <w:lang w:val="en-US" w:eastAsia="zh-CN"/>
        </w:rPr>
        <w:t>本单位</w:t>
      </w:r>
      <w:r>
        <w:rPr>
          <w:rFonts w:hint="eastAsia" w:ascii="宋体" w:hAnsi="宋体" w:cs="宋体"/>
          <w:bCs/>
          <w:color w:val="000000"/>
          <w:kern w:val="0"/>
          <w:sz w:val="32"/>
          <w:szCs w:val="32"/>
        </w:rPr>
        <w:t>网络改造核心设备，供应商不仅需提供本次采购设备的安装调试，同时需要对</w:t>
      </w:r>
      <w:r>
        <w:rPr>
          <w:rFonts w:hint="eastAsia" w:ascii="宋体" w:hAnsi="宋体" w:cs="宋体"/>
          <w:bCs/>
          <w:color w:val="000000"/>
          <w:kern w:val="0"/>
          <w:sz w:val="32"/>
          <w:szCs w:val="32"/>
          <w:lang w:eastAsia="zh-CN"/>
        </w:rPr>
        <w:t>本单位</w:t>
      </w:r>
      <w:r>
        <w:rPr>
          <w:rFonts w:hint="eastAsia" w:ascii="宋体" w:hAnsi="宋体" w:cs="宋体"/>
          <w:bCs/>
          <w:color w:val="000000"/>
          <w:kern w:val="0"/>
          <w:sz w:val="32"/>
          <w:szCs w:val="32"/>
        </w:rPr>
        <w:t>涉及的相应网络安全设备、核心交换设备、安全管理软件、S</w:t>
      </w:r>
      <w:r>
        <w:rPr>
          <w:rFonts w:ascii="宋体" w:hAnsi="宋体" w:cs="宋体"/>
          <w:bCs/>
          <w:color w:val="000000"/>
          <w:kern w:val="0"/>
          <w:sz w:val="32"/>
          <w:szCs w:val="32"/>
        </w:rPr>
        <w:t>AN</w:t>
      </w:r>
      <w:r>
        <w:rPr>
          <w:rFonts w:hint="eastAsia" w:ascii="宋体" w:hAnsi="宋体" w:cs="宋体"/>
          <w:bCs/>
          <w:color w:val="000000"/>
          <w:kern w:val="0"/>
          <w:sz w:val="32"/>
          <w:szCs w:val="32"/>
        </w:rPr>
        <w:t>光纤交换机、虚拟化云桌面服务器的配置调试，还需要对</w:t>
      </w:r>
      <w:r>
        <w:rPr>
          <w:rFonts w:hint="eastAsia" w:ascii="宋体" w:hAnsi="宋体" w:cs="宋体"/>
          <w:bCs/>
          <w:color w:val="000000"/>
          <w:kern w:val="0"/>
          <w:sz w:val="32"/>
          <w:szCs w:val="32"/>
          <w:lang w:eastAsia="zh-CN"/>
        </w:rPr>
        <w:t>本单位</w:t>
      </w:r>
      <w:r>
        <w:rPr>
          <w:rFonts w:hint="eastAsia" w:ascii="宋体" w:hAnsi="宋体" w:cs="宋体"/>
          <w:bCs/>
          <w:color w:val="000000"/>
          <w:kern w:val="0"/>
          <w:sz w:val="32"/>
          <w:szCs w:val="32"/>
        </w:rPr>
        <w:t>的楼层接入交换机进行更换及调试，并负责提供相关设备更换时所需的一切线缆、模块等配件或辅材。</w:t>
      </w: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cs="宋体"/>
          <w:b/>
          <w:bCs/>
          <w:color w:val="000000"/>
          <w:kern w:val="0"/>
          <w:sz w:val="32"/>
          <w:szCs w:val="32"/>
        </w:rPr>
      </w:pPr>
      <w:r>
        <w:rPr>
          <w:rFonts w:hint="eastAsia" w:ascii="宋体" w:hAnsi="宋体" w:cs="宋体"/>
          <w:b/>
          <w:bCs/>
          <w:color w:val="000000"/>
          <w:kern w:val="0"/>
          <w:sz w:val="32"/>
          <w:szCs w:val="32"/>
          <w:lang w:val="en-US" w:eastAsia="zh-CN"/>
        </w:rPr>
        <w:t>7.</w:t>
      </w:r>
      <w:r>
        <w:rPr>
          <w:rFonts w:hint="eastAsia" w:ascii="宋体" w:hAnsi="宋体" w:cs="宋体"/>
          <w:b/>
          <w:bCs/>
          <w:color w:val="000000"/>
          <w:kern w:val="0"/>
          <w:sz w:val="32"/>
          <w:szCs w:val="32"/>
        </w:rPr>
        <w:t>售后要求：</w:t>
      </w:r>
      <w:r>
        <w:rPr>
          <w:rFonts w:hint="eastAsia" w:ascii="宋体" w:hAnsi="宋体" w:cs="宋体"/>
          <w:color w:val="000000"/>
          <w:kern w:val="0"/>
          <w:sz w:val="32"/>
          <w:szCs w:val="32"/>
        </w:rPr>
        <w:t>供应商应熟悉贵州省税务网络的运维规范及技术要求，具备相应的服务能力，提供7×24小时上门服务，接到用户报修通知后，供应商应在2小时内上门，4小时内完成采购人提出的维修要求。如遇采购人税务广域网架构调整设计及设备配置调整，成交供应商应配合采购人进行相关调整工作，必要时，供应商应能安排技术人员在省局进行远程故障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宋体" w:hAnsi="宋体" w:eastAsia="仿宋_GB2312" w:cstheme="minorBidi"/>
          <w:sz w:val="32"/>
          <w:szCs w:val="24"/>
        </w:rPr>
      </w:pPr>
      <w:r>
        <w:rPr>
          <w:rFonts w:hint="eastAsia" w:ascii="宋体" w:hAnsi="宋体" w:cs="宋体"/>
          <w:b/>
          <w:bCs/>
          <w:color w:val="000000"/>
          <w:kern w:val="0"/>
          <w:sz w:val="32"/>
          <w:szCs w:val="32"/>
          <w:lang w:val="en-US" w:eastAsia="zh-CN"/>
        </w:rPr>
        <w:t>8.</w:t>
      </w:r>
      <w:r>
        <w:rPr>
          <w:rFonts w:hint="eastAsia" w:ascii="宋体" w:hAnsi="宋体" w:cs="宋体"/>
          <w:b/>
          <w:bCs/>
          <w:color w:val="000000"/>
          <w:kern w:val="0"/>
          <w:sz w:val="32"/>
          <w:szCs w:val="32"/>
        </w:rPr>
        <w:t>安装方案及预案：</w:t>
      </w:r>
      <w:r>
        <w:rPr>
          <w:rFonts w:hint="eastAsia" w:ascii="宋体" w:hAnsi="宋体" w:cs="宋体"/>
          <w:color w:val="000000"/>
          <w:kern w:val="0"/>
          <w:sz w:val="32"/>
          <w:szCs w:val="32"/>
        </w:rPr>
        <w:t>供应商承诺在安装设备前制定合理且严谨的安装方案和应急预案，在安装过程中，需保持税收业务骨干网络全程畅通，如出现因更换设备导致的网络运行中断或拥塞等现象，投标人必须按照应急预案采取合理有效的补救措施，并承担由此造成的责任和损失。</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二、技术需求：</w:t>
      </w:r>
    </w:p>
    <w:tbl>
      <w:tblPr>
        <w:tblStyle w:val="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276" w:type="dxa"/>
            <w:vAlign w:val="center"/>
          </w:tcPr>
          <w:p>
            <w:pPr>
              <w:jc w:val="center"/>
              <w:rPr>
                <w:rFonts w:ascii="宋体" w:hAnsi="宋体"/>
                <w:b/>
                <w:bCs/>
                <w:szCs w:val="21"/>
              </w:rPr>
            </w:pPr>
            <w:r>
              <w:rPr>
                <w:rFonts w:hint="eastAsia" w:ascii="宋体" w:hAnsi="宋体"/>
                <w:b/>
                <w:bCs/>
                <w:szCs w:val="21"/>
              </w:rPr>
              <w:t>指标项</w:t>
            </w:r>
          </w:p>
        </w:tc>
        <w:tc>
          <w:tcPr>
            <w:tcW w:w="7742" w:type="dxa"/>
            <w:vAlign w:val="center"/>
          </w:tcPr>
          <w:p>
            <w:pPr>
              <w:jc w:val="center"/>
              <w:rPr>
                <w:rFonts w:ascii="宋体" w:hAnsi="宋体"/>
                <w:b/>
                <w:bCs/>
                <w:szCs w:val="21"/>
              </w:rPr>
            </w:pPr>
            <w:r>
              <w:rPr>
                <w:rFonts w:hint="eastAsia" w:ascii="宋体" w:hAnsi="宋体"/>
                <w:b/>
                <w:bCs/>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76" w:type="dxa"/>
            <w:vAlign w:val="center"/>
          </w:tcPr>
          <w:p>
            <w:pPr>
              <w:jc w:val="center"/>
              <w:rPr>
                <w:rFonts w:ascii="宋体" w:hAnsi="宋体"/>
                <w:szCs w:val="21"/>
              </w:rPr>
            </w:pPr>
            <w:r>
              <w:rPr>
                <w:rFonts w:hint="eastAsia" w:ascii="宋体" w:hAnsi="宋体" w:cs="宋体"/>
                <w:color w:val="000000"/>
                <w:kern w:val="0"/>
                <w:szCs w:val="18"/>
              </w:rPr>
              <w:t>性能指标</w:t>
            </w:r>
          </w:p>
        </w:tc>
        <w:tc>
          <w:tcPr>
            <w:tcW w:w="7742" w:type="dxa"/>
            <w:vAlign w:val="center"/>
          </w:tcPr>
          <w:p>
            <w:pPr>
              <w:jc w:val="left"/>
              <w:rPr>
                <w:rFonts w:ascii="宋体" w:hAnsi="宋体"/>
                <w:szCs w:val="21"/>
              </w:rPr>
            </w:pPr>
            <w:r>
              <w:rPr>
                <w:rFonts w:hint="eastAsia" w:ascii="宋体" w:hAnsi="宋体"/>
                <w:szCs w:val="21"/>
              </w:rPr>
              <w:t>交换容量</w:t>
            </w:r>
            <w:r>
              <w:rPr>
                <w:rFonts w:ascii="宋体" w:hAnsi="宋体"/>
                <w:szCs w:val="21"/>
              </w:rPr>
              <w:t>≥</w:t>
            </w:r>
            <w:r>
              <w:rPr>
                <w:rFonts w:hint="eastAsia" w:ascii="宋体" w:hAnsi="宋体"/>
                <w:szCs w:val="21"/>
              </w:rPr>
              <w:t>24Tbps</w:t>
            </w:r>
            <w:r>
              <w:rPr>
                <w:rFonts w:ascii="宋体" w:hAnsi="宋体"/>
                <w:szCs w:val="21"/>
              </w:rPr>
              <w:t>,</w:t>
            </w:r>
            <w:r>
              <w:rPr>
                <w:rFonts w:hint="eastAsia" w:ascii="宋体" w:hAnsi="宋体"/>
                <w:szCs w:val="21"/>
              </w:rPr>
              <w:t>包转发率</w:t>
            </w:r>
            <w:r>
              <w:rPr>
                <w:rFonts w:ascii="宋体" w:hAnsi="宋体"/>
                <w:szCs w:val="21"/>
              </w:rPr>
              <w:t>≥</w:t>
            </w:r>
            <w:r>
              <w:rPr>
                <w:rFonts w:hint="eastAsia" w:ascii="宋体" w:hAnsi="宋体"/>
                <w:szCs w:val="21"/>
              </w:rPr>
              <w:t>460</w:t>
            </w:r>
            <w:r>
              <w:rPr>
                <w:rFonts w:ascii="宋体" w:hAnsi="宋体"/>
                <w:szCs w:val="21"/>
              </w:rPr>
              <w:t>M</w:t>
            </w:r>
            <w:r>
              <w:rPr>
                <w:rFonts w:hint="eastAsia" w:ascii="宋体" w:hAnsi="宋体"/>
                <w:szCs w:val="21"/>
              </w:rPr>
              <w:t>pps；设备实配双电源、双风扇；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jc w:val="center"/>
              <w:rPr>
                <w:rFonts w:ascii="宋体" w:hAnsi="宋体"/>
                <w:szCs w:val="21"/>
              </w:rPr>
            </w:pPr>
            <w:r>
              <w:rPr>
                <w:rFonts w:hint="eastAsia" w:ascii="宋体" w:hAnsi="宋体"/>
                <w:szCs w:val="21"/>
              </w:rPr>
              <w:t>端口数量</w:t>
            </w:r>
          </w:p>
        </w:tc>
        <w:tc>
          <w:tcPr>
            <w:tcW w:w="7742" w:type="dxa"/>
            <w:vAlign w:val="center"/>
          </w:tcPr>
          <w:p>
            <w:pPr>
              <w:jc w:val="left"/>
              <w:rPr>
                <w:rFonts w:ascii="宋体" w:hAnsi="宋体" w:cs="宋体"/>
                <w:color w:val="000000"/>
                <w:kern w:val="0"/>
                <w:szCs w:val="18"/>
              </w:rPr>
            </w:pPr>
            <w:r>
              <w:rPr>
                <w:rFonts w:ascii="宋体" w:hAnsi="宋体"/>
                <w:szCs w:val="21"/>
              </w:rPr>
              <w:t>≥</w:t>
            </w:r>
            <w:r>
              <w:rPr>
                <w:rFonts w:hint="eastAsia" w:ascii="宋体" w:hAnsi="宋体"/>
                <w:szCs w:val="21"/>
              </w:rPr>
              <w:t>28</w:t>
            </w:r>
            <w:r>
              <w:rPr>
                <w:rFonts w:hint="eastAsia" w:ascii="宋体" w:hAnsi="宋体" w:cs="宋体"/>
                <w:color w:val="000000"/>
                <w:kern w:val="0"/>
                <w:szCs w:val="18"/>
              </w:rPr>
              <w:t>个10/100/1000BASE-T自适应以太网端口；</w:t>
            </w:r>
            <w:r>
              <w:rPr>
                <w:rFonts w:ascii="宋体" w:hAnsi="宋体"/>
                <w:szCs w:val="21"/>
              </w:rPr>
              <w:t>≥</w:t>
            </w:r>
            <w:r>
              <w:rPr>
                <w:rFonts w:hint="eastAsia" w:ascii="宋体" w:hAnsi="宋体" w:cs="宋体"/>
                <w:color w:val="000000"/>
                <w:kern w:val="0"/>
                <w:szCs w:val="18"/>
              </w:rPr>
              <w:t>4个S</w:t>
            </w:r>
            <w:r>
              <w:rPr>
                <w:rFonts w:ascii="宋体" w:hAnsi="宋体" w:cs="宋体"/>
                <w:color w:val="000000"/>
                <w:kern w:val="0"/>
                <w:szCs w:val="18"/>
              </w:rPr>
              <w:t>FP</w:t>
            </w:r>
            <w:r>
              <w:rPr>
                <w:rFonts w:hint="eastAsia" w:ascii="宋体" w:hAnsi="宋体" w:cs="宋体"/>
                <w:color w:val="000000"/>
                <w:kern w:val="0"/>
                <w:szCs w:val="18"/>
              </w:rPr>
              <w:t>端口，</w:t>
            </w:r>
            <w:r>
              <w:rPr>
                <w:rFonts w:ascii="宋体" w:hAnsi="宋体"/>
                <w:szCs w:val="21"/>
              </w:rPr>
              <w:t>≥</w:t>
            </w:r>
            <w:r>
              <w:rPr>
                <w:rFonts w:hint="eastAsia" w:ascii="宋体" w:hAnsi="宋体" w:cs="宋体"/>
                <w:color w:val="000000"/>
                <w:kern w:val="0"/>
                <w:szCs w:val="18"/>
              </w:rPr>
              <w:t>8个S</w:t>
            </w:r>
            <w:r>
              <w:rPr>
                <w:rFonts w:ascii="宋体" w:hAnsi="宋体" w:cs="宋体"/>
                <w:color w:val="000000"/>
                <w:kern w:val="0"/>
                <w:szCs w:val="18"/>
              </w:rPr>
              <w:t>FP+</w:t>
            </w:r>
            <w:r>
              <w:rPr>
                <w:rFonts w:hint="eastAsia" w:ascii="宋体" w:hAnsi="宋体" w:cs="宋体"/>
                <w:color w:val="000000"/>
                <w:kern w:val="0"/>
                <w:szCs w:val="18"/>
              </w:rPr>
              <w:t>端口；1个扩展插槽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276" w:type="dxa"/>
            <w:vAlign w:val="center"/>
          </w:tcPr>
          <w:p>
            <w:pPr>
              <w:jc w:val="center"/>
              <w:rPr>
                <w:rFonts w:ascii="宋体" w:hAnsi="宋体"/>
                <w:szCs w:val="21"/>
              </w:rPr>
            </w:pPr>
            <w:r>
              <w:rPr>
                <w:rFonts w:hint="eastAsia" w:ascii="宋体" w:hAnsi="宋体" w:cs="宋体"/>
                <w:color w:val="000000"/>
                <w:kern w:val="0"/>
                <w:szCs w:val="18"/>
              </w:rPr>
              <w:t>端口聚合</w:t>
            </w:r>
          </w:p>
        </w:tc>
        <w:tc>
          <w:tcPr>
            <w:tcW w:w="7742"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支持端口聚合；支持静态聚合；支持动态聚合；支持跨设备链路聚合；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jc w:val="center"/>
              <w:rPr>
                <w:rFonts w:ascii="宋体" w:hAnsi="宋体"/>
                <w:szCs w:val="21"/>
              </w:rPr>
            </w:pPr>
            <w:r>
              <w:rPr>
                <w:rFonts w:hint="eastAsia" w:ascii="宋体" w:hAnsi="宋体" w:cs="宋体"/>
                <w:color w:val="000000"/>
                <w:kern w:val="0"/>
                <w:szCs w:val="18"/>
              </w:rPr>
              <w:t>端口特性</w:t>
            </w:r>
          </w:p>
        </w:tc>
        <w:tc>
          <w:tcPr>
            <w:tcW w:w="7742"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支持IEEE802.3x 流量控制（全双工）；支持基于端口速率百分比的风暴抑制；支持基于PPS的风暴抑制；支持基于bps的风暴抑制；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jc w:val="center"/>
              <w:rPr>
                <w:rFonts w:ascii="宋体" w:hAnsi="宋体" w:cs="宋体"/>
                <w:color w:val="000000"/>
                <w:kern w:val="0"/>
                <w:szCs w:val="18"/>
              </w:rPr>
            </w:pPr>
            <w:r>
              <w:rPr>
                <w:rFonts w:hint="eastAsia" w:ascii="宋体" w:hAnsi="宋体" w:cs="宋体"/>
                <w:color w:val="000000"/>
                <w:kern w:val="0"/>
                <w:szCs w:val="18"/>
              </w:rPr>
              <w:t>MAC地址表</w:t>
            </w:r>
          </w:p>
        </w:tc>
        <w:tc>
          <w:tcPr>
            <w:tcW w:w="7742"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支持黑洞MAC地址；支持设置端口MAC地址学习最大个数；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jc w:val="center"/>
              <w:rPr>
                <w:rFonts w:ascii="宋体" w:hAnsi="宋体" w:cs="宋体"/>
                <w:color w:val="000000"/>
                <w:kern w:val="0"/>
                <w:szCs w:val="18"/>
              </w:rPr>
            </w:pPr>
            <w:r>
              <w:rPr>
                <w:rFonts w:hint="eastAsia" w:ascii="宋体" w:hAnsi="宋体" w:cs="宋体"/>
                <w:color w:val="000000"/>
                <w:kern w:val="0"/>
                <w:szCs w:val="18"/>
              </w:rPr>
              <w:t>V</w:t>
            </w:r>
            <w:r>
              <w:rPr>
                <w:rFonts w:ascii="宋体" w:hAnsi="宋体" w:cs="宋体"/>
                <w:color w:val="000000"/>
                <w:kern w:val="0"/>
                <w:szCs w:val="18"/>
              </w:rPr>
              <w:t>LAN</w:t>
            </w:r>
          </w:p>
        </w:tc>
        <w:tc>
          <w:tcPr>
            <w:tcW w:w="7742"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支持4K VLAN；支持基于端口的VLAN；支持基于MAC的VLAN；基于协议的VLAN；基于IP子网的VLAN；支持QinQ，灵活QinQ；支持VLAN Mapping；支持Voice VLAN；支持802.1Q；支持MVRP；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二层环网协议</w:t>
            </w:r>
          </w:p>
        </w:tc>
        <w:tc>
          <w:tcPr>
            <w:tcW w:w="7742"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支持STP/RSTP/MSTP；支持SmartLink；支持RRPP；支持ERPS（G.8032）以太环网保护倒换；支持端口单通检测、Root Protection、Loop Protection、Edge Port、BPDU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智能弹性架构</w:t>
            </w:r>
          </w:p>
        </w:tc>
        <w:tc>
          <w:tcPr>
            <w:tcW w:w="7742"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支持IRF2智能弹性架构；支持分布式设备管理，分布式链路聚合，分布式弹性路由；支持通过标准以太网接口等方式进行堆叠；支持本地堆叠和远程堆叠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spacing w:line="360" w:lineRule="atLeast"/>
              <w:textAlignment w:val="baseline"/>
              <w:rPr>
                <w:rFonts w:ascii="宋体" w:hAnsi="宋体" w:cs="宋体"/>
                <w:color w:val="000000"/>
                <w:kern w:val="0"/>
                <w:szCs w:val="18"/>
              </w:rPr>
            </w:pPr>
            <w:r>
              <w:rPr>
                <w:rFonts w:hint="eastAsia" w:ascii="宋体" w:hAnsi="宋体" w:cs="宋体"/>
                <w:color w:val="000000"/>
                <w:kern w:val="0"/>
                <w:szCs w:val="18"/>
              </w:rPr>
              <w:t>IP路由</w:t>
            </w:r>
          </w:p>
        </w:tc>
        <w:tc>
          <w:tcPr>
            <w:tcW w:w="7742"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支持静态路由；支持RIPv1/v2，RIPng；支持OSPFv1/v2，OSPFv3；支持BGP4；BGP4+ for IPv6；支持IS-IS，IS-IS V6；支持等价路由，策略路由；支持VRRP/VRRPv3；支持OSPF多进程、MD5加密验证、STUB/NSSA区域；支持路由COST设置、支持区域间路由过滤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IPv6</w:t>
            </w:r>
          </w:p>
        </w:tc>
        <w:tc>
          <w:tcPr>
            <w:tcW w:w="7742"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支持IPv4/IPv6双栈协议；支持ND（Neighbor Discovery）；支持IPv6-Ping，IPv6-Tracert，IPv6-Telnet，IPv6-TFTP，IPv6-ICMP，IPv6-DNS，IPv6-FTP，IPv6-NTP；支持手动隧道、自动隧道；支持IPv4 over IPv6隧道；支持6to4 tunnel；支持ISATAP tunnel；支持GRE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安全特性</w:t>
            </w:r>
          </w:p>
        </w:tc>
        <w:tc>
          <w:tcPr>
            <w:tcW w:w="7742"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支持用户分级管理和口令保护；支持802.1X认证/集中式MAC地址认证；支持Portal认证；支持Guest VLAN；支持RADIUS认证；支持HWTACACS+认证；支持SSH 2.0；支持端口隔离；支持端口安全；支持EAD；支持SAVI、SAVA，保障IPv6环境安全；可支持DHCP Snooping，防止欺骗的DHCP服务器；支持动态ARP检测，防止中间人攻击和ARP拒绝服务；支持BPDU guard， Root guard；支持uRPF(单播反向路径检测)，杜绝IP源地址欺骗，防范病毒和攻击；支持IP/Port/MAC的绑定功能；支持OSPF、RIPv2报文的明文及MD5密文认证；支持PKI（Public Key Infrastructure，公钥基础设施）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76"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建议品牌</w:t>
            </w:r>
          </w:p>
        </w:tc>
        <w:tc>
          <w:tcPr>
            <w:tcW w:w="7742" w:type="dxa"/>
            <w:vAlign w:val="center"/>
          </w:tcPr>
          <w:p>
            <w:pPr>
              <w:widowControl/>
              <w:spacing w:line="360" w:lineRule="atLeast"/>
              <w:jc w:val="left"/>
              <w:textAlignment w:val="baseline"/>
              <w:rPr>
                <w:rFonts w:ascii="宋体" w:hAnsi="宋体" w:cs="宋体"/>
                <w:color w:val="000000"/>
                <w:kern w:val="0"/>
                <w:szCs w:val="18"/>
              </w:rPr>
            </w:pPr>
            <w:r>
              <w:rPr>
                <w:rFonts w:hint="eastAsia" w:ascii="宋体" w:hAnsi="宋体" w:cs="宋体"/>
                <w:color w:val="000000"/>
                <w:kern w:val="0"/>
                <w:szCs w:val="18"/>
              </w:rPr>
              <w:t>华为、华三、锐捷</w:t>
            </w:r>
          </w:p>
        </w:tc>
      </w:tr>
    </w:tbl>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宋体" w:hAnsi="宋体" w:cs="宋体"/>
          <w:color w:val="000000"/>
          <w:sz w:val="32"/>
          <w:szCs w:val="32"/>
        </w:rPr>
      </w:pPr>
      <w:r>
        <w:rPr>
          <w:rFonts w:hint="eastAsia" w:ascii="宋体" w:hAnsi="宋体" w:cs="宋体"/>
          <w:color w:val="000000"/>
          <w:sz w:val="32"/>
          <w:szCs w:val="32"/>
        </w:rPr>
        <w:t>三、商务要求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宋体" w:hAnsi="宋体" w:cs="宋体"/>
          <w:b/>
          <w:bCs w:val="0"/>
          <w:color w:val="000000"/>
          <w:kern w:val="0"/>
          <w:sz w:val="32"/>
          <w:szCs w:val="32"/>
        </w:rPr>
      </w:pPr>
      <w:r>
        <w:rPr>
          <w:rFonts w:hint="eastAsia" w:ascii="宋体" w:hAnsi="宋体" w:cs="宋体"/>
          <w:bCs/>
          <w:color w:val="000000"/>
          <w:kern w:val="0"/>
          <w:sz w:val="32"/>
          <w:szCs w:val="32"/>
        </w:rPr>
        <w:t>（一）现场勘查测试：竞价单位需携带投标的样品进行现场勘查并测试。并安排技术工程师到现场勘查、测试，联调合格后，</w:t>
      </w:r>
      <w:r>
        <w:rPr>
          <w:rFonts w:hint="eastAsia" w:ascii="宋体" w:hAnsi="宋体" w:cs="宋体"/>
          <w:b w:val="0"/>
          <w:bCs/>
          <w:color w:val="000000"/>
          <w:kern w:val="0"/>
          <w:sz w:val="32"/>
          <w:szCs w:val="32"/>
        </w:rPr>
        <w:t>竞价单位获得</w:t>
      </w:r>
      <w:r>
        <w:rPr>
          <w:rFonts w:hint="eastAsia" w:ascii="宋体" w:hAnsi="宋体" w:cs="宋体"/>
          <w:b w:val="0"/>
          <w:bCs/>
          <w:color w:val="000000"/>
          <w:kern w:val="0"/>
          <w:sz w:val="32"/>
          <w:szCs w:val="32"/>
          <w:lang w:eastAsia="zh-CN"/>
        </w:rPr>
        <w:t>本单位</w:t>
      </w:r>
      <w:r>
        <w:rPr>
          <w:rFonts w:hint="eastAsia" w:ascii="宋体" w:hAnsi="宋体" w:cs="宋体"/>
          <w:b w:val="0"/>
          <w:bCs/>
          <w:color w:val="000000"/>
          <w:kern w:val="0"/>
          <w:sz w:val="32"/>
          <w:szCs w:val="32"/>
        </w:rPr>
        <w:t>签字确认的现场勘查</w:t>
      </w:r>
      <w:r>
        <w:rPr>
          <w:rFonts w:hint="eastAsia" w:ascii="宋体" w:hAnsi="宋体" w:cs="宋体"/>
          <w:b w:val="0"/>
          <w:bCs/>
          <w:color w:val="000000"/>
          <w:kern w:val="0"/>
          <w:sz w:val="32"/>
          <w:szCs w:val="32"/>
          <w:lang w:val="en-US" w:eastAsia="zh-CN"/>
        </w:rPr>
        <w:t>证明</w:t>
      </w:r>
      <w:r>
        <w:rPr>
          <w:rFonts w:hint="eastAsia" w:ascii="宋体" w:hAnsi="宋体" w:cs="宋体"/>
          <w:b w:val="0"/>
          <w:bCs/>
          <w:color w:val="000000"/>
          <w:kern w:val="0"/>
          <w:sz w:val="32"/>
          <w:szCs w:val="32"/>
        </w:rPr>
        <w:t>函，并在竞价时作为附件拍照上传进行产品性能测试和功能验证，否则视为无效竞价。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宋体" w:hAnsi="宋体" w:cs="宋体"/>
          <w:bCs/>
          <w:color w:val="000000"/>
          <w:kern w:val="0"/>
          <w:sz w:val="32"/>
          <w:szCs w:val="32"/>
        </w:rPr>
      </w:pPr>
      <w:r>
        <w:rPr>
          <w:rFonts w:hint="eastAsia" w:ascii="宋体" w:hAnsi="宋体" w:cs="宋体"/>
          <w:bCs/>
          <w:color w:val="000000"/>
          <w:kern w:val="0"/>
          <w:sz w:val="32"/>
          <w:szCs w:val="32"/>
        </w:rPr>
        <w:t>（二）设备厂商授权：为保证设备的售后服务，竞价单位为代理商的，需提供制造厂商提供的售后服务承诺函，并在竞价时作为附件上传，否则视为无效竞价。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宋体" w:hAnsi="宋体" w:cs="宋体"/>
          <w:bCs/>
          <w:color w:val="000000"/>
          <w:kern w:val="0"/>
          <w:sz w:val="32"/>
          <w:szCs w:val="32"/>
        </w:rPr>
      </w:pPr>
      <w:r>
        <w:rPr>
          <w:rFonts w:hint="eastAsia" w:ascii="宋体" w:hAnsi="宋体" w:cs="宋体"/>
          <w:bCs/>
          <w:color w:val="000000"/>
          <w:kern w:val="0"/>
          <w:sz w:val="32"/>
          <w:szCs w:val="32"/>
        </w:rPr>
        <w:t>（三）投标人请务必认真研读我方提出的各项要求，诚信报价，不能按照要求供货的，将给予信用差评。</w:t>
      </w:r>
    </w:p>
    <w:p>
      <w:pPr>
        <w:pStyle w:val="15"/>
        <w:keepNext w:val="0"/>
        <w:keepLines w:val="0"/>
        <w:pageBreakBefore w:val="0"/>
        <w:widowControl w:val="0"/>
        <w:kinsoku/>
        <w:wordWrap/>
        <w:overflowPunct/>
        <w:topLinePunct w:val="0"/>
        <w:autoSpaceDE/>
        <w:autoSpaceDN/>
        <w:bidi w:val="0"/>
        <w:adjustRightInd/>
        <w:snapToGrid/>
        <w:spacing w:line="560" w:lineRule="exact"/>
        <w:ind w:left="-440" w:firstLine="640" w:firstLineChars="200"/>
        <w:textAlignment w:val="auto"/>
        <w:outlineLvl w:val="0"/>
        <w:rPr>
          <w:rFonts w:ascii="宋体" w:hAnsi="宋体" w:cs="宋体"/>
          <w:color w:val="000000"/>
          <w:sz w:val="32"/>
          <w:szCs w:val="32"/>
        </w:rPr>
      </w:pPr>
      <w:r>
        <w:rPr>
          <w:rFonts w:hint="eastAsia" w:ascii="宋体" w:hAnsi="宋体" w:cs="宋体"/>
          <w:color w:val="000000"/>
          <w:sz w:val="32"/>
          <w:szCs w:val="32"/>
        </w:rPr>
        <w:t>四、验收要求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宋体" w:hAnsi="宋体" w:cs="宋体"/>
          <w:bCs/>
          <w:color w:val="000000"/>
          <w:kern w:val="0"/>
          <w:sz w:val="32"/>
          <w:szCs w:val="32"/>
        </w:rPr>
      </w:pPr>
      <w:r>
        <w:rPr>
          <w:rFonts w:hint="eastAsia" w:ascii="宋体" w:hAnsi="宋体" w:cs="宋体"/>
          <w:bCs/>
          <w:color w:val="000000"/>
          <w:kern w:val="0"/>
          <w:sz w:val="32"/>
          <w:szCs w:val="32"/>
        </w:rPr>
        <w:t>中标供应商要针对项目验收提供与所投设备有关的完整的验收报告。全部设备到货后，采购人对全部产品的型号、规格、配置、数量、外型、包装及资料、文件（如装箱单、保修单、随箱介质等）进行初次验收，并按照本竞价文件所列功能进行逐一验证测试。如果产品未能满足全部技术规格，采购人有权提前解除部分或全部合同并要求中标供应商赔偿相应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宋体" w:hAnsi="宋体" w:cs="宋体"/>
          <w:bCs/>
          <w:color w:val="000000"/>
          <w:kern w:val="0"/>
          <w:sz w:val="32"/>
          <w:szCs w:val="32"/>
        </w:rPr>
      </w:pPr>
      <w:r>
        <w:rPr>
          <w:rFonts w:hint="eastAsia" w:ascii="宋体" w:hAnsi="宋体" w:cs="宋体"/>
          <w:bCs/>
          <w:color w:val="000000"/>
          <w:kern w:val="0"/>
          <w:sz w:val="32"/>
          <w:szCs w:val="32"/>
        </w:rPr>
        <w:t>中标供应商所提供的产品包括配件必须是厂家原包装全新正品，要求所提供设备必须与我局现有系统及设备无缝对接，完美兼容，测试时间为7天，测试未通过的视为未通过最终验收；中标供应商须将设备、系统安装并调试至正常运行的最佳状态，通过测试视为最终验收合格。</w:t>
      </w:r>
    </w:p>
    <w:p>
      <w:pPr>
        <w:pStyle w:val="15"/>
        <w:keepNext w:val="0"/>
        <w:keepLines w:val="0"/>
        <w:pageBreakBefore w:val="0"/>
        <w:widowControl w:val="0"/>
        <w:kinsoku/>
        <w:wordWrap/>
        <w:overflowPunct/>
        <w:topLinePunct w:val="0"/>
        <w:autoSpaceDE/>
        <w:autoSpaceDN/>
        <w:bidi w:val="0"/>
        <w:adjustRightInd/>
        <w:snapToGrid/>
        <w:spacing w:line="560" w:lineRule="exact"/>
        <w:ind w:left="-440" w:firstLine="640" w:firstLineChars="200"/>
        <w:textAlignment w:val="auto"/>
        <w:outlineLvl w:val="0"/>
        <w:rPr>
          <w:rFonts w:ascii="宋体" w:hAnsi="宋体" w:cs="宋体"/>
          <w:color w:val="000000"/>
          <w:sz w:val="32"/>
          <w:szCs w:val="32"/>
        </w:rPr>
      </w:pPr>
      <w:r>
        <w:rPr>
          <w:rFonts w:hint="eastAsia" w:ascii="宋体" w:hAnsi="宋体" w:cs="宋体"/>
          <w:color w:val="000000"/>
          <w:sz w:val="32"/>
          <w:szCs w:val="32"/>
        </w:rPr>
        <w:t>五、付款时间及付款方式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eastAsiaTheme="minorEastAsia" w:cstheme="minorBidi"/>
          <w:sz w:val="32"/>
          <w:szCs w:val="24"/>
        </w:rPr>
      </w:pPr>
      <w:r>
        <w:rPr>
          <w:rFonts w:hint="eastAsia" w:asciiTheme="minorEastAsia" w:hAnsiTheme="minorEastAsia" w:eastAsiaTheme="minorEastAsia" w:cstheme="minorBidi"/>
          <w:sz w:val="32"/>
          <w:szCs w:val="24"/>
        </w:rPr>
        <w:t>（一）付款时间：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宋体" w:hAnsi="宋体" w:cs="宋体"/>
          <w:bCs/>
          <w:color w:val="000000"/>
          <w:kern w:val="0"/>
          <w:sz w:val="32"/>
          <w:szCs w:val="32"/>
        </w:rPr>
      </w:pPr>
      <w:r>
        <w:rPr>
          <w:rFonts w:hint="eastAsia" w:ascii="宋体" w:hAnsi="宋体" w:cs="宋体"/>
          <w:bCs/>
          <w:color w:val="000000"/>
          <w:kern w:val="0"/>
          <w:sz w:val="32"/>
          <w:szCs w:val="32"/>
        </w:rPr>
        <w:t>成交供应商应在采购人付款前及时向采购人提供完整、合格、正确的发票、验收报告、付款申请、政府采购合同复印件等资料（成交供应商提供的付款资料有误的、受财政预算安排影响的，采购人付款时间可顺延，不视为采购人违约，采购人不承担任何违约责任，同时，供应商不得以采购人未支付采购资金为由拒绝或延迟履行合同义务）。采购人收到以上合格资料后原则上在90个工作日内，最长不超过120个工作日内完成支付。因成交供应商未及时提供付款所需资料或者提供的资料不合格等原因导致款项不能正常支付的，责任由成交供应商承担，与采购人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heme="minorEastAsia" w:hAnsiTheme="minorEastAsia" w:eastAsiaTheme="minorEastAsia" w:cstheme="minorBidi"/>
          <w:sz w:val="32"/>
          <w:szCs w:val="24"/>
        </w:rPr>
      </w:pPr>
      <w:r>
        <w:rPr>
          <w:rFonts w:hint="eastAsia" w:asciiTheme="minorEastAsia" w:hAnsiTheme="minorEastAsia" w:eastAsiaTheme="minorEastAsia" w:cstheme="minorBidi"/>
          <w:sz w:val="32"/>
          <w:szCs w:val="24"/>
        </w:rPr>
        <w:t>（二）付款方式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宋体" w:hAnsi="宋体" w:cs="宋体"/>
          <w:bCs/>
          <w:color w:val="000000"/>
          <w:kern w:val="0"/>
          <w:sz w:val="32"/>
          <w:szCs w:val="32"/>
        </w:rPr>
      </w:pPr>
      <w:r>
        <w:rPr>
          <w:rFonts w:hint="eastAsia" w:ascii="宋体" w:hAnsi="宋体" w:cs="宋体"/>
          <w:bCs/>
          <w:color w:val="000000"/>
          <w:kern w:val="0"/>
          <w:sz w:val="32"/>
          <w:szCs w:val="32"/>
        </w:rPr>
        <w:t>验收合格后90个工作日内支付合同金额的100%。</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宋体" w:hAnsi="宋体" w:cs="宋体"/>
          <w:color w:val="000000"/>
          <w:sz w:val="32"/>
          <w:szCs w:val="32"/>
        </w:rPr>
      </w:pPr>
      <w:r>
        <w:rPr>
          <w:rFonts w:hint="eastAsia" w:ascii="宋体" w:hAnsi="宋体" w:cs="宋体"/>
          <w:color w:val="000000"/>
          <w:sz w:val="32"/>
          <w:szCs w:val="32"/>
        </w:rPr>
        <w:t>六、其他要求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宋体" w:hAnsi="宋体" w:cs="宋体"/>
          <w:bCs/>
          <w:color w:val="000000"/>
          <w:kern w:val="0"/>
          <w:sz w:val="32"/>
          <w:szCs w:val="32"/>
        </w:rPr>
      </w:pPr>
      <w:r>
        <w:rPr>
          <w:rFonts w:hint="eastAsia" w:ascii="宋体" w:hAnsi="宋体" w:cs="宋体"/>
          <w:bCs/>
          <w:color w:val="000000"/>
          <w:kern w:val="0"/>
          <w:sz w:val="32"/>
          <w:szCs w:val="32"/>
        </w:rPr>
        <w:t>中标供应商须严格遵守国家保密法律、法规和规章制度，配合采购人做好网络和数据安全相关工作，遵守网络安全规定；若违反网络安全规定致使相关工作存在重大泄密隐患或发生泄密的，将承担相应法律责任。</w:t>
      </w:r>
    </w:p>
    <w:p>
      <w:pPr>
        <w:rPr>
          <w:rFonts w:hint="eastAsia" w:ascii="仿宋GB_2312" w:hAnsi="仿宋GB_2312" w:eastAsia="仿宋GB_2312" w:cs="仿宋GB_2312"/>
          <w:bCs/>
          <w:color w:val="000000"/>
          <w:kern w:val="0"/>
          <w:sz w:val="32"/>
          <w:szCs w:val="32"/>
        </w:rPr>
      </w:pPr>
    </w:p>
    <w:sectPr>
      <w:footerReference r:id="rId3" w:type="default"/>
      <w:pgSz w:w="11907" w:h="16840"/>
      <w:pgMar w:top="2154" w:right="1474" w:bottom="2041"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GB_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2BB"/>
    <w:multiLevelType w:val="multilevel"/>
    <w:tmpl w:val="10D202BB"/>
    <w:lvl w:ilvl="0" w:tentative="0">
      <w:start w:val="1"/>
      <w:numFmt w:val="chineseCountingThousand"/>
      <w:lvlText w:val="%1"/>
      <w:lvlJc w:val="left"/>
      <w:pPr>
        <w:ind w:left="425" w:hanging="425"/>
      </w:pPr>
      <w:rPr>
        <w:b/>
        <w:bCs/>
        <w:i w:val="0"/>
        <w:iCs w:val="0"/>
        <w:caps w:val="0"/>
        <w:smallCaps w:val="0"/>
        <w:strike w:val="0"/>
        <w:dstrike w:val="0"/>
        <w:vanish w:val="0"/>
        <w:color w:val="000000"/>
        <w:spacing w:val="0"/>
        <w:position w:val="0"/>
        <w:u w:val="none"/>
        <w:vertAlign w:val="baseline"/>
      </w:rPr>
    </w:lvl>
    <w:lvl w:ilvl="1" w:tentative="0">
      <w:start w:val="1"/>
      <w:numFmt w:val="decimal"/>
      <w:pStyle w:val="3"/>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YmM0ZGMyZTFjMGM5NzdhZjYyMmQzZWU1ZGIxODEifQ=="/>
  </w:docVars>
  <w:rsids>
    <w:rsidRoot w:val="001E530A"/>
    <w:rsid w:val="000A08C4"/>
    <w:rsid w:val="000B0731"/>
    <w:rsid w:val="00185292"/>
    <w:rsid w:val="001B0068"/>
    <w:rsid w:val="001E530A"/>
    <w:rsid w:val="002B2603"/>
    <w:rsid w:val="002B5833"/>
    <w:rsid w:val="002C171E"/>
    <w:rsid w:val="00347D67"/>
    <w:rsid w:val="003A106F"/>
    <w:rsid w:val="00445009"/>
    <w:rsid w:val="0051621F"/>
    <w:rsid w:val="006C679B"/>
    <w:rsid w:val="00762D0D"/>
    <w:rsid w:val="007A2164"/>
    <w:rsid w:val="008A442F"/>
    <w:rsid w:val="009630BB"/>
    <w:rsid w:val="009776CF"/>
    <w:rsid w:val="00A0794A"/>
    <w:rsid w:val="00AA2DBA"/>
    <w:rsid w:val="00B93B77"/>
    <w:rsid w:val="00C64DA7"/>
    <w:rsid w:val="00DA3660"/>
    <w:rsid w:val="00E67686"/>
    <w:rsid w:val="00E97508"/>
    <w:rsid w:val="00ED7B47"/>
    <w:rsid w:val="00F57EDE"/>
    <w:rsid w:val="0A884485"/>
    <w:rsid w:val="0C117E46"/>
    <w:rsid w:val="0CBA27A7"/>
    <w:rsid w:val="10F03382"/>
    <w:rsid w:val="1552289E"/>
    <w:rsid w:val="15857353"/>
    <w:rsid w:val="15F15D5E"/>
    <w:rsid w:val="1E030DA9"/>
    <w:rsid w:val="27F47732"/>
    <w:rsid w:val="2AC62A84"/>
    <w:rsid w:val="3248348E"/>
    <w:rsid w:val="3F9B69BD"/>
    <w:rsid w:val="484F556B"/>
    <w:rsid w:val="52AB77FA"/>
    <w:rsid w:val="54470CF6"/>
    <w:rsid w:val="57343854"/>
    <w:rsid w:val="57374A28"/>
    <w:rsid w:val="6B0C30F6"/>
    <w:rsid w:val="74AD4823"/>
    <w:rsid w:val="74C4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7"/>
    <w:qFormat/>
    <w:uiPriority w:val="9"/>
    <w:pPr>
      <w:keepNext/>
      <w:keepLines/>
      <w:numPr>
        <w:ilvl w:val="1"/>
        <w:numId w:val="1"/>
      </w:numPr>
      <w:spacing w:before="260" w:after="260" w:line="412" w:lineRule="auto"/>
      <w:outlineLvl w:val="1"/>
    </w:pPr>
    <w:rPr>
      <w:rFonts w:ascii="Arial" w:hAnsi="Arial"/>
      <w:bCs/>
      <w:sz w:val="3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TML Typewriter"/>
    <w:basedOn w:val="9"/>
    <w:qFormat/>
    <w:uiPriority w:val="0"/>
    <w:rPr>
      <w:rFonts w:ascii="Courier New" w:hAnsi="Courier New" w:cs="Courier New"/>
      <w:sz w:val="20"/>
      <w:szCs w:val="20"/>
    </w:rPr>
  </w:style>
  <w:style w:type="paragraph" w:customStyle="1" w:styleId="11">
    <w:name w:val="列表段落1"/>
    <w:basedOn w:val="1"/>
    <w:qFormat/>
    <w:uiPriority w:val="34"/>
    <w:pPr>
      <w:ind w:firstLine="420" w:firstLineChars="200"/>
    </w:p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qFormat/>
    <w:uiPriority w:val="99"/>
    <w:rPr>
      <w:sz w:val="18"/>
      <w:szCs w:val="18"/>
    </w:rPr>
  </w:style>
  <w:style w:type="paragraph" w:customStyle="1" w:styleId="15">
    <w:name w:val="招标_正文2b"/>
    <w:basedOn w:val="1"/>
    <w:qFormat/>
    <w:uiPriority w:val="0"/>
    <w:pPr>
      <w:ind w:firstLine="482"/>
    </w:pPr>
    <w:rPr>
      <w:b/>
      <w:bCs/>
      <w:kern w:val="0"/>
      <w:sz w:val="20"/>
      <w:szCs w:val="20"/>
    </w:rPr>
  </w:style>
  <w:style w:type="paragraph" w:styleId="16">
    <w:name w:val="List Paragraph"/>
    <w:basedOn w:val="1"/>
    <w:qFormat/>
    <w:uiPriority w:val="99"/>
    <w:pPr>
      <w:ind w:firstLine="420" w:firstLineChars="200"/>
    </w:pPr>
  </w:style>
  <w:style w:type="character" w:customStyle="1" w:styleId="17">
    <w:name w:val="标题 2 字符"/>
    <w:basedOn w:val="9"/>
    <w:link w:val="3"/>
    <w:uiPriority w:val="9"/>
    <w:rPr>
      <w:rFonts w:ascii="Arial" w:hAnsi="Arial" w:cs="Times New Roman"/>
      <w:bCs/>
      <w:kern w:val="2"/>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5</Pages>
  <Words>489</Words>
  <Characters>2793</Characters>
  <Lines>23</Lines>
  <Paragraphs>6</Paragraphs>
  <TotalTime>252</TotalTime>
  <ScaleCrop>false</ScaleCrop>
  <LinksUpToDate>false</LinksUpToDate>
  <CharactersWithSpaces>3276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2024-08-15T11:51:00Z</dcterms:created>
  <dc:creator>wyw</dc:creator>
  <cp:lastModifiedBy>Administrator</cp:lastModifiedBy>
  <dcterms:modified xsi:type="dcterms:W3CDTF">2024-10-17T01:14:40Z</dcterms:modified>
  <dc:title>国家税务总局新乡市税务局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BEEFBA694A054AC8869199C4EA663FCB_13</vt:lpwstr>
  </property>
</Properties>
</file>