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BFC86">
      <w:pPr>
        <w:snapToGrid w:val="0"/>
        <w:spacing w:line="360" w:lineRule="auto"/>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附件1</w:t>
      </w:r>
    </w:p>
    <w:p w14:paraId="7C8E0AC8">
      <w:pPr>
        <w:pStyle w:val="3"/>
        <w:snapToGrid w:val="0"/>
        <w:spacing w:beforeLines="0" w:afterLines="0"/>
        <w:ind w:left="630" w:leftChars="300" w:right="630" w:rightChars="300"/>
        <w:jc w:val="center"/>
        <w:outlineLvl w:val="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202</w:t>
      </w:r>
      <w:r>
        <w:rPr>
          <w:rFonts w:hint="eastAsia" w:asciiTheme="minorEastAsia" w:hAnsiTheme="minorEastAsia" w:eastAsiaTheme="minorEastAsia" w:cstheme="minorEastAsia"/>
          <w:b/>
          <w:sz w:val="32"/>
          <w:szCs w:val="32"/>
          <w:lang w:val="en-US" w:eastAsia="zh-CN"/>
        </w:rPr>
        <w:t>5</w:t>
      </w:r>
      <w:r>
        <w:rPr>
          <w:rFonts w:hint="eastAsia" w:asciiTheme="minorEastAsia" w:hAnsiTheme="minorEastAsia" w:eastAsiaTheme="minorEastAsia" w:cstheme="minorEastAsia"/>
          <w:b/>
          <w:sz w:val="32"/>
          <w:szCs w:val="32"/>
        </w:rPr>
        <w:t>-202</w:t>
      </w:r>
      <w:r>
        <w:rPr>
          <w:rFonts w:hint="eastAsia" w:asciiTheme="minorEastAsia" w:hAnsiTheme="minorEastAsia" w:eastAsiaTheme="minorEastAsia" w:cstheme="minorEastAsia"/>
          <w:b/>
          <w:sz w:val="32"/>
          <w:szCs w:val="32"/>
          <w:lang w:val="en-US" w:eastAsia="zh-CN"/>
        </w:rPr>
        <w:t>6</w:t>
      </w:r>
      <w:r>
        <w:rPr>
          <w:rFonts w:hint="eastAsia" w:asciiTheme="minorEastAsia" w:hAnsiTheme="minorEastAsia" w:eastAsiaTheme="minorEastAsia" w:cstheme="minorEastAsia"/>
          <w:b/>
          <w:sz w:val="32"/>
          <w:szCs w:val="32"/>
        </w:rPr>
        <w:t>年度丽水市（不含缙云、庆元）公务用车维修和保养服务项目框架协议（开放式）</w:t>
      </w:r>
    </w:p>
    <w:p w14:paraId="53AF3089">
      <w:pPr>
        <w:snapToGrid w:val="0"/>
        <w:spacing w:line="360" w:lineRule="auto"/>
        <w:ind w:firstLine="480" w:firstLineChars="200"/>
        <w:rPr>
          <w:rFonts w:hint="eastAsia" w:asciiTheme="minorEastAsia" w:hAnsiTheme="minorEastAsia" w:eastAsiaTheme="minorEastAsia" w:cstheme="minorEastAsia"/>
          <w:sz w:val="24"/>
          <w:szCs w:val="24"/>
        </w:rPr>
      </w:pPr>
    </w:p>
    <w:p w14:paraId="2F930B74">
      <w:pPr>
        <w:pStyle w:val="3"/>
        <w:wordWrap w:val="0"/>
        <w:snapToGrid w:val="0"/>
        <w:spacing w:beforeLines="0" w:afterLines="0" w:line="360" w:lineRule="auto"/>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协议编号：        </w:t>
      </w:r>
      <w:r>
        <w:rPr>
          <w:rFonts w:asciiTheme="minorEastAsia" w:hAnsiTheme="minorEastAsia" w:eastAsiaTheme="minorEastAsia" w:cstheme="minorEastAsia"/>
        </w:rPr>
        <w:t xml:space="preserve"> </w:t>
      </w:r>
    </w:p>
    <w:p w14:paraId="5036F366">
      <w:pPr>
        <w:snapToGrid w:val="0"/>
        <w:spacing w:line="400" w:lineRule="exact"/>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bCs/>
          <w:sz w:val="24"/>
          <w:szCs w:val="24"/>
        </w:rPr>
        <w:t>甲方（征集人）</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lang w:val="en-US" w:eastAsia="zh-CN"/>
        </w:rPr>
        <w:t>青田县政府采购招投标交易中心</w:t>
      </w:r>
    </w:p>
    <w:p w14:paraId="7B3C63AC">
      <w:pPr>
        <w:snapToGrid w:val="0"/>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乙方（入围供应商）</w:t>
      </w:r>
      <w:r>
        <w:rPr>
          <w:rFonts w:hint="eastAsia" w:asciiTheme="minorEastAsia" w:hAnsiTheme="minorEastAsia" w:eastAsiaTheme="minorEastAsia" w:cstheme="minorEastAsia"/>
          <w:sz w:val="24"/>
          <w:szCs w:val="24"/>
        </w:rPr>
        <w:t>：</w:t>
      </w:r>
    </w:p>
    <w:p w14:paraId="39EF74A9">
      <w:pPr>
        <w:pStyle w:val="3"/>
        <w:adjustRightInd w:val="0"/>
        <w:snapToGrid w:val="0"/>
        <w:spacing w:beforeLines="0" w:afterLines="0"/>
        <w:ind w:firstLine="480" w:firstLineChars="200"/>
        <w:rPr>
          <w:rFonts w:hint="eastAsia" w:asciiTheme="minorEastAsia" w:hAnsiTheme="minorEastAsia" w:eastAsiaTheme="minorEastAsia" w:cstheme="minorEastAsia"/>
          <w:snapToGrid w:val="0"/>
        </w:rPr>
      </w:pPr>
    </w:p>
    <w:p w14:paraId="189D542C">
      <w:pPr>
        <w:pStyle w:val="3"/>
        <w:adjustRightInd w:val="0"/>
        <w:snapToGrid w:val="0"/>
        <w:spacing w:beforeLines="0" w:afterLines="0"/>
        <w:ind w:firstLine="480" w:firstLineChars="200"/>
        <w:rPr>
          <w:rFonts w:hint="eastAsia" w:asciiTheme="minorEastAsia" w:hAnsiTheme="minorEastAsia" w:eastAsiaTheme="minorEastAsia" w:cstheme="minorEastAsia"/>
          <w:b/>
          <w:snapToGrid w:val="0"/>
        </w:rPr>
      </w:pPr>
      <w:r>
        <w:rPr>
          <w:rFonts w:hint="eastAsia" w:asciiTheme="minorEastAsia" w:hAnsiTheme="minorEastAsia" w:eastAsiaTheme="minorEastAsia" w:cstheme="minorEastAsia"/>
          <w:snapToGrid w:val="0"/>
        </w:rPr>
        <w:t>甲、乙双方根据202</w:t>
      </w:r>
      <w:r>
        <w:rPr>
          <w:rFonts w:hint="eastAsia" w:asciiTheme="minorEastAsia" w:hAnsiTheme="minorEastAsia" w:eastAsiaTheme="minorEastAsia" w:cstheme="minorEastAsia"/>
          <w:snapToGrid w:val="0"/>
          <w:lang w:val="en-US" w:eastAsia="zh-CN"/>
        </w:rPr>
        <w:t>5</w:t>
      </w:r>
      <w:r>
        <w:rPr>
          <w:rFonts w:hint="eastAsia" w:asciiTheme="minorEastAsia" w:hAnsiTheme="minorEastAsia" w:eastAsiaTheme="minorEastAsia" w:cstheme="minorEastAsia"/>
          <w:snapToGrid w:val="0"/>
        </w:rPr>
        <w:t>-202</w:t>
      </w:r>
      <w:r>
        <w:rPr>
          <w:rFonts w:hint="eastAsia" w:asciiTheme="minorEastAsia" w:hAnsiTheme="minorEastAsia" w:eastAsiaTheme="minorEastAsia" w:cstheme="minorEastAsia"/>
          <w:snapToGrid w:val="0"/>
          <w:lang w:val="en-US" w:eastAsia="zh-CN"/>
        </w:rPr>
        <w:t>6</w:t>
      </w:r>
      <w:r>
        <w:rPr>
          <w:rFonts w:hint="eastAsia" w:asciiTheme="minorEastAsia" w:hAnsiTheme="minorEastAsia" w:eastAsiaTheme="minorEastAsia" w:cstheme="minorEastAsia"/>
          <w:snapToGrid w:val="0"/>
        </w:rPr>
        <w:t>年度丽水市（不含缙云、庆元）公务用车维修和保养服务项目开放式框架协议采购（项目编号</w:t>
      </w:r>
      <w:r>
        <w:rPr>
          <w:rFonts w:hint="eastAsia" w:asciiTheme="minorEastAsia" w:hAnsiTheme="minorEastAsia" w:eastAsiaTheme="minorEastAsia" w:cstheme="minorEastAsia"/>
          <w:snapToGrid w:val="0"/>
          <w:lang w:val="en-US" w:eastAsia="zh-CN"/>
        </w:rPr>
        <w:t>QT</w:t>
      </w:r>
      <w:r>
        <w:rPr>
          <w:rFonts w:hint="eastAsia" w:asciiTheme="minorEastAsia" w:hAnsiTheme="minorEastAsia" w:eastAsiaTheme="minorEastAsia" w:cstheme="minorEastAsia"/>
          <w:snapToGrid w:val="0"/>
        </w:rPr>
        <w:t>CK202</w:t>
      </w:r>
      <w:r>
        <w:rPr>
          <w:rFonts w:hint="eastAsia" w:asciiTheme="minorEastAsia" w:hAnsiTheme="minorEastAsia" w:eastAsiaTheme="minorEastAsia" w:cstheme="minorEastAsia"/>
          <w:snapToGrid w:val="0"/>
          <w:lang w:val="en-US" w:eastAsia="zh-CN"/>
        </w:rPr>
        <w:t>5</w:t>
      </w:r>
      <w:r>
        <w:rPr>
          <w:rFonts w:hint="eastAsia" w:asciiTheme="minorEastAsia" w:hAnsiTheme="minorEastAsia" w:eastAsiaTheme="minorEastAsia" w:cstheme="minorEastAsia"/>
          <w:snapToGrid w:val="0"/>
        </w:rPr>
        <w:t>-00</w:t>
      </w:r>
      <w:r>
        <w:rPr>
          <w:rFonts w:hint="eastAsia" w:asciiTheme="minorEastAsia" w:hAnsiTheme="minorEastAsia" w:eastAsiaTheme="minorEastAsia" w:cstheme="minorEastAsia"/>
          <w:snapToGrid w:val="0"/>
          <w:lang w:val="en-US" w:eastAsia="zh-CN"/>
        </w:rPr>
        <w:t>1-1</w:t>
      </w:r>
      <w:bookmarkStart w:id="0" w:name="_GoBack"/>
      <w:bookmarkEnd w:id="0"/>
      <w:r>
        <w:rPr>
          <w:rFonts w:hint="eastAsia" w:asciiTheme="minorEastAsia" w:hAnsiTheme="minorEastAsia" w:eastAsiaTheme="minorEastAsia" w:cstheme="minorEastAsia"/>
          <w:snapToGrid w:val="0"/>
        </w:rPr>
        <w:t>）</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snapToGrid w:val="0"/>
        </w:rPr>
        <w:t>征集的结果，签署本协议</w:t>
      </w:r>
      <w:r>
        <w:rPr>
          <w:rFonts w:hint="eastAsia" w:asciiTheme="minorEastAsia" w:hAnsiTheme="minorEastAsia" w:eastAsiaTheme="minorEastAsia" w:cstheme="minorEastAsia"/>
          <w:snapToGrid w:val="0"/>
          <w:kern w:val="0"/>
        </w:rPr>
        <w:t>（以下简称“协议”）</w:t>
      </w:r>
      <w:r>
        <w:rPr>
          <w:rFonts w:hint="eastAsia" w:asciiTheme="minorEastAsia" w:hAnsiTheme="minorEastAsia" w:eastAsiaTheme="minorEastAsia" w:cstheme="minorEastAsia"/>
          <w:snapToGrid w:val="0"/>
        </w:rPr>
        <w:t>。协议期内，</w:t>
      </w:r>
      <w:r>
        <w:rPr>
          <w:rFonts w:hint="eastAsia" w:asciiTheme="minorEastAsia" w:hAnsiTheme="minorEastAsia" w:eastAsiaTheme="minorEastAsia" w:cstheme="minorEastAsia"/>
          <w:snapToGrid w:val="0"/>
          <w:kern w:val="0"/>
        </w:rPr>
        <w:t>乙方、采购人</w:t>
      </w:r>
      <w:r>
        <w:rPr>
          <w:rFonts w:hint="eastAsia" w:asciiTheme="minorEastAsia" w:hAnsiTheme="minorEastAsia" w:eastAsiaTheme="minorEastAsia" w:cstheme="minorEastAsia"/>
          <w:snapToGrid w:val="0"/>
        </w:rPr>
        <w:t>双方</w:t>
      </w:r>
      <w:r>
        <w:rPr>
          <w:rFonts w:hint="eastAsia" w:asciiTheme="minorEastAsia" w:hAnsiTheme="minorEastAsia" w:eastAsiaTheme="minorEastAsia" w:cstheme="minorEastAsia"/>
          <w:snapToGrid w:val="0"/>
          <w:kern w:val="0"/>
        </w:rPr>
        <w:t>签署《政府采购框架协议采购合同》（以下简称“合同”）。</w:t>
      </w:r>
    </w:p>
    <w:p w14:paraId="79E18E45">
      <w:pPr>
        <w:pStyle w:val="3"/>
        <w:snapToGrid w:val="0"/>
        <w:spacing w:beforeLines="0" w:afterLines="0"/>
        <w:ind w:firstLine="482"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一、定义</w:t>
      </w:r>
    </w:p>
    <w:p w14:paraId="130C9E40">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本协议中的下列术语应解释为：</w:t>
      </w:r>
    </w:p>
    <w:p w14:paraId="70876ACA">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1.“协议”系指甲方与乙方签署的、载明甲方与乙方协利义务的协议，包括所有的附件、附录和其他构成协议的所有文件。</w:t>
      </w:r>
    </w:p>
    <w:p w14:paraId="036DEA7E">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2.“甲方”系指青田县政府采购招投标交易中心。甲方不作为协议一方具体参加合同的实际履行。在实际履行中由采购人与乙方另行签订具体合同。</w:t>
      </w:r>
    </w:p>
    <w:p w14:paraId="6F689557">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3.“乙方”系指本次入围供应商，乙方为丽水市（不含缙云、庆元）国家机关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实行预算管理的事业单位、团体组织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含各区（县）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提供公务用车维修服务。</w:t>
      </w:r>
    </w:p>
    <w:p w14:paraId="582507EC">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4.“采购人”系指丽水市国家机关、事业单位和团体组织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含各区（县），</w:t>
      </w:r>
      <w:r>
        <w:rPr>
          <w:rFonts w:hint="eastAsia" w:asciiTheme="minorEastAsia" w:hAnsiTheme="minorEastAsia" w:eastAsiaTheme="minorEastAsia" w:cstheme="minorEastAsia"/>
          <w:snapToGrid w:val="0"/>
        </w:rPr>
        <w:t>不含</w:t>
      </w:r>
      <w:r>
        <w:rPr>
          <w:rFonts w:hint="eastAsia" w:asciiTheme="minorEastAsia" w:hAnsiTheme="minorEastAsia" w:eastAsiaTheme="minorEastAsia" w:cstheme="minorEastAsia"/>
          <w:snapToGrid w:val="0"/>
          <w:lang w:val="en-US" w:eastAsia="zh-CN"/>
        </w:rPr>
        <w:t>缙云、</w:t>
      </w:r>
      <w:r>
        <w:rPr>
          <w:rFonts w:hint="eastAsia" w:asciiTheme="minorEastAsia" w:hAnsiTheme="minorEastAsia" w:eastAsiaTheme="minorEastAsia" w:cstheme="minorEastAsia"/>
          <w:snapToGrid w:val="0"/>
        </w:rPr>
        <w:t>庆元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，与甲方享有同等权力。本协议下述各处所指甲方同时包含采购人。</w:t>
      </w:r>
    </w:p>
    <w:p w14:paraId="2C040BFF">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“征集公告”是指关于《202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年度丽水市（不含缙云、庆元）公务用车维修和保养服务开放式框架协议采购项目征集供应商的公告》。</w:t>
      </w:r>
    </w:p>
    <w:p w14:paraId="3D6390A2">
      <w:pPr>
        <w:snapToGrid w:val="0"/>
        <w:spacing w:line="40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二、有效期限：</w:t>
      </w:r>
      <w:r>
        <w:rPr>
          <w:rFonts w:hint="eastAsia" w:asciiTheme="minorEastAsia" w:hAnsiTheme="minorEastAsia" w:eastAsiaTheme="minorEastAsia" w:cstheme="minorEastAsia"/>
          <w:sz w:val="24"/>
          <w:szCs w:val="24"/>
        </w:rPr>
        <w:t>协议签订之日起至202</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年12月31日止。</w:t>
      </w:r>
    </w:p>
    <w:p w14:paraId="5426158E">
      <w:pPr>
        <w:snapToGrid w:val="0"/>
        <w:spacing w:line="400" w:lineRule="exact"/>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三、适用框架协议的采购人：</w:t>
      </w:r>
      <w:r>
        <w:rPr>
          <w:rFonts w:hint="eastAsia" w:asciiTheme="minorEastAsia" w:hAnsiTheme="minorEastAsia" w:eastAsiaTheme="minorEastAsia" w:cstheme="minorEastAsia"/>
          <w:bCs/>
          <w:sz w:val="24"/>
          <w:szCs w:val="24"/>
        </w:rPr>
        <w:t>丽水市国家机关、事业单位和团体组织（预算单位）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含各区（县）</w:t>
      </w:r>
      <w:r>
        <w:rPr>
          <w:rFonts w:hint="eastAsia" w:asciiTheme="minorEastAsia" w:hAnsiTheme="minorEastAsia" w:eastAsiaTheme="minorEastAsia" w:cstheme="minorEastAsia"/>
          <w:bCs/>
          <w:sz w:val="24"/>
          <w:szCs w:val="24"/>
          <w:lang w:val="en-US" w:eastAsia="zh-CN"/>
        </w:rPr>
        <w:t>，</w:t>
      </w:r>
      <w:r>
        <w:rPr>
          <w:rFonts w:hint="eastAsia" w:asciiTheme="minorEastAsia" w:hAnsiTheme="minorEastAsia" w:eastAsiaTheme="minorEastAsia" w:cstheme="minorEastAsia"/>
          <w:bCs/>
          <w:sz w:val="24"/>
          <w:szCs w:val="24"/>
        </w:rPr>
        <w:t>不含</w:t>
      </w:r>
      <w:r>
        <w:rPr>
          <w:rFonts w:hint="eastAsia" w:asciiTheme="minorEastAsia" w:hAnsiTheme="minorEastAsia" w:eastAsiaTheme="minorEastAsia" w:cstheme="minorEastAsia"/>
          <w:bCs/>
          <w:sz w:val="24"/>
          <w:szCs w:val="24"/>
          <w:lang w:val="en-US" w:eastAsia="zh-CN"/>
        </w:rPr>
        <w:t>缙云、</w:t>
      </w:r>
      <w:r>
        <w:rPr>
          <w:rFonts w:hint="eastAsia" w:asciiTheme="minorEastAsia" w:hAnsiTheme="minorEastAsia" w:eastAsiaTheme="minorEastAsia" w:cstheme="minorEastAsia"/>
          <w:bCs/>
          <w:sz w:val="24"/>
          <w:szCs w:val="24"/>
        </w:rPr>
        <w:t>庆元</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w:t>
      </w:r>
    </w:p>
    <w:p w14:paraId="5133A3FA">
      <w:pPr>
        <w:snapToGrid w:val="0"/>
        <w:spacing w:line="400" w:lineRule="exact"/>
        <w:ind w:firstLine="482" w:firstLineChars="20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四、履行合同的地域范围：</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丽水市内（不含缙云、庆元）</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w:t>
      </w:r>
    </w:p>
    <w:p w14:paraId="15C015C4">
      <w:pPr>
        <w:snapToGrid w:val="0"/>
        <w:spacing w:line="40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五、采购需求：</w:t>
      </w:r>
      <w:r>
        <w:rPr>
          <w:rFonts w:hint="eastAsia" w:asciiTheme="minorEastAsia" w:hAnsiTheme="minorEastAsia" w:eastAsiaTheme="minorEastAsia" w:cstheme="minorEastAsia"/>
          <w:sz w:val="24"/>
          <w:szCs w:val="24"/>
        </w:rPr>
        <w:t>详见征集公告。</w:t>
      </w:r>
    </w:p>
    <w:p w14:paraId="65F2B8E2">
      <w:pPr>
        <w:snapToGrid w:val="0"/>
        <w:spacing w:line="400" w:lineRule="exact"/>
        <w:ind w:firstLine="482"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sz w:val="24"/>
          <w:szCs w:val="24"/>
        </w:rPr>
        <w:t>六、</w:t>
      </w:r>
      <w:r>
        <w:rPr>
          <w:rFonts w:hint="eastAsia" w:asciiTheme="minorEastAsia" w:hAnsiTheme="minorEastAsia" w:eastAsiaTheme="minorEastAsia" w:cstheme="minorEastAsia"/>
          <w:b/>
          <w:bCs/>
          <w:color w:val="000000"/>
          <w:sz w:val="24"/>
          <w:szCs w:val="24"/>
        </w:rPr>
        <w:t>承诺</w:t>
      </w:r>
      <w:r>
        <w:rPr>
          <w:rFonts w:hint="eastAsia" w:asciiTheme="minorEastAsia" w:hAnsiTheme="minorEastAsia" w:eastAsiaTheme="minorEastAsia" w:cstheme="minorEastAsia"/>
          <w:b/>
          <w:bCs/>
          <w:color w:val="000000"/>
          <w:sz w:val="24"/>
          <w:szCs w:val="24"/>
          <w:lang w:val="en-US" w:eastAsia="zh-CN"/>
        </w:rPr>
        <w:t>折扣</w:t>
      </w:r>
      <w:r>
        <w:rPr>
          <w:rFonts w:hint="eastAsia" w:asciiTheme="minorEastAsia" w:hAnsiTheme="minorEastAsia" w:eastAsiaTheme="minorEastAsia" w:cstheme="minorEastAsia"/>
          <w:b/>
          <w:bCs/>
          <w:color w:val="000000"/>
          <w:sz w:val="24"/>
          <w:szCs w:val="24"/>
        </w:rPr>
        <w:t>率及维修费用</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4AB5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72" w:type="dxa"/>
            <w:tcBorders>
              <w:top w:val="single" w:color="auto" w:sz="4" w:space="0"/>
              <w:left w:val="single" w:color="auto" w:sz="4" w:space="0"/>
              <w:bottom w:val="single" w:color="auto" w:sz="4" w:space="0"/>
              <w:right w:val="single" w:color="auto" w:sz="4" w:space="0"/>
            </w:tcBorders>
            <w:vAlign w:val="center"/>
          </w:tcPr>
          <w:p w14:paraId="235D2F6A">
            <w:pPr>
              <w:snapToGrid w:val="0"/>
              <w:ind w:firstLine="482" w:firstLineChars="200"/>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折扣</w:t>
            </w:r>
            <w:r>
              <w:rPr>
                <w:rFonts w:hint="eastAsia" w:asciiTheme="minorEastAsia" w:hAnsiTheme="minorEastAsia" w:eastAsiaTheme="minorEastAsia" w:cstheme="minorEastAsia"/>
                <w:b/>
                <w:color w:val="000000"/>
                <w:sz w:val="24"/>
                <w:szCs w:val="24"/>
              </w:rPr>
              <w:t>率(工时费、材料费)</w:t>
            </w:r>
          </w:p>
        </w:tc>
      </w:tr>
      <w:tr w14:paraId="756E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72" w:type="dxa"/>
            <w:tcBorders>
              <w:top w:val="single" w:color="auto" w:sz="4" w:space="0"/>
              <w:left w:val="single" w:color="auto" w:sz="4" w:space="0"/>
              <w:bottom w:val="single" w:color="auto" w:sz="4" w:space="0"/>
              <w:right w:val="single" w:color="auto" w:sz="4" w:space="0"/>
            </w:tcBorders>
            <w:vAlign w:val="center"/>
          </w:tcPr>
          <w:p w14:paraId="47F59181">
            <w:pPr>
              <w:snapToGrid w:val="0"/>
              <w:ind w:firstLine="480" w:firstLineChars="20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w:t>
            </w:r>
          </w:p>
        </w:tc>
      </w:tr>
      <w:tr w14:paraId="3456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72" w:type="dxa"/>
            <w:tcBorders>
              <w:top w:val="single" w:color="auto" w:sz="4" w:space="0"/>
              <w:left w:val="single" w:color="auto" w:sz="4" w:space="0"/>
              <w:bottom w:val="single" w:color="auto" w:sz="4" w:space="0"/>
              <w:right w:val="single" w:color="auto" w:sz="4" w:space="0"/>
            </w:tcBorders>
            <w:vAlign w:val="center"/>
          </w:tcPr>
          <w:p w14:paraId="4A234721">
            <w:pPr>
              <w:snapToGrid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注：</w:t>
            </w: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折扣</w:t>
            </w:r>
            <w:r>
              <w:rPr>
                <w:rFonts w:hint="eastAsia" w:asciiTheme="minorEastAsia" w:hAnsiTheme="minorEastAsia" w:eastAsiaTheme="minorEastAsia" w:cstheme="minorEastAsia"/>
                <w:color w:val="000000"/>
                <w:sz w:val="24"/>
                <w:szCs w:val="24"/>
              </w:rPr>
              <w:t>率是指投响应产品的</w:t>
            </w:r>
            <w:r>
              <w:rPr>
                <w:rFonts w:hint="eastAsia" w:asciiTheme="minorEastAsia" w:hAnsiTheme="minorEastAsia" w:eastAsiaTheme="minorEastAsia" w:cstheme="minorEastAsia"/>
                <w:color w:val="000000"/>
                <w:sz w:val="24"/>
                <w:szCs w:val="24"/>
                <w:lang w:val="en-US" w:eastAsia="zh-CN"/>
              </w:rPr>
              <w:t>折扣</w:t>
            </w:r>
            <w:r>
              <w:rPr>
                <w:rFonts w:hint="eastAsia" w:asciiTheme="minorEastAsia" w:hAnsiTheme="minorEastAsia" w:eastAsiaTheme="minorEastAsia" w:cstheme="minorEastAsia"/>
                <w:color w:val="000000"/>
                <w:sz w:val="24"/>
                <w:szCs w:val="24"/>
              </w:rPr>
              <w:t>率，“市场价×</w:t>
            </w:r>
            <w:r>
              <w:rPr>
                <w:rFonts w:hint="eastAsia" w:asciiTheme="minorEastAsia" w:hAnsiTheme="minorEastAsia" w:eastAsiaTheme="minorEastAsia" w:cstheme="minorEastAsia"/>
                <w:color w:val="000000"/>
                <w:sz w:val="24"/>
                <w:szCs w:val="24"/>
                <w:lang w:val="en-US" w:eastAsia="zh-CN"/>
              </w:rPr>
              <w:t>折扣率</w:t>
            </w:r>
            <w:r>
              <w:rPr>
                <w:rFonts w:hint="eastAsia" w:asciiTheme="minorEastAsia" w:hAnsiTheme="minorEastAsia" w:eastAsiaTheme="minorEastAsia" w:cstheme="minorEastAsia"/>
                <w:color w:val="000000"/>
                <w:sz w:val="24"/>
                <w:szCs w:val="24"/>
              </w:rPr>
              <w:t>”为该响应方的最高限价，采购人可以根据实际的市场价格、产品优惠，确定采购的最终价格。</w:t>
            </w:r>
          </w:p>
          <w:p w14:paraId="3351964C">
            <w:pPr>
              <w:pStyle w:val="2"/>
              <w:numPr>
                <w:ilvl w:val="0"/>
                <w:numId w:val="0"/>
              </w:numPr>
              <w:ind w:firstLine="480" w:firstLineChars="200"/>
              <w:rPr>
                <w:rFonts w:hint="eastAsia"/>
              </w:rPr>
            </w:pPr>
            <w:r>
              <w:rPr>
                <w:rFonts w:hint="eastAsia" w:asciiTheme="minorEastAsia" w:hAnsiTheme="minorEastAsia" w:eastAsiaTheme="minorEastAsia" w:cstheme="minorEastAsia"/>
                <w:color w:val="000000"/>
                <w:kern w:val="2"/>
                <w:sz w:val="24"/>
                <w:szCs w:val="24"/>
                <w:lang w:val="en-US" w:eastAsia="zh-CN" w:bidi="ar-SA"/>
              </w:rPr>
              <w:t>（2）</w:t>
            </w:r>
            <w:r>
              <w:rPr>
                <w:rFonts w:hint="eastAsia" w:asciiTheme="minorEastAsia" w:hAnsiTheme="minorEastAsia" w:eastAsiaTheme="minorEastAsia" w:cstheme="minorEastAsia"/>
                <w:color w:val="000000"/>
                <w:sz w:val="24"/>
                <w:szCs w:val="24"/>
                <w:lang w:val="en-US" w:eastAsia="zh-CN"/>
              </w:rPr>
              <w:t>折扣率</w:t>
            </w:r>
            <w:r>
              <w:rPr>
                <w:rFonts w:hint="eastAsia" w:asciiTheme="minorEastAsia" w:hAnsiTheme="minorEastAsia" w:eastAsiaTheme="minorEastAsia" w:cstheme="minorEastAsia"/>
                <w:color w:val="000000"/>
                <w:sz w:val="24"/>
                <w:szCs w:val="24"/>
              </w:rPr>
              <w:t>不得</w:t>
            </w:r>
            <w:r>
              <w:rPr>
                <w:rFonts w:hint="eastAsia" w:asciiTheme="minorEastAsia" w:hAnsiTheme="minorEastAsia" w:eastAsiaTheme="minorEastAsia" w:cstheme="minorEastAsia"/>
                <w:color w:val="000000"/>
                <w:sz w:val="24"/>
                <w:szCs w:val="24"/>
                <w:lang w:val="en-US" w:eastAsia="zh-CN"/>
              </w:rPr>
              <w:t>高</w:t>
            </w:r>
            <w:r>
              <w:rPr>
                <w:rFonts w:hint="eastAsia" w:asciiTheme="minorEastAsia" w:hAnsiTheme="minorEastAsia" w:eastAsiaTheme="minorEastAsia" w:cstheme="minorEastAsia"/>
                <w:color w:val="000000"/>
                <w:sz w:val="24"/>
                <w:szCs w:val="24"/>
              </w:rPr>
              <w:t>于给予其他客户维修的</w:t>
            </w:r>
            <w:r>
              <w:rPr>
                <w:rFonts w:hint="eastAsia" w:asciiTheme="minorEastAsia" w:hAnsiTheme="minorEastAsia" w:eastAsiaTheme="minorEastAsia" w:cstheme="minorEastAsia"/>
                <w:color w:val="000000"/>
                <w:sz w:val="24"/>
                <w:szCs w:val="24"/>
                <w:lang w:val="en-US" w:eastAsia="zh-CN"/>
              </w:rPr>
              <w:t>折扣</w:t>
            </w:r>
            <w:r>
              <w:rPr>
                <w:rFonts w:hint="eastAsia" w:asciiTheme="minorEastAsia" w:hAnsiTheme="minorEastAsia" w:eastAsiaTheme="minorEastAsia" w:cstheme="minorEastAsia"/>
                <w:color w:val="000000"/>
                <w:sz w:val="24"/>
                <w:szCs w:val="24"/>
              </w:rPr>
              <w:t>率，也不得</w:t>
            </w:r>
            <w:r>
              <w:rPr>
                <w:rFonts w:hint="eastAsia" w:asciiTheme="minorEastAsia" w:hAnsiTheme="minorEastAsia" w:eastAsiaTheme="minorEastAsia" w:cstheme="minorEastAsia"/>
                <w:color w:val="000000"/>
                <w:sz w:val="24"/>
                <w:szCs w:val="24"/>
                <w:lang w:val="en-US" w:eastAsia="zh-CN"/>
              </w:rPr>
              <w:t>高</w:t>
            </w:r>
            <w:r>
              <w:rPr>
                <w:rFonts w:hint="eastAsia" w:asciiTheme="minorEastAsia" w:hAnsiTheme="minorEastAsia" w:eastAsiaTheme="minorEastAsia" w:cstheme="minorEastAsia"/>
                <w:color w:val="000000"/>
                <w:sz w:val="24"/>
                <w:szCs w:val="24"/>
              </w:rPr>
              <w:t>于日常对外公布的</w:t>
            </w:r>
            <w:r>
              <w:rPr>
                <w:rFonts w:hint="eastAsia" w:asciiTheme="minorEastAsia" w:hAnsiTheme="minorEastAsia" w:eastAsiaTheme="minorEastAsia" w:cstheme="minorEastAsia"/>
                <w:color w:val="000000"/>
                <w:sz w:val="24"/>
                <w:szCs w:val="24"/>
                <w:lang w:val="en-US" w:eastAsia="zh-CN"/>
              </w:rPr>
              <w:t>折扣</w:t>
            </w:r>
            <w:r>
              <w:rPr>
                <w:rFonts w:hint="eastAsia" w:asciiTheme="minorEastAsia" w:hAnsiTheme="minorEastAsia" w:eastAsiaTheme="minorEastAsia" w:cstheme="minorEastAsia"/>
                <w:color w:val="000000"/>
                <w:sz w:val="24"/>
                <w:szCs w:val="24"/>
              </w:rPr>
              <w:t>率。</w:t>
            </w:r>
          </w:p>
        </w:tc>
      </w:tr>
    </w:tbl>
    <w:p w14:paraId="5F5D1512">
      <w:pPr>
        <w:snapToGrid w:val="0"/>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1.维修费用由维修工时费和零配件材料价格组成。维修保养费计算方式：维修零配件材料价格＝门市零配件材料标价×零配件材料价格</w:t>
      </w:r>
      <w:r>
        <w:rPr>
          <w:rFonts w:hint="eastAsia" w:asciiTheme="minorEastAsia" w:hAnsiTheme="minorEastAsia" w:eastAsiaTheme="minorEastAsia" w:cstheme="minorEastAsia"/>
          <w:color w:val="000000"/>
          <w:sz w:val="24"/>
          <w:szCs w:val="24"/>
          <w:lang w:val="en-US" w:eastAsia="zh-CN"/>
        </w:rPr>
        <w:t>折扣</w:t>
      </w:r>
      <w:r>
        <w:rPr>
          <w:rFonts w:hint="eastAsia" w:asciiTheme="minorEastAsia" w:hAnsiTheme="minorEastAsia" w:eastAsiaTheme="minorEastAsia" w:cstheme="minorEastAsia"/>
          <w:sz w:val="24"/>
          <w:szCs w:val="24"/>
        </w:rPr>
        <w:t>率，维修工时费＝门市工时标价×维修工时</w:t>
      </w:r>
      <w:r>
        <w:rPr>
          <w:rFonts w:hint="eastAsia" w:asciiTheme="minorEastAsia" w:hAnsiTheme="minorEastAsia" w:eastAsiaTheme="minorEastAsia" w:cstheme="minorEastAsia"/>
          <w:color w:val="000000"/>
          <w:sz w:val="24"/>
          <w:szCs w:val="24"/>
          <w:lang w:val="en-US" w:eastAsia="zh-CN"/>
        </w:rPr>
        <w:t>折扣</w:t>
      </w:r>
      <w:r>
        <w:rPr>
          <w:rFonts w:hint="eastAsia" w:asciiTheme="minorEastAsia" w:hAnsiTheme="minorEastAsia" w:eastAsiaTheme="minorEastAsia" w:cstheme="minorEastAsia"/>
          <w:sz w:val="24"/>
          <w:szCs w:val="24"/>
        </w:rPr>
        <w:t>率。</w:t>
      </w:r>
    </w:p>
    <w:p w14:paraId="21435921">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参照国家、行业或者地方的机动车维修标准和规范或机动车生产企业提供的维修手册进行维修，维修工时费按乙方响应文件承诺的维修工时费执行，乙方响应文件中没有承诺的维修工时费，可由送修单位与乙方参照同类维修市场价格商定，并按响应文件承诺的维修工时费</w:t>
      </w:r>
      <w:r>
        <w:rPr>
          <w:rFonts w:hint="eastAsia" w:asciiTheme="minorEastAsia" w:hAnsiTheme="minorEastAsia" w:eastAsiaTheme="minorEastAsia" w:cstheme="minorEastAsia"/>
          <w:color w:val="000000"/>
          <w:sz w:val="24"/>
          <w:szCs w:val="24"/>
          <w:lang w:val="en-US" w:eastAsia="zh-CN"/>
        </w:rPr>
        <w:t>折扣</w:t>
      </w:r>
      <w:r>
        <w:rPr>
          <w:rFonts w:hint="eastAsia" w:asciiTheme="minorEastAsia" w:hAnsiTheme="minorEastAsia" w:eastAsiaTheme="minorEastAsia" w:cstheme="minorEastAsia"/>
          <w:sz w:val="24"/>
          <w:szCs w:val="24"/>
        </w:rPr>
        <w:t>率进行结算。</w:t>
      </w:r>
    </w:p>
    <w:p w14:paraId="68DD56C5">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3.零配件价格按乙方响应文件承诺的价格执行，并按响应文件承诺的零配件</w:t>
      </w:r>
      <w:r>
        <w:rPr>
          <w:rFonts w:hint="eastAsia" w:asciiTheme="minorEastAsia" w:hAnsiTheme="minorEastAsia" w:eastAsiaTheme="minorEastAsia" w:cstheme="minorEastAsia"/>
          <w:color w:val="000000"/>
          <w:sz w:val="24"/>
          <w:szCs w:val="24"/>
          <w:lang w:val="en-US" w:eastAsia="zh-CN"/>
        </w:rPr>
        <w:t>折扣</w:t>
      </w:r>
      <w:r>
        <w:rPr>
          <w:rFonts w:hint="eastAsia" w:asciiTheme="minorEastAsia" w:hAnsiTheme="minorEastAsia" w:eastAsiaTheme="minorEastAsia" w:cstheme="minorEastAsia"/>
          <w:sz w:val="24"/>
          <w:szCs w:val="24"/>
        </w:rPr>
        <w:t>率进行结算。</w:t>
      </w:r>
    </w:p>
    <w:p w14:paraId="2930EC84">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4.以上费用均含税金。</w:t>
      </w:r>
    </w:p>
    <w:p w14:paraId="0161331E">
      <w:pPr>
        <w:snapToGrid w:val="0"/>
        <w:spacing w:line="400" w:lineRule="exact"/>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rPr>
        <w:t>七、监督</w:t>
      </w:r>
      <w:r>
        <w:rPr>
          <w:rFonts w:hint="eastAsia" w:asciiTheme="minorEastAsia" w:hAnsiTheme="minorEastAsia" w:eastAsiaTheme="minorEastAsia" w:cstheme="minorEastAsia"/>
          <w:b/>
          <w:bCs/>
          <w:sz w:val="24"/>
          <w:szCs w:val="24"/>
          <w:highlight w:val="none"/>
        </w:rPr>
        <w:t>履约</w:t>
      </w:r>
    </w:p>
    <w:p w14:paraId="5F4C1800">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（一）本框架协议由</w:t>
      </w:r>
      <w:r>
        <w:rPr>
          <w:rFonts w:hint="eastAsia" w:asciiTheme="minorEastAsia" w:hAnsiTheme="minorEastAsia" w:eastAsiaTheme="minorEastAsia" w:cstheme="minorEastAsia"/>
          <w:sz w:val="24"/>
          <w:szCs w:val="24"/>
          <w:highlight w:val="none"/>
          <w:lang w:val="en-US" w:eastAsia="zh-CN"/>
        </w:rPr>
        <w:t>财政部门、</w:t>
      </w:r>
      <w:r>
        <w:rPr>
          <w:rFonts w:hint="eastAsia" w:asciiTheme="minorEastAsia" w:hAnsiTheme="minorEastAsia" w:eastAsiaTheme="minorEastAsia" w:cstheme="minorEastAsia"/>
          <w:sz w:val="24"/>
          <w:szCs w:val="24"/>
          <w:highlight w:val="none"/>
        </w:rPr>
        <w:t>征集人对入围供应商履约情况进行管理，管理形式包括但不限于专项检查、随机抽查、交易纠纷申诉等，相关检查及处理情况将在框架协议模块中公布。</w:t>
      </w:r>
    </w:p>
    <w:p w14:paraId="29774911">
      <w:pPr>
        <w:widowControl/>
        <w:shd w:val="clear" w:color="auto" w:fill="FFFFFF"/>
        <w:snapToGrid w:val="0"/>
        <w:spacing w:line="400" w:lineRule="exact"/>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（二）征集人发现入围供应商有下列情形之一，解除与其签订的框架协议：</w:t>
      </w:r>
    </w:p>
    <w:p w14:paraId="6B59FA20">
      <w:pPr>
        <w:widowControl/>
        <w:shd w:val="clear" w:color="auto" w:fill="FFFFFF"/>
        <w:snapToGrid w:val="0"/>
        <w:spacing w:line="400" w:lineRule="exact"/>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1.恶意串通谋取入围或者合同成交的；</w:t>
      </w:r>
    </w:p>
    <w:p w14:paraId="6C2A9EF2">
      <w:pPr>
        <w:widowControl/>
        <w:shd w:val="clear" w:color="auto" w:fill="FFFFFF"/>
        <w:snapToGrid w:val="0"/>
        <w:spacing w:line="400" w:lineRule="exact"/>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2.提供虚假材料谋取入围或者合同成交的；</w:t>
      </w:r>
    </w:p>
    <w:p w14:paraId="5448530E">
      <w:pPr>
        <w:widowControl/>
        <w:shd w:val="clear" w:color="auto" w:fill="FFFFFF"/>
        <w:snapToGrid w:val="0"/>
        <w:spacing w:line="400" w:lineRule="exact"/>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3.无正当理由拒不接受合同授予的；</w:t>
      </w:r>
    </w:p>
    <w:p w14:paraId="1C50A639">
      <w:pPr>
        <w:widowControl/>
        <w:shd w:val="clear" w:color="auto" w:fill="FFFFFF"/>
        <w:snapToGrid w:val="0"/>
        <w:spacing w:line="400" w:lineRule="exact"/>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4.不履行合同义务或者履行合同义务不符合约定，经采购人请求履行后仍不履行或者仍未按约定履行的；</w:t>
      </w:r>
    </w:p>
    <w:p w14:paraId="6FD31398">
      <w:pPr>
        <w:widowControl/>
        <w:shd w:val="clear" w:color="auto" w:fill="FFFFFF"/>
        <w:snapToGrid w:val="0"/>
        <w:spacing w:line="400" w:lineRule="exact"/>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5.框架协议有效期内，因违法行为被禁止或限制参加政府采购活动的；</w:t>
      </w:r>
    </w:p>
    <w:p w14:paraId="04EF385F">
      <w:pPr>
        <w:widowControl/>
        <w:shd w:val="clear" w:color="auto" w:fill="FFFFFF"/>
        <w:snapToGrid w:val="0"/>
        <w:spacing w:line="400" w:lineRule="exact"/>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6.框架协议约定的其他情形。</w:t>
      </w:r>
    </w:p>
    <w:p w14:paraId="798D3B59">
      <w:pPr>
        <w:widowControl/>
        <w:shd w:val="clear" w:color="auto" w:fill="FFFFFF"/>
        <w:snapToGrid w:val="0"/>
        <w:spacing w:line="400" w:lineRule="exact"/>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入围供应商有上述1、2、3情形之一的，由征集人移送</w:t>
      </w:r>
      <w:r>
        <w:rPr>
          <w:rFonts w:hint="eastAsia" w:asciiTheme="minorEastAsia" w:hAnsiTheme="minorEastAsia" w:eastAsiaTheme="minorEastAsia" w:cstheme="minorEastAsia"/>
          <w:sz w:val="24"/>
          <w:szCs w:val="24"/>
          <w:highlight w:val="none"/>
          <w:lang w:val="en-US" w:eastAsia="zh-CN"/>
        </w:rPr>
        <w:t>财政部门</w:t>
      </w:r>
      <w:r>
        <w:rPr>
          <w:rFonts w:hint="eastAsia" w:asciiTheme="minorEastAsia" w:hAnsiTheme="minorEastAsia" w:eastAsiaTheme="minorEastAsia" w:cstheme="minorEastAsia"/>
          <w:sz w:val="24"/>
          <w:szCs w:val="24"/>
          <w:highlight w:val="none"/>
        </w:rPr>
        <w:t>依照政府采购法等有关法律、行政法规追究法律责任。</w:t>
      </w:r>
    </w:p>
    <w:p w14:paraId="185F3356">
      <w:pPr>
        <w:snapToGrid w:val="0"/>
        <w:spacing w:line="400" w:lineRule="exact"/>
        <w:ind w:firstLine="480" w:firstLineChars="200"/>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rPr>
        <w:t>（三）被取消入围资格或者被解除框架协议的供应商不得重新申请本项目框架协议。</w:t>
      </w:r>
    </w:p>
    <w:p w14:paraId="00DFE903">
      <w:pPr>
        <w:pStyle w:val="3"/>
        <w:adjustRightInd w:val="0"/>
        <w:snapToGrid w:val="0"/>
        <w:spacing w:beforeLines="0" w:afterLines="0"/>
        <w:ind w:firstLine="482" w:firstLineChars="200"/>
        <w:rPr>
          <w:rFonts w:hint="eastAsia" w:asciiTheme="minorEastAsia" w:hAnsiTheme="minorEastAsia" w:eastAsiaTheme="minorEastAsia" w:cstheme="minorEastAsia"/>
          <w:b/>
          <w:snapToGrid w:val="0"/>
          <w:highlight w:val="none"/>
        </w:rPr>
      </w:pPr>
      <w:r>
        <w:rPr>
          <w:rFonts w:hint="eastAsia" w:asciiTheme="minorEastAsia" w:hAnsiTheme="minorEastAsia" w:eastAsiaTheme="minorEastAsia" w:cstheme="minorEastAsia"/>
          <w:b/>
          <w:snapToGrid w:val="0"/>
          <w:highlight w:val="none"/>
        </w:rPr>
        <w:t>八、转包或分包</w:t>
      </w:r>
    </w:p>
    <w:p w14:paraId="765636E2">
      <w:pPr>
        <w:pStyle w:val="3"/>
        <w:adjustRightInd w:val="0"/>
        <w:snapToGrid w:val="0"/>
        <w:spacing w:beforeLines="0" w:afterLines="0"/>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不允许转包和分包。如乙方将项目转包或分包，甲方有权解除合同，追究乙方的违约责任。</w:t>
      </w:r>
    </w:p>
    <w:p w14:paraId="0F17136B">
      <w:pPr>
        <w:adjustRightInd w:val="0"/>
        <w:snapToGrid w:val="0"/>
        <w:spacing w:line="400" w:lineRule="exact"/>
        <w:ind w:firstLine="482" w:firstLineChars="200"/>
        <w:rPr>
          <w:rFonts w:hint="eastAsia" w:asciiTheme="minorEastAsia" w:hAnsiTheme="minorEastAsia" w:eastAsiaTheme="minorEastAsia" w:cstheme="minorEastAsia"/>
          <w:b/>
          <w:snapToGrid w:val="0"/>
          <w:kern w:val="0"/>
          <w:sz w:val="24"/>
          <w:szCs w:val="24"/>
          <w:highlight w:val="none"/>
        </w:rPr>
      </w:pPr>
      <w:r>
        <w:rPr>
          <w:rFonts w:hint="eastAsia" w:asciiTheme="minorEastAsia" w:hAnsiTheme="minorEastAsia" w:eastAsiaTheme="minorEastAsia" w:cstheme="minorEastAsia"/>
          <w:b/>
          <w:snapToGrid w:val="0"/>
          <w:kern w:val="0"/>
          <w:sz w:val="24"/>
          <w:szCs w:val="24"/>
          <w:highlight w:val="none"/>
        </w:rPr>
        <w:t>九、资金支付方式、时间和条件</w:t>
      </w:r>
    </w:p>
    <w:p w14:paraId="0EAAC4AA">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采购资金涉及国库集中支付的，</w:t>
      </w:r>
      <w:r>
        <w:rPr>
          <w:rFonts w:hint="eastAsia" w:asciiTheme="minorEastAsia" w:hAnsiTheme="minorEastAsia" w:eastAsiaTheme="minorEastAsia" w:cstheme="minorEastAsia"/>
          <w:snapToGrid w:val="0"/>
          <w:sz w:val="24"/>
          <w:szCs w:val="24"/>
          <w:highlight w:val="none"/>
        </w:rPr>
        <w:t>乙方</w:t>
      </w:r>
      <w:r>
        <w:rPr>
          <w:rFonts w:hint="eastAsia" w:asciiTheme="minorEastAsia" w:hAnsiTheme="minorEastAsia" w:eastAsiaTheme="minorEastAsia" w:cstheme="minorEastAsia"/>
          <w:sz w:val="24"/>
          <w:szCs w:val="24"/>
          <w:highlight w:val="none"/>
        </w:rPr>
        <w:t>同意按照财政国库支付相关规定执行。</w:t>
      </w:r>
    </w:p>
    <w:p w14:paraId="3D8B4AF8">
      <w:pPr>
        <w:pStyle w:val="3"/>
        <w:adjustRightInd w:val="0"/>
        <w:snapToGrid w:val="0"/>
        <w:spacing w:beforeLines="0" w:afterLines="0"/>
        <w:ind w:firstLine="482" w:firstLineChars="200"/>
        <w:rPr>
          <w:rFonts w:hint="eastAsia" w:asciiTheme="minorEastAsia" w:hAnsiTheme="minorEastAsia" w:eastAsiaTheme="minorEastAsia" w:cstheme="minorEastAsia"/>
          <w:snapToGrid w:val="0"/>
          <w:kern w:val="0"/>
          <w:highlight w:val="none"/>
        </w:rPr>
      </w:pPr>
      <w:r>
        <w:rPr>
          <w:rFonts w:hint="eastAsia" w:asciiTheme="minorEastAsia" w:hAnsiTheme="minorEastAsia" w:eastAsiaTheme="minorEastAsia" w:cstheme="minorEastAsia"/>
          <w:b/>
          <w:snapToGrid w:val="0"/>
          <w:highlight w:val="none"/>
        </w:rPr>
        <w:t>十、质量保证及售后服务</w:t>
      </w:r>
    </w:p>
    <w:p w14:paraId="4404D617">
      <w:pPr>
        <w:snapToGrid w:val="0"/>
        <w:spacing w:line="400" w:lineRule="exact"/>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1.乙方提供维修服务时，应按《机动车维修管理规定》中有关规定及标准执行。</w:t>
      </w:r>
    </w:p>
    <w:p w14:paraId="3B34C508">
      <w:pPr>
        <w:snapToGrid w:val="0"/>
        <w:spacing w:line="400" w:lineRule="exact"/>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2.机动车维修竣工质量检验合格后，乙方的维修质量检验人员应当签发《机动车维修竣工出厂合格证》；未签发机动车维修竣工出厂合格证的机动车，不得交付使用，送修单位可以拒绝付款或接车。</w:t>
      </w:r>
    </w:p>
    <w:p w14:paraId="72288547">
      <w:pPr>
        <w:snapToGrid w:val="0"/>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3.乙方将维修竣工质量检验合格的机动车交给送修单位时，必须将维修材料的产品合格证和更换下的配件交给送修单位。</w:t>
      </w:r>
    </w:p>
    <w:p w14:paraId="63E497DF">
      <w:pPr>
        <w:snapToGrid w:val="0"/>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4.机动车维修质量保证期，从维修竣工出厂之日起计算。在送修单位、乙方约定的质量保证里程或时间内，因维修质量造成的机械事故和经济损失，由乙方全部负责。</w:t>
      </w:r>
    </w:p>
    <w:p w14:paraId="5DB266C1">
      <w:pPr>
        <w:snapToGrid w:val="0"/>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乙方应保证维修所用材料是全新原厂生产的合格正品，并完全符合合同规定的质量和性能的要求(特殊情况经送修方确认同意，乙方可使用副厂配件进行维修，但要明码标价)。乙方应保证使用的维修材料在正确安装、正常使用和保养条件下，在其使用寿命期内应具有满意的性能。维修竣工车辆移交给预算单位后，在质量保证期内，乙方应对由于维修技术、工艺或维修材料的缺陷以及其他由于乙方的原因而发生的任何不足或故障负责，费用由乙方负担。根据法定检验机构的检验结果或者在质量保证里程或时间内，如果证明维修是有缺陷的，包括潜在的缺陷或使用不符合要求的维修材料等，预算单位送修单位有权以书面形式向乙方提出本保证下的索赔。</w:t>
      </w:r>
    </w:p>
    <w:p w14:paraId="0EFB846B">
      <w:pPr>
        <w:snapToGrid w:val="0"/>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6.如果乙方在收到索赔通知后，在合同中所附服务承诺约定的时间内没有采取措施，送修单位可采取必要的补救措施，但风险和费用将由乙方承担。</w:t>
      </w:r>
    </w:p>
    <w:p w14:paraId="3260F427">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7.入围供应商要建立送修单位的公务车辆维修情况记录档案，送修单位每年进行检查，有弄虚作假的、偷工减料、以次充好的等不符合规定的情况将要求整改或不予审定结算。</w:t>
      </w:r>
    </w:p>
    <w:p w14:paraId="460F12AC">
      <w:pPr>
        <w:pStyle w:val="3"/>
        <w:adjustRightInd w:val="0"/>
        <w:snapToGrid w:val="0"/>
        <w:spacing w:beforeLines="0" w:afterLines="0"/>
        <w:ind w:firstLine="482" w:firstLineChars="200"/>
        <w:rPr>
          <w:rFonts w:hint="eastAsia" w:asciiTheme="minorEastAsia" w:hAnsiTheme="minorEastAsia" w:eastAsiaTheme="minorEastAsia" w:cstheme="minorEastAsia"/>
          <w:b/>
          <w:snapToGrid w:val="0"/>
        </w:rPr>
      </w:pPr>
      <w:r>
        <w:rPr>
          <w:rFonts w:hint="eastAsia" w:asciiTheme="minorEastAsia" w:hAnsiTheme="minorEastAsia" w:eastAsiaTheme="minorEastAsia" w:cstheme="minorEastAsia"/>
          <w:b/>
          <w:snapToGrid w:val="0"/>
        </w:rPr>
        <w:t>十一、第二阶段成交供应商的确定方式</w:t>
      </w:r>
    </w:p>
    <w:p w14:paraId="2C00929D">
      <w:pPr>
        <w:snapToGrid w:val="0"/>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第二阶段成交供应商，由采购人从第一阶段入围供应商中直接选定。采购人可以根据实际需要选择任一采购包的入围供应商，并向其采购相应的服务。</w:t>
      </w:r>
    </w:p>
    <w:p w14:paraId="148DBFB0">
      <w:pPr>
        <w:pStyle w:val="3"/>
        <w:adjustRightInd w:val="0"/>
        <w:snapToGrid w:val="0"/>
        <w:spacing w:beforeLines="0" w:afterLines="0"/>
        <w:ind w:firstLine="482" w:firstLineChars="200"/>
        <w:rPr>
          <w:rFonts w:hint="eastAsia" w:asciiTheme="minorEastAsia" w:hAnsiTheme="minorEastAsia" w:eastAsiaTheme="minorEastAsia" w:cstheme="minorEastAsia"/>
          <w:b/>
          <w:snapToGrid w:val="0"/>
        </w:rPr>
      </w:pPr>
      <w:r>
        <w:rPr>
          <w:rFonts w:hint="eastAsia" w:asciiTheme="minorEastAsia" w:hAnsiTheme="minorEastAsia" w:eastAsiaTheme="minorEastAsia" w:cstheme="minorEastAsia"/>
          <w:b/>
          <w:snapToGrid w:val="0"/>
        </w:rPr>
        <w:t>十</w:t>
      </w:r>
      <w:r>
        <w:rPr>
          <w:rFonts w:hint="eastAsia" w:asciiTheme="minorEastAsia" w:hAnsiTheme="minorEastAsia" w:eastAsiaTheme="minorEastAsia" w:cstheme="minorEastAsia"/>
          <w:b/>
          <w:snapToGrid w:val="0"/>
          <w:lang w:val="en-US" w:eastAsia="zh-CN"/>
        </w:rPr>
        <w:t>二</w:t>
      </w:r>
      <w:r>
        <w:rPr>
          <w:rFonts w:hint="eastAsia" w:asciiTheme="minorEastAsia" w:hAnsiTheme="minorEastAsia" w:eastAsiaTheme="minorEastAsia" w:cstheme="minorEastAsia"/>
          <w:b/>
          <w:snapToGrid w:val="0"/>
        </w:rPr>
        <w:t>、不可抗力事件处理</w:t>
      </w:r>
    </w:p>
    <w:p w14:paraId="73101472">
      <w:pPr>
        <w:snapToGrid w:val="0"/>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1.在合同有效期内，任何一方因不可抗力事件导致不能履行合同，则合同履行期可延长，其延长期与不可抗力影响期相同。</w:t>
      </w:r>
    </w:p>
    <w:p w14:paraId="01632F1E">
      <w:pPr>
        <w:snapToGrid w:val="0"/>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2.不可抗力事件发生后，应立即通知对方，并寄送有关权威机构出具的证明。</w:t>
      </w:r>
    </w:p>
    <w:p w14:paraId="70C09DC2">
      <w:pPr>
        <w:snapToGrid w:val="0"/>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3.不可抗力事件延续120天以上，双方应通过友好协商，确定是否继续履行合同。</w:t>
      </w:r>
    </w:p>
    <w:p w14:paraId="41E61C46">
      <w:pPr>
        <w:pStyle w:val="3"/>
        <w:adjustRightInd w:val="0"/>
        <w:snapToGrid w:val="0"/>
        <w:spacing w:beforeLines="0" w:afterLines="0"/>
        <w:ind w:firstLine="482" w:firstLineChars="200"/>
        <w:rPr>
          <w:rFonts w:hint="eastAsia" w:asciiTheme="minorEastAsia" w:hAnsiTheme="minorEastAsia" w:eastAsiaTheme="minorEastAsia" w:cstheme="minorEastAsia"/>
          <w:b/>
          <w:snapToGrid w:val="0"/>
        </w:rPr>
      </w:pPr>
      <w:r>
        <w:rPr>
          <w:rFonts w:hint="eastAsia" w:asciiTheme="minorEastAsia" w:hAnsiTheme="minorEastAsia" w:eastAsiaTheme="minorEastAsia" w:cstheme="minorEastAsia"/>
          <w:b/>
          <w:snapToGrid w:val="0"/>
        </w:rPr>
        <w:t>十</w:t>
      </w:r>
      <w:r>
        <w:rPr>
          <w:rFonts w:hint="eastAsia" w:asciiTheme="minorEastAsia" w:hAnsiTheme="minorEastAsia" w:eastAsiaTheme="minorEastAsia" w:cstheme="minorEastAsia"/>
          <w:b/>
          <w:snapToGrid w:val="0"/>
          <w:lang w:val="en-US" w:eastAsia="zh-CN"/>
        </w:rPr>
        <w:t>三</w:t>
      </w:r>
      <w:r>
        <w:rPr>
          <w:rFonts w:hint="eastAsia" w:asciiTheme="minorEastAsia" w:hAnsiTheme="minorEastAsia" w:eastAsiaTheme="minorEastAsia" w:cstheme="minorEastAsia"/>
          <w:b/>
          <w:snapToGrid w:val="0"/>
        </w:rPr>
        <w:t>、诉讼</w:t>
      </w:r>
    </w:p>
    <w:p w14:paraId="2378F672">
      <w:pPr>
        <w:snapToGrid w:val="0"/>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双方在执行合同中所发生的一切争议，应通过协商解决。如协商不成，可向甲方所在地仲裁委员会申请解决</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rPr>
        <w:t>向甲方所在地法院起诉。</w:t>
      </w:r>
    </w:p>
    <w:p w14:paraId="22E28DAC">
      <w:pPr>
        <w:pStyle w:val="3"/>
        <w:adjustRightInd w:val="0"/>
        <w:snapToGrid w:val="0"/>
        <w:spacing w:beforeLines="0" w:afterLines="0"/>
        <w:ind w:firstLine="482" w:firstLineChars="200"/>
        <w:rPr>
          <w:rFonts w:hint="eastAsia" w:asciiTheme="minorEastAsia" w:hAnsiTheme="minorEastAsia" w:eastAsiaTheme="minorEastAsia" w:cstheme="minorEastAsia"/>
          <w:b/>
          <w:snapToGrid w:val="0"/>
        </w:rPr>
      </w:pPr>
      <w:r>
        <w:rPr>
          <w:rFonts w:hint="eastAsia" w:asciiTheme="minorEastAsia" w:hAnsiTheme="minorEastAsia" w:eastAsiaTheme="minorEastAsia" w:cstheme="minorEastAsia"/>
          <w:b/>
          <w:snapToGrid w:val="0"/>
        </w:rPr>
        <w:t>十</w:t>
      </w:r>
      <w:r>
        <w:rPr>
          <w:rFonts w:hint="eastAsia" w:asciiTheme="minorEastAsia" w:hAnsiTheme="minorEastAsia" w:eastAsiaTheme="minorEastAsia" w:cstheme="minorEastAsia"/>
          <w:b/>
          <w:snapToGrid w:val="0"/>
          <w:lang w:val="en-US" w:eastAsia="zh-CN"/>
        </w:rPr>
        <w:t>四</w:t>
      </w:r>
      <w:r>
        <w:rPr>
          <w:rFonts w:hint="eastAsia" w:asciiTheme="minorEastAsia" w:hAnsiTheme="minorEastAsia" w:eastAsiaTheme="minorEastAsia" w:cstheme="minorEastAsia"/>
          <w:b/>
          <w:snapToGrid w:val="0"/>
        </w:rPr>
        <w:t>、协议生效及其它</w:t>
      </w:r>
    </w:p>
    <w:p w14:paraId="5FE215FF">
      <w:pPr>
        <w:snapToGrid w:val="0"/>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1.协议经甲、乙双方加盖单位公章后生效。</w:t>
      </w:r>
    </w:p>
    <w:p w14:paraId="763ACD54">
      <w:pPr>
        <w:snapToGrid w:val="0"/>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2.解除协议应向财政部门备案。</w:t>
      </w:r>
    </w:p>
    <w:p w14:paraId="5F9866CC">
      <w:pPr>
        <w:snapToGrid w:val="0"/>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3.如有最新政策规定，甲乙双方按最新政策规定执行，不再签订补充协议。</w:t>
      </w:r>
    </w:p>
    <w:p w14:paraId="2136E3AA">
      <w:pPr>
        <w:snapToGrid w:val="0"/>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4.征集公告、响应文件与本协议具有同等法律效力。</w:t>
      </w:r>
    </w:p>
    <w:p w14:paraId="7B74AAAC">
      <w:pPr>
        <w:snapToGrid w:val="0"/>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5.本协议未尽事宜，遵照《中华人民共和国民法典》有关条文执行。</w:t>
      </w:r>
    </w:p>
    <w:p w14:paraId="47943A49">
      <w:pPr>
        <w:pStyle w:val="3"/>
        <w:adjustRightInd w:val="0"/>
        <w:snapToGrid w:val="0"/>
        <w:spacing w:before="156" w:after="156"/>
        <w:ind w:firstLine="482" w:firstLineChars="200"/>
        <w:rPr>
          <w:rFonts w:asciiTheme="minorEastAsia" w:hAnsiTheme="minorEastAsia" w:eastAsiaTheme="minorEastAsia" w:cstheme="minorEastAsia"/>
          <w:b/>
          <w:snapToGrid w:val="0"/>
        </w:rPr>
      </w:pPr>
      <w:r>
        <w:rPr>
          <w:rFonts w:hint="eastAsia" w:asciiTheme="minorEastAsia" w:hAnsiTheme="minorEastAsia" w:eastAsiaTheme="minorEastAsia" w:cstheme="minorEastAsia"/>
          <w:b/>
          <w:snapToGrid w:val="0"/>
        </w:rPr>
        <w:t>（以下无正文）</w:t>
      </w:r>
    </w:p>
    <w:p w14:paraId="201FAB35">
      <w:pPr>
        <w:pStyle w:val="3"/>
        <w:adjustRightInd w:val="0"/>
        <w:snapToGrid w:val="0"/>
        <w:spacing w:before="156" w:after="156"/>
        <w:ind w:firstLine="482" w:firstLineChars="200"/>
        <w:rPr>
          <w:rFonts w:hint="eastAsia" w:asciiTheme="minorEastAsia" w:hAnsiTheme="minorEastAsia" w:eastAsiaTheme="minorEastAsia" w:cstheme="minorEastAsia"/>
          <w:b/>
          <w:snapToGrid w:val="0"/>
        </w:rPr>
      </w:pPr>
    </w:p>
    <w:p w14:paraId="65EA8E3F">
      <w:pPr>
        <w:tabs>
          <w:tab w:val="left" w:pos="630"/>
          <w:tab w:val="left" w:pos="5250"/>
        </w:tabs>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甲方（公章）：                     </w:t>
      </w:r>
      <w:r>
        <w:rPr>
          <w:rFonts w:asciiTheme="minorEastAsia" w:hAnsiTheme="minorEastAsia" w:eastAsiaTheme="minorEastAsia" w:cstheme="minorEastAsia"/>
          <w:sz w:val="24"/>
          <w:szCs w:val="24"/>
        </w:rPr>
        <w:t xml:space="preserve">    </w:t>
      </w:r>
    </w:p>
    <w:p w14:paraId="42AD6C29">
      <w:pPr>
        <w:tabs>
          <w:tab w:val="left" w:pos="630"/>
          <w:tab w:val="left" w:pos="5250"/>
        </w:tabs>
        <w:snapToGrid w:val="0"/>
        <w:spacing w:line="400" w:lineRule="exact"/>
        <w:ind w:firstLine="480" w:firstLineChars="200"/>
        <w:rPr>
          <w:rFonts w:asciiTheme="minorEastAsia" w:hAnsiTheme="minorEastAsia" w:eastAsiaTheme="minorEastAsia" w:cstheme="minorEastAsia"/>
          <w:sz w:val="24"/>
          <w:szCs w:val="24"/>
        </w:rPr>
      </w:pPr>
    </w:p>
    <w:p w14:paraId="6786D69B">
      <w:pPr>
        <w:tabs>
          <w:tab w:val="left" w:pos="630"/>
          <w:tab w:val="left" w:pos="5250"/>
        </w:tabs>
        <w:snapToGrid w:val="0"/>
        <w:spacing w:line="400" w:lineRule="exact"/>
        <w:ind w:firstLine="480" w:firstLineChars="200"/>
        <w:rPr>
          <w:rFonts w:asciiTheme="minorEastAsia" w:hAnsiTheme="minorEastAsia" w:eastAsiaTheme="minorEastAsia" w:cstheme="minorEastAsia"/>
          <w:sz w:val="24"/>
          <w:szCs w:val="24"/>
        </w:rPr>
      </w:pPr>
    </w:p>
    <w:p w14:paraId="013B9533">
      <w:pPr>
        <w:tabs>
          <w:tab w:val="left" w:pos="630"/>
          <w:tab w:val="left" w:pos="5250"/>
        </w:tabs>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乙方（公章）：                      </w:t>
      </w:r>
    </w:p>
    <w:p w14:paraId="4DA3FF77">
      <w:pPr>
        <w:tabs>
          <w:tab w:val="left" w:pos="630"/>
          <w:tab w:val="left" w:pos="5250"/>
        </w:tabs>
        <w:snapToGrid w:val="0"/>
        <w:spacing w:line="400" w:lineRule="exact"/>
        <w:ind w:firstLine="482" w:firstLineChars="200"/>
        <w:rPr>
          <w:rFonts w:hint="eastAsia" w:asciiTheme="minorEastAsia" w:hAnsiTheme="minorEastAsia" w:eastAsiaTheme="minorEastAsia" w:cstheme="minorEastAsia"/>
          <w:b/>
          <w:bCs/>
          <w:sz w:val="24"/>
          <w:szCs w:val="24"/>
        </w:rPr>
      </w:pPr>
    </w:p>
    <w:p w14:paraId="794C960C">
      <w:pPr>
        <w:spacing w:line="400" w:lineRule="exact"/>
        <w:ind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 xml:space="preserve">签订时间：   </w:t>
      </w:r>
      <w:r>
        <w:rPr>
          <w:rFonts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Cs/>
          <w:sz w:val="24"/>
          <w:szCs w:val="24"/>
        </w:rPr>
        <w:t xml:space="preserve">年   月  </w:t>
      </w:r>
      <w:r>
        <w:rPr>
          <w:rFonts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Cs/>
          <w:sz w:val="24"/>
          <w:szCs w:val="24"/>
        </w:rPr>
        <w:t>日</w:t>
      </w:r>
    </w:p>
    <w:sectPr>
      <w:footerReference r:id="rId3" w:type="default"/>
      <w:pgSz w:w="11906" w:h="16838"/>
      <w:pgMar w:top="1418" w:right="1418" w:bottom="1418" w:left="141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6639058"/>
      <w:docPartObj>
        <w:docPartGallery w:val="autotext"/>
      </w:docPartObj>
    </w:sdtPr>
    <w:sdtContent>
      <w:sdt>
        <w:sdtPr>
          <w:id w:val="-1705238520"/>
          <w:docPartObj>
            <w:docPartGallery w:val="autotext"/>
          </w:docPartObj>
        </w:sdtPr>
        <w:sdtContent>
          <w:p w14:paraId="3573B239">
            <w:pPr>
              <w:pStyle w:val="4"/>
              <w:jc w:val="center"/>
              <w:rPr>
                <w:rFonts w:hint="eastAsia"/>
              </w:rPr>
            </w:pPr>
            <w:r>
              <w:rPr>
                <w:rFonts w:hint="eastAsia" w:ascii="仿宋_GB2312" w:eastAsia="仿宋_GB2312"/>
                <w:sz w:val="24"/>
                <w:szCs w:val="24"/>
                <w:lang w:val="zh-CN"/>
              </w:rPr>
              <w:t xml:space="preserve"> </w:t>
            </w:r>
            <w:r>
              <w:rPr>
                <w:rFonts w:hint="eastAsia" w:ascii="仿宋_GB2312" w:eastAsia="仿宋_GB2312"/>
                <w:bCs/>
                <w:sz w:val="24"/>
                <w:szCs w:val="24"/>
              </w:rPr>
              <w:fldChar w:fldCharType="begin"/>
            </w:r>
            <w:r>
              <w:rPr>
                <w:rFonts w:hint="eastAsia" w:ascii="仿宋_GB2312" w:eastAsia="仿宋_GB2312"/>
                <w:bCs/>
                <w:sz w:val="24"/>
                <w:szCs w:val="24"/>
              </w:rPr>
              <w:instrText xml:space="preserve">PAGE</w:instrText>
            </w:r>
            <w:r>
              <w:rPr>
                <w:rFonts w:hint="eastAsia" w:ascii="仿宋_GB2312" w:eastAsia="仿宋_GB2312"/>
                <w:bCs/>
                <w:sz w:val="24"/>
                <w:szCs w:val="24"/>
              </w:rPr>
              <w:fldChar w:fldCharType="separate"/>
            </w:r>
            <w:r>
              <w:rPr>
                <w:rFonts w:ascii="仿宋_GB2312" w:eastAsia="仿宋_GB2312"/>
                <w:bCs/>
                <w:sz w:val="24"/>
                <w:szCs w:val="24"/>
              </w:rPr>
              <w:t>4</w:t>
            </w:r>
            <w:r>
              <w:rPr>
                <w:rFonts w:hint="eastAsia" w:ascii="仿宋_GB2312" w:eastAsia="仿宋_GB2312"/>
                <w:bCs/>
                <w:sz w:val="24"/>
                <w:szCs w:val="24"/>
              </w:rPr>
              <w:fldChar w:fldCharType="end"/>
            </w:r>
            <w:r>
              <w:rPr>
                <w:rFonts w:hint="eastAsia" w:ascii="仿宋_GB2312" w:eastAsia="仿宋_GB2312"/>
                <w:sz w:val="24"/>
                <w:szCs w:val="24"/>
                <w:lang w:val="zh-CN"/>
              </w:rPr>
              <w:t xml:space="preserve"> / </w:t>
            </w:r>
            <w:r>
              <w:rPr>
                <w:rFonts w:hint="eastAsia" w:ascii="仿宋_GB2312" w:eastAsia="仿宋_GB2312"/>
                <w:bCs/>
                <w:sz w:val="24"/>
                <w:szCs w:val="24"/>
              </w:rPr>
              <w:fldChar w:fldCharType="begin"/>
            </w:r>
            <w:r>
              <w:rPr>
                <w:rFonts w:hint="eastAsia" w:ascii="仿宋_GB2312" w:eastAsia="仿宋_GB2312"/>
                <w:bCs/>
                <w:sz w:val="24"/>
                <w:szCs w:val="24"/>
              </w:rPr>
              <w:instrText xml:space="preserve">NUMPAGES</w:instrText>
            </w:r>
            <w:r>
              <w:rPr>
                <w:rFonts w:hint="eastAsia" w:ascii="仿宋_GB2312" w:eastAsia="仿宋_GB2312"/>
                <w:bCs/>
                <w:sz w:val="24"/>
                <w:szCs w:val="24"/>
              </w:rPr>
              <w:fldChar w:fldCharType="separate"/>
            </w:r>
            <w:r>
              <w:rPr>
                <w:rFonts w:ascii="仿宋_GB2312" w:eastAsia="仿宋_GB2312"/>
                <w:bCs/>
                <w:sz w:val="24"/>
                <w:szCs w:val="24"/>
              </w:rPr>
              <w:t>4</w:t>
            </w:r>
            <w:r>
              <w:rPr>
                <w:rFonts w:hint="eastAsia" w:ascii="仿宋_GB2312" w:eastAsia="仿宋_GB2312"/>
                <w:bCs/>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xNTgzM2YzMGRjYzExNDE2MDZiZDUwYjQ3OTBmNWIifQ=="/>
  </w:docVars>
  <w:rsids>
    <w:rsidRoot w:val="3D4B0B77"/>
    <w:rsid w:val="00661ABA"/>
    <w:rsid w:val="009D4512"/>
    <w:rsid w:val="00BB22D6"/>
    <w:rsid w:val="00C53E84"/>
    <w:rsid w:val="00E91134"/>
    <w:rsid w:val="014F064E"/>
    <w:rsid w:val="03340491"/>
    <w:rsid w:val="0D5B6BFB"/>
    <w:rsid w:val="119B497D"/>
    <w:rsid w:val="14A916A1"/>
    <w:rsid w:val="29992EAA"/>
    <w:rsid w:val="325C611B"/>
    <w:rsid w:val="3D4B0B77"/>
    <w:rsid w:val="47C25D1D"/>
    <w:rsid w:val="588404F9"/>
    <w:rsid w:val="617D6C81"/>
    <w:rsid w:val="69682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after="200" w:line="276" w:lineRule="auto"/>
    </w:pPr>
    <w:rPr>
      <w:rFonts w:ascii="微软雅黑" w:hAnsi="Times New Roman" w:eastAsia="微软雅黑" w:cs="微软雅黑"/>
      <w:color w:val="000000"/>
      <w:sz w:val="24"/>
      <w:szCs w:val="24"/>
      <w:lang w:val="en-US" w:eastAsia="zh-CN" w:bidi="ar-SA"/>
    </w:rPr>
  </w:style>
  <w:style w:type="paragraph" w:styleId="3">
    <w:name w:val="Plain Text"/>
    <w:basedOn w:val="1"/>
    <w:qFormat/>
    <w:uiPriority w:val="0"/>
    <w:pPr>
      <w:spacing w:beforeLines="50" w:afterLines="50" w:line="400" w:lineRule="exact"/>
    </w:pPr>
    <w:rPr>
      <w:rFonts w:ascii="宋体" w:hAnsi="Courier New"/>
      <w:sz w:val="24"/>
      <w:szCs w:val="24"/>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Calibri" w:hAnsi="Calibri"/>
      <w:kern w:val="2"/>
      <w:sz w:val="18"/>
      <w:szCs w:val="18"/>
    </w:rPr>
  </w:style>
  <w:style w:type="character" w:customStyle="1" w:styleId="9">
    <w:name w:val="页脚 Char"/>
    <w:basedOn w:val="7"/>
    <w:link w:val="4"/>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2618</Words>
  <Characters>2690</Characters>
  <Lines>20</Lines>
  <Paragraphs>5</Paragraphs>
  <TotalTime>0</TotalTime>
  <ScaleCrop>false</ScaleCrop>
  <LinksUpToDate>false</LinksUpToDate>
  <CharactersWithSpaces>2797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2023-08-08T12:48:00Z</dcterms:created>
  <dc:creator>NTKO</dc:creator>
  <cp:lastModifiedBy>陈晨</cp:lastModifiedBy>
  <dcterms:modified xsi:type="dcterms:W3CDTF">2025-03-05T02:24:36Z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8C8F41B84EE141B5BD0FC4FBFAB14F12_12</vt:lpwstr>
  </property>
  <property fmtid="{D5CDD505-2E9C-101B-9397-08002B2CF9AE}" pid="4" name="KSOTemplateDocerSaveRecord">
    <vt:lpwstr>eyJoZGlkIjoiNDYxNTgzM2YzMGRjYzExNDE2MDZiZDUwYjQ3OTBmNWIiLCJ1c2VySWQiOiI0Mjg4ODk0NTgifQ==</vt:lpwstr>
  </property>
</Properties>
</file>