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宋体" w:hAnsi="宋体" w:eastAsia="宋体" w:cs="宋体"/>
          <w:b/>
          <w:color w:val="auto"/>
          <w:sz w:val="36"/>
          <w:szCs w:val="36"/>
          <w:lang w:val="en-US" w:eastAsia="zh-CN"/>
        </w:rPr>
      </w:pPr>
      <w:r>
        <w:rPr>
          <w:rFonts w:hint="eastAsia" w:ascii="宋体" w:hAnsi="宋体" w:cs="宋体"/>
          <w:b/>
          <w:color w:val="auto"/>
          <w:sz w:val="32"/>
          <w:szCs w:val="32"/>
        </w:rPr>
        <w:t>附件</w:t>
      </w:r>
      <w:r>
        <w:rPr>
          <w:rFonts w:hint="eastAsia" w:cs="宋体"/>
          <w:b/>
          <w:color w:val="auto"/>
          <w:sz w:val="32"/>
          <w:szCs w:val="32"/>
          <w:lang w:val="en-US" w:eastAsia="zh-CN"/>
        </w:rPr>
        <w:t>3</w:t>
      </w:r>
      <w:r>
        <w:rPr>
          <w:rFonts w:hint="eastAsia" w:ascii="宋体" w:hAnsi="宋体" w:cs="宋体"/>
          <w:b/>
          <w:color w:val="auto"/>
          <w:sz w:val="32"/>
          <w:szCs w:val="32"/>
        </w:rPr>
        <w:t>：</w:t>
      </w:r>
      <w:r>
        <w:rPr>
          <w:rFonts w:hint="eastAsia" w:ascii="宋体" w:hAnsi="宋体" w:cs="宋体"/>
          <w:b/>
          <w:bCs/>
          <w:color w:val="auto"/>
          <w:sz w:val="36"/>
          <w:szCs w:val="36"/>
        </w:rPr>
        <w:t>2025-2026年度</w:t>
      </w:r>
      <w:r>
        <w:rPr>
          <w:rFonts w:hint="eastAsia" w:ascii="宋体" w:hAnsi="宋体" w:cs="宋体"/>
          <w:b/>
          <w:bCs/>
          <w:color w:val="auto"/>
          <w:sz w:val="36"/>
          <w:szCs w:val="36"/>
          <w:lang w:eastAsia="zh-CN"/>
        </w:rPr>
        <w:t>平湖市</w:t>
      </w:r>
      <w:r>
        <w:rPr>
          <w:rFonts w:hint="eastAsia" w:ascii="宋体" w:hAnsi="宋体" w:cs="宋体"/>
          <w:b/>
          <w:bCs/>
          <w:color w:val="auto"/>
          <w:sz w:val="36"/>
          <w:szCs w:val="36"/>
        </w:rPr>
        <w:t>行政事业单位物业管理服务开放式框架协议</w:t>
      </w:r>
      <w:r>
        <w:rPr>
          <w:rFonts w:hint="eastAsia" w:ascii="宋体" w:hAnsi="宋体" w:cs="宋体"/>
          <w:b/>
          <w:bCs/>
          <w:color w:val="auto"/>
          <w:sz w:val="36"/>
          <w:szCs w:val="36"/>
          <w:lang w:val="en-US" w:eastAsia="zh-CN"/>
        </w:rPr>
        <w:t>指引</w:t>
      </w:r>
    </w:p>
    <w:p>
      <w:pPr>
        <w:snapToGrid w:val="0"/>
        <w:spacing w:line="360" w:lineRule="auto"/>
        <w:ind w:firstLine="480" w:firstLineChars="200"/>
        <w:rPr>
          <w:rFonts w:ascii="宋体" w:hAnsi="宋体" w:cs="宋体"/>
          <w:bCs/>
          <w:color w:val="auto"/>
          <w:sz w:val="24"/>
        </w:rPr>
      </w:pPr>
    </w:p>
    <w:p>
      <w:pPr>
        <w:snapToGrid w:val="0"/>
        <w:spacing w:line="360" w:lineRule="auto"/>
        <w:ind w:firstLine="480" w:firstLineChars="200"/>
        <w:rPr>
          <w:rFonts w:hint="default" w:ascii="宋体" w:hAnsi="宋体" w:eastAsia="宋体" w:cs="宋体"/>
          <w:bCs/>
          <w:color w:val="auto"/>
          <w:sz w:val="24"/>
          <w:lang w:val="en-US" w:eastAsia="zh-CN"/>
        </w:rPr>
      </w:pPr>
      <w:r>
        <w:rPr>
          <w:rFonts w:hint="eastAsia" w:ascii="宋体" w:hAnsi="宋体" w:cs="宋体"/>
          <w:bCs/>
          <w:color w:val="auto"/>
          <w:sz w:val="24"/>
        </w:rPr>
        <w:t>项目编号：</w:t>
      </w:r>
      <w:r>
        <w:rPr>
          <w:rFonts w:hint="eastAsia" w:ascii="宋体" w:hAnsi="宋体" w:cs="宋体"/>
          <w:bCs/>
          <w:color w:val="auto"/>
          <w:sz w:val="24"/>
          <w:lang w:eastAsia="zh-CN"/>
        </w:rPr>
        <w:t>平政采招2025-</w:t>
      </w:r>
      <w:r>
        <w:rPr>
          <w:rFonts w:hint="eastAsia" w:ascii="宋体" w:hAnsi="宋体" w:cs="宋体"/>
          <w:bCs/>
          <w:color w:val="auto"/>
          <w:sz w:val="24"/>
          <w:lang w:val="en-US" w:eastAsia="zh-CN"/>
        </w:rPr>
        <w:t>14</w:t>
      </w:r>
    </w:p>
    <w:p>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项目名称：2025-2026年度</w:t>
      </w:r>
      <w:r>
        <w:rPr>
          <w:rFonts w:hint="eastAsia" w:ascii="宋体" w:hAnsi="宋体" w:cs="宋体"/>
          <w:bCs/>
          <w:color w:val="auto"/>
          <w:sz w:val="24"/>
          <w:lang w:eastAsia="zh-CN"/>
        </w:rPr>
        <w:t>平湖市</w:t>
      </w:r>
      <w:r>
        <w:rPr>
          <w:rFonts w:hint="eastAsia" w:ascii="宋体" w:hAnsi="宋体" w:cs="宋体"/>
          <w:bCs/>
          <w:color w:val="auto"/>
          <w:sz w:val="24"/>
        </w:rPr>
        <w:t xml:space="preserve">行政事业单位物业管理服务开放式框架协议采购                                </w:t>
      </w:r>
    </w:p>
    <w:p>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征集人（甲方）：</w:t>
      </w:r>
      <w:r>
        <w:rPr>
          <w:rFonts w:hint="eastAsia" w:ascii="宋体" w:hAnsi="宋体" w:cs="宋体"/>
          <w:bCs/>
          <w:color w:val="auto"/>
          <w:sz w:val="24"/>
          <w:lang w:eastAsia="zh-CN"/>
        </w:rPr>
        <w:t>平湖市公共资源交易中心</w:t>
      </w:r>
      <w:r>
        <w:rPr>
          <w:rFonts w:hint="eastAsia" w:ascii="宋体" w:hAnsi="宋体" w:cs="宋体"/>
          <w:bCs/>
          <w:color w:val="auto"/>
          <w:sz w:val="24"/>
        </w:rPr>
        <w:t xml:space="preserve">                              </w:t>
      </w:r>
    </w:p>
    <w:p>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供应商（乙方）：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w:t>
      </w:r>
      <w:r>
        <w:rPr>
          <w:rFonts w:hint="eastAsia" w:ascii="宋体" w:hAnsi="宋体" w:cs="宋体"/>
          <w:bCs/>
          <w:color w:val="auto"/>
          <w:sz w:val="24"/>
        </w:rPr>
        <w:t>2025-2026年度</w:t>
      </w:r>
      <w:r>
        <w:rPr>
          <w:rFonts w:hint="eastAsia" w:ascii="宋体" w:hAnsi="宋体" w:cs="宋体"/>
          <w:bCs/>
          <w:color w:val="auto"/>
          <w:sz w:val="24"/>
          <w:lang w:eastAsia="zh-CN"/>
        </w:rPr>
        <w:t>平湖市</w:t>
      </w:r>
      <w:r>
        <w:rPr>
          <w:rFonts w:hint="eastAsia" w:ascii="宋体" w:hAnsi="宋体" w:cs="宋体"/>
          <w:bCs/>
          <w:color w:val="auto"/>
          <w:sz w:val="24"/>
        </w:rPr>
        <w:t>行政事业单位物业管理服</w:t>
      </w:r>
      <w:bookmarkStart w:id="1" w:name="_GoBack"/>
      <w:bookmarkEnd w:id="1"/>
      <w:r>
        <w:rPr>
          <w:rFonts w:hint="eastAsia" w:ascii="宋体" w:hAnsi="宋体" w:cs="宋体"/>
          <w:bCs/>
          <w:color w:val="auto"/>
          <w:sz w:val="24"/>
        </w:rPr>
        <w:t>务开放式框架协议采购</w:t>
      </w:r>
      <w:r>
        <w:rPr>
          <w:rFonts w:hint="eastAsia" w:ascii="宋体" w:hAnsi="宋体" w:cs="宋体"/>
          <w:color w:val="auto"/>
          <w:sz w:val="24"/>
        </w:rPr>
        <w:t>”（项目编号：</w:t>
      </w:r>
      <w:r>
        <w:rPr>
          <w:rFonts w:hint="eastAsia" w:ascii="宋体" w:hAnsi="宋体" w:cs="宋体"/>
          <w:bCs/>
          <w:color w:val="auto"/>
          <w:sz w:val="24"/>
          <w:lang w:eastAsia="zh-CN"/>
        </w:rPr>
        <w:t>平政采招2025-</w:t>
      </w:r>
      <w:r>
        <w:rPr>
          <w:rFonts w:hint="eastAsia" w:ascii="宋体" w:hAnsi="宋体" w:cs="宋体"/>
          <w:bCs/>
          <w:color w:val="auto"/>
          <w:sz w:val="24"/>
          <w:lang w:val="en-US" w:eastAsia="zh-CN"/>
        </w:rPr>
        <w:t>14</w:t>
      </w:r>
      <w:r>
        <w:rPr>
          <w:rFonts w:hint="eastAsia" w:ascii="宋体" w:hAnsi="宋体" w:cs="宋体"/>
          <w:color w:val="auto"/>
          <w:sz w:val="24"/>
        </w:rPr>
        <w:t>）要求、审核结果和《中华人民共和国政府采购法》、</w:t>
      </w:r>
      <w:r>
        <w:rPr>
          <w:rFonts w:hint="eastAsia" w:ascii="宋体" w:hAnsi="宋体" w:cs="宋体"/>
          <w:color w:val="auto"/>
        </w:rPr>
        <w:t>《</w:t>
      </w:r>
      <w:r>
        <w:rPr>
          <w:rFonts w:hint="eastAsia" w:ascii="宋体" w:hAnsi="宋体" w:cs="宋体"/>
          <w:color w:val="auto"/>
          <w:sz w:val="24"/>
        </w:rPr>
        <w:t>政府采购框架协议采购方式管理暂行办法</w:t>
      </w:r>
      <w:r>
        <w:rPr>
          <w:rFonts w:hint="eastAsia" w:ascii="宋体" w:hAnsi="宋体" w:cs="宋体"/>
          <w:color w:val="auto"/>
        </w:rPr>
        <w:t>》</w:t>
      </w:r>
      <w:r>
        <w:rPr>
          <w:rFonts w:hint="eastAsia" w:ascii="宋体" w:hAnsi="宋体" w:cs="宋体"/>
          <w:color w:val="auto"/>
          <w:sz w:val="24"/>
        </w:rPr>
        <w:t>等相关法律法规要求，双方经协商，达成以下条款，签订本协议。</w:t>
      </w:r>
    </w:p>
    <w:p>
      <w:pPr>
        <w:pStyle w:val="8"/>
        <w:snapToGrid w:val="0"/>
        <w:spacing w:line="360" w:lineRule="auto"/>
        <w:ind w:firstLine="482" w:firstLineChars="200"/>
        <w:rPr>
          <w:rFonts w:hAnsi="宋体" w:cs="宋体"/>
          <w:b/>
          <w:color w:val="auto"/>
          <w:szCs w:val="24"/>
        </w:rPr>
      </w:pPr>
      <w:r>
        <w:rPr>
          <w:rFonts w:hint="eastAsia" w:hAnsi="宋体" w:cs="宋体"/>
          <w:b/>
          <w:color w:val="auto"/>
          <w:szCs w:val="24"/>
        </w:rPr>
        <w:t>1.定义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本协议中的下列术语应解释为：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1.1“协议”系指载明甲方与乙方协利义务的协议，包括所有的附件、附录和其他构成协议的所有文件。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1.2“甲方”系指</w:t>
      </w:r>
      <w:r>
        <w:rPr>
          <w:rFonts w:hint="eastAsia" w:ascii="宋体" w:hAnsi="宋体" w:cs="宋体"/>
          <w:color w:val="auto"/>
          <w:sz w:val="24"/>
          <w:lang w:eastAsia="zh-CN"/>
        </w:rPr>
        <w:t>平湖市公共资源交易中心</w:t>
      </w:r>
      <w:r>
        <w:rPr>
          <w:rFonts w:hint="eastAsia" w:ascii="宋体" w:hAnsi="宋体" w:cs="宋体"/>
          <w:color w:val="auto"/>
          <w:sz w:val="24"/>
        </w:rPr>
        <w:t>。甲方不作为协议一方具体参加合同的实际履行。在实际履行中由采购人与乙方另行签订政府采购物业管理服务合同。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1.3“乙方”系指本次为</w:t>
      </w:r>
      <w:r>
        <w:rPr>
          <w:rFonts w:hint="eastAsia" w:ascii="宋体" w:hAnsi="宋体" w:cs="宋体"/>
          <w:color w:val="auto"/>
          <w:sz w:val="24"/>
          <w:lang w:eastAsia="zh-CN"/>
        </w:rPr>
        <w:t>平湖市</w:t>
      </w:r>
      <w:r>
        <w:rPr>
          <w:rFonts w:hint="eastAsia" w:ascii="宋体" w:hAnsi="宋体" w:cs="宋体"/>
          <w:color w:val="auto"/>
          <w:sz w:val="24"/>
        </w:rPr>
        <w:t>各级国家机关、事业单位和团体组织（各级预算单位）提供物业管理服务的供应商。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1.4“采购人”系</w:t>
      </w:r>
      <w:r>
        <w:rPr>
          <w:rFonts w:hint="eastAsia" w:ascii="宋体" w:hAnsi="宋体" w:cs="宋体"/>
          <w:color w:val="auto"/>
          <w:sz w:val="24"/>
          <w:lang w:eastAsia="zh-CN"/>
        </w:rPr>
        <w:t>平湖市</w:t>
      </w:r>
      <w:r>
        <w:rPr>
          <w:rFonts w:hint="eastAsia" w:ascii="宋体" w:hAnsi="宋体" w:cs="宋体"/>
          <w:color w:val="auto"/>
          <w:sz w:val="24"/>
        </w:rPr>
        <w:t>国家机关、事业单位和团体组织需要物业管理服务的单位，与甲方享有同等权力。本协议下述各处所指甲方同时包含采购人。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1.5“征集公告”是指《</w:t>
      </w:r>
      <w:r>
        <w:rPr>
          <w:rFonts w:hint="eastAsia" w:ascii="宋体" w:hAnsi="宋体" w:cs="宋体"/>
          <w:bCs/>
          <w:color w:val="auto"/>
          <w:sz w:val="24"/>
        </w:rPr>
        <w:t>2025-2026年度</w:t>
      </w:r>
      <w:r>
        <w:rPr>
          <w:rFonts w:hint="eastAsia" w:ascii="宋体" w:hAnsi="宋体" w:cs="宋体"/>
          <w:bCs/>
          <w:color w:val="auto"/>
          <w:sz w:val="24"/>
          <w:lang w:eastAsia="zh-CN"/>
        </w:rPr>
        <w:t>平湖市</w:t>
      </w:r>
      <w:r>
        <w:rPr>
          <w:rFonts w:hint="eastAsia" w:ascii="宋体" w:hAnsi="宋体" w:cs="宋体"/>
          <w:bCs/>
          <w:color w:val="auto"/>
          <w:sz w:val="24"/>
        </w:rPr>
        <w:t>行政事业单位物业管理服务开放式框架协议采购项目</w:t>
      </w:r>
      <w:r>
        <w:rPr>
          <w:rFonts w:hint="eastAsia" w:ascii="宋体" w:hAnsi="宋体" w:cs="宋体"/>
          <w:color w:val="auto"/>
          <w:sz w:val="24"/>
        </w:rPr>
        <w:t>征集公告》。</w:t>
      </w:r>
    </w:p>
    <w:p>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2.适用范围及时间</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2.1适用范围：2025-2026年度</w:t>
      </w:r>
      <w:r>
        <w:rPr>
          <w:rFonts w:hint="eastAsia" w:ascii="宋体" w:hAnsi="宋体" w:cs="宋体"/>
          <w:color w:val="auto"/>
          <w:sz w:val="24"/>
          <w:lang w:eastAsia="zh-CN"/>
        </w:rPr>
        <w:t>平湖市</w:t>
      </w:r>
      <w:r>
        <w:rPr>
          <w:rFonts w:hint="eastAsia" w:ascii="宋体" w:hAnsi="宋体" w:cs="宋体"/>
          <w:color w:val="auto"/>
          <w:sz w:val="24"/>
        </w:rPr>
        <w:t>国家机关、事业单位、团体组织采购预算金额在采购限额以下的物业管理服务项目。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2.2框架协议期限：</w:t>
      </w:r>
      <w:r>
        <w:rPr>
          <w:rFonts w:hint="eastAsia" w:cs="宋体"/>
          <w:bCs/>
          <w:color w:val="auto"/>
          <w:sz w:val="24"/>
        </w:rPr>
        <w:t>2025年3月1日起至2027年2月28日止。</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3.项目承诺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3.1业务开展范围</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（1）甲方确定乙方为2025-2026年度</w:t>
      </w:r>
      <w:r>
        <w:rPr>
          <w:rFonts w:hint="eastAsia" w:ascii="宋体" w:hAnsi="宋体" w:cs="宋体"/>
          <w:color w:val="auto"/>
          <w:sz w:val="24"/>
          <w:lang w:eastAsia="zh-CN"/>
        </w:rPr>
        <w:t>平湖市</w:t>
      </w:r>
      <w:r>
        <w:rPr>
          <w:rFonts w:hint="eastAsia" w:ascii="宋体" w:hAnsi="宋体" w:cs="宋体"/>
          <w:color w:val="auto"/>
          <w:sz w:val="24"/>
        </w:rPr>
        <w:t>行政事业单位物业管理服务项目服务企业。乙方提供采购人的物业管理服务（包括房屋维护服务、公用设备设施维护服务、保洁服务、保安服务、绿化服务、会议服务等）。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（2）乙方应按照物业管理服务有关行业规定、相关法律法规与采购人签署相关政府采购物业管理服务合同，提供物业管理服务范围及标准不应低于本框架协议约定要求。</w:t>
      </w:r>
    </w:p>
    <w:p>
      <w:pPr>
        <w:snapToGrid w:val="0"/>
        <w:spacing w:line="360" w:lineRule="auto"/>
        <w:ind w:firstLine="480" w:firstLineChars="200"/>
        <w:rPr>
          <w:rFonts w:ascii="宋体" w:hAnsi="宋体" w:cs="宋体"/>
          <w:color w:val="auto"/>
          <w:sz w:val="24"/>
        </w:rPr>
      </w:pPr>
      <w:bookmarkStart w:id="0" w:name="OLE_LINK1"/>
      <w:r>
        <w:rPr>
          <w:rFonts w:hint="eastAsia" w:ascii="宋体" w:hAnsi="宋体" w:cs="宋体"/>
          <w:color w:val="auto"/>
          <w:sz w:val="24"/>
        </w:rPr>
        <w:t>3.2服务价格</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乙方应按照承诺的价格，按要求在结算时向采购人提供发票、物业管理服务合同等。乙方应通过政采云平台起草物业管理服务合同后报采购人审核，双方确认完成在系统电子备案后按照财政部门规定进行结算。</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3.3费用结算</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结算时乙方应向采购人提供下列单据：正式的项目填写全面、发票、政府采购物业管理服务合同。具体市财政部门公布的文件为准。</w:t>
      </w:r>
    </w:p>
    <w:bookmarkEnd w:id="0"/>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 甲方的权利和义务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 “协议的终止”中的内容。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3.4.2甲方对采购人拖欠乙方费用不承担任何连带责任。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3.4.3对乙方业务开展和履行合同情况，甲方有权在浙江政府采购网或其他媒体上公布。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3.5.乙方的权利和义务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3.5.1乙方的权利</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（2）乙方有权对甲方在日常管理工作中和采购人在服务过程中的不正当要求和违规行为进行投诉，并要求有关部门做出处理。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3.5.2乙方的义务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3.5.2.1乙方应严格遵守国家对消防安全和食品安全的相关要求。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3.5.2.2乙方应严格遵守国家法律、法规和相关规定，诚实、守信，合法经营，自觉维护采购人的利益，全面履行承诺，杜绝不正当竞争行为，优先服务采购人，根据采购人的要求，向采购人提供申请文件承诺服务范围内的物业管理服务，应不低于</w:t>
      </w:r>
      <w:r>
        <w:rPr>
          <w:rFonts w:hint="eastAsia" w:ascii="宋体" w:hAnsi="宋体" w:cs="宋体"/>
          <w:color w:val="auto"/>
          <w:sz w:val="24"/>
          <w:lang w:eastAsia="zh-CN"/>
        </w:rPr>
        <w:t>平湖市</w:t>
      </w:r>
      <w:r>
        <w:rPr>
          <w:rFonts w:hint="eastAsia" w:ascii="宋体" w:hAnsi="宋体" w:cs="宋体"/>
          <w:color w:val="auto"/>
          <w:sz w:val="24"/>
        </w:rPr>
        <w:t>关于物业管理服务的相关服务规范和要求，确保服务质量，圆满完成服务工作。</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3.5.2.3乙方应自觉接受并积极配合政府采购监管部门按照征集公告、本协议、乙方的申请文件及承诺提供的价格、设备设施、服务质量及服务能力进行的综合考核评定、监督检查和管理，严格履行承诺。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3.5.2.4在协议有效期内，乙方在特定时间内对社会举办的优惠活动，采购人有权参加其优惠活动并享受其优惠政策；乙方的设施设备、服务质量等要符合国家规定标准，不得因价格优惠而减少服务项目、降低服务质量。</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3.5.2.5在协议有效期内，乙方承诺价格为最高限价，采购人可与乙方进行议价；如果乙方下调市场价格，则乙方应及时下调政府采购价格，否则视为“超过协议规定价格收费”。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3.5.2.6乙方同意甲方建立的清退和补充规则，清退情况包括但不限于本协议“违约责任”和“协议的终止”中的内容。</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3.5.2.7乙方应严格按甲方要求完成以下工作，不能完成以下工作将被记录并作为考核及监督检查评分的依据。由于乙方未按甲方要求完成以下工作所造成的不利影响由乙方承担。</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（1）按时参加甲方举办的培训及召开的会议；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（2）按甲方的要求填报并更新维护相关信息和资料；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（3）配备专人负责框架协议采购相关事宜，按要求填报及更新相关信息，保证联系人、联系电话等信息真实齐全；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按要求登录相关查询系统维护数据，打印政府采购物业管理服务合同，经双方确认后作为采购人入账依据。乙方应保存好协议有效期内所有结算单据及明细报表，甲方有权对结算单据及明细报表进行检查并作为考核评分的依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（5）报价真实有效，杜绝以低于成本的价格恶意竞争；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（6）向采购人提供等额的正式发票；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（7）乙方财务部门具备公务卡结算的能力（即刷信用卡结算的能力）；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（8）为采购人建立采购人档案并及时进行信息更新，建立健全客户服务制度等内部管理机制并严格执行；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（9）不向采购人行贿或者提供其他不正当利益；</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（10）自觉接受并积极配合甲方组织的日常考核、监督检查和管理。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3.5.2.8在协议有效期内，乙方应做好政采云平台上相关信息的维护工作，包括单位名称变更；及时变更联系人、联系电话、预订电话等。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3.5.2.10乙方承诺接受征集公告的所有内容，按照征集公告要求和申请文件承诺认真履约，如有违反将无条件接受甲方的处罚。</w:t>
      </w:r>
    </w:p>
    <w:p>
      <w:pPr>
        <w:pStyle w:val="6"/>
        <w:spacing w:line="360" w:lineRule="auto"/>
        <w:ind w:left="0" w:leftChars="0" w:firstLine="480"/>
        <w:rPr>
          <w:rFonts w:cs="宋体"/>
          <w:color w:val="auto"/>
          <w:sz w:val="24"/>
        </w:rPr>
      </w:pPr>
      <w:r>
        <w:rPr>
          <w:rFonts w:hint="eastAsia" w:cs="宋体"/>
          <w:color w:val="auto"/>
          <w:sz w:val="24"/>
        </w:rPr>
        <w:t>3.6考核监督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3.6.1政府采购监管部门有权对乙方承诺的价格、服务承诺等履约情况进行监督检查，作为对乙方履约情况监督考核的依据，据此追究乙方的违约责任或者作为考核评分依据。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3.6.2如采购人对乙方提供的服务质量等问题向政府采购监管部门投诉，政府采购监管部门有权进行核查，如情况属实可要求乙方及时消除影响、弥补损失。</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3.6.3政府采购监管部门有权在其网站及其他媒体上公布对乙方考核、监督检查及乙方履行协议的情况。</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4.违约责任</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4.1甲、乙任何一方违反本协议的约定，应当承担违约责任，并赔偿对方的实际损失。乙方违约行为给采购人造成经济损失的，采购人有权按实际经济损失要求乙方进行赔偿。</w:t>
      </w:r>
    </w:p>
    <w:p>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4.2乙方有下列情形之一的，甲方可依据协议及《政府采购框架协议采购方式管理暂行办法》等相关规定取消入围资格，并报监督管理部门追究其相应责任：</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（1）乙方提供虚假材料谋取入围或者合同成交的；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（2）乙方无正当理由拒不接受合同授予的；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（3）不履行合同义务或者履行合同义务不符合约定，经采购人请求履行后仍不履行或者仍未按约定履行的；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（4）乙方采用不正当竞争手段争揽业务，引起投诉并经甲方查实的；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 xml:space="preserve">（5）未及时更新相关信息或者当高于市场价格时，未及时更新的； </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（6）乙方服务质量差，被采购人有效投诉三次（含）以上并经查实的；</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（7）各级财政部门认定的其他违法、违规的行为。</w:t>
      </w:r>
    </w:p>
    <w:p>
      <w:pPr>
        <w:pStyle w:val="8"/>
        <w:adjustRightInd w:val="0"/>
        <w:snapToGrid w:val="0"/>
        <w:spacing w:line="360" w:lineRule="auto"/>
        <w:ind w:left="2" w:leftChars="1" w:firstLine="480" w:firstLineChars="200"/>
        <w:rPr>
          <w:rFonts w:hAnsi="宋体" w:cs="宋体"/>
          <w:color w:val="auto"/>
          <w:szCs w:val="24"/>
        </w:rPr>
      </w:pPr>
      <w:r>
        <w:rPr>
          <w:rFonts w:hint="eastAsia" w:hAnsi="宋体" w:cs="宋体"/>
          <w:color w:val="auto"/>
          <w:szCs w:val="24"/>
        </w:rPr>
        <w:t>（8）任何情况下，乙方都不得向经办人员提供任何形式的回扣，一经发现，甲方报经批准可立即取消资格，同时提请有关部门追究有关当事人的责任。</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4.3乙方与采购人签订合同的，乙方的义务不得低于本协议中约定的义务以及乙方在申请文件中的承诺，否则相应的条款无效，乙方相应的义务以本协议为准。</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4.4乙方违约情节特别严重的，甲方报送政府采购监管部门，采购监管部门可依法对其采取列入不良行为记录名单、在一至三年内禁止参加政府采购活动，并予以通报。</w:t>
      </w:r>
    </w:p>
    <w:p>
      <w:pPr>
        <w:tabs>
          <w:tab w:val="left" w:pos="630"/>
        </w:tabs>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5.不可抗力</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80" w:firstLineChars="200"/>
        <w:rPr>
          <w:rFonts w:ascii="宋体" w:hAnsi="宋体" w:cs="宋体"/>
          <w:color w:val="auto"/>
          <w:sz w:val="24"/>
          <w:highlight w:val="yellow"/>
        </w:rPr>
      </w:pPr>
      <w:r>
        <w:rPr>
          <w:rFonts w:hint="eastAsia" w:ascii="宋体" w:hAnsi="宋体" w:cs="宋体"/>
          <w:color w:val="auto"/>
          <w:sz w:val="24"/>
        </w:rPr>
        <w:t>5.4一旦不可抗力事故的影响持续120天以上，甲乙双方通过友好协商，在合理的时间内达成进一步履行协议或终止协议的协议。</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6.保密条款</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6.1任何一方对其获知的本协议涉及的所有有形、无形的信息及资料（包括但不限于甲乙双方的往来书面文字文件、电子邮件及信息、软盘资料等）中另一方的商业秘密或国家秘密负有保密义务。</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7.协议的解释</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7.1任何一方对本协议及其附件的解释均应遵循诚实信用原则，依照本协议签订时有效的中华人民共和国的法律、法规以及人们通常的理解进行。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7.2本协议标题仅供查阅方便，并非对本协议的诠释或解释，本协议中以日表述的时间期限均指公历日。</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7.3对本协议的任何解释均应以书面做出。</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8.争议的解决</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本协议如发生纠纷，甲、乙应当及时协商解决，如协商不成，按《中华人民共和国民法典》、《中华人民共和国政府采购法》等规定处理。</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9.协议的终止</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9.1在协议期内任何一方不得擅自终止协议，否则应负担所造成的一切损失。如一方因故需终止协议，必须提前三个月书面通知另一方，经双方达成一致意见后，方可终止。</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9.2 协议期内乙方不得擅自终止协议，否则应负担所造成的一切损失。如乙方因故需终止协议，可以随时申请退出框架协议，经甲方审核后方可退出。</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9.3 出现下列情况时本协议自行终止：</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（1）本协议正常履行完毕；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（2）甲乙双方协商终止本协议的履行；</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（3）不可抗力导致本协议无法履行或履行不必要时；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（4）乙方不履行协议条款，造成无法执行协议，协商又不能解决的，乙方赔偿损失后，协议终止。</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9.4乙方出现本协议“违约责任”中“取消资格”情况的,协议终止，甲方有权提请有关部门追究相关当事人责任。</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10.协议的生效及其他</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10.1乙方自愿通过政采云平台在线申请参与本项目，申请资料经甲方审核通过后，本协议即生效。</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10.2协议履行期内甲乙双方均不得随意变更或解除协议。协议若有未尽事宜，需经双方共同协商，作出补充规定，补充规定与本协议有同等法律效力。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10.3</w:t>
      </w:r>
      <w:r>
        <w:rPr>
          <w:rFonts w:hint="eastAsia" w:ascii="宋体" w:hAnsi="宋体" w:cs="宋体"/>
          <w:b/>
          <w:bCs/>
          <w:color w:val="auto"/>
          <w:sz w:val="24"/>
        </w:rPr>
        <w:t>如有最新政策规定，甲乙双方按最新政策规定执行，不再签订补充协议。</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10.4本项目征集文件（项目编号：</w:t>
      </w:r>
      <w:r>
        <w:rPr>
          <w:rFonts w:hint="eastAsia" w:ascii="宋体" w:hAnsi="宋体" w:cs="宋体"/>
          <w:color w:val="auto"/>
          <w:sz w:val="24"/>
          <w:lang w:eastAsia="zh-CN"/>
        </w:rPr>
        <w:t>平政采招2025-</w:t>
      </w:r>
      <w:r>
        <w:rPr>
          <w:rFonts w:hint="eastAsia" w:ascii="宋体" w:hAnsi="宋体" w:cs="宋体"/>
          <w:color w:val="auto"/>
          <w:sz w:val="24"/>
          <w:lang w:val="en-US" w:eastAsia="zh-CN"/>
        </w:rPr>
        <w:t>14</w:t>
      </w:r>
      <w:r>
        <w:rPr>
          <w:rFonts w:hint="eastAsia" w:ascii="宋体" w:hAnsi="宋体" w:cs="宋体"/>
          <w:color w:val="auto"/>
          <w:sz w:val="24"/>
        </w:rPr>
        <w:t>）、申请资料及审核过程中形成的文字资料均作为本协议的组成部分，具有同等效力。</w:t>
      </w:r>
    </w:p>
    <w:p>
      <w:pPr>
        <w:pStyle w:val="3"/>
        <w:rPr>
          <w:rFonts w:ascii="宋体" w:hAnsi="宋体" w:cs="宋体"/>
          <w:color w:val="auto"/>
          <w:szCs w:val="21"/>
        </w:rPr>
      </w:pPr>
    </w:p>
    <w:p>
      <w:pPr>
        <w:rPr>
          <w:rFonts w:ascii="宋体" w:hAnsi="宋体" w:cs="宋体"/>
          <w:color w:val="auto"/>
          <w:szCs w:val="21"/>
        </w:rPr>
      </w:pPr>
    </w:p>
    <w:p>
      <w:pPr>
        <w:pStyle w:val="2"/>
        <w:ind w:firstLine="210"/>
        <w:rPr>
          <w:rFonts w:ascii="宋体" w:hAnsi="宋体" w:cs="宋体"/>
          <w:color w:val="auto"/>
          <w:szCs w:val="21"/>
        </w:rPr>
      </w:pPr>
    </w:p>
    <w:p>
      <w:pPr>
        <w:rPr>
          <w:rFonts w:ascii="宋体" w:hAnsi="宋体" w:cs="宋体"/>
          <w:color w:val="auto"/>
          <w:szCs w:val="21"/>
        </w:rPr>
      </w:pPr>
    </w:p>
    <w:p>
      <w:pPr>
        <w:pStyle w:val="2"/>
        <w:ind w:firstLine="210"/>
        <w:rPr>
          <w:color w:val="auto"/>
        </w:rPr>
      </w:pPr>
    </w:p>
    <w:p>
      <w:pPr>
        <w:rPr>
          <w:color w:val="auto"/>
        </w:rPr>
      </w:pPr>
    </w:p>
    <w:tbl>
      <w:tblPr>
        <w:tblStyle w:val="12"/>
        <w:tblW w:w="0" w:type="auto"/>
        <w:jc w:val="center"/>
        <w:tblLayout w:type="fixed"/>
        <w:tblCellMar>
          <w:top w:w="0" w:type="dxa"/>
          <w:left w:w="108" w:type="dxa"/>
          <w:bottom w:w="0" w:type="dxa"/>
          <w:right w:w="108" w:type="dxa"/>
        </w:tblCellMar>
      </w:tblPr>
      <w:tblGrid>
        <w:gridCol w:w="4724"/>
        <w:gridCol w:w="4706"/>
      </w:tblGrid>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甲方（盖章）：</w:t>
            </w:r>
            <w:r>
              <w:rPr>
                <w:rFonts w:hint="eastAsia" w:ascii="宋体" w:hAnsi="宋体" w:cs="Arial"/>
                <w:b/>
                <w:bCs/>
                <w:color w:val="auto"/>
                <w:szCs w:val="21"/>
                <w:u w:val="single"/>
              </w:rPr>
              <w:t xml:space="preserve">       </w:t>
            </w:r>
            <w:r>
              <w:rPr>
                <w:rFonts w:hint="eastAsia" w:ascii="宋体" w:hAnsi="宋体" w:cs="Arial"/>
                <w:b/>
                <w:color w:val="auto"/>
                <w:szCs w:val="21"/>
                <w:u w:val="single"/>
              </w:rPr>
              <w:t xml:space="preserve">                       </w:t>
            </w:r>
            <w:r>
              <w:rPr>
                <w:rFonts w:hint="eastAsia" w:ascii="宋体" w:hAnsi="宋体"/>
                <w:color w:val="auto"/>
                <w:szCs w:val="21"/>
              </w:rPr>
              <w:t xml:space="preserve"> </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乙方（盖章）：</w:t>
            </w:r>
            <w:r>
              <w:rPr>
                <w:rFonts w:hint="eastAsia" w:ascii="宋体" w:hAnsi="宋体" w:cs="Arial"/>
                <w:b/>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地址：</w:t>
            </w:r>
            <w:r>
              <w:rPr>
                <w:rFonts w:hint="eastAsia" w:ascii="宋体" w:hAnsi="宋体" w:cs="Arial"/>
                <w:b/>
                <w:color w:val="auto"/>
                <w:szCs w:val="21"/>
                <w:u w:val="single"/>
              </w:rPr>
              <w:t xml:space="preserve">                                         </w:t>
            </w:r>
            <w:r>
              <w:rPr>
                <w:rFonts w:hint="eastAsia" w:ascii="宋体" w:hAnsi="宋体"/>
                <w:color w:val="auto"/>
                <w:szCs w:val="21"/>
                <w:u w:val="single"/>
              </w:rPr>
              <w:t xml:space="preserve"> </w:t>
            </w:r>
          </w:p>
        </w:tc>
        <w:tc>
          <w:tcPr>
            <w:tcW w:w="4706" w:type="dxa"/>
            <w:vAlign w:val="center"/>
          </w:tcPr>
          <w:p>
            <w:pPr>
              <w:pStyle w:val="4"/>
              <w:ind w:left="630" w:leftChars="100" w:hanging="420" w:hangingChars="200"/>
              <w:jc w:val="left"/>
              <w:rPr>
                <w:rFonts w:ascii="宋体" w:hAnsi="宋体"/>
                <w:color w:val="auto"/>
                <w:szCs w:val="21"/>
                <w:u w:val="single"/>
              </w:rPr>
            </w:pPr>
            <w:r>
              <w:rPr>
                <w:rFonts w:hint="eastAsia" w:ascii="宋体" w:hAnsi="宋体"/>
                <w:color w:val="auto"/>
                <w:szCs w:val="21"/>
              </w:rPr>
              <w:t>地址：</w:t>
            </w:r>
            <w:r>
              <w:rPr>
                <w:rFonts w:hint="eastAsia" w:ascii="宋体" w:hAnsi="宋体" w:cs="Arial"/>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法定代表人（授权代表）：</w:t>
            </w:r>
            <w:r>
              <w:rPr>
                <w:rFonts w:hint="eastAsia" w:ascii="宋体" w:hAnsi="宋体"/>
                <w:color w:val="auto"/>
                <w:szCs w:val="21"/>
                <w:u w:val="single"/>
              </w:rPr>
              <w:t xml:space="preserve">                                </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法定代表人（授权代表）：</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联系人：</w:t>
            </w:r>
            <w:r>
              <w:rPr>
                <w:rFonts w:hint="eastAsia" w:ascii="宋体" w:hAnsi="宋体"/>
                <w:color w:val="auto"/>
                <w:szCs w:val="21"/>
                <w:u w:val="single"/>
              </w:rPr>
              <w:t xml:space="preserve">                                    </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联系人：</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r>
              <w:rPr>
                <w:rFonts w:hint="eastAsia" w:ascii="宋体" w:hAnsi="宋体"/>
                <w:color w:val="auto"/>
                <w:szCs w:val="21"/>
              </w:rPr>
              <w:t>联系电话：</w:t>
            </w:r>
            <w:r>
              <w:rPr>
                <w:rFonts w:hint="eastAsia" w:ascii="宋体" w:hAnsi="宋体"/>
                <w:color w:val="auto"/>
                <w:szCs w:val="21"/>
                <w:u w:val="single"/>
              </w:rPr>
              <w:t xml:space="preserve">                                 </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联系电话：</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开户银行：</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u w:val="single"/>
              </w:rPr>
            </w:pP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账号：</w:t>
            </w:r>
            <w:r>
              <w:rPr>
                <w:rFonts w:hint="eastAsia" w:ascii="宋体" w:hAnsi="宋体"/>
                <w:color w:val="auto"/>
                <w:szCs w:val="21"/>
                <w:u w:val="single"/>
              </w:rPr>
              <w:t xml:space="preserve">                                      </w:t>
            </w:r>
          </w:p>
        </w:tc>
      </w:tr>
      <w:tr>
        <w:tblPrEx>
          <w:tblCellMar>
            <w:top w:w="0" w:type="dxa"/>
            <w:left w:w="108" w:type="dxa"/>
            <w:bottom w:w="0" w:type="dxa"/>
            <w:right w:w="108" w:type="dxa"/>
          </w:tblCellMar>
        </w:tblPrEx>
        <w:trPr>
          <w:trHeight w:val="567" w:hRule="atLeast"/>
          <w:jc w:val="center"/>
        </w:trPr>
        <w:tc>
          <w:tcPr>
            <w:tcW w:w="4724" w:type="dxa"/>
            <w:vAlign w:val="center"/>
          </w:tcPr>
          <w:p>
            <w:pPr>
              <w:pStyle w:val="4"/>
              <w:ind w:firstLine="0"/>
              <w:jc w:val="left"/>
              <w:rPr>
                <w:rFonts w:ascii="宋体" w:hAnsi="宋体"/>
                <w:color w:val="auto"/>
                <w:szCs w:val="21"/>
              </w:rPr>
            </w:pPr>
            <w:r>
              <w:rPr>
                <w:rFonts w:hint="eastAsia" w:ascii="宋体" w:hAnsi="宋体"/>
                <w:color w:val="auto"/>
                <w:szCs w:val="21"/>
              </w:rPr>
              <w:t>日期：二○二</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c>
          <w:tcPr>
            <w:tcW w:w="4706" w:type="dxa"/>
            <w:vAlign w:val="center"/>
          </w:tcPr>
          <w:p>
            <w:pPr>
              <w:pStyle w:val="4"/>
              <w:ind w:firstLine="210" w:firstLineChars="100"/>
              <w:jc w:val="left"/>
              <w:rPr>
                <w:rFonts w:ascii="宋体" w:hAnsi="宋体"/>
                <w:color w:val="auto"/>
                <w:szCs w:val="21"/>
                <w:u w:val="single"/>
              </w:rPr>
            </w:pPr>
            <w:r>
              <w:rPr>
                <w:rFonts w:hint="eastAsia" w:ascii="宋体" w:hAnsi="宋体"/>
                <w:color w:val="auto"/>
                <w:szCs w:val="21"/>
              </w:rPr>
              <w:t>日期：二○二</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tc>
      </w:tr>
    </w:tbl>
    <w:p>
      <w:pPr>
        <w:pStyle w:val="3"/>
        <w:rPr>
          <w:color w:val="auto"/>
        </w:rPr>
      </w:pPr>
    </w:p>
    <w:p>
      <w:pPr>
        <w:pStyle w:val="6"/>
        <w:ind w:firstLine="420"/>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OWNjNzU1YTYyZDRmZmM3YjliZmI4ZWRkOWU1NDkwNzYifQ=="/>
  </w:docVars>
  <w:rsids>
    <w:rsidRoot w:val="FA418EE8"/>
    <w:rsid w:val="003479C2"/>
    <w:rsid w:val="00F165B2"/>
    <w:rsid w:val="094F0147"/>
    <w:rsid w:val="0FBA1C77"/>
    <w:rsid w:val="20FD535E"/>
    <w:rsid w:val="26C45659"/>
    <w:rsid w:val="37DFE462"/>
    <w:rsid w:val="3FED4275"/>
    <w:rsid w:val="5DBD083B"/>
    <w:rsid w:val="62F7172D"/>
    <w:rsid w:val="6D50222F"/>
    <w:rsid w:val="6FC43E99"/>
    <w:rsid w:val="79638D15"/>
    <w:rsid w:val="7F333115"/>
    <w:rsid w:val="AE7CE880"/>
    <w:rsid w:val="D7FC8CA0"/>
    <w:rsid w:val="EB7E4DC9"/>
    <w:rsid w:val="FA418EE8"/>
    <w:rsid w:val="FD9D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4">
    <w:name w:val="Normal Indent"/>
    <w:basedOn w:val="1"/>
    <w:qFormat/>
    <w:uiPriority w:val="0"/>
    <w:pPr>
      <w:ind w:firstLine="420"/>
    </w:pPr>
  </w:style>
  <w:style w:type="paragraph" w:styleId="5">
    <w:name w:val="Body Text Indent"/>
    <w:basedOn w:val="1"/>
    <w:next w:val="6"/>
    <w:qFormat/>
    <w:uiPriority w:val="0"/>
    <w:pPr>
      <w:spacing w:line="480" w:lineRule="exact"/>
      <w:ind w:firstLine="480" w:firstLineChars="200"/>
    </w:pPr>
    <w:rPr>
      <w:rFonts w:ascii="宋体" w:hAnsi="宋体"/>
      <w:kern w:val="0"/>
      <w:sz w:val="24"/>
    </w:rPr>
  </w:style>
  <w:style w:type="paragraph" w:styleId="6">
    <w:name w:val="Body Text First Indent 2"/>
    <w:basedOn w:val="5"/>
    <w:next w:val="7"/>
    <w:qFormat/>
    <w:uiPriority w:val="0"/>
    <w:pPr>
      <w:spacing w:line="240" w:lineRule="auto"/>
      <w:ind w:left="420" w:leftChars="200" w:firstLine="210"/>
    </w:pPr>
    <w:rPr>
      <w:sz w:val="21"/>
    </w:rPr>
  </w:style>
  <w:style w:type="paragraph" w:customStyle="1" w:styleId="7">
    <w:name w:val="xl53"/>
    <w:basedOn w:val="1"/>
    <w:next w:val="1"/>
    <w:qFormat/>
    <w:uiPriority w:val="0"/>
    <w:pPr>
      <w:spacing w:before="280" w:after="280" w:line="100" w:lineRule="exact"/>
      <w:jc w:val="center"/>
    </w:pPr>
    <w:rPr>
      <w:b/>
      <w:sz w:val="20"/>
    </w:rPr>
  </w:style>
  <w:style w:type="paragraph" w:styleId="8">
    <w:name w:val="Plain Text"/>
    <w:basedOn w:val="1"/>
    <w:next w:val="1"/>
    <w:qFormat/>
    <w:uiPriority w:val="0"/>
    <w:rPr>
      <w:rFonts w:ascii="宋体" w:hAnsi="Courier New"/>
      <w:kern w:val="0"/>
      <w:sz w:val="24"/>
      <w:szCs w:val="20"/>
    </w:r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envelope return"/>
    <w:basedOn w:val="1"/>
    <w:qFormat/>
    <w:uiPriority w:val="99"/>
    <w:pPr>
      <w:snapToGrid w:val="0"/>
    </w:pPr>
    <w:rPr>
      <w:rFonts w:ascii="Arial" w:hAnsi="Arial" w:cs="Arial"/>
    </w:rPr>
  </w:style>
  <w:style w:type="paragraph" w:styleId="11">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qFormat/>
    <w:uiPriority w:val="0"/>
    <w:rPr>
      <w:rFonts w:ascii="Times New Roman" w:hAnsi="Times New Roman"/>
      <w:kern w:val="2"/>
      <w:sz w:val="18"/>
      <w:szCs w:val="18"/>
    </w:rPr>
  </w:style>
  <w:style w:type="character" w:customStyle="1" w:styleId="15">
    <w:name w:val="页脚 Char"/>
    <w:basedOn w:val="13"/>
    <w:link w:val="9"/>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4683</Words>
  <Characters>4949</Characters>
  <Lines>7</Lines>
  <Paragraphs>11</Paragraphs>
  <TotalTime>89</TotalTime>
  <ScaleCrop>false</ScaleCrop>
  <LinksUpToDate>false</LinksUpToDate>
  <CharactersWithSpaces>5488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2023-03-12T07:18:00Z</dcterms:created>
  <dc:creator>thtf-13</dc:creator>
  <cp:lastModifiedBy>欢乐向</cp:lastModifiedBy>
  <dcterms:modified xsi:type="dcterms:W3CDTF">2025-02-28T02:03:11Z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D0241A335DCD4198B292F2B168CE8808_12</vt:lpwstr>
  </property>
</Properties>
</file>