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default" w:ascii="宋体" w:hAnsi="宋体" w:cs="宋体"/>
          <w:b/>
          <w:color w:val="000000"/>
          <w:sz w:val="36"/>
          <w:szCs w:val="36"/>
          <w:lang w:val="en-US"/>
        </w:rPr>
      </w:pPr>
      <w:r>
        <w:rPr>
          <w:rFonts w:hint="eastAsia" w:ascii="宋体" w:hAnsi="宋体" w:cs="宋体"/>
          <w:b/>
          <w:sz w:val="32"/>
          <w:szCs w:val="32"/>
        </w:rPr>
        <w:t>附件</w:t>
      </w:r>
      <w:r>
        <w:rPr>
          <w:rFonts w:hint="default" w:ascii="宋体" w:cs="宋体"/>
          <w:b/>
          <w:sz w:val="32"/>
          <w:szCs w:val="32"/>
          <w:lang w:val="en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2025-2026年度嘉兴市（含五县四区）资产评估服务开放式框架协议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  <w:lang w:val="en-US" w:eastAsia="zh-CN"/>
        </w:rPr>
        <w:t>指引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（甲方）：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供货商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（乙方）：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根据“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2025-2026年度嘉兴市（含五县四区）资产评估服务开放式框架协议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”（项目编号：平政采招2025-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）公开征集文件、入围结果、框架协议和《中华人民共和国政府采购法》、《中华人民共和国政府采购法实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施条例》、《政府采购框架协议采购方式管理暂行办法》等相关法律、法规、规章要求，双方经协商，达成以下条款：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1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的范围、目的、对象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1、乙方接受甲方委托，对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40" w:firstLineChars="225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2、乙方通过执行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服务报告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40" w:firstLineChars="225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服务对象：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1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二、委托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的内容、期间：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360" w:lineRule="auto"/>
        <w:ind w:firstLine="51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完成时间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1、乙方应于本合同签订后的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个工作日内，向甲方递交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2、乙方应在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日前，向甲方递交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资产评估服务报告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1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资产评估服务报告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的使用范围和使用责任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1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乙方向甲方出具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资产评估服务报告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一式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份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，由甲方分发、使用。恰当使用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资产评估服务报告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是甲方的责任，如出现使用不当的情况与乙方无关。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1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五、服务要求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51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详见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2025-2026年度嘉兴市（含五县四区）资产评估服务开放式框架协议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采购项目征集文件第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条规定。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left="51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费结算和支付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（一）收费标准：</w:t>
      </w:r>
    </w:p>
    <w:p>
      <w:pPr>
        <w:pStyle w:val="7"/>
        <w:rPr>
          <w:rFonts w:hint="eastAsia" w:eastAsia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标项一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787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一、资产评估服务费标准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（一）按工作量计时收费方式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95" w:type="pct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资产评估师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元/半天•人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（最高限价）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95" w:type="pct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助理人员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500元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/半天•人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（最高限价）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其他服务人员每人收费要求（最高限价）：院士、全国知名专家，不超过2400元/半天；正高级专业技术职称人员，不超过1600元/半天；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副高级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专业技术职称人员，不超过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元/半天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>中级及以下专业技术职称人员，不超过500元/半天。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一天工作时间按8小时计算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  <w:t>按差额定率累进计费方式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73" w:type="pct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档次</w:t>
            </w:r>
          </w:p>
        </w:tc>
        <w:tc>
          <w:tcPr>
            <w:tcW w:w="2221" w:type="pct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计费额度（万元）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差额计费率‰（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</w:rPr>
              <w:t>最高限价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shd w:val="clear" w:color="auto" w:fill="F1F1F1" w:themeFill="background1" w:themeFillShade="F2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221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100以下（含100）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shd w:val="clear" w:color="auto" w:fill="F1F1F1" w:themeFill="background1" w:themeFillShade="F2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2221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100以上-1000（含1000）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3.5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shd w:val="clear" w:color="auto" w:fill="F1F1F1" w:themeFill="background1" w:themeFillShade="F2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2221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1000以上-5000（含5000）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1.2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shd w:val="clear" w:color="auto" w:fill="F1F1F1" w:themeFill="background1" w:themeFillShade="F2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2221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5000以上-10000（含10000）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shd w:val="clear" w:color="auto" w:fill="F1F1F1" w:themeFill="background1" w:themeFillShade="F2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  <w:t>5</w:t>
            </w:r>
          </w:p>
        </w:tc>
        <w:tc>
          <w:tcPr>
            <w:tcW w:w="2221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10000以上-100000（含100000）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shd w:val="clear" w:color="auto" w:fill="F1F1F1" w:themeFill="background1" w:themeFillShade="F2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  <w:t>6</w:t>
            </w:r>
          </w:p>
        </w:tc>
        <w:tc>
          <w:tcPr>
            <w:tcW w:w="2221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100000以上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0.1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乙方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zh-CN"/>
              </w:rPr>
              <w:t>第一阶段响应报价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5" w:type="pct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优惠率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乙方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zh-CN"/>
              </w:rPr>
              <w:t>第二阶段报价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95" w:type="pct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优惠率</w:t>
            </w:r>
          </w:p>
        </w:tc>
        <w:tc>
          <w:tcPr>
            <w:tcW w:w="2204" w:type="pct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000" w:type="pct"/>
            <w:gridSpan w:val="3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第一阶段响应报价（即协议价格）是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确定第二阶段成交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的最高限价。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标项二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158"/>
        <w:gridCol w:w="73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52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土地评估服务费标准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06" w:type="dxa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hAnsi="宋体" w:eastAsia="宋体" w:cs="宋体"/>
                <w:bCs/>
                <w:color w:val="auto"/>
                <w:kern w:val="0"/>
                <w:highlight w:val="none"/>
                <w:lang w:eastAsia="zh-CN"/>
              </w:rPr>
              <w:t>序号</w:t>
            </w:r>
          </w:p>
        </w:tc>
        <w:tc>
          <w:tcPr>
            <w:tcW w:w="3889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highlight w:val="none"/>
              </w:rPr>
              <w:t>计费档次（万元）</w:t>
            </w:r>
          </w:p>
        </w:tc>
        <w:tc>
          <w:tcPr>
            <w:tcW w:w="3027" w:type="dxa"/>
            <w:shd w:val="clear" w:color="auto" w:fill="F1F1F1" w:themeFill="background1" w:themeFillShade="F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highlight w:val="none"/>
              </w:rPr>
              <w:t>差额计费率‰（</w:t>
            </w:r>
            <w:r>
              <w:rPr>
                <w:rFonts w:hint="eastAsia" w:hAnsi="宋体" w:cs="宋体"/>
                <w:b/>
                <w:bCs w:val="0"/>
                <w:color w:val="auto"/>
                <w:kern w:val="0"/>
                <w:highlight w:val="none"/>
              </w:rPr>
              <w:t>最高限价</w:t>
            </w:r>
            <w:r>
              <w:rPr>
                <w:rFonts w:hint="eastAsia" w:hAnsi="宋体" w:cs="宋体"/>
                <w:bCs/>
                <w:color w:val="auto"/>
                <w:kern w:val="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shd w:val="clear" w:color="auto" w:fill="F1F1F1" w:themeFill="background1" w:themeFillShade="F2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highlight w:val="none"/>
                <w:lang w:val="en-US"/>
              </w:rPr>
              <w:t>1</w:t>
            </w:r>
          </w:p>
        </w:tc>
        <w:tc>
          <w:tcPr>
            <w:tcW w:w="3889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0"/>
                <w:highlight w:val="none"/>
                <w:lang w:val="zh-CN" w:eastAsia="zh-CN" w:bidi="ar-SA"/>
              </w:rPr>
              <w:t>100以下（含100）</w:t>
            </w:r>
          </w:p>
        </w:tc>
        <w:tc>
          <w:tcPr>
            <w:tcW w:w="3027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shd w:val="clear" w:color="auto" w:fill="F1F1F1" w:themeFill="background1" w:themeFillShade="F2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highlight w:val="none"/>
                <w:lang w:val="en-US"/>
              </w:rPr>
              <w:t>2</w:t>
            </w:r>
          </w:p>
        </w:tc>
        <w:tc>
          <w:tcPr>
            <w:tcW w:w="3889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0"/>
                <w:highlight w:val="none"/>
                <w:lang w:val="zh-CN" w:eastAsia="zh-CN" w:bidi="ar-SA"/>
              </w:rPr>
              <w:t>100-500(含500)</w:t>
            </w:r>
          </w:p>
        </w:tc>
        <w:tc>
          <w:tcPr>
            <w:tcW w:w="3027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shd w:val="clear" w:color="auto" w:fill="F1F1F1" w:themeFill="background1" w:themeFillShade="F2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highlight w:val="none"/>
                <w:lang w:val="en-US"/>
              </w:rPr>
              <w:t>3</w:t>
            </w:r>
          </w:p>
        </w:tc>
        <w:tc>
          <w:tcPr>
            <w:tcW w:w="3889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0"/>
                <w:highlight w:val="none"/>
                <w:lang w:val="zh-CN" w:eastAsia="zh-CN" w:bidi="ar-SA"/>
              </w:rPr>
              <w:t>500-2000(含2000)</w:t>
            </w:r>
          </w:p>
        </w:tc>
        <w:tc>
          <w:tcPr>
            <w:tcW w:w="3027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shd w:val="clear" w:color="auto" w:fill="F1F1F1" w:themeFill="background1" w:themeFillShade="F2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highlight w:val="none"/>
                <w:lang w:val="en-US"/>
              </w:rPr>
              <w:t>4</w:t>
            </w:r>
          </w:p>
        </w:tc>
        <w:tc>
          <w:tcPr>
            <w:tcW w:w="3889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0"/>
                <w:highlight w:val="none"/>
                <w:lang w:val="zh-CN" w:eastAsia="zh-CN" w:bidi="ar-SA"/>
              </w:rPr>
              <w:t>2000-5000(含5000)</w:t>
            </w:r>
          </w:p>
        </w:tc>
        <w:tc>
          <w:tcPr>
            <w:tcW w:w="3027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shd w:val="clear" w:color="auto" w:fill="F1F1F1" w:themeFill="background1" w:themeFillShade="F2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hAnsi="宋体" w:cs="宋体"/>
                <w:bCs/>
                <w:color w:val="auto"/>
                <w:kern w:val="0"/>
                <w:highlight w:val="none"/>
                <w:lang w:val="en-US"/>
              </w:rPr>
              <w:t>5</w:t>
            </w:r>
          </w:p>
        </w:tc>
        <w:tc>
          <w:tcPr>
            <w:tcW w:w="3889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napToGrid/>
                <w:color w:val="auto"/>
                <w:kern w:val="0"/>
                <w:sz w:val="24"/>
                <w:szCs w:val="20"/>
                <w:highlight w:val="none"/>
                <w:lang w:val="zh-CN" w:eastAsia="zh-CN" w:bidi="ar-SA"/>
              </w:rPr>
              <w:t>5000以上</w:t>
            </w:r>
          </w:p>
        </w:tc>
        <w:tc>
          <w:tcPr>
            <w:tcW w:w="3027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乙方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zh-CN"/>
              </w:rPr>
              <w:t>第一阶段响应报价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6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优惠率</w:t>
            </w:r>
          </w:p>
        </w:tc>
        <w:tc>
          <w:tcPr>
            <w:tcW w:w="3758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2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乙方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zh-CN"/>
              </w:rPr>
              <w:t>第二阶段报价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76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优惠率</w:t>
            </w:r>
          </w:p>
        </w:tc>
        <w:tc>
          <w:tcPr>
            <w:tcW w:w="3758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2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第一阶段响应报价（即协议价格）是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甲方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确定第二阶段成交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的最高限价。</w:t>
            </w:r>
          </w:p>
        </w:tc>
      </w:tr>
    </w:tbl>
    <w:p>
      <w:pPr>
        <w:pStyle w:val="7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合同金额：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资产评估服务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费共计：¥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（大写金额：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）验收要求：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）支付条件：通过甲方验收后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按实结算后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sz w:val="24"/>
          <w:szCs w:val="24"/>
        </w:rPr>
        <w:t>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甲方未按合同约定向乙方支付合同金额的，每逾期1天甲方向乙方支付欠款总额的5‰滞纳金，但累计滞纳金总额不超过欠款总额的5%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因一方原因，造成对方不能完成合同规定目标或直接造成对方经济损失的，另一方有权要求对方限期整改，并给予一定的经济补偿。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因乙方原因，造成甲方名誉、形象严重损害的，或者所提供服务质量与合同要求严重不符时，甲方有权单方终止合同，不承担违约责任及经济责任，并有权向乙方索赔。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乙方未按本合同的规定和“服务承诺”提供伴随服务的，应按合同总价款的5%向甲方承担违约责任。给甲方造成损失的，乙方应承担赔偿责任。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b/>
          <w:sz w:val="24"/>
          <w:szCs w:val="24"/>
        </w:rPr>
        <w:t>不可抗力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在执行合同期限内，任何一方因不可抗力事件造成不能履行合同时，应立即通知对方，并寄送有关权威机构出具的证明，则合同履行期可相应延长，延长期与不可抗力影响期相同。出现上述情况不受合同有关逾期责任制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不可抗力影响时间持续30日以上时，甲乙双方应及时解除合同。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本条所述“不可抗力”是指不可预见、不能克服及不能避免的事件，包括战争、严重火灾、洪水、地震等。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/>
          <w:sz w:val="24"/>
          <w:szCs w:val="24"/>
        </w:rPr>
        <w:t>争议的解决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因履行本合同引起的或与本合同有关的争议，甲、乙双方应首先通过友好协商解决，如果协商不能解决争议，则向甲方所在地有管辖权的人民法院提起诉讼。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十、</w:t>
      </w:r>
      <w:r>
        <w:rPr>
          <w:rFonts w:hint="eastAsia" w:ascii="宋体" w:hAnsi="宋体" w:eastAsia="宋体" w:cs="宋体"/>
          <w:b/>
          <w:sz w:val="24"/>
          <w:szCs w:val="24"/>
        </w:rPr>
        <w:t>合同生效及其他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本合同一式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份，甲乙双方各执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份，具有同等法律效力。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本合同经甲乙双方加盖公章后生效。合同内容如遇国家法律、法规及政策另有规定的，从其规定。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11"/>
        <w:textAlignment w:val="auto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甲方（盖章）：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乙方（盖章）：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19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19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法定代表人（授权代表）：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法定代表人（授权代表）：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19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　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19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联系电话：　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19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开户银行：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19" w:line="360" w:lineRule="auto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40" w:firstLineChars="1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签订日期：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>签订日期：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884E0"/>
    <w:multiLevelType w:val="singleLevel"/>
    <w:tmpl w:val="88E884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418EE8"/>
    <w:rsid w:val="099F093C"/>
    <w:rsid w:val="25B40E76"/>
    <w:rsid w:val="27E61CBC"/>
    <w:rsid w:val="37DFE462"/>
    <w:rsid w:val="4CD91B1B"/>
    <w:rsid w:val="58B4335D"/>
    <w:rsid w:val="64172845"/>
    <w:rsid w:val="67D748D9"/>
    <w:rsid w:val="6FE75A37"/>
    <w:rsid w:val="737FB45A"/>
    <w:rsid w:val="763D7E15"/>
    <w:rsid w:val="7F566334"/>
    <w:rsid w:val="7FE71562"/>
    <w:rsid w:val="D3FB532D"/>
    <w:rsid w:val="FA418EE8"/>
    <w:rsid w:val="FD9D23E0"/>
    <w:rsid w:val="FDBF546E"/>
    <w:rsid w:val="FF361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djustRightInd/>
      <w:spacing w:after="120" w:afterLines="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customStyle="1" w:styleId="4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b/>
      <w:sz w:val="20"/>
    </w:rPr>
  </w:style>
  <w:style w:type="paragraph" w:styleId="5">
    <w:name w:val="Normal Indent"/>
    <w:basedOn w:val="1"/>
    <w:qFormat/>
    <w:uiPriority w:val="0"/>
    <w:pPr>
      <w:ind w:firstLine="420"/>
    </w:pPr>
    <w:rPr>
      <w:rFonts w:cs="Times New Roman"/>
      <w:szCs w:val="22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8">
    <w:name w:val="Plain Text"/>
    <w:basedOn w:val="1"/>
    <w:next w:val="1"/>
    <w:qFormat/>
    <w:uiPriority w:val="0"/>
    <w:rPr>
      <w:rFonts w:ascii="宋体" w:hAnsi="Courier New"/>
      <w:kern w:val="0"/>
      <w:sz w:val="24"/>
      <w:szCs w:val="20"/>
    </w:rPr>
  </w:style>
  <w:style w:type="paragraph" w:styleId="9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标准正文"/>
    <w:basedOn w:val="1"/>
    <w:qFormat/>
    <w:uiPriority w:val="0"/>
    <w:pPr>
      <w:spacing w:line="360" w:lineRule="auto"/>
      <w:ind w:firstLine="200" w:firstLineChars="200"/>
    </w:pPr>
    <w:rPr>
      <w:rFonts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4652</Words>
  <Characters>4895</Characters>
  <Lines>0</Lines>
  <Paragraphs>0</Paragraphs>
  <TotalTime>1</TotalTime>
  <ScaleCrop>false</ScaleCrop>
  <LinksUpToDate>false</LinksUpToDate>
  <CharactersWithSpaces>4962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2023-03-12T07:18:00Z</dcterms:created>
  <dc:creator>thtf-13</dc:creator>
  <cp:lastModifiedBy>欢乐向</cp:lastModifiedBy>
  <dcterms:modified xsi:type="dcterms:W3CDTF">2025-02-25T07:46:21Z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66531D9EFA9B4F8FADB08DB99388266F</vt:lpwstr>
  </property>
</Properties>
</file>