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10" w:hanging="2410" w:hangingChars="600"/>
        <w:jc w:val="center"/>
        <w:rPr>
          <w:rFonts w:hint="eastAsia" w:ascii="宋体" w:hAnsi="宋体" w:cs="宋体"/>
          <w:b/>
          <w:color w:val="auto"/>
          <w:spacing w:val="-20"/>
          <w:sz w:val="44"/>
          <w:szCs w:val="44"/>
          <w:highlight w:val="none"/>
          <w:lang w:eastAsia="zh-CN"/>
        </w:rPr>
      </w:pPr>
    </w:p>
    <w:p>
      <w:pPr>
        <w:ind w:left="2410" w:hanging="2410" w:hangingChars="600"/>
        <w:jc w:val="center"/>
        <w:rPr>
          <w:rFonts w:hint="eastAsia" w:ascii="宋体" w:hAnsi="宋体" w:cs="宋体"/>
          <w:b/>
          <w:color w:val="auto"/>
          <w:spacing w:val="-20"/>
          <w:sz w:val="44"/>
          <w:szCs w:val="44"/>
          <w:highlight w:val="none"/>
          <w:lang w:eastAsia="zh-CN"/>
        </w:rPr>
      </w:pPr>
    </w:p>
    <w:p>
      <w:pPr>
        <w:ind w:left="2410" w:hanging="2410" w:hangingChars="600"/>
        <w:jc w:val="center"/>
        <w:rPr>
          <w:rFonts w:hint="eastAsia" w:ascii="宋体" w:hAnsi="宋体" w:cs="宋体"/>
          <w:b/>
          <w:color w:val="auto"/>
          <w:spacing w:val="-20"/>
          <w:sz w:val="44"/>
          <w:szCs w:val="44"/>
          <w:highlight w:val="none"/>
          <w:lang w:eastAsia="zh-CN"/>
        </w:rPr>
      </w:pPr>
      <w:r>
        <w:rPr>
          <w:rFonts w:hint="eastAsia" w:ascii="宋体" w:hAnsi="宋体" w:cs="宋体"/>
          <w:b/>
          <w:color w:val="auto"/>
          <w:spacing w:val="-20"/>
          <w:sz w:val="44"/>
          <w:szCs w:val="44"/>
          <w:highlight w:val="none"/>
          <w:lang w:eastAsia="zh-CN"/>
        </w:rPr>
        <w:t>2025-2026年度嘉兴市（含五县四区）</w:t>
      </w:r>
    </w:p>
    <w:p>
      <w:pPr>
        <w:ind w:left="2410" w:hanging="2410" w:hangingChars="600"/>
        <w:jc w:val="center"/>
        <w:rPr>
          <w:rFonts w:hint="eastAsia" w:ascii="宋体" w:hAnsi="宋体" w:eastAsia="宋体" w:cs="宋体"/>
          <w:b/>
          <w:color w:val="auto"/>
          <w:spacing w:val="-20"/>
          <w:sz w:val="44"/>
          <w:szCs w:val="44"/>
          <w:highlight w:val="none"/>
          <w:lang w:eastAsia="zh-CN"/>
        </w:rPr>
      </w:pPr>
      <w:r>
        <w:rPr>
          <w:rFonts w:hint="eastAsia" w:ascii="宋体" w:hAnsi="宋体" w:cs="宋体"/>
          <w:b/>
          <w:color w:val="auto"/>
          <w:spacing w:val="-20"/>
          <w:sz w:val="44"/>
          <w:szCs w:val="44"/>
          <w:highlight w:val="none"/>
          <w:lang w:eastAsia="zh-CN"/>
        </w:rPr>
        <w:t>资产评估服务开放式框架协议</w:t>
      </w:r>
    </w:p>
    <w:p>
      <w:pPr>
        <w:rPr>
          <w:rFonts w:hint="eastAsia" w:ascii="宋体" w:hAnsi="宋体" w:eastAsia="宋体" w:cs="宋体"/>
          <w:b/>
          <w:color w:val="auto"/>
          <w:spacing w:val="-20"/>
          <w:sz w:val="44"/>
          <w:szCs w:val="44"/>
          <w:highlight w:val="none"/>
          <w:lang w:eastAsia="zh-CN"/>
        </w:rPr>
      </w:pPr>
    </w:p>
    <w:p>
      <w:pPr>
        <w:pStyle w:val="17"/>
        <w:rPr>
          <w:rFonts w:hint="eastAsia"/>
          <w:highlight w:val="none"/>
          <w:lang w:eastAsia="zh-CN"/>
        </w:rPr>
      </w:pPr>
    </w:p>
    <w:p>
      <w:pPr>
        <w:ind w:firstLine="3092" w:firstLineChars="700"/>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rPr>
        <w:t>征集文</w:t>
      </w:r>
      <w:r>
        <w:rPr>
          <w:rFonts w:hint="eastAsia" w:ascii="宋体" w:hAnsi="宋体" w:eastAsia="宋体" w:cs="宋体"/>
          <w:b/>
          <w:color w:val="auto"/>
          <w:sz w:val="44"/>
          <w:szCs w:val="44"/>
          <w:highlight w:val="none"/>
          <w:lang w:eastAsia="zh-CN"/>
        </w:rPr>
        <w:t>件</w:t>
      </w:r>
      <w:bookmarkStart w:id="2" w:name="_GoBack"/>
      <w:bookmarkEnd w:id="2"/>
    </w:p>
    <w:p>
      <w:pPr>
        <w:ind w:firstLine="3092" w:firstLineChars="700"/>
        <w:rPr>
          <w:rFonts w:hint="eastAsia" w:ascii="宋体" w:hAnsi="宋体" w:eastAsia="宋体" w:cs="宋体"/>
          <w:b/>
          <w:color w:val="auto"/>
          <w:sz w:val="44"/>
          <w:szCs w:val="44"/>
          <w:highlight w:val="none"/>
          <w:lang w:eastAsia="zh-CN"/>
        </w:rPr>
      </w:pPr>
    </w:p>
    <w:p>
      <w:pPr>
        <w:pStyle w:val="17"/>
        <w:rPr>
          <w:rFonts w:hint="eastAsia"/>
          <w:highlight w:val="none"/>
          <w:lang w:eastAsia="zh-CN"/>
        </w:rPr>
      </w:pPr>
    </w:p>
    <w:p>
      <w:pPr>
        <w:ind w:firstLine="3092" w:firstLineChars="700"/>
        <w:rPr>
          <w:rFonts w:hint="eastAsia" w:ascii="宋体" w:hAnsi="宋体" w:eastAsia="宋体" w:cs="宋体"/>
          <w:b/>
          <w:color w:val="auto"/>
          <w:sz w:val="44"/>
          <w:szCs w:val="44"/>
          <w:highlight w:val="none"/>
          <w:lang w:eastAsia="zh-CN"/>
        </w:rPr>
      </w:pPr>
    </w:p>
    <w:p>
      <w:pPr>
        <w:spacing w:line="360" w:lineRule="auto"/>
        <w:jc w:val="left"/>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项目编号：</w:t>
      </w:r>
      <w:r>
        <w:rPr>
          <w:rFonts w:hint="eastAsia" w:ascii="宋体" w:hAnsi="宋体" w:cs="宋体"/>
          <w:b/>
          <w:color w:val="auto"/>
          <w:sz w:val="30"/>
          <w:szCs w:val="30"/>
          <w:highlight w:val="none"/>
          <w:lang w:val="en-US" w:eastAsia="zh-CN"/>
        </w:rPr>
        <w:t>平</w:t>
      </w:r>
      <w:r>
        <w:rPr>
          <w:rFonts w:hint="eastAsia" w:ascii="宋体" w:hAnsi="宋体" w:cs="宋体"/>
          <w:b/>
          <w:color w:val="auto"/>
          <w:sz w:val="30"/>
          <w:szCs w:val="30"/>
          <w:highlight w:val="none"/>
          <w:lang w:eastAsia="zh-CN"/>
        </w:rPr>
        <w:t>政采招</w:t>
      </w:r>
      <w:r>
        <w:rPr>
          <w:rFonts w:hint="eastAsia" w:ascii="宋体" w:hAnsi="宋体" w:cs="宋体"/>
          <w:b/>
          <w:color w:val="auto"/>
          <w:sz w:val="30"/>
          <w:szCs w:val="30"/>
          <w:highlight w:val="none"/>
          <w:lang w:val="en-US" w:eastAsia="zh-CN"/>
        </w:rPr>
        <w:t>2025-07</w:t>
      </w:r>
    </w:p>
    <w:p>
      <w:pPr>
        <w:spacing w:line="360" w:lineRule="auto"/>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2025-2026年度嘉兴市（含五县四区）资产评估服务开放式框架协议</w:t>
      </w:r>
    </w:p>
    <w:p>
      <w:pPr>
        <w:spacing w:line="360" w:lineRule="auto"/>
        <w:jc w:val="left"/>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eastAsia="zh-CN"/>
        </w:rPr>
        <w:t>采购征集人：</w:t>
      </w:r>
      <w:r>
        <w:rPr>
          <w:rFonts w:hint="eastAsia" w:ascii="宋体" w:hAnsi="宋体" w:cs="宋体"/>
          <w:b/>
          <w:color w:val="auto"/>
          <w:sz w:val="30"/>
          <w:szCs w:val="30"/>
          <w:highlight w:val="none"/>
          <w:lang w:eastAsia="zh-CN"/>
        </w:rPr>
        <w:t>平湖</w:t>
      </w:r>
      <w:r>
        <w:rPr>
          <w:rFonts w:hint="eastAsia" w:ascii="宋体" w:hAnsi="宋体" w:eastAsia="宋体" w:cs="宋体"/>
          <w:b/>
          <w:color w:val="auto"/>
          <w:sz w:val="30"/>
          <w:szCs w:val="30"/>
          <w:highlight w:val="none"/>
          <w:lang w:eastAsia="zh-CN"/>
        </w:rPr>
        <w:t>市公共资源交易中心</w:t>
      </w:r>
      <w:r>
        <w:rPr>
          <w:rFonts w:hint="eastAsia" w:ascii="宋体" w:hAnsi="宋体" w:eastAsia="宋体" w:cs="宋体"/>
          <w:b/>
          <w:color w:val="auto"/>
          <w:sz w:val="30"/>
          <w:szCs w:val="30"/>
          <w:highlight w:val="none"/>
          <w:lang w:val="en-US" w:eastAsia="zh-CN"/>
        </w:rPr>
        <w:t xml:space="preserve">  </w:t>
      </w:r>
    </w:p>
    <w:p>
      <w:pP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征集人性质：集中采购机构</w:t>
      </w:r>
    </w:p>
    <w:p>
      <w:pPr>
        <w:pStyle w:val="2"/>
        <w:rPr>
          <w:rFonts w:hint="eastAsia" w:ascii="宋体" w:hAnsi="宋体" w:eastAsia="宋体" w:cs="宋体"/>
          <w:b/>
          <w:color w:val="auto"/>
          <w:sz w:val="30"/>
          <w:szCs w:val="30"/>
          <w:highlight w:val="none"/>
          <w:lang w:val="en-US" w:eastAsia="zh-CN"/>
        </w:rPr>
      </w:pPr>
    </w:p>
    <w:p>
      <w:pPr>
        <w:pStyle w:val="4"/>
        <w:rPr>
          <w:rFonts w:hint="eastAsia"/>
          <w:highlight w:val="none"/>
          <w:lang w:val="en-US" w:eastAsia="zh-CN"/>
        </w:rPr>
      </w:pPr>
    </w:p>
    <w:p>
      <w:pPr>
        <w:pStyle w:val="2"/>
        <w:rPr>
          <w:rFonts w:hint="eastAsia" w:eastAsia="宋体" w:cs="宋体"/>
          <w:b/>
          <w:color w:val="auto"/>
          <w:sz w:val="30"/>
          <w:szCs w:val="30"/>
          <w:highlight w:val="none"/>
          <w:lang w:val="en-US" w:eastAsia="zh-CN"/>
        </w:rPr>
      </w:pPr>
      <w:r>
        <w:rPr>
          <w:rFonts w:hint="eastAsia" w:eastAsia="宋体" w:cs="宋体"/>
          <w:b/>
          <w:color w:val="auto"/>
          <w:sz w:val="30"/>
          <w:szCs w:val="30"/>
          <w:highlight w:val="none"/>
          <w:lang w:val="en-US" w:eastAsia="zh-CN"/>
        </w:rPr>
        <w:t xml:space="preserve">                        </w:t>
      </w:r>
      <w:r>
        <w:rPr>
          <w:rFonts w:hint="eastAsia" w:cs="宋体"/>
          <w:b/>
          <w:color w:val="auto"/>
          <w:sz w:val="30"/>
          <w:szCs w:val="30"/>
          <w:highlight w:val="none"/>
          <w:lang w:val="en-US" w:eastAsia="zh-CN"/>
        </w:rPr>
        <w:t xml:space="preserve"> 2025年2月26日</w:t>
      </w:r>
    </w:p>
    <w:p>
      <w:pPr>
        <w:pStyle w:val="2"/>
        <w:rPr>
          <w:rFonts w:hint="eastAsia" w:eastAsia="宋体" w:cs="宋体"/>
          <w:b/>
          <w:color w:val="auto"/>
          <w:sz w:val="30"/>
          <w:szCs w:val="30"/>
          <w:highlight w:val="none"/>
          <w:lang w:val="en-US" w:eastAsia="zh-CN"/>
        </w:rPr>
      </w:pPr>
    </w:p>
    <w:p>
      <w:pPr>
        <w:pStyle w:val="4"/>
        <w:rPr>
          <w:rFonts w:hint="eastAsia" w:eastAsia="宋体" w:cs="宋体"/>
          <w:b/>
          <w:color w:val="auto"/>
          <w:sz w:val="30"/>
          <w:szCs w:val="30"/>
          <w:highlight w:val="none"/>
          <w:lang w:val="en-US" w:eastAsia="zh-CN"/>
        </w:rPr>
      </w:pPr>
    </w:p>
    <w:p>
      <w:pPr>
        <w:rPr>
          <w:rFonts w:hint="eastAsia" w:eastAsia="宋体" w:cs="宋体"/>
          <w:b/>
          <w:color w:val="auto"/>
          <w:sz w:val="30"/>
          <w:szCs w:val="30"/>
          <w:highlight w:val="none"/>
          <w:lang w:val="en-US" w:eastAsia="zh-CN"/>
        </w:rPr>
      </w:pPr>
    </w:p>
    <w:p>
      <w:pPr>
        <w:pStyle w:val="17"/>
        <w:rPr>
          <w:rFonts w:hint="eastAsia" w:eastAsia="宋体" w:cs="宋体"/>
          <w:b/>
          <w:color w:val="auto"/>
          <w:sz w:val="30"/>
          <w:szCs w:val="30"/>
          <w:highlight w:val="none"/>
          <w:lang w:val="en-US" w:eastAsia="zh-CN"/>
        </w:rPr>
      </w:pPr>
    </w:p>
    <w:p>
      <w:pPr>
        <w:pStyle w:val="17"/>
        <w:rPr>
          <w:rFonts w:hint="eastAsia" w:eastAsia="宋体" w:cs="宋体"/>
          <w:b/>
          <w:color w:val="auto"/>
          <w:sz w:val="30"/>
          <w:szCs w:val="30"/>
          <w:highlight w:val="none"/>
          <w:lang w:val="en-US" w:eastAsia="zh-CN"/>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8"/>
          <w:szCs w:val="28"/>
          <w:highlight w:val="none"/>
          <w:lang w:eastAsia="zh-CN"/>
        </w:rPr>
      </w:pPr>
      <w:r>
        <w:rPr>
          <w:rFonts w:hint="eastAsia" w:ascii="宋体" w:hAnsi="宋体" w:cs="宋体"/>
          <w:b/>
          <w:bCs/>
          <w:color w:val="auto"/>
          <w:sz w:val="28"/>
          <w:szCs w:val="28"/>
          <w:highlight w:val="none"/>
          <w:lang w:eastAsia="zh-CN"/>
        </w:rPr>
        <w:t>2025-2026年度嘉兴市（含五县四区）资产评估服务开放式框架协议</w:t>
      </w:r>
      <w:r>
        <w:rPr>
          <w:rFonts w:hint="eastAsia" w:ascii="宋体" w:hAnsi="宋体" w:eastAsia="宋体" w:cs="宋体"/>
          <w:b/>
          <w:bCs/>
          <w:color w:val="auto"/>
          <w:sz w:val="28"/>
          <w:szCs w:val="28"/>
          <w:highlight w:val="none"/>
        </w:rPr>
        <w:t>征集</w:t>
      </w:r>
      <w:r>
        <w:rPr>
          <w:rFonts w:hint="eastAsia" w:ascii="宋体" w:hAnsi="宋体" w:eastAsia="宋体" w:cs="宋体"/>
          <w:b/>
          <w:bCs/>
          <w:color w:val="auto"/>
          <w:sz w:val="28"/>
          <w:szCs w:val="28"/>
          <w:highlight w:val="none"/>
          <w:lang w:eastAsia="zh-CN"/>
        </w:rPr>
        <w:t>文件</w:t>
      </w:r>
    </w:p>
    <w:p>
      <w:pPr>
        <w:pStyle w:val="9"/>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平湖</w:t>
      </w:r>
      <w:r>
        <w:rPr>
          <w:rFonts w:hint="eastAsia" w:ascii="宋体" w:hAnsi="宋体" w:eastAsia="宋体" w:cs="宋体"/>
          <w:color w:val="auto"/>
          <w:sz w:val="24"/>
          <w:szCs w:val="24"/>
          <w:highlight w:val="none"/>
          <w:lang w:eastAsia="zh-CN"/>
        </w:rPr>
        <w:t>市公共资源交易中心作为征集人，就“</w:t>
      </w:r>
      <w:r>
        <w:rPr>
          <w:rFonts w:hint="eastAsia" w:hAnsi="宋体" w:cs="宋体"/>
          <w:bCs/>
          <w:color w:val="auto"/>
          <w:sz w:val="24"/>
          <w:szCs w:val="24"/>
          <w:highlight w:val="none"/>
          <w:lang w:eastAsia="zh-CN"/>
        </w:rPr>
        <w:t>2025-2026年度嘉兴市（含五县四区）资产评估服务开放式框架协议</w:t>
      </w:r>
      <w:r>
        <w:rPr>
          <w:rFonts w:hint="eastAsia" w:ascii="宋体" w:hAnsi="宋体" w:eastAsia="宋体" w:cs="宋体"/>
          <w:color w:val="auto"/>
          <w:sz w:val="24"/>
          <w:szCs w:val="24"/>
          <w:highlight w:val="none"/>
          <w:lang w:eastAsia="zh-CN"/>
        </w:rPr>
        <w:t>”进行框架协议采购，邀请</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lang w:eastAsia="zh-CN"/>
        </w:rPr>
        <w:t>供应商加入框架协议。现将本次采购有关事项公告如下</w:t>
      </w:r>
      <w:r>
        <w:rPr>
          <w:rFonts w:hint="eastAsia" w:ascii="宋体" w:hAnsi="宋体" w:eastAsia="宋体" w:cs="宋体"/>
          <w:color w:val="auto"/>
          <w:sz w:val="24"/>
          <w:szCs w:val="24"/>
          <w:highlight w:val="none"/>
        </w:rPr>
        <w:t>：</w:t>
      </w:r>
    </w:p>
    <w:p>
      <w:pPr>
        <w:pStyle w:val="9"/>
        <w:pageBreakBefore w:val="0"/>
        <w:numPr>
          <w:ilvl w:val="0"/>
          <w:numId w:val="1"/>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供应商须知</w:t>
      </w:r>
    </w:p>
    <w:p>
      <w:pPr>
        <w:pStyle w:val="9"/>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项目编号：</w:t>
      </w:r>
      <w:r>
        <w:rPr>
          <w:rFonts w:hint="eastAsia" w:hAnsi="宋体" w:cs="宋体"/>
          <w:b w:val="0"/>
          <w:bCs/>
          <w:color w:val="auto"/>
          <w:sz w:val="24"/>
          <w:szCs w:val="24"/>
          <w:highlight w:val="none"/>
          <w:lang w:eastAsia="zh-CN"/>
        </w:rPr>
        <w:t>平政采招2025-07</w:t>
      </w:r>
    </w:p>
    <w:p>
      <w:pPr>
        <w:pStyle w:val="9"/>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项目名称：</w:t>
      </w:r>
      <w:r>
        <w:rPr>
          <w:rFonts w:hint="eastAsia" w:hAnsi="宋体" w:cs="宋体"/>
          <w:color w:val="auto"/>
          <w:sz w:val="24"/>
          <w:szCs w:val="24"/>
          <w:highlight w:val="none"/>
          <w:lang w:eastAsia="zh-CN"/>
        </w:rPr>
        <w:t>2025-2026年度嘉兴市（含五县四区）资产评估服务开放式框架协议</w:t>
      </w:r>
    </w:p>
    <w:p>
      <w:pPr>
        <w:pStyle w:val="9"/>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采购内容</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eastAsia="zh-CN"/>
        </w:rPr>
        <w:t>通过公开征集程序，</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eastAsia="zh-CN"/>
        </w:rPr>
        <w:t>2025-2026年度</w:t>
      </w:r>
      <w:r>
        <w:rPr>
          <w:rFonts w:hint="eastAsia" w:hAnsi="宋体" w:cs="宋体"/>
          <w:color w:val="auto"/>
          <w:sz w:val="24"/>
          <w:szCs w:val="24"/>
          <w:highlight w:val="none"/>
          <w:lang w:eastAsia="zh-CN"/>
        </w:rPr>
        <w:t>嘉兴市级（含南湖区、秀洲区、经开区、浙江乍浦经济开发区）</w:t>
      </w:r>
      <w:r>
        <w:rPr>
          <w:rFonts w:hint="eastAsia" w:ascii="宋体" w:hAnsi="宋体" w:eastAsia="宋体" w:cs="宋体"/>
          <w:color w:val="auto"/>
          <w:sz w:val="24"/>
          <w:szCs w:val="24"/>
          <w:highlight w:val="none"/>
        </w:rPr>
        <w:t>以及</w:t>
      </w:r>
      <w:r>
        <w:rPr>
          <w:rFonts w:hint="eastAsia" w:hAnsi="宋体" w:cs="宋体"/>
          <w:color w:val="auto"/>
          <w:sz w:val="24"/>
          <w:szCs w:val="24"/>
          <w:highlight w:val="none"/>
          <w:lang w:eastAsia="zh-CN"/>
        </w:rPr>
        <w:t>平湖市</w:t>
      </w:r>
      <w:r>
        <w:rPr>
          <w:rFonts w:hint="eastAsia" w:ascii="宋体" w:hAnsi="宋体" w:eastAsia="宋体" w:cs="宋体"/>
          <w:color w:val="auto"/>
          <w:sz w:val="24"/>
          <w:szCs w:val="24"/>
          <w:highlight w:val="none"/>
        </w:rPr>
        <w:t>、海宁市、桐乡市、嘉善县和海盐县国家机关、事业单位和团体组织</w:t>
      </w:r>
      <w:r>
        <w:rPr>
          <w:rFonts w:hint="eastAsia" w:ascii="宋体" w:hAnsi="宋体" w:eastAsia="宋体" w:cs="宋体"/>
          <w:color w:val="auto"/>
          <w:sz w:val="24"/>
          <w:szCs w:val="24"/>
          <w:highlight w:val="none"/>
          <w:lang w:eastAsia="zh-CN"/>
        </w:rPr>
        <w:t>资产评估服务</w:t>
      </w:r>
      <w:r>
        <w:rPr>
          <w:rFonts w:hint="eastAsia" w:ascii="宋体" w:hAnsi="宋体" w:eastAsia="宋体" w:cs="宋体"/>
          <w:color w:val="auto"/>
          <w:sz w:val="24"/>
          <w:szCs w:val="24"/>
          <w:highlight w:val="none"/>
        </w:rPr>
        <w:t>项目供应商。</w:t>
      </w:r>
    </w:p>
    <w:tbl>
      <w:tblPr>
        <w:tblStyle w:val="12"/>
        <w:tblpPr w:leftFromText="180" w:rightFromText="180" w:vertAnchor="text" w:tblpXSpec="left" w:tblpY="1"/>
        <w:tblOverlap w:val="never"/>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907"/>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7" w:type="dxa"/>
            <w:noWrap w:val="0"/>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标项</w:t>
            </w:r>
          </w:p>
        </w:tc>
        <w:tc>
          <w:tcPr>
            <w:tcW w:w="1907" w:type="dxa"/>
            <w:noWrap w:val="0"/>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项目内容</w:t>
            </w:r>
          </w:p>
        </w:tc>
        <w:tc>
          <w:tcPr>
            <w:tcW w:w="5518" w:type="dxa"/>
            <w:noWrap w:val="0"/>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7" w:type="dxa"/>
            <w:noWrap w:val="0"/>
            <w:vAlign w:val="center"/>
          </w:tcPr>
          <w:p>
            <w:pPr>
              <w:pageBreakBefore w:val="0"/>
              <w:kinsoku/>
              <w:wordWrap/>
              <w:overflowPunct/>
              <w:topLinePunct w:val="0"/>
              <w:autoSpaceDE/>
              <w:autoSpaceDN/>
              <w:bidi w:val="0"/>
              <w:adjustRightInd/>
              <w:spacing w:before="120"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w:t>
            </w:r>
          </w:p>
        </w:tc>
        <w:tc>
          <w:tcPr>
            <w:tcW w:w="1907" w:type="dxa"/>
            <w:noWrap w:val="0"/>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资产评估服务</w:t>
            </w:r>
          </w:p>
        </w:tc>
        <w:tc>
          <w:tcPr>
            <w:tcW w:w="5518" w:type="dxa"/>
            <w:noWrap w:val="0"/>
            <w:vAlign w:val="center"/>
          </w:tcPr>
          <w:p>
            <w:pPr>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指评估机构及其评估专业人员根据委托对不动产、动产、无形资产、资产损失或者其他经济权益进行评定、估算，并出具评估报告的专业服务行为。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7" w:type="dxa"/>
            <w:noWrap w:val="0"/>
            <w:vAlign w:val="center"/>
          </w:tcPr>
          <w:p>
            <w:pPr>
              <w:pageBreakBefore w:val="0"/>
              <w:kinsoku/>
              <w:wordWrap/>
              <w:overflowPunct/>
              <w:topLinePunct w:val="0"/>
              <w:autoSpaceDE/>
              <w:autoSpaceDN/>
              <w:bidi w:val="0"/>
              <w:adjustRightInd/>
              <w:spacing w:before="120"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二</w:t>
            </w:r>
          </w:p>
        </w:tc>
        <w:tc>
          <w:tcPr>
            <w:tcW w:w="1907" w:type="dxa"/>
            <w:noWrap w:val="0"/>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土地评估</w:t>
            </w:r>
            <w:r>
              <w:rPr>
                <w:rFonts w:hint="eastAsia" w:ascii="宋体" w:hAnsi="宋体" w:cs="宋体"/>
                <w:color w:val="auto"/>
                <w:kern w:val="0"/>
                <w:sz w:val="24"/>
                <w:szCs w:val="24"/>
                <w:highlight w:val="none"/>
                <w:lang w:val="en-US" w:eastAsia="zh-CN" w:bidi="ar-SA"/>
              </w:rPr>
              <w:t>服务</w:t>
            </w:r>
          </w:p>
        </w:tc>
        <w:tc>
          <w:tcPr>
            <w:tcW w:w="5518" w:type="dxa"/>
            <w:noWrap w:val="0"/>
            <w:vAlign w:val="center"/>
          </w:tcPr>
          <w:p>
            <w:pPr>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包括国有土地使用权协议、公开出让价格的评估；</w:t>
            </w:r>
          </w:p>
          <w:p>
            <w:pPr>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行政划拨土地使用权补办出让手续地价的评估；改变规划设计条件应补交土地出让金的评估；改变原批准的土地使用用途，应补交土地使用权出让金的评估；法律法规等规定其它需补办出让手续补交土地出让金的评估。</w:t>
            </w:r>
          </w:p>
        </w:tc>
      </w:tr>
    </w:tbl>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color w:val="auto"/>
          <w:kern w:val="0"/>
          <w:sz w:val="24"/>
          <w:szCs w:val="24"/>
          <w:highlight w:val="none"/>
          <w:lang w:val="en-US" w:eastAsia="zh-CN" w:bidi="ar-SA"/>
        </w:rPr>
        <w:t>（四）框架协议的期限：</w:t>
      </w:r>
      <w:r>
        <w:rPr>
          <w:rFonts w:hint="eastAsia" w:ascii="宋体" w:hAnsi="宋体" w:cs="宋体"/>
          <w:color w:val="auto"/>
          <w:kern w:val="0"/>
          <w:sz w:val="24"/>
          <w:szCs w:val="24"/>
          <w:highlight w:val="none"/>
          <w:lang w:val="en-US" w:eastAsia="zh-CN" w:bidi="ar-SA"/>
        </w:rPr>
        <w:t>自2025年3月1日至2027年2月28日</w:t>
      </w:r>
      <w:r>
        <w:rPr>
          <w:rFonts w:hint="eastAsia" w:ascii="宋体" w:hAnsi="宋体" w:eastAsia="宋体" w:cs="宋体"/>
          <w:color w:val="auto"/>
          <w:kern w:val="0"/>
          <w:sz w:val="24"/>
          <w:szCs w:val="24"/>
          <w:highlight w:val="none"/>
          <w:lang w:val="en-US" w:eastAsia="zh-CN" w:bidi="ar-SA"/>
        </w:rPr>
        <w:t>。</w:t>
      </w:r>
    </w:p>
    <w:p>
      <w:pPr>
        <w:pStyle w:val="2"/>
        <w:pageBreakBefore w:val="0"/>
        <w:kinsoku/>
        <w:wordWrap/>
        <w:overflowPunct/>
        <w:topLinePunct w:val="0"/>
        <w:autoSpaceDE/>
        <w:autoSpaceDN/>
        <w:bidi w:val="0"/>
        <w:adjustRightInd/>
        <w:spacing w:line="360" w:lineRule="auto"/>
        <w:ind w:left="0" w:leftChars="0" w:firstLine="482"/>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）服务对象范围：</w:t>
      </w:r>
      <w:r>
        <w:rPr>
          <w:rFonts w:hint="eastAsia" w:cs="宋体"/>
          <w:color w:val="auto"/>
          <w:sz w:val="24"/>
          <w:szCs w:val="24"/>
          <w:highlight w:val="none"/>
          <w:lang w:eastAsia="zh-CN"/>
        </w:rPr>
        <w:t>嘉兴市级（含南湖区、秀洲区、经开区、浙江乍浦经济开发区）</w:t>
      </w:r>
      <w:r>
        <w:rPr>
          <w:rFonts w:hint="eastAsia" w:ascii="宋体" w:hAnsi="宋体" w:eastAsia="宋体" w:cs="宋体"/>
          <w:color w:val="auto"/>
          <w:sz w:val="24"/>
          <w:szCs w:val="24"/>
          <w:highlight w:val="none"/>
        </w:rPr>
        <w:t>以及</w:t>
      </w:r>
      <w:r>
        <w:rPr>
          <w:rFonts w:hint="eastAsia" w:cs="宋体"/>
          <w:color w:val="auto"/>
          <w:sz w:val="24"/>
          <w:szCs w:val="24"/>
          <w:highlight w:val="none"/>
          <w:lang w:eastAsia="zh-CN"/>
        </w:rPr>
        <w:t>平湖市</w:t>
      </w:r>
      <w:r>
        <w:rPr>
          <w:rFonts w:hint="eastAsia" w:ascii="宋体" w:hAnsi="宋体" w:eastAsia="宋体" w:cs="宋体"/>
          <w:color w:val="auto"/>
          <w:sz w:val="24"/>
          <w:szCs w:val="24"/>
          <w:highlight w:val="none"/>
        </w:rPr>
        <w:t>、海宁市、桐乡市、嘉善县和海盐县国家机关、事业单位和团体组织</w:t>
      </w:r>
      <w:r>
        <w:rPr>
          <w:rFonts w:hint="eastAsia" w:ascii="宋体" w:hAnsi="宋体" w:eastAsia="宋体" w:cs="宋体"/>
          <w:color w:val="auto"/>
          <w:sz w:val="24"/>
          <w:szCs w:val="24"/>
          <w:highlight w:val="none"/>
          <w:lang w:eastAsia="zh-CN"/>
        </w:rPr>
        <w:t>。</w:t>
      </w:r>
    </w:p>
    <w:p>
      <w:pPr>
        <w:pageBreakBefore w:val="0"/>
        <w:widowControl/>
        <w:numPr>
          <w:ilvl w:val="0"/>
          <w:numId w:val="0"/>
        </w:numPr>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（六）服务内容及要求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标项一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资产评估服务指评估机构及其评估专业人员根据委托对不动产、动产、无形资产、资产损失或者其他经济权益进行评定、估算，并出具评估报告的专业服务行为。</w:t>
      </w:r>
      <w:r>
        <w:rPr>
          <w:rFonts w:hint="eastAsia" w:ascii="宋体" w:hAnsi="宋体" w:eastAsia="宋体" w:cs="宋体"/>
          <w:bCs/>
          <w:color w:val="auto"/>
          <w:kern w:val="0"/>
          <w:sz w:val="24"/>
          <w:szCs w:val="24"/>
          <w:highlight w:val="none"/>
          <w:lang w:val="en-US" w:eastAsia="zh-CN" w:bidi="ar-SA"/>
        </w:rPr>
        <w:t>根据浙财采监〔2022〕13 号规定，市级（杭州市本级、宁波市本级除外）50 万元，县级 30 万元，即嘉兴市本级为50万限额，五县四区为30万限额。供应商可依据项目实际金额大小，自主决定是否加入本次框架协议采购。</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0" w:leftChars="0" w:firstLine="480" w:firstLineChars="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供应商提供的资产评估服务必须符合《中华人民共和国资产评估法》、</w:t>
      </w:r>
      <w:r>
        <w:rPr>
          <w:rFonts w:hint="eastAsia" w:ascii="宋体" w:hAnsi="宋体" w:eastAsia="宋体" w:cs="宋体"/>
          <w:color w:val="auto"/>
          <w:sz w:val="24"/>
          <w:szCs w:val="24"/>
          <w:highlight w:val="none"/>
          <w:lang w:val="en-US" w:eastAsia="zh-CN"/>
        </w:rPr>
        <w:t>《国有资产评估管理办法》、</w:t>
      </w:r>
      <w:r>
        <w:rPr>
          <w:rFonts w:hint="eastAsia" w:ascii="宋体" w:hAnsi="宋体" w:eastAsia="宋体" w:cs="宋体"/>
          <w:bCs/>
          <w:color w:val="auto"/>
          <w:kern w:val="0"/>
          <w:sz w:val="24"/>
          <w:szCs w:val="24"/>
          <w:highlight w:val="none"/>
          <w:lang w:val="en-US" w:eastAsia="zh-CN" w:bidi="ar-SA"/>
        </w:rPr>
        <w:t>《浙江省资产评估机构财政监督管理实施办法》。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提供评估服务时，应当指定至少两名资产评估师承办。其中一人为项目负责人，负责联系本项目的一切相关事宜。且服务期内原则上不得更换（因无法胜任，经采购人要求更换除外），如因不可抗力原因确需变更的，不得低于原项目负责人资质要求且需经采购人同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3、应当根据评估业务具体情况，对评估对象进行现场调查，收集权属证明、财务会计信息和其他资料并进行核查验证、分析整理，作为评估的依据。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4、根据项目情况和评估准则，合理选择评估办法，形成评估结</w:t>
      </w:r>
      <w:r>
        <w:rPr>
          <w:rFonts w:hint="eastAsia" w:ascii="宋体" w:hAnsi="宋体" w:eastAsia="宋体" w:cs="宋体"/>
          <w:color w:val="auto"/>
          <w:sz w:val="24"/>
          <w:szCs w:val="24"/>
          <w:highlight w:val="none"/>
          <w:lang w:val="en-US" w:eastAsia="zh-CN"/>
        </w:rPr>
        <w:t>论，编制评估报告。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bidi="ar-SA"/>
        </w:rPr>
        <w:t>5、评估报告应当由至少两名承办该项业务的评估专业人员签名并加盖评估机构印章。评估机构及其评估专业人员对其出具的评估报告依法承担责任，不得出具虚假评估报告。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6、采购单位有权要求与相关当事人及评估对象有利害关系的评估专业人员回避。采购单位对评估报告有异议的，可以要求评估机构解释。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7、协助有关部门做好对采购人经办人的廉政工作，防止腐败现象的出现。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标项二</w:t>
      </w:r>
    </w:p>
    <w:p>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土地评估服务包括国有土地使用权协议、公开出让价格的评估；行政划拨土地使用权补办出让手续地价的评估；改变规划设计条件应补交土地出让金的评估；改变原批准的土地使用用途，应补交土地使用权出让金的评估；法律法规等规定其它需补办出让手续补交土地出让金的评估。根据浙财采监〔2022〕13 号规定，市级（杭州市本级、宁波市本级除外）50 万元，县级 30 万元，即嘉兴市本级为50万限额，五县四区为30万限额。供应商可依据项目实际金额大小，自主决定是否加入本次框架协议采购。</w:t>
      </w:r>
    </w:p>
    <w:p>
      <w:pPr>
        <w:pStyle w:val="17"/>
        <w:keepNext w:val="0"/>
        <w:keepLines w:val="0"/>
        <w:pageBreakBefore w:val="0"/>
        <w:numPr>
          <w:ilvl w:val="0"/>
          <w:numId w:val="3"/>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土地评估服务严格按照《城镇土地估价规程》（GB/T18508-2014）、《国有建设用地使用权出让地价评估技术规范（试行）》（国土资厅发〔2013〕20号）、《国土资源部办公厅关于实施&lt;城镇土地分等定级规程&gt;和&lt;城镇土地估价规程&gt;有关问题的通知》（国土资厅发〔2015〕12号）等国家和省、市制定的相关法律、法规、规程、规范进行地价评估，出具估价报告并及时报部备案，提供评估过程中形成的有关资料、文件依据、数据和成果。</w:t>
      </w:r>
    </w:p>
    <w:p>
      <w:pPr>
        <w:pStyle w:val="17"/>
        <w:keepNext w:val="0"/>
        <w:keepLines w:val="0"/>
        <w:pageBreakBefore w:val="0"/>
        <w:numPr>
          <w:ilvl w:val="0"/>
          <w:numId w:val="3"/>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根据工作需要做好评估项目的情况汇报和相关的技术解释工作。</w:t>
      </w:r>
    </w:p>
    <w:p>
      <w:pPr>
        <w:pStyle w:val="17"/>
        <w:keepNext w:val="0"/>
        <w:keepLines w:val="0"/>
        <w:pageBreakBefore w:val="0"/>
        <w:numPr>
          <w:ilvl w:val="0"/>
          <w:numId w:val="3"/>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提供土地评估方面和土地价格信息的咨询。</w:t>
      </w:r>
    </w:p>
    <w:p>
      <w:pPr>
        <w:pStyle w:val="17"/>
        <w:keepNext w:val="0"/>
        <w:keepLines w:val="0"/>
        <w:pageBreakBefore w:val="0"/>
        <w:numPr>
          <w:ilvl w:val="0"/>
          <w:numId w:val="3"/>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妥善保管委托时提供的资料，不得向用地单位或利益相关人泄露评估结果及内容，自觉接受监督和管理。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（七）费用计算标准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标项一</w:t>
      </w:r>
    </w:p>
    <w:p>
      <w:pPr>
        <w:pStyle w:val="1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资产评估服务费计费分两种方式：按工作量计时收费方式或按差额定率累进计费方式。按差额定率累进计费方式的，计费基数为账面原值。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787"/>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22" w:type="dxa"/>
            <w:gridSpan w:val="3"/>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hAnsi="宋体" w:eastAsia="宋体" w:cs="宋体"/>
                <w:bCs/>
                <w:color w:val="auto"/>
                <w:kern w:val="0"/>
                <w:highlight w:val="none"/>
                <w:lang w:eastAsia="zh-CN"/>
              </w:rPr>
            </w:pPr>
            <w:r>
              <w:rPr>
                <w:rFonts w:hint="eastAsia" w:hAnsi="宋体" w:cs="宋体"/>
                <w:b/>
                <w:bCs w:val="0"/>
                <w:color w:val="auto"/>
                <w:kern w:val="0"/>
                <w:sz w:val="32"/>
                <w:szCs w:val="32"/>
                <w:highlight w:val="none"/>
                <w:lang w:eastAsia="zh-CN"/>
              </w:rPr>
              <w:t>资产评估服务费标准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gridSpan w:val="3"/>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hAnsi="宋体" w:cs="宋体"/>
                <w:bCs/>
                <w:color w:val="auto"/>
                <w:kern w:val="0"/>
                <w:highlight w:val="none"/>
              </w:rPr>
            </w:pPr>
            <w:r>
              <w:rPr>
                <w:rFonts w:hint="eastAsia"/>
                <w:b/>
                <w:bCs/>
                <w:color w:val="auto"/>
                <w:highlight w:val="none"/>
                <w:lang w:eastAsia="zh-CN"/>
              </w:rPr>
              <w:t>一、按工作量计时收费方式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767" w:type="dxa"/>
            <w:gridSpan w:val="2"/>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hAnsi="宋体" w:cs="宋体"/>
                <w:bCs/>
                <w:color w:val="auto"/>
                <w:kern w:val="0"/>
                <w:highlight w:val="none"/>
                <w:lang w:eastAsia="zh-CN"/>
              </w:rPr>
            </w:pPr>
            <w:r>
              <w:rPr>
                <w:rFonts w:hint="eastAsia" w:hAnsi="宋体" w:cs="宋体"/>
                <w:bCs/>
                <w:color w:val="auto"/>
                <w:kern w:val="0"/>
                <w:highlight w:val="none"/>
                <w:lang w:eastAsia="zh-CN"/>
              </w:rPr>
              <w:t>资产评估师</w:t>
            </w:r>
          </w:p>
        </w:tc>
        <w:tc>
          <w:tcPr>
            <w:tcW w:w="3755"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hAnsi="宋体" w:cs="宋体"/>
                <w:bCs/>
                <w:color w:val="auto"/>
                <w:kern w:val="0"/>
                <w:highlight w:val="none"/>
                <w:lang w:eastAsia="zh-CN"/>
              </w:rPr>
            </w:pPr>
            <w:r>
              <w:rPr>
                <w:rFonts w:hint="eastAsia" w:hAnsi="宋体" w:cs="宋体"/>
                <w:bCs/>
                <w:color w:val="auto"/>
                <w:kern w:val="0"/>
                <w:highlight w:val="none"/>
                <w:lang w:val="en-US" w:eastAsia="zh-CN"/>
              </w:rPr>
              <w:t>800</w:t>
            </w:r>
            <w:r>
              <w:rPr>
                <w:rFonts w:hint="eastAsia" w:hAnsi="宋体" w:cs="宋体"/>
                <w:bCs/>
                <w:color w:val="auto"/>
                <w:kern w:val="0"/>
                <w:highlight w:val="none"/>
                <w:lang w:eastAsia="zh-CN"/>
              </w:rPr>
              <w:t>元/半天•人</w:t>
            </w:r>
            <w:r>
              <w:rPr>
                <w:rFonts w:hint="eastAsia" w:hAnsi="宋体" w:cs="宋体"/>
                <w:b/>
                <w:bCs w:val="0"/>
                <w:color w:val="auto"/>
                <w:kern w:val="0"/>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767" w:type="dxa"/>
            <w:gridSpan w:val="2"/>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hAnsi="宋体" w:cs="宋体"/>
                <w:bCs/>
                <w:color w:val="auto"/>
                <w:kern w:val="0"/>
                <w:highlight w:val="none"/>
                <w:lang w:eastAsia="zh-CN"/>
              </w:rPr>
            </w:pPr>
            <w:r>
              <w:rPr>
                <w:rFonts w:hint="eastAsia" w:hAnsi="宋体" w:cs="宋体"/>
                <w:bCs/>
                <w:color w:val="auto"/>
                <w:kern w:val="0"/>
                <w:highlight w:val="none"/>
                <w:lang w:eastAsia="zh-CN"/>
              </w:rPr>
              <w:t>助理人员</w:t>
            </w:r>
          </w:p>
        </w:tc>
        <w:tc>
          <w:tcPr>
            <w:tcW w:w="3755"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default" w:hAnsi="宋体" w:cs="宋体"/>
                <w:bCs/>
                <w:color w:val="auto"/>
                <w:kern w:val="0"/>
                <w:highlight w:val="none"/>
                <w:lang w:val="en-US" w:eastAsia="zh-CN"/>
              </w:rPr>
            </w:pPr>
            <w:r>
              <w:rPr>
                <w:rFonts w:hint="eastAsia" w:hAnsi="宋体" w:cs="宋体"/>
                <w:bCs/>
                <w:color w:val="auto"/>
                <w:kern w:val="0"/>
                <w:highlight w:val="none"/>
                <w:lang w:val="en-US" w:eastAsia="zh-CN"/>
              </w:rPr>
              <w:t>500元</w:t>
            </w:r>
            <w:r>
              <w:rPr>
                <w:rFonts w:hint="eastAsia" w:hAnsi="宋体" w:cs="宋体"/>
                <w:bCs/>
                <w:color w:val="auto"/>
                <w:kern w:val="0"/>
                <w:highlight w:val="none"/>
                <w:lang w:eastAsia="zh-CN"/>
              </w:rPr>
              <w:t>/半天•人</w:t>
            </w:r>
            <w:r>
              <w:rPr>
                <w:rFonts w:hint="eastAsia" w:hAnsi="宋体" w:cs="宋体"/>
                <w:b/>
                <w:bCs w:val="0"/>
                <w:color w:val="auto"/>
                <w:kern w:val="0"/>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22" w:type="dxa"/>
            <w:gridSpan w:val="3"/>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left"/>
              <w:textAlignment w:val="auto"/>
              <w:rPr>
                <w:rFonts w:hint="default"/>
                <w:color w:val="auto"/>
                <w:highlight w:val="none"/>
                <w:lang w:val="en-US"/>
              </w:rPr>
            </w:pPr>
            <w:r>
              <w:rPr>
                <w:rFonts w:hint="default"/>
                <w:color w:val="auto"/>
                <w:highlight w:val="none"/>
                <w:lang w:val="en-US"/>
              </w:rPr>
              <w:t>其他服务人员每人收费要求（最高限价）：院士、全国知名专家，不超过2400元/半天；正高级专业技术职称人员，不超过1600元/半天；</w:t>
            </w:r>
            <w:r>
              <w:rPr>
                <w:rFonts w:hint="eastAsia"/>
                <w:color w:val="auto"/>
                <w:highlight w:val="none"/>
                <w:lang w:val="en-US" w:eastAsia="zh-CN"/>
              </w:rPr>
              <w:t>副高级</w:t>
            </w:r>
            <w:r>
              <w:rPr>
                <w:rFonts w:hint="default"/>
                <w:color w:val="auto"/>
                <w:highlight w:val="none"/>
                <w:lang w:val="en-US"/>
              </w:rPr>
              <w:t>专业技术职称人员，不超过</w:t>
            </w:r>
            <w:r>
              <w:rPr>
                <w:rFonts w:hint="eastAsia"/>
                <w:color w:val="auto"/>
                <w:highlight w:val="none"/>
                <w:lang w:val="en-US" w:eastAsia="zh-CN"/>
              </w:rPr>
              <w:t>800</w:t>
            </w:r>
            <w:r>
              <w:rPr>
                <w:rFonts w:hint="default"/>
                <w:color w:val="auto"/>
                <w:highlight w:val="none"/>
                <w:lang w:val="en-US"/>
              </w:rPr>
              <w:t>元/半天</w:t>
            </w:r>
            <w:r>
              <w:rPr>
                <w:rFonts w:hint="eastAsia"/>
                <w:color w:val="auto"/>
                <w:highlight w:val="none"/>
                <w:lang w:val="en-US" w:eastAsia="zh-CN"/>
              </w:rPr>
              <w:t>；</w:t>
            </w:r>
            <w:r>
              <w:rPr>
                <w:rFonts w:hint="default"/>
                <w:color w:val="auto"/>
                <w:highlight w:val="none"/>
                <w:lang w:val="en-US"/>
              </w:rPr>
              <w:t>中级及以下专业技术职称人员，不超过500元/半天。</w:t>
            </w:r>
          </w:p>
          <w:p>
            <w:pPr>
              <w:pageBreakBefore w:val="0"/>
              <w:kinsoku/>
              <w:wordWrap/>
              <w:overflowPunct/>
              <w:topLinePunct w:val="0"/>
              <w:bidi w:val="0"/>
              <w:adjustRightInd/>
              <w:spacing w:line="360" w:lineRule="auto"/>
              <w:textAlignment w:val="auto"/>
              <w:rPr>
                <w:rFonts w:hint="default"/>
                <w:color w:val="auto"/>
                <w:highlight w:val="none"/>
                <w:lang w:val="en-US" w:eastAsia="zh-CN"/>
              </w:rPr>
            </w:pPr>
            <w:r>
              <w:rPr>
                <w:rFonts w:hint="eastAsia"/>
                <w:color w:val="auto"/>
                <w:highlight w:val="none"/>
                <w:lang w:eastAsia="zh-CN"/>
              </w:rPr>
              <w:t>注：</w:t>
            </w:r>
            <w:r>
              <w:rPr>
                <w:rFonts w:hint="eastAsia"/>
                <w:color w:val="auto"/>
                <w:highlight w:val="none"/>
              </w:rPr>
              <w:t>一天工作时间按8小时计算</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22" w:type="dxa"/>
            <w:gridSpan w:val="3"/>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hAnsi="宋体" w:cs="宋体"/>
                <w:bCs/>
                <w:color w:val="auto"/>
                <w:kern w:val="0"/>
                <w:highlight w:val="none"/>
              </w:rPr>
            </w:pPr>
            <w:r>
              <w:rPr>
                <w:rFonts w:hint="eastAsia" w:hAnsi="宋体" w:cs="宋体"/>
                <w:b/>
                <w:bCs w:val="0"/>
                <w:color w:val="auto"/>
                <w:kern w:val="0"/>
                <w:highlight w:val="none"/>
                <w:lang w:eastAsia="zh-CN"/>
              </w:rPr>
              <w:t>二、</w:t>
            </w:r>
            <w:r>
              <w:rPr>
                <w:rFonts w:hint="eastAsia" w:hAnsi="宋体" w:cs="宋体"/>
                <w:b/>
                <w:bCs w:val="0"/>
                <w:color w:val="auto"/>
                <w:kern w:val="0"/>
                <w:highlight w:val="none"/>
              </w:rPr>
              <w:t>按差额定率累进计费方式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80"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档次</w:t>
            </w:r>
          </w:p>
        </w:tc>
        <w:tc>
          <w:tcPr>
            <w:tcW w:w="3787"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计费额度（万元）</w:t>
            </w:r>
          </w:p>
        </w:tc>
        <w:tc>
          <w:tcPr>
            <w:tcW w:w="3755"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差额计费率‰（</w:t>
            </w:r>
            <w:r>
              <w:rPr>
                <w:rFonts w:hint="eastAsia" w:hAnsi="宋体" w:cs="宋体"/>
                <w:b/>
                <w:bCs w:val="0"/>
                <w:color w:val="auto"/>
                <w:kern w:val="0"/>
                <w:highlight w:val="none"/>
              </w:rPr>
              <w:t>最高限价</w:t>
            </w:r>
            <w:r>
              <w:rPr>
                <w:rFonts w:hint="eastAsia" w:hAnsi="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1</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100以下（含100）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7</w:t>
            </w:r>
            <w:r>
              <w:rPr>
                <w:rFonts w:hint="eastAsia" w:ascii="仿宋_GB2312" w:hAnsi="宋体" w:eastAsia="仿宋_GB2312" w:cs="宋体"/>
                <w:bCs/>
                <w:color w:val="auto"/>
                <w:kern w:val="0"/>
                <w:sz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2</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100以上-1000（含1000）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3.5</w:t>
            </w:r>
            <w:r>
              <w:rPr>
                <w:rFonts w:hint="eastAsia" w:ascii="仿宋_GB2312" w:hAnsi="宋体" w:eastAsia="仿宋_GB2312" w:cs="宋体"/>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3</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1000以上-5000（含5000）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1.2</w:t>
            </w:r>
            <w:r>
              <w:rPr>
                <w:rFonts w:hint="eastAsia" w:ascii="仿宋_GB2312" w:hAnsi="宋体" w:eastAsia="仿宋_GB2312" w:cs="宋体"/>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4</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5000以上-10000（含10000）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5</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10000以上-100000（含100000）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6</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100000以上</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ascii="仿宋_GB2312" w:hAnsi="宋体" w:eastAsia="仿宋_GB2312" w:cs="宋体"/>
                <w:bCs/>
                <w:color w:val="auto"/>
                <w:kern w:val="0"/>
                <w:sz w:val="24"/>
                <w:highlight w:val="none"/>
                <w:lang w:val="zh-CN"/>
              </w:rPr>
            </w:pPr>
            <w:r>
              <w:rPr>
                <w:rFonts w:hint="eastAsia" w:ascii="仿宋_GB2312" w:hAnsi="宋体" w:eastAsia="仿宋_GB2312" w:cs="宋体"/>
                <w:bCs/>
                <w:color w:val="auto"/>
                <w:kern w:val="0"/>
                <w:sz w:val="24"/>
                <w:highlight w:val="none"/>
                <w:lang w:val="zh-CN"/>
              </w:rPr>
              <w:t>0.1</w:t>
            </w:r>
            <w:r>
              <w:rPr>
                <w:rFonts w:hint="eastAsia" w:ascii="仿宋_GB2312" w:hAnsi="宋体" w:eastAsia="仿宋_GB2312" w:cs="宋体"/>
                <w:bCs/>
                <w:color w:val="auto"/>
                <w:kern w:val="0"/>
                <w:sz w:val="24"/>
                <w:highlight w:val="none"/>
              </w:rPr>
              <w:t>0</w:t>
            </w:r>
          </w:p>
        </w:tc>
      </w:tr>
    </w:tbl>
    <w:p>
      <w:pPr>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Arial"/>
          <w:b/>
          <w:bCs/>
          <w:highlight w:val="none"/>
        </w:rPr>
      </w:pPr>
      <w:r>
        <w:rPr>
          <w:rFonts w:hint="eastAsia" w:ascii="宋体" w:hAnsi="宋体" w:cs="Arial"/>
          <w:b/>
          <w:bCs/>
          <w:highlight w:val="none"/>
        </w:rPr>
        <w:t>备注：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sz w:val="24"/>
          <w:highlight w:val="none"/>
          <w:lang w:val="en-US" w:eastAsia="zh-CN"/>
        </w:rPr>
        <w:t>（1）</w:t>
      </w:r>
      <w:r>
        <w:rPr>
          <w:rFonts w:hint="eastAsia" w:hAnsi="宋体" w:cs="宋体"/>
          <w:sz w:val="24"/>
          <w:highlight w:val="none"/>
        </w:rPr>
        <w:t>以上收费标准为基准价，供应商承诺在此基础的优惠率为</w:t>
      </w:r>
      <w:r>
        <w:rPr>
          <w:rFonts w:hint="eastAsia" w:hAnsi="宋体" w:cs="宋体"/>
          <w:sz w:val="24"/>
          <w:highlight w:val="none"/>
          <w:u w:val="single"/>
        </w:rPr>
        <w:t xml:space="preserve"> </w:t>
      </w:r>
      <w:r>
        <w:rPr>
          <w:rFonts w:hint="eastAsia" w:hAnsi="宋体" w:cs="宋体"/>
          <w:sz w:val="24"/>
          <w:highlight w:val="none"/>
          <w:u w:val="single"/>
          <w:lang w:val="en-US" w:eastAsia="zh-CN"/>
        </w:rPr>
        <w:t xml:space="preserve"> </w:t>
      </w:r>
      <w:r>
        <w:rPr>
          <w:rFonts w:hint="eastAsia" w:hAnsi="宋体" w:cs="宋体"/>
          <w:sz w:val="24"/>
          <w:highlight w:val="none"/>
          <w:u w:val="single"/>
        </w:rPr>
        <w:t xml:space="preserve"> </w:t>
      </w:r>
      <w:r>
        <w:rPr>
          <w:rFonts w:hint="eastAsia" w:hAnsi="宋体" w:cs="宋体"/>
          <w:sz w:val="24"/>
          <w:highlight w:val="none"/>
        </w:rPr>
        <w:t>%，</w:t>
      </w:r>
      <w:r>
        <w:rPr>
          <w:rFonts w:hint="eastAsia" w:hAnsi="宋体" w:cs="宋体"/>
          <w:b/>
          <w:bCs/>
          <w:sz w:val="24"/>
          <w:highlight w:val="none"/>
        </w:rPr>
        <w:t>（</w:t>
      </w:r>
      <w:r>
        <w:rPr>
          <w:rFonts w:hint="eastAsia" w:ascii="宋体" w:hAnsi="宋体"/>
          <w:highlight w:val="none"/>
        </w:rPr>
        <w:t>▲</w:t>
      </w:r>
      <w:r>
        <w:rPr>
          <w:rFonts w:hint="eastAsia" w:hAnsi="宋体" w:cs="宋体"/>
          <w:b/>
          <w:bCs/>
          <w:sz w:val="24"/>
          <w:highlight w:val="none"/>
        </w:rPr>
        <w:t>优惠率填列到百分比的个位数，如优惠率为12%有效，12.1%和12.01%均为无效）</w:t>
      </w:r>
      <w:r>
        <w:rPr>
          <w:rFonts w:hint="eastAsia" w:ascii="宋体" w:hAnsi="宋体" w:eastAsia="宋体" w:cs="宋体"/>
          <w:sz w:val="24"/>
          <w:szCs w:val="24"/>
          <w:highlight w:val="none"/>
        </w:rPr>
        <w:t>，</w:t>
      </w:r>
      <w:r>
        <w:rPr>
          <w:rFonts w:hint="eastAsia" w:ascii="宋体" w:hAnsi="宋体" w:eastAsia="宋体" w:cs="宋体"/>
          <w:bCs/>
          <w:color w:val="auto"/>
          <w:kern w:val="0"/>
          <w:sz w:val="24"/>
          <w:szCs w:val="24"/>
          <w:highlight w:val="none"/>
          <w:lang w:val="en-US" w:eastAsia="zh-CN" w:bidi="ar-SA"/>
        </w:rPr>
        <w:t>实际服务费用按照优惠率结算（实际服务费用=基准价*优惠率）。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（2）需赴外地的，差旅费按政府机关出差标准据实计算，并按规定执行。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（3）入围供应商在具体承接业务时费用不得超过以上承诺。采购人可与入围供应商在以上最高限价优惠后的基础上进行议价，以获得更优惠的价格。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标项</w:t>
      </w:r>
      <w:r>
        <w:rPr>
          <w:rFonts w:hint="eastAsia" w:ascii="宋体" w:hAnsi="宋体" w:cs="宋体"/>
          <w:b/>
          <w:bCs w:val="0"/>
          <w:color w:val="auto"/>
          <w:kern w:val="0"/>
          <w:sz w:val="24"/>
          <w:szCs w:val="24"/>
          <w:highlight w:val="none"/>
          <w:lang w:val="en-US" w:eastAsia="zh-CN" w:bidi="ar-SA"/>
        </w:rPr>
        <w:t>二</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787"/>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22" w:type="dxa"/>
            <w:gridSpan w:val="3"/>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hAnsi="宋体" w:eastAsia="宋体" w:cs="宋体"/>
                <w:bCs/>
                <w:color w:val="auto"/>
                <w:kern w:val="0"/>
                <w:highlight w:val="none"/>
                <w:lang w:eastAsia="zh-CN"/>
              </w:rPr>
            </w:pPr>
            <w:r>
              <w:rPr>
                <w:rFonts w:hint="eastAsia" w:hAnsi="宋体" w:cs="宋体"/>
                <w:b/>
                <w:bCs w:val="0"/>
                <w:color w:val="auto"/>
                <w:kern w:val="0"/>
                <w:sz w:val="32"/>
                <w:szCs w:val="32"/>
                <w:highlight w:val="none"/>
                <w:lang w:eastAsia="zh-CN"/>
              </w:rPr>
              <w:t>土地评估服务费标准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80"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eastAsia="宋体" w:cs="宋体"/>
                <w:bCs/>
                <w:color w:val="auto"/>
                <w:kern w:val="0"/>
                <w:highlight w:val="none"/>
                <w:lang w:eastAsia="zh-CN"/>
              </w:rPr>
              <w:t>序号</w:t>
            </w:r>
          </w:p>
        </w:tc>
        <w:tc>
          <w:tcPr>
            <w:tcW w:w="3787"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计费档次（万元）</w:t>
            </w:r>
          </w:p>
        </w:tc>
        <w:tc>
          <w:tcPr>
            <w:tcW w:w="3755" w:type="dxa"/>
            <w:shd w:val="clear" w:color="auto" w:fill="F1F1F1" w:themeFill="background1" w:themeFillShade="F2"/>
            <w:vAlign w:val="center"/>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hAnsi="宋体" w:cs="宋体"/>
                <w:bCs/>
                <w:color w:val="auto"/>
                <w:kern w:val="0"/>
                <w:highlight w:val="none"/>
              </w:rPr>
              <w:t>差额计费率‰（</w:t>
            </w:r>
            <w:r>
              <w:rPr>
                <w:rFonts w:hint="eastAsia" w:hAnsi="宋体" w:cs="宋体"/>
                <w:b/>
                <w:bCs w:val="0"/>
                <w:color w:val="auto"/>
                <w:kern w:val="0"/>
                <w:highlight w:val="none"/>
              </w:rPr>
              <w:t>最高限价</w:t>
            </w:r>
            <w:r>
              <w:rPr>
                <w:rFonts w:hint="eastAsia" w:hAnsi="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1</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snapToGrid/>
                <w:color w:val="auto"/>
                <w:kern w:val="0"/>
                <w:sz w:val="24"/>
                <w:szCs w:val="20"/>
                <w:highlight w:val="none"/>
                <w:lang w:val="zh-CN" w:eastAsia="zh-CN" w:bidi="ar-SA"/>
              </w:rPr>
              <w:t>100以下（含100）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default" w:ascii="仿宋_GB2312" w:hAnsi="宋体" w:eastAsia="仿宋_GB2312" w:cs="宋体"/>
                <w:bCs/>
                <w:color w:val="auto"/>
                <w:kern w:val="0"/>
                <w:sz w:val="24"/>
                <w:highlight w:val="none"/>
                <w:lang w:val="en-US" w:eastAsia="zh-CN"/>
              </w:rPr>
            </w:pPr>
            <w:r>
              <w:rPr>
                <w:rFonts w:hint="eastAsia" w:ascii="仿宋_GB2312" w:hAnsi="宋体" w:eastAsia="仿宋_GB2312" w:cs="宋体"/>
                <w:bCs/>
                <w:color w:val="auto"/>
                <w:kern w:val="0"/>
                <w:sz w:val="24"/>
                <w:highlight w:val="none"/>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2</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snapToGrid/>
                <w:color w:val="auto"/>
                <w:kern w:val="0"/>
                <w:sz w:val="24"/>
                <w:szCs w:val="20"/>
                <w:highlight w:val="none"/>
                <w:lang w:val="zh-CN" w:eastAsia="zh-CN" w:bidi="ar-SA"/>
              </w:rPr>
              <w:t>100-500(含500)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default" w:ascii="仿宋_GB2312" w:hAnsi="宋体" w:eastAsia="仿宋_GB2312" w:cs="宋体"/>
                <w:bCs/>
                <w:color w:val="auto"/>
                <w:kern w:val="0"/>
                <w:sz w:val="24"/>
                <w:highlight w:val="none"/>
                <w:lang w:val="en-US" w:eastAsia="zh-CN"/>
              </w:rPr>
            </w:pPr>
            <w:r>
              <w:rPr>
                <w:rFonts w:hint="eastAsia" w:ascii="仿宋_GB2312" w:hAnsi="宋体" w:eastAsia="仿宋_GB2312" w:cs="宋体"/>
                <w:bCs/>
                <w:color w:val="auto"/>
                <w:kern w:val="0"/>
                <w:sz w:val="24"/>
                <w:highlight w:val="no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3</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snapToGrid/>
                <w:color w:val="auto"/>
                <w:kern w:val="0"/>
                <w:sz w:val="24"/>
                <w:szCs w:val="20"/>
                <w:highlight w:val="none"/>
                <w:lang w:val="zh-CN" w:eastAsia="zh-CN" w:bidi="ar-SA"/>
              </w:rPr>
              <w:t>500-2000(含2000)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default" w:ascii="仿宋_GB2312" w:hAnsi="宋体" w:eastAsia="仿宋_GB2312" w:cs="宋体"/>
                <w:bCs/>
                <w:color w:val="auto"/>
                <w:kern w:val="0"/>
                <w:sz w:val="24"/>
                <w:highlight w:val="none"/>
                <w:lang w:val="en-US" w:eastAsia="zh-CN"/>
              </w:rPr>
            </w:pPr>
            <w:r>
              <w:rPr>
                <w:rFonts w:hint="eastAsia" w:ascii="仿宋_GB2312" w:hAnsi="宋体" w:eastAsia="仿宋_GB2312" w:cs="宋体"/>
                <w:bCs/>
                <w:color w:val="auto"/>
                <w:kern w:val="0"/>
                <w:sz w:val="24"/>
                <w:highlight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4</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snapToGrid/>
                <w:color w:val="auto"/>
                <w:kern w:val="0"/>
                <w:sz w:val="24"/>
                <w:szCs w:val="20"/>
                <w:highlight w:val="none"/>
                <w:lang w:val="zh-CN" w:eastAsia="zh-CN" w:bidi="ar-SA"/>
              </w:rPr>
              <w:t>2000-5000(含5000)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default" w:ascii="仿宋_GB2312" w:hAnsi="宋体" w:eastAsia="仿宋_GB2312" w:cs="宋体"/>
                <w:bCs/>
                <w:color w:val="auto"/>
                <w:kern w:val="0"/>
                <w:sz w:val="24"/>
                <w:highlight w:val="none"/>
                <w:lang w:val="en-US" w:eastAsia="zh-CN"/>
              </w:rPr>
            </w:pPr>
            <w:r>
              <w:rPr>
                <w:rFonts w:hint="eastAsia" w:ascii="仿宋_GB2312" w:hAnsi="宋体" w:eastAsia="仿宋_GB2312" w:cs="宋体"/>
                <w:bCs/>
                <w:color w:val="auto"/>
                <w:kern w:val="0"/>
                <w:sz w:val="24"/>
                <w:highlight w:val="no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8"/>
              <w:keepNext w:val="0"/>
              <w:keepLines w:val="0"/>
              <w:pageBreakBefore w:val="0"/>
              <w:kinsoku/>
              <w:wordWrap/>
              <w:overflowPunct/>
              <w:topLinePunct w:val="0"/>
              <w:bidi w:val="0"/>
              <w:adjustRightInd/>
              <w:spacing w:line="360" w:lineRule="auto"/>
              <w:ind w:firstLine="0" w:firstLineChars="0"/>
              <w:jc w:val="center"/>
              <w:textAlignment w:val="auto"/>
              <w:rPr>
                <w:rFonts w:hAnsi="宋体" w:cs="宋体"/>
                <w:bCs/>
                <w:color w:val="auto"/>
                <w:kern w:val="0"/>
                <w:highlight w:val="none"/>
                <w:lang w:val="en-US"/>
              </w:rPr>
            </w:pPr>
            <w:r>
              <w:rPr>
                <w:rFonts w:hint="eastAsia" w:hAnsi="宋体" w:cs="宋体"/>
                <w:bCs/>
                <w:color w:val="auto"/>
                <w:kern w:val="0"/>
                <w:highlight w:val="none"/>
                <w:lang w:val="en-US"/>
              </w:rPr>
              <w:t>5</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snapToGrid/>
                <w:color w:val="auto"/>
                <w:kern w:val="0"/>
                <w:sz w:val="24"/>
                <w:szCs w:val="20"/>
                <w:highlight w:val="none"/>
                <w:lang w:val="zh-CN" w:eastAsia="zh-CN" w:bidi="ar-SA"/>
              </w:rPr>
              <w:t>5000以上</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ind w:firstLine="0" w:firstLineChars="0"/>
              <w:jc w:val="center"/>
              <w:textAlignment w:val="auto"/>
              <w:rPr>
                <w:rFonts w:hint="default" w:ascii="仿宋_GB2312" w:hAnsi="宋体" w:eastAsia="仿宋_GB2312" w:cs="宋体"/>
                <w:bCs/>
                <w:color w:val="auto"/>
                <w:kern w:val="0"/>
                <w:sz w:val="24"/>
                <w:highlight w:val="none"/>
                <w:lang w:val="en-US" w:eastAsia="zh-CN"/>
              </w:rPr>
            </w:pPr>
            <w:r>
              <w:rPr>
                <w:rFonts w:hint="eastAsia" w:ascii="仿宋_GB2312" w:hAnsi="宋体" w:eastAsia="仿宋_GB2312" w:cs="宋体"/>
                <w:bCs/>
                <w:color w:val="auto"/>
                <w:kern w:val="0"/>
                <w:sz w:val="24"/>
                <w:highlight w:val="none"/>
                <w:lang w:val="en-US" w:eastAsia="zh-CN"/>
              </w:rPr>
              <w:t>0.09</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以上收费标准为基准价，供应商承诺在此基础的优惠率为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优惠率填列到百分比的个位数，如优惠率为12%有效，12.1%和12.01%均为无效</w:t>
      </w:r>
      <w:r>
        <w:rPr>
          <w:rFonts w:hint="eastAsia" w:ascii="宋体" w:hAnsi="宋体" w:eastAsia="宋体" w:cs="宋体"/>
          <w:b/>
          <w:bCs/>
          <w:sz w:val="24"/>
          <w:szCs w:val="24"/>
          <w:highlight w:val="none"/>
          <w:lang w:eastAsia="zh-CN"/>
        </w:rPr>
        <w:t>，优惠率不得高于此项标准的70%，超过</w:t>
      </w:r>
      <w:r>
        <w:rPr>
          <w:rFonts w:hint="eastAsia" w:ascii="宋体" w:hAnsi="宋体" w:eastAsia="宋体" w:cs="宋体"/>
          <w:b/>
          <w:bCs/>
          <w:sz w:val="24"/>
          <w:szCs w:val="24"/>
          <w:highlight w:val="none"/>
          <w:lang w:val="en-US" w:eastAsia="zh-CN"/>
        </w:rPr>
        <w:t>70%以上的（不含70%）无效</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bCs/>
          <w:color w:val="auto"/>
          <w:kern w:val="0"/>
          <w:sz w:val="24"/>
          <w:szCs w:val="24"/>
          <w:highlight w:val="none"/>
          <w:lang w:val="en-US" w:eastAsia="zh-CN" w:bidi="ar-SA"/>
        </w:rPr>
        <w:t>实际服务费用按照优惠率结算（实际服务费用=基准价*优惠率）。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（2）需赴外地的，差旅费按政府机关出差标准据实计算，并按规定执行。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w:t>
      </w:r>
      <w:r>
        <w:rPr>
          <w:rFonts w:hint="eastAsia" w:ascii="宋体" w:hAnsi="宋体" w:eastAsia="宋体" w:cs="宋体"/>
          <w:b w:val="0"/>
          <w:bCs/>
          <w:color w:val="auto"/>
          <w:kern w:val="0"/>
          <w:sz w:val="24"/>
          <w:szCs w:val="24"/>
          <w:highlight w:val="none"/>
          <w:lang w:val="en-US" w:eastAsia="zh-CN" w:bidi="ar-SA"/>
        </w:rPr>
        <w:t>入围供应商在具体承接业务时费用不得超过以上承诺。</w:t>
      </w:r>
      <w:r>
        <w:rPr>
          <w:rFonts w:hint="eastAsia" w:ascii="宋体" w:hAnsi="宋体" w:eastAsia="宋体" w:cs="宋体"/>
          <w:bCs/>
          <w:color w:val="auto"/>
          <w:kern w:val="0"/>
          <w:sz w:val="24"/>
          <w:szCs w:val="24"/>
          <w:highlight w:val="none"/>
          <w:lang w:val="en-US" w:eastAsia="zh-CN" w:bidi="ar-SA"/>
        </w:rPr>
        <w:t>采购人可与入围供应商在以上最高限价优惠后的基础上进行议价，以获得更优惠的价格。</w:t>
      </w:r>
    </w:p>
    <w:p>
      <w:pPr>
        <w:pStyle w:val="2"/>
        <w:pageBreakBefore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供应商应具备的资格要求</w:t>
      </w:r>
    </w:p>
    <w:p>
      <w:pPr>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、本项目的特定资格要求：</w:t>
      </w:r>
      <w:r>
        <w:rPr>
          <w:rFonts w:hint="eastAsia" w:ascii="宋体" w:hAnsi="宋体" w:cs="宋体"/>
          <w:b/>
          <w:bCs w:val="0"/>
          <w:color w:val="auto"/>
          <w:kern w:val="0"/>
          <w:sz w:val="24"/>
          <w:szCs w:val="24"/>
          <w:highlight w:val="none"/>
          <w:lang w:val="en-US" w:eastAsia="zh-CN" w:bidi="ar-SA"/>
        </w:rPr>
        <w:t>标项一</w:t>
      </w:r>
      <w:r>
        <w:rPr>
          <w:rFonts w:hint="eastAsia" w:ascii="宋体" w:hAnsi="宋体" w:eastAsia="宋体" w:cs="宋体"/>
          <w:b/>
          <w:bCs w:val="0"/>
          <w:color w:val="auto"/>
          <w:kern w:val="0"/>
          <w:sz w:val="24"/>
          <w:szCs w:val="24"/>
          <w:highlight w:val="none"/>
          <w:lang w:val="en-US" w:eastAsia="zh-CN" w:bidi="ar-SA"/>
        </w:rPr>
        <w:t>具有财政部门发布的资产评估机构备案公告等证明材料；</w:t>
      </w:r>
      <w:r>
        <w:rPr>
          <w:rFonts w:hint="eastAsia" w:ascii="宋体" w:hAnsi="宋体" w:cs="宋体"/>
          <w:b/>
          <w:bCs w:val="0"/>
          <w:color w:val="auto"/>
          <w:kern w:val="0"/>
          <w:sz w:val="24"/>
          <w:szCs w:val="24"/>
          <w:highlight w:val="none"/>
          <w:lang w:val="en-US" w:eastAsia="zh-CN" w:bidi="ar-SA"/>
        </w:rPr>
        <w:t>标项二具有</w:t>
      </w:r>
      <w:r>
        <w:rPr>
          <w:rFonts w:hint="default" w:ascii="宋体" w:hAnsi="宋体" w:cs="宋体"/>
          <w:b/>
          <w:bCs w:val="0"/>
          <w:color w:val="auto"/>
          <w:kern w:val="0"/>
          <w:sz w:val="24"/>
          <w:szCs w:val="24"/>
          <w:highlight w:val="none"/>
          <w:lang w:eastAsia="zh-CN" w:bidi="ar-SA"/>
        </w:rPr>
        <w:t>自然资源部门出具的</w:t>
      </w:r>
      <w:r>
        <w:rPr>
          <w:rFonts w:hint="eastAsia" w:ascii="宋体" w:hAnsi="宋体" w:cs="宋体"/>
          <w:b/>
          <w:bCs w:val="0"/>
          <w:color w:val="auto"/>
          <w:kern w:val="0"/>
          <w:sz w:val="24"/>
          <w:szCs w:val="24"/>
          <w:highlight w:val="none"/>
          <w:lang w:val="en-US" w:eastAsia="zh-CN" w:bidi="ar-SA"/>
        </w:rPr>
        <w:t>从事土地评估业务的证明材料。</w:t>
      </w:r>
    </w:p>
    <w:p>
      <w:pPr>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4、本项目需落实政府采购支持中小企业政策：本项目专门面向中小企业采购，监狱企业或残疾人福利企业参加政府采购活动的，视为中小企业。</w:t>
      </w:r>
    </w:p>
    <w:p>
      <w:pPr>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5、本项目不接受分公司（分支机构）提交响应文件。</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供应商申请流程</w:t>
      </w:r>
    </w:p>
    <w:p>
      <w:pPr>
        <w:pStyle w:val="9"/>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（一）供应商申请截</w:t>
      </w:r>
      <w:r>
        <w:rPr>
          <w:rFonts w:hint="eastAsia" w:ascii="宋体" w:hAnsi="宋体" w:eastAsia="宋体" w:cs="宋体"/>
          <w:b/>
          <w:color w:val="auto"/>
          <w:sz w:val="24"/>
          <w:szCs w:val="24"/>
          <w:highlight w:val="none"/>
          <w:lang w:val="en-US" w:eastAsia="zh-CN"/>
        </w:rPr>
        <w:t>止时间：202</w:t>
      </w: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年</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月</w:t>
      </w:r>
      <w:r>
        <w:rPr>
          <w:rFonts w:hint="eastAsia" w:hAnsi="宋体" w:cs="宋体"/>
          <w:b/>
          <w:color w:val="auto"/>
          <w:sz w:val="24"/>
          <w:szCs w:val="24"/>
          <w:highlight w:val="none"/>
          <w:lang w:val="en-US" w:eastAsia="zh-CN"/>
        </w:rPr>
        <w:t>28</w:t>
      </w:r>
      <w:r>
        <w:rPr>
          <w:rFonts w:hint="eastAsia" w:ascii="宋体" w:hAnsi="宋体" w:eastAsia="宋体" w:cs="宋体"/>
          <w:b/>
          <w:color w:val="auto"/>
          <w:sz w:val="24"/>
          <w:szCs w:val="24"/>
          <w:highlight w:val="none"/>
          <w:lang w:val="en-US" w:eastAsia="zh-CN"/>
        </w:rPr>
        <w:t>日17时</w:t>
      </w:r>
      <w:r>
        <w:rPr>
          <w:rFonts w:hint="eastAsia" w:hAnsi="宋体" w:cs="宋体"/>
          <w:b/>
          <w:color w:val="auto"/>
          <w:sz w:val="24"/>
          <w:szCs w:val="24"/>
          <w:highlight w:val="none"/>
          <w:lang w:val="en-US" w:eastAsia="zh-CN"/>
        </w:rPr>
        <w:t>0</w:t>
      </w:r>
      <w:r>
        <w:rPr>
          <w:rFonts w:hint="eastAsia" w:ascii="宋体" w:hAnsi="宋体" w:eastAsia="宋体" w:cs="宋体"/>
          <w:b/>
          <w:color w:val="auto"/>
          <w:sz w:val="24"/>
          <w:szCs w:val="24"/>
          <w:highlight w:val="none"/>
          <w:lang w:val="en-US" w:eastAsia="zh-CN"/>
        </w:rPr>
        <w:t>0分00秒</w:t>
      </w:r>
    </w:p>
    <w:p>
      <w:pPr>
        <w:keepNext w:val="0"/>
        <w:keepLines w:val="0"/>
        <w:pageBreakBefore w:val="0"/>
        <w:kinsoku/>
        <w:wordWrap/>
        <w:overflowPunct/>
        <w:topLinePunct w:val="0"/>
        <w:autoSpaceDE/>
        <w:autoSpaceDN/>
        <w:bidi w:val="0"/>
        <w:adjustRightInd/>
        <w:spacing w:line="360" w:lineRule="auto"/>
        <w:ind w:firstLine="723" w:firstLineChars="3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注：供应商可以根据自身的需求随进随出。</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（二）供应商申请地点：政采云平台（https://www.zcygov.cn/）</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（https://agreement.zcygov.cn/trading-agreement-index/signup/online?industryCode=KJXY&amp;utm=a0017.b3617.6.2.ff67af00850111edb25c73ee9de1b7f5，搜索对应项目，点击“立即参与”）在线申请，不接受除此以外的其他渠道的申请。</w:t>
      </w:r>
    </w:p>
    <w:p>
      <w:pPr>
        <w:pStyle w:val="9"/>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申请前先在浙江政府采购网（http://zfcg.czt.zj.gov.cn/）注册入库成为正式供应商，若已入库供应商有企业相关信息变化的，应当更新信息。（具体详见“浙江政府采购网——用户入驻/登录——用户注册——供应商登记”）。</w:t>
      </w:r>
    </w:p>
    <w:p>
      <w:pPr>
        <w:pStyle w:val="9"/>
        <w:pageBreakBefore w:val="0"/>
        <w:numPr>
          <w:ilvl w:val="0"/>
          <w:numId w:val="4"/>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供应商在线</w:t>
      </w:r>
      <w:r>
        <w:rPr>
          <w:rFonts w:hint="eastAsia" w:ascii="宋体" w:hAnsi="宋体" w:eastAsia="宋体" w:cs="宋体"/>
          <w:b/>
          <w:bCs/>
          <w:color w:val="auto"/>
          <w:sz w:val="24"/>
          <w:szCs w:val="24"/>
          <w:highlight w:val="none"/>
        </w:rPr>
        <w:t>申请时</w:t>
      </w:r>
      <w:r>
        <w:rPr>
          <w:rFonts w:hint="eastAsia" w:ascii="宋体" w:hAnsi="宋体" w:eastAsia="宋体" w:cs="宋体"/>
          <w:b/>
          <w:bCs/>
          <w:color w:val="auto"/>
          <w:sz w:val="24"/>
          <w:szCs w:val="24"/>
          <w:highlight w:val="none"/>
          <w:lang w:eastAsia="zh-CN"/>
        </w:rPr>
        <w:t>按系统提示进行操作，如实填写相关信息，并</w:t>
      </w:r>
      <w:r>
        <w:rPr>
          <w:rFonts w:hint="eastAsia" w:ascii="宋体" w:hAnsi="宋体" w:eastAsia="宋体" w:cs="宋体"/>
          <w:b/>
          <w:bCs/>
          <w:color w:val="auto"/>
          <w:sz w:val="24"/>
          <w:szCs w:val="24"/>
          <w:highlight w:val="none"/>
        </w:rPr>
        <w:t>提</w:t>
      </w:r>
      <w:r>
        <w:rPr>
          <w:rFonts w:hint="eastAsia" w:ascii="宋体" w:hAnsi="宋体" w:eastAsia="宋体" w:cs="宋体"/>
          <w:b/>
          <w:bCs/>
          <w:color w:val="auto"/>
          <w:sz w:val="24"/>
          <w:szCs w:val="24"/>
          <w:highlight w:val="none"/>
          <w:lang w:val="en-US" w:eastAsia="zh-CN"/>
        </w:rPr>
        <w:t>交申请资料。</w:t>
      </w:r>
      <w:r>
        <w:rPr>
          <w:rFonts w:hint="eastAsia" w:ascii="宋体" w:hAnsi="宋体" w:eastAsia="宋体" w:cs="宋体"/>
          <w:b/>
          <w:bCs/>
          <w:strike w:val="0"/>
          <w:dstrike w:val="0"/>
          <w:color w:val="auto"/>
          <w:sz w:val="24"/>
          <w:szCs w:val="24"/>
          <w:highlight w:val="none"/>
          <w:lang w:val="en-US" w:eastAsia="zh-CN"/>
        </w:rPr>
        <w:t>（申请资料的编制格式及规范要求和操作手册详见附件1、附件2）</w:t>
      </w:r>
      <w:r>
        <w:rPr>
          <w:rFonts w:hint="eastAsia" w:ascii="宋体" w:hAnsi="宋体" w:eastAsia="宋体" w:cs="宋体"/>
          <w:color w:val="auto"/>
          <w:sz w:val="24"/>
          <w:szCs w:val="24"/>
          <w:highlight w:val="none"/>
          <w:lang w:eastAsia="zh-CN"/>
        </w:rPr>
        <w:t>若对系统操作有疑问，可登录政采云（https://www.zcygov.cn/），点击右侧咨询小采，获取采小蜜智能服务管家帮助，或拨打政采云服务热线</w:t>
      </w:r>
      <w:r>
        <w:rPr>
          <w:rFonts w:hint="eastAsia" w:ascii="宋体" w:hAnsi="宋体" w:eastAsia="宋体" w:cs="宋体"/>
          <w:color w:val="auto"/>
          <w:sz w:val="24"/>
          <w:szCs w:val="24"/>
          <w:highlight w:val="none"/>
        </w:rPr>
        <w:t>95763</w:t>
      </w:r>
      <w:r>
        <w:rPr>
          <w:rFonts w:hint="eastAsia" w:ascii="宋体" w:hAnsi="宋体" w:eastAsia="宋体" w:cs="宋体"/>
          <w:color w:val="auto"/>
          <w:sz w:val="24"/>
          <w:szCs w:val="24"/>
          <w:highlight w:val="none"/>
          <w:lang w:eastAsia="zh-CN"/>
        </w:rPr>
        <w:t>获取热线服务帮助。</w:t>
      </w:r>
      <w:r>
        <w:rPr>
          <w:rFonts w:hint="eastAsia" w:ascii="宋体" w:hAnsi="宋体" w:eastAsia="宋体" w:cs="宋体"/>
          <w:b/>
          <w:bCs/>
          <w:color w:val="auto"/>
          <w:sz w:val="24"/>
          <w:szCs w:val="24"/>
          <w:highlight w:val="none"/>
          <w:lang w:eastAsia="zh-CN"/>
        </w:rPr>
        <w:t xml:space="preserve"> </w:t>
      </w:r>
    </w:p>
    <w:p>
      <w:pPr>
        <w:pStyle w:val="9"/>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三、资格审查方法和标准</w:t>
      </w:r>
    </w:p>
    <w:p>
      <w:pPr>
        <w:pStyle w:val="9"/>
        <w:pageBreakBefore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（一）审核原则</w:t>
      </w:r>
    </w:p>
    <w:p>
      <w:pPr>
        <w:pStyle w:val="9"/>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1、审核方式：采购征集人负责对供应商提交的申请资料在7个工作日内进行在线审核；</w:t>
      </w:r>
    </w:p>
    <w:p>
      <w:pPr>
        <w:pStyle w:val="9"/>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2、申请资料符合本项目征集文件要求的，予以审核通过；</w:t>
      </w:r>
    </w:p>
    <w:p>
      <w:pPr>
        <w:pStyle w:val="9"/>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3、申请资料不符合本项目征集通知要求的，采购征集人将驳回申请并告知理由，供应商可在申请截止时间前补正材料并重新提交，若未在规定的时间内进行补正提交的，视为审核不通过。</w:t>
      </w:r>
    </w:p>
    <w:p>
      <w:pPr>
        <w:pStyle w:val="9"/>
        <w:pageBreakBefore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（二）审核不通过条款</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供应商不具备申请资格的；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申请文件</w:t>
      </w:r>
      <w:r>
        <w:rPr>
          <w:rFonts w:hint="eastAsia" w:ascii="宋体" w:hAnsi="宋体" w:eastAsia="宋体" w:cs="宋体"/>
          <w:bCs/>
          <w:color w:val="auto"/>
          <w:sz w:val="24"/>
          <w:szCs w:val="24"/>
          <w:highlight w:val="none"/>
        </w:rPr>
        <w:t>未按照本项目征集公告要求签署、盖章的；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申请文件</w:t>
      </w:r>
      <w:r>
        <w:rPr>
          <w:rFonts w:hint="eastAsia" w:ascii="宋体" w:hAnsi="宋体" w:eastAsia="宋体" w:cs="宋体"/>
          <w:bCs/>
          <w:color w:val="auto"/>
          <w:sz w:val="24"/>
          <w:szCs w:val="24"/>
          <w:highlight w:val="none"/>
        </w:rPr>
        <w:t>组成漏项的；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申请文件</w:t>
      </w:r>
      <w:r>
        <w:rPr>
          <w:rFonts w:hint="eastAsia" w:ascii="宋体" w:hAnsi="宋体" w:eastAsia="宋体" w:cs="宋体"/>
          <w:bCs/>
          <w:color w:val="auto"/>
          <w:sz w:val="24"/>
          <w:szCs w:val="24"/>
          <w:highlight w:val="none"/>
        </w:rPr>
        <w:t>填写不完整、内容不全或内容字迹模糊辨认不清的；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申请文件</w:t>
      </w:r>
      <w:r>
        <w:rPr>
          <w:rFonts w:hint="eastAsia" w:ascii="宋体" w:hAnsi="宋体" w:eastAsia="宋体" w:cs="宋体"/>
          <w:bCs/>
          <w:color w:val="auto"/>
          <w:sz w:val="24"/>
          <w:szCs w:val="24"/>
          <w:highlight w:val="none"/>
        </w:rPr>
        <w:t>未按规定的格式编制的；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strike w:val="0"/>
          <w:dstrike w:val="0"/>
          <w:color w:val="auto"/>
          <w:sz w:val="24"/>
          <w:szCs w:val="24"/>
          <w:highlight w:val="none"/>
          <w:lang w:val="en-US" w:eastAsia="zh-CN"/>
        </w:rPr>
      </w:pPr>
      <w:r>
        <w:rPr>
          <w:rFonts w:hint="eastAsia" w:ascii="宋体" w:hAnsi="宋体" w:eastAsia="宋体" w:cs="宋体"/>
          <w:bCs/>
          <w:strike w:val="0"/>
          <w:dstrike w:val="0"/>
          <w:color w:val="auto"/>
          <w:sz w:val="24"/>
          <w:szCs w:val="24"/>
          <w:highlight w:val="none"/>
          <w:lang w:val="en-US" w:eastAsia="zh-CN"/>
        </w:rPr>
        <w:t>6、申请文件不符合▲实质性要求的；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提供虚假</w:t>
      </w:r>
      <w:r>
        <w:rPr>
          <w:rFonts w:hint="eastAsia" w:ascii="宋体" w:hAnsi="宋体" w:eastAsia="宋体" w:cs="宋体"/>
          <w:bCs/>
          <w:color w:val="auto"/>
          <w:sz w:val="24"/>
          <w:szCs w:val="24"/>
          <w:highlight w:val="none"/>
          <w:lang w:eastAsia="zh-CN"/>
        </w:rPr>
        <w:t>申请文件</w:t>
      </w:r>
      <w:r>
        <w:rPr>
          <w:rFonts w:hint="eastAsia" w:ascii="宋体" w:hAnsi="宋体" w:eastAsia="宋体" w:cs="宋体"/>
          <w:bCs/>
          <w:color w:val="auto"/>
          <w:sz w:val="24"/>
          <w:szCs w:val="24"/>
          <w:highlight w:val="none"/>
        </w:rPr>
        <w:t>、虚假承诺或有其他弄虚作假行为的；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申请文件</w:t>
      </w:r>
      <w:r>
        <w:rPr>
          <w:rFonts w:hint="eastAsia" w:ascii="宋体" w:hAnsi="宋体" w:eastAsia="宋体" w:cs="宋体"/>
          <w:bCs/>
          <w:color w:val="auto"/>
          <w:sz w:val="24"/>
          <w:szCs w:val="24"/>
          <w:highlight w:val="none"/>
        </w:rPr>
        <w:t>中含有采购人、</w:t>
      </w:r>
      <w:r>
        <w:rPr>
          <w:rFonts w:hint="eastAsia" w:ascii="宋体" w:hAnsi="宋体" w:eastAsia="宋体" w:cs="宋体"/>
          <w:bCs/>
          <w:color w:val="auto"/>
          <w:sz w:val="24"/>
          <w:szCs w:val="24"/>
          <w:highlight w:val="none"/>
          <w:lang w:eastAsia="zh-CN"/>
        </w:rPr>
        <w:t>采购征集人</w:t>
      </w:r>
      <w:r>
        <w:rPr>
          <w:rFonts w:hint="eastAsia" w:ascii="宋体" w:hAnsi="宋体" w:eastAsia="宋体" w:cs="宋体"/>
          <w:bCs/>
          <w:color w:val="auto"/>
          <w:sz w:val="24"/>
          <w:szCs w:val="24"/>
          <w:highlight w:val="none"/>
        </w:rPr>
        <w:t>不能接受的附加条件的；</w:t>
      </w:r>
    </w:p>
    <w:p>
      <w:pPr>
        <w:pStyle w:val="6"/>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参与</w:t>
      </w:r>
      <w:r>
        <w:rPr>
          <w:rFonts w:hint="eastAsia" w:ascii="宋体" w:hAnsi="宋体" w:eastAsia="宋体" w:cs="宋体"/>
          <w:bCs/>
          <w:color w:val="auto"/>
          <w:sz w:val="24"/>
          <w:szCs w:val="24"/>
          <w:highlight w:val="none"/>
          <w:lang w:eastAsia="zh-CN"/>
        </w:rPr>
        <w:t>政府采购</w:t>
      </w:r>
      <w:r>
        <w:rPr>
          <w:rFonts w:hint="eastAsia" w:ascii="宋体" w:hAnsi="宋体" w:eastAsia="宋体" w:cs="宋体"/>
          <w:bCs/>
          <w:color w:val="auto"/>
          <w:sz w:val="24"/>
          <w:szCs w:val="24"/>
          <w:highlight w:val="none"/>
        </w:rPr>
        <w:t>活动前三年内，</w:t>
      </w:r>
      <w:r>
        <w:rPr>
          <w:rFonts w:hint="eastAsia" w:ascii="宋体" w:hAnsi="宋体" w:eastAsia="宋体" w:cs="宋体"/>
          <w:bCs/>
          <w:color w:val="auto"/>
          <w:sz w:val="24"/>
          <w:szCs w:val="24"/>
          <w:highlight w:val="none"/>
          <w:lang w:eastAsia="zh-CN"/>
        </w:rPr>
        <w:t>在经营活动中有重大违法记录的；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10、没有按照要求提供及填写《报价承诺函》的；</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11、法律、法规、规</w:t>
      </w:r>
      <w:r>
        <w:rPr>
          <w:rFonts w:hint="eastAsia" w:ascii="宋体" w:hAnsi="宋体" w:eastAsia="宋体" w:cs="宋体"/>
          <w:bCs/>
          <w:color w:val="auto"/>
          <w:kern w:val="0"/>
          <w:sz w:val="24"/>
          <w:szCs w:val="24"/>
          <w:highlight w:val="none"/>
          <w:lang w:val="en-US" w:eastAsia="zh-CN" w:bidi="ar-SA"/>
        </w:rPr>
        <w:t>章及省级以上规范性文件规定的其他情形。</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四、结果公告、框架协议签订</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（一）本次征集审核通过后将发布入围结果公告；</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（二）本次征集不再签订书面框架协议，发布入围结果公告后视为供应商签订框架协议，协议</w:t>
      </w:r>
      <w:r>
        <w:rPr>
          <w:rFonts w:hint="eastAsia" w:hAnsi="宋体" w:cs="宋体"/>
          <w:bCs/>
          <w:color w:val="auto"/>
          <w:sz w:val="24"/>
          <w:szCs w:val="24"/>
          <w:highlight w:val="none"/>
          <w:lang w:val="en-US" w:eastAsia="zh-CN"/>
        </w:rPr>
        <w:t>指引</w:t>
      </w:r>
      <w:r>
        <w:rPr>
          <w:rFonts w:hint="eastAsia" w:ascii="宋体" w:hAnsi="宋体" w:eastAsia="宋体" w:cs="宋体"/>
          <w:bCs/>
          <w:color w:val="auto"/>
          <w:sz w:val="24"/>
          <w:szCs w:val="24"/>
          <w:highlight w:val="none"/>
          <w:lang w:eastAsia="zh-CN"/>
        </w:rPr>
        <w:t>条款详见附件</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五、协议期内信息维护</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协议期内，</w:t>
      </w:r>
      <w:r>
        <w:rPr>
          <w:rFonts w:hint="eastAsia" w:ascii="宋体" w:hAnsi="宋体" w:eastAsia="宋体" w:cs="宋体"/>
          <w:bCs/>
          <w:color w:val="auto"/>
          <w:sz w:val="24"/>
          <w:szCs w:val="24"/>
          <w:highlight w:val="none"/>
        </w:rPr>
        <w:t>入围</w:t>
      </w:r>
      <w:r>
        <w:rPr>
          <w:rFonts w:hint="eastAsia" w:ascii="宋体" w:hAnsi="宋体" w:eastAsia="宋体" w:cs="宋体"/>
          <w:bCs/>
          <w:color w:val="auto"/>
          <w:sz w:val="24"/>
          <w:szCs w:val="24"/>
          <w:highlight w:val="none"/>
          <w:lang w:eastAsia="zh-CN"/>
        </w:rPr>
        <w:t>供应商相关信息发生变化或调整的，应主动进行信息变更和维护，及时告知征集人并报送相关材料，经征集人审核后生效。</w:t>
      </w:r>
    </w:p>
    <w:p>
      <w:pPr>
        <w:pStyle w:val="5"/>
        <w:pageBreakBefore w:val="0"/>
        <w:numPr>
          <w:ilvl w:val="0"/>
          <w:numId w:val="0"/>
        </w:numPr>
        <w:shd w:val="clear" w:color="auto" w:fill="auto"/>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六、交易规则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第二阶段成交供应商由采购人从第一阶段入围供应商中直接选定,采购人可以根据</w:t>
      </w:r>
      <w:r>
        <w:rPr>
          <w:rFonts w:hint="eastAsia" w:ascii="宋体" w:hAnsi="宋体" w:eastAsia="宋体" w:cs="宋体"/>
          <w:color w:val="auto"/>
          <w:sz w:val="24"/>
          <w:szCs w:val="24"/>
          <w:highlight w:val="none"/>
          <w:lang w:val="en-US" w:eastAsia="zh-CN"/>
        </w:rPr>
        <w:t>实际需要选择任一标项的入围供应商，并向其采购资产评估服务。入围供应商第一阶段响应报价是采购人确定第二阶段成交供应商的最高限价；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（二）采购人应当积极落实国家和省与政府采购相关的扶持政策，优先选择符合绿色低碳、助残设施设备齐全等要求或者条件的入围供应商；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（三）单笔采购金额未达到政府采购限额标准的项目，采购人和入围供应商须通过政采云平台框架协议实行采购。</w:t>
      </w:r>
    </w:p>
    <w:p>
      <w:pPr>
        <w:pStyle w:val="5"/>
        <w:pageBreakBefore w:val="0"/>
        <w:numPr>
          <w:ilvl w:val="0"/>
          <w:numId w:val="0"/>
        </w:numPr>
        <w:shd w:val="clear" w:color="auto" w:fill="auto"/>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七、入围产品升级换代规则</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lang w:eastAsia="zh-CN"/>
        </w:rPr>
      </w:pPr>
      <w:r>
        <w:rPr>
          <w:rStyle w:val="16"/>
          <w:rFonts w:hint="eastAsia" w:ascii="宋体" w:hAnsi="宋体" w:eastAsia="宋体" w:cs="宋体"/>
          <w:caps w:val="0"/>
          <w:color w:val="auto"/>
          <w:spacing w:val="0"/>
          <w:kern w:val="0"/>
          <w:sz w:val="24"/>
          <w:szCs w:val="24"/>
          <w:highlight w:val="none"/>
          <w:lang w:val="en-US" w:eastAsia="zh-CN" w:bidi="ar"/>
        </w:rPr>
        <w:t>协议期内供应商相关信息变化的，应主动进行信息变更和维护，并及时告知征集人。</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费用结算</w:t>
      </w:r>
      <w:r>
        <w:rPr>
          <w:rFonts w:hint="eastAsia" w:ascii="宋体" w:hAnsi="宋体" w:eastAsia="宋体" w:cs="宋体"/>
          <w:b/>
          <w:color w:val="auto"/>
          <w:sz w:val="24"/>
          <w:szCs w:val="24"/>
          <w:highlight w:val="none"/>
          <w:lang w:eastAsia="zh-CN"/>
        </w:rPr>
        <w:t>及支付方式</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入围供应商按照承诺的价格，按要求</w:t>
      </w:r>
      <w:r>
        <w:rPr>
          <w:rFonts w:hint="eastAsia" w:ascii="宋体" w:hAnsi="宋体" w:eastAsia="宋体" w:cs="宋体"/>
          <w:bCs/>
          <w:color w:val="auto"/>
          <w:sz w:val="24"/>
          <w:szCs w:val="24"/>
          <w:highlight w:val="none"/>
        </w:rPr>
        <w:t>在结算时向</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提供发票、</w:t>
      </w:r>
      <w:r>
        <w:rPr>
          <w:rFonts w:hint="eastAsia" w:ascii="宋体" w:hAnsi="宋体" w:eastAsia="宋体" w:cs="宋体"/>
          <w:bCs/>
          <w:color w:val="auto"/>
          <w:sz w:val="24"/>
          <w:szCs w:val="24"/>
          <w:highlight w:val="none"/>
          <w:lang w:eastAsia="zh-CN"/>
        </w:rPr>
        <w:t>资产评估服务</w:t>
      </w:r>
      <w:r>
        <w:rPr>
          <w:rFonts w:hint="eastAsia" w:ascii="宋体" w:hAnsi="宋体" w:eastAsia="宋体" w:cs="宋体"/>
          <w:bCs/>
          <w:color w:val="auto"/>
          <w:sz w:val="24"/>
          <w:szCs w:val="24"/>
          <w:highlight w:val="none"/>
        </w:rPr>
        <w:t>合同</w:t>
      </w:r>
      <w:r>
        <w:rPr>
          <w:rFonts w:hint="eastAsia" w:ascii="宋体" w:hAnsi="宋体" w:eastAsia="宋体" w:cs="宋体"/>
          <w:bCs/>
          <w:color w:val="auto"/>
          <w:sz w:val="24"/>
          <w:szCs w:val="24"/>
          <w:highlight w:val="none"/>
          <w:lang w:eastAsia="zh-CN"/>
        </w:rPr>
        <w:t>等。入围供应商通过政采云平台起草资产评估服务</w:t>
      </w:r>
      <w:r>
        <w:rPr>
          <w:rFonts w:hint="eastAsia" w:ascii="宋体" w:hAnsi="宋体" w:eastAsia="宋体" w:cs="宋体"/>
          <w:bCs/>
          <w:color w:val="auto"/>
          <w:sz w:val="24"/>
          <w:szCs w:val="24"/>
          <w:highlight w:val="none"/>
        </w:rPr>
        <w:t>合同</w:t>
      </w:r>
      <w:r>
        <w:rPr>
          <w:rFonts w:hint="eastAsia" w:ascii="宋体" w:hAnsi="宋体" w:eastAsia="宋体" w:cs="宋体"/>
          <w:bCs/>
          <w:color w:val="auto"/>
          <w:sz w:val="24"/>
          <w:szCs w:val="24"/>
          <w:highlight w:val="none"/>
          <w:lang w:eastAsia="zh-CN"/>
        </w:rPr>
        <w:t>后报采购人审核，双方确认完成在系统电子备案后按照财政部门规定进行结算。</w:t>
      </w:r>
    </w:p>
    <w:p>
      <w:pPr>
        <w:keepNext w:val="0"/>
        <w:keepLines w:val="0"/>
        <w:pageBreakBefore w:val="0"/>
        <w:widowControl/>
        <w:numPr>
          <w:ilvl w:val="0"/>
          <w:numId w:val="5"/>
        </w:numPr>
        <w:suppressLineNumbers w:val="0"/>
        <w:kinsoku/>
        <w:wordWrap/>
        <w:overflowPunct/>
        <w:topLinePunct w:val="0"/>
        <w:autoSpaceDE/>
        <w:autoSpaceDN/>
        <w:bidi w:val="0"/>
        <w:adjustRightInd/>
        <w:spacing w:line="360" w:lineRule="auto"/>
        <w:ind w:left="479" w:leftChars="228" w:firstLine="0" w:firstLineChars="0"/>
        <w:jc w:val="lef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用户反馈和评价机制及验收</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Cs/>
          <w:color w:val="auto"/>
          <w:kern w:val="0"/>
          <w:sz w:val="24"/>
          <w:szCs w:val="24"/>
          <w:highlight w:val="none"/>
          <w:lang w:val="en-US" w:eastAsia="zh-CN" w:bidi="ar-SA"/>
        </w:rPr>
        <w:t>根据《政府采购框架协议采购方式管理暂行办法》、《浙江省财政厅关于简化供应商信息登记和试行供应商诚信管理的通知》等相关规定，接受采购人和服务对象对入围供应商履行框架协议和采购合同情况的反馈与评价，并将用户反馈和评价情况向采购人和服务对象公开，作为第二阶段直接选定成交供应商的参考。</w:t>
      </w:r>
      <w:r>
        <w:rPr>
          <w:rFonts w:hint="eastAsia" w:ascii="宋体" w:hAnsi="宋体" w:eastAsia="宋体" w:cs="宋体"/>
          <w:bCs/>
          <w:color w:val="auto"/>
          <w:kern w:val="0"/>
          <w:sz w:val="24"/>
          <w:szCs w:val="24"/>
          <w:highlight w:val="none"/>
          <w:lang w:val="en-US" w:eastAsia="zh-CN" w:bidi="ar-SA"/>
        </w:rPr>
        <w:br w:type="textWrapping"/>
      </w:r>
      <w:r>
        <w:rPr>
          <w:rFonts w:hint="eastAsia" w:ascii="宋体" w:hAnsi="宋体" w:cs="宋体"/>
          <w:bCs/>
          <w:color w:val="auto"/>
          <w:kern w:val="0"/>
          <w:sz w:val="24"/>
          <w:szCs w:val="24"/>
          <w:highlight w:val="none"/>
          <w:lang w:val="en-US" w:eastAsia="zh-CN" w:bidi="ar-SA"/>
        </w:rPr>
        <w:t xml:space="preserve">  </w:t>
      </w:r>
      <w:r>
        <w:rPr>
          <w:rFonts w:hint="eastAsia" w:ascii="宋体" w:hAnsi="宋体" w:eastAsia="宋体" w:cs="宋体"/>
          <w:bCs/>
          <w:color w:val="auto"/>
          <w:kern w:val="0"/>
          <w:sz w:val="24"/>
          <w:szCs w:val="24"/>
          <w:highlight w:val="none"/>
          <w:lang w:val="en-US" w:eastAsia="zh-CN" w:bidi="ar-SA"/>
        </w:rPr>
        <w:t>第二阶段，由采购人按相关规定组织对供应商合同履约进行验收（考核）。采购人认为供应商未按约定履行的，可向监管部门提交投诉申请，核实后取消供应商入围资格并在本轮服务期内不得重新申请加入框架协议。</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入围供应商的清退和补充规则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全市各级采购监管部门、集中采购机构将不定期对入围供应商的履约情况进行检查，发现入围供应商违反政府采购相关规定、未按照协议约定和承诺以及其他违法违规行为的，全市各级采购监管部门、集中采购机构将依据相关规定予以处理，采购征集人也将提前解除框架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采购人如反映入围供应商有违反政府采购相关规定、未按照协议约定和承诺以及其他违法违规行为的，全市各级采购监管部门、集中采购机构将重点约谈入围供应商，如入围供应商无法提供合理解释或拒不改正的，全市各级采购监管部门、集中采购机构将依据相关规定予以处理，采购征集人也将提前解除框架协议。</w:t>
      </w:r>
      <w:r>
        <w:rPr>
          <w:rFonts w:hint="eastAsia" w:ascii="宋体" w:hAnsi="宋体" w:eastAsia="宋体" w:cs="宋体"/>
          <w:color w:val="auto"/>
          <w:sz w:val="24"/>
          <w:szCs w:val="24"/>
          <w:highlight w:val="none"/>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（三）被取消入围资格或被解除框架协议的供应商不得重新申请加入同一开放式框架协议。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（四）供应商可以按照征集公告要求，随时提交加入框架协议的申请，也可以随时申请退出框架协议。</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信用信息查询</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rPr>
        <w:t>信用信息查询渠道及截止时间：</w:t>
      </w:r>
      <w:r>
        <w:rPr>
          <w:rFonts w:hint="eastAsia" w:ascii="宋体" w:hAnsi="宋体" w:eastAsia="宋体" w:cs="宋体"/>
          <w:color w:val="auto"/>
          <w:sz w:val="24"/>
          <w:szCs w:val="24"/>
          <w:highlight w:val="none"/>
        </w:rPr>
        <w:t>供应商在提交申请</w:t>
      </w:r>
      <w:r>
        <w:rPr>
          <w:rFonts w:hint="eastAsia" w:ascii="宋体" w:hAnsi="宋体" w:eastAsia="宋体" w:cs="宋体"/>
          <w:color w:val="auto"/>
          <w:sz w:val="24"/>
          <w:szCs w:val="24"/>
          <w:highlight w:val="none"/>
          <w:lang w:val="en-US"/>
        </w:rPr>
        <w:t>时通过“信用中国”网站(www.creditchina.gov.cn)、中国政府采购网(www.ccgp.gov.cn)渠道查询</w:t>
      </w:r>
      <w:r>
        <w:rPr>
          <w:rFonts w:hint="eastAsia" w:ascii="宋体" w:hAnsi="宋体" w:eastAsia="宋体" w:cs="宋体"/>
          <w:color w:val="auto"/>
          <w:sz w:val="24"/>
          <w:szCs w:val="24"/>
          <w:highlight w:val="none"/>
        </w:rPr>
        <w:t>本公司的</w:t>
      </w:r>
      <w:r>
        <w:rPr>
          <w:rFonts w:hint="eastAsia" w:ascii="宋体" w:hAnsi="宋体" w:eastAsia="宋体" w:cs="宋体"/>
          <w:color w:val="auto"/>
          <w:sz w:val="24"/>
          <w:szCs w:val="24"/>
          <w:highlight w:val="none"/>
          <w:lang w:val="en-US"/>
        </w:rPr>
        <w:t>信用记录。</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信用信息查询记录和证据留存的具体方式：供应商查询的信用记录、查询结果经确认后将与申请文件一起存档。</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信用信息的使用规则：经查询列入失信被执行人名单、重大税收违法案件当事人名单、政府采购严重违法失信行为记录名单的供应商将被拒绝参与框架协议申请。</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定义</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（一）“采购征集人”系指</w:t>
      </w:r>
      <w:r>
        <w:rPr>
          <w:rFonts w:hint="eastAsia" w:ascii="宋体" w:hAnsi="宋体" w:cs="宋体"/>
          <w:color w:val="auto"/>
          <w:kern w:val="0"/>
          <w:sz w:val="24"/>
          <w:szCs w:val="24"/>
          <w:highlight w:val="none"/>
          <w:lang w:val="en-US" w:eastAsia="zh-CN" w:bidi="ar-SA"/>
        </w:rPr>
        <w:t>平湖</w:t>
      </w:r>
      <w:r>
        <w:rPr>
          <w:rFonts w:hint="eastAsia" w:ascii="宋体" w:hAnsi="宋体" w:eastAsia="宋体" w:cs="宋体"/>
          <w:color w:val="auto"/>
          <w:kern w:val="0"/>
          <w:sz w:val="24"/>
          <w:szCs w:val="24"/>
          <w:highlight w:val="none"/>
          <w:lang w:val="en-US" w:eastAsia="zh-CN" w:bidi="ar-SA"/>
        </w:rPr>
        <w:t>市公共资源交易中心。</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（二）“采购人”系指</w:t>
      </w:r>
      <w:r>
        <w:rPr>
          <w:rFonts w:hint="eastAsia" w:ascii="宋体" w:hAnsi="宋体" w:cs="宋体"/>
          <w:color w:val="auto"/>
          <w:kern w:val="0"/>
          <w:sz w:val="24"/>
          <w:szCs w:val="24"/>
          <w:highlight w:val="none"/>
          <w:lang w:val="en-US" w:eastAsia="zh-CN" w:bidi="ar-SA"/>
        </w:rPr>
        <w:t>嘉兴市级（含南湖区、秀洲区、经开区、浙江乍浦经济开发区）</w:t>
      </w:r>
      <w:r>
        <w:rPr>
          <w:rFonts w:hint="eastAsia" w:ascii="宋体" w:hAnsi="宋体" w:eastAsia="宋体" w:cs="宋体"/>
          <w:color w:val="auto"/>
          <w:kern w:val="0"/>
          <w:sz w:val="24"/>
          <w:szCs w:val="24"/>
          <w:highlight w:val="none"/>
          <w:lang w:val="en-US" w:eastAsia="zh-CN" w:bidi="ar-SA"/>
        </w:rPr>
        <w:t>以及</w:t>
      </w:r>
      <w:r>
        <w:rPr>
          <w:rFonts w:hint="eastAsia" w:ascii="宋体" w:hAnsi="宋体" w:cs="宋体"/>
          <w:color w:val="auto"/>
          <w:kern w:val="0"/>
          <w:sz w:val="24"/>
          <w:szCs w:val="24"/>
          <w:highlight w:val="none"/>
          <w:lang w:val="en-US" w:eastAsia="zh-CN" w:bidi="ar-SA"/>
        </w:rPr>
        <w:t>平湖市</w:t>
      </w:r>
      <w:r>
        <w:rPr>
          <w:rFonts w:hint="eastAsia" w:ascii="宋体" w:hAnsi="宋体" w:eastAsia="宋体" w:cs="宋体"/>
          <w:color w:val="auto"/>
          <w:kern w:val="0"/>
          <w:sz w:val="24"/>
          <w:szCs w:val="24"/>
          <w:highlight w:val="none"/>
          <w:lang w:val="en-US" w:eastAsia="zh-CN" w:bidi="ar-SA"/>
        </w:rPr>
        <w:t>、海宁市、桐乡市、嘉善县和海盐县国家机关、事业单位和团体组织需要资产评估服务的单位。</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highlight w:val="none"/>
          <w:lang w:val="en-US" w:eastAsia="zh-CN"/>
        </w:rPr>
      </w:pPr>
      <w:r>
        <w:rPr>
          <w:rFonts w:hint="eastAsia" w:ascii="宋体" w:hAnsi="宋体" w:eastAsia="宋体" w:cs="宋体"/>
          <w:color w:val="auto"/>
          <w:kern w:val="0"/>
          <w:sz w:val="24"/>
          <w:szCs w:val="24"/>
          <w:highlight w:val="none"/>
          <w:lang w:val="en-US" w:eastAsia="zh-CN" w:bidi="ar-SA"/>
        </w:rPr>
        <w:t>（三）“供应商”系指向采购征集人提交申请文件的法人、其他组织或者自然人。</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（四）“负责人”系指法人企业的法定负责人，或其他组织为法律、行政法规规定代表单位行使职权的主要负责人，或自然人本人。</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（五）“服务”系指征集文件规定供应商须承担的资产评估服务等其他类似的义务。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w:t>
      </w:r>
      <w:r>
        <w:rPr>
          <w:rFonts w:hint="eastAsia" w:ascii="宋体" w:hAnsi="宋体" w:cs="宋体"/>
          <w:color w:val="auto"/>
          <w:kern w:val="0"/>
          <w:sz w:val="24"/>
          <w:szCs w:val="24"/>
          <w:highlight w:val="none"/>
          <w:lang w:val="en-US" w:eastAsia="zh-CN" w:bidi="ar-SA"/>
        </w:rPr>
        <w:t>“采购监管部门”系指嘉兴市财政局政府采购监管处。</w:t>
      </w:r>
    </w:p>
    <w:p>
      <w:pPr>
        <w:pStyle w:val="6"/>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（七）“入围供应商”系指供应商提交的申请资料经征集人审核通过后，本项目协议即生效，同时该供应商即为入围供应商。</w:t>
      </w:r>
    </w:p>
    <w:p>
      <w:pPr>
        <w:pStyle w:val="2"/>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（八）“公章”系指单位法定名称章。</w:t>
      </w:r>
    </w:p>
    <w:p>
      <w:pPr>
        <w:pStyle w:val="2"/>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cs="宋体"/>
          <w:color w:val="auto"/>
          <w:kern w:val="0"/>
          <w:sz w:val="24"/>
          <w:szCs w:val="24"/>
          <w:highlight w:val="none"/>
          <w:lang w:val="en-US" w:eastAsia="zh-CN" w:bidi="ar-SA"/>
        </w:rPr>
        <w:t>九</w:t>
      </w:r>
      <w:r>
        <w:rPr>
          <w:rFonts w:hint="eastAsia" w:ascii="宋体" w:hAnsi="宋体" w:eastAsia="宋体" w:cs="宋体"/>
          <w:color w:val="auto"/>
          <w:kern w:val="0"/>
          <w:sz w:val="24"/>
          <w:szCs w:val="24"/>
          <w:highlight w:val="none"/>
          <w:lang w:val="en-US" w:eastAsia="zh-CN" w:bidi="ar-SA"/>
        </w:rPr>
        <w:t>）“▲” 系指实质性要求条款。</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十三、质疑投诉</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框架协议采购的第一阶段（确定入围供应商并订立框架协议）和第二阶段（订立采购合同），供应商均可依法提出质疑和投诉。第一阶段，供应商如认为征集相关的文件、过程和入围结果使自己权益受损的，可依法向采购征集人提出质疑，对质疑答复不满意或采购征集人未按时答复的，可依法向财政部门提出投诉。第二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质疑函范本、投诉书范本请到浙江政府采购网下载专区下载。</w:t>
      </w:r>
    </w:p>
    <w:p>
      <w:pPr>
        <w:pStyle w:val="9"/>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十四、需要落实的政府采购政策</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原则上采购本国生产的货物、工程和服务，不允许采购进口产品。除非采购征集人采购进口产品，已经在采购活动开始前向财政部门提出申请并获得财政部门审核同意，且在采购需求中明确规定可以采购进口产品（但如果因信息不对称等原因，仍有满足需求的国内产品要求参与采购竞争的，采购人、采购征集人不会对其加以限制，仍将按照公平竞争原则实施采购）。</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2、支持绿色发展</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采购征集人拟采购的产品属于品目清单范围的，采购征集人将依据国家确定的认证机构出具的、处于有效期之内的节能产品、环境标志产品认证证书，对获得证书的产品实施政府优先采购或强制采购。供应商须按征集文件要求提供相关产品认证证书。▲采购征集人拟采购的产品属于政府强制采购的节能产品品目清单范围的，供应商未按征集文件要求提供国家确定的认证机构出具的、处于有效期之内的节能产品认证证书的，申请无效。</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2.2 修缮、装修类项目采购建材的，采购征集人应将绿色建筑和绿色建材性能、指标等作为实质性条件纳入征集文件和合</w:t>
      </w:r>
      <w:r>
        <w:rPr>
          <w:rFonts w:hint="eastAsia" w:ascii="宋体" w:hAnsi="宋体" w:eastAsia="宋体" w:cs="宋体"/>
          <w:color w:val="auto"/>
          <w:kern w:val="0"/>
          <w:sz w:val="24"/>
          <w:szCs w:val="24"/>
          <w:highlight w:val="none"/>
          <w:lang w:val="en-US" w:eastAsia="zh-CN" w:bidi="ar-SA"/>
        </w:rPr>
        <w:t>同。</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3、支持中小企业发展</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符合中小企业划分标准的个体工商户，在政府采购活动中视同中小企业。</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3.2在政府采购活动中，供应商提供的货物、工程或者服务符合下列情形的，享受中小企业扶持政策：</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3.2.1在货物采购项目中，货物由中小企业制造，即货物由中小企业生产且使用该中小企业商号或者注册商标；</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3.2.2在工程采购项目中，工程由中小企业承建，即工程施工单位为中小企业；</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3.2.3在服务采购项目中，服务由中小企业承接，即提供服务的人员为中小企业依照《中华人民共和国劳动合同法》订立劳动合同的从业人员。</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在货物采购项目中，供应商提供的货物既有中小企业制造货物，也有大型企业制造货物的，不享受中小企业扶持政策。</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3.3符合《关于促进残疾人就业政府采购政策的通知》（</w:t>
      </w:r>
      <w:r>
        <w:rPr>
          <w:rFonts w:hint="eastAsia" w:ascii="宋体" w:hAnsi="宋体" w:eastAsia="宋体" w:cs="宋体"/>
          <w:color w:val="auto"/>
          <w:kern w:val="0"/>
          <w:sz w:val="24"/>
          <w:szCs w:val="24"/>
          <w:highlight w:val="none"/>
          <w:lang w:val="en-US" w:eastAsia="zh-CN" w:bidi="ar-SA"/>
        </w:rPr>
        <w:t>财</w:t>
      </w:r>
      <w:r>
        <w:rPr>
          <w:rFonts w:hint="eastAsia" w:ascii="宋体" w:hAnsi="宋体" w:eastAsia="宋体" w:cs="宋体"/>
          <w:color w:val="auto"/>
          <w:sz w:val="24"/>
          <w:szCs w:val="24"/>
          <w:highlight w:val="none"/>
          <w:lang w:val="en-US" w:eastAsia="zh-CN"/>
        </w:rPr>
        <w:t>库〔2017〕141号）规定的条件并提供《残疾人福利性单位声明函》的残疾人福利性单位视同小型、微型企业；</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可享受中小企业扶持政策的供应商应按照征集文件格式要求提供《中小企业声明函》，供应商提供的《中小企业声明函》与实际情况不符的，不享受中小企业扶持政策。声明内容不实的，属于提供虚假材料谋取中标、成交的，依法承担法律责任。</w:t>
      </w:r>
    </w:p>
    <w:p>
      <w:pPr>
        <w:pStyle w:val="9"/>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3.6中小企业享受扶持政策获得政府采购合同的，小微企业不得将合同分包给大中型企业，中型企业不得将合同分包给大型企业。</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十四、对本次征集提出询问、质疑、投诉，请按以下方式联系</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1.征集人信息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平湖</w:t>
      </w:r>
      <w:r>
        <w:rPr>
          <w:rFonts w:hint="eastAsia" w:ascii="宋体" w:hAnsi="宋体" w:eastAsia="宋体" w:cs="宋体"/>
          <w:color w:val="auto"/>
          <w:sz w:val="24"/>
          <w:szCs w:val="24"/>
          <w:highlight w:val="none"/>
        </w:rPr>
        <w:t>市公共资源交易中心</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沈莹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平湖市政务服务中心三楼</w:t>
      </w:r>
    </w:p>
    <w:p>
      <w:pPr>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bookmarkStart w:id="0" w:name="_Toc28359086"/>
      <w:bookmarkStart w:id="1" w:name="_Toc28359009"/>
      <w:r>
        <w:rPr>
          <w:rFonts w:hint="eastAsia" w:ascii="宋体" w:hAnsi="宋体" w:eastAsia="宋体" w:cs="宋体"/>
          <w:color w:val="auto"/>
          <w:sz w:val="24"/>
          <w:szCs w:val="24"/>
          <w:highlight w:val="none"/>
          <w:lang w:eastAsia="zh-CN"/>
        </w:rPr>
        <w:t>0573-</w:t>
      </w:r>
      <w:r>
        <w:rPr>
          <w:rFonts w:hint="eastAsia" w:ascii="宋体" w:hAnsi="宋体" w:cs="宋体"/>
          <w:color w:val="auto"/>
          <w:sz w:val="24"/>
          <w:szCs w:val="24"/>
          <w:highlight w:val="none"/>
          <w:lang w:val="en-US" w:eastAsia="zh-CN"/>
        </w:rPr>
        <w:t>85631721</w:t>
      </w:r>
    </w:p>
    <w:p>
      <w:pPr>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lang w:val="en-US" w:eastAsia="zh-CN"/>
        </w:rPr>
        <w:t>0573-8</w:t>
      </w:r>
      <w:r>
        <w:rPr>
          <w:rFonts w:hint="eastAsia" w:ascii="宋体" w:hAnsi="宋体" w:cs="宋体"/>
          <w:color w:val="auto"/>
          <w:sz w:val="24"/>
          <w:szCs w:val="24"/>
          <w:highlight w:val="none"/>
          <w:lang w:val="en-US" w:eastAsia="zh-CN"/>
        </w:rPr>
        <w:t>85631737</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eastAsia="zh-CN"/>
        </w:rPr>
        <w:t>于金成</w:t>
      </w:r>
    </w:p>
    <w:p>
      <w:pPr>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联系方式：0573-</w:t>
      </w:r>
      <w:r>
        <w:rPr>
          <w:rFonts w:hint="eastAsia" w:ascii="宋体" w:hAnsi="宋体" w:cs="宋体"/>
          <w:color w:val="auto"/>
          <w:sz w:val="24"/>
          <w:szCs w:val="24"/>
          <w:highlight w:val="none"/>
          <w:lang w:val="en-US" w:eastAsia="zh-CN"/>
        </w:rPr>
        <w:t>85631720</w:t>
      </w:r>
    </w:p>
    <w:bookmarkEnd w:id="0"/>
    <w:bookmarkEnd w:id="1"/>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.政府采购监督管理部门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 称：嘉兴市财政局</w:t>
      </w:r>
      <w:r>
        <w:rPr>
          <w:rFonts w:hint="eastAsia" w:ascii="宋体" w:hAnsi="宋体" w:cs="宋体"/>
          <w:color w:val="auto"/>
          <w:sz w:val="24"/>
          <w:szCs w:val="24"/>
          <w:highlight w:val="none"/>
          <w:lang w:eastAsia="zh-CN"/>
        </w:rPr>
        <w:t>政府采购监管处</w:t>
      </w:r>
    </w:p>
    <w:p>
      <w:pPr>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嘉兴市环城西路</w:t>
      </w:r>
      <w:r>
        <w:rPr>
          <w:rFonts w:hint="eastAsia" w:ascii="宋体" w:hAnsi="宋体" w:cs="宋体"/>
          <w:color w:val="auto"/>
          <w:sz w:val="24"/>
          <w:szCs w:val="24"/>
          <w:highlight w:val="none"/>
          <w:lang w:val="en-US" w:eastAsia="zh-CN"/>
        </w:rPr>
        <w:t>55号</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联系人：姚</w:t>
      </w:r>
      <w:r>
        <w:rPr>
          <w:rFonts w:hint="eastAsia" w:ascii="宋体" w:hAnsi="宋体" w:cs="宋体"/>
          <w:color w:val="auto"/>
          <w:sz w:val="24"/>
          <w:szCs w:val="24"/>
          <w:highlight w:val="none"/>
          <w:lang w:eastAsia="zh-CN"/>
        </w:rPr>
        <w:t>老师</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联系方式：0573-82031217</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获取热线服务帮助。</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pStyle w:val="2"/>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auto"/>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征集人：</w:t>
      </w:r>
      <w:r>
        <w:rPr>
          <w:rFonts w:hint="eastAsia" w:ascii="宋体" w:hAnsi="宋体" w:cs="宋体"/>
          <w:color w:val="auto"/>
          <w:sz w:val="24"/>
          <w:szCs w:val="24"/>
          <w:highlight w:val="none"/>
          <w:lang w:eastAsia="zh-CN"/>
        </w:rPr>
        <w:t>平湖</w:t>
      </w:r>
      <w:r>
        <w:rPr>
          <w:rFonts w:hint="eastAsia" w:ascii="宋体" w:hAnsi="宋体" w:eastAsia="宋体" w:cs="宋体"/>
          <w:color w:val="auto"/>
          <w:sz w:val="24"/>
          <w:szCs w:val="24"/>
          <w:highlight w:val="none"/>
        </w:rPr>
        <w:t>市公共资源交易中心　　</w:t>
      </w:r>
      <w:r>
        <w:rPr>
          <w:rFonts w:hint="eastAsia" w:ascii="宋体" w:hAnsi="宋体" w:eastAsia="宋体" w:cs="宋体"/>
          <w:color w:val="auto"/>
          <w:sz w:val="24"/>
          <w:szCs w:val="24"/>
          <w:highlight w:val="none"/>
          <w:lang w:val="en-US" w:eastAsia="zh-CN"/>
        </w:rPr>
        <w:t xml:space="preserve">                          </w:t>
      </w:r>
    </w:p>
    <w:p>
      <w:pPr>
        <w:pageBreakBefore w:val="0"/>
        <w:kinsoku/>
        <w:wordWrap/>
        <w:overflowPunct/>
        <w:topLinePunct w:val="0"/>
        <w:autoSpaceDE/>
        <w:autoSpaceDN/>
        <w:bidi w:val="0"/>
        <w:adjustRightInd/>
        <w:spacing w:line="360" w:lineRule="auto"/>
        <w:ind w:firstLine="4080" w:firstLineChars="17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p>
    <w:p>
      <w:pPr>
        <w:pStyle w:val="2"/>
        <w:pageBreakBefore w:val="0"/>
        <w:kinsoku/>
        <w:wordWrap/>
        <w:overflowPunct/>
        <w:topLinePunct w:val="0"/>
        <w:autoSpaceDE/>
        <w:autoSpaceDN/>
        <w:bidi w:val="0"/>
        <w:adjustRightInd/>
        <w:spacing w:line="360" w:lineRule="auto"/>
        <w:ind w:left="0" w:leftChars="0" w:firstLine="3600" w:firstLineChars="1500"/>
        <w:textAlignment w:val="auto"/>
        <w:rPr>
          <w:rFonts w:hint="eastAsia" w:ascii="宋体" w:hAnsi="宋体" w:eastAsia="宋体" w:cs="宋体"/>
          <w:color w:val="auto"/>
          <w:kern w:val="0"/>
          <w:sz w:val="24"/>
          <w:szCs w:val="24"/>
          <w:highlight w:val="none"/>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EE64F"/>
    <w:multiLevelType w:val="singleLevel"/>
    <w:tmpl w:val="AE9EE64F"/>
    <w:lvl w:ilvl="0" w:tentative="0">
      <w:start w:val="9"/>
      <w:numFmt w:val="chineseCounting"/>
      <w:suff w:val="nothing"/>
      <w:lvlText w:val="%1、"/>
      <w:lvlJc w:val="left"/>
      <w:rPr>
        <w:rFonts w:hint="eastAsia"/>
      </w:rPr>
    </w:lvl>
  </w:abstractNum>
  <w:abstractNum w:abstractNumId="1">
    <w:nsid w:val="1997DAB6"/>
    <w:multiLevelType w:val="singleLevel"/>
    <w:tmpl w:val="1997DAB6"/>
    <w:lvl w:ilvl="0" w:tentative="0">
      <w:start w:val="3"/>
      <w:numFmt w:val="chineseCounting"/>
      <w:suff w:val="nothing"/>
      <w:lvlText w:val="（%1）"/>
      <w:lvlJc w:val="left"/>
      <w:rPr>
        <w:rFonts w:hint="eastAsia"/>
      </w:rPr>
    </w:lvl>
  </w:abstractNum>
  <w:abstractNum w:abstractNumId="2">
    <w:nsid w:val="2630FBC8"/>
    <w:multiLevelType w:val="singleLevel"/>
    <w:tmpl w:val="2630FBC8"/>
    <w:lvl w:ilvl="0" w:tentative="0">
      <w:start w:val="1"/>
      <w:numFmt w:val="chineseCounting"/>
      <w:suff w:val="nothing"/>
      <w:lvlText w:val="%1、"/>
      <w:lvlJc w:val="left"/>
      <w:rPr>
        <w:rFonts w:hint="eastAsia"/>
      </w:rPr>
    </w:lvl>
  </w:abstractNum>
  <w:abstractNum w:abstractNumId="3">
    <w:nsid w:val="4301A5DE"/>
    <w:multiLevelType w:val="singleLevel"/>
    <w:tmpl w:val="4301A5DE"/>
    <w:lvl w:ilvl="0" w:tentative="0">
      <w:start w:val="1"/>
      <w:numFmt w:val="decimal"/>
      <w:suff w:val="nothing"/>
      <w:lvlText w:val="%1、"/>
      <w:lvlJc w:val="left"/>
      <w:pPr>
        <w:ind w:left="150"/>
      </w:pPr>
    </w:lvl>
  </w:abstractNum>
  <w:abstractNum w:abstractNumId="4">
    <w:nsid w:val="78A63FDD"/>
    <w:multiLevelType w:val="singleLevel"/>
    <w:tmpl w:val="78A63FDD"/>
    <w:lvl w:ilvl="0" w:tentative="0">
      <w:start w:val="1"/>
      <w:numFmt w:val="decimal"/>
      <w:suff w:val="nothing"/>
      <w:lvlText w:val="%1、"/>
      <w:lvlJc w:val="left"/>
      <w:pPr>
        <w:ind w:left="-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NzU1YTYyZDRmZmM3YjliZmI4ZWRkOWU1NDkwNzYifQ=="/>
  </w:docVars>
  <w:rsids>
    <w:rsidRoot w:val="7A7FF94E"/>
    <w:rsid w:val="0085392B"/>
    <w:rsid w:val="01E86DF8"/>
    <w:rsid w:val="02A92094"/>
    <w:rsid w:val="02E33BD6"/>
    <w:rsid w:val="06126EC9"/>
    <w:rsid w:val="063F3F4A"/>
    <w:rsid w:val="0B5C0416"/>
    <w:rsid w:val="1DAE760E"/>
    <w:rsid w:val="1E38212A"/>
    <w:rsid w:val="1FFF20C0"/>
    <w:rsid w:val="21DA3371"/>
    <w:rsid w:val="26FE2FB9"/>
    <w:rsid w:val="2DDA162B"/>
    <w:rsid w:val="2FED0DBB"/>
    <w:rsid w:val="2FF7A85F"/>
    <w:rsid w:val="35E822DF"/>
    <w:rsid w:val="37F2E1AC"/>
    <w:rsid w:val="3A361384"/>
    <w:rsid w:val="3BEF300A"/>
    <w:rsid w:val="3CAE49D2"/>
    <w:rsid w:val="3DE20EE5"/>
    <w:rsid w:val="3EFDFDE4"/>
    <w:rsid w:val="3F1A3DFB"/>
    <w:rsid w:val="3FBFDF04"/>
    <w:rsid w:val="3FFDB890"/>
    <w:rsid w:val="43F4C3D7"/>
    <w:rsid w:val="4BD01B65"/>
    <w:rsid w:val="4D7EFC38"/>
    <w:rsid w:val="4DFDA8F4"/>
    <w:rsid w:val="4E7B00EA"/>
    <w:rsid w:val="4E7F71DB"/>
    <w:rsid w:val="4EC3423B"/>
    <w:rsid w:val="4FB972EF"/>
    <w:rsid w:val="4FBF93B9"/>
    <w:rsid w:val="51B75540"/>
    <w:rsid w:val="570531E4"/>
    <w:rsid w:val="572C26B9"/>
    <w:rsid w:val="5B140014"/>
    <w:rsid w:val="5F3F1CDA"/>
    <w:rsid w:val="5F524373"/>
    <w:rsid w:val="61F705B3"/>
    <w:rsid w:val="6D826637"/>
    <w:rsid w:val="6F75CB5E"/>
    <w:rsid w:val="74FD8E4D"/>
    <w:rsid w:val="75958381"/>
    <w:rsid w:val="777B3D87"/>
    <w:rsid w:val="77FBE6B7"/>
    <w:rsid w:val="79B5BDD4"/>
    <w:rsid w:val="7A7FF94E"/>
    <w:rsid w:val="7B733291"/>
    <w:rsid w:val="7BBED4F1"/>
    <w:rsid w:val="7BFBD60C"/>
    <w:rsid w:val="7CFDEDC4"/>
    <w:rsid w:val="7DFD1D92"/>
    <w:rsid w:val="7E4872F5"/>
    <w:rsid w:val="7E7D7F91"/>
    <w:rsid w:val="7F7F96EE"/>
    <w:rsid w:val="7FFFE9C6"/>
    <w:rsid w:val="8DFFF0ED"/>
    <w:rsid w:val="975B351C"/>
    <w:rsid w:val="9BFEDA83"/>
    <w:rsid w:val="9DDBA342"/>
    <w:rsid w:val="ABBE059B"/>
    <w:rsid w:val="AF9B3AAA"/>
    <w:rsid w:val="AFF7F390"/>
    <w:rsid w:val="B6F61CB2"/>
    <w:rsid w:val="B7DD6364"/>
    <w:rsid w:val="B7DD87B2"/>
    <w:rsid w:val="B95F4632"/>
    <w:rsid w:val="BCD6CC85"/>
    <w:rsid w:val="BE9226BE"/>
    <w:rsid w:val="BFBF1837"/>
    <w:rsid w:val="C2F7E9B2"/>
    <w:rsid w:val="C6EFBCD7"/>
    <w:rsid w:val="CB9D877A"/>
    <w:rsid w:val="D7A787F2"/>
    <w:rsid w:val="DE3F42B2"/>
    <w:rsid w:val="DFB9CFFD"/>
    <w:rsid w:val="DFF61E52"/>
    <w:rsid w:val="E635B53B"/>
    <w:rsid w:val="E6FD4AF9"/>
    <w:rsid w:val="EAFB8557"/>
    <w:rsid w:val="EAFD6142"/>
    <w:rsid w:val="EB7F7702"/>
    <w:rsid w:val="EB9FD500"/>
    <w:rsid w:val="ED7C3E19"/>
    <w:rsid w:val="ED7FC384"/>
    <w:rsid w:val="EF2FCEA3"/>
    <w:rsid w:val="F3F3B820"/>
    <w:rsid w:val="F4FF96D0"/>
    <w:rsid w:val="F7E69A86"/>
    <w:rsid w:val="F7FA2E2B"/>
    <w:rsid w:val="F7FF71A6"/>
    <w:rsid w:val="FBBFA0C7"/>
    <w:rsid w:val="FDDB7CF3"/>
    <w:rsid w:val="FDF73303"/>
    <w:rsid w:val="FEF6BF25"/>
    <w:rsid w:val="FF5BCE10"/>
    <w:rsid w:val="FF77A164"/>
    <w:rsid w:val="FFB892A5"/>
    <w:rsid w:val="FFCF12E6"/>
    <w:rsid w:val="FFDE44FD"/>
    <w:rsid w:val="FFF79199"/>
    <w:rsid w:val="FFFAD21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6"/>
    <w:qFormat/>
    <w:uiPriority w:val="0"/>
    <w:pPr>
      <w:keepNext/>
      <w:keepLines/>
      <w:spacing w:line="540" w:lineRule="exact"/>
      <w:jc w:val="left"/>
      <w:outlineLvl w:val="1"/>
    </w:pPr>
    <w:rPr>
      <w:rFonts w:ascii="Arial" w:hAnsi="Arial" w:cs="Times New Roman"/>
      <w:b/>
      <w:bCs/>
      <w:kern w:val="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djustRightInd/>
      <w:spacing w:after="120" w:afterLines="0" w:line="240" w:lineRule="auto"/>
      <w:ind w:left="420" w:leftChars="200" w:firstLine="210"/>
    </w:pPr>
    <w:rPr>
      <w:sz w:val="21"/>
    </w:rPr>
  </w:style>
  <w:style w:type="paragraph" w:styleId="3">
    <w:name w:val="Body Text Indent"/>
    <w:basedOn w:val="1"/>
    <w:next w:val="2"/>
    <w:qFormat/>
    <w:uiPriority w:val="0"/>
    <w:pPr>
      <w:spacing w:line="480" w:lineRule="exact"/>
      <w:ind w:firstLine="480" w:firstLineChars="200"/>
    </w:pPr>
    <w:rPr>
      <w:rFonts w:ascii="宋体" w:hAnsi="宋体"/>
      <w:kern w:val="0"/>
      <w:sz w:val="24"/>
    </w:rPr>
  </w:style>
  <w:style w:type="paragraph" w:customStyle="1" w:styleId="4">
    <w:name w:val="xl53"/>
    <w:basedOn w:val="1"/>
    <w:next w:val="1"/>
    <w:qFormat/>
    <w:uiPriority w:val="0"/>
    <w:pPr>
      <w:spacing w:before="280" w:after="280" w:line="100" w:lineRule="exact"/>
      <w:jc w:val="center"/>
    </w:pPr>
    <w:rPr>
      <w:b/>
      <w:sz w:val="20"/>
    </w:rPr>
  </w:style>
  <w:style w:type="paragraph" w:customStyle="1" w:styleId="6">
    <w:name w:val="标准正文"/>
    <w:basedOn w:val="1"/>
    <w:qFormat/>
    <w:uiPriority w:val="0"/>
    <w:pPr>
      <w:spacing w:line="360" w:lineRule="auto"/>
      <w:ind w:firstLine="200" w:firstLineChars="200"/>
    </w:pPr>
    <w:rPr>
      <w:rFonts w:cs="Times New Roman"/>
      <w:szCs w:val="20"/>
    </w:r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pPr>
    <w:rPr>
      <w:rFonts w:hAnsi="Calibri" w:cs="Times New Roman"/>
      <w:snapToGrid/>
      <w:szCs w:val="20"/>
    </w:rPr>
  </w:style>
  <w:style w:type="paragraph" w:styleId="9">
    <w:name w:val="Plain Text"/>
    <w:basedOn w:val="1"/>
    <w:next w:val="1"/>
    <w:qFormat/>
    <w:uiPriority w:val="0"/>
    <w:rPr>
      <w:rFonts w:ascii="宋体" w:hAnsi="Courier New"/>
      <w:kern w:val="0"/>
      <w:sz w:val="24"/>
      <w:szCs w:val="20"/>
    </w:rPr>
  </w:style>
  <w:style w:type="paragraph" w:styleId="10">
    <w:name w:val="envelope return"/>
    <w:basedOn w:val="1"/>
    <w:qFormat/>
    <w:uiPriority w:val="99"/>
    <w:pPr>
      <w:snapToGrid w:val="0"/>
    </w:pPr>
    <w:rPr>
      <w:rFonts w:ascii="Arial" w:hAnsi="Arial" w:cs="Arial"/>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TML Sample"/>
    <w:basedOn w:val="14"/>
    <w:qFormat/>
    <w:uiPriority w:val="0"/>
    <w:rPr>
      <w:rFonts w:ascii="Courier New" w:hAnsi="Courier New"/>
    </w:rPr>
  </w:style>
  <w:style w:type="paragraph" w:customStyle="1" w:styleId="17">
    <w:name w:val="1正文"/>
    <w:basedOn w:val="1"/>
    <w:qFormat/>
    <w:uiPriority w:val="0"/>
    <w:rPr>
      <w:rFonts w:ascii="宋体" w:hAnsi="宋体"/>
      <w:color w:val="000000"/>
      <w:sz w:val="15"/>
      <w:szCs w:val="14"/>
    </w:rPr>
  </w:style>
  <w:style w:type="paragraph" w:customStyle="1" w:styleId="18">
    <w:name w:val="正文段"/>
    <w:basedOn w:val="1"/>
    <w:qFormat/>
    <w:uiPriority w:val="0"/>
    <w:pPr>
      <w:widowControl/>
      <w:snapToGrid w:val="0"/>
      <w:spacing w:after="50" w:afterLines="50"/>
      <w:ind w:firstLine="200" w:firstLineChars="200"/>
    </w:pPr>
    <w:rPr>
      <w:kern w:val="0"/>
      <w:sz w:val="24"/>
      <w:szCs w:val="20"/>
    </w:rPr>
  </w:style>
  <w:style w:type="paragraph" w:customStyle="1" w:styleId="19">
    <w:name w:val="章正文"/>
    <w:basedOn w:val="1"/>
    <w:qFormat/>
    <w:locked/>
    <w:uiPriority w:val="0"/>
    <w:pPr>
      <w:spacing w:before="156" w:beforeLines="50" w:after="120" w:line="300" w:lineRule="auto"/>
      <w:ind w:firstLine="480" w:firstLineChars="0"/>
    </w:pPr>
    <w:rPr>
      <w:rFonts w:ascii="Helvetica" w:hAnsi="Helvetica"/>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5945</Words>
  <Characters>6473</Characters>
  <Lines>0</Lines>
  <Paragraphs>0</Paragraphs>
  <TotalTime>22</TotalTime>
  <ScaleCrop>false</ScaleCrop>
  <LinksUpToDate>false</LinksUpToDate>
  <CharactersWithSpaces>6551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2023-03-23T23:49:00Z</dcterms:created>
  <dc:creator>thtf-13</dc:creator>
  <cp:lastModifiedBy>欢乐向</cp:lastModifiedBy>
  <dcterms:modified xsi:type="dcterms:W3CDTF">2025-02-26T01:36:24Z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28787A1EF5AF46DCB3315D1ACB6ECDEE</vt:lpwstr>
  </property>
</Properties>
</file>