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宋体" w:hAnsi="宋体" w:eastAsia="宋体" w:cs="宋体"/>
          <w:b/>
          <w:color w:val="auto"/>
          <w:sz w:val="36"/>
          <w:szCs w:val="36"/>
          <w:lang w:val="en-US" w:eastAsia="zh-CN"/>
        </w:rPr>
      </w:pPr>
      <w:bookmarkStart w:id="1" w:name="_GoBack"/>
      <w:r>
        <w:rPr>
          <w:rFonts w:hint="eastAsia" w:ascii="宋体" w:hAnsi="宋体" w:cs="宋体"/>
          <w:b/>
          <w:color w:val="auto"/>
          <w:sz w:val="32"/>
          <w:szCs w:val="32"/>
        </w:rPr>
        <w:t>附件</w:t>
      </w:r>
      <w:r>
        <w:rPr>
          <w:rFonts w:hint="eastAsia" w:cs="宋体"/>
          <w:b/>
          <w:color w:val="auto"/>
          <w:sz w:val="32"/>
          <w:szCs w:val="32"/>
        </w:rPr>
        <w:t>2</w:t>
      </w:r>
      <w:r>
        <w:rPr>
          <w:rFonts w:hint="eastAsia" w:ascii="宋体" w:hAnsi="宋体" w:cs="宋体"/>
          <w:b/>
          <w:color w:val="auto"/>
          <w:sz w:val="32"/>
          <w:szCs w:val="32"/>
        </w:rPr>
        <w:t>：</w:t>
      </w:r>
      <w:r>
        <w:rPr>
          <w:rFonts w:hint="eastAsia" w:ascii="宋体" w:hAnsi="宋体" w:cs="宋体"/>
          <w:b/>
          <w:bCs/>
          <w:color w:val="auto"/>
          <w:sz w:val="36"/>
          <w:szCs w:val="36"/>
        </w:rPr>
        <w:t>2025-2026年度海宁市行政事业单位物业管理服务开放式框架协议</w:t>
      </w:r>
      <w:r>
        <w:rPr>
          <w:rFonts w:hint="eastAsia" w:ascii="宋体" w:hAnsi="宋体" w:cs="宋体"/>
          <w:b/>
          <w:bCs/>
          <w:color w:val="auto"/>
          <w:sz w:val="36"/>
          <w:szCs w:val="36"/>
          <w:lang w:val="en-US" w:eastAsia="zh-CN"/>
        </w:rPr>
        <w:t>指引</w:t>
      </w:r>
    </w:p>
    <w:p>
      <w:pPr>
        <w:snapToGrid w:val="0"/>
        <w:spacing w:line="360" w:lineRule="auto"/>
        <w:ind w:firstLine="480" w:firstLineChars="200"/>
        <w:rPr>
          <w:rFonts w:ascii="宋体" w:hAnsi="宋体" w:cs="宋体"/>
          <w:bCs/>
          <w:color w:val="auto"/>
          <w:sz w:val="24"/>
        </w:rPr>
      </w:pP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项目编号：HNKJ2025003</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项目名称：2025-2026年度海宁市行政事业单位物业管理服务开放式框架协议采购                                </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征集人（甲方）：海宁市政府采购中心                              </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供应商（乙方）：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w:t>
      </w:r>
      <w:r>
        <w:rPr>
          <w:rFonts w:hint="eastAsia" w:ascii="宋体" w:hAnsi="宋体" w:cs="宋体"/>
          <w:bCs/>
          <w:color w:val="auto"/>
          <w:sz w:val="24"/>
        </w:rPr>
        <w:t>2025-2026年度海宁市行政事业单位物业管理服务开放式框架协议采购</w:t>
      </w:r>
      <w:r>
        <w:rPr>
          <w:rFonts w:hint="eastAsia" w:ascii="宋体" w:hAnsi="宋体" w:cs="宋体"/>
          <w:color w:val="auto"/>
          <w:sz w:val="24"/>
        </w:rPr>
        <w:t>”（项目编号：</w:t>
      </w:r>
      <w:r>
        <w:rPr>
          <w:rFonts w:hint="eastAsia" w:ascii="宋体" w:hAnsi="宋体" w:cs="宋体"/>
          <w:bCs/>
          <w:color w:val="auto"/>
          <w:sz w:val="24"/>
        </w:rPr>
        <w:t>HNKJ2025003</w:t>
      </w:r>
      <w:r>
        <w:rPr>
          <w:rFonts w:hint="eastAsia" w:ascii="宋体" w:hAnsi="宋体" w:cs="宋体"/>
          <w:color w:val="auto"/>
          <w:sz w:val="24"/>
        </w:rPr>
        <w:t>）要求、审核结果和《中华人民共和国政府采购法》、</w:t>
      </w:r>
      <w:r>
        <w:rPr>
          <w:rFonts w:hint="eastAsia" w:ascii="宋体" w:hAnsi="宋体" w:cs="宋体"/>
          <w:color w:val="auto"/>
        </w:rPr>
        <w:t>《</w:t>
      </w:r>
      <w:r>
        <w:rPr>
          <w:rFonts w:hint="eastAsia" w:ascii="宋体" w:hAnsi="宋体" w:cs="宋体"/>
          <w:color w:val="auto"/>
          <w:sz w:val="24"/>
        </w:rPr>
        <w:t>政府采购框架协议采购方式管理暂行办法</w:t>
      </w:r>
      <w:r>
        <w:rPr>
          <w:rFonts w:hint="eastAsia" w:ascii="宋体" w:hAnsi="宋体" w:cs="宋体"/>
          <w:color w:val="auto"/>
        </w:rPr>
        <w:t>》</w:t>
      </w:r>
      <w:r>
        <w:rPr>
          <w:rFonts w:hint="eastAsia" w:ascii="宋体" w:hAnsi="宋体" w:cs="宋体"/>
          <w:color w:val="auto"/>
          <w:sz w:val="24"/>
        </w:rPr>
        <w:t>等相关法律法规要求，双方经协商，达成以下条款，签订本协议。</w:t>
      </w:r>
    </w:p>
    <w:p>
      <w:pPr>
        <w:pStyle w:val="8"/>
        <w:snapToGrid w:val="0"/>
        <w:spacing w:line="360" w:lineRule="auto"/>
        <w:ind w:firstLine="482" w:firstLineChars="200"/>
        <w:rPr>
          <w:rFonts w:hAnsi="宋体" w:cs="宋体"/>
          <w:b/>
          <w:color w:val="auto"/>
          <w:szCs w:val="24"/>
        </w:rPr>
      </w:pPr>
      <w:r>
        <w:rPr>
          <w:rFonts w:hint="eastAsia" w:hAnsi="宋体" w:cs="宋体"/>
          <w:b/>
          <w:color w:val="auto"/>
          <w:szCs w:val="24"/>
        </w:rPr>
        <w:t>1.定义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本协议中的下列术语应解释为：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1.1“协议”系指载明甲方与乙方协利义务的协议，包括所有的附件、附录和其他构成协议的所有文件。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1.2“甲方”系指海宁市政府采购中心。</w:t>
      </w:r>
      <w:r>
        <w:rPr>
          <w:rFonts w:hint="eastAsia" w:ascii="宋体" w:hAnsi="宋体" w:cs="宋体"/>
          <w:color w:val="auto"/>
          <w:sz w:val="24"/>
        </w:rPr>
        <w:t>甲方不</w:t>
      </w:r>
      <w:r>
        <w:rPr>
          <w:rFonts w:hint="eastAsia" w:ascii="宋体" w:hAnsi="宋体" w:cs="宋体"/>
          <w:color w:val="auto"/>
          <w:sz w:val="24"/>
        </w:rPr>
        <w:t>作为协议一方具体参加合同的实际履行。在实际履行中由采购人与乙方另行签订政府采购物业管理服务合同。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1.3“</w:t>
      </w:r>
      <w:r>
        <w:rPr>
          <w:rFonts w:hint="eastAsia" w:ascii="宋体" w:hAnsi="宋体" w:cs="宋体"/>
          <w:color w:val="auto"/>
          <w:sz w:val="24"/>
        </w:rPr>
        <w:t>乙方”系指本次为海宁市各级国家机关、事业单位和团体组织（各级预算单位）提供物业管理服务的供应商。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1.4“采购人”系海宁市国家机关、事业单位和团体组织需要物业管理服务的单位，与甲方享有同等权力。本协议下述各处所指甲方同时包含采购人。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1.5“征集公告”是指《</w:t>
      </w:r>
      <w:r>
        <w:rPr>
          <w:rFonts w:hint="eastAsia" w:ascii="宋体" w:hAnsi="宋体" w:cs="宋体"/>
          <w:bCs/>
          <w:color w:val="auto"/>
          <w:sz w:val="24"/>
        </w:rPr>
        <w:t>2025-2026年度海宁市行政事业单位物业管理服务开放式框架协议采购</w:t>
      </w:r>
      <w:r>
        <w:rPr>
          <w:rFonts w:hint="eastAsia" w:ascii="宋体" w:hAnsi="宋体" w:cs="宋体"/>
          <w:bCs/>
          <w:color w:val="auto"/>
          <w:sz w:val="24"/>
        </w:rPr>
        <w:t>项目</w:t>
      </w:r>
      <w:r>
        <w:rPr>
          <w:rFonts w:hint="eastAsia" w:ascii="宋体" w:hAnsi="宋体" w:cs="宋体"/>
          <w:color w:val="auto"/>
          <w:sz w:val="24"/>
        </w:rPr>
        <w:t>征集公告》。</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2.适用范围及时间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2.1适用范围：2025-2026年度海宁市国家机关、事业单位、团体组织和镇（街道）采购预算金额在采购限额以下的物业管理服务项目。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2.2框架协议期限：</w:t>
      </w:r>
      <w:r>
        <w:rPr>
          <w:rFonts w:hint="eastAsia" w:cs="宋体"/>
          <w:bCs/>
          <w:color w:val="auto"/>
          <w:sz w:val="24"/>
        </w:rPr>
        <w:t>2025年3月1日起至2027年2月28日止。</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3.项目承诺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3.1业务开展范围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（1）甲方确定乙方为2025-2026年度海宁</w:t>
      </w:r>
      <w:r>
        <w:rPr>
          <w:rFonts w:ascii="宋体" w:hAnsi="宋体" w:cs="宋体"/>
          <w:color w:val="auto"/>
          <w:sz w:val="24"/>
        </w:rPr>
        <w:t>市</w:t>
      </w:r>
      <w:r>
        <w:rPr>
          <w:rFonts w:hint="eastAsia" w:ascii="宋体" w:hAnsi="宋体" w:cs="宋体"/>
          <w:color w:val="auto"/>
          <w:sz w:val="24"/>
        </w:rPr>
        <w:t>行政事业单位物业管理服务项目服务企业。乙方提供采购人的物业管理服务（包括房屋维护服务、公用设备设施维护服务、保洁服务、保安服务、绿化服务、会议服务等）。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（2）乙方应按照物业管理服务有关行业规定、相关法律法规与采购人签署相关政府采购物业管理服务合同，提供物业管理服务范围及标准不应低于本框架协议约定要求。</w:t>
      </w:r>
    </w:p>
    <w:p>
      <w:pPr>
        <w:snapToGrid w:val="0"/>
        <w:spacing w:line="360" w:lineRule="auto"/>
        <w:ind w:firstLine="480" w:firstLineChars="200"/>
        <w:rPr>
          <w:rFonts w:ascii="宋体" w:hAnsi="宋体" w:cs="宋体"/>
          <w:color w:val="auto"/>
          <w:sz w:val="24"/>
        </w:rPr>
      </w:pPr>
      <w:bookmarkStart w:id="0" w:name="OLE_LINK1"/>
      <w:r>
        <w:rPr>
          <w:rFonts w:hint="eastAsia" w:ascii="宋体" w:hAnsi="宋体" w:cs="宋体"/>
          <w:color w:val="auto"/>
          <w:sz w:val="24"/>
        </w:rPr>
        <w:t>3.2服务价格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乙方应按照承诺的价格，按要求在结算时向采购人提供发票、物业管理服务合同等。乙方应通过政采云平台起草物业管理服务合同后报采购人审核，双方确认完成在系统电子备案后按照财政部门规定进行结算。</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3.3费用结算</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结算时乙方应向采购人提供下列单据：正式的项目填写全面、发票、政府采购物业管理服务合同。具体市财政部门公布的文件为准。</w:t>
      </w:r>
    </w:p>
    <w:bookmarkEnd w:id="0"/>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 甲方的权利和义务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3.4.2甲方对采购人拖欠乙方费用不承担任何连带责任。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3.4.3对乙方业务开展和履行合同情况，甲方有权在浙江政府采购网或其他媒体上公布。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3.5.乙方的权利和义务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3.5.1乙方的权利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（2）乙方有权对甲方在日常管理工作中和采购人在服务过程中的不正当要求和违规行为进行投诉，并要求有关部门做出处理。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3.5.2乙方的义务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3.5.2.1乙方应严格遵守国家对消防安全和食品安全的相关要求。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3.5.2.2乙方应严格遵守国家法律、法规和相关规定，诚实、守信，合法经营，自觉维护采购人的利益，全面履行承诺，杜绝不正当竞争行为，优先服务采购人，根据采购人的要求，向采购人提供申请文件承诺服务范围内的物业管理服务，应不低于海宁市关于物业管理服务的相关服务规范和要求，确保服务质量，圆满完成服务工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3.5.2.3乙方应自觉接受并积极配合政府采购监管部门按照征集公告、本协议、乙方的申请文件及承诺提供的价格、设备设施、服务质量及服务能力进行的综合考核评定、监督检查和管理，严格履行承诺。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3.5.2.5在协议有效期内，乙方承诺价格为最高限价，采购人可与乙方进行议价；如果乙方下调市场价格，则乙方应及时下调政府采购价格，否则视为“超过协议规定价格收费”。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3.5.2.6乙方同意甲方建立的清退和补充规则，清退情况包括但不限于本协议“违约责任”和“协议的终止”中的内容。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（1）按时参加甲方举办的培训及召开的会议；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（2）按甲方的要求填报并更新维护相关信息和资料；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（3）配备专人负责框架协议采购相关事宜，按要求填报及更新相关信息，保证联系人、联系电话等信息真实齐全；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按要求登录相关查询系统维护数据，打印政府采购物业管理服务合同，经双方确认后作为采购人入账依据。乙方应保存好协议有效期内所有结算单据及明细报表，甲方有权对结算单据及明细报表进行检查并作为考核评分的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（5）报价真实有效，杜绝以低于成本的价格恶意竞争；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（6）向采购人提供等额的正式发票；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（7）乙方财务部门具备公务卡结算的能力（即刷信用卡结算的能力）；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（8）为采购人建立采购人档案并及时进行信息更新，建立健全客户服务制度等内部管理机制并严格执行；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（9）不向采购人行贿或者提供其他不正当利益；</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（10）自觉接受并积极配合甲方组织的日常考核、监督检查和管理。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3.5.2.8在协议有效期内，乙方应做好政采云平台上相关信息的维护工作，包括单位名称变更；及时变更联系人、联系电话、预订电话等。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3.5.2.10乙方承诺接受征集公告的所有内容，按照征集公告要求和申请文件承诺认真履约，如有违反将无条件接受甲方的处罚。</w:t>
      </w:r>
    </w:p>
    <w:p>
      <w:pPr>
        <w:pStyle w:val="6"/>
        <w:spacing w:line="360" w:lineRule="auto"/>
        <w:ind w:left="0" w:leftChars="0" w:firstLine="480"/>
        <w:rPr>
          <w:rFonts w:cs="宋体"/>
          <w:color w:val="auto"/>
          <w:sz w:val="24"/>
        </w:rPr>
      </w:pPr>
      <w:r>
        <w:rPr>
          <w:rFonts w:hint="eastAsia" w:cs="宋体"/>
          <w:color w:val="auto"/>
          <w:sz w:val="24"/>
        </w:rPr>
        <w:t>3.6考核监督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3.6.1政府采购监管部门有权对乙方承诺的价格、服务承诺等履约情况进行监督检查，作为对乙方履约情况监督考核的依据，据此追究乙方的违约责任或者作为考核评分依据。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3.6.2如采购人对乙方提供的服务质量等问题向政府采购监管部门投诉，政府采购监管部门有权进行核查，如情况属实可要求乙方及时消除影响、弥补损失。</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3.6.3政府采购监管部门有权在其网站及其他媒体上公布对乙方考核、监督检查及乙方履行协议的情况。</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4.违约责任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4.1甲、乙任何一方违反本协议的约定，应当承担违约责任，并赔偿对方的实际损失。乙方违约行为给采购人造成经济损失的，采购人有权按实际经济损失要求乙方进行赔偿。</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4.2乙方有下列情形之一的，甲方可依据协议及《政府采购框架协议采购方式管理暂行办法》等相关规定取消入围资格，并报监督管理部门追究其相应责任：</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（1）乙方提供虚假材料谋取入围或者合同成交的；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（2）乙方无正当理由拒不接受合同授予的；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（3）不履行合同义务或者履行合同义务不符合约定，经采购人请求履行后仍不履行或者仍未按约定履行的；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（4）乙方采用不正当竞争手段争揽业务，引起投诉并经甲方查实的；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 xml:space="preserve">（5）未及时更新相关信息或者当高于市场价格时，未及时更新的； </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（6）乙方服务质量差，被采购人有效投诉三次（含）以上并经查实的；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（7）各级财政部门认定的其他违法、违规的行为。</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（8）任何情况下，乙方都不得向经办人员提供任何形式的回扣，一经发现，甲方报经批准可立即取消资格，同时提请有关部门追究有关当事人的责任。</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4.3乙方与采购人签订合同的，乙方的义务不得低于本协议中约定的义务以及乙方在申请文件中的承诺，否则相应的条款无效，乙方相应的义务以本协议为准。</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4.4乙方违约情节特别严重的，甲方报送政府采购监管部门，采购监管部门可依法对其采取列入不良行为记录名单、在一至三年内禁止参加政府采购活动，并予以通报。</w:t>
      </w:r>
    </w:p>
    <w:p>
      <w:pPr>
        <w:tabs>
          <w:tab w:val="left" w:pos="630"/>
        </w:tabs>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5.不可抗力</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80" w:firstLineChars="200"/>
        <w:rPr>
          <w:rFonts w:ascii="宋体" w:hAnsi="宋体" w:cs="宋体"/>
          <w:color w:val="auto"/>
          <w:sz w:val="24"/>
          <w:highlight w:val="yellow"/>
        </w:rPr>
      </w:pPr>
      <w:r>
        <w:rPr>
          <w:rFonts w:hint="eastAsia" w:ascii="宋体" w:hAnsi="宋体" w:cs="宋体"/>
          <w:color w:val="auto"/>
          <w:sz w:val="24"/>
        </w:rPr>
        <w:t>5.4一旦不可抗力事故的影响持续120天以上，甲乙双方通过友好协商，在合理的时间内达成进一步履行协议或终止协议的协议。</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6.保密条款</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7.协议的解释</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7.1任何一方对本协议及其附件的解释均应遵循诚实信用原则，依照本协议签订时有效的中华人民共和国的法律、法规以及人们通常的理解进行。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7.2本协议标题仅供查阅方便，并非对本协议的诠释或解释，本协议中以日表述的时间期限均指公历日。</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7.3对本协议的任何解释均应以书面做出。</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8.争议的解决</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本协议如发生纠纷，甲、乙应当及时协商解决，如协商不成，按《中华人民共和国民法典》、《中华人民共和国政府采购法》等规定处理。</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9.协议的终止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9.2 协议期内乙方不得擅自终止协议，否则应负担所造成的一切损失。如乙方因故需终止协议，可以随时申请退出框架协议，经甲方审核后方可退出。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9.3 出现下列情况时本协议自行终止：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（1）本协议正常履行完毕；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（2）甲乙双方协商终止本协议的履行；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（3）不可抗力导致本协议无法履行或履行不必要时；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（4）乙方不履行协议条款，造成无法执行协议，协商又不能解决的，乙方赔偿损失后，协议终止。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9.4乙方出现本协议“违约责任”中“取消资格”情况的,协议终止，甲方有权提请有关部门追究相关当事人责任。</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10.协议的生效及其他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10.1乙方自愿通过政采云平台在线申请参与本项目，申请资料经甲方审核通过后，本协议即生效。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10.2协议履行期内甲乙双方均不得随意变更或解除协议。协议若有未尽事宜，需经双方共同协商，作出补充规定，补充规定与本协议有同等法律效力。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10.3</w:t>
      </w:r>
      <w:r>
        <w:rPr>
          <w:rFonts w:hint="eastAsia" w:ascii="宋体" w:hAnsi="宋体" w:cs="宋体"/>
          <w:b/>
          <w:bCs/>
          <w:color w:val="auto"/>
          <w:sz w:val="24"/>
        </w:rPr>
        <w:t>如有最新政策规定，甲乙双方按最新政策规定执行，不再签订补充协议。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10.4本项目征集文件（项目编号：HNKJ2025003）、申请资料及审核过程中形成的文字资料均作为本协议的组成部分，具有同等效力。</w:t>
      </w:r>
    </w:p>
    <w:p>
      <w:pPr>
        <w:pStyle w:val="3"/>
        <w:rPr>
          <w:rFonts w:ascii="宋体" w:hAnsi="宋体" w:cs="宋体"/>
          <w:color w:val="auto"/>
          <w:szCs w:val="21"/>
        </w:rPr>
      </w:pPr>
    </w:p>
    <w:p>
      <w:pPr>
        <w:rPr>
          <w:rFonts w:ascii="宋体" w:hAnsi="宋体" w:cs="宋体"/>
          <w:color w:val="auto"/>
          <w:szCs w:val="21"/>
        </w:rPr>
      </w:pPr>
    </w:p>
    <w:p>
      <w:pPr>
        <w:pStyle w:val="2"/>
        <w:ind w:firstLine="210"/>
        <w:rPr>
          <w:rFonts w:ascii="宋体" w:hAnsi="宋体" w:cs="宋体"/>
          <w:color w:val="auto"/>
          <w:szCs w:val="21"/>
        </w:rPr>
      </w:pPr>
    </w:p>
    <w:p>
      <w:pPr>
        <w:rPr>
          <w:rFonts w:ascii="宋体" w:hAnsi="宋体" w:cs="宋体"/>
          <w:color w:val="auto"/>
          <w:szCs w:val="21"/>
        </w:rPr>
      </w:pPr>
    </w:p>
    <w:p>
      <w:pPr>
        <w:pStyle w:val="2"/>
        <w:ind w:firstLine="210"/>
        <w:rPr>
          <w:color w:val="auto"/>
        </w:rPr>
      </w:pPr>
    </w:p>
    <w:p>
      <w:pPr>
        <w:rPr>
          <w:color w:val="auto"/>
        </w:rPr>
      </w:pPr>
    </w:p>
    <w:tbl>
      <w:tblPr>
        <w:tblStyle w:val="12"/>
        <w:tblW w:w="0" w:type="auto"/>
        <w:jc w:val="center"/>
        <w:tblLayout w:type="fixed"/>
        <w:tblCellMar>
          <w:top w:w="0" w:type="dxa"/>
          <w:left w:w="108" w:type="dxa"/>
          <w:bottom w:w="0" w:type="dxa"/>
          <w:right w:w="108" w:type="dxa"/>
        </w:tblCellMar>
      </w:tblPr>
      <w:tblGrid>
        <w:gridCol w:w="4724"/>
        <w:gridCol w:w="4706"/>
      </w:tblGrid>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甲方（盖章）：</w:t>
            </w:r>
            <w:r>
              <w:rPr>
                <w:rFonts w:hint="eastAsia" w:ascii="宋体" w:hAnsi="宋体" w:cs="Arial"/>
                <w:b/>
                <w:bCs/>
                <w:color w:val="auto"/>
                <w:szCs w:val="21"/>
                <w:u w:val="single"/>
              </w:rPr>
              <w:t xml:space="preserve">       </w:t>
            </w:r>
            <w:r>
              <w:rPr>
                <w:rFonts w:hint="eastAsia" w:ascii="宋体" w:hAnsi="宋体" w:cs="Arial"/>
                <w:b/>
                <w:color w:val="auto"/>
                <w:szCs w:val="21"/>
                <w:u w:val="single"/>
              </w:rPr>
              <w:t xml:space="preserve">                       </w:t>
            </w:r>
            <w:r>
              <w:rPr>
                <w:rFonts w:hint="eastAsia" w:ascii="宋体" w:hAnsi="宋体"/>
                <w:color w:val="auto"/>
                <w:szCs w:val="21"/>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乙方（盖章）：</w:t>
            </w:r>
            <w:r>
              <w:rPr>
                <w:rFonts w:hint="eastAsia" w:ascii="宋体" w:hAnsi="宋体" w:cs="Arial"/>
                <w:b/>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地址：</w:t>
            </w:r>
            <w:r>
              <w:rPr>
                <w:rFonts w:hint="eastAsia" w:ascii="宋体" w:hAnsi="宋体" w:cs="Arial"/>
                <w:b/>
                <w:color w:val="auto"/>
                <w:szCs w:val="21"/>
                <w:u w:val="single"/>
              </w:rPr>
              <w:t xml:space="preserve">                                         </w:t>
            </w:r>
            <w:r>
              <w:rPr>
                <w:rFonts w:hint="eastAsia" w:ascii="宋体" w:hAnsi="宋体"/>
                <w:color w:val="auto"/>
                <w:szCs w:val="21"/>
                <w:u w:val="single"/>
              </w:rPr>
              <w:t xml:space="preserve"> </w:t>
            </w:r>
          </w:p>
        </w:tc>
        <w:tc>
          <w:tcPr>
            <w:tcW w:w="4706" w:type="dxa"/>
            <w:vAlign w:val="center"/>
          </w:tcPr>
          <w:p>
            <w:pPr>
              <w:pStyle w:val="4"/>
              <w:ind w:left="630" w:leftChars="100" w:hanging="420" w:hangingChars="200"/>
              <w:jc w:val="left"/>
              <w:rPr>
                <w:rFonts w:ascii="宋体" w:hAnsi="宋体"/>
                <w:color w:val="auto"/>
                <w:szCs w:val="21"/>
                <w:u w:val="single"/>
              </w:rPr>
            </w:pPr>
            <w:r>
              <w:rPr>
                <w:rFonts w:hint="eastAsia" w:ascii="宋体" w:hAnsi="宋体"/>
                <w:color w:val="auto"/>
                <w:szCs w:val="21"/>
              </w:rPr>
              <w:t>地址：</w:t>
            </w:r>
            <w:r>
              <w:rPr>
                <w:rFonts w:hint="eastAsia" w:ascii="宋体" w:hAnsi="宋体" w:cs="Arial"/>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法定代表人（授权代表）：</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法定代表人（授权代表）：</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联系电话：</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联系电话：</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开户银行：</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账号：</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rPr>
            </w:pPr>
            <w:r>
              <w:rPr>
                <w:rFonts w:hint="eastAsia" w:ascii="宋体" w:hAnsi="宋体"/>
                <w:color w:val="auto"/>
                <w:szCs w:val="21"/>
              </w:rPr>
              <w:t>日期：二○二</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日期：二○二</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pPr>
        <w:pStyle w:val="3"/>
        <w:rPr>
          <w:color w:val="auto"/>
        </w:rPr>
      </w:pPr>
    </w:p>
    <w:p>
      <w:pPr>
        <w:pStyle w:val="6"/>
        <w:ind w:firstLine="420"/>
        <w:rPr>
          <w:color w:val="auto"/>
        </w:rPr>
      </w:pPr>
    </w:p>
    <w:bookmarkEnd w:i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OWNjNzU1YTYyZDRmZmM3YjliZmI4ZWRkOWU1NDkwNzYifQ=="/>
  </w:docVars>
  <w:rsids>
    <w:rsidRoot w:val="FA418EE8"/>
    <w:rsid w:val="003479C2"/>
    <w:rsid w:val="00F165B2"/>
    <w:rsid w:val="094F0147"/>
    <w:rsid w:val="0FBA1C77"/>
    <w:rsid w:val="20FD535E"/>
    <w:rsid w:val="26C45659"/>
    <w:rsid w:val="37DFE462"/>
    <w:rsid w:val="3FED4275"/>
    <w:rsid w:val="6D50222F"/>
    <w:rsid w:val="6FC43E99"/>
    <w:rsid w:val="79638D15"/>
    <w:rsid w:val="AE7CE880"/>
    <w:rsid w:val="D7FC8CA0"/>
    <w:rsid w:val="FA418EE8"/>
    <w:rsid w:val="FD9D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qFormat/>
    <w:uiPriority w:val="0"/>
    <w:pPr>
      <w:ind w:firstLine="420"/>
    </w:pPr>
  </w:style>
  <w:style w:type="paragraph" w:styleId="5">
    <w:name w:val="Body Text Indent"/>
    <w:basedOn w:val="1"/>
    <w:next w:val="6"/>
    <w:qFormat/>
    <w:uiPriority w:val="0"/>
    <w:pPr>
      <w:spacing w:line="480" w:lineRule="exact"/>
      <w:ind w:firstLine="480" w:firstLineChars="200"/>
    </w:pPr>
    <w:rPr>
      <w:rFonts w:ascii="宋体" w:hAnsi="宋体"/>
      <w:kern w:val="0"/>
      <w:sz w:val="24"/>
    </w:rPr>
  </w:style>
  <w:style w:type="paragraph" w:styleId="6">
    <w:name w:val="Body Text First Indent 2"/>
    <w:basedOn w:val="5"/>
    <w:next w:val="7"/>
    <w:qFormat/>
    <w:uiPriority w:val="0"/>
    <w:pPr>
      <w:spacing w:line="240" w:lineRule="auto"/>
      <w:ind w:left="420" w:leftChars="200" w:firstLine="210"/>
    </w:pPr>
    <w:rPr>
      <w:sz w:val="21"/>
    </w:rPr>
  </w:style>
  <w:style w:type="paragraph" w:customStyle="1" w:styleId="7">
    <w:name w:val="xl53"/>
    <w:basedOn w:val="1"/>
    <w:next w:val="1"/>
    <w:qFormat/>
    <w:uiPriority w:val="0"/>
    <w:pPr>
      <w:spacing w:before="280" w:after="280" w:line="100" w:lineRule="exact"/>
      <w:jc w:val="center"/>
    </w:pPr>
    <w:rPr>
      <w:b/>
      <w:sz w:val="20"/>
    </w:rPr>
  </w:style>
  <w:style w:type="paragraph" w:styleId="8">
    <w:name w:val="Plain Text"/>
    <w:basedOn w:val="1"/>
    <w:next w:val="1"/>
    <w:qFormat/>
    <w:uiPriority w:val="0"/>
    <w:rPr>
      <w:rFonts w:ascii="宋体" w:hAnsi="Courier New"/>
      <w:kern w:val="0"/>
      <w:sz w:val="24"/>
      <w:szCs w:val="20"/>
    </w:rPr>
  </w:style>
  <w:style w:type="paragraph" w:styleId="9">
    <w:name w:val="footer"/>
    <w:basedOn w:val="1"/>
    <w:link w:val="15"/>
    <w:uiPriority w:val="0"/>
    <w:pPr>
      <w:tabs>
        <w:tab w:val="center" w:pos="4153"/>
        <w:tab w:val="right" w:pos="8306"/>
      </w:tabs>
      <w:snapToGrid w:val="0"/>
      <w:jc w:val="left"/>
    </w:pPr>
    <w:rPr>
      <w:sz w:val="18"/>
      <w:szCs w:val="18"/>
    </w:rPr>
  </w:style>
  <w:style w:type="paragraph" w:styleId="10">
    <w:name w:val="envelope return"/>
    <w:basedOn w:val="1"/>
    <w:qFormat/>
    <w:uiPriority w:val="99"/>
    <w:pPr>
      <w:snapToGrid w:val="0"/>
    </w:pPr>
    <w:rPr>
      <w:rFonts w:ascii="Arial" w:hAnsi="Arial" w:cs="Arial"/>
    </w:rPr>
  </w:style>
  <w:style w:type="paragraph" w:styleId="11">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uiPriority w:val="0"/>
    <w:rPr>
      <w:rFonts w:ascii="Times New Roman" w:hAnsi="Times New Roman"/>
      <w:kern w:val="2"/>
      <w:sz w:val="18"/>
      <w:szCs w:val="18"/>
    </w:rPr>
  </w:style>
  <w:style w:type="character" w:customStyle="1" w:styleId="15">
    <w:name w:val="页脚 Char"/>
    <w:basedOn w:val="13"/>
    <w:link w:val="9"/>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4683</Words>
  <Characters>4949</Characters>
  <Lines>7</Lines>
  <Paragraphs>11</Paragraphs>
  <TotalTime>24</TotalTime>
  <ScaleCrop>false</ScaleCrop>
  <LinksUpToDate>false</LinksUpToDate>
  <CharactersWithSpaces>5488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2023-03-11T07:18:00Z</dcterms:created>
  <dc:creator>thtf-13</dc:creator>
  <cp:lastModifiedBy>dell-333</cp:lastModifiedBy>
  <dcterms:modified xsi:type="dcterms:W3CDTF">2025-01-15T08:47:56Z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D0241A335DCD4198B292F2B168CE8808_12</vt:lpwstr>
  </property>
</Properties>
</file>