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cs="宋体"/>
          <w:b/>
          <w:sz w:val="28"/>
          <w:szCs w:val="28"/>
          <w:lang w:val="en-US" w:eastAsia="zh-CN"/>
        </w:rPr>
      </w:pPr>
      <w:bookmarkStart w:id="0" w:name="_Toc380429933"/>
      <w:bookmarkStart w:id="1" w:name="_Toc381081805"/>
      <w:bookmarkStart w:id="2" w:name="_Toc1308133736"/>
      <w:r>
        <w:rPr>
          <w:rFonts w:hint="eastAsia" w:ascii="宋体" w:hAnsi="宋体" w:eastAsia="宋体" w:cs="宋体"/>
          <w:b/>
          <w:sz w:val="28"/>
          <w:szCs w:val="28"/>
          <w:lang w:val="en-US" w:eastAsia="zh-CN"/>
        </w:rPr>
        <w:t>附件1：</w:t>
      </w:r>
      <w:r>
        <w:rPr>
          <w:rFonts w:hint="eastAsia" w:ascii="宋体" w:hAnsi="宋体" w:cs="宋体"/>
          <w:b/>
          <w:sz w:val="28"/>
          <w:szCs w:val="28"/>
          <w:lang w:val="en-US" w:eastAsia="zh-CN"/>
        </w:rPr>
        <w:t>征集文件</w:t>
      </w:r>
    </w:p>
    <w:p>
      <w:pPr>
        <w:keepNext w:val="0"/>
        <w:keepLines w:val="0"/>
        <w:pageBreakBefore w:val="0"/>
        <w:widowControl w:val="0"/>
        <w:shd w:val="clear"/>
        <w:kinsoku/>
        <w:wordWrap/>
        <w:overflowPunct w:val="0"/>
        <w:topLinePunct/>
        <w:autoSpaceDE w:val="0"/>
        <w:autoSpaceDN w:val="0"/>
        <w:bidi w:val="0"/>
        <w:adjustRightInd/>
        <w:snapToGrid/>
        <w:spacing w:before="937" w:beforeLines="300" w:line="360" w:lineRule="auto"/>
        <w:ind w:left="0" w:leftChars="0" w:right="0" w:rightChars="0" w:firstLine="0" w:firstLineChars="0"/>
        <w:jc w:val="center"/>
        <w:textAlignment w:val="auto"/>
        <w:outlineLvl w:val="9"/>
        <w:rPr>
          <w:rFonts w:hint="eastAsia"/>
          <w:color w:val="auto"/>
          <w:highlight w:val="none"/>
          <w:lang w:eastAsia="zh-CN"/>
        </w:rPr>
      </w:pPr>
      <w:r>
        <w:rPr>
          <w:rFonts w:hint="eastAsia" w:ascii="宋体" w:hAnsi="宋体" w:eastAsia="宋体" w:cs="宋体"/>
          <w:b/>
          <w:bCs/>
          <w:i w:val="0"/>
          <w:iCs w:val="0"/>
          <w:color w:val="auto"/>
          <w:sz w:val="60"/>
          <w:szCs w:val="60"/>
          <w:highlight w:val="none"/>
        </w:rPr>
        <w:t>2025-2026年海盐县物业管理服务开放式框架协议采购项目</w:t>
      </w:r>
    </w:p>
    <w:p>
      <w:pPr>
        <w:pStyle w:val="17"/>
        <w:rPr>
          <w:rFonts w:hint="eastAsia"/>
          <w:color w:val="auto"/>
          <w:highlight w:val="none"/>
          <w:lang w:eastAsia="zh-CN"/>
        </w:rPr>
      </w:pPr>
    </w:p>
    <w:p>
      <w:pPr>
        <w:keepNext w:val="0"/>
        <w:keepLines w:val="0"/>
        <w:pageBreakBefore w:val="0"/>
        <w:widowControl w:val="0"/>
        <w:shd w:val="clear"/>
        <w:kinsoku/>
        <w:wordWrap/>
        <w:overflowPunct w:val="0"/>
        <w:topLinePunct/>
        <w:autoSpaceDE w:val="0"/>
        <w:autoSpaceDN w:val="0"/>
        <w:bidi w:val="0"/>
        <w:adjustRightInd/>
        <w:snapToGrid/>
        <w:spacing w:before="32" w:beforeLines="10" w:line="240" w:lineRule="auto"/>
        <w:ind w:left="0" w:leftChars="0" w:right="0" w:rightChars="0" w:firstLine="0" w:firstLineChars="0"/>
        <w:jc w:val="center"/>
        <w:textAlignment w:val="auto"/>
        <w:outlineLvl w:val="9"/>
        <w:rPr>
          <w:rFonts w:hint="eastAsia" w:ascii="宋体" w:hAnsi="宋体" w:eastAsia="宋体" w:cs="宋体"/>
          <w:color w:val="auto"/>
          <w:sz w:val="56"/>
          <w:szCs w:val="56"/>
          <w:highlight w:val="none"/>
        </w:rPr>
      </w:pPr>
    </w:p>
    <w:p>
      <w:pPr>
        <w:keepNext w:val="0"/>
        <w:keepLines w:val="0"/>
        <w:pageBreakBefore w:val="0"/>
        <w:widowControl w:val="0"/>
        <w:shd w:val="clear"/>
        <w:kinsoku/>
        <w:wordWrap/>
        <w:overflowPunct w:val="0"/>
        <w:topLinePunct/>
        <w:autoSpaceDE w:val="0"/>
        <w:autoSpaceDN w:val="0"/>
        <w:bidi w:val="0"/>
        <w:adjustRightInd/>
        <w:snapToGrid/>
        <w:spacing w:before="32" w:beforeLines="10" w:line="24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rPr>
      </w:pPr>
    </w:p>
    <w:p>
      <w:pPr>
        <w:keepNext w:val="0"/>
        <w:keepLines w:val="0"/>
        <w:pageBreakBefore w:val="0"/>
        <w:widowControl w:val="0"/>
        <w:shd w:val="clear"/>
        <w:kinsoku/>
        <w:wordWrap/>
        <w:overflowPunct w:val="0"/>
        <w:topLinePunct/>
        <w:autoSpaceDE w:val="0"/>
        <w:autoSpaceDN w:val="0"/>
        <w:bidi w:val="0"/>
        <w:adjustRightInd/>
        <w:snapToGrid/>
        <w:spacing w:before="32" w:beforeLines="10" w:line="36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lang w:val="en-US" w:eastAsia="zh-CN"/>
        </w:rPr>
        <w:t>征</w:t>
      </w:r>
    </w:p>
    <w:p>
      <w:pPr>
        <w:keepNext w:val="0"/>
        <w:keepLines w:val="0"/>
        <w:pageBreakBefore w:val="0"/>
        <w:widowControl w:val="0"/>
        <w:shd w:val="clear"/>
        <w:kinsoku/>
        <w:wordWrap/>
        <w:overflowPunct w:val="0"/>
        <w:topLinePunct/>
        <w:autoSpaceDE w:val="0"/>
        <w:autoSpaceDN w:val="0"/>
        <w:bidi w:val="0"/>
        <w:adjustRightInd/>
        <w:snapToGrid/>
        <w:spacing w:before="32" w:beforeLines="10" w:line="36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lang w:val="en-US" w:eastAsia="zh-CN"/>
        </w:rPr>
        <w:t>集</w:t>
      </w:r>
    </w:p>
    <w:p>
      <w:pPr>
        <w:keepNext w:val="0"/>
        <w:keepLines w:val="0"/>
        <w:pageBreakBefore w:val="0"/>
        <w:widowControl w:val="0"/>
        <w:shd w:val="clear"/>
        <w:kinsoku/>
        <w:wordWrap/>
        <w:overflowPunct w:val="0"/>
        <w:topLinePunct/>
        <w:autoSpaceDE w:val="0"/>
        <w:autoSpaceDN w:val="0"/>
        <w:bidi w:val="0"/>
        <w:adjustRightInd/>
        <w:snapToGrid/>
        <w:spacing w:before="32" w:beforeLines="10" w:line="36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文</w:t>
      </w:r>
    </w:p>
    <w:p>
      <w:pPr>
        <w:keepNext w:val="0"/>
        <w:keepLines w:val="0"/>
        <w:pageBreakBefore w:val="0"/>
        <w:widowControl w:val="0"/>
        <w:shd w:val="clear"/>
        <w:kinsoku/>
        <w:wordWrap/>
        <w:overflowPunct w:val="0"/>
        <w:topLinePunct/>
        <w:autoSpaceDE w:val="0"/>
        <w:autoSpaceDN w:val="0"/>
        <w:bidi w:val="0"/>
        <w:adjustRightInd/>
        <w:snapToGrid/>
        <w:spacing w:before="32" w:beforeLines="10" w:line="360" w:lineRule="auto"/>
        <w:ind w:left="0" w:leftChars="0" w:right="0" w:rightChars="0" w:firstLine="0" w:firstLineChars="0"/>
        <w:jc w:val="center"/>
        <w:textAlignment w:val="auto"/>
        <w:outlineLvl w:val="9"/>
        <w:rPr>
          <w:rFonts w:hint="eastAsia" w:ascii="宋体" w:hAnsi="宋体" w:eastAsia="宋体" w:cs="宋体"/>
          <w:color w:val="auto"/>
          <w:sz w:val="16"/>
          <w:szCs w:val="20"/>
          <w:highlight w:val="none"/>
        </w:rPr>
      </w:pPr>
      <w:r>
        <w:rPr>
          <w:rFonts w:hint="eastAsia" w:ascii="宋体" w:hAnsi="宋体" w:eastAsia="宋体" w:cs="宋体"/>
          <w:color w:val="auto"/>
          <w:sz w:val="48"/>
          <w:szCs w:val="48"/>
          <w:highlight w:val="none"/>
        </w:rPr>
        <w:t>件</w:t>
      </w:r>
    </w:p>
    <w:p>
      <w:pPr>
        <w:pStyle w:val="13"/>
        <w:keepNext w:val="0"/>
        <w:keepLines w:val="0"/>
        <w:pageBreakBefore w:val="0"/>
        <w:widowControl w:val="0"/>
        <w:shd w:val="clear"/>
        <w:kinsoku/>
        <w:wordWrap/>
        <w:overflowPunct w:val="0"/>
        <w:topLinePunct/>
        <w:autoSpaceDE w:val="0"/>
        <w:autoSpaceDN w:val="0"/>
        <w:bidi w:val="0"/>
        <w:adjustRightInd/>
        <w:snapToGrid w:val="0"/>
        <w:spacing w:before="120" w:after="120" w:line="400" w:lineRule="exact"/>
        <w:ind w:left="0" w:leftChars="0" w:right="0" w:rightChars="0"/>
        <w:jc w:val="left"/>
        <w:textAlignment w:val="auto"/>
        <w:outlineLvl w:val="9"/>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 xml:space="preserve">  </w:t>
      </w:r>
    </w:p>
    <w:p>
      <w:pPr>
        <w:rPr>
          <w:rFonts w:hint="eastAsia"/>
          <w:color w:val="auto"/>
          <w:highlight w:val="none"/>
          <w:lang w:val="en-US" w:eastAsia="zh-CN"/>
        </w:rPr>
      </w:pPr>
    </w:p>
    <w:p>
      <w:pPr>
        <w:pStyle w:val="13"/>
        <w:keepNext w:val="0"/>
        <w:keepLines w:val="0"/>
        <w:pageBreakBefore w:val="0"/>
        <w:widowControl w:val="0"/>
        <w:shd w:val="clear"/>
        <w:kinsoku/>
        <w:wordWrap/>
        <w:overflowPunct w:val="0"/>
        <w:topLinePunct/>
        <w:autoSpaceDE w:val="0"/>
        <w:autoSpaceDN w:val="0"/>
        <w:bidi w:val="0"/>
        <w:adjustRightInd/>
        <w:snapToGrid w:val="0"/>
        <w:spacing w:before="120" w:after="120" w:line="400" w:lineRule="exact"/>
        <w:ind w:left="0" w:leftChars="0" w:right="0" w:rightChars="0"/>
        <w:jc w:val="left"/>
        <w:textAlignment w:val="auto"/>
        <w:outlineLvl w:val="9"/>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 xml:space="preserve">        </w:t>
      </w:r>
    </w:p>
    <w:p>
      <w:pPr>
        <w:pStyle w:val="13"/>
        <w:keepNext w:val="0"/>
        <w:keepLines w:val="0"/>
        <w:pageBreakBefore w:val="0"/>
        <w:widowControl w:val="0"/>
        <w:shd w:val="clear"/>
        <w:kinsoku/>
        <w:wordWrap/>
        <w:overflowPunct w:val="0"/>
        <w:topLinePunct/>
        <w:autoSpaceDE w:val="0"/>
        <w:autoSpaceDN w:val="0"/>
        <w:bidi w:val="0"/>
        <w:adjustRightInd/>
        <w:snapToGrid w:val="0"/>
        <w:spacing w:before="120" w:after="120" w:line="400" w:lineRule="exact"/>
        <w:ind w:right="0" w:rightChars="0"/>
        <w:jc w:val="left"/>
        <w:textAlignment w:val="auto"/>
        <w:outlineLvl w:val="9"/>
        <w:rPr>
          <w:rFonts w:hint="eastAsia" w:hAnsi="宋体" w:eastAsia="宋体" w:cs="宋体"/>
          <w:b/>
          <w:color w:val="auto"/>
          <w:sz w:val="30"/>
          <w:szCs w:val="30"/>
          <w:highlight w:val="none"/>
          <w:lang w:val="en-US" w:eastAsia="zh-CN"/>
        </w:rPr>
      </w:pPr>
    </w:p>
    <w:p>
      <w:pPr>
        <w:pStyle w:val="13"/>
        <w:keepNext w:val="0"/>
        <w:keepLines w:val="0"/>
        <w:pageBreakBefore w:val="0"/>
        <w:widowControl w:val="0"/>
        <w:shd w:val="clear"/>
        <w:kinsoku/>
        <w:wordWrap/>
        <w:overflowPunct w:val="0"/>
        <w:topLinePunct/>
        <w:autoSpaceDE w:val="0"/>
        <w:autoSpaceDN w:val="0"/>
        <w:bidi w:val="0"/>
        <w:adjustRightInd/>
        <w:snapToGrid w:val="0"/>
        <w:spacing w:before="120" w:after="120" w:line="400" w:lineRule="exact"/>
        <w:ind w:right="0" w:rightChars="0"/>
        <w:jc w:val="left"/>
        <w:textAlignment w:val="auto"/>
        <w:outlineLvl w:val="9"/>
        <w:rPr>
          <w:rFonts w:hint="eastAsia" w:ascii="宋体" w:hAnsi="宋体" w:eastAsia="宋体" w:cs="宋体"/>
          <w:b/>
          <w:color w:val="auto"/>
          <w:sz w:val="30"/>
          <w:szCs w:val="30"/>
          <w:highlight w:val="none"/>
        </w:rPr>
      </w:pPr>
      <w:r>
        <w:rPr>
          <w:rFonts w:hint="eastAsia" w:hAnsi="宋体" w:eastAsia="宋体" w:cs="宋体"/>
          <w:b/>
          <w:color w:val="auto"/>
          <w:sz w:val="30"/>
          <w:szCs w:val="30"/>
          <w:highlight w:val="none"/>
          <w:lang w:val="en-US" w:eastAsia="zh-CN"/>
        </w:rPr>
        <w:t>项目</w:t>
      </w:r>
      <w:r>
        <w:rPr>
          <w:rFonts w:hint="eastAsia" w:ascii="宋体" w:hAnsi="宋体" w:eastAsia="宋体" w:cs="宋体"/>
          <w:b/>
          <w:color w:val="auto"/>
          <w:sz w:val="30"/>
          <w:szCs w:val="30"/>
          <w:highlight w:val="none"/>
        </w:rPr>
        <w:t>编号：盐政采（2025）K002号</w:t>
      </w:r>
    </w:p>
    <w:p>
      <w:pPr>
        <w:pStyle w:val="13"/>
        <w:keepNext w:val="0"/>
        <w:keepLines w:val="0"/>
        <w:pageBreakBefore w:val="0"/>
        <w:widowControl w:val="0"/>
        <w:shd w:val="clear"/>
        <w:kinsoku/>
        <w:wordWrap/>
        <w:overflowPunct w:val="0"/>
        <w:topLinePunct/>
        <w:autoSpaceDE w:val="0"/>
        <w:autoSpaceDN w:val="0"/>
        <w:bidi w:val="0"/>
        <w:adjustRightInd/>
        <w:snapToGrid w:val="0"/>
        <w:spacing w:before="120" w:after="120" w:line="400" w:lineRule="exact"/>
        <w:ind w:right="0" w:rightChars="0"/>
        <w:jc w:val="left"/>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项目名称：2025-2026年海盐县物业管理服务开放式框架协议采购项目</w:t>
      </w:r>
    </w:p>
    <w:p>
      <w:pPr>
        <w:pStyle w:val="13"/>
        <w:keepNext w:val="0"/>
        <w:keepLines w:val="0"/>
        <w:pageBreakBefore w:val="0"/>
        <w:widowControl w:val="0"/>
        <w:shd w:val="clear"/>
        <w:kinsoku/>
        <w:wordWrap/>
        <w:overflowPunct w:val="0"/>
        <w:topLinePunct/>
        <w:autoSpaceDE w:val="0"/>
        <w:autoSpaceDN w:val="0"/>
        <w:bidi w:val="0"/>
        <w:adjustRightInd/>
        <w:snapToGrid w:val="0"/>
        <w:spacing w:before="120" w:after="120" w:line="400" w:lineRule="exact"/>
        <w:ind w:right="0" w:rightChars="0"/>
        <w:jc w:val="left"/>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征集人（</w:t>
      </w:r>
      <w:r>
        <w:rPr>
          <w:rFonts w:hint="eastAsia" w:ascii="宋体" w:hAnsi="宋体" w:eastAsia="宋体" w:cs="宋体"/>
          <w:b/>
          <w:color w:val="auto"/>
          <w:sz w:val="30"/>
          <w:szCs w:val="30"/>
          <w:highlight w:val="none"/>
        </w:rPr>
        <w:t>集中采购机构</w:t>
      </w:r>
      <w:r>
        <w:rPr>
          <w:rFonts w:hint="eastAsia" w:ascii="宋体" w:hAnsi="宋体" w:eastAsia="宋体" w:cs="宋体"/>
          <w:b/>
          <w:color w:val="auto"/>
          <w:sz w:val="30"/>
          <w:szCs w:val="30"/>
          <w:highlight w:val="none"/>
          <w:lang w:val="en-US" w:eastAsia="zh-CN"/>
        </w:rPr>
        <w:t>）</w:t>
      </w:r>
      <w:r>
        <w:rPr>
          <w:rFonts w:hint="eastAsia" w:ascii="宋体" w:hAnsi="宋体" w:eastAsia="宋体" w:cs="宋体"/>
          <w:b/>
          <w:color w:val="auto"/>
          <w:sz w:val="30"/>
          <w:szCs w:val="30"/>
          <w:highlight w:val="none"/>
        </w:rPr>
        <w:t>：海盐县公共资源交易中心</w:t>
      </w:r>
    </w:p>
    <w:p>
      <w:pPr>
        <w:pStyle w:val="23"/>
        <w:ind w:left="0" w:leftChars="0" w:firstLine="0" w:firstLineChars="0"/>
        <w:rPr>
          <w:rFonts w:hint="default"/>
          <w:lang w:val="en-US" w:eastAsia="zh-CN"/>
        </w:rPr>
      </w:pPr>
      <w:r>
        <w:rPr>
          <w:rFonts w:hint="eastAsia" w:ascii="宋体" w:hAnsi="宋体" w:eastAsia="宋体" w:cs="宋体"/>
          <w:b/>
          <w:color w:val="auto"/>
          <w:sz w:val="30"/>
          <w:szCs w:val="30"/>
          <w:highlight w:val="none"/>
        </w:rPr>
        <w:t>日期：202</w:t>
      </w:r>
      <w:r>
        <w:rPr>
          <w:rFonts w:hint="eastAsia" w:hAnsi="宋体" w:eastAsia="宋体" w:cs="宋体"/>
          <w:b/>
          <w:color w:val="auto"/>
          <w:sz w:val="30"/>
          <w:szCs w:val="30"/>
          <w:highlight w:val="none"/>
          <w:lang w:val="en-US" w:eastAsia="zh-CN"/>
        </w:rPr>
        <w:t>5</w:t>
      </w:r>
      <w:r>
        <w:rPr>
          <w:rFonts w:hint="eastAsia" w:ascii="宋体" w:hAnsi="宋体" w:eastAsia="宋体" w:cs="宋体"/>
          <w:b/>
          <w:color w:val="auto"/>
          <w:sz w:val="30"/>
          <w:szCs w:val="30"/>
          <w:highlight w:val="none"/>
        </w:rPr>
        <w:t>年</w:t>
      </w:r>
      <w:r>
        <w:rPr>
          <w:rFonts w:hint="eastAsia" w:hAnsi="宋体" w:eastAsia="宋体" w:cs="宋体"/>
          <w:b/>
          <w:color w:val="auto"/>
          <w:sz w:val="30"/>
          <w:szCs w:val="30"/>
          <w:highlight w:val="none"/>
          <w:lang w:val="en-US" w:eastAsia="zh-CN"/>
        </w:rPr>
        <w:t>2</w:t>
      </w:r>
      <w:r>
        <w:rPr>
          <w:rFonts w:hint="eastAsia" w:ascii="宋体" w:hAnsi="宋体" w:eastAsia="宋体" w:cs="宋体"/>
          <w:b/>
          <w:color w:val="auto"/>
          <w:sz w:val="30"/>
          <w:szCs w:val="30"/>
          <w:highlight w:val="none"/>
        </w:rPr>
        <w:t>月</w:t>
      </w:r>
      <w:r>
        <w:rPr>
          <w:rFonts w:hint="eastAsia" w:hAnsi="宋体" w:cs="宋体"/>
          <w:b/>
          <w:color w:val="auto"/>
          <w:sz w:val="30"/>
          <w:szCs w:val="30"/>
          <w:highlight w:val="none"/>
          <w:lang w:val="en-US" w:eastAsia="zh-CN"/>
        </w:rPr>
        <w:t>21</w:t>
      </w:r>
      <w:r>
        <w:rPr>
          <w:rFonts w:hint="eastAsia" w:ascii="宋体" w:hAnsi="宋体" w:eastAsia="宋体" w:cs="宋体"/>
          <w:b/>
          <w:color w:val="auto"/>
          <w:sz w:val="30"/>
          <w:szCs w:val="30"/>
          <w:highlight w:val="none"/>
        </w:rPr>
        <w:t>日</w:t>
      </w:r>
    </w:p>
    <w:p>
      <w:pPr>
        <w:pStyle w:val="22"/>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p>
    <w:p>
      <w:pPr>
        <w:pStyle w:val="22"/>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p>
    <w:p>
      <w:pPr>
        <w:pStyle w:val="22"/>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根据《中华人民共和国政府采购法》《中华人民共和国政府采购法实施条例》《政府采购框架协议采购方式管理暂行办法》等规定，现公开征集</w:t>
      </w:r>
      <w:r>
        <w:rPr>
          <w:rFonts w:hint="eastAsia" w:cs="宋体"/>
          <w:color w:val="auto"/>
          <w:sz w:val="24"/>
          <w:szCs w:val="24"/>
          <w:highlight w:val="none"/>
          <w:u w:val="single"/>
          <w:lang w:val="en-US" w:eastAsia="zh-CN"/>
        </w:rPr>
        <w:t>2025-2026年海盐县物业管理服务开放式框架协议采购项目</w:t>
      </w:r>
      <w:r>
        <w:rPr>
          <w:rFonts w:hint="eastAsia" w:ascii="宋体" w:hAnsi="宋体" w:eastAsia="宋体" w:cs="宋体"/>
          <w:color w:val="auto"/>
          <w:sz w:val="24"/>
          <w:szCs w:val="24"/>
          <w:highlight w:val="none"/>
        </w:rPr>
        <w:t>供应商，欢迎符合条件的供应商参与本轮征集响应。</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r>
        <w:rPr>
          <w:rFonts w:hint="eastAsia" w:hAnsi="宋体" w:cs="宋体"/>
          <w:b/>
          <w:bCs/>
          <w:sz w:val="28"/>
          <w:szCs w:val="28"/>
          <w:lang w:val="en-US" w:eastAsia="zh-CN"/>
        </w:rPr>
        <w:t>一、供应商须知</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项目编号：盐政采（2025）K002号</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项目名称：2025-2026年海盐县物业管理服务开放式框架协议采购项目</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采购内容：物业管理服务，包括房屋维护服务、公用设备设施维护服务、保洁服务、保安服务、绿化服务、会议服务等。</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r>
        <w:rPr>
          <w:rFonts w:hint="eastAsia" w:hAnsi="宋体" w:cs="宋体"/>
          <w:b/>
          <w:bCs/>
          <w:sz w:val="28"/>
          <w:szCs w:val="28"/>
          <w:lang w:val="en-US" w:eastAsia="zh-CN"/>
        </w:rPr>
        <w:t>二、适用范围</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通过公开征集程序，确定2025-2026年度</w:t>
      </w:r>
      <w:r>
        <w:rPr>
          <w:rFonts w:hint="eastAsia" w:ascii="宋体" w:hAnsi="宋体" w:cs="宋体"/>
          <w:color w:val="auto"/>
          <w:sz w:val="24"/>
          <w:lang w:val="en-US" w:eastAsia="zh-CN"/>
        </w:rPr>
        <w:t>海盐县</w:t>
      </w:r>
      <w:r>
        <w:rPr>
          <w:rFonts w:hint="eastAsia" w:ascii="宋体" w:hAnsi="宋体" w:eastAsia="宋体" w:cs="宋体"/>
          <w:color w:val="auto"/>
          <w:sz w:val="24"/>
        </w:rPr>
        <w:t>国家机关、事业单位、团体组织和镇（街道）采购预算金额在采购限额以下的物业管理服务项目供应商。</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根据财政部令第110号《政府采购框架协议采购方式管理暂行办法》、浙财采监〔2022〕13 号规定，本项目适用于单笔采购金额未达到政府采购限额标准的服务，政府采购限额以浙江省财政厅具体规定为准(如省财政厅有新规定，则从其新规定)。</w:t>
      </w:r>
    </w:p>
    <w:p>
      <w:pPr>
        <w:pStyle w:val="22"/>
        <w:keepNext w:val="0"/>
        <w:keepLines w:val="0"/>
        <w:pageBreakBefore w:val="0"/>
        <w:widowControl w:val="0"/>
        <w:numPr>
          <w:ilvl w:val="0"/>
          <w:numId w:val="0"/>
        </w:numPr>
        <w:kinsoku/>
        <w:wordWrap w:val="0"/>
        <w:overflowPunct/>
        <w:topLinePunct/>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hAnsi="宋体" w:cs="宋体"/>
          <w:b/>
          <w:bCs/>
          <w:sz w:val="28"/>
          <w:szCs w:val="28"/>
          <w:lang w:val="en-US" w:eastAsia="zh-CN"/>
        </w:rPr>
      </w:pPr>
      <w:r>
        <w:rPr>
          <w:rFonts w:hint="default" w:ascii="宋体" w:hAnsi="宋体" w:eastAsia="宋体" w:cs="宋体"/>
          <w:color w:val="auto"/>
          <w:sz w:val="24"/>
          <w:szCs w:val="24"/>
          <w:highlight w:val="none"/>
          <w:vertAlign w:val="baseline"/>
          <w:lang w:val="en-US" w:eastAsia="zh-CN"/>
        </w:rPr>
        <w:t>注：根据浙财采监〔2022〕13号规定，市级（杭州市本级、宁波市本级除外）50万元，县级30万元，即</w:t>
      </w:r>
      <w:r>
        <w:rPr>
          <w:rFonts w:hint="eastAsia" w:cs="宋体"/>
          <w:color w:val="auto"/>
          <w:sz w:val="24"/>
          <w:szCs w:val="24"/>
          <w:highlight w:val="none"/>
          <w:vertAlign w:val="baseline"/>
          <w:lang w:val="en-US" w:eastAsia="zh-CN"/>
        </w:rPr>
        <w:t>海盐县</w:t>
      </w:r>
      <w:r>
        <w:rPr>
          <w:rFonts w:hint="default" w:ascii="宋体" w:hAnsi="宋体" w:eastAsia="宋体" w:cs="宋体"/>
          <w:color w:val="auto"/>
          <w:sz w:val="24"/>
          <w:szCs w:val="24"/>
          <w:highlight w:val="none"/>
          <w:vertAlign w:val="baseline"/>
          <w:lang w:val="en-US" w:eastAsia="zh-CN"/>
        </w:rPr>
        <w:t>为30万限额。供应商可依据项目实际金额大小，自主决定是否加入本次框架协议采购。</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r>
        <w:rPr>
          <w:rFonts w:hint="eastAsia" w:hAnsi="宋体" w:cs="宋体"/>
          <w:b/>
          <w:bCs/>
          <w:sz w:val="28"/>
          <w:szCs w:val="28"/>
          <w:lang w:val="en-US" w:eastAsia="zh-CN"/>
        </w:rPr>
        <w:t>三、服务内容及要求</w:t>
      </w:r>
    </w:p>
    <w:p>
      <w:pPr>
        <w:keepNext w:val="0"/>
        <w:keepLines w:val="0"/>
        <w:pageBreakBefore w:val="0"/>
        <w:widowControl w:val="0"/>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kern w:val="0"/>
          <w:sz w:val="24"/>
        </w:rPr>
        <w:t>一）房屋维护服务</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服务内容：主体结构、围护结构、部品部件等物业管理区域内地面、墙体、台面及吊顶、门窗、楼梯、通风道、大厅大面积玻璃顶、大门、围墙、道路、场地、管井、沟渠、标识标牌等巡查等的日常巡查和养护维修。</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服务质量标准</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2.1每季度至少开展 1 次房屋结构安全巡视，发现外观有变形、开裂等现象，及时建议采购人申请房屋安全鉴定，并采取必要的避险和防护措施。</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2.2每季度至少开展 1 次外墙贴饰面、幕墙玻璃、雨篷、散水、空调室外机支撑构件等检查，发现破损，及时向采购人报告，按采购人要求出具维修方案，待采购人同意后按维修方案实施维修。 </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2.3每半月至少开展 1 次公用部位的门、窗、楼梯、通风道、室内地面、墙面、吊顶和室外屋面等巡查，发现破损，及时向采购人报告，按采购人要求出具维修方案，待采购人同意后按维修方案实施维修。</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2.4每年强降雨天气前后、雨雪季节检查屋面防水和雨落管等，发现破损，及时向采购人报告，按采购人要求出具维修方案，待采购人同意后按维修方案实施维修。</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2.5办公楼外观完好，建筑装饰面无脱落、无破损、无污渍，玻璃幕墙清洁明亮、无破损。</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2.6通道、楼梯、门窗等设施的完好和正常使用。</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2.7每半月至少开展 1 次大门、围墙、道路、场地、管井、沟渠等巡查，每半月至少检查 1 次雨污水管井、化粪池等巡查，发现破损、堵塞等，及时向采购人报告，按采购人要求出具维修方案，待采购人同意后按维修方案实施维修。</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2.8每年至少开展 1 次防雷装置检测，发现失效，及时向采购人报告，按采购人要求出具维修方案， 待采购人同意后按维修方案实施维修。 </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2.9路面状态良好，地漏通畅不堵塞。</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2.10每月至少检查 1 次标识标牌和消防与安全标识。应当规范清晰、路线指引正确、安装稳固。标识标牌符合《公共信息图形符号第1部分：通用符号》（GB/T 10001.1）的相关要求，消防与安全标识符合《安全标志及其使用导则》（GB2894）、《消防安全标志第1 部分：标志》（GB13495.1） 的相关要求。</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2.11接到采购人家具报修服务后，及时通知家具供货商对保修期内的家具进行维修，及时对保修期外的家具进行维修，一般维修任务确保不超过24小时，确保家具、设备维修合格率达到100%。</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2.12装饰装修监督管理：供应商应当与采购人或采购人委托的装修企业签订装饰装修管理服务协议，告知装饰装修须知，并对装饰装修过程进行管理服务。根据协议内容，做好装修垃圾临时堆放、清运等。受采购人委托对房屋内装修进行严格的监督管理，发现问题及时上报，确保不因装修而危及大楼结构安全、人身安全和影响正常办公秩序。</w:t>
      </w:r>
    </w:p>
    <w:p>
      <w:pPr>
        <w:keepNext w:val="0"/>
        <w:keepLines w:val="0"/>
        <w:pageBreakBefore w:val="0"/>
        <w:shd w:val="clear" w:color="auto" w:fill="FFFFFF"/>
        <w:kinsoku/>
        <w:wordWrap/>
        <w:overflowPunct/>
        <w:topLinePunct w:val="0"/>
        <w:bidi w:val="0"/>
        <w:spacing w:line="40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2.13供应商负责对上述需维修项目提供服务，维修所产生的材料费用由采购人负责。</w:t>
      </w:r>
    </w:p>
    <w:p>
      <w:pPr>
        <w:keepNext w:val="0"/>
        <w:keepLines w:val="0"/>
        <w:pageBreakBefore w:val="0"/>
        <w:widowControl w:val="0"/>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sz w:val="24"/>
        </w:rPr>
      </w:pPr>
      <w:bookmarkStart w:id="3" w:name="OLE_LINK1"/>
      <w:r>
        <w:rPr>
          <w:rFonts w:hint="eastAsia" w:ascii="宋体" w:hAnsi="宋体" w:eastAsia="宋体" w:cs="宋体"/>
          <w:b/>
          <w:bCs/>
          <w:color w:val="auto"/>
          <w:sz w:val="24"/>
        </w:rPr>
        <w:t>（二）</w:t>
      </w:r>
      <w:bookmarkEnd w:id="3"/>
      <w:r>
        <w:rPr>
          <w:rFonts w:hint="eastAsia" w:ascii="宋体" w:hAnsi="宋体" w:eastAsia="宋体" w:cs="宋体"/>
          <w:b/>
          <w:bCs/>
          <w:color w:val="auto"/>
          <w:sz w:val="24"/>
        </w:rPr>
        <w:t>公用设施设备维护服务</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1.服务内容：设备机房、给排水系统、电梯系统、空调系统、消防系统、供配电系统、弱电系统、照明系统等公用设施设备维护。</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2.服务标准：重大节假日及恶劣天气前后，组织系统巡检 1 次，具备设施设备安全、稳定运行的环境和场所（含有限空间），温湿度、照度、粉尘和烟雾浓度等符合相关安全规范。</w:t>
      </w:r>
    </w:p>
    <w:p>
      <w:pPr>
        <w:keepNext w:val="0"/>
        <w:keepLines w:val="0"/>
        <w:pageBreakBefore w:val="0"/>
        <w:shd w:val="clear" w:color="auto" w:fill="FFFFFF"/>
        <w:kinsoku/>
        <w:wordWrap/>
        <w:overflowPunct/>
        <w:topLinePunct w:val="0"/>
        <w:bidi w:val="0"/>
        <w:spacing w:line="40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2.1设备机房维护</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2.1.1设备机房门口有机房类别及安全标志。落实各类机房责任人、督查人，且设备系统图、应急预案 流程图、管理制度、特种作业人员资格证书等上墙文件或证书符合各设备机房国家标准规范要求，机房巡视及外来人员记录清晰完整，标识统一。</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2.1.2设备机房门窗、锁具应当完好、有效。</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2.1.3每半月至少开展 1 次清洁，整洁有序、无杂物、无积尘、无鼠、无虫害，温湿度符合设备运行要求。</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2.1.4按各设备机房国家标准规范规定维护/保管消防、通风、应急照明，防止小动物进入。</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2.1.5安全防护用具配置齐全，检验合格。</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2.1.6应急设施设备用品应当齐全、完备，可随时启用。</w:t>
      </w:r>
    </w:p>
    <w:p>
      <w:pPr>
        <w:keepNext w:val="0"/>
        <w:keepLines w:val="0"/>
        <w:pageBreakBefore w:val="0"/>
        <w:shd w:val="clear" w:color="auto" w:fill="FFFFFF"/>
        <w:kinsoku/>
        <w:wordWrap/>
        <w:overflowPunct/>
        <w:topLinePunct w:val="0"/>
        <w:bidi w:val="0"/>
        <w:spacing w:line="40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2.2给排水系统</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2.2.1生活饮用水卫生符合《生活饮用水卫生标准》（GB5749）的相关要求。</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2.2.2二次供水卫生符合《二次供水设施卫生规范》（GB17051）的相关要求。</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2.2.3设施设备、阀门、管道等运行正常，无跑、冒、滴、漏现象。</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2.2.4有水泵房、水箱间的，每日至少巡视 1 次。每年至少养护 1 次水泵。</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2.2.5遇供水单位限水、停水，按规定时间通知采购人。</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2.2.6每季度至少开展 1 次对排水管进行疏通、清污，保证室内外排水系统通畅。</w:t>
      </w:r>
    </w:p>
    <w:p>
      <w:pPr>
        <w:keepNext w:val="0"/>
        <w:keepLines w:val="0"/>
        <w:pageBreakBefore w:val="0"/>
        <w:shd w:val="clear" w:color="auto" w:fill="FFFFFF"/>
        <w:kinsoku/>
        <w:wordWrap/>
        <w:overflowPunct/>
        <w:topLinePunct w:val="0"/>
        <w:bidi w:val="0"/>
        <w:spacing w:line="40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2.3电梯系统</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2.3.1电梯运行平稳、无异响、平层、开关正常，每周至少开展 2 次电梯的安全状况检查。</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2.3.2电梯使用证、年检合格证等证件齐全。相关证件、紧急救援电话和乘客注意事项置于轿厢醒目位置。</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2.3.3有电梯突发事件或事故的应急措施与救援预案，每年至少开展演练 1 次。电梯出现故障，物业服务人员 10 分钟内到场应急处理，通知维保单位专业人员 30 分钟内到场应急处理。</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2.3.4到场进行救助和通知维保单位排除故障。电梯紧急电话保持畅通。</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2.3.5电梯维修、保养时在现场设置提示标识和防护围栏。</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sz w:val="24"/>
        </w:rPr>
        <w:t>2.3.6根据采购人需求，合理设置电梯开启的数量、时间。</w:t>
      </w:r>
    </w:p>
    <w:p>
      <w:pPr>
        <w:keepNext w:val="0"/>
        <w:keepLines w:val="0"/>
        <w:pageBreakBefore w:val="0"/>
        <w:shd w:val="clear" w:color="auto" w:fill="FFFFFF"/>
        <w:kinsoku/>
        <w:wordWrap/>
        <w:overflowPunct/>
        <w:topLinePunct w:val="0"/>
        <w:bidi w:val="0"/>
        <w:spacing w:line="40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2.4空调系统</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2.4.1空调通风系统运行管理符合《空调通风系统运行管理标准》（GB50365）的相关要求。</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2.4.2办公楼内温湿度、空气质量等符合《室内空气质量标准》（GB/T18883）的相关要求。</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2.4.3每年至少开展 1 次分体式空调主机（含空调过滤网）清洁。每月至少开展 1 次挂机和室外支架稳固性巡查。</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2.4.4制冷、供暖系统温度设定及启用时间符合节能要求。</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2.4.5发现故障或损坏应当及时通知维保单位及时排除故障。</w:t>
      </w:r>
    </w:p>
    <w:p>
      <w:pPr>
        <w:keepNext w:val="0"/>
        <w:keepLines w:val="0"/>
        <w:pageBreakBefore w:val="0"/>
        <w:shd w:val="clear" w:color="auto" w:fill="FFFFFF"/>
        <w:kinsoku/>
        <w:wordWrap/>
        <w:overflowPunct/>
        <w:topLinePunct w:val="0"/>
        <w:bidi w:val="0"/>
        <w:spacing w:line="40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2.5消防系统</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2.5.1消防设施的维护管理符合《建筑消防设施的维护管理》（GB25201）的相关要求。</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2.5.2消防设备检测符合《建筑消防设施检测技术规程》（GA503 或 XF503）的相关要求。</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2.5.3消防设施平面图、火警疏散示意图、防火分区图等按幢设置在楼层醒目位置。</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2.5.4消防系统各设施设备使用说明清晰，宜图文结合。</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2.5.5自动喷水灭火系统启动正常。</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2.5.6消火栓箱、防火门、灭火器、消防水泵、红外线报警器、应急照明、安全疏散等系统运行正常。</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2.5.7消防监控系统运行良好，自动和手动报警设施启动正常。</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2.5.8正压送风、防排烟系统运行正常。</w:t>
      </w:r>
    </w:p>
    <w:p>
      <w:pPr>
        <w:keepNext w:val="0"/>
        <w:keepLines w:val="0"/>
        <w:pageBreakBefore w:val="0"/>
        <w:shd w:val="clear" w:color="auto" w:fill="FFFFFF"/>
        <w:kinsoku/>
        <w:wordWrap/>
        <w:overflowPunct/>
        <w:topLinePunct w:val="0"/>
        <w:bidi w:val="0"/>
        <w:spacing w:line="40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2.6供配电系统</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2.6.1建立 24 小时运行值班监控制度。</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2.6.1对供电范围内的电气设备定期巡视维护，加强高低压配电柜、配电箱、控制柜及线路等重点部位监测。</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2.6.2公共使用的照明、指示灯具线路、开关、接地等保持完好，确保用电安全。</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2.6.3发生非计划性停电的，应当在事件发生后及时通知采购人，快速恢复或启用应急电源，并做好应急事件上报及处理工作。</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2.6.4复杂故障涉及供电部门维修处置的及时与供电部门联系，并向采购人报告。</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2.6.5核心部位用电建立高可控用电保障和配备应急发电设备，定期维护应急发电设备。</w:t>
      </w:r>
    </w:p>
    <w:p>
      <w:pPr>
        <w:keepNext w:val="0"/>
        <w:keepLines w:val="0"/>
        <w:pageBreakBefore w:val="0"/>
        <w:shd w:val="clear" w:color="auto" w:fill="FFFFFF"/>
        <w:kinsoku/>
        <w:wordWrap/>
        <w:overflowPunct/>
        <w:topLinePunct w:val="0"/>
        <w:bidi w:val="0"/>
        <w:spacing w:line="40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2.7弱电系统</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2.7.1安全防范系统维护保养符合《安全防范系统维护保养规范》（GA/T 1081）的相关要求。</w:t>
      </w:r>
    </w:p>
    <w:p>
      <w:pPr>
        <w:keepNext w:val="0"/>
        <w:keepLines w:val="0"/>
        <w:pageBreakBefore w:val="0"/>
        <w:shd w:val="clear" w:color="auto" w:fill="FFFFFF"/>
        <w:kinsoku/>
        <w:wordWrap/>
        <w:overflowPunct/>
        <w:topLinePunct w:val="0"/>
        <w:bidi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2.7.2保持监控系统、门禁系统、安全防范系统等运行正常，有故障及时排除。</w:t>
      </w:r>
    </w:p>
    <w:p>
      <w:pPr>
        <w:keepNext w:val="0"/>
        <w:keepLines w:val="0"/>
        <w:pageBreakBefore w:val="0"/>
        <w:shd w:val="clear" w:color="auto" w:fill="FFFFFF"/>
        <w:kinsoku/>
        <w:wordWrap/>
        <w:overflowPunct/>
        <w:topLinePunct w:val="0"/>
        <w:bidi w:val="0"/>
        <w:spacing w:line="40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2.8照明系统</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2.8.1负责各类照明灯具、泛光照明系统的日常管理和维护修理。</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2.8.2外观整洁无缺损、无松落。</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2.8.3更换的照明灯具应当选用节能环保产品，亮度与更换前保持一致。</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2.8.4每周至少开展 1 次公共区域照明设备巡视。</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2.8.5通过有效的管理措施及技术措施，积极开展节能管理工作。</w:t>
      </w:r>
    </w:p>
    <w:p>
      <w:pPr>
        <w:keepNext w:val="0"/>
        <w:keepLines w:val="0"/>
        <w:pageBreakBefore w:val="0"/>
        <w:widowControl w:val="0"/>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（三）保洁服务</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1.服务内容:办公用房区域保洁、公共场地区域保洁、垃圾处理、卫生消毒等。</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2.基本要求：</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2.1建立保洁服务的工作制度及工作计划，并按照执行。</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2.2做好保洁服务工作记录，记录填写规范、保存完好。</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2.3作业时采取安全防护措施，防止对作业人员或他人造成伤害。相关耗材的环保、安全性等应当符合国家相关规定要求。</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2.4进入保密区域时，有采购人相关人员全程在场。</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w:t>
      </w:r>
      <w:r>
        <w:rPr>
          <w:rFonts w:hint="eastAsia" w:ascii="宋体" w:hAnsi="宋体" w:cs="宋体"/>
          <w:color w:val="auto"/>
          <w:szCs w:val="24"/>
          <w:lang w:val="en-US" w:eastAsia="zh-CN"/>
        </w:rPr>
        <w:t>.</w:t>
      </w:r>
      <w:r>
        <w:rPr>
          <w:rFonts w:hint="eastAsia" w:ascii="宋体" w:hAnsi="宋体" w:eastAsia="宋体" w:cs="宋体"/>
          <w:color w:val="auto"/>
          <w:szCs w:val="24"/>
        </w:rPr>
        <w:t>服务标准</w:t>
      </w:r>
    </w:p>
    <w:p>
      <w:pPr>
        <w:pStyle w:val="34"/>
        <w:keepNext w:val="0"/>
        <w:keepLines w:val="0"/>
        <w:pageBreakBefore w:val="0"/>
        <w:kinsoku/>
        <w:wordWrap/>
        <w:overflowPunct/>
        <w:topLinePunct w:val="0"/>
        <w:bidi w:val="0"/>
        <w:adjustRightInd w:val="0"/>
        <w:snapToGrid w:val="0"/>
        <w:spacing w:before="0" w:line="400" w:lineRule="exact"/>
        <w:ind w:firstLine="602" w:firstLineChars="250"/>
        <w:rPr>
          <w:rFonts w:hint="eastAsia" w:ascii="宋体" w:hAnsi="宋体" w:eastAsia="宋体" w:cs="宋体"/>
          <w:b/>
          <w:bCs/>
          <w:color w:val="auto"/>
          <w:szCs w:val="24"/>
        </w:rPr>
      </w:pPr>
      <w:r>
        <w:rPr>
          <w:rFonts w:hint="eastAsia" w:ascii="宋体" w:hAnsi="宋体" w:eastAsia="宋体" w:cs="宋体"/>
          <w:b/>
          <w:bCs/>
          <w:color w:val="auto"/>
          <w:szCs w:val="24"/>
        </w:rPr>
        <w:t>3.1办公用房区域保洁</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3.1.1大厅、楼内公共通道： ①公共通道保持干净，无异味、无杂物、无积水，每日至少开展 1 次清洁作业。 ②门窗玻璃干净无尘，透光性好，每周至少开展 1 次清洁作业。 ③指示牌干净，无污渍，每日至少开展 1 次清洁作业。</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3.1.2电器、消防等设施设备： ①配电箱、设备机房、会议室音视频设备、消防栓及开关插座等保持表面干净，无尘无污迹，每月至少开展 1 次清洁作业。 ②监控摄像头、门禁系统等表面光亮，无尘、无斑点，每月至少开展 1 次清洁作业。</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3.1.3楼梯及楼梯间保持干净、无异味、无杂物、无积水，每日至少开展 1 次清洁作业。</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bookmarkStart w:id="4" w:name="OLE_LINK2"/>
      <w:r>
        <w:rPr>
          <w:rFonts w:hint="eastAsia" w:ascii="宋体" w:hAnsi="宋体" w:eastAsia="宋体" w:cs="宋体"/>
          <w:color w:val="auto"/>
          <w:szCs w:val="24"/>
        </w:rPr>
        <w:t>3.1.4</w:t>
      </w:r>
      <w:bookmarkEnd w:id="4"/>
      <w:r>
        <w:rPr>
          <w:rFonts w:hint="eastAsia" w:ascii="宋体" w:hAnsi="宋体" w:eastAsia="宋体" w:cs="宋体"/>
          <w:color w:val="auto"/>
          <w:szCs w:val="24"/>
        </w:rPr>
        <w:t>开水间保持干净、无异味、无杂物、无积水，每日至少开展 1 次清洁作业。</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3.1.5作业工具间： ①保持干净，无异味、无杂物、无积水，每日至少开展 1 次清洁作业。 ②作业工具摆放整齐有序，表面干净无渍，每日消毒。</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 xml:space="preserve">3.1.6公共卫生间： ①保持干净，无异味，垃圾无溢出，每日至少开展 </w:t>
      </w:r>
      <w:r>
        <w:rPr>
          <w:rFonts w:hint="eastAsia" w:ascii="宋体" w:hAnsi="宋体" w:eastAsia="宋体" w:cs="宋体"/>
          <w:color w:val="auto"/>
          <w:szCs w:val="24"/>
          <w:lang w:val="en-US" w:eastAsia="zh-CN"/>
        </w:rPr>
        <w:t>2</w:t>
      </w:r>
      <w:r>
        <w:rPr>
          <w:rFonts w:hint="eastAsia" w:ascii="宋体" w:hAnsi="宋体" w:eastAsia="宋体" w:cs="宋体"/>
          <w:color w:val="auto"/>
          <w:szCs w:val="24"/>
        </w:rPr>
        <w:t>次清洁作业。 ②及时补充厕纸、洗手液、擦手纸等必要用品。</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3.1.7电梯轿厢： ①保持干净，无污渍、无粘贴物、无异味，每日至少开展 1 次清洁作业。 ②灯具、操作指示板明亮。</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3.1.8平台、屋顶、天沟保持干净，有杂物及时清扫，每月至少开展 1 次清洁作业。</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3.1.9石材地面、内墙做好日常养护和清洁工作，每季度开展 1 次深度清洁作业。（各类材质地面、内墙服务管理标准详见下述第4条具体清洁要求）</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3.1.10地毯干净、无油渍、无污渍、无褪色，每月至少开展 1 次清洁作业。</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strike/>
          <w:dstrike w:val="0"/>
          <w:color w:val="auto"/>
          <w:szCs w:val="24"/>
        </w:rPr>
      </w:pPr>
      <w:r>
        <w:rPr>
          <w:rFonts w:hint="eastAsia" w:ascii="宋体" w:hAnsi="宋体" w:eastAsia="宋体" w:cs="宋体"/>
          <w:color w:val="auto"/>
          <w:szCs w:val="24"/>
        </w:rPr>
        <w:t>3.1.11未列入的且为正常保洁工作以及突发性事件造成的保洁工作的项目、部位均包括在本次采购范围内，成交人不得因此拒绝提供保洁服务</w:t>
      </w:r>
      <w:r>
        <w:rPr>
          <w:rFonts w:hint="eastAsia" w:ascii="宋体" w:hAnsi="宋体" w:eastAsia="宋体" w:cs="宋体"/>
          <w:strike w:val="0"/>
          <w:dstrike w:val="0"/>
          <w:color w:val="auto"/>
          <w:szCs w:val="24"/>
        </w:rPr>
        <w:t>。</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3.2公共场地区域保洁</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3.2.1每日清扫道路地面、停车场等公共区域 2 次，保持干净、无杂物、无积水。</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3.2.2雪、冰冻等恶劣天气时及时清扫积水、积雪，并采取安全防护措施。</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3.2.3各种路标、宣传栏等保持干净，每月至少开展 1 次清洁作业。</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3.2.4清洁室外照明设备，每月至少开展 1 次清洁作业。</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3.2.5绿地内无杂物、无改变用途和破坏、践踏、占用现象，每天至少开展 1 次巡查。</w:t>
      </w:r>
    </w:p>
    <w:p>
      <w:pPr>
        <w:pStyle w:val="34"/>
        <w:keepNext w:val="0"/>
        <w:keepLines w:val="0"/>
        <w:pageBreakBefore w:val="0"/>
        <w:kinsoku/>
        <w:wordWrap/>
        <w:overflowPunct/>
        <w:topLinePunct w:val="0"/>
        <w:bidi w:val="0"/>
        <w:adjustRightInd w:val="0"/>
        <w:snapToGrid w:val="0"/>
        <w:spacing w:before="0" w:line="400" w:lineRule="exact"/>
        <w:ind w:firstLine="602" w:firstLineChars="250"/>
        <w:rPr>
          <w:rFonts w:hint="eastAsia" w:ascii="宋体" w:hAnsi="宋体" w:eastAsia="宋体" w:cs="宋体"/>
          <w:b/>
          <w:bCs/>
          <w:color w:val="auto"/>
          <w:szCs w:val="24"/>
        </w:rPr>
      </w:pPr>
      <w:r>
        <w:rPr>
          <w:rFonts w:hint="eastAsia" w:ascii="宋体" w:hAnsi="宋体" w:eastAsia="宋体" w:cs="宋体"/>
          <w:b/>
          <w:bCs/>
          <w:color w:val="auto"/>
          <w:szCs w:val="24"/>
        </w:rPr>
        <w:t>3.3垃圾处理</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3.3.1在指定位置摆放分类垃圾桶，并在显著处张贴垃圾分类标识。分类垃圾桶和垃圾分类标识根据所在城市的要求设置。</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3.3.2桶身表面干净无污渍，每日开展至少 1 次清洁作业。</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3.3.3垃圾中转房保持整洁，无明显异味，每日至少开展 1 次清洁作业。</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3.3.4化粪池清掏，无明显异味，每半年至少开展 1 次清洁作业。</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3.3.5每个工作日内要对楼层产生的垃圾，进行清理分类，并运至垃圾集中堆放点。</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3.3.6垃圾装袋，日产日清。</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3.3.7建立垃圾清运台账，交由规范的渠道回收处理。</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3.3.8做好垃圾分类管理的宣传工作，督促并引导全员参与垃圾分类投放。</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3.3.9垃圾分类投放管理工作的执行标准，按所在城市的要求执行。</w:t>
      </w:r>
    </w:p>
    <w:p>
      <w:pPr>
        <w:pStyle w:val="34"/>
        <w:keepNext w:val="0"/>
        <w:keepLines w:val="0"/>
        <w:pageBreakBefore w:val="0"/>
        <w:kinsoku/>
        <w:wordWrap/>
        <w:overflowPunct/>
        <w:topLinePunct w:val="0"/>
        <w:bidi w:val="0"/>
        <w:adjustRightInd w:val="0"/>
        <w:snapToGrid w:val="0"/>
        <w:spacing w:before="0" w:line="400" w:lineRule="exact"/>
        <w:ind w:firstLine="602" w:firstLineChars="250"/>
        <w:rPr>
          <w:rFonts w:hint="eastAsia" w:ascii="宋体" w:hAnsi="宋体" w:eastAsia="宋体" w:cs="宋体"/>
          <w:b/>
          <w:bCs/>
          <w:color w:val="auto"/>
          <w:szCs w:val="24"/>
        </w:rPr>
      </w:pPr>
      <w:r>
        <w:rPr>
          <w:rFonts w:hint="eastAsia" w:ascii="宋体" w:hAnsi="宋体" w:eastAsia="宋体" w:cs="宋体"/>
          <w:b/>
          <w:bCs/>
          <w:color w:val="auto"/>
          <w:szCs w:val="24"/>
        </w:rPr>
        <w:t>3.4卫生消毒</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b/>
          <w:bCs/>
          <w:color w:val="auto"/>
          <w:szCs w:val="24"/>
        </w:rPr>
      </w:pPr>
      <w:r>
        <w:rPr>
          <w:rFonts w:hint="eastAsia" w:ascii="宋体" w:hAnsi="宋体" w:eastAsia="宋体" w:cs="宋体"/>
          <w:color w:val="auto"/>
          <w:szCs w:val="24"/>
        </w:rPr>
        <w:t>3.4.1办公用房区域、公共场所区域和周围环境预防性卫生消毒，消毒后及时通风，每周至少开展 1 次作业。</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3.4.2采取综合措施消灭老鼠、蟑螂，控制室内外蚊虫孳生，达到基本无蝇，每季度至少开展 1 次作业。</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3.4.3发生公共卫生事件时，邀请专业单位开展消毒、检测等工作。</w:t>
      </w:r>
    </w:p>
    <w:p>
      <w:pPr>
        <w:pStyle w:val="34"/>
        <w:keepNext w:val="0"/>
        <w:keepLines w:val="0"/>
        <w:pageBreakBefore w:val="0"/>
        <w:numPr>
          <w:ilvl w:val="0"/>
          <w:numId w:val="0"/>
        </w:numPr>
        <w:kinsoku/>
        <w:wordWrap/>
        <w:overflowPunct/>
        <w:topLinePunct w:val="0"/>
        <w:bidi w:val="0"/>
        <w:adjustRightInd w:val="0"/>
        <w:snapToGrid w:val="0"/>
        <w:spacing w:before="0" w:line="400" w:lineRule="exact"/>
        <w:ind w:firstLine="482" w:firstLineChars="200"/>
        <w:rPr>
          <w:rFonts w:hint="eastAsia" w:ascii="宋体" w:hAnsi="宋体" w:eastAsia="宋体" w:cs="宋体"/>
          <w:b/>
          <w:bCs/>
          <w:color w:val="auto"/>
          <w:szCs w:val="24"/>
        </w:rPr>
      </w:pPr>
      <w:r>
        <w:rPr>
          <w:rFonts w:hint="eastAsia" w:ascii="宋体" w:hAnsi="宋体" w:eastAsia="宋体" w:cs="宋体"/>
          <w:b/>
          <w:bCs/>
          <w:color w:val="auto"/>
          <w:szCs w:val="24"/>
          <w:lang w:val="en-US" w:eastAsia="zh-CN"/>
        </w:rPr>
        <w:t>4.</w:t>
      </w:r>
      <w:r>
        <w:rPr>
          <w:rFonts w:hint="eastAsia" w:ascii="宋体" w:hAnsi="宋体" w:eastAsia="宋体" w:cs="宋体"/>
          <w:b/>
          <w:bCs/>
          <w:color w:val="auto"/>
          <w:szCs w:val="24"/>
        </w:rPr>
        <w:t>具体清洁要求</w:t>
      </w:r>
    </w:p>
    <w:tbl>
      <w:tblPr>
        <w:tblStyle w:val="24"/>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463"/>
        <w:gridCol w:w="7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0" w:type="dxa"/>
            <w:shd w:val="clear" w:color="auto" w:fill="E7E6E6" w:themeFill="background2"/>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b/>
                <w:bCs/>
                <w:color w:val="auto"/>
                <w:szCs w:val="24"/>
              </w:rPr>
            </w:pPr>
            <w:r>
              <w:rPr>
                <w:rFonts w:hint="eastAsia" w:ascii="宋体" w:hAnsi="宋体" w:eastAsia="宋体" w:cs="宋体"/>
                <w:b/>
                <w:bCs/>
                <w:color w:val="auto"/>
                <w:szCs w:val="24"/>
              </w:rPr>
              <w:t>序号</w:t>
            </w:r>
          </w:p>
        </w:tc>
        <w:tc>
          <w:tcPr>
            <w:tcW w:w="1463" w:type="dxa"/>
            <w:shd w:val="clear" w:color="auto" w:fill="E7E6E6" w:themeFill="background2"/>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b/>
                <w:bCs/>
                <w:color w:val="auto"/>
                <w:szCs w:val="24"/>
              </w:rPr>
            </w:pPr>
            <w:r>
              <w:rPr>
                <w:rFonts w:hint="eastAsia" w:ascii="宋体" w:hAnsi="宋体" w:eastAsia="宋体" w:cs="宋体"/>
                <w:b/>
                <w:bCs/>
                <w:color w:val="auto"/>
                <w:szCs w:val="24"/>
              </w:rPr>
              <w:t>材质</w:t>
            </w:r>
          </w:p>
        </w:tc>
        <w:tc>
          <w:tcPr>
            <w:tcW w:w="7012" w:type="dxa"/>
            <w:shd w:val="clear" w:color="auto" w:fill="E7E6E6" w:themeFill="background2"/>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b/>
                <w:bCs/>
                <w:color w:val="auto"/>
                <w:szCs w:val="24"/>
              </w:rPr>
            </w:pPr>
            <w:r>
              <w:rPr>
                <w:rFonts w:hint="eastAsia" w:ascii="宋体" w:hAnsi="宋体" w:eastAsia="宋体" w:cs="宋体"/>
                <w:b/>
                <w:bCs/>
                <w:color w:val="auto"/>
                <w:szCs w:val="24"/>
              </w:rPr>
              <w:t>清洁要求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1</w:t>
            </w:r>
          </w:p>
        </w:tc>
        <w:tc>
          <w:tcPr>
            <w:tcW w:w="1463" w:type="dxa"/>
            <w:vMerge w:val="restart"/>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环氧地坪地面</w:t>
            </w: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b/>
                <w:bCs/>
                <w:color w:val="auto"/>
                <w:szCs w:val="24"/>
              </w:rPr>
            </w:pPr>
            <w:r>
              <w:rPr>
                <w:rFonts w:hint="eastAsia" w:ascii="宋体" w:hAnsi="宋体" w:eastAsia="宋体" w:cs="宋体"/>
                <w:color w:val="auto"/>
                <w:szCs w:val="24"/>
              </w:rPr>
              <w:t>（1）清理垃圾：清理地面上的垃圾和杂物。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p>
        </w:tc>
        <w:tc>
          <w:tcPr>
            <w:tcW w:w="1463"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b/>
                <w:bCs/>
                <w:color w:val="auto"/>
                <w:szCs w:val="24"/>
              </w:rPr>
            </w:pPr>
            <w:r>
              <w:rPr>
                <w:rFonts w:hint="eastAsia" w:ascii="宋体" w:hAnsi="宋体" w:eastAsia="宋体" w:cs="宋体"/>
                <w:color w:val="auto"/>
                <w:szCs w:val="24"/>
              </w:rPr>
              <w:t>（2）清洗地面：用专业的清洁剂或去污剂清洗地面。清洁剂和去污剂的选取要根据污垢的性质而定。 环氧地坪一般使用弱酸性或弱碱性的清洁剂，避免使用酸性或碱性强的清洁剂。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p>
        </w:tc>
        <w:tc>
          <w:tcPr>
            <w:tcW w:w="1463"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b/>
                <w:bCs/>
                <w:color w:val="auto"/>
                <w:szCs w:val="24"/>
              </w:rPr>
            </w:pPr>
            <w:r>
              <w:rPr>
                <w:rFonts w:hint="eastAsia" w:ascii="宋体" w:hAnsi="宋体" w:eastAsia="宋体" w:cs="宋体"/>
                <w:color w:val="auto"/>
                <w:szCs w:val="24"/>
              </w:rPr>
              <w:t>（3）滚刷或颗粒机进行深层清洗：对于顽固沉积物，需要使用滚刷或颗粒机进行深层清洗。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p>
        </w:tc>
        <w:tc>
          <w:tcPr>
            <w:tcW w:w="1463"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b/>
                <w:bCs/>
                <w:color w:val="auto"/>
                <w:szCs w:val="24"/>
              </w:rPr>
            </w:pPr>
            <w:r>
              <w:rPr>
                <w:rFonts w:hint="eastAsia" w:ascii="宋体" w:hAnsi="宋体" w:eastAsia="宋体" w:cs="宋体"/>
                <w:color w:val="auto"/>
                <w:szCs w:val="24"/>
              </w:rPr>
              <w:t>（4）浸泡：将清洁剂或去污剂浸泡在环氧地坪上，加强去除污渍的效果。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p>
        </w:tc>
        <w:tc>
          <w:tcPr>
            <w:tcW w:w="1463"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b/>
                <w:bCs/>
                <w:color w:val="auto"/>
                <w:szCs w:val="24"/>
              </w:rPr>
            </w:pPr>
            <w:r>
              <w:rPr>
                <w:rFonts w:hint="eastAsia" w:ascii="宋体" w:hAnsi="宋体" w:eastAsia="宋体" w:cs="宋体"/>
                <w:color w:val="auto"/>
                <w:szCs w:val="24"/>
              </w:rPr>
              <w:t>（5）冲洗：用清水将地面冲洗干净，以去除残留的清洁剂或去污剂。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2</w:t>
            </w:r>
          </w:p>
        </w:tc>
        <w:tc>
          <w:tcPr>
            <w:tcW w:w="1463" w:type="dxa"/>
            <w:vMerge w:val="restart"/>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耐磨漆地面</w:t>
            </w: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b/>
                <w:bCs/>
                <w:color w:val="auto"/>
                <w:szCs w:val="24"/>
              </w:rPr>
            </w:pPr>
            <w:r>
              <w:rPr>
                <w:rFonts w:hint="eastAsia" w:ascii="宋体" w:hAnsi="宋体" w:eastAsia="宋体" w:cs="宋体"/>
                <w:color w:val="auto"/>
                <w:szCs w:val="24"/>
              </w:rPr>
              <w:t>（1）日常清洁：使用软质拖把或地板清洁机，配合清水和中性清洁剂进行清洁。避免使用酸性或碱 第 19 页 共 28 页 性清洁剂，以免损坏地面表面。定期清理地面上的污渍和杂物，保持地面干净整洁。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p>
        </w:tc>
        <w:tc>
          <w:tcPr>
            <w:tcW w:w="1463"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b/>
                <w:bCs/>
                <w:color w:val="auto"/>
                <w:szCs w:val="24"/>
              </w:rPr>
            </w:pPr>
            <w:r>
              <w:rPr>
                <w:rFonts w:hint="eastAsia" w:ascii="宋体" w:hAnsi="宋体" w:eastAsia="宋体" w:cs="宋体"/>
                <w:color w:val="auto"/>
                <w:szCs w:val="24"/>
              </w:rPr>
              <w:t>（2）打蜡：为了增加耐磨地面的光亮度和耐磨性，可以进行打蜡处理。使用适合聚氨酯地面的蜡进 行均匀涂抹，待蜡干燥后使用抛光机或拖把清理地面，使其变得光滑而有光泽。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3</w:t>
            </w:r>
          </w:p>
        </w:tc>
        <w:tc>
          <w:tcPr>
            <w:tcW w:w="1463" w:type="dxa"/>
            <w:vMerge w:val="restart"/>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瓷砖地面</w:t>
            </w: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b/>
                <w:bCs/>
                <w:color w:val="auto"/>
                <w:szCs w:val="24"/>
              </w:rPr>
            </w:pPr>
            <w:r>
              <w:rPr>
                <w:rFonts w:hint="eastAsia" w:ascii="宋体" w:hAnsi="宋体" w:eastAsia="宋体" w:cs="宋体"/>
                <w:color w:val="auto"/>
                <w:szCs w:val="24"/>
              </w:rPr>
              <w:t>（1）日常清洁：推尘，保持地面干净无杂物。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p>
        </w:tc>
        <w:tc>
          <w:tcPr>
            <w:tcW w:w="1463"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b/>
                <w:bCs/>
                <w:color w:val="auto"/>
                <w:szCs w:val="24"/>
              </w:rPr>
            </w:pPr>
            <w:r>
              <w:rPr>
                <w:rFonts w:hint="eastAsia" w:ascii="宋体" w:hAnsi="宋体" w:eastAsia="宋体" w:cs="宋体"/>
                <w:color w:val="auto"/>
                <w:szCs w:val="24"/>
              </w:rPr>
              <w:t>（2）深度清洁：使用洗洁精或肥皂水清理。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4</w:t>
            </w:r>
          </w:p>
        </w:tc>
        <w:tc>
          <w:tcPr>
            <w:tcW w:w="1463" w:type="dxa"/>
            <w:vMerge w:val="restart"/>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石材地面</w:t>
            </w: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（1）根据各区域的人流量及大理石的实际磨损程度制定大理石的晶面保养计划。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p>
        </w:tc>
        <w:tc>
          <w:tcPr>
            <w:tcW w:w="1463"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（2）启动晶面机，使用中性清洁剂清洁，避免使用强酸或强碱清洁剂，定期进行基础维护。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5</w:t>
            </w:r>
          </w:p>
        </w:tc>
        <w:tc>
          <w:tcPr>
            <w:tcW w:w="1463" w:type="dxa"/>
            <w:vMerge w:val="restart"/>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水磨石地面</w:t>
            </w: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（1）日常清洁：推尘，保持地面干净无杂物。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p>
        </w:tc>
        <w:tc>
          <w:tcPr>
            <w:tcW w:w="1463"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（2）深度清洁：使用洗洁精或肥皂水清理。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6</w:t>
            </w:r>
          </w:p>
        </w:tc>
        <w:tc>
          <w:tcPr>
            <w:tcW w:w="1463" w:type="dxa"/>
            <w:vMerge w:val="restart"/>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地胶板地面</w:t>
            </w: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（1）定期保养。使用中性清洁剂清洁，避免使用强酸或强碱清洁剂，定期进行基础维护。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p>
        </w:tc>
        <w:tc>
          <w:tcPr>
            <w:tcW w:w="1463"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（2）日常维护。使用湿润的拖把清洁，污染严重时局部清洁，每月对地胶板地面进行打蜡处理。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7</w:t>
            </w:r>
          </w:p>
        </w:tc>
        <w:tc>
          <w:tcPr>
            <w:tcW w:w="1463" w:type="dxa"/>
            <w:vMerge w:val="restart"/>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地板地面</w:t>
            </w: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（1）定期保养。使用中性清洁剂清洁，避免使用强酸或强碱清洁剂，定期进行基础维护。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p>
        </w:tc>
        <w:tc>
          <w:tcPr>
            <w:tcW w:w="1463"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（2）日常维护。使用湿润的拖把清洁，污染严重时局部清洁，每月对地板进行打蜡处理。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8</w:t>
            </w:r>
          </w:p>
        </w:tc>
        <w:tc>
          <w:tcPr>
            <w:tcW w:w="1463" w:type="dxa"/>
            <w:vMerge w:val="restart"/>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地毯地面</w:t>
            </w: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（1）日常用吸尘机除尘，局部脏污用湿布配中性清洁液重点清洁。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p>
        </w:tc>
        <w:tc>
          <w:tcPr>
            <w:tcW w:w="1463" w:type="dxa"/>
            <w:vMerge w:val="continue"/>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（2）用地毯清洗机进行整体清洗，除螨。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9</w:t>
            </w:r>
          </w:p>
        </w:tc>
        <w:tc>
          <w:tcPr>
            <w:tcW w:w="1463" w:type="dxa"/>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乳胶漆内墙</w:t>
            </w: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10</w:t>
            </w:r>
          </w:p>
        </w:tc>
        <w:tc>
          <w:tcPr>
            <w:tcW w:w="1463" w:type="dxa"/>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墙纸内墙</w:t>
            </w: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11</w:t>
            </w:r>
          </w:p>
        </w:tc>
        <w:tc>
          <w:tcPr>
            <w:tcW w:w="1463" w:type="dxa"/>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木饰面内墙</w:t>
            </w: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有污渍时用中性清洁剂、半干布擦拭。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12</w:t>
            </w:r>
          </w:p>
        </w:tc>
        <w:tc>
          <w:tcPr>
            <w:tcW w:w="1463" w:type="dxa"/>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石材内墙</w:t>
            </w: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13</w:t>
            </w:r>
          </w:p>
        </w:tc>
        <w:tc>
          <w:tcPr>
            <w:tcW w:w="1463" w:type="dxa"/>
            <w:noWrap w:val="0"/>
            <w:vAlign w:val="center"/>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金属板内墙</w:t>
            </w:r>
          </w:p>
        </w:tc>
        <w:tc>
          <w:tcPr>
            <w:tcW w:w="7012" w:type="dxa"/>
            <w:noWrap w:val="0"/>
            <w:vAlign w:val="top"/>
          </w:tcPr>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color w:val="auto"/>
                <w:szCs w:val="24"/>
              </w:rPr>
            </w:pPr>
            <w:r>
              <w:rPr>
                <w:rFonts w:hint="eastAsia" w:ascii="宋体" w:hAnsi="宋体" w:eastAsia="宋体" w:cs="宋体"/>
                <w:color w:val="auto"/>
                <w:szCs w:val="24"/>
              </w:rPr>
              <w:t>有污渍时用半干布擦拭。</w:t>
            </w:r>
          </w:p>
        </w:tc>
      </w:tr>
    </w:tbl>
    <w:p>
      <w:pPr>
        <w:keepNext w:val="0"/>
        <w:keepLines w:val="0"/>
        <w:pageBreakBefore w:val="0"/>
        <w:widowControl w:val="0"/>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（四）保安服务</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1.服务内容：熟悉周边的环境，能处理和应对公共秩序维护工作，能够熟悉、掌握各类突发事件的应急预案；来人来访的通报、证件检验、登记、报刊信件收发等，快递及包裹原则上由收件人亲自签收，得到收件人授权后方能代为签收，并按规范记录接收信息；门卫、守护和巡逻，维护公共秩序；处理治安及共他突发事件；负责道路交通管理、机动车和非机动车停放管理；负责防盗、防火管理；积极主动的配合、服从对口管理部门的临时应急调度。采购人如采购其他安保服务不在此</w:t>
      </w:r>
      <w:r>
        <w:rPr>
          <w:rFonts w:hint="eastAsia" w:ascii="宋体" w:hAnsi="宋体" w:eastAsia="宋体" w:cs="宋体"/>
          <w:color w:val="auto"/>
          <w:szCs w:val="24"/>
          <w:lang w:val="en-US" w:eastAsia="zh-CN"/>
        </w:rPr>
        <w:t>次</w:t>
      </w:r>
      <w:r>
        <w:rPr>
          <w:rFonts w:hint="eastAsia" w:ascii="宋体" w:hAnsi="宋体" w:eastAsia="宋体" w:cs="宋体"/>
          <w:color w:val="auto"/>
          <w:szCs w:val="24"/>
        </w:rPr>
        <w:t>框架协议采购范围内，另行采购。</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2.基本要求：</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2.1建立保安服务相关制度，并按照执行。</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2.2对巡查、值守及异常情况等做好相关记录，填写规范，保存完好。</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2.3配备保安服务必要的器材。</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w:t>
      </w:r>
      <w:r>
        <w:rPr>
          <w:rFonts w:hint="eastAsia" w:ascii="宋体" w:hAnsi="宋体" w:eastAsia="宋体" w:cs="宋体"/>
          <w:color w:val="auto"/>
          <w:szCs w:val="24"/>
          <w:lang w:val="en-US" w:eastAsia="zh-CN"/>
        </w:rPr>
        <w:t>.</w:t>
      </w:r>
      <w:r>
        <w:rPr>
          <w:rFonts w:hint="eastAsia" w:ascii="宋体" w:hAnsi="宋体" w:eastAsia="宋体" w:cs="宋体"/>
          <w:color w:val="auto"/>
          <w:szCs w:val="24"/>
        </w:rPr>
        <w:t>服务标准:</w:t>
      </w:r>
    </w:p>
    <w:p>
      <w:pPr>
        <w:keepNext w:val="0"/>
        <w:keepLines w:val="0"/>
        <w:pageBreakBefore w:val="0"/>
        <w:kinsoku/>
        <w:wordWrap/>
        <w:overflowPunct/>
        <w:topLinePunct w:val="0"/>
        <w:autoSpaceDE w:val="0"/>
        <w:autoSpaceDN w:val="0"/>
        <w:bidi w:val="0"/>
        <w:adjustRightInd w:val="0"/>
        <w:spacing w:line="400" w:lineRule="exact"/>
        <w:ind w:firstLine="595" w:firstLineChars="247"/>
        <w:rPr>
          <w:rFonts w:hint="eastAsia" w:ascii="宋体" w:hAnsi="宋体" w:eastAsia="宋体" w:cs="宋体"/>
          <w:b/>
          <w:bCs/>
          <w:color w:val="auto"/>
          <w:sz w:val="24"/>
        </w:rPr>
      </w:pPr>
      <w:r>
        <w:rPr>
          <w:rFonts w:hint="eastAsia" w:ascii="宋体" w:hAnsi="宋体" w:eastAsia="宋体" w:cs="宋体"/>
          <w:b/>
          <w:bCs/>
          <w:color w:val="auto"/>
          <w:sz w:val="24"/>
        </w:rPr>
        <w:t>3.1出入管理</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3.1.1办公楼（区）主出入口应当实行 24 小时值班制。</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3.1.2设置门岗。</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3.1.3在出入口对外来人员及其携带大件物品、外来车辆进行询问和记录，并与相关部门取得联系， 同意后方可进入。</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lang w:val="en"/>
        </w:rPr>
      </w:pPr>
      <w:r>
        <w:rPr>
          <w:rFonts w:hint="eastAsia" w:ascii="宋体" w:hAnsi="宋体" w:eastAsia="宋体" w:cs="宋体"/>
          <w:color w:val="auto"/>
          <w:szCs w:val="24"/>
        </w:rPr>
        <w:t>3.1.4大件物品搬出有相关部门开具的证明和清单，经核实后放行。</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3.1.5排查可疑人员，对于不出示证件、不按规定登记、不听劝阻而强行闯入者，及时劝离，必要时 通知公安机关进行处理。</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lang w:val="en"/>
        </w:rPr>
      </w:pPr>
      <w:r>
        <w:rPr>
          <w:rFonts w:hint="eastAsia" w:ascii="宋体" w:hAnsi="宋体" w:eastAsia="宋体" w:cs="宋体"/>
          <w:color w:val="auto"/>
          <w:szCs w:val="24"/>
        </w:rPr>
        <w:t>3.1.6配合相关部门积极疏导上访人员，有效疏导如出入口人群集聚、车辆拥堵、货物堵塞道路等情况。</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3.1.7根据物业服务合同约定，对物品进出实行安检、登记、电话确认等分类管理措施。大宗物品进出会同接收单位收件人审检，严防违禁品（包括毒品、军火弹药、管制刀具、易燃易爆品等）、限带品（包 括动物、任何未经授权的专业摄影设备、无人机等）进入。</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3.1.8提供现场接待服务。 ①做好来访人员、车辆进出证件登记，及时通报。 ②严禁无关人员、可疑人员和危险物品进入办公楼（区）内。 ③物品摆放整齐有序、分类放置。 ④现场办理等待时间不超过 5 分钟，等待较长时间应当及时沟通。 ⑤对来访人员咨询、建议、求助等事项，及时处理或答复，处理和答复率 100%。 ⑥接待服务工作时间应当覆盖采购人工作时间（上班时间为—____-____）。 ⑦与被访人进行核实确认；告知被访人的办公室门牌号；告知访客注意事项。</w:t>
      </w:r>
    </w:p>
    <w:p>
      <w:pPr>
        <w:pStyle w:val="34"/>
        <w:keepNext w:val="0"/>
        <w:keepLines w:val="0"/>
        <w:pageBreakBefore w:val="0"/>
        <w:kinsoku/>
        <w:wordWrap/>
        <w:overflowPunct/>
        <w:topLinePunct w:val="0"/>
        <w:bidi w:val="0"/>
        <w:adjustRightInd w:val="0"/>
        <w:snapToGrid w:val="0"/>
        <w:spacing w:before="0" w:line="400" w:lineRule="exact"/>
        <w:ind w:firstLine="602" w:firstLineChars="250"/>
        <w:rPr>
          <w:rFonts w:hint="eastAsia" w:ascii="宋体" w:hAnsi="宋体" w:eastAsia="宋体" w:cs="宋体"/>
          <w:b/>
          <w:bCs/>
          <w:color w:val="auto"/>
          <w:szCs w:val="24"/>
        </w:rPr>
      </w:pPr>
      <w:r>
        <w:rPr>
          <w:rFonts w:hint="eastAsia" w:ascii="宋体" w:hAnsi="宋体" w:eastAsia="宋体" w:cs="宋体"/>
          <w:b/>
          <w:bCs/>
          <w:color w:val="auto"/>
          <w:szCs w:val="24"/>
        </w:rPr>
        <w:t>3.2值班巡查</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bookmarkStart w:id="5" w:name="OLE_LINK4"/>
      <w:r>
        <w:rPr>
          <w:rFonts w:hint="eastAsia" w:ascii="宋体" w:hAnsi="宋体" w:eastAsia="宋体" w:cs="宋体"/>
          <w:color w:val="auto"/>
          <w:szCs w:val="24"/>
        </w:rPr>
        <w:t>3.2.1</w:t>
      </w:r>
      <w:bookmarkEnd w:id="5"/>
      <w:r>
        <w:rPr>
          <w:rFonts w:hint="eastAsia" w:ascii="宋体" w:hAnsi="宋体" w:eastAsia="宋体" w:cs="宋体"/>
          <w:color w:val="auto"/>
          <w:szCs w:val="24"/>
        </w:rPr>
        <w:t>建立 24 小时值班巡查制度。</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3.2.2制定巡查路线，按照指定时间和路线执行，加强重点区域、重点部位及装修区域的巡查。</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lang w:val="en"/>
        </w:rPr>
      </w:pPr>
      <w:r>
        <w:rPr>
          <w:rFonts w:hint="eastAsia" w:ascii="宋体" w:hAnsi="宋体" w:eastAsia="宋体" w:cs="宋体"/>
          <w:color w:val="auto"/>
          <w:szCs w:val="24"/>
        </w:rPr>
        <w:t>3.2.3巡查期间保持通信设施设备畅通，遇到异常情况立即上报并在现场采取相应措施。</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3.2.4收到监控室指令后，巡查人员及时到达指定地点并迅速采取相应措施。</w:t>
      </w:r>
    </w:p>
    <w:p>
      <w:pPr>
        <w:pStyle w:val="34"/>
        <w:keepNext w:val="0"/>
        <w:keepLines w:val="0"/>
        <w:pageBreakBefore w:val="0"/>
        <w:kinsoku/>
        <w:wordWrap/>
        <w:overflowPunct/>
        <w:topLinePunct w:val="0"/>
        <w:bidi w:val="0"/>
        <w:adjustRightInd w:val="0"/>
        <w:snapToGrid w:val="0"/>
        <w:spacing w:before="0" w:line="400" w:lineRule="exact"/>
        <w:ind w:firstLine="602" w:firstLineChars="250"/>
        <w:rPr>
          <w:rFonts w:hint="eastAsia" w:ascii="宋体" w:hAnsi="宋体" w:eastAsia="宋体" w:cs="宋体"/>
          <w:color w:val="auto"/>
          <w:szCs w:val="24"/>
        </w:rPr>
      </w:pPr>
      <w:r>
        <w:rPr>
          <w:rFonts w:hint="eastAsia" w:ascii="宋体" w:hAnsi="宋体" w:eastAsia="宋体" w:cs="宋体"/>
          <w:b/>
          <w:bCs/>
          <w:color w:val="auto"/>
          <w:szCs w:val="24"/>
        </w:rPr>
        <w:t>3.3监控值守</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3.3.1监控室环境符合系统设备运行要求，定期进行检查和检测，确保系统功能正常。</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3.3.2监控设备 24 小时正常运行，监控室实行专人 24 小时值班制度。</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3.3.3监控记录画面清晰，视频监控无死角、无盲区。</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3.3.4值班期间遵守操作规程和保密制度，做好监控记录的保存工作。</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3.3.5监控记录保持完整，保存时间不应少于 90 天。</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3.3.6无关人员进入监控室或查阅监控记录，经授权人批准并做好相关记录。</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3.3.7监控室收到火情等报警信号、其他异常情况信号后，及时报警并安排其他安保人员前往现场进行处理。</w:t>
      </w:r>
    </w:p>
    <w:p>
      <w:pPr>
        <w:pStyle w:val="34"/>
        <w:keepNext w:val="0"/>
        <w:keepLines w:val="0"/>
        <w:pageBreakBefore w:val="0"/>
        <w:kinsoku/>
        <w:wordWrap/>
        <w:overflowPunct/>
        <w:topLinePunct w:val="0"/>
        <w:bidi w:val="0"/>
        <w:adjustRightInd w:val="0"/>
        <w:snapToGrid w:val="0"/>
        <w:spacing w:before="0" w:line="400" w:lineRule="exact"/>
        <w:ind w:firstLine="602" w:firstLineChars="250"/>
        <w:rPr>
          <w:rFonts w:hint="eastAsia" w:ascii="宋体" w:hAnsi="宋体" w:eastAsia="宋体" w:cs="宋体"/>
          <w:b/>
          <w:bCs/>
          <w:color w:val="auto"/>
          <w:szCs w:val="24"/>
        </w:rPr>
      </w:pPr>
      <w:r>
        <w:rPr>
          <w:rFonts w:hint="eastAsia" w:ascii="宋体" w:hAnsi="宋体" w:eastAsia="宋体" w:cs="宋体"/>
          <w:b/>
          <w:bCs/>
          <w:color w:val="auto"/>
          <w:szCs w:val="24"/>
        </w:rPr>
        <w:t>3.4车辆停放</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3.4.1车辆行驶路线设置合理、规范，导向标志完整、清晰。</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3.4.2合理规划车辆停放区域，张贴车辆引导标识，对车辆及停放区域实行规范管理。</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3.4.3严禁在办公楼的公用走道、楼梯间、安全出口处等公共区域停放车辆或充电。</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3.4.4非机动车定点有序停放。</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3.4.5发现车辆异常情况及时通知车主，并做好登记；发生交通事故、自然灾害等意外事故时及时赶 赴现场疏导和协助处理，响应时间不超过 3 分钟。</w:t>
      </w:r>
    </w:p>
    <w:p>
      <w:pPr>
        <w:pStyle w:val="34"/>
        <w:keepNext w:val="0"/>
        <w:keepLines w:val="0"/>
        <w:pageBreakBefore w:val="0"/>
        <w:kinsoku/>
        <w:wordWrap/>
        <w:overflowPunct/>
        <w:topLinePunct w:val="0"/>
        <w:bidi w:val="0"/>
        <w:adjustRightInd w:val="0"/>
        <w:snapToGrid w:val="0"/>
        <w:spacing w:before="0" w:line="400" w:lineRule="exact"/>
        <w:ind w:firstLine="602" w:firstLineChars="250"/>
        <w:rPr>
          <w:rFonts w:hint="eastAsia" w:ascii="宋体" w:hAnsi="宋体" w:eastAsia="宋体" w:cs="宋体"/>
          <w:b/>
          <w:bCs/>
          <w:color w:val="auto"/>
          <w:szCs w:val="24"/>
        </w:rPr>
      </w:pPr>
      <w:r>
        <w:rPr>
          <w:rFonts w:hint="eastAsia" w:ascii="宋体" w:hAnsi="宋体" w:eastAsia="宋体" w:cs="宋体"/>
          <w:b/>
          <w:bCs/>
          <w:color w:val="auto"/>
          <w:szCs w:val="24"/>
        </w:rPr>
        <w:t>3.5消防安全管理</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3.5.1建立消防安全责任制，确定各级消防安全责任人及其职责。</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3.5.2消防控制室实行 24 小时值班制度。</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3.5.3消火栓、应急照明、应急物资、消防及人员逃生通道、消防车通道可随时正常使用。</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3.5.4易燃易爆品设专区专人管理，做好相关记录。</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3.5.5定期组织消防安全宣传，每半年至少开展 1 次消防演练。</w:t>
      </w:r>
    </w:p>
    <w:p>
      <w:pPr>
        <w:pStyle w:val="34"/>
        <w:keepNext w:val="0"/>
        <w:keepLines w:val="0"/>
        <w:pageBreakBefore w:val="0"/>
        <w:kinsoku/>
        <w:wordWrap/>
        <w:overflowPunct/>
        <w:topLinePunct w:val="0"/>
        <w:bidi w:val="0"/>
        <w:adjustRightInd w:val="0"/>
        <w:snapToGrid w:val="0"/>
        <w:spacing w:before="0" w:line="400" w:lineRule="exact"/>
        <w:ind w:firstLine="602" w:firstLineChars="250"/>
        <w:rPr>
          <w:rFonts w:hint="eastAsia" w:ascii="宋体" w:hAnsi="宋体" w:eastAsia="宋体" w:cs="宋体"/>
          <w:b/>
          <w:bCs/>
          <w:color w:val="auto"/>
          <w:szCs w:val="24"/>
        </w:rPr>
      </w:pPr>
      <w:r>
        <w:rPr>
          <w:rFonts w:hint="eastAsia" w:ascii="宋体" w:hAnsi="宋体" w:eastAsia="宋体" w:cs="宋体"/>
          <w:b/>
          <w:bCs/>
          <w:color w:val="auto"/>
          <w:szCs w:val="24"/>
        </w:rPr>
        <w:t>3.6突发事件处理</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3.6.1制定突发事件安全责任书，明确突发事件责任人及应承担的安全责任。</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3.6.2建立应急突发事件处置队伍，明确各自的职责。</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3.6.3识别、分析各种潜在风险，针对不同风险类型制定相应解决方案，并配备应急物资。</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3.6.4每半年至少开展 1 次突发事件应急演练，并有相应记录。</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3.6.5发生意外事件时，及时采取应急措施，维护办公区域物业服务正常进行，保护人身财产安全。</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3.6.6办公区域物业服务应急预案终止实施后，积极采取措施，在尽可能短的时间内，消除事故带来的不良影响，妥善安置和慰问受害及受影响的人员和部门。</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3.6.7事故处理后，及时形成事故应急总结报告，完善应急救援工作方案。</w:t>
      </w:r>
    </w:p>
    <w:p>
      <w:pPr>
        <w:pStyle w:val="34"/>
        <w:keepNext w:val="0"/>
        <w:keepLines w:val="0"/>
        <w:pageBreakBefore w:val="0"/>
        <w:kinsoku/>
        <w:wordWrap/>
        <w:overflowPunct/>
        <w:topLinePunct w:val="0"/>
        <w:bidi w:val="0"/>
        <w:adjustRightInd w:val="0"/>
        <w:snapToGrid w:val="0"/>
        <w:spacing w:before="0" w:line="400" w:lineRule="exact"/>
        <w:ind w:firstLine="602" w:firstLineChars="250"/>
        <w:rPr>
          <w:rFonts w:hint="eastAsia" w:ascii="宋体" w:hAnsi="宋体" w:eastAsia="宋体" w:cs="宋体"/>
          <w:b/>
          <w:bCs/>
          <w:color w:val="auto"/>
          <w:szCs w:val="24"/>
        </w:rPr>
      </w:pPr>
      <w:r>
        <w:rPr>
          <w:rFonts w:hint="eastAsia" w:ascii="宋体" w:hAnsi="宋体" w:eastAsia="宋体" w:cs="宋体"/>
          <w:b/>
          <w:bCs/>
          <w:color w:val="auto"/>
          <w:szCs w:val="24"/>
        </w:rPr>
        <w:t>3.7大型活动秩序</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3.7.1制定相应的活动秩序维护方案，合理安排人员，并对场所的安全隐患进行排查。</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3.7.2应当保障通道、出入口、停车场等区域畅通。</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3.7.3活动举办过程中，做好现场秩序的维护和突发事故的处置工作，确保活动正常进行。</w:t>
      </w:r>
    </w:p>
    <w:p>
      <w:pPr>
        <w:pStyle w:val="34"/>
        <w:keepNext w:val="0"/>
        <w:keepLines w:val="0"/>
        <w:pageBreakBefore w:val="0"/>
        <w:kinsoku/>
        <w:wordWrap/>
        <w:overflowPunct/>
        <w:topLinePunct w:val="0"/>
        <w:bidi w:val="0"/>
        <w:adjustRightInd w:val="0"/>
        <w:snapToGrid w:val="0"/>
        <w:spacing w:before="0" w:line="400" w:lineRule="exact"/>
        <w:ind w:firstLine="602" w:firstLineChars="250"/>
        <w:rPr>
          <w:rFonts w:hint="eastAsia" w:ascii="宋体" w:hAnsi="宋体" w:eastAsia="宋体" w:cs="宋体"/>
          <w:b/>
          <w:bCs/>
          <w:color w:val="auto"/>
          <w:szCs w:val="24"/>
        </w:rPr>
      </w:pPr>
      <w:r>
        <w:rPr>
          <w:rFonts w:hint="eastAsia" w:ascii="宋体" w:hAnsi="宋体" w:eastAsia="宋体" w:cs="宋体"/>
          <w:b/>
          <w:bCs/>
          <w:color w:val="auto"/>
          <w:szCs w:val="24"/>
        </w:rPr>
        <w:t>3.8信报服务</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3.8.1对邮件、包裹和挂号信等进行正确分理、安全检查和防疫卫生检查。</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3.8.2及时投送或通知收件人领取。</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3.8.3大件物品出入向采购人报告，待采购人确认无误后放行。</w:t>
      </w:r>
    </w:p>
    <w:p>
      <w:pPr>
        <w:keepNext w:val="0"/>
        <w:keepLines w:val="0"/>
        <w:pageBreakBefore w:val="0"/>
        <w:widowControl w:val="0"/>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lang w:val="en"/>
        </w:rPr>
        <w:t>（</w:t>
      </w:r>
      <w:r>
        <w:rPr>
          <w:rFonts w:hint="eastAsia" w:ascii="宋体" w:hAnsi="宋体" w:eastAsia="宋体" w:cs="宋体"/>
          <w:b/>
          <w:bCs/>
          <w:color w:val="auto"/>
          <w:sz w:val="24"/>
        </w:rPr>
        <w:t>五</w:t>
      </w:r>
      <w:r>
        <w:rPr>
          <w:rFonts w:hint="eastAsia" w:ascii="宋体" w:hAnsi="宋体" w:eastAsia="宋体" w:cs="宋体"/>
          <w:b/>
          <w:bCs/>
          <w:color w:val="auto"/>
          <w:sz w:val="24"/>
          <w:lang w:val="en"/>
        </w:rPr>
        <w:t>）</w:t>
      </w:r>
      <w:r>
        <w:rPr>
          <w:rFonts w:hint="eastAsia" w:ascii="宋体" w:hAnsi="宋体" w:eastAsia="宋体" w:cs="宋体"/>
          <w:b/>
          <w:bCs/>
          <w:color w:val="auto"/>
          <w:sz w:val="24"/>
        </w:rPr>
        <w:t>绿化服务</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1.服务内容：单位使用范围内的室外绿化带的树木、花草、色块等的日常养护和管理。</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2.基本要求</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2.1制定绿化服务的工作制度及工作计划，并按照执行。</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2.2做好绿化服务工作记录，填写规范。</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2.3作业时采取安全防护措施，防止对作业人员或他人造成伤害。</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2.4相关耗材的环保、安全性应当符合规定要求。</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w:t>
      </w:r>
      <w:r>
        <w:rPr>
          <w:rFonts w:hint="eastAsia" w:ascii="宋体" w:hAnsi="宋体" w:eastAsia="宋体" w:cs="宋体"/>
          <w:color w:val="auto"/>
          <w:szCs w:val="24"/>
          <w:lang w:val="en-US" w:eastAsia="zh-CN"/>
        </w:rPr>
        <w:t>.</w:t>
      </w:r>
      <w:r>
        <w:rPr>
          <w:rFonts w:hint="eastAsia" w:ascii="宋体" w:hAnsi="宋体" w:eastAsia="宋体" w:cs="宋体"/>
          <w:color w:val="auto"/>
          <w:szCs w:val="24"/>
        </w:rPr>
        <w:t>服务标准</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3.1根据生长环境、植物特性进行除草、灌溉、施肥、整形修剪、防治病虫害等。</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3.2根据生长情况修剪绿地，绿地内无枯草、无杂物，无干枯坏死和病虫侵害，基本无裸露土地。</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3.3定期修剪树木、花卉等，灌乔木生长正常、造型美观自然、花枝新鲜，无枯叶、无病虫、无死 树缺株。</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3.4绿篱生长造型正常，颜色正常，修剪及时，基本无死株和干死株，有虫株率在 10%以下。</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3.5清除花坛和花景的花蒂、黄叶、杂草、垃圾，做好病虫害防治。</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3.6水池水面定期清理，无枯枝落叶、水质清洁。</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3.7根据病虫害发生规律实施综合治理，通常在病虫率高时，以药剂杀死病虫，以确保植物良好生 长。产生垃圾的主要区域和路段做到日产日清。</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3.8雨雪、冰冻等恶劣天气来临前，专人巡查，对绿植做好预防措施，排除安全隐患。</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3.9恶劣天气后，及时清除倒树断枝，疏通道路，尽快恢复原状。</w:t>
      </w:r>
    </w:p>
    <w:p>
      <w:pPr>
        <w:keepNext w:val="0"/>
        <w:keepLines w:val="0"/>
        <w:pageBreakBefore w:val="0"/>
        <w:widowControl w:val="0"/>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sz w:val="24"/>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六</w:t>
      </w:r>
      <w:r>
        <w:rPr>
          <w:rFonts w:hint="eastAsia" w:ascii="宋体" w:hAnsi="宋体" w:cs="宋体"/>
          <w:b/>
          <w:bCs/>
          <w:color w:val="auto"/>
          <w:sz w:val="24"/>
          <w:lang w:eastAsia="zh-CN"/>
        </w:rPr>
        <w:t>）</w:t>
      </w:r>
      <w:r>
        <w:rPr>
          <w:rFonts w:hint="eastAsia" w:ascii="宋体" w:hAnsi="宋体" w:eastAsia="宋体" w:cs="宋体"/>
          <w:b/>
          <w:bCs/>
          <w:color w:val="auto"/>
          <w:sz w:val="24"/>
        </w:rPr>
        <w:t>会议服务</w:t>
      </w:r>
    </w:p>
    <w:p>
      <w:pPr>
        <w:pStyle w:val="34"/>
        <w:keepNext w:val="0"/>
        <w:keepLines w:val="0"/>
        <w:pageBreakBefore w:val="0"/>
        <w:kinsoku/>
        <w:wordWrap/>
        <w:overflowPunct/>
        <w:topLinePunct w:val="0"/>
        <w:bidi w:val="0"/>
        <w:adjustRightInd w:val="0"/>
        <w:snapToGrid w:val="0"/>
        <w:spacing w:before="0" w:line="400" w:lineRule="exact"/>
        <w:ind w:firstLine="0" w:firstLineChars="0"/>
        <w:rPr>
          <w:rFonts w:hint="eastAsia" w:ascii="宋体" w:hAnsi="宋体" w:eastAsia="宋体" w:cs="宋体"/>
          <w:b/>
          <w:bCs/>
          <w:color w:val="auto"/>
          <w:szCs w:val="24"/>
        </w:rPr>
      </w:pPr>
      <w:r>
        <w:rPr>
          <w:rFonts w:hint="eastAsia" w:ascii="宋体" w:hAnsi="宋体" w:eastAsia="宋体" w:cs="宋体"/>
          <w:b/>
          <w:bCs/>
          <w:color w:val="auto"/>
          <w:szCs w:val="24"/>
        </w:rPr>
        <w:t xml:space="preserve">     1.服务内容及要求</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1.1会议受理：接受会议预订，记录会议需求。</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1.2会前准备：根据会议需求、场地大小、用途，明确会议桌椅、物品、设备、文具等摆放规定，音、视频设施保障措施。</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1.3引导服务：做好引导牌并放置在指定位置，引导人员引导手势规范，语言标准。</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1.4会中服务：会议期间按要求加水。</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1.5会后整理：对会议现场进行检查，做好会场清扫工作。</w:t>
      </w:r>
    </w:p>
    <w:p>
      <w:pPr>
        <w:keepNext w:val="0"/>
        <w:keepLines w:val="0"/>
        <w:pageBreakBefore w:val="0"/>
        <w:widowControl w:val="0"/>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（七）服务人员要求</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1.管理人员（项目经理）：高中以上学历，综合素质较好，具有一定的物业管理能力和经验，3年以上相关工作经历，组织协调和沟通能力较强，形象良好。</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2.工程技术人员：国家、行业规定应当取得职业资格证书或特种作业证书的，应当按规定持证上岗（如：《维修电工》、《电工作业证书》、《特种设备安全管理和作业人员证》、《消防培训结业证》) 等，有2年以上楼宇工程管理经验和实际操作工作能力，并具有丰富的维修能力，能够排除各类设备故障。</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3.一般服务人员男性年龄要求18－6</w:t>
      </w:r>
      <w:r>
        <w:rPr>
          <w:rFonts w:hint="eastAsia" w:ascii="宋体" w:hAnsi="宋体" w:eastAsia="宋体" w:cs="宋体"/>
          <w:color w:val="auto"/>
          <w:szCs w:val="24"/>
          <w:lang w:val="en-US" w:eastAsia="zh-CN"/>
        </w:rPr>
        <w:t>5</w:t>
      </w:r>
      <w:r>
        <w:rPr>
          <w:rFonts w:hint="eastAsia" w:ascii="宋体" w:hAnsi="宋体" w:eastAsia="宋体" w:cs="宋体"/>
          <w:color w:val="auto"/>
          <w:szCs w:val="24"/>
        </w:rPr>
        <w:t>周岁（含）、女性年龄要求18－5</w:t>
      </w:r>
      <w:r>
        <w:rPr>
          <w:rFonts w:hint="eastAsia" w:ascii="宋体" w:hAnsi="宋体" w:eastAsia="宋体" w:cs="宋体"/>
          <w:color w:val="auto"/>
          <w:szCs w:val="24"/>
          <w:lang w:val="en-US" w:eastAsia="zh-CN"/>
        </w:rPr>
        <w:t>8</w:t>
      </w:r>
      <w:r>
        <w:rPr>
          <w:rFonts w:hint="eastAsia" w:ascii="宋体" w:hAnsi="宋体" w:eastAsia="宋体" w:cs="宋体"/>
          <w:color w:val="auto"/>
          <w:szCs w:val="24"/>
        </w:rPr>
        <w:t>周岁（含），维修、保洁、绿化服务人员年龄可以适当放宽至65周岁。超过规定退休年龄人员需与供应商签订劳务合同。服务人员应具有良好的沟通能力、心理承受能力，身体健康、品德端正、遵章守纪，无违法违纪行为，工作细致、有耐心，服务态度亲切，服务意识强，有责任心，善于沟通，服从管理，具有良好的团队合作精神。服务人员基本培训由供应商负责实施，业务培训由采购单位统一实施。</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4.服务人员待遇，供应商按《中华人民共和国劳动法》等相关规定给派遣人员交纳五险并按月发放工资，工资标准不低于当地工资标准的规定，供应商承诺不得低于此标准发放工资及奖金，如违规经查实，按相关规定给予处罚。</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5.着装分类统一，佩戴标识。仪容整洁、姿态端正、举止文明。用语文明礼貌，态度温和耐心。</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6.供应商应制订具体的质量保证措施及质量保证及相关服务的承诺，如因服务质量未达到目标，承担责任和经济赔偿。在维保范围项目，无权拒绝保养维修。</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7.入围供应商须在合同签订前须提供项目管理人员、工程综合维修人员、保卫巡查等重要岗位人员的相关有效证件和信息，如果入围供应商不能提供，则采购人有权终止合同签订。</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8.按要求和事项发生量及时配备足够和胜任的相关管理和服务人员，并保持人员的稳定。遇人员调动或辞职时需提前15天告知业主并得到同意后才能更换，按要求及时补充相应人员，提前做好交接班。如业主认为服务人员不适应岗位要求或存在其他影响工作的，可要求供应商进行调换。如因供应商原因对服务人员进行调换，应当经业主同意，更换比例不得超过本项目服务人员总数的 20%。本项目服务人员不得在其他项目兼职。岗位人数不足时，按相应岗位成本扣除服务费。</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9.入围供应商需建立上岗前培训制度，经采购人同意准许上岗。</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10.入围供应商应承诺在合同期内，为承包区域内提供物业管理服务，包括房屋维护服务、公用设备设施维护服务、保洁服务、保安服务、绿化服务、会议服务及其他相关服务，并承担由此带来的一切风险。</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11.供应商应制订具体的质量保证措施及质量保证和相关服务承诺。所有的工作除应按入围供应商的内部流程实施外还应接受采购人或第三方的检查。入围供应商达不到采购人要求及各项服务承诺，采购人有权要求其整改，直至扣款或终止合同。</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12.采购单位须定期进行满意率调查，满意率达到95％以上，并每季对“保安服务”，“保洁服务”，“房屋维护服务”，“公用设备设施维护服务”，“绿化服务”，“会议服务”等内容结合满意率进行考核。</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13.如今后物业服务范围增加，且不超过原合同金额的10%，采购人可按成交单价签订补充协议。</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14.各供应商须按《物业管理条例》及其他国家有关标准和规范完成采购文件要求和响应文件承诺的物业管理服务工作。</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lang w:val="zh-CN"/>
        </w:rPr>
      </w:pPr>
      <w:r>
        <w:rPr>
          <w:rFonts w:hint="eastAsia" w:ascii="宋体" w:hAnsi="宋体" w:eastAsia="宋体" w:cs="宋体"/>
          <w:color w:val="auto"/>
          <w:szCs w:val="24"/>
        </w:rPr>
        <w:t>15.各供应商</w:t>
      </w:r>
      <w:r>
        <w:rPr>
          <w:rFonts w:hint="eastAsia" w:ascii="宋体" w:hAnsi="宋体" w:eastAsia="宋体" w:cs="宋体"/>
          <w:color w:val="auto"/>
          <w:szCs w:val="24"/>
          <w:lang w:val="zh-CN"/>
        </w:rPr>
        <w:t>均需建立工</w:t>
      </w:r>
      <w:r>
        <w:rPr>
          <w:rFonts w:hint="eastAsia" w:ascii="宋体" w:hAnsi="宋体" w:eastAsia="宋体" w:cs="宋体"/>
          <w:color w:val="auto"/>
          <w:szCs w:val="24"/>
        </w:rPr>
        <w:t>作</w:t>
      </w:r>
      <w:r>
        <w:rPr>
          <w:rFonts w:hint="eastAsia" w:ascii="宋体" w:hAnsi="宋体" w:eastAsia="宋体" w:cs="宋体"/>
          <w:color w:val="auto"/>
          <w:szCs w:val="24"/>
          <w:lang w:val="zh-CN"/>
        </w:rPr>
        <w:t>台账制度，以备查与考核。</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rPr>
      </w:pPr>
      <w:r>
        <w:rPr>
          <w:rFonts w:hint="eastAsia" w:ascii="宋体" w:hAnsi="宋体" w:eastAsia="宋体" w:cs="宋体"/>
          <w:color w:val="auto"/>
          <w:szCs w:val="24"/>
        </w:rPr>
        <w:t>16.供应商在履约过程中违反相关规定的，由政府采购监督管理部门处理。</w:t>
      </w:r>
    </w:p>
    <w:p>
      <w:pPr>
        <w:keepNext w:val="0"/>
        <w:keepLines w:val="0"/>
        <w:pageBreakBefore w:val="0"/>
        <w:widowControl w:val="0"/>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sz w:val="24"/>
          <w:lang w:val="en"/>
        </w:rPr>
      </w:pPr>
      <w:r>
        <w:rPr>
          <w:rFonts w:hint="eastAsia" w:ascii="宋体" w:hAnsi="宋体" w:eastAsia="宋体" w:cs="宋体"/>
          <w:b/>
          <w:bCs/>
          <w:color w:val="auto"/>
          <w:sz w:val="24"/>
        </w:rPr>
        <w:t>（八）</w:t>
      </w:r>
      <w:r>
        <w:rPr>
          <w:rFonts w:hint="eastAsia" w:ascii="宋体" w:hAnsi="宋体" w:eastAsia="宋体" w:cs="宋体"/>
          <w:b/>
          <w:bCs/>
          <w:color w:val="auto"/>
          <w:sz w:val="24"/>
          <w:lang w:val="en"/>
        </w:rPr>
        <w:t>物耗及设备</w:t>
      </w:r>
      <w:r>
        <w:rPr>
          <w:rFonts w:hint="eastAsia" w:ascii="宋体" w:hAnsi="宋体" w:eastAsia="宋体" w:cs="宋体"/>
          <w:b/>
          <w:bCs/>
          <w:color w:val="auto"/>
          <w:sz w:val="24"/>
        </w:rPr>
        <w:t>要</w:t>
      </w:r>
      <w:r>
        <w:rPr>
          <w:rFonts w:hint="eastAsia" w:ascii="宋体" w:hAnsi="宋体" w:eastAsia="宋体" w:cs="宋体"/>
          <w:b/>
          <w:bCs/>
          <w:color w:val="auto"/>
          <w:sz w:val="24"/>
          <w:lang w:val="en"/>
        </w:rPr>
        <w:t>求</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lang w:val="en"/>
        </w:rPr>
      </w:pPr>
      <w:r>
        <w:rPr>
          <w:rFonts w:hint="eastAsia" w:ascii="宋体" w:hAnsi="宋体" w:eastAsia="宋体" w:cs="宋体"/>
          <w:color w:val="auto"/>
          <w:szCs w:val="24"/>
          <w:lang w:val="en"/>
        </w:rPr>
        <w:t>1</w:t>
      </w:r>
      <w:r>
        <w:rPr>
          <w:rFonts w:hint="eastAsia" w:ascii="宋体" w:hAnsi="宋体" w:eastAsia="宋体" w:cs="宋体"/>
          <w:color w:val="auto"/>
          <w:szCs w:val="24"/>
        </w:rPr>
        <w:t>.供应商</w:t>
      </w:r>
      <w:r>
        <w:rPr>
          <w:rFonts w:hint="eastAsia" w:ascii="宋体" w:hAnsi="宋体" w:eastAsia="宋体" w:cs="宋体"/>
          <w:color w:val="auto"/>
          <w:szCs w:val="24"/>
          <w:lang w:val="en"/>
        </w:rPr>
        <w:t>需提供所有服务人员的统一着装，并须将员工照片、岗位职责等资料上墙公示。</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lang w:val="en"/>
        </w:rPr>
      </w:pPr>
      <w:r>
        <w:rPr>
          <w:rFonts w:hint="eastAsia" w:ascii="宋体" w:hAnsi="宋体" w:eastAsia="宋体" w:cs="宋体"/>
          <w:color w:val="auto"/>
          <w:szCs w:val="24"/>
        </w:rPr>
        <w:t>2.</w:t>
      </w:r>
      <w:r>
        <w:rPr>
          <w:rFonts w:hint="eastAsia" w:ascii="宋体" w:hAnsi="宋体" w:eastAsia="宋体" w:cs="宋体"/>
          <w:color w:val="auto"/>
          <w:szCs w:val="24"/>
          <w:lang w:val="en"/>
        </w:rPr>
        <w:t>卫生间芳香球、蚊香、消毒液、洁厕剂、垃圾袋、卫生纸、擦手纸、洗手液、</w:t>
      </w:r>
      <w:r>
        <w:rPr>
          <w:rFonts w:hint="eastAsia" w:ascii="宋体" w:hAnsi="宋体" w:eastAsia="宋体" w:cs="宋体"/>
          <w:color w:val="auto"/>
          <w:szCs w:val="24"/>
        </w:rPr>
        <w:t>公共区域</w:t>
      </w:r>
      <w:r>
        <w:rPr>
          <w:rFonts w:hint="eastAsia" w:ascii="宋体" w:hAnsi="宋体" w:eastAsia="宋体" w:cs="宋体"/>
          <w:color w:val="auto"/>
          <w:szCs w:val="24"/>
          <w:lang w:val="en"/>
        </w:rPr>
        <w:t>垃圾袋、日常保洁工具、药剂、垃圾桶等物料和易耗品由哪方提供由采购人与供应商协商确定。</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lang w:val="en"/>
        </w:rPr>
      </w:pPr>
      <w:r>
        <w:rPr>
          <w:rFonts w:hint="eastAsia" w:ascii="宋体" w:hAnsi="宋体" w:eastAsia="宋体" w:cs="宋体"/>
          <w:color w:val="auto"/>
          <w:szCs w:val="24"/>
        </w:rPr>
        <w:t>3</w:t>
      </w:r>
      <w:r>
        <w:rPr>
          <w:rFonts w:hint="eastAsia" w:ascii="宋体" w:hAnsi="宋体" w:eastAsia="宋体" w:cs="宋体"/>
          <w:color w:val="auto"/>
          <w:szCs w:val="24"/>
          <w:lang w:val="en"/>
        </w:rPr>
        <w:t>.服务所需电脑、打印机、文件柜、纸等日常办公用品由供应商视需要自行配置，办公用房由采购人提供。</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lang w:val="en"/>
        </w:rPr>
      </w:pPr>
      <w:r>
        <w:rPr>
          <w:rFonts w:hint="eastAsia" w:ascii="宋体" w:hAnsi="宋体" w:eastAsia="宋体" w:cs="宋体"/>
          <w:color w:val="auto"/>
          <w:szCs w:val="24"/>
        </w:rPr>
        <w:t>4</w:t>
      </w:r>
      <w:r>
        <w:rPr>
          <w:rFonts w:hint="eastAsia" w:ascii="宋体" w:hAnsi="宋体" w:eastAsia="宋体" w:cs="宋体"/>
          <w:color w:val="auto"/>
          <w:szCs w:val="24"/>
          <w:lang w:val="en"/>
        </w:rPr>
        <w:t>.上述情况所产生的费用包含在整体预算费用中，请供应商报价时酌情考虑。</w:t>
      </w:r>
    </w:p>
    <w:p>
      <w:pPr>
        <w:keepNext w:val="0"/>
        <w:keepLines w:val="0"/>
        <w:pageBreakBefore w:val="0"/>
        <w:widowControl w:val="0"/>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（九）管理服务费用及财务管理要求</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lang w:val="en"/>
        </w:rPr>
      </w:pPr>
      <w:r>
        <w:rPr>
          <w:rFonts w:hint="eastAsia" w:ascii="宋体" w:hAnsi="宋体" w:eastAsia="宋体" w:cs="宋体"/>
          <w:color w:val="auto"/>
          <w:szCs w:val="24"/>
          <w:lang w:val="en"/>
        </w:rPr>
        <w:t>1.物业管理服务费用以签订的合同价为准。其中，分项目费用包括</w:t>
      </w:r>
      <w:r>
        <w:rPr>
          <w:rFonts w:hint="eastAsia" w:ascii="宋体" w:hAnsi="宋体" w:eastAsia="宋体" w:cs="宋体"/>
          <w:color w:val="auto"/>
          <w:szCs w:val="24"/>
          <w:lang w:val="zh-CN"/>
        </w:rPr>
        <w:t>采购人本次物业管理服务涉及的单项服务内容</w:t>
      </w:r>
      <w:r>
        <w:rPr>
          <w:rFonts w:hint="eastAsia" w:ascii="宋体" w:hAnsi="宋体" w:eastAsia="宋体" w:cs="宋体"/>
          <w:color w:val="auto"/>
          <w:szCs w:val="24"/>
          <w:lang w:val="en"/>
        </w:rPr>
        <w:t>。</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lang w:val="en"/>
        </w:rPr>
      </w:pPr>
      <w:r>
        <w:rPr>
          <w:rFonts w:hint="eastAsia" w:ascii="宋体" w:hAnsi="宋体" w:eastAsia="宋体" w:cs="宋体"/>
          <w:color w:val="auto"/>
          <w:szCs w:val="24"/>
          <w:lang w:val="en"/>
        </w:rPr>
        <w:t>2.采购人免费提供物业管理的办公场地，但所需用品由供应商自行解决。</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color w:val="auto"/>
          <w:szCs w:val="24"/>
          <w:lang w:val="en"/>
        </w:rPr>
      </w:pPr>
      <w:r>
        <w:rPr>
          <w:rFonts w:hint="eastAsia" w:ascii="宋体" w:hAnsi="宋体" w:eastAsia="宋体" w:cs="宋体"/>
          <w:color w:val="auto"/>
          <w:szCs w:val="24"/>
          <w:lang w:val="en"/>
        </w:rPr>
        <w:t>3.物业管理服务人员缺岗的，按其岗位平均每月人员开支的标准扣除服务费。扣除的费用采购人可用于其他顶岗人员的加班或奖励费用。</w:t>
      </w:r>
    </w:p>
    <w:p>
      <w:pPr>
        <w:pStyle w:val="34"/>
        <w:keepNext w:val="0"/>
        <w:keepLines w:val="0"/>
        <w:pageBreakBefore w:val="0"/>
        <w:kinsoku/>
        <w:wordWrap/>
        <w:overflowPunct/>
        <w:topLinePunct w:val="0"/>
        <w:bidi w:val="0"/>
        <w:adjustRightInd w:val="0"/>
        <w:snapToGrid w:val="0"/>
        <w:spacing w:before="0" w:line="400" w:lineRule="exact"/>
        <w:ind w:firstLine="600" w:firstLineChars="250"/>
        <w:rPr>
          <w:rFonts w:hint="eastAsia" w:ascii="宋体" w:hAnsi="宋体" w:eastAsia="宋体" w:cs="宋体"/>
          <w:b/>
          <w:bCs/>
          <w:color w:val="auto"/>
          <w:szCs w:val="24"/>
        </w:rPr>
      </w:pPr>
      <w:r>
        <w:rPr>
          <w:rFonts w:hint="eastAsia" w:ascii="宋体" w:hAnsi="宋体" w:eastAsia="宋体" w:cs="宋体"/>
          <w:color w:val="auto"/>
          <w:szCs w:val="24"/>
          <w:lang w:val="en"/>
        </w:rPr>
        <w:t xml:space="preserve">4.每月须以书面形式向采购人报告当月物业管理服务各项费用收支情况的财务报表，供采购人审核。  </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r>
        <w:rPr>
          <w:rFonts w:hint="eastAsia" w:hAnsi="宋体" w:cs="宋体"/>
          <w:b/>
          <w:bCs/>
          <w:sz w:val="28"/>
          <w:szCs w:val="28"/>
          <w:lang w:val="en-US" w:eastAsia="zh-CN"/>
        </w:rPr>
        <w:t>四、最高限制单价</w:t>
      </w:r>
    </w:p>
    <w:tbl>
      <w:tblPr>
        <w:tblStyle w:val="24"/>
        <w:tblW w:w="917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3400"/>
        <w:gridCol w:w="5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color w:val="auto"/>
                <w:sz w:val="24"/>
              </w:rPr>
            </w:pPr>
            <w:r>
              <w:rPr>
                <w:rFonts w:hint="eastAsia" w:ascii="宋体" w:hAnsi="宋体" w:eastAsia="宋体" w:cs="宋体"/>
                <w:color w:val="auto"/>
                <w:sz w:val="24"/>
              </w:rPr>
              <w:t>序号</w:t>
            </w:r>
          </w:p>
        </w:tc>
        <w:tc>
          <w:tcPr>
            <w:tcW w:w="3400"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color w:val="auto"/>
                <w:sz w:val="24"/>
              </w:rPr>
            </w:pPr>
            <w:r>
              <w:rPr>
                <w:rFonts w:hint="eastAsia" w:ascii="宋体" w:hAnsi="宋体" w:eastAsia="宋体" w:cs="宋体"/>
                <w:color w:val="auto"/>
                <w:sz w:val="24"/>
              </w:rPr>
              <w:t>报价内容</w:t>
            </w:r>
          </w:p>
        </w:tc>
        <w:tc>
          <w:tcPr>
            <w:tcW w:w="5013"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color w:val="auto"/>
                <w:sz w:val="24"/>
              </w:rPr>
            </w:pPr>
            <w:r>
              <w:rPr>
                <w:rFonts w:hint="eastAsia" w:ascii="宋体" w:hAnsi="宋体" w:eastAsia="宋体" w:cs="宋体"/>
                <w:color w:val="auto"/>
                <w:sz w:val="24"/>
              </w:rPr>
              <w:t>本项目最高限制单价（单位：元/人/年）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b w:val="0"/>
                <w:bCs/>
                <w:color w:val="auto"/>
                <w:sz w:val="24"/>
              </w:rPr>
            </w:pPr>
            <w:r>
              <w:rPr>
                <w:rFonts w:hint="eastAsia" w:ascii="宋体" w:hAnsi="宋体" w:eastAsia="宋体" w:cs="宋体"/>
                <w:b w:val="0"/>
                <w:bCs/>
                <w:color w:val="auto"/>
                <w:sz w:val="24"/>
              </w:rPr>
              <w:t>1</w:t>
            </w:r>
          </w:p>
        </w:tc>
        <w:tc>
          <w:tcPr>
            <w:tcW w:w="3400"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b w:val="0"/>
                <w:bCs/>
                <w:color w:val="auto"/>
                <w:sz w:val="24"/>
              </w:rPr>
            </w:pPr>
            <w:r>
              <w:rPr>
                <w:rFonts w:hint="eastAsia" w:ascii="宋体" w:hAnsi="宋体" w:eastAsia="宋体" w:cs="宋体"/>
                <w:b w:val="0"/>
                <w:bCs/>
                <w:color w:val="auto"/>
                <w:sz w:val="24"/>
              </w:rPr>
              <w:t>房屋维护服务人员</w:t>
            </w:r>
          </w:p>
        </w:tc>
        <w:tc>
          <w:tcPr>
            <w:tcW w:w="5013"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Cs/>
                <w:color w:val="auto"/>
                <w:sz w:val="24"/>
              </w:rPr>
            </w:pPr>
            <w:r>
              <w:rPr>
                <w:rFonts w:hint="eastAsia" w:ascii="宋体" w:hAnsi="宋体" w:eastAsia="宋体" w:cs="宋体"/>
                <w:color w:val="auto"/>
                <w:kern w:val="0"/>
                <w:sz w:val="24"/>
                <w:lang w:bidi="ar"/>
              </w:rPr>
              <w:t>102000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b w:val="0"/>
                <w:bCs/>
                <w:color w:val="auto"/>
                <w:sz w:val="24"/>
              </w:rPr>
            </w:pPr>
            <w:r>
              <w:rPr>
                <w:rFonts w:hint="eastAsia" w:ascii="宋体" w:hAnsi="宋体" w:eastAsia="宋体" w:cs="宋体"/>
                <w:b w:val="0"/>
                <w:bCs/>
                <w:color w:val="auto"/>
                <w:sz w:val="24"/>
              </w:rPr>
              <w:t>2</w:t>
            </w:r>
          </w:p>
        </w:tc>
        <w:tc>
          <w:tcPr>
            <w:tcW w:w="3400"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b w:val="0"/>
                <w:bCs/>
                <w:color w:val="auto"/>
                <w:sz w:val="24"/>
              </w:rPr>
            </w:pPr>
            <w:r>
              <w:rPr>
                <w:rFonts w:hint="eastAsia" w:ascii="宋体" w:hAnsi="宋体" w:eastAsia="宋体" w:cs="宋体"/>
                <w:b w:val="0"/>
                <w:bCs/>
                <w:color w:val="auto"/>
                <w:sz w:val="24"/>
              </w:rPr>
              <w:t>公用设备设施维护服务人员</w:t>
            </w:r>
          </w:p>
        </w:tc>
        <w:tc>
          <w:tcPr>
            <w:tcW w:w="5013"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Cs/>
                <w:color w:val="auto"/>
                <w:sz w:val="24"/>
              </w:rPr>
            </w:pPr>
            <w:r>
              <w:rPr>
                <w:rFonts w:hint="eastAsia" w:ascii="宋体" w:hAnsi="宋体" w:eastAsia="宋体" w:cs="宋体"/>
                <w:color w:val="auto"/>
                <w:kern w:val="0"/>
                <w:sz w:val="24"/>
                <w:lang w:bidi="ar"/>
              </w:rPr>
              <w:t>102000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b w:val="0"/>
                <w:bCs/>
                <w:color w:val="auto"/>
                <w:sz w:val="24"/>
              </w:rPr>
            </w:pPr>
            <w:r>
              <w:rPr>
                <w:rFonts w:hint="eastAsia" w:ascii="宋体" w:hAnsi="宋体" w:eastAsia="宋体" w:cs="宋体"/>
                <w:b w:val="0"/>
                <w:bCs/>
                <w:color w:val="auto"/>
                <w:sz w:val="24"/>
              </w:rPr>
              <w:t>3</w:t>
            </w:r>
          </w:p>
        </w:tc>
        <w:tc>
          <w:tcPr>
            <w:tcW w:w="3400"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b w:val="0"/>
                <w:bCs/>
                <w:color w:val="auto"/>
                <w:sz w:val="24"/>
              </w:rPr>
            </w:pPr>
            <w:r>
              <w:rPr>
                <w:rFonts w:hint="eastAsia" w:ascii="宋体" w:hAnsi="宋体" w:eastAsia="宋体" w:cs="宋体"/>
                <w:b w:val="0"/>
                <w:bCs/>
                <w:color w:val="auto"/>
                <w:sz w:val="24"/>
              </w:rPr>
              <w:t>保洁服务人员</w:t>
            </w:r>
          </w:p>
        </w:tc>
        <w:tc>
          <w:tcPr>
            <w:tcW w:w="5013"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Cs/>
                <w:color w:val="auto"/>
                <w:sz w:val="24"/>
              </w:rPr>
            </w:pPr>
            <w:r>
              <w:rPr>
                <w:rFonts w:hint="eastAsia" w:ascii="宋体" w:hAnsi="宋体" w:eastAsia="宋体" w:cs="宋体"/>
                <w:color w:val="auto"/>
                <w:kern w:val="0"/>
                <w:sz w:val="24"/>
                <w:lang w:bidi="ar"/>
              </w:rPr>
              <w:t>57600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b w:val="0"/>
                <w:bCs/>
                <w:color w:val="auto"/>
                <w:sz w:val="24"/>
              </w:rPr>
            </w:pPr>
            <w:r>
              <w:rPr>
                <w:rFonts w:hint="eastAsia" w:ascii="宋体" w:hAnsi="宋体" w:eastAsia="宋体" w:cs="宋体"/>
                <w:b w:val="0"/>
                <w:bCs/>
                <w:color w:val="auto"/>
                <w:sz w:val="24"/>
              </w:rPr>
              <w:t>4</w:t>
            </w:r>
          </w:p>
        </w:tc>
        <w:tc>
          <w:tcPr>
            <w:tcW w:w="3400"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b w:val="0"/>
                <w:bCs/>
                <w:color w:val="auto"/>
                <w:sz w:val="24"/>
              </w:rPr>
            </w:pPr>
            <w:r>
              <w:rPr>
                <w:rFonts w:hint="eastAsia" w:ascii="宋体" w:hAnsi="宋体" w:eastAsia="宋体" w:cs="宋体"/>
                <w:b w:val="0"/>
                <w:bCs/>
                <w:color w:val="auto"/>
                <w:sz w:val="24"/>
              </w:rPr>
              <w:t>保安服务人员</w:t>
            </w:r>
          </w:p>
        </w:tc>
        <w:tc>
          <w:tcPr>
            <w:tcW w:w="5013"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Cs/>
                <w:color w:val="auto"/>
                <w:sz w:val="24"/>
              </w:rPr>
            </w:pPr>
            <w:r>
              <w:rPr>
                <w:rFonts w:hint="eastAsia" w:ascii="宋体" w:hAnsi="宋体" w:eastAsia="宋体" w:cs="宋体"/>
                <w:color w:val="auto"/>
                <w:kern w:val="0"/>
                <w:sz w:val="24"/>
                <w:lang w:bidi="ar"/>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b w:val="0"/>
                <w:bCs/>
                <w:color w:val="auto"/>
                <w:sz w:val="24"/>
              </w:rPr>
            </w:pPr>
            <w:r>
              <w:rPr>
                <w:rFonts w:hint="eastAsia" w:ascii="宋体" w:hAnsi="宋体" w:eastAsia="宋体" w:cs="宋体"/>
                <w:b w:val="0"/>
                <w:bCs/>
                <w:color w:val="auto"/>
                <w:sz w:val="24"/>
              </w:rPr>
              <w:t>5</w:t>
            </w:r>
          </w:p>
        </w:tc>
        <w:tc>
          <w:tcPr>
            <w:tcW w:w="3400"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Cs/>
                <w:color w:val="auto"/>
                <w:sz w:val="24"/>
              </w:rPr>
            </w:pPr>
            <w:r>
              <w:rPr>
                <w:rFonts w:hint="eastAsia" w:ascii="宋体" w:hAnsi="宋体" w:eastAsia="宋体" w:cs="宋体"/>
                <w:color w:val="auto"/>
                <w:kern w:val="0"/>
                <w:sz w:val="24"/>
                <w:szCs w:val="24"/>
                <w:lang w:bidi="ar"/>
              </w:rPr>
              <w:t>消控人员</w:t>
            </w:r>
          </w:p>
        </w:tc>
        <w:tc>
          <w:tcPr>
            <w:tcW w:w="5013"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Cs/>
                <w:color w:val="auto"/>
                <w:sz w:val="24"/>
              </w:rPr>
            </w:pPr>
            <w:r>
              <w:rPr>
                <w:rFonts w:hint="eastAsia" w:ascii="宋体" w:hAnsi="宋体" w:eastAsia="宋体" w:cs="宋体"/>
                <w:color w:val="auto"/>
                <w:kern w:val="0"/>
                <w:sz w:val="24"/>
                <w:lang w:bidi="ar"/>
              </w:rPr>
              <w:t>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b w:val="0"/>
                <w:bCs/>
                <w:color w:val="auto"/>
                <w:sz w:val="24"/>
              </w:rPr>
            </w:pPr>
            <w:r>
              <w:rPr>
                <w:rFonts w:hint="eastAsia" w:ascii="宋体" w:hAnsi="宋体" w:eastAsia="宋体" w:cs="宋体"/>
                <w:b w:val="0"/>
                <w:bCs/>
                <w:color w:val="auto"/>
                <w:sz w:val="24"/>
              </w:rPr>
              <w:t>6</w:t>
            </w:r>
          </w:p>
        </w:tc>
        <w:tc>
          <w:tcPr>
            <w:tcW w:w="3400"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b w:val="0"/>
                <w:bCs/>
                <w:color w:val="auto"/>
                <w:sz w:val="24"/>
              </w:rPr>
            </w:pPr>
            <w:r>
              <w:rPr>
                <w:rFonts w:hint="eastAsia" w:ascii="宋体" w:hAnsi="宋体" w:eastAsia="宋体" w:cs="宋体"/>
                <w:b w:val="0"/>
                <w:bCs/>
                <w:color w:val="auto"/>
                <w:sz w:val="24"/>
              </w:rPr>
              <w:t>绿化服务人员</w:t>
            </w:r>
          </w:p>
        </w:tc>
        <w:tc>
          <w:tcPr>
            <w:tcW w:w="5013"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Cs/>
                <w:color w:val="auto"/>
                <w:sz w:val="24"/>
              </w:rPr>
            </w:pPr>
            <w:r>
              <w:rPr>
                <w:rFonts w:hint="eastAsia" w:ascii="宋体" w:hAnsi="宋体" w:eastAsia="宋体" w:cs="宋体"/>
                <w:color w:val="auto"/>
                <w:kern w:val="0"/>
                <w:sz w:val="24"/>
                <w:lang w:bidi="ar"/>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b w:val="0"/>
                <w:bCs/>
                <w:color w:val="auto"/>
                <w:sz w:val="24"/>
              </w:rPr>
            </w:pPr>
            <w:r>
              <w:rPr>
                <w:rFonts w:hint="eastAsia" w:ascii="宋体" w:hAnsi="宋体" w:eastAsia="宋体" w:cs="宋体"/>
                <w:b w:val="0"/>
                <w:bCs/>
                <w:color w:val="auto"/>
                <w:sz w:val="24"/>
              </w:rPr>
              <w:t>7</w:t>
            </w:r>
          </w:p>
        </w:tc>
        <w:tc>
          <w:tcPr>
            <w:tcW w:w="3400"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b w:val="0"/>
                <w:bCs/>
                <w:color w:val="auto"/>
                <w:sz w:val="24"/>
              </w:rPr>
            </w:pPr>
            <w:r>
              <w:rPr>
                <w:rFonts w:hint="eastAsia" w:ascii="宋体" w:hAnsi="宋体" w:eastAsia="宋体" w:cs="宋体"/>
                <w:b w:val="0"/>
                <w:bCs/>
                <w:color w:val="auto"/>
                <w:sz w:val="24"/>
              </w:rPr>
              <w:t>会议服务人员</w:t>
            </w:r>
          </w:p>
        </w:tc>
        <w:tc>
          <w:tcPr>
            <w:tcW w:w="5013"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Cs/>
                <w:color w:val="auto"/>
                <w:sz w:val="24"/>
              </w:rPr>
            </w:pPr>
            <w:r>
              <w:rPr>
                <w:rFonts w:hint="eastAsia" w:ascii="宋体" w:hAnsi="宋体" w:eastAsia="宋体" w:cs="宋体"/>
                <w:color w:val="auto"/>
                <w:kern w:val="0"/>
                <w:sz w:val="24"/>
                <w:lang w:bidi="ar"/>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noWrap w:val="0"/>
            <w:vAlign w:val="center"/>
          </w:tcPr>
          <w:p>
            <w:pPr>
              <w:pStyle w:val="31"/>
              <w:keepNext w:val="0"/>
              <w:keepLines w:val="0"/>
              <w:pageBreakBefore w:val="0"/>
              <w:kinsoku/>
              <w:wordWrap/>
              <w:overflowPunct/>
              <w:topLinePunct w:val="0"/>
              <w:bidi w:val="0"/>
              <w:spacing w:before="0" w:after="0" w:line="400" w:lineRule="exact"/>
              <w:rPr>
                <w:rFonts w:hint="eastAsia" w:ascii="宋体" w:hAnsi="宋体" w:eastAsia="宋体" w:cs="宋体"/>
                <w:b w:val="0"/>
                <w:bCs/>
                <w:color w:val="auto"/>
                <w:sz w:val="24"/>
              </w:rPr>
            </w:pPr>
            <w:r>
              <w:rPr>
                <w:rFonts w:hint="eastAsia" w:ascii="宋体" w:hAnsi="宋体" w:eastAsia="宋体" w:cs="宋体"/>
                <w:b w:val="0"/>
                <w:bCs/>
                <w:color w:val="auto"/>
                <w:sz w:val="24"/>
              </w:rPr>
              <w:t>8</w:t>
            </w:r>
          </w:p>
        </w:tc>
        <w:tc>
          <w:tcPr>
            <w:tcW w:w="3400"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Cs/>
                <w:color w:val="auto"/>
                <w:sz w:val="24"/>
              </w:rPr>
            </w:pPr>
            <w:r>
              <w:rPr>
                <w:rFonts w:hint="eastAsia" w:ascii="宋体" w:hAnsi="宋体" w:eastAsia="宋体" w:cs="宋体"/>
                <w:color w:val="auto"/>
                <w:kern w:val="0"/>
                <w:sz w:val="24"/>
                <w:szCs w:val="24"/>
                <w:lang w:bidi="ar"/>
              </w:rPr>
              <w:t>项目管理人员</w:t>
            </w:r>
          </w:p>
        </w:tc>
        <w:tc>
          <w:tcPr>
            <w:tcW w:w="5013"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bCs/>
                <w:color w:val="auto"/>
                <w:sz w:val="24"/>
              </w:rPr>
            </w:pPr>
            <w:r>
              <w:rPr>
                <w:rFonts w:hint="eastAsia" w:ascii="宋体" w:hAnsi="宋体" w:eastAsia="宋体" w:cs="宋体"/>
                <w:color w:val="auto"/>
                <w:kern w:val="0"/>
                <w:sz w:val="24"/>
                <w:lang w:bidi="ar"/>
              </w:rPr>
              <w:t>90000</w:t>
            </w:r>
          </w:p>
        </w:tc>
      </w:tr>
    </w:tbl>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lang w:val="en" w:eastAsia="zh-CN"/>
        </w:rPr>
      </w:pPr>
      <w:r>
        <w:rPr>
          <w:rFonts w:hint="eastAsia" w:ascii="宋体" w:hAnsi="宋体" w:eastAsia="宋体" w:cs="宋体"/>
          <w:color w:val="auto"/>
          <w:szCs w:val="24"/>
          <w:lang w:val="en-US" w:eastAsia="zh-CN"/>
        </w:rPr>
        <w:t>报价要求</w:t>
      </w:r>
      <w:r>
        <w:rPr>
          <w:rFonts w:hint="eastAsia" w:ascii="宋体" w:hAnsi="宋体" w:eastAsia="宋体" w:cs="宋体"/>
          <w:color w:val="auto"/>
          <w:szCs w:val="24"/>
          <w:lang w:val="en" w:eastAsia="zh-CN"/>
        </w:rPr>
        <w:t>:</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1.报价包括提供本项目服务所需的一切人员工资、奖金、夜餐费、社会保险、食宿与交通、高温补偿费、设备器材、消耗材料、服装、安全、仓储、运输、维修、管理费用、税费、利润等完成服务的所有含税费用。</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2.供应商第一阶段报价不得高于此最高限制单价，高于此最高限制单价的将被审核为不通过；</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供应商第一阶段报价是第二阶段报价的最高限价，采购人可与入围供应商在不高于第一阶段报价和不高于海盐县财政部门规定的价格标准（即采购单位预算）的基础上进行议价，按就低的原则商定第二阶段服务价格。</w:t>
      </w:r>
    </w:p>
    <w:bookmarkEnd w:id="0"/>
    <w:bookmarkEnd w:id="1"/>
    <w:bookmarkEnd w:id="2"/>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r>
        <w:rPr>
          <w:rFonts w:hint="eastAsia" w:hAnsi="宋体" w:cs="宋体"/>
          <w:b/>
          <w:bCs/>
          <w:sz w:val="28"/>
          <w:szCs w:val="28"/>
          <w:lang w:val="en-US" w:eastAsia="zh-CN"/>
        </w:rPr>
        <w:t>五、框架协议的期限：</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2025年3月1日起至2027年2月28日止。</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r>
        <w:rPr>
          <w:rFonts w:hint="eastAsia" w:hAnsi="宋体" w:cs="宋体"/>
          <w:b/>
          <w:bCs/>
          <w:sz w:val="28"/>
          <w:szCs w:val="28"/>
          <w:lang w:val="en-US" w:eastAsia="zh-CN"/>
        </w:rPr>
        <w:t>六、服务对象范围：</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lang w:val="en-US" w:eastAsia="zh-CN"/>
        </w:rPr>
      </w:pPr>
      <w:r>
        <w:rPr>
          <w:rFonts w:hint="eastAsia" w:ascii="宋体" w:hAnsi="宋体" w:cs="宋体"/>
          <w:color w:val="auto"/>
          <w:szCs w:val="24"/>
          <w:lang w:val="en-US" w:eastAsia="zh-CN"/>
        </w:rPr>
        <w:t>海盐县</w:t>
      </w:r>
      <w:r>
        <w:rPr>
          <w:rFonts w:hint="eastAsia" w:ascii="宋体" w:hAnsi="宋体" w:eastAsia="宋体" w:cs="宋体"/>
          <w:color w:val="auto"/>
          <w:szCs w:val="24"/>
          <w:lang w:val="en-US" w:eastAsia="zh-CN"/>
        </w:rPr>
        <w:t>国家机关、事业单位和团体组织。</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r>
        <w:rPr>
          <w:rFonts w:hint="eastAsia" w:hAnsi="宋体" w:cs="宋体"/>
          <w:b/>
          <w:bCs/>
          <w:sz w:val="28"/>
          <w:szCs w:val="28"/>
          <w:lang w:val="en-US" w:eastAsia="zh-CN"/>
        </w:rPr>
        <w:t>七、供应商应具备的资格要求</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cs="宋体"/>
          <w:color w:val="auto"/>
          <w:szCs w:val="24"/>
          <w:lang w:val="en-US" w:eastAsia="zh-CN"/>
        </w:rPr>
      </w:pPr>
      <w:r>
        <w:rPr>
          <w:rFonts w:hint="eastAsia" w:ascii="宋体" w:hAnsi="宋体" w:eastAsia="宋体" w:cs="宋体"/>
          <w:color w:val="auto"/>
          <w:szCs w:val="24"/>
          <w:lang w:val="en" w:eastAsia="zh-CN"/>
        </w:rPr>
        <w:t>1</w:t>
      </w:r>
      <w:r>
        <w:rPr>
          <w:rFonts w:hint="eastAsia" w:ascii="宋体" w:hAnsi="宋体" w:eastAsia="宋体" w:cs="宋体"/>
          <w:color w:val="auto"/>
          <w:szCs w:val="24"/>
          <w:lang w:val="en-US" w:eastAsia="zh-CN"/>
        </w:rPr>
        <w:t>.</w:t>
      </w:r>
      <w:r>
        <w:rPr>
          <w:rFonts w:hint="eastAsia" w:ascii="宋体" w:hAnsi="宋体" w:eastAsia="宋体" w:cs="宋体"/>
          <w:color w:val="auto"/>
          <w:szCs w:val="24"/>
          <w:lang w:val="en" w:eastAsia="zh-CN"/>
        </w:rPr>
        <w:t>满足《中华人民共和国政府采购法》第二十二条规定</w:t>
      </w:r>
      <w:r>
        <w:rPr>
          <w:rFonts w:hint="eastAsia" w:ascii="宋体" w:hAnsi="宋体" w:cs="宋体"/>
          <w:color w:val="auto"/>
          <w:szCs w:val="24"/>
          <w:lang w:val="en-US" w:eastAsia="zh-CN"/>
        </w:rPr>
        <w:t>;</w:t>
      </w:r>
    </w:p>
    <w:p>
      <w:pPr>
        <w:pStyle w:val="22"/>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firstLine="48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具有独立承担民事责任的能力；</w:t>
      </w:r>
    </w:p>
    <w:p>
      <w:pPr>
        <w:pStyle w:val="22"/>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具有良好的商业信誉和健全的财务会计制度；</w:t>
      </w:r>
    </w:p>
    <w:p>
      <w:pPr>
        <w:pStyle w:val="22"/>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具有履行合同所必需的设备和专业技术能力；</w:t>
      </w:r>
    </w:p>
    <w:p>
      <w:pPr>
        <w:pStyle w:val="22"/>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有依法缴纳税收和社会保障资金的良好记录；</w:t>
      </w:r>
    </w:p>
    <w:p>
      <w:pPr>
        <w:pStyle w:val="22"/>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参加政府采购活动前三年，在经营活动中没有重大违法记录；</w:t>
      </w:r>
    </w:p>
    <w:p>
      <w:pPr>
        <w:pStyle w:val="22"/>
        <w:keepNext w:val="0"/>
        <w:keepLines w:val="0"/>
        <w:pageBreakBefore w:val="0"/>
        <w:widowControl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法律、行政法规规定的其他条件</w:t>
      </w:r>
      <w:r>
        <w:rPr>
          <w:rFonts w:hint="eastAsia" w:ascii="宋体" w:hAnsi="宋体" w:eastAsia="宋体" w:cs="宋体"/>
          <w:color w:val="auto"/>
          <w:szCs w:val="21"/>
          <w:highlight w:val="none"/>
          <w:lang w:eastAsia="zh-CN"/>
        </w:rPr>
        <w:t>。</w:t>
      </w:r>
    </w:p>
    <w:p>
      <w:pPr>
        <w:pStyle w:val="22"/>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topLinePunct w:val="0"/>
        <w:bidi w:val="0"/>
        <w:adjustRightInd/>
        <w:snapToGrid/>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Cs w:val="24"/>
          <w:lang w:val="en-US" w:eastAsia="zh-CN"/>
        </w:rPr>
        <w:t>3</w:t>
      </w:r>
      <w:r>
        <w:rPr>
          <w:rFonts w:hint="eastAsia" w:ascii="宋体" w:hAnsi="宋体" w:eastAsia="宋体" w:cs="宋体"/>
          <w:color w:val="auto"/>
          <w:szCs w:val="24"/>
          <w:lang w:val="en-US" w:eastAsia="zh-CN"/>
        </w:rPr>
        <w:t>.</w:t>
      </w:r>
      <w:r>
        <w:rPr>
          <w:rFonts w:hint="eastAsia" w:ascii="宋体" w:hAnsi="宋体" w:eastAsia="宋体" w:cs="宋体"/>
          <w:color w:val="auto"/>
          <w:kern w:val="0"/>
          <w:sz w:val="24"/>
          <w:szCs w:val="24"/>
          <w:highlight w:val="none"/>
          <w:lang w:val="en-US" w:eastAsia="zh-CN" w:bidi="ar-SA"/>
        </w:rPr>
        <w:t>落实</w:t>
      </w:r>
      <w:r>
        <w:rPr>
          <w:rFonts w:hint="eastAsia" w:ascii="宋体" w:hAnsi="宋体" w:eastAsia="宋体" w:cs="宋体"/>
          <w:color w:val="auto"/>
          <w:sz w:val="24"/>
          <w:szCs w:val="24"/>
          <w:highlight w:val="none"/>
          <w:lang w:eastAsia="zh-CN"/>
        </w:rPr>
        <w:t>政府采购政策需满足的资格要求：</w:t>
      </w:r>
      <w:r>
        <w:rPr>
          <w:rFonts w:hint="eastAsia" w:ascii="宋体" w:hAnsi="宋体" w:cs="宋体"/>
          <w:color w:val="auto"/>
          <w:sz w:val="24"/>
          <w:szCs w:val="24"/>
          <w:highlight w:val="none"/>
          <w:lang w:val="en-US" w:eastAsia="zh-CN"/>
        </w:rPr>
        <w:t>无。</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lang w:val="en" w:eastAsia="zh-CN"/>
        </w:rPr>
      </w:pPr>
      <w:r>
        <w:rPr>
          <w:rFonts w:hint="eastAsia" w:ascii="宋体" w:hAnsi="宋体" w:cs="宋体"/>
          <w:color w:val="auto"/>
          <w:szCs w:val="24"/>
          <w:lang w:val="en-US" w:eastAsia="zh-CN"/>
        </w:rPr>
        <w:t>4</w:t>
      </w:r>
      <w:r>
        <w:rPr>
          <w:rFonts w:hint="eastAsia" w:ascii="宋体" w:hAnsi="宋体" w:eastAsia="宋体" w:cs="宋体"/>
          <w:color w:val="auto"/>
          <w:szCs w:val="24"/>
          <w:lang w:val="en-US" w:eastAsia="zh-CN"/>
        </w:rPr>
        <w:t>.</w:t>
      </w:r>
      <w:r>
        <w:rPr>
          <w:rFonts w:hint="eastAsia" w:ascii="宋体" w:hAnsi="宋体" w:eastAsia="宋体" w:cs="宋体"/>
          <w:color w:val="auto"/>
          <w:szCs w:val="24"/>
          <w:lang w:val="en" w:eastAsia="zh-CN"/>
        </w:rPr>
        <w:t>本项目的特定资格要求：</w:t>
      </w:r>
      <w:r>
        <w:rPr>
          <w:rFonts w:hint="eastAsia" w:ascii="宋体" w:hAnsi="宋体" w:cs="宋体"/>
          <w:color w:val="auto"/>
          <w:szCs w:val="24"/>
          <w:lang w:val="en-US" w:eastAsia="zh-CN"/>
        </w:rPr>
        <w:t>无</w:t>
      </w:r>
      <w:r>
        <w:rPr>
          <w:rFonts w:hint="eastAsia" w:ascii="宋体" w:hAnsi="宋体" w:eastAsia="宋体" w:cs="宋体"/>
          <w:color w:val="auto"/>
          <w:szCs w:val="24"/>
          <w:lang w:val="en" w:eastAsia="zh-CN"/>
        </w:rPr>
        <w:t>。</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lang w:val="en-US" w:eastAsia="zh-CN"/>
        </w:rPr>
      </w:pPr>
      <w:r>
        <w:rPr>
          <w:rFonts w:hint="eastAsia" w:ascii="宋体" w:hAnsi="宋体" w:cs="宋体"/>
          <w:color w:val="auto"/>
          <w:szCs w:val="24"/>
          <w:lang w:val="en-US" w:eastAsia="zh-CN"/>
        </w:rPr>
        <w:t>5</w:t>
      </w:r>
      <w:r>
        <w:rPr>
          <w:rFonts w:hint="eastAsia" w:ascii="宋体" w:hAnsi="宋体" w:eastAsia="宋体" w:cs="宋体"/>
          <w:color w:val="auto"/>
          <w:szCs w:val="24"/>
          <w:lang w:val="en-US" w:eastAsia="zh-CN"/>
        </w:rPr>
        <w:t>.</w:t>
      </w:r>
      <w:r>
        <w:rPr>
          <w:rFonts w:hint="eastAsia" w:ascii="宋体" w:hAnsi="宋体" w:eastAsia="宋体" w:cs="宋体"/>
          <w:sz w:val="24"/>
          <w:lang w:val="en-US" w:eastAsia="zh-CN"/>
        </w:rPr>
        <w:t>本项目不接受联合体</w:t>
      </w:r>
      <w:r>
        <w:rPr>
          <w:rFonts w:hint="eastAsia" w:ascii="宋体" w:hAnsi="宋体" w:cs="宋体"/>
          <w:sz w:val="24"/>
          <w:lang w:val="en-US" w:eastAsia="zh-CN"/>
        </w:rPr>
        <w:t>申请。</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lang w:val="en" w:eastAsia="zh-CN"/>
        </w:rPr>
      </w:pPr>
      <w:r>
        <w:rPr>
          <w:rFonts w:hint="eastAsia" w:ascii="宋体" w:hAnsi="宋体" w:eastAsia="宋体" w:cs="宋体"/>
          <w:color w:val="auto"/>
          <w:szCs w:val="24"/>
          <w:lang w:val="en-US" w:eastAsia="zh-CN"/>
        </w:rPr>
        <w:t>6.</w:t>
      </w:r>
      <w:r>
        <w:rPr>
          <w:rFonts w:hint="eastAsia" w:ascii="宋体" w:hAnsi="宋体" w:eastAsia="宋体" w:cs="宋体"/>
          <w:color w:val="auto"/>
          <w:szCs w:val="24"/>
          <w:lang w:val="en" w:eastAsia="zh-CN"/>
        </w:rPr>
        <w:t>本项目不允许转包，本项目</w:t>
      </w:r>
      <w:r>
        <w:rPr>
          <w:rFonts w:hint="eastAsia" w:ascii="宋体" w:hAnsi="宋体" w:eastAsia="宋体" w:cs="宋体"/>
          <w:color w:val="auto"/>
          <w:szCs w:val="24"/>
          <w:lang w:val="en-US" w:eastAsia="zh-CN"/>
        </w:rPr>
        <w:t>不</w:t>
      </w:r>
      <w:r>
        <w:rPr>
          <w:rFonts w:hint="eastAsia" w:ascii="宋体" w:hAnsi="宋体" w:eastAsia="宋体" w:cs="宋体"/>
          <w:color w:val="auto"/>
          <w:szCs w:val="24"/>
          <w:lang w:val="en" w:eastAsia="zh-CN"/>
        </w:rPr>
        <w:t>允许分包。</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lang w:val="en" w:eastAsia="zh-CN"/>
        </w:rPr>
      </w:pPr>
      <w:r>
        <w:rPr>
          <w:rFonts w:hint="eastAsia" w:ascii="宋体" w:hAnsi="宋体" w:eastAsia="宋体" w:cs="宋体"/>
          <w:color w:val="auto"/>
          <w:szCs w:val="24"/>
          <w:lang w:val="en-US" w:eastAsia="zh-CN"/>
        </w:rPr>
        <w:t>7.</w:t>
      </w:r>
      <w:r>
        <w:rPr>
          <w:rFonts w:hint="eastAsia" w:ascii="宋体" w:hAnsi="宋体" w:eastAsia="宋体" w:cs="宋体"/>
          <w:color w:val="auto"/>
          <w:szCs w:val="24"/>
          <w:lang w:val="en" w:eastAsia="zh-CN"/>
        </w:rPr>
        <w:t>本项目不接受分公司（分支机构）直接申请。</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lang w:val="en" w:eastAsia="zh-CN"/>
        </w:rPr>
      </w:pPr>
      <w:r>
        <w:rPr>
          <w:rFonts w:hint="eastAsia" w:ascii="宋体" w:hAnsi="宋体" w:eastAsia="宋体" w:cs="宋体"/>
          <w:color w:val="auto"/>
          <w:szCs w:val="24"/>
          <w:lang w:val="en-US" w:eastAsia="zh-CN"/>
        </w:rPr>
        <w:t>8.</w:t>
      </w:r>
      <w:r>
        <w:rPr>
          <w:rFonts w:hint="eastAsia" w:ascii="宋体" w:hAnsi="宋体" w:eastAsia="宋体" w:cs="宋体"/>
          <w:color w:val="auto"/>
          <w:szCs w:val="24"/>
          <w:lang w:val="en" w:eastAsia="zh-CN"/>
        </w:rPr>
        <w:t>根据有关规定，不得从事经营活动并取得经营收入的公益一类事业单位、使用事业编制且由财政拨款保障的群团组织不作为本次征集供应商。</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r>
        <w:rPr>
          <w:rFonts w:hint="eastAsia" w:hAnsi="宋体" w:cs="宋体"/>
          <w:b/>
          <w:bCs/>
          <w:sz w:val="28"/>
          <w:szCs w:val="28"/>
          <w:lang w:val="en-US" w:eastAsia="zh-CN"/>
        </w:rPr>
        <w:t>八、供应商申请流程</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u w:val="single"/>
          <w:lang w:val="en" w:eastAsia="zh-CN"/>
        </w:rPr>
      </w:pPr>
      <w:r>
        <w:rPr>
          <w:rFonts w:hint="eastAsia" w:ascii="宋体" w:hAnsi="宋体" w:eastAsia="宋体" w:cs="宋体"/>
          <w:color w:val="auto"/>
          <w:szCs w:val="24"/>
          <w:lang w:val="en" w:eastAsia="zh-CN"/>
        </w:rPr>
        <w:t>1.供应商申请截止时间：</w:t>
      </w:r>
      <w:r>
        <w:rPr>
          <w:rFonts w:hint="eastAsia" w:ascii="宋体" w:hAnsi="宋体" w:eastAsia="宋体" w:cs="宋体"/>
          <w:color w:val="auto"/>
          <w:szCs w:val="24"/>
          <w:u w:val="single"/>
          <w:lang w:val="en" w:eastAsia="zh-CN"/>
        </w:rPr>
        <w:t>2027年2月28日17时</w:t>
      </w:r>
      <w:r>
        <w:rPr>
          <w:rFonts w:hint="eastAsia" w:ascii="宋体" w:hAnsi="宋体" w:cs="宋体"/>
          <w:color w:val="auto"/>
          <w:szCs w:val="24"/>
          <w:u w:val="single"/>
          <w:lang w:val="en-US" w:eastAsia="zh-CN"/>
        </w:rPr>
        <w:t>0</w:t>
      </w:r>
      <w:r>
        <w:rPr>
          <w:rFonts w:hint="eastAsia" w:ascii="宋体" w:hAnsi="宋体" w:eastAsia="宋体" w:cs="宋体"/>
          <w:color w:val="auto"/>
          <w:szCs w:val="24"/>
          <w:u w:val="single"/>
          <w:lang w:val="en" w:eastAsia="zh-CN"/>
        </w:rPr>
        <w:t>0分00秒</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lang w:val="en" w:eastAsia="zh-CN"/>
        </w:rPr>
      </w:pPr>
      <w:r>
        <w:rPr>
          <w:rFonts w:hint="eastAsia" w:ascii="宋体" w:hAnsi="宋体" w:eastAsia="宋体" w:cs="宋体"/>
          <w:color w:val="auto"/>
          <w:szCs w:val="24"/>
          <w:lang w:val="en" w:eastAsia="zh-CN"/>
        </w:rPr>
        <w:t>2.供应商申请地点：政采云平台（https://www.zcygov.cn/）</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lang w:val="en" w:eastAsia="zh-CN"/>
        </w:rPr>
      </w:pPr>
      <w:r>
        <w:rPr>
          <w:rFonts w:hint="eastAsia" w:ascii="宋体" w:hAnsi="宋体" w:eastAsia="宋体" w:cs="宋体"/>
          <w:color w:val="auto"/>
          <w:szCs w:val="24"/>
          <w:lang w:val="en" w:eastAsia="zh-CN"/>
        </w:rPr>
        <w:t>（https://agreement.zcygov.cn/trading-agreement-index/signup/online?industryCode=KJXY&amp;utm=a0017.b3617.6.2.ff67af00850111edb25c73ee9de1b7f5，搜索对应项目，点击“立即参与”）在线申请，不接受除此以外的其他渠道的申请。</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lang w:val="en" w:eastAsia="zh-CN"/>
        </w:rPr>
      </w:pPr>
      <w:r>
        <w:rPr>
          <w:rFonts w:hint="eastAsia" w:ascii="宋体" w:hAnsi="宋体" w:eastAsia="宋体" w:cs="宋体"/>
          <w:color w:val="auto"/>
          <w:szCs w:val="24"/>
          <w:lang w:val="en" w:eastAsia="zh-CN"/>
        </w:rPr>
        <w:t>注：申请前先在浙江政府采购网（http://zfcg.czt.zj.gov.cn/）注册入库成为正式供应商，若已入库供应商有企业相关信息变化的，应当更新信息。（具体详见“浙江政府采购网——用户入驻/登录——用户注册——供应商登记”）。</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lang w:val="en" w:eastAsia="zh-CN"/>
        </w:rPr>
      </w:pPr>
      <w:r>
        <w:rPr>
          <w:rFonts w:hint="eastAsia" w:ascii="宋体" w:hAnsi="宋体" w:eastAsia="宋体" w:cs="宋体"/>
          <w:color w:val="auto"/>
          <w:szCs w:val="24"/>
          <w:lang w:val="en" w:eastAsia="zh-CN"/>
        </w:rPr>
        <w:t xml:space="preserve">3.供应商在线申请时按系统提示进行操作，如实填写相关信息，并提交申请资料。（申请资料的编制格式及规范要求和操作手册详见附件）若对系统操作有疑问，可登录政采云（https://www.zcygov.cn/），点击右侧咨询小采，获取采小蜜智能服务管家帮助，或拨打政采云服务热线95763获取热线服务帮助。 </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auto"/>
          <w:szCs w:val="24"/>
          <w:lang w:val="en-US" w:eastAsia="zh-CN"/>
        </w:rPr>
      </w:pPr>
      <w:r>
        <w:rPr>
          <w:rFonts w:hint="eastAsia" w:ascii="宋体" w:hAnsi="宋体" w:eastAsia="宋体" w:cs="宋体"/>
          <w:color w:val="auto"/>
          <w:szCs w:val="24"/>
          <w:lang w:val="en" w:eastAsia="zh-CN"/>
        </w:rPr>
        <w:t>4.供应商登录政采云系统，填写公司介绍、服务内容、服务标准和报价承诺等信息，经征集人审核后以上信息将在政采云平台框架协议模块中展示。</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textAlignment w:val="auto"/>
        <w:rPr>
          <w:rFonts w:hint="eastAsia" w:hAnsi="宋体" w:cs="宋体"/>
          <w:b/>
          <w:bCs/>
          <w:sz w:val="28"/>
          <w:szCs w:val="28"/>
          <w:lang w:val="en-US" w:eastAsia="zh-CN"/>
        </w:rPr>
      </w:pPr>
      <w:r>
        <w:rPr>
          <w:rFonts w:hint="eastAsia" w:hAnsi="宋体" w:cs="宋体"/>
          <w:b/>
          <w:bCs/>
          <w:sz w:val="28"/>
          <w:szCs w:val="28"/>
          <w:lang w:val="en-US" w:eastAsia="zh-CN"/>
        </w:rPr>
        <w:t xml:space="preserve">  九、资格和符合性审核方法和标准</w:t>
      </w:r>
    </w:p>
    <w:p>
      <w:pPr>
        <w:pStyle w:val="2"/>
        <w:keepNext w:val="0"/>
        <w:keepLines w:val="0"/>
        <w:pageBreakBefore w:val="0"/>
        <w:kinsoku/>
        <w:wordWrap/>
        <w:overflowPunct/>
        <w:topLinePunct w:val="0"/>
        <w:autoSpaceDE/>
        <w:autoSpaceDN/>
        <w:bidi w:val="0"/>
        <w:adjustRightInd/>
        <w:snapToGrid/>
        <w:spacing w:before="157" w:beforeLines="50" w:after="0" w:line="400" w:lineRule="exact"/>
        <w:ind w:left="0" w:leftChars="0" w:right="0" w:rightChars="0" w:firstLine="466" w:firstLineChars="200"/>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（一）审核原则</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1.审核方式：征集人负责对供应商提交的申请资料在7个工作日内进行在线审核。</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2.申请资料符合本项目征集文件要求的，予以审核通过。</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3.申请资料不符合本项目征集通知要求的，征集人将驳回申请并告知理由，供应商可在申请截止时间前补正材料并重新提交，若未在规定的时间内进行补正提交的，视为审核不通过。</w:t>
      </w:r>
    </w:p>
    <w:p>
      <w:pPr>
        <w:pStyle w:val="2"/>
        <w:keepNext w:val="0"/>
        <w:keepLines w:val="0"/>
        <w:pageBreakBefore w:val="0"/>
        <w:kinsoku/>
        <w:wordWrap/>
        <w:overflowPunct/>
        <w:topLinePunct w:val="0"/>
        <w:autoSpaceDE/>
        <w:autoSpaceDN/>
        <w:bidi w:val="0"/>
        <w:adjustRightInd/>
        <w:snapToGrid/>
        <w:spacing w:before="157" w:beforeLines="50" w:after="0" w:line="400" w:lineRule="exact"/>
        <w:ind w:left="0" w:leftChars="0" w:right="0" w:rightChars="0" w:firstLine="466" w:firstLineChars="200"/>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（二）审核不通过条款</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供应商不具备申请资格的；</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申请文件未按照本项目征集公告要求签署、盖章的；</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申请文件组成漏项的；</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申请文件填写不完整、内容不全或内容字迹模糊辨认不清的；</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申请文件未按规定的格式编制的；</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申请文件不符合▲实质性要求的；</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7</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提供虚假申请文件、虚假承诺或有其他弄虚作假行为的；</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申请文件中含有采购人或征集人不能接受的附加条件的；</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9</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参与政府采购活动前三年内，在经营活动中有重大违法记录的；</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10</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没有按照要求提供及填写《报价承诺函》的；</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s="宋体"/>
          <w:bCs/>
          <w:color w:val="auto"/>
          <w:sz w:val="24"/>
          <w:szCs w:val="24"/>
          <w:lang w:val="en-US" w:eastAsia="zh-CN"/>
        </w:rPr>
      </w:pPr>
      <w:r>
        <w:rPr>
          <w:rFonts w:hint="eastAsia" w:ascii="宋体" w:hAnsi="宋体" w:eastAsia="宋体" w:cs="宋体"/>
          <w:bCs/>
          <w:color w:val="auto"/>
          <w:sz w:val="24"/>
          <w:szCs w:val="24"/>
          <w:lang w:val="en-US" w:eastAsia="zh-CN"/>
        </w:rPr>
        <w:t>11</w:t>
      </w:r>
      <w:r>
        <w:rPr>
          <w:rFonts w:hint="eastAsia" w:ascii="宋体" w:hAnsi="宋体" w:cs="宋体"/>
          <w:bCs/>
          <w:color w:val="auto"/>
          <w:sz w:val="24"/>
          <w:szCs w:val="24"/>
          <w:lang w:val="en-US" w:eastAsia="zh-CN"/>
        </w:rPr>
        <w:t>.提交的承诺报价高于征集公告中最高限制单价的；</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12.</w:t>
      </w:r>
      <w:r>
        <w:rPr>
          <w:rFonts w:hint="eastAsia" w:ascii="宋体" w:hAnsi="宋体" w:eastAsia="宋体" w:cs="宋体"/>
          <w:bCs/>
          <w:color w:val="auto"/>
          <w:sz w:val="24"/>
          <w:szCs w:val="24"/>
          <w:lang w:val="en-US" w:eastAsia="zh-CN"/>
        </w:rPr>
        <w:t>法律、法规、规章及省级以上规范性文件规定的其他情形。</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textAlignment w:val="auto"/>
        <w:rPr>
          <w:rFonts w:hint="eastAsia" w:hAnsi="宋体" w:cs="宋体"/>
          <w:b/>
          <w:bCs/>
          <w:sz w:val="28"/>
          <w:szCs w:val="28"/>
          <w:lang w:val="en-US" w:eastAsia="zh-CN"/>
        </w:rPr>
      </w:pPr>
      <w:r>
        <w:rPr>
          <w:rFonts w:hint="eastAsia" w:hAnsi="宋体" w:cs="宋体"/>
          <w:b/>
          <w:bCs/>
          <w:sz w:val="28"/>
          <w:szCs w:val="28"/>
          <w:lang w:val="en-US" w:eastAsia="zh-CN"/>
        </w:rPr>
        <w:t xml:space="preserve">  十、结果公告、框架协议、采购合同签订</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（一）</w:t>
      </w:r>
      <w:r>
        <w:rPr>
          <w:rFonts w:hint="eastAsia" w:hAnsi="宋体" w:eastAsia="宋体" w:cs="宋体"/>
          <w:bCs/>
          <w:color w:val="auto"/>
          <w:szCs w:val="24"/>
        </w:rPr>
        <w:t>本次征集审核通过后将发布入围结果公告</w:t>
      </w:r>
      <w:r>
        <w:rPr>
          <w:rFonts w:hint="eastAsia" w:ascii="宋体" w:hAnsi="宋体" w:cs="宋体"/>
          <w:bCs/>
          <w:color w:val="auto"/>
          <w:sz w:val="24"/>
          <w:szCs w:val="24"/>
          <w:lang w:val="en-US" w:eastAsia="zh-CN"/>
        </w:rPr>
        <w:t>。</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s="宋体"/>
          <w:bCs/>
          <w:color w:val="auto"/>
          <w:sz w:val="24"/>
          <w:szCs w:val="24"/>
          <w:lang w:val="en-US" w:eastAsia="zh-CN"/>
        </w:rPr>
      </w:pPr>
      <w:r>
        <w:rPr>
          <w:rFonts w:hint="eastAsia" w:ascii="宋体" w:hAnsi="宋体" w:eastAsia="宋体" w:cs="宋体"/>
          <w:bCs/>
          <w:color w:val="auto"/>
          <w:sz w:val="24"/>
          <w:szCs w:val="24"/>
          <w:lang w:val="en-US" w:eastAsia="zh-CN"/>
        </w:rPr>
        <w:t>（二）本次征集不再签订框架协议，发布入围结果公告后视为供应商签订框架协议，具体协议</w:t>
      </w:r>
      <w:r>
        <w:rPr>
          <w:rFonts w:hint="eastAsia" w:ascii="宋体" w:hAnsi="宋体" w:cs="宋体"/>
          <w:bCs/>
          <w:color w:val="auto"/>
          <w:sz w:val="24"/>
          <w:szCs w:val="24"/>
          <w:lang w:val="en-US" w:eastAsia="zh-CN"/>
        </w:rPr>
        <w:t>指引</w:t>
      </w:r>
      <w:r>
        <w:rPr>
          <w:rFonts w:hint="eastAsia" w:ascii="宋体" w:hAnsi="宋体" w:eastAsia="宋体" w:cs="宋体"/>
          <w:bCs/>
          <w:color w:val="auto"/>
          <w:sz w:val="24"/>
          <w:szCs w:val="24"/>
          <w:lang w:val="en-US" w:eastAsia="zh-CN"/>
        </w:rPr>
        <w:t>条款详见附件3</w:t>
      </w:r>
      <w:r>
        <w:rPr>
          <w:rFonts w:hint="eastAsia" w:ascii="宋体" w:hAnsi="宋体" w:cs="宋体"/>
          <w:bCs/>
          <w:color w:val="auto"/>
          <w:sz w:val="24"/>
          <w:szCs w:val="24"/>
          <w:lang w:val="en-US" w:eastAsia="zh-CN"/>
        </w:rPr>
        <w:t>。</w:t>
      </w:r>
    </w:p>
    <w:p>
      <w:pPr>
        <w:spacing w:line="400" w:lineRule="exact"/>
        <w:ind w:firstLine="480"/>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（三）采购合同</w:t>
      </w:r>
      <w:r>
        <w:rPr>
          <w:rFonts w:hint="eastAsia" w:ascii="宋体" w:hAnsi="宋体" w:eastAsia="宋体" w:cs="宋体"/>
          <w:bCs/>
          <w:color w:val="auto"/>
          <w:sz w:val="24"/>
          <w:szCs w:val="24"/>
          <w:lang w:val="en-US" w:eastAsia="zh-CN"/>
        </w:rPr>
        <w:t>具体条款详见附件3。</w:t>
      </w:r>
    </w:p>
    <w:p>
      <w:pPr>
        <w:spacing w:line="400" w:lineRule="exact"/>
        <w:ind w:firstLine="480"/>
        <w:rPr>
          <w:rFonts w:hint="default" w:ascii="宋体" w:hAnsi="宋体"/>
          <w:bCs/>
          <w:color w:val="auto"/>
          <w:lang w:val="en-US" w:eastAsia="zh-CN"/>
        </w:rPr>
      </w:pPr>
      <w:r>
        <w:rPr>
          <w:rFonts w:hint="eastAsia" w:ascii="宋体" w:hAnsi="宋体" w:cs="宋体"/>
          <w:bCs/>
          <w:color w:val="auto"/>
          <w:sz w:val="24"/>
          <w:szCs w:val="24"/>
          <w:lang w:val="en-US" w:eastAsia="zh-CN"/>
        </w:rPr>
        <w:t>（四）除征集人和采购人另有约定外，合同授予的采购文件资料由采购人负责保存。</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textAlignment w:val="auto"/>
        <w:rPr>
          <w:rFonts w:hint="eastAsia" w:hAnsi="宋体" w:cs="宋体"/>
          <w:b/>
          <w:bCs/>
          <w:sz w:val="28"/>
          <w:szCs w:val="28"/>
          <w:lang w:val="en-US" w:eastAsia="zh-CN"/>
        </w:rPr>
      </w:pPr>
      <w:r>
        <w:rPr>
          <w:rFonts w:hint="eastAsia" w:hAnsi="宋体" w:cs="宋体"/>
          <w:b/>
          <w:bCs/>
          <w:sz w:val="28"/>
          <w:szCs w:val="28"/>
          <w:lang w:val="en-US" w:eastAsia="zh-CN"/>
        </w:rPr>
        <w:t xml:space="preserve">  十一、协议期内信息维护</w:t>
      </w:r>
    </w:p>
    <w:p>
      <w:pPr>
        <w:pageBreakBefore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协议期内，入围供应商相关信息发生变化或调整的，应主动进行信息变更和维护，及时告知征集人并报送相关材料，经征集人审核后生效。</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textAlignment w:val="auto"/>
        <w:rPr>
          <w:rFonts w:hint="eastAsia" w:hAnsi="宋体" w:cs="宋体"/>
          <w:b/>
          <w:bCs/>
          <w:sz w:val="28"/>
          <w:szCs w:val="28"/>
          <w:lang w:val="en-US" w:eastAsia="zh-CN"/>
        </w:rPr>
      </w:pPr>
      <w:r>
        <w:rPr>
          <w:rFonts w:hint="eastAsia" w:hAnsi="宋体" w:cs="宋体"/>
          <w:b/>
          <w:bCs/>
          <w:sz w:val="28"/>
          <w:szCs w:val="28"/>
          <w:lang w:val="en-US" w:eastAsia="zh-CN"/>
        </w:rPr>
        <w:t xml:space="preserve">  十二、交易规则</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第二阶段成交入围供应商由采购人从第一阶段入围供应商中直接选定,采购人可以根据实际需要选择入围供应商，并向其采购服务。入围供应商第一阶段响应报价是采购人确定第二阶段成交入围供应商的最高限价；</w:t>
      </w:r>
    </w:p>
    <w:p>
      <w:pPr>
        <w:keepNext w:val="0"/>
        <w:keepLines w:val="0"/>
        <w:pageBreakBefore w:val="0"/>
        <w:widowControl w:val="0"/>
        <w:kinsoku/>
        <w:wordWrap w:val="0"/>
        <w:overflowPunct/>
        <w:topLinePunct/>
        <w:autoSpaceDE/>
        <w:autoSpaceDN/>
        <w:bidi w:val="0"/>
        <w:adjustRightInd/>
        <w:snapToGrid/>
        <w:spacing w:line="400" w:lineRule="exact"/>
        <w:ind w:right="0" w:rightChars="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2.第二阶段所有全流程交易均须在政采云平台的框架协议模块中完成，菜单路径：政采云前台大厅（https://www.zcygov.cn/）→ 框架协议馆 → 商品大厅，具体交易教程详见：https://helpcenter.zcygov.cn/document/#/document/detail?siteCode=beijing&amp;topicId=21107&amp;manualId=3423</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3.采购人应当积极落实国家和省与政府采购相关的扶持政策，优先选择符合绿色低碳、助残设施设备齐全等要求或者条件的入围供应商；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4.单笔采购金额未达到政府采购限额标准的项目，采购人和入围供应商须通过政采云平台框架协议实行采购。</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r>
        <w:rPr>
          <w:rFonts w:hint="eastAsia" w:hAnsi="宋体" w:cs="宋体"/>
          <w:b/>
          <w:bCs/>
          <w:sz w:val="28"/>
          <w:szCs w:val="28"/>
          <w:lang w:val="en-US" w:eastAsia="zh-CN"/>
        </w:rPr>
        <w:t>十三、入围产品升级换代规则</w:t>
      </w:r>
    </w:p>
    <w:p>
      <w:pPr>
        <w:pStyle w:val="32"/>
        <w:ind w:firstLine="480"/>
        <w:rPr>
          <w:color w:val="auto"/>
        </w:rPr>
      </w:pPr>
      <w:r>
        <w:rPr>
          <w:rStyle w:val="30"/>
          <w:rFonts w:ascii="Times New Roman" w:hAnsi="Times New Roman"/>
          <w:color w:val="auto"/>
          <w:kern w:val="0"/>
          <w:sz w:val="24"/>
          <w:szCs w:val="24"/>
          <w:lang w:bidi="ar"/>
        </w:rPr>
        <w:t>协议期内供应商相关信息变化的，应主动进行信息变更和维护，并及时告知征集人。</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r>
        <w:rPr>
          <w:rFonts w:hint="eastAsia" w:hAnsi="宋体" w:cs="宋体"/>
          <w:b/>
          <w:bCs/>
          <w:sz w:val="28"/>
          <w:szCs w:val="28"/>
          <w:lang w:val="en-US" w:eastAsia="zh-CN"/>
        </w:rPr>
        <w:t>十四、费用结算及支付方式</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入围供应商按照承诺的价格，按要求在结算时向采购人提供发票、物业管理服务合同等。入围供应商通过政采云平台起草物业管理服务合同后报采购人审核，双方确认完成在系统电子备案后按照财政部门规定进行结算。</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r>
        <w:rPr>
          <w:rFonts w:hint="eastAsia" w:hAnsi="宋体" w:cs="宋体"/>
          <w:b/>
          <w:bCs/>
          <w:sz w:val="28"/>
          <w:szCs w:val="28"/>
          <w:lang w:val="en-US" w:eastAsia="zh-CN"/>
        </w:rPr>
        <w:t>十五、用户反馈和评价机制</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根据《政府采购框架协议采购方式管理暂行办法》、《浙江省财政厅关于简化供应商信息登记和试行供应商诚信管理的通知》等相关规定，在网上采购系统中设置相应考核指标，接受采购人和服务对象对入围供应商履行框架协议和采购合同情况的反馈与评价，并将用户反馈和评价情况向采购人和服务对象公开，作为第二阶段直接选定成交供应商的参考。</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采购人认为供应商未按约定履行的，可向监管部门提交投诉申请，核实后取消供应商入围资格并在本轮服务期内不得重新申请加入框架协议。</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r>
        <w:rPr>
          <w:rFonts w:hint="eastAsia" w:hAnsi="宋体" w:cs="宋体"/>
          <w:b/>
          <w:bCs/>
          <w:sz w:val="28"/>
          <w:szCs w:val="28"/>
          <w:lang w:val="en-US" w:eastAsia="zh-CN"/>
        </w:rPr>
        <w:t>十六、入围供应商的清退和补充规则</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政府采购监管部门、集中采购机构将不定期对入围供应商的履约情况进行检查，发现入围供应商违反政府采购相关规定、未按照协议约定和承诺以及其他违法违规行为的，全市各级采购监管部门、集中采购机构将依据相关规定予以处理，征集人也将提前解除框架协议。</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2.采购人如反映入围供应商有违反政府采购相关规定、未按照协议约定和承诺以及其他违法违规行为的，全市各级采购监管部门、集中采购机构将重点约谈入围供应商，如入围供应商无法提供合理解释或拒不改正的，全市各级采购监管部门、集中采购机构将依据相关规定予以处理，征集人也将提前解除框架协议。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3.被取消入围资格或被解除框架协议的供应商不得重新申请加入同一开放式框架协议。</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4.供应商可以按照征集公告要求，随时提交加入框架协议的申请，也可以随时申请退出框架协议。</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r>
        <w:rPr>
          <w:rFonts w:hint="eastAsia" w:hAnsi="宋体" w:cs="宋体"/>
          <w:b/>
          <w:bCs/>
          <w:sz w:val="28"/>
          <w:szCs w:val="28"/>
          <w:lang w:val="en-US" w:eastAsia="zh-CN"/>
        </w:rPr>
        <w:t>十七、信用信息查询</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1.信用信息查询渠道及截止时间：供应商在提交申请时通过“信用中国”网站(www.creditchina.gov.cn)、中国政府采购网(www.ccgp.gov.cn)渠道查询本公司的信用记录。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2.信用信息查询记录和证据留存的具体方式：供应商查询的信用记录、查询结果经确认后将与申请文件一起存档。</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3.信用信息的使用规则：经查询列入失信被执行人名单、重大税收违法案件当事人名单、政府采购严重违法失信行为记录名单的供应商将被拒绝参与框架协议申请。</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r>
        <w:rPr>
          <w:rFonts w:hint="eastAsia" w:hAnsi="宋体" w:cs="宋体"/>
          <w:b/>
          <w:bCs/>
          <w:sz w:val="28"/>
          <w:szCs w:val="28"/>
          <w:lang w:val="en-US" w:eastAsia="zh-CN"/>
        </w:rPr>
        <w:t>十八、定义</w:t>
      </w:r>
    </w:p>
    <w:p>
      <w:pPr>
        <w:keepNext w:val="0"/>
        <w:keepLines w:val="0"/>
        <w:pageBreakBefore w:val="0"/>
        <w:widowControl w:val="0"/>
        <w:kinsoku/>
        <w:wordWrap/>
        <w:overflowPunct/>
        <w:topLinePunct w:val="0"/>
        <w:autoSpaceDE/>
        <w:autoSpaceDN/>
        <w:bidi w:val="0"/>
        <w:adjustRightInd/>
        <w:snapToGrid w:val="0"/>
        <w:spacing w:line="400" w:lineRule="exact"/>
        <w:ind w:right="0" w:rightChars="0"/>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highlight w:val="none"/>
          <w:lang w:val="en-US" w:eastAsia="zh-CN" w:bidi="ar-SA"/>
        </w:rPr>
        <w:t xml:space="preserve"> </w:t>
      </w:r>
      <w:r>
        <w:rPr>
          <w:rFonts w:hint="eastAsia" w:ascii="宋体" w:hAnsi="宋体" w:eastAsia="宋体" w:cs="宋体"/>
          <w:kern w:val="0"/>
          <w:sz w:val="24"/>
          <w:szCs w:val="24"/>
          <w:lang w:val="en-US" w:eastAsia="zh-CN" w:bidi="ar-SA"/>
        </w:rPr>
        <w:t xml:space="preserve">  （一）“征集人”系指海盐县公共资源交易中心。</w:t>
      </w:r>
    </w:p>
    <w:p>
      <w:pPr>
        <w:keepNext w:val="0"/>
        <w:keepLines w:val="0"/>
        <w:pageBreakBefore w:val="0"/>
        <w:widowControl w:val="0"/>
        <w:kinsoku/>
        <w:wordWrap/>
        <w:overflowPunct/>
        <w:topLinePunct w:val="0"/>
        <w:autoSpaceDE/>
        <w:autoSpaceDN/>
        <w:bidi w:val="0"/>
        <w:adjustRightInd/>
        <w:snapToGrid w:val="0"/>
        <w:spacing w:line="400" w:lineRule="exact"/>
        <w:ind w:right="0" w:right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（二）“服务对象”系指海盐县国家机关、事业单位和团体组织需要物业管理服务的单位。</w:t>
      </w:r>
    </w:p>
    <w:p>
      <w:pPr>
        <w:keepNext w:val="0"/>
        <w:keepLines w:val="0"/>
        <w:pageBreakBefore w:val="0"/>
        <w:widowControl w:val="0"/>
        <w:kinsoku/>
        <w:wordWrap/>
        <w:overflowPunct/>
        <w:topLinePunct w:val="0"/>
        <w:autoSpaceDE/>
        <w:autoSpaceDN/>
        <w:bidi w:val="0"/>
        <w:adjustRightInd/>
        <w:snapToGrid w:val="0"/>
        <w:spacing w:line="400" w:lineRule="exact"/>
        <w:ind w:right="0" w:right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（三）“采购监管部门”系指海盐县财政局政府采购监管部门。</w:t>
      </w:r>
    </w:p>
    <w:p>
      <w:pPr>
        <w:keepNext w:val="0"/>
        <w:keepLines w:val="0"/>
        <w:pageBreakBefore w:val="0"/>
        <w:widowControl w:val="0"/>
        <w:kinsoku/>
        <w:wordWrap/>
        <w:overflowPunct/>
        <w:topLinePunct w:val="0"/>
        <w:autoSpaceDE/>
        <w:autoSpaceDN/>
        <w:bidi w:val="0"/>
        <w:adjustRightInd/>
        <w:snapToGrid w:val="0"/>
        <w:spacing w:line="400" w:lineRule="exact"/>
        <w:ind w:right="0" w:right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（四）“供应商”系指向征集人提交申请资料的法人、其他组织或自然人。</w:t>
      </w:r>
    </w:p>
    <w:p>
      <w:pPr>
        <w:keepNext w:val="0"/>
        <w:keepLines w:val="0"/>
        <w:pageBreakBefore w:val="0"/>
        <w:widowControl w:val="0"/>
        <w:kinsoku/>
        <w:wordWrap/>
        <w:overflowPunct/>
        <w:topLinePunct w:val="0"/>
        <w:autoSpaceDE/>
        <w:autoSpaceDN/>
        <w:bidi w:val="0"/>
        <w:adjustRightInd/>
        <w:snapToGrid w:val="0"/>
        <w:spacing w:line="400" w:lineRule="exact"/>
        <w:ind w:right="0" w:right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（五）“入围供应商”系指供应商提交的申请资料经征集人审核通过后，本项目协议即生效，同时该供应商即为入围供应商。</w:t>
      </w:r>
    </w:p>
    <w:p>
      <w:pPr>
        <w:keepNext w:val="0"/>
        <w:keepLines w:val="0"/>
        <w:pageBreakBefore w:val="0"/>
        <w:widowControl w:val="0"/>
        <w:kinsoku/>
        <w:wordWrap/>
        <w:overflowPunct/>
        <w:topLinePunct w:val="0"/>
        <w:autoSpaceDE/>
        <w:autoSpaceDN/>
        <w:bidi w:val="0"/>
        <w:adjustRightInd/>
        <w:snapToGrid w:val="0"/>
        <w:spacing w:line="400" w:lineRule="exact"/>
        <w:ind w:right="0" w:right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（六）“服务”系指征集文件规定入围供应商须承担的物业</w:t>
      </w:r>
      <w:r>
        <w:rPr>
          <w:rFonts w:hint="eastAsia" w:ascii="宋体" w:hAnsi="宋体" w:eastAsia="宋体" w:cs="宋体"/>
          <w:kern w:val="0"/>
          <w:sz w:val="24"/>
          <w:szCs w:val="24"/>
          <w:lang w:val="en-US" w:eastAsia="zh-CN" w:bidi="ar-SA"/>
        </w:rPr>
        <w:t>服务等其他类似的义务。</w:t>
      </w:r>
    </w:p>
    <w:p>
      <w:pPr>
        <w:keepNext w:val="0"/>
        <w:keepLines w:val="0"/>
        <w:pageBreakBefore w:val="0"/>
        <w:widowControl w:val="0"/>
        <w:kinsoku/>
        <w:wordWrap/>
        <w:overflowPunct/>
        <w:topLinePunct w:val="0"/>
        <w:autoSpaceDE/>
        <w:autoSpaceDN/>
        <w:bidi w:val="0"/>
        <w:adjustRightInd/>
        <w:snapToGrid w:val="0"/>
        <w:spacing w:line="400" w:lineRule="exact"/>
        <w:ind w:right="0" w:right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（七）“▲” 系指实质性要求条款。</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r>
        <w:rPr>
          <w:rFonts w:hint="eastAsia" w:hAnsi="宋体" w:cs="宋体"/>
          <w:b/>
          <w:bCs/>
          <w:sz w:val="28"/>
          <w:szCs w:val="28"/>
          <w:lang w:val="en-US" w:eastAsia="zh-CN"/>
        </w:rPr>
        <w:t>十九、质疑投诉</w:t>
      </w:r>
    </w:p>
    <w:p>
      <w:pPr>
        <w:pStyle w:val="13"/>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框架协议采购的第一阶段（确定入围供应商并订立框架协议）和第二阶段（订立采购合同），供应商均可依法提出质疑和投诉。第一阶段，供应商如认为征集相关的文件、过程和入围结果使自己权益受损的，可依法向采购征集人提出质疑，对质疑答复不满意或采购征集人未按时答复的，可依法向财政部门提出投诉。第二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质疑函范本、投诉书范本请到浙江政府采购网下载专区下载。</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hAnsi="宋体" w:cs="宋体"/>
          <w:b/>
          <w:bCs/>
          <w:sz w:val="28"/>
          <w:szCs w:val="28"/>
          <w:lang w:val="en-US" w:eastAsia="zh-CN"/>
        </w:rPr>
      </w:pPr>
      <w:r>
        <w:rPr>
          <w:rFonts w:hint="eastAsia" w:hAnsi="宋体" w:cs="宋体"/>
          <w:b/>
          <w:bCs/>
          <w:sz w:val="28"/>
          <w:szCs w:val="28"/>
          <w:lang w:val="en-US" w:eastAsia="zh-CN"/>
        </w:rPr>
        <w:t>二十、需要落实的政府采购政策</w:t>
      </w:r>
    </w:p>
    <w:p>
      <w:pPr>
        <w:pStyle w:val="13"/>
        <w:keepNext w:val="0"/>
        <w:keepLines w:val="0"/>
        <w:pageBreakBefore w:val="0"/>
        <w:widowControl w:val="0"/>
        <w:kinsoku/>
        <w:wordWrap w:val="0"/>
        <w:overflowPunct/>
        <w:topLinePunct/>
        <w:autoSpaceDE/>
        <w:autoSpaceDN/>
        <w:bidi w:val="0"/>
        <w:adjustRightInd/>
        <w:snapToGrid/>
        <w:spacing w:beforeLines="0" w:afterLines="0" w:line="400" w:lineRule="exact"/>
        <w:ind w:right="0" w:rightChars="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惠企政策：本采购项目，中标单位与采购人签订的政府采购合同适用于嘉兴市政府采购贷款政策，简称“政采贷”,具体内容可参阅政府采购贷款流程:</w:t>
      </w:r>
      <w:r>
        <w:rPr>
          <w:rFonts w:hint="eastAsia" w:ascii="宋体" w:hAnsi="宋体" w:eastAsia="宋体" w:cs="宋体"/>
          <w:kern w:val="0"/>
          <w:sz w:val="24"/>
          <w:szCs w:val="24"/>
          <w:lang w:val="en-US" w:eastAsia="zh-CN" w:bidi="ar-SA"/>
        </w:rPr>
        <w:fldChar w:fldCharType="begin"/>
      </w:r>
      <w:r>
        <w:rPr>
          <w:rFonts w:hint="eastAsia" w:ascii="宋体" w:hAnsi="宋体" w:eastAsia="宋体" w:cs="宋体"/>
          <w:kern w:val="0"/>
          <w:sz w:val="24"/>
          <w:szCs w:val="24"/>
          <w:lang w:val="en-US" w:eastAsia="zh-CN" w:bidi="ar-SA"/>
        </w:rPr>
        <w:instrText xml:space="preserve"> HYPERLINK "https://jinrong.zc" </w:instrText>
      </w:r>
      <w:r>
        <w:rPr>
          <w:rFonts w:hint="eastAsia" w:ascii="宋体" w:hAnsi="宋体" w:eastAsia="宋体" w:cs="宋体"/>
          <w:kern w:val="0"/>
          <w:sz w:val="24"/>
          <w:szCs w:val="24"/>
          <w:lang w:val="en-US" w:eastAsia="zh-CN" w:bidi="ar-SA"/>
        </w:rPr>
        <w:fldChar w:fldCharType="separate"/>
      </w:r>
      <w:r>
        <w:rPr>
          <w:rFonts w:hint="eastAsia" w:ascii="宋体" w:hAnsi="宋体" w:eastAsia="宋体" w:cs="宋体"/>
          <w:kern w:val="0"/>
          <w:sz w:val="24"/>
          <w:szCs w:val="24"/>
          <w:lang w:val="en-US" w:eastAsia="zh-CN" w:bidi="ar-SA"/>
        </w:rPr>
        <w:t>https://jinrong.zc</w:t>
      </w:r>
      <w:r>
        <w:rPr>
          <w:rFonts w:hint="eastAsia" w:ascii="宋体" w:hAnsi="宋体" w:eastAsia="宋体" w:cs="宋体"/>
          <w:kern w:val="0"/>
          <w:sz w:val="24"/>
          <w:szCs w:val="24"/>
          <w:lang w:val="en-US" w:eastAsia="zh-CN" w:bidi="ar-SA"/>
        </w:rPr>
        <w:fldChar w:fldCharType="end"/>
      </w:r>
      <w:r>
        <w:rPr>
          <w:rFonts w:hint="eastAsia" w:ascii="宋体" w:hAnsi="宋体" w:eastAsia="宋体" w:cs="宋体"/>
          <w:kern w:val="0"/>
          <w:sz w:val="24"/>
          <w:szCs w:val="24"/>
          <w:lang w:val="en-US" w:eastAsia="zh-CN" w:bidi="ar-SA"/>
        </w:rPr>
        <w:t>ygov.cn/finance/loan?utm=a0017.b0048.c758920.4.44e18200bf5f11eb926cf1464ce95a5d。</w:t>
      </w:r>
    </w:p>
    <w:p>
      <w:pPr>
        <w:pStyle w:val="13"/>
        <w:keepNext w:val="0"/>
        <w:keepLines w:val="0"/>
        <w:pageBreakBefore w:val="0"/>
        <w:widowControl w:val="0"/>
        <w:kinsoku/>
        <w:wordWrap/>
        <w:overflowPunct/>
        <w:topLinePunct w:val="0"/>
        <w:autoSpaceDE/>
        <w:autoSpaceDN/>
        <w:bidi w:val="0"/>
        <w:adjustRightInd/>
        <w:snapToGrid/>
        <w:spacing w:before="469" w:beforeLines="150" w:line="400" w:lineRule="exact"/>
        <w:ind w:right="0" w:rightChars="0" w:firstLine="562" w:firstLineChars="200"/>
        <w:textAlignment w:val="auto"/>
        <w:rPr>
          <w:rFonts w:hint="eastAsia" w:ascii="宋体" w:hAnsi="宋体" w:eastAsia="宋体" w:cs="宋体"/>
          <w:b/>
          <w:bCs/>
          <w:sz w:val="28"/>
          <w:szCs w:val="28"/>
          <w:lang w:val="en-US" w:eastAsia="zh-CN"/>
        </w:rPr>
      </w:pPr>
      <w:r>
        <w:rPr>
          <w:rFonts w:hint="eastAsia" w:hAnsi="宋体" w:cs="宋体"/>
          <w:b/>
          <w:bCs/>
          <w:sz w:val="28"/>
          <w:szCs w:val="28"/>
          <w:lang w:val="en-US" w:eastAsia="zh-CN"/>
        </w:rPr>
        <w:t>二十一</w:t>
      </w:r>
      <w:r>
        <w:rPr>
          <w:rFonts w:hint="eastAsia" w:ascii="宋体" w:hAnsi="宋体" w:eastAsia="宋体" w:cs="宋体"/>
          <w:b/>
          <w:bCs/>
          <w:sz w:val="28"/>
          <w:szCs w:val="28"/>
          <w:lang w:val="en-US" w:eastAsia="zh-CN"/>
        </w:rPr>
        <w:t>、对本次征集提出询问、质疑、投诉，请按以下方式联系</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1.征集人信息</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名称：海盐县公共资源交易中心</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地址：海盐县武原街道海政路333号海盐县政务服务中心南楼</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项目联系人（询问）：姚工    </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项目联系方式（询问）：0573-86117859</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质疑联系人：汤</w:t>
      </w:r>
      <w:r>
        <w:rPr>
          <w:rFonts w:hint="eastAsia" w:ascii="宋体" w:hAnsi="宋体" w:cs="宋体"/>
          <w:kern w:val="0"/>
          <w:sz w:val="24"/>
          <w:szCs w:val="24"/>
          <w:highlight w:val="none"/>
          <w:lang w:val="en-US" w:eastAsia="zh-CN" w:bidi="ar-SA"/>
        </w:rPr>
        <w:t>工</w:t>
      </w:r>
      <w:r>
        <w:rPr>
          <w:rFonts w:hint="eastAsia" w:ascii="宋体" w:hAnsi="宋体" w:eastAsia="宋体" w:cs="宋体"/>
          <w:kern w:val="0"/>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left"/>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质疑联系方式：0573-8611</w:t>
      </w:r>
      <w:r>
        <w:rPr>
          <w:rFonts w:hint="eastAsia" w:ascii="宋体" w:hAnsi="宋体" w:cs="宋体"/>
          <w:kern w:val="0"/>
          <w:sz w:val="24"/>
          <w:szCs w:val="24"/>
          <w:highlight w:val="none"/>
          <w:lang w:val="en-US" w:eastAsia="zh-CN" w:bidi="ar-SA"/>
        </w:rPr>
        <w:t>1614</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2.政府采购监督管理部门</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left"/>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名称：</w:t>
      </w:r>
      <w:r>
        <w:rPr>
          <w:rFonts w:hint="eastAsia" w:ascii="宋体" w:hAnsi="宋体" w:cs="宋体"/>
          <w:kern w:val="0"/>
          <w:sz w:val="24"/>
          <w:szCs w:val="24"/>
          <w:highlight w:val="none"/>
          <w:lang w:val="en-US" w:eastAsia="zh-CN" w:bidi="ar-SA"/>
        </w:rPr>
        <w:t>海盐县</w:t>
      </w:r>
      <w:r>
        <w:rPr>
          <w:rFonts w:hint="eastAsia" w:ascii="宋体" w:hAnsi="宋体" w:eastAsia="宋体" w:cs="宋体"/>
          <w:kern w:val="0"/>
          <w:sz w:val="24"/>
          <w:szCs w:val="24"/>
          <w:highlight w:val="none"/>
          <w:lang w:val="en-US" w:eastAsia="zh-CN" w:bidi="ar-SA"/>
        </w:rPr>
        <w:t>财政局政府采购监管</w:t>
      </w:r>
      <w:r>
        <w:rPr>
          <w:rFonts w:hint="eastAsia" w:ascii="宋体" w:hAnsi="宋体" w:cs="宋体"/>
          <w:kern w:val="0"/>
          <w:sz w:val="24"/>
          <w:szCs w:val="24"/>
          <w:highlight w:val="none"/>
          <w:lang w:val="en-US" w:eastAsia="zh-CN" w:bidi="ar-SA"/>
        </w:rPr>
        <w:t>科</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地址：海盐县武原街道</w:t>
      </w:r>
      <w:r>
        <w:rPr>
          <w:rFonts w:hint="eastAsia" w:ascii="宋体" w:hAnsi="宋体" w:cs="宋体"/>
          <w:kern w:val="0"/>
          <w:sz w:val="24"/>
          <w:szCs w:val="24"/>
          <w:highlight w:val="none"/>
          <w:lang w:val="en-US" w:eastAsia="zh-CN" w:bidi="ar-SA"/>
        </w:rPr>
        <w:t>新桥北路168</w:t>
      </w:r>
      <w:r>
        <w:rPr>
          <w:rFonts w:hint="eastAsia" w:ascii="宋体" w:hAnsi="宋体" w:eastAsia="宋体" w:cs="宋体"/>
          <w:kern w:val="0"/>
          <w:sz w:val="24"/>
          <w:szCs w:val="24"/>
          <w:highlight w:val="none"/>
          <w:lang w:val="en-US" w:eastAsia="zh-CN" w:bidi="ar-SA"/>
        </w:rPr>
        <w:t>号</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left"/>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联系人：</w:t>
      </w:r>
      <w:r>
        <w:rPr>
          <w:rFonts w:hint="eastAsia" w:ascii="宋体" w:hAnsi="宋体" w:cs="宋体"/>
          <w:kern w:val="0"/>
          <w:sz w:val="24"/>
          <w:szCs w:val="24"/>
          <w:highlight w:val="none"/>
          <w:lang w:val="en-US" w:eastAsia="zh-CN" w:bidi="ar-SA"/>
        </w:rPr>
        <w:t>徐科</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left"/>
        <w:textAlignment w:val="auto"/>
        <w:rPr>
          <w:rFonts w:hint="default" w:ascii="宋体" w:hAnsi="宋体" w:eastAsia="宋体" w:cs="宋体"/>
          <w:kern w:val="0"/>
          <w:sz w:val="24"/>
          <w:szCs w:val="24"/>
          <w:highlight w:val="yellow"/>
          <w:lang w:val="en-US" w:eastAsia="zh-CN" w:bidi="ar-SA"/>
        </w:rPr>
      </w:pPr>
      <w:r>
        <w:rPr>
          <w:rFonts w:hint="eastAsia" w:ascii="宋体" w:hAnsi="宋体" w:eastAsia="宋体" w:cs="宋体"/>
          <w:kern w:val="0"/>
          <w:sz w:val="24"/>
          <w:szCs w:val="24"/>
          <w:highlight w:val="none"/>
          <w:lang w:val="en-US" w:eastAsia="zh-CN" w:bidi="ar-SA"/>
        </w:rPr>
        <w:t>监督投诉电话：0573-</w:t>
      </w:r>
      <w:r>
        <w:rPr>
          <w:rFonts w:hint="eastAsia" w:ascii="宋体" w:hAnsi="宋体" w:cs="宋体"/>
          <w:kern w:val="0"/>
          <w:sz w:val="24"/>
          <w:szCs w:val="24"/>
          <w:highlight w:val="none"/>
          <w:lang w:val="en-US" w:eastAsia="zh-CN" w:bidi="ar-SA"/>
        </w:rPr>
        <w:t>86122512</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left"/>
        <w:textAlignment w:val="auto"/>
        <w:rPr>
          <w:rFonts w:hint="eastAsia" w:ascii="宋体" w:hAnsi="宋体" w:eastAsia="宋体" w:cs="宋体"/>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若对项目采购电子交易系统操作有疑问，可登录政采云（https://www.zcygov.cn/），点击右侧咨询小采，获取采小蜜智能服务管家帮助，或拨打政采云服务热线95763获取热线服务帮助。</w:t>
      </w:r>
    </w:p>
    <w:p>
      <w:pPr>
        <w:pStyle w:val="2"/>
        <w:keepNext w:val="0"/>
        <w:keepLines w:val="0"/>
        <w:pageBreakBefore w:val="0"/>
        <w:widowControl w:val="0"/>
        <w:kinsoku/>
        <w:wordWrap/>
        <w:overflowPunct/>
        <w:topLinePunct w:val="0"/>
        <w:autoSpaceDE/>
        <w:autoSpaceDN/>
        <w:bidi w:val="0"/>
        <w:adjustRightInd/>
        <w:spacing w:after="0" w:line="400" w:lineRule="exact"/>
        <w:ind w:left="0" w:leftChars="0" w:right="0" w:rightChars="0" w:firstLine="464"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CA问题联系电话（人工）：汇信CA 400-888-4636；天谷CA 400-087-8198。</w:t>
      </w:r>
    </w:p>
    <w:p>
      <w:pPr>
        <w:keepNext w:val="0"/>
        <w:keepLines w:val="0"/>
        <w:pageBreakBefore w:val="0"/>
        <w:widowControl w:val="0"/>
        <w:kinsoku/>
        <w:wordWrap w:val="0"/>
        <w:overflowPunct/>
        <w:topLinePunct w:val="0"/>
        <w:autoSpaceDE/>
        <w:autoSpaceDN/>
        <w:bidi w:val="0"/>
        <w:adjustRightInd/>
        <w:snapToGrid w:val="0"/>
        <w:spacing w:before="0" w:beforeLines="0" w:afterLines="0" w:line="480" w:lineRule="exact"/>
        <w:ind w:left="0" w:leftChars="0" w:right="-934" w:rightChars="-389" w:firstLine="0" w:firstLineChars="0"/>
        <w:jc w:val="left"/>
        <w:textAlignment w:val="auto"/>
        <w:rPr>
          <w:rFonts w:asciiTheme="majorEastAsia" w:hAnsiTheme="majorEastAsia" w:eastAsiaTheme="majorEastAsia" w:cstheme="majorEastAsia"/>
          <w:color w:val="auto"/>
          <w:szCs w:val="21"/>
        </w:rPr>
      </w:pPr>
      <w:bookmarkStart w:id="6" w:name="_GoBack"/>
      <w:bookmarkEnd w:id="6"/>
    </w:p>
    <w:sectPr>
      <w:headerReference r:id="rId3" w:type="default"/>
      <w:footerReference r:id="rId4" w:type="default"/>
      <w:pgSz w:w="11906" w:h="16838"/>
      <w:pgMar w:top="1361" w:right="1361" w:bottom="1361" w:left="1361" w:header="851" w:footer="85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decorative"/>
    <w:pitch w:val="default"/>
    <w:sig w:usb0="80000287" w:usb1="2ACF3C50" w:usb2="00000016" w:usb3="00000000" w:csb0="0004001F" w:csb1="00000000"/>
  </w:font>
  <w:font w:name="Tahoma">
    <w:panose1 w:val="020B0604030504040204"/>
    <w:charset w:val="00"/>
    <w:family w:val="decorative"/>
    <w:pitch w:val="default"/>
    <w:sig w:usb0="E1002EFF" w:usb1="C000605B" w:usb2="00000029" w:usb3="00000000" w:csb0="200101FF" w:csb1="20280000"/>
  </w:font>
  <w:font w:name="Verdana">
    <w:panose1 w:val="020B0604030504040204"/>
    <w:charset w:val="00"/>
    <w:family w:val="decorative"/>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54</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54</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F1FA5"/>
    <w:multiLevelType w:val="singleLevel"/>
    <w:tmpl w:val="6F1F1FA5"/>
    <w:lvl w:ilvl="0" w:tentative="0">
      <w:start w:val="1"/>
      <w:numFmt w:val="decimal"/>
      <w:pStyle w:val="8"/>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MTI4ODQ2NTllNTQxZjdlMmMyNjhjMTFhN2MxNWQifQ=="/>
  </w:docVars>
  <w:rsids>
    <w:rsidRoot w:val="3B9B3E26"/>
    <w:rsid w:val="00002AA7"/>
    <w:rsid w:val="00002B1F"/>
    <w:rsid w:val="00004555"/>
    <w:rsid w:val="00006D34"/>
    <w:rsid w:val="000108B6"/>
    <w:rsid w:val="00011F31"/>
    <w:rsid w:val="00014A54"/>
    <w:rsid w:val="000175CA"/>
    <w:rsid w:val="00017601"/>
    <w:rsid w:val="00020E19"/>
    <w:rsid w:val="00022413"/>
    <w:rsid w:val="000279C0"/>
    <w:rsid w:val="00030559"/>
    <w:rsid w:val="0003664B"/>
    <w:rsid w:val="00036B88"/>
    <w:rsid w:val="00042AB1"/>
    <w:rsid w:val="0004607B"/>
    <w:rsid w:val="000511DF"/>
    <w:rsid w:val="000518FB"/>
    <w:rsid w:val="00053754"/>
    <w:rsid w:val="0005456A"/>
    <w:rsid w:val="00056756"/>
    <w:rsid w:val="00061B17"/>
    <w:rsid w:val="00065907"/>
    <w:rsid w:val="00067BC8"/>
    <w:rsid w:val="00071B7E"/>
    <w:rsid w:val="00072CA4"/>
    <w:rsid w:val="00072F55"/>
    <w:rsid w:val="00077280"/>
    <w:rsid w:val="00077396"/>
    <w:rsid w:val="00077E34"/>
    <w:rsid w:val="00081D6D"/>
    <w:rsid w:val="00083106"/>
    <w:rsid w:val="00084C23"/>
    <w:rsid w:val="00084E44"/>
    <w:rsid w:val="00086A9C"/>
    <w:rsid w:val="00096578"/>
    <w:rsid w:val="000978DB"/>
    <w:rsid w:val="000A1849"/>
    <w:rsid w:val="000A1AA8"/>
    <w:rsid w:val="000A24BA"/>
    <w:rsid w:val="000A3EC9"/>
    <w:rsid w:val="000A5FC9"/>
    <w:rsid w:val="000B281A"/>
    <w:rsid w:val="000C0B7C"/>
    <w:rsid w:val="000C3F2D"/>
    <w:rsid w:val="000D4119"/>
    <w:rsid w:val="000D5ACE"/>
    <w:rsid w:val="000E2908"/>
    <w:rsid w:val="000F0ED6"/>
    <w:rsid w:val="000F4372"/>
    <w:rsid w:val="000F5D32"/>
    <w:rsid w:val="0010133B"/>
    <w:rsid w:val="00103375"/>
    <w:rsid w:val="00103726"/>
    <w:rsid w:val="001050AF"/>
    <w:rsid w:val="0010549D"/>
    <w:rsid w:val="00106EA7"/>
    <w:rsid w:val="00107633"/>
    <w:rsid w:val="00113C7E"/>
    <w:rsid w:val="00115454"/>
    <w:rsid w:val="00116E8C"/>
    <w:rsid w:val="001174FA"/>
    <w:rsid w:val="00136DC7"/>
    <w:rsid w:val="00146C3D"/>
    <w:rsid w:val="001653E5"/>
    <w:rsid w:val="001669C2"/>
    <w:rsid w:val="00167A9E"/>
    <w:rsid w:val="001720DA"/>
    <w:rsid w:val="0017308E"/>
    <w:rsid w:val="00173758"/>
    <w:rsid w:val="00174695"/>
    <w:rsid w:val="0017602E"/>
    <w:rsid w:val="00176270"/>
    <w:rsid w:val="00180604"/>
    <w:rsid w:val="00182F2F"/>
    <w:rsid w:val="00186951"/>
    <w:rsid w:val="00191EB8"/>
    <w:rsid w:val="00194949"/>
    <w:rsid w:val="00197F27"/>
    <w:rsid w:val="001A0EF4"/>
    <w:rsid w:val="001A1887"/>
    <w:rsid w:val="001A5D16"/>
    <w:rsid w:val="001A6E55"/>
    <w:rsid w:val="001B0B0A"/>
    <w:rsid w:val="001B3DF6"/>
    <w:rsid w:val="001C13C4"/>
    <w:rsid w:val="001C38FC"/>
    <w:rsid w:val="001C4134"/>
    <w:rsid w:val="001C6DEB"/>
    <w:rsid w:val="001D0165"/>
    <w:rsid w:val="001E668B"/>
    <w:rsid w:val="001F58CE"/>
    <w:rsid w:val="001F5ED5"/>
    <w:rsid w:val="001F6327"/>
    <w:rsid w:val="002013B5"/>
    <w:rsid w:val="0020169F"/>
    <w:rsid w:val="00201854"/>
    <w:rsid w:val="00201AC5"/>
    <w:rsid w:val="00206B02"/>
    <w:rsid w:val="00210038"/>
    <w:rsid w:val="00211272"/>
    <w:rsid w:val="00214D1B"/>
    <w:rsid w:val="00216FCA"/>
    <w:rsid w:val="00224612"/>
    <w:rsid w:val="00226792"/>
    <w:rsid w:val="00232287"/>
    <w:rsid w:val="00233162"/>
    <w:rsid w:val="002358CC"/>
    <w:rsid w:val="00240D1F"/>
    <w:rsid w:val="00241CBF"/>
    <w:rsid w:val="00242DE4"/>
    <w:rsid w:val="002457A9"/>
    <w:rsid w:val="00262574"/>
    <w:rsid w:val="00262DA9"/>
    <w:rsid w:val="00263474"/>
    <w:rsid w:val="00272130"/>
    <w:rsid w:val="00275638"/>
    <w:rsid w:val="0027613E"/>
    <w:rsid w:val="00281EF6"/>
    <w:rsid w:val="0028406C"/>
    <w:rsid w:val="0028450E"/>
    <w:rsid w:val="00291D66"/>
    <w:rsid w:val="002922DF"/>
    <w:rsid w:val="0029244B"/>
    <w:rsid w:val="00296412"/>
    <w:rsid w:val="002A0C37"/>
    <w:rsid w:val="002A1ACB"/>
    <w:rsid w:val="002A56BA"/>
    <w:rsid w:val="002B1C80"/>
    <w:rsid w:val="002B5558"/>
    <w:rsid w:val="002D2F19"/>
    <w:rsid w:val="002D3223"/>
    <w:rsid w:val="002D48A1"/>
    <w:rsid w:val="002D67C4"/>
    <w:rsid w:val="002E605F"/>
    <w:rsid w:val="002F0C4F"/>
    <w:rsid w:val="002F2151"/>
    <w:rsid w:val="002F6074"/>
    <w:rsid w:val="003018D2"/>
    <w:rsid w:val="00303782"/>
    <w:rsid w:val="00304192"/>
    <w:rsid w:val="00305861"/>
    <w:rsid w:val="0031097E"/>
    <w:rsid w:val="00316620"/>
    <w:rsid w:val="00317F6B"/>
    <w:rsid w:val="003222AF"/>
    <w:rsid w:val="00324DD5"/>
    <w:rsid w:val="00326C8F"/>
    <w:rsid w:val="00327F5F"/>
    <w:rsid w:val="00330E7E"/>
    <w:rsid w:val="00335CFF"/>
    <w:rsid w:val="00341B73"/>
    <w:rsid w:val="003427BC"/>
    <w:rsid w:val="003447BE"/>
    <w:rsid w:val="0034588E"/>
    <w:rsid w:val="00351363"/>
    <w:rsid w:val="003545F3"/>
    <w:rsid w:val="00354B71"/>
    <w:rsid w:val="00361E8E"/>
    <w:rsid w:val="003809D7"/>
    <w:rsid w:val="003824B9"/>
    <w:rsid w:val="00385451"/>
    <w:rsid w:val="00387139"/>
    <w:rsid w:val="00387219"/>
    <w:rsid w:val="00393038"/>
    <w:rsid w:val="003962EF"/>
    <w:rsid w:val="003A2188"/>
    <w:rsid w:val="003A3D3C"/>
    <w:rsid w:val="003A6229"/>
    <w:rsid w:val="003B19F5"/>
    <w:rsid w:val="003B3214"/>
    <w:rsid w:val="003B7A51"/>
    <w:rsid w:val="003B7A68"/>
    <w:rsid w:val="003C6A04"/>
    <w:rsid w:val="003C6A35"/>
    <w:rsid w:val="003D1010"/>
    <w:rsid w:val="003D5C96"/>
    <w:rsid w:val="003E1989"/>
    <w:rsid w:val="003E2FBF"/>
    <w:rsid w:val="003E620D"/>
    <w:rsid w:val="003E650D"/>
    <w:rsid w:val="003F1C4E"/>
    <w:rsid w:val="0040059A"/>
    <w:rsid w:val="00415232"/>
    <w:rsid w:val="0041525E"/>
    <w:rsid w:val="004166A8"/>
    <w:rsid w:val="00417567"/>
    <w:rsid w:val="004200F4"/>
    <w:rsid w:val="00421089"/>
    <w:rsid w:val="00421DBC"/>
    <w:rsid w:val="00422779"/>
    <w:rsid w:val="00427CA1"/>
    <w:rsid w:val="00430FFA"/>
    <w:rsid w:val="00432D25"/>
    <w:rsid w:val="00447C76"/>
    <w:rsid w:val="004606C9"/>
    <w:rsid w:val="004619C7"/>
    <w:rsid w:val="00463D5D"/>
    <w:rsid w:val="004752A1"/>
    <w:rsid w:val="00476D65"/>
    <w:rsid w:val="00476E8D"/>
    <w:rsid w:val="00480403"/>
    <w:rsid w:val="00480EDE"/>
    <w:rsid w:val="00485905"/>
    <w:rsid w:val="0049437D"/>
    <w:rsid w:val="00494B07"/>
    <w:rsid w:val="004A3215"/>
    <w:rsid w:val="004A3DA2"/>
    <w:rsid w:val="004A6A1B"/>
    <w:rsid w:val="004B26FA"/>
    <w:rsid w:val="004B37A2"/>
    <w:rsid w:val="004B636C"/>
    <w:rsid w:val="004B6A13"/>
    <w:rsid w:val="004B77C3"/>
    <w:rsid w:val="004C4B98"/>
    <w:rsid w:val="004D3AE9"/>
    <w:rsid w:val="004D6328"/>
    <w:rsid w:val="004E04D8"/>
    <w:rsid w:val="004E1196"/>
    <w:rsid w:val="004F5AF4"/>
    <w:rsid w:val="004F5BA1"/>
    <w:rsid w:val="00501FE7"/>
    <w:rsid w:val="00502E96"/>
    <w:rsid w:val="00512C31"/>
    <w:rsid w:val="0051346E"/>
    <w:rsid w:val="005245F8"/>
    <w:rsid w:val="0053010F"/>
    <w:rsid w:val="00530BF1"/>
    <w:rsid w:val="00536467"/>
    <w:rsid w:val="00537071"/>
    <w:rsid w:val="0053711C"/>
    <w:rsid w:val="00541162"/>
    <w:rsid w:val="00547238"/>
    <w:rsid w:val="0054770F"/>
    <w:rsid w:val="00550DA8"/>
    <w:rsid w:val="00566D26"/>
    <w:rsid w:val="00567C8A"/>
    <w:rsid w:val="005705C1"/>
    <w:rsid w:val="00570CEA"/>
    <w:rsid w:val="00584C14"/>
    <w:rsid w:val="00585390"/>
    <w:rsid w:val="00585DAF"/>
    <w:rsid w:val="00593384"/>
    <w:rsid w:val="00593B2C"/>
    <w:rsid w:val="00593BC9"/>
    <w:rsid w:val="00593F38"/>
    <w:rsid w:val="0059523F"/>
    <w:rsid w:val="005A4A72"/>
    <w:rsid w:val="005A4ADD"/>
    <w:rsid w:val="005A51BD"/>
    <w:rsid w:val="005A5986"/>
    <w:rsid w:val="005B5E33"/>
    <w:rsid w:val="005B6A37"/>
    <w:rsid w:val="005C3A90"/>
    <w:rsid w:val="005C3C35"/>
    <w:rsid w:val="005C5371"/>
    <w:rsid w:val="005C798B"/>
    <w:rsid w:val="005D1964"/>
    <w:rsid w:val="005D2348"/>
    <w:rsid w:val="005D28FD"/>
    <w:rsid w:val="005F003C"/>
    <w:rsid w:val="005F63D4"/>
    <w:rsid w:val="005F7297"/>
    <w:rsid w:val="00606F46"/>
    <w:rsid w:val="00612422"/>
    <w:rsid w:val="00616042"/>
    <w:rsid w:val="006161A3"/>
    <w:rsid w:val="00620016"/>
    <w:rsid w:val="00624D1E"/>
    <w:rsid w:val="00626E73"/>
    <w:rsid w:val="00630577"/>
    <w:rsid w:val="00632CE7"/>
    <w:rsid w:val="00633208"/>
    <w:rsid w:val="006369B1"/>
    <w:rsid w:val="00637C1B"/>
    <w:rsid w:val="006402EC"/>
    <w:rsid w:val="00650056"/>
    <w:rsid w:val="0065005A"/>
    <w:rsid w:val="0065579B"/>
    <w:rsid w:val="0066031D"/>
    <w:rsid w:val="00661139"/>
    <w:rsid w:val="00662866"/>
    <w:rsid w:val="0066376A"/>
    <w:rsid w:val="00665F48"/>
    <w:rsid w:val="006767D7"/>
    <w:rsid w:val="006824DD"/>
    <w:rsid w:val="006856C9"/>
    <w:rsid w:val="006873F4"/>
    <w:rsid w:val="00694E50"/>
    <w:rsid w:val="006A0C43"/>
    <w:rsid w:val="006A5443"/>
    <w:rsid w:val="006B3920"/>
    <w:rsid w:val="006B55E6"/>
    <w:rsid w:val="006B6005"/>
    <w:rsid w:val="006C68DE"/>
    <w:rsid w:val="006C76FD"/>
    <w:rsid w:val="006D2B18"/>
    <w:rsid w:val="006D51F1"/>
    <w:rsid w:val="006D7824"/>
    <w:rsid w:val="006E0A01"/>
    <w:rsid w:val="006E1BAF"/>
    <w:rsid w:val="006E46F0"/>
    <w:rsid w:val="006E77D4"/>
    <w:rsid w:val="006F5633"/>
    <w:rsid w:val="006F7650"/>
    <w:rsid w:val="00701F25"/>
    <w:rsid w:val="00702C2B"/>
    <w:rsid w:val="007079D3"/>
    <w:rsid w:val="00710759"/>
    <w:rsid w:val="0071125B"/>
    <w:rsid w:val="00714814"/>
    <w:rsid w:val="0072661E"/>
    <w:rsid w:val="00730C48"/>
    <w:rsid w:val="00731F5F"/>
    <w:rsid w:val="007358B1"/>
    <w:rsid w:val="00736023"/>
    <w:rsid w:val="0074271E"/>
    <w:rsid w:val="007428C1"/>
    <w:rsid w:val="00743764"/>
    <w:rsid w:val="00743AD4"/>
    <w:rsid w:val="00746A54"/>
    <w:rsid w:val="00747365"/>
    <w:rsid w:val="007507A9"/>
    <w:rsid w:val="007512BE"/>
    <w:rsid w:val="0075171F"/>
    <w:rsid w:val="0075199A"/>
    <w:rsid w:val="00751A38"/>
    <w:rsid w:val="007557F1"/>
    <w:rsid w:val="00762736"/>
    <w:rsid w:val="00762840"/>
    <w:rsid w:val="00762DF1"/>
    <w:rsid w:val="00764858"/>
    <w:rsid w:val="007701B8"/>
    <w:rsid w:val="00777662"/>
    <w:rsid w:val="00782FD1"/>
    <w:rsid w:val="00790180"/>
    <w:rsid w:val="00790B3F"/>
    <w:rsid w:val="007953A5"/>
    <w:rsid w:val="007972F1"/>
    <w:rsid w:val="007B054E"/>
    <w:rsid w:val="007B0C5C"/>
    <w:rsid w:val="007B10AF"/>
    <w:rsid w:val="007B2A3C"/>
    <w:rsid w:val="007C2644"/>
    <w:rsid w:val="007C2A45"/>
    <w:rsid w:val="007C3BDA"/>
    <w:rsid w:val="007D0208"/>
    <w:rsid w:val="007D0467"/>
    <w:rsid w:val="007D0F50"/>
    <w:rsid w:val="007D468D"/>
    <w:rsid w:val="007D4B53"/>
    <w:rsid w:val="007D66DA"/>
    <w:rsid w:val="007D7449"/>
    <w:rsid w:val="007E1047"/>
    <w:rsid w:val="007E3AC8"/>
    <w:rsid w:val="007E3CEB"/>
    <w:rsid w:val="007E5865"/>
    <w:rsid w:val="007F35CA"/>
    <w:rsid w:val="008003A6"/>
    <w:rsid w:val="00800BA4"/>
    <w:rsid w:val="008072DC"/>
    <w:rsid w:val="00807552"/>
    <w:rsid w:val="008140DA"/>
    <w:rsid w:val="00814CB1"/>
    <w:rsid w:val="008152EA"/>
    <w:rsid w:val="00816440"/>
    <w:rsid w:val="00822F4F"/>
    <w:rsid w:val="00824C6C"/>
    <w:rsid w:val="00827DB0"/>
    <w:rsid w:val="00831642"/>
    <w:rsid w:val="00833056"/>
    <w:rsid w:val="008357F1"/>
    <w:rsid w:val="00835E3D"/>
    <w:rsid w:val="00836D80"/>
    <w:rsid w:val="00837EBD"/>
    <w:rsid w:val="008421A8"/>
    <w:rsid w:val="00845029"/>
    <w:rsid w:val="00845F50"/>
    <w:rsid w:val="008476FF"/>
    <w:rsid w:val="0084775A"/>
    <w:rsid w:val="00852036"/>
    <w:rsid w:val="00856CC5"/>
    <w:rsid w:val="00860502"/>
    <w:rsid w:val="0086095F"/>
    <w:rsid w:val="008655CD"/>
    <w:rsid w:val="00866BA0"/>
    <w:rsid w:val="008717A0"/>
    <w:rsid w:val="00872707"/>
    <w:rsid w:val="00873C56"/>
    <w:rsid w:val="00876301"/>
    <w:rsid w:val="00876A8D"/>
    <w:rsid w:val="00882C40"/>
    <w:rsid w:val="00885415"/>
    <w:rsid w:val="00887472"/>
    <w:rsid w:val="00891E9C"/>
    <w:rsid w:val="00893F30"/>
    <w:rsid w:val="008948B0"/>
    <w:rsid w:val="00894A74"/>
    <w:rsid w:val="00896A0A"/>
    <w:rsid w:val="008A0B79"/>
    <w:rsid w:val="008A14FD"/>
    <w:rsid w:val="008A2E8A"/>
    <w:rsid w:val="008A3E0B"/>
    <w:rsid w:val="008A6110"/>
    <w:rsid w:val="008A6747"/>
    <w:rsid w:val="008B14FE"/>
    <w:rsid w:val="008B1782"/>
    <w:rsid w:val="008B1AB0"/>
    <w:rsid w:val="008B3393"/>
    <w:rsid w:val="008C2CC2"/>
    <w:rsid w:val="008C3276"/>
    <w:rsid w:val="008C3913"/>
    <w:rsid w:val="008D52BF"/>
    <w:rsid w:val="008D5D57"/>
    <w:rsid w:val="008E53D1"/>
    <w:rsid w:val="008E5FAE"/>
    <w:rsid w:val="008E7124"/>
    <w:rsid w:val="008F099B"/>
    <w:rsid w:val="008F09F1"/>
    <w:rsid w:val="008F5851"/>
    <w:rsid w:val="009057C4"/>
    <w:rsid w:val="00906669"/>
    <w:rsid w:val="00910033"/>
    <w:rsid w:val="00911B1A"/>
    <w:rsid w:val="00911F32"/>
    <w:rsid w:val="00912A8D"/>
    <w:rsid w:val="00912D1C"/>
    <w:rsid w:val="00912E64"/>
    <w:rsid w:val="00914F6C"/>
    <w:rsid w:val="00923322"/>
    <w:rsid w:val="00923BDF"/>
    <w:rsid w:val="00924059"/>
    <w:rsid w:val="00924F90"/>
    <w:rsid w:val="009273DA"/>
    <w:rsid w:val="00933CEB"/>
    <w:rsid w:val="00936692"/>
    <w:rsid w:val="00936701"/>
    <w:rsid w:val="00937228"/>
    <w:rsid w:val="009455C5"/>
    <w:rsid w:val="009521B7"/>
    <w:rsid w:val="00955AA9"/>
    <w:rsid w:val="009567DC"/>
    <w:rsid w:val="00961B74"/>
    <w:rsid w:val="00962DBE"/>
    <w:rsid w:val="00963885"/>
    <w:rsid w:val="00964112"/>
    <w:rsid w:val="009641AD"/>
    <w:rsid w:val="00964D50"/>
    <w:rsid w:val="00966CFE"/>
    <w:rsid w:val="00972A61"/>
    <w:rsid w:val="00987D75"/>
    <w:rsid w:val="00992AE8"/>
    <w:rsid w:val="0099787C"/>
    <w:rsid w:val="009A3101"/>
    <w:rsid w:val="009A5CC7"/>
    <w:rsid w:val="009A796B"/>
    <w:rsid w:val="009A7BB4"/>
    <w:rsid w:val="009B0237"/>
    <w:rsid w:val="009B3B9A"/>
    <w:rsid w:val="009B3D64"/>
    <w:rsid w:val="009B79C0"/>
    <w:rsid w:val="009C15C8"/>
    <w:rsid w:val="009D6A62"/>
    <w:rsid w:val="009E2BD0"/>
    <w:rsid w:val="009E357E"/>
    <w:rsid w:val="009E4DC6"/>
    <w:rsid w:val="009E56E3"/>
    <w:rsid w:val="009F1C10"/>
    <w:rsid w:val="009F21BD"/>
    <w:rsid w:val="009F26CB"/>
    <w:rsid w:val="009F2A5B"/>
    <w:rsid w:val="009F33C0"/>
    <w:rsid w:val="009F4B4A"/>
    <w:rsid w:val="009F509A"/>
    <w:rsid w:val="009F6B44"/>
    <w:rsid w:val="00A0178A"/>
    <w:rsid w:val="00A0306B"/>
    <w:rsid w:val="00A04526"/>
    <w:rsid w:val="00A22874"/>
    <w:rsid w:val="00A24A39"/>
    <w:rsid w:val="00A3558B"/>
    <w:rsid w:val="00A531B7"/>
    <w:rsid w:val="00A61466"/>
    <w:rsid w:val="00A65C2F"/>
    <w:rsid w:val="00A668F5"/>
    <w:rsid w:val="00A76F48"/>
    <w:rsid w:val="00A77C9C"/>
    <w:rsid w:val="00A80DB9"/>
    <w:rsid w:val="00A8215A"/>
    <w:rsid w:val="00A84A13"/>
    <w:rsid w:val="00A84C3F"/>
    <w:rsid w:val="00A9520F"/>
    <w:rsid w:val="00AA1C3A"/>
    <w:rsid w:val="00AA2016"/>
    <w:rsid w:val="00AA4496"/>
    <w:rsid w:val="00AA6E7A"/>
    <w:rsid w:val="00AB4263"/>
    <w:rsid w:val="00AB63F8"/>
    <w:rsid w:val="00AC099D"/>
    <w:rsid w:val="00AC770B"/>
    <w:rsid w:val="00AD4A0D"/>
    <w:rsid w:val="00AD54ED"/>
    <w:rsid w:val="00AD57C8"/>
    <w:rsid w:val="00AE633D"/>
    <w:rsid w:val="00AF1623"/>
    <w:rsid w:val="00AF29DA"/>
    <w:rsid w:val="00AF2BE3"/>
    <w:rsid w:val="00AF3BBE"/>
    <w:rsid w:val="00AF4939"/>
    <w:rsid w:val="00AF49CE"/>
    <w:rsid w:val="00AF4A10"/>
    <w:rsid w:val="00B0036F"/>
    <w:rsid w:val="00B00811"/>
    <w:rsid w:val="00B04DDF"/>
    <w:rsid w:val="00B054AB"/>
    <w:rsid w:val="00B067DE"/>
    <w:rsid w:val="00B0718C"/>
    <w:rsid w:val="00B109BA"/>
    <w:rsid w:val="00B10DD9"/>
    <w:rsid w:val="00B11EBB"/>
    <w:rsid w:val="00B1628B"/>
    <w:rsid w:val="00B20241"/>
    <w:rsid w:val="00B227CE"/>
    <w:rsid w:val="00B23139"/>
    <w:rsid w:val="00B25C0F"/>
    <w:rsid w:val="00B2703E"/>
    <w:rsid w:val="00B27B0B"/>
    <w:rsid w:val="00B31220"/>
    <w:rsid w:val="00B32197"/>
    <w:rsid w:val="00B33316"/>
    <w:rsid w:val="00B3466A"/>
    <w:rsid w:val="00B3598B"/>
    <w:rsid w:val="00B471BC"/>
    <w:rsid w:val="00B477D2"/>
    <w:rsid w:val="00B52D85"/>
    <w:rsid w:val="00B5486A"/>
    <w:rsid w:val="00B551ED"/>
    <w:rsid w:val="00B556AE"/>
    <w:rsid w:val="00B56CFB"/>
    <w:rsid w:val="00B60799"/>
    <w:rsid w:val="00B619EE"/>
    <w:rsid w:val="00B63515"/>
    <w:rsid w:val="00B652F7"/>
    <w:rsid w:val="00B72B6F"/>
    <w:rsid w:val="00B744D7"/>
    <w:rsid w:val="00B80A86"/>
    <w:rsid w:val="00B824F0"/>
    <w:rsid w:val="00B8273D"/>
    <w:rsid w:val="00B85CA0"/>
    <w:rsid w:val="00B9110F"/>
    <w:rsid w:val="00B95EB3"/>
    <w:rsid w:val="00BA6B41"/>
    <w:rsid w:val="00BA72F3"/>
    <w:rsid w:val="00BA79CE"/>
    <w:rsid w:val="00BB229B"/>
    <w:rsid w:val="00BB44D8"/>
    <w:rsid w:val="00BB52C7"/>
    <w:rsid w:val="00BC5F7E"/>
    <w:rsid w:val="00BD0387"/>
    <w:rsid w:val="00BD1E64"/>
    <w:rsid w:val="00BD2852"/>
    <w:rsid w:val="00BE5063"/>
    <w:rsid w:val="00BF05B5"/>
    <w:rsid w:val="00C00AF1"/>
    <w:rsid w:val="00C0193C"/>
    <w:rsid w:val="00C02CEA"/>
    <w:rsid w:val="00C0402A"/>
    <w:rsid w:val="00C15976"/>
    <w:rsid w:val="00C23F51"/>
    <w:rsid w:val="00C246AC"/>
    <w:rsid w:val="00C2629C"/>
    <w:rsid w:val="00C26FC3"/>
    <w:rsid w:val="00C2758E"/>
    <w:rsid w:val="00C412CC"/>
    <w:rsid w:val="00C4480B"/>
    <w:rsid w:val="00C50A2C"/>
    <w:rsid w:val="00C51931"/>
    <w:rsid w:val="00C55278"/>
    <w:rsid w:val="00C63AC9"/>
    <w:rsid w:val="00C70FF9"/>
    <w:rsid w:val="00C71AFF"/>
    <w:rsid w:val="00C7545E"/>
    <w:rsid w:val="00C75E6F"/>
    <w:rsid w:val="00C80FAF"/>
    <w:rsid w:val="00C80FDC"/>
    <w:rsid w:val="00C82663"/>
    <w:rsid w:val="00C82B5F"/>
    <w:rsid w:val="00C8431C"/>
    <w:rsid w:val="00C85810"/>
    <w:rsid w:val="00C91006"/>
    <w:rsid w:val="00C92681"/>
    <w:rsid w:val="00C92E4C"/>
    <w:rsid w:val="00C9344F"/>
    <w:rsid w:val="00C96E72"/>
    <w:rsid w:val="00CA1FB0"/>
    <w:rsid w:val="00CA6161"/>
    <w:rsid w:val="00CB2E58"/>
    <w:rsid w:val="00CB689C"/>
    <w:rsid w:val="00CB6E9D"/>
    <w:rsid w:val="00CC3637"/>
    <w:rsid w:val="00CC5EB8"/>
    <w:rsid w:val="00CC69D2"/>
    <w:rsid w:val="00CC6E77"/>
    <w:rsid w:val="00CC76E4"/>
    <w:rsid w:val="00CC7FE8"/>
    <w:rsid w:val="00CD0870"/>
    <w:rsid w:val="00CD5269"/>
    <w:rsid w:val="00CE0586"/>
    <w:rsid w:val="00CF29E1"/>
    <w:rsid w:val="00CF2AD5"/>
    <w:rsid w:val="00CF54D6"/>
    <w:rsid w:val="00D00D1B"/>
    <w:rsid w:val="00D03596"/>
    <w:rsid w:val="00D03E34"/>
    <w:rsid w:val="00D03E7C"/>
    <w:rsid w:val="00D13AFD"/>
    <w:rsid w:val="00D1701A"/>
    <w:rsid w:val="00D20DF3"/>
    <w:rsid w:val="00D222D9"/>
    <w:rsid w:val="00D235F4"/>
    <w:rsid w:val="00D25ECD"/>
    <w:rsid w:val="00D34718"/>
    <w:rsid w:val="00D367E3"/>
    <w:rsid w:val="00D36CA1"/>
    <w:rsid w:val="00D40D14"/>
    <w:rsid w:val="00D419D0"/>
    <w:rsid w:val="00D42ECF"/>
    <w:rsid w:val="00D43AFC"/>
    <w:rsid w:val="00D4586F"/>
    <w:rsid w:val="00D53208"/>
    <w:rsid w:val="00D55484"/>
    <w:rsid w:val="00D564FD"/>
    <w:rsid w:val="00D6539E"/>
    <w:rsid w:val="00D6742B"/>
    <w:rsid w:val="00D709D5"/>
    <w:rsid w:val="00D70DB4"/>
    <w:rsid w:val="00D7387F"/>
    <w:rsid w:val="00D8213D"/>
    <w:rsid w:val="00D86F6F"/>
    <w:rsid w:val="00D87289"/>
    <w:rsid w:val="00D8783A"/>
    <w:rsid w:val="00D9188C"/>
    <w:rsid w:val="00D96816"/>
    <w:rsid w:val="00DA69A7"/>
    <w:rsid w:val="00DA76C3"/>
    <w:rsid w:val="00DB00F4"/>
    <w:rsid w:val="00DB0E5F"/>
    <w:rsid w:val="00DB2E05"/>
    <w:rsid w:val="00DC1573"/>
    <w:rsid w:val="00DC4367"/>
    <w:rsid w:val="00DC6CAE"/>
    <w:rsid w:val="00DC7912"/>
    <w:rsid w:val="00DD3792"/>
    <w:rsid w:val="00DD65C5"/>
    <w:rsid w:val="00DE1734"/>
    <w:rsid w:val="00DE601E"/>
    <w:rsid w:val="00DE7FBB"/>
    <w:rsid w:val="00DF2AD4"/>
    <w:rsid w:val="00DF3E1C"/>
    <w:rsid w:val="00DF5E16"/>
    <w:rsid w:val="00DF630E"/>
    <w:rsid w:val="00DF6E98"/>
    <w:rsid w:val="00E01410"/>
    <w:rsid w:val="00E04D7F"/>
    <w:rsid w:val="00E10C76"/>
    <w:rsid w:val="00E20D8A"/>
    <w:rsid w:val="00E25662"/>
    <w:rsid w:val="00E279A0"/>
    <w:rsid w:val="00E30408"/>
    <w:rsid w:val="00E32E10"/>
    <w:rsid w:val="00E51156"/>
    <w:rsid w:val="00E55368"/>
    <w:rsid w:val="00E571A8"/>
    <w:rsid w:val="00E61B01"/>
    <w:rsid w:val="00E70DB8"/>
    <w:rsid w:val="00E728AD"/>
    <w:rsid w:val="00E73335"/>
    <w:rsid w:val="00E737D4"/>
    <w:rsid w:val="00E76EE7"/>
    <w:rsid w:val="00E77FD4"/>
    <w:rsid w:val="00E863B1"/>
    <w:rsid w:val="00E86484"/>
    <w:rsid w:val="00E86D50"/>
    <w:rsid w:val="00E9083D"/>
    <w:rsid w:val="00EA38FF"/>
    <w:rsid w:val="00EA6663"/>
    <w:rsid w:val="00EB161C"/>
    <w:rsid w:val="00EB2EDD"/>
    <w:rsid w:val="00EB4578"/>
    <w:rsid w:val="00EB45B9"/>
    <w:rsid w:val="00EB65E3"/>
    <w:rsid w:val="00EC1A3B"/>
    <w:rsid w:val="00EC21F1"/>
    <w:rsid w:val="00EC302F"/>
    <w:rsid w:val="00ED1EE8"/>
    <w:rsid w:val="00ED5E22"/>
    <w:rsid w:val="00ED6374"/>
    <w:rsid w:val="00ED7158"/>
    <w:rsid w:val="00EE050A"/>
    <w:rsid w:val="00EE15CB"/>
    <w:rsid w:val="00EE2D33"/>
    <w:rsid w:val="00EE56A1"/>
    <w:rsid w:val="00EF2FF2"/>
    <w:rsid w:val="00EF74FB"/>
    <w:rsid w:val="00F010B1"/>
    <w:rsid w:val="00F0255D"/>
    <w:rsid w:val="00F13DFE"/>
    <w:rsid w:val="00F15F93"/>
    <w:rsid w:val="00F17992"/>
    <w:rsid w:val="00F17AD6"/>
    <w:rsid w:val="00F20639"/>
    <w:rsid w:val="00F24300"/>
    <w:rsid w:val="00F26F8E"/>
    <w:rsid w:val="00F27CEF"/>
    <w:rsid w:val="00F32B47"/>
    <w:rsid w:val="00F41396"/>
    <w:rsid w:val="00F54234"/>
    <w:rsid w:val="00F54BFD"/>
    <w:rsid w:val="00F57822"/>
    <w:rsid w:val="00F603A3"/>
    <w:rsid w:val="00F64AF8"/>
    <w:rsid w:val="00F70D3B"/>
    <w:rsid w:val="00F715D3"/>
    <w:rsid w:val="00F767E6"/>
    <w:rsid w:val="00F77536"/>
    <w:rsid w:val="00F803C6"/>
    <w:rsid w:val="00F821BA"/>
    <w:rsid w:val="00F845F7"/>
    <w:rsid w:val="00F902AE"/>
    <w:rsid w:val="00F93259"/>
    <w:rsid w:val="00FA17C9"/>
    <w:rsid w:val="00FA52BB"/>
    <w:rsid w:val="00FA5CDE"/>
    <w:rsid w:val="00FC035C"/>
    <w:rsid w:val="00FC2F73"/>
    <w:rsid w:val="00FC3CC1"/>
    <w:rsid w:val="00FC67CE"/>
    <w:rsid w:val="00FC6899"/>
    <w:rsid w:val="00FC726A"/>
    <w:rsid w:val="00FD3FA8"/>
    <w:rsid w:val="00FD411E"/>
    <w:rsid w:val="00FD4E54"/>
    <w:rsid w:val="00FD60AC"/>
    <w:rsid w:val="00FE0968"/>
    <w:rsid w:val="00FE3DA5"/>
    <w:rsid w:val="00FE7C3E"/>
    <w:rsid w:val="00FF4988"/>
    <w:rsid w:val="0171156E"/>
    <w:rsid w:val="0293255D"/>
    <w:rsid w:val="02A7100A"/>
    <w:rsid w:val="02DC5445"/>
    <w:rsid w:val="036725FF"/>
    <w:rsid w:val="04AA5AB5"/>
    <w:rsid w:val="0599596A"/>
    <w:rsid w:val="05A96635"/>
    <w:rsid w:val="06B04988"/>
    <w:rsid w:val="06B9032A"/>
    <w:rsid w:val="07A931CD"/>
    <w:rsid w:val="08304359"/>
    <w:rsid w:val="084859A3"/>
    <w:rsid w:val="08A62AEA"/>
    <w:rsid w:val="09400B2A"/>
    <w:rsid w:val="0A122363"/>
    <w:rsid w:val="0A187D10"/>
    <w:rsid w:val="0A2D64D1"/>
    <w:rsid w:val="0A576F5F"/>
    <w:rsid w:val="0A9E3E01"/>
    <w:rsid w:val="0ADD0FF2"/>
    <w:rsid w:val="0AE22AF4"/>
    <w:rsid w:val="0C4E7B4A"/>
    <w:rsid w:val="0D336E17"/>
    <w:rsid w:val="0D4A4AAD"/>
    <w:rsid w:val="0DD507D3"/>
    <w:rsid w:val="0E1E66D4"/>
    <w:rsid w:val="0EBB3A12"/>
    <w:rsid w:val="0F4754C1"/>
    <w:rsid w:val="0FFF3146"/>
    <w:rsid w:val="108E3427"/>
    <w:rsid w:val="10AF79EF"/>
    <w:rsid w:val="11645E15"/>
    <w:rsid w:val="11FC36A4"/>
    <w:rsid w:val="14474756"/>
    <w:rsid w:val="14E14146"/>
    <w:rsid w:val="14EE28E4"/>
    <w:rsid w:val="15326804"/>
    <w:rsid w:val="15A85EC8"/>
    <w:rsid w:val="15C838CC"/>
    <w:rsid w:val="176D342B"/>
    <w:rsid w:val="19DE5F80"/>
    <w:rsid w:val="1A7F2E3A"/>
    <w:rsid w:val="1BBA1E0D"/>
    <w:rsid w:val="1C076DAC"/>
    <w:rsid w:val="1C091768"/>
    <w:rsid w:val="1C0F7519"/>
    <w:rsid w:val="1D07422E"/>
    <w:rsid w:val="1D644E76"/>
    <w:rsid w:val="1D790876"/>
    <w:rsid w:val="1ED7D089"/>
    <w:rsid w:val="1EE75B81"/>
    <w:rsid w:val="1EE778F3"/>
    <w:rsid w:val="1EFB3FB1"/>
    <w:rsid w:val="1F675186"/>
    <w:rsid w:val="20085DD4"/>
    <w:rsid w:val="22221BAD"/>
    <w:rsid w:val="22D30A89"/>
    <w:rsid w:val="24A35889"/>
    <w:rsid w:val="24FC782F"/>
    <w:rsid w:val="2505779F"/>
    <w:rsid w:val="25A612D4"/>
    <w:rsid w:val="26AB4379"/>
    <w:rsid w:val="27413392"/>
    <w:rsid w:val="27665A32"/>
    <w:rsid w:val="27E3384B"/>
    <w:rsid w:val="27E41819"/>
    <w:rsid w:val="2A762DB6"/>
    <w:rsid w:val="2ADE7378"/>
    <w:rsid w:val="2B4A7A21"/>
    <w:rsid w:val="2C37319A"/>
    <w:rsid w:val="2C503941"/>
    <w:rsid w:val="2D9B3963"/>
    <w:rsid w:val="2E173476"/>
    <w:rsid w:val="2F745944"/>
    <w:rsid w:val="2FFE78CA"/>
    <w:rsid w:val="305F58BB"/>
    <w:rsid w:val="310A306A"/>
    <w:rsid w:val="311A34FB"/>
    <w:rsid w:val="317F655E"/>
    <w:rsid w:val="31AC29C5"/>
    <w:rsid w:val="31F99018"/>
    <w:rsid w:val="32103B6D"/>
    <w:rsid w:val="32794077"/>
    <w:rsid w:val="32C1585A"/>
    <w:rsid w:val="33FA6E98"/>
    <w:rsid w:val="35CF6FF8"/>
    <w:rsid w:val="361507CA"/>
    <w:rsid w:val="361A4768"/>
    <w:rsid w:val="36B54B99"/>
    <w:rsid w:val="36F75237"/>
    <w:rsid w:val="377516F6"/>
    <w:rsid w:val="37A65A39"/>
    <w:rsid w:val="3843357E"/>
    <w:rsid w:val="38B44A00"/>
    <w:rsid w:val="38D77F28"/>
    <w:rsid w:val="38F143FA"/>
    <w:rsid w:val="3AD80946"/>
    <w:rsid w:val="3B7660C3"/>
    <w:rsid w:val="3B9B3E26"/>
    <w:rsid w:val="3BA01094"/>
    <w:rsid w:val="3CDC0434"/>
    <w:rsid w:val="3CF01087"/>
    <w:rsid w:val="3DABB585"/>
    <w:rsid w:val="3DFF0A6B"/>
    <w:rsid w:val="3E29203F"/>
    <w:rsid w:val="3E874075"/>
    <w:rsid w:val="3EF7C7E5"/>
    <w:rsid w:val="3F9D57ED"/>
    <w:rsid w:val="3FB549A1"/>
    <w:rsid w:val="401575D2"/>
    <w:rsid w:val="40412185"/>
    <w:rsid w:val="41150495"/>
    <w:rsid w:val="415A4829"/>
    <w:rsid w:val="420704DD"/>
    <w:rsid w:val="425443E0"/>
    <w:rsid w:val="43D31A98"/>
    <w:rsid w:val="441B5933"/>
    <w:rsid w:val="450929D1"/>
    <w:rsid w:val="45970E3B"/>
    <w:rsid w:val="45AB5FA2"/>
    <w:rsid w:val="45F0284B"/>
    <w:rsid w:val="463377D3"/>
    <w:rsid w:val="46816D3A"/>
    <w:rsid w:val="46A06E97"/>
    <w:rsid w:val="46A62AF1"/>
    <w:rsid w:val="470E0886"/>
    <w:rsid w:val="488A6357"/>
    <w:rsid w:val="489578FF"/>
    <w:rsid w:val="493516BE"/>
    <w:rsid w:val="494D49A9"/>
    <w:rsid w:val="49D823CA"/>
    <w:rsid w:val="4AB351EB"/>
    <w:rsid w:val="4AF23714"/>
    <w:rsid w:val="4B2D01A5"/>
    <w:rsid w:val="4C5B7DD5"/>
    <w:rsid w:val="4C906FAA"/>
    <w:rsid w:val="4E7DFC62"/>
    <w:rsid w:val="4EFC70A4"/>
    <w:rsid w:val="4FFF56D4"/>
    <w:rsid w:val="511C5E60"/>
    <w:rsid w:val="52524C09"/>
    <w:rsid w:val="5276501B"/>
    <w:rsid w:val="529C3A5F"/>
    <w:rsid w:val="531FF1BA"/>
    <w:rsid w:val="538C41C6"/>
    <w:rsid w:val="54CF6DAE"/>
    <w:rsid w:val="5552550A"/>
    <w:rsid w:val="557A152F"/>
    <w:rsid w:val="565E7575"/>
    <w:rsid w:val="56DFF686"/>
    <w:rsid w:val="570D55B0"/>
    <w:rsid w:val="58381FA7"/>
    <w:rsid w:val="58B559F1"/>
    <w:rsid w:val="5968741C"/>
    <w:rsid w:val="5B112DAB"/>
    <w:rsid w:val="5B5154DF"/>
    <w:rsid w:val="5BA31A66"/>
    <w:rsid w:val="5C615E91"/>
    <w:rsid w:val="5CBD6975"/>
    <w:rsid w:val="5CC86EE3"/>
    <w:rsid w:val="5CDE0DF7"/>
    <w:rsid w:val="5CFD4F96"/>
    <w:rsid w:val="5DDA3CF8"/>
    <w:rsid w:val="5DE210E1"/>
    <w:rsid w:val="5DE54983"/>
    <w:rsid w:val="5DF3116D"/>
    <w:rsid w:val="5DFE25AA"/>
    <w:rsid w:val="5E234674"/>
    <w:rsid w:val="5E3A53FE"/>
    <w:rsid w:val="5E567C3C"/>
    <w:rsid w:val="5EA90DED"/>
    <w:rsid w:val="5EB52B97"/>
    <w:rsid w:val="5FF74115"/>
    <w:rsid w:val="610A6045"/>
    <w:rsid w:val="61325F4D"/>
    <w:rsid w:val="61E843AE"/>
    <w:rsid w:val="62805827"/>
    <w:rsid w:val="62F94900"/>
    <w:rsid w:val="6418798D"/>
    <w:rsid w:val="64C2311B"/>
    <w:rsid w:val="65D84A11"/>
    <w:rsid w:val="65FF711F"/>
    <w:rsid w:val="66287867"/>
    <w:rsid w:val="66A7588D"/>
    <w:rsid w:val="66C131B8"/>
    <w:rsid w:val="67105949"/>
    <w:rsid w:val="681768F6"/>
    <w:rsid w:val="68D66A5E"/>
    <w:rsid w:val="69CC12FA"/>
    <w:rsid w:val="6A9C067A"/>
    <w:rsid w:val="6B212167"/>
    <w:rsid w:val="6BF83858"/>
    <w:rsid w:val="6C0F73B4"/>
    <w:rsid w:val="6D3B3EC1"/>
    <w:rsid w:val="6E236245"/>
    <w:rsid w:val="6E7B7DDA"/>
    <w:rsid w:val="705A16CD"/>
    <w:rsid w:val="7151593F"/>
    <w:rsid w:val="71852D14"/>
    <w:rsid w:val="71F46A46"/>
    <w:rsid w:val="72E53A82"/>
    <w:rsid w:val="731035D0"/>
    <w:rsid w:val="73D26B2E"/>
    <w:rsid w:val="753B0164"/>
    <w:rsid w:val="755564D5"/>
    <w:rsid w:val="75F79F2E"/>
    <w:rsid w:val="75FE0BA8"/>
    <w:rsid w:val="76322C7A"/>
    <w:rsid w:val="77CF4AC9"/>
    <w:rsid w:val="77E76A2C"/>
    <w:rsid w:val="786E6135"/>
    <w:rsid w:val="799D13AF"/>
    <w:rsid w:val="79FB19A4"/>
    <w:rsid w:val="79FEE19D"/>
    <w:rsid w:val="7A400BE3"/>
    <w:rsid w:val="7B353C3B"/>
    <w:rsid w:val="7BBFDE4E"/>
    <w:rsid w:val="7BDF120C"/>
    <w:rsid w:val="7DCBAADA"/>
    <w:rsid w:val="7EAFD3F7"/>
    <w:rsid w:val="7ED55B24"/>
    <w:rsid w:val="7ED9F2B8"/>
    <w:rsid w:val="7F422E06"/>
    <w:rsid w:val="7F765A21"/>
    <w:rsid w:val="7F7E2038"/>
    <w:rsid w:val="7FFBE644"/>
    <w:rsid w:val="92FF3DE6"/>
    <w:rsid w:val="AFEE2D01"/>
    <w:rsid w:val="BBFDED99"/>
    <w:rsid w:val="BDFD0E1B"/>
    <w:rsid w:val="BF7FC307"/>
    <w:rsid w:val="C775A97E"/>
    <w:rsid w:val="CC7EE142"/>
    <w:rsid w:val="CF6F8B4E"/>
    <w:rsid w:val="D6F6855B"/>
    <w:rsid w:val="D7F73119"/>
    <w:rsid w:val="DABFA47E"/>
    <w:rsid w:val="DB3E3CCF"/>
    <w:rsid w:val="DEDF86ED"/>
    <w:rsid w:val="DEFF29A1"/>
    <w:rsid w:val="DF571034"/>
    <w:rsid w:val="E2FD9A42"/>
    <w:rsid w:val="E6BE8510"/>
    <w:rsid w:val="E96E2C7B"/>
    <w:rsid w:val="EAFA6E78"/>
    <w:rsid w:val="EDD938E8"/>
    <w:rsid w:val="EDFF68D6"/>
    <w:rsid w:val="F45FABEA"/>
    <w:rsid w:val="F5F59F92"/>
    <w:rsid w:val="F76F85C3"/>
    <w:rsid w:val="F97BB14E"/>
    <w:rsid w:val="F9E7EAAB"/>
    <w:rsid w:val="FA6F9E5B"/>
    <w:rsid w:val="FEB76718"/>
    <w:rsid w:val="FF338262"/>
    <w:rsid w:val="FF53F1B1"/>
    <w:rsid w:val="FF611D4C"/>
    <w:rsid w:val="FFBBA200"/>
    <w:rsid w:val="FFD1AF35"/>
    <w:rsid w:val="FFFF76DB"/>
    <w:rsid w:val="FFFFA26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5">
    <w:name w:val="heading 1"/>
    <w:basedOn w:val="1"/>
    <w:next w:val="1"/>
    <w:qFormat/>
    <w:uiPriority w:val="0"/>
    <w:pPr>
      <w:keepNext/>
      <w:keepLines/>
      <w:spacing w:before="340" w:after="330" w:line="360" w:lineRule="auto"/>
      <w:jc w:val="center"/>
      <w:outlineLvl w:val="0"/>
    </w:pPr>
    <w:rPr>
      <w:rFonts w:ascii="楷体_GB2312" w:eastAsia="楷体_GB2312" w:cs="Times New Roman"/>
      <w:b/>
      <w:bCs/>
      <w:kern w:val="44"/>
      <w:sz w:val="44"/>
      <w:szCs w:val="44"/>
    </w:rPr>
  </w:style>
  <w:style w:type="paragraph" w:styleId="6">
    <w:name w:val="heading 2"/>
    <w:basedOn w:val="1"/>
    <w:next w:val="1"/>
    <w:qFormat/>
    <w:uiPriority w:val="0"/>
    <w:pPr>
      <w:keepNext/>
      <w:keepLines/>
      <w:spacing w:line="540" w:lineRule="exact"/>
      <w:jc w:val="left"/>
      <w:outlineLvl w:val="1"/>
    </w:pPr>
    <w:rPr>
      <w:rFonts w:ascii="Arial" w:hAnsi="Arial" w:cs="Times New Roman"/>
      <w:b/>
      <w:bCs/>
      <w:kern w:val="0"/>
      <w:szCs w:val="32"/>
    </w:rPr>
  </w:style>
  <w:style w:type="paragraph" w:styleId="7">
    <w:name w:val="heading 3"/>
    <w:basedOn w:val="1"/>
    <w:next w:val="1"/>
    <w:qFormat/>
    <w:uiPriority w:val="0"/>
    <w:pPr>
      <w:keepNext/>
      <w:keepLines/>
      <w:spacing w:line="360" w:lineRule="auto"/>
      <w:ind w:firstLine="482"/>
      <w:jc w:val="left"/>
      <w:outlineLvl w:val="2"/>
    </w:pPr>
    <w:rPr>
      <w:rFonts w:ascii="Cambria" w:hAnsi="Cambria" w:cs="Times New Roman"/>
      <w:b/>
      <w:bCs/>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sz w:val="21"/>
      <w:szCs w:val="24"/>
    </w:rPr>
  </w:style>
  <w:style w:type="paragraph" w:styleId="3">
    <w:name w:val="Body Text Indent"/>
    <w:basedOn w:val="1"/>
    <w:next w:val="4"/>
    <w:qFormat/>
    <w:uiPriority w:val="0"/>
    <w:pPr>
      <w:spacing w:line="200" w:lineRule="exact"/>
      <w:ind w:firstLine="301"/>
    </w:pPr>
    <w:rPr>
      <w:rFonts w:ascii="宋体" w:hAnsi="Courier New" w:cs="Times New Roman"/>
      <w:spacing w:val="-4"/>
      <w:kern w:val="0"/>
      <w:sz w:val="18"/>
      <w:szCs w:val="20"/>
    </w:rPr>
  </w:style>
  <w:style w:type="paragraph" w:styleId="4">
    <w:name w:val="Normal Indent"/>
    <w:basedOn w:val="1"/>
    <w:next w:val="3"/>
    <w:qFormat/>
    <w:uiPriority w:val="0"/>
    <w:pPr>
      <w:ind w:firstLine="420"/>
    </w:pPr>
    <w:rPr>
      <w:rFonts w:cs="Times New Roman"/>
      <w:szCs w:val="22"/>
    </w:rPr>
  </w:style>
  <w:style w:type="paragraph" w:styleId="8">
    <w:name w:val="List Number"/>
    <w:basedOn w:val="1"/>
    <w:qFormat/>
    <w:uiPriority w:val="0"/>
    <w:pPr>
      <w:numPr>
        <w:ilvl w:val="0"/>
        <w:numId w:val="1"/>
      </w:numPr>
    </w:p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qFormat/>
    <w:uiPriority w:val="0"/>
    <w:pPr>
      <w:jc w:val="left"/>
    </w:pPr>
  </w:style>
  <w:style w:type="paragraph" w:styleId="11">
    <w:name w:val="Body Text"/>
    <w:basedOn w:val="1"/>
    <w:next w:val="1"/>
    <w:link w:val="39"/>
    <w:qFormat/>
    <w:uiPriority w:val="0"/>
    <w:pPr>
      <w:spacing w:after="120"/>
    </w:pPr>
  </w:style>
  <w:style w:type="paragraph" w:styleId="12">
    <w:name w:val="Block Text"/>
    <w:basedOn w:val="1"/>
    <w:qFormat/>
    <w:uiPriority w:val="0"/>
    <w:pPr>
      <w:spacing w:before="120" w:line="360" w:lineRule="auto"/>
      <w:ind w:left="824" w:right="202"/>
    </w:pPr>
    <w:rPr>
      <w:rFonts w:ascii="宋体" w:cs="Times New Roman"/>
      <w:szCs w:val="21"/>
    </w:rPr>
  </w:style>
  <w:style w:type="paragraph" w:styleId="13">
    <w:name w:val="Plain Text"/>
    <w:basedOn w:val="1"/>
    <w:next w:val="1"/>
    <w:link w:val="40"/>
    <w:qFormat/>
    <w:uiPriority w:val="0"/>
    <w:pPr>
      <w:spacing w:beforeLines="50" w:afterLines="50" w:line="400" w:lineRule="exact"/>
    </w:pPr>
    <w:rPr>
      <w:rFonts w:ascii="宋体" w:hAnsi="Courier New" w:cs="Times New Roman"/>
      <w:kern w:val="0"/>
    </w:rPr>
  </w:style>
  <w:style w:type="paragraph" w:styleId="14">
    <w:name w:val="Date"/>
    <w:basedOn w:val="1"/>
    <w:next w:val="1"/>
    <w:qFormat/>
    <w:uiPriority w:val="0"/>
    <w:pPr>
      <w:ind w:left="2500" w:leftChars="2500"/>
    </w:pPr>
    <w:rPr>
      <w:rFonts w:eastAsia="楷体_GB2312"/>
      <w:kern w:val="0"/>
      <w:sz w:val="32"/>
      <w:szCs w:val="20"/>
    </w:rPr>
  </w:style>
  <w:style w:type="paragraph" w:styleId="15">
    <w:name w:val="Body Text Indent 2"/>
    <w:basedOn w:val="1"/>
    <w:qFormat/>
    <w:uiPriority w:val="0"/>
    <w:pPr>
      <w:spacing w:line="320" w:lineRule="atLeast"/>
      <w:ind w:firstLine="600" w:firstLineChars="250"/>
    </w:pPr>
    <w:rPr>
      <w:rFonts w:ascii="宋体" w:hAnsi="宋体"/>
    </w:rPr>
  </w:style>
  <w:style w:type="paragraph" w:styleId="16">
    <w:name w:val="Balloon Text"/>
    <w:basedOn w:val="1"/>
    <w:qFormat/>
    <w:uiPriority w:val="0"/>
    <w:rPr>
      <w:rFonts w:cs="Times New Roman"/>
      <w:kern w:val="0"/>
      <w:sz w:val="18"/>
      <w:szCs w:val="18"/>
    </w:rPr>
  </w:style>
  <w:style w:type="paragraph" w:styleId="17">
    <w:name w:val="footer"/>
    <w:basedOn w:val="1"/>
    <w:qFormat/>
    <w:uiPriority w:val="0"/>
    <w:pPr>
      <w:tabs>
        <w:tab w:val="center" w:pos="4153"/>
        <w:tab w:val="right" w:pos="8306"/>
      </w:tabs>
      <w:snapToGrid w:val="0"/>
      <w:jc w:val="left"/>
    </w:pPr>
    <w:rPr>
      <w:rFonts w:cs="Times New Roman"/>
      <w:kern w:val="0"/>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9">
    <w:name w:val="toc 1"/>
    <w:basedOn w:val="1"/>
    <w:next w:val="1"/>
    <w:qFormat/>
    <w:uiPriority w:val="0"/>
    <w:rPr>
      <w:rFonts w:cs="Times New Roman"/>
    </w:rPr>
  </w:style>
  <w:style w:type="paragraph" w:styleId="20">
    <w:name w:val="List"/>
    <w:basedOn w:val="1"/>
    <w:qFormat/>
    <w:uiPriority w:val="0"/>
    <w:pPr>
      <w:ind w:left="200" w:hanging="200" w:hangingChars="200"/>
    </w:pPr>
    <w:rPr>
      <w:sz w:val="28"/>
    </w:rPr>
  </w:style>
  <w:style w:type="paragraph" w:styleId="21">
    <w:name w:val="Body Text Indent 3"/>
    <w:basedOn w:val="1"/>
    <w:qFormat/>
    <w:uiPriority w:val="0"/>
    <w:pPr>
      <w:snapToGrid w:val="0"/>
      <w:ind w:firstLine="480" w:firstLineChars="200"/>
      <w:jc w:val="left"/>
    </w:pPr>
    <w:rPr>
      <w:rFonts w:ascii="仿宋_GB2312" w:hAnsi="宋体" w:eastAsia="仿宋_GB2312" w:cs="Times New Roman"/>
      <w:color w:val="000000"/>
      <w:kern w:val="0"/>
    </w:rPr>
  </w:style>
  <w:style w:type="paragraph" w:styleId="22">
    <w:name w:val="Normal (Web)"/>
    <w:basedOn w:val="1"/>
    <w:qFormat/>
    <w:uiPriority w:val="0"/>
    <w:pPr>
      <w:widowControl/>
      <w:spacing w:before="100" w:beforeAutospacing="1" w:after="100" w:afterAutospacing="1"/>
      <w:jc w:val="left"/>
    </w:pPr>
    <w:rPr>
      <w:rFonts w:ascii="宋体" w:hAnsi="宋体" w:cs="Times New Roman"/>
      <w:kern w:val="0"/>
    </w:rPr>
  </w:style>
  <w:style w:type="paragraph" w:styleId="23">
    <w:name w:val="Body Text First Indent"/>
    <w:basedOn w:val="11"/>
    <w:next w:val="1"/>
    <w:qFormat/>
    <w:uiPriority w:val="0"/>
    <w:pPr>
      <w:ind w:firstLine="420" w:firstLineChars="1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rFonts w:ascii="Times New Roman" w:hAnsi="Times New Roman" w:eastAsia="宋体" w:cs="Times New Roman"/>
      <w:color w:val="0000FF"/>
      <w:u w:val="single"/>
    </w:rPr>
  </w:style>
  <w:style w:type="character" w:styleId="30">
    <w:name w:val="HTML Sample"/>
    <w:basedOn w:val="26"/>
    <w:qFormat/>
    <w:uiPriority w:val="0"/>
    <w:rPr>
      <w:rFonts w:ascii="Courier New" w:hAnsi="Courier New"/>
    </w:rPr>
  </w:style>
  <w:style w:type="paragraph" w:customStyle="1" w:styleId="31">
    <w:name w:val="xl53"/>
    <w:basedOn w:val="1"/>
    <w:next w:val="1"/>
    <w:qFormat/>
    <w:uiPriority w:val="0"/>
    <w:pPr>
      <w:spacing w:before="280" w:after="280" w:line="100" w:lineRule="exact"/>
      <w:jc w:val="center"/>
    </w:pPr>
    <w:rPr>
      <w:b/>
      <w:sz w:val="20"/>
    </w:rPr>
  </w:style>
  <w:style w:type="paragraph" w:customStyle="1" w:styleId="32">
    <w:name w:val="标准正文"/>
    <w:basedOn w:val="1"/>
    <w:qFormat/>
    <w:uiPriority w:val="0"/>
    <w:pPr>
      <w:spacing w:line="360" w:lineRule="auto"/>
      <w:ind w:firstLine="200" w:firstLineChars="200"/>
    </w:pPr>
    <w:rPr>
      <w:rFonts w:cs="Times New Roman"/>
      <w:szCs w:val="20"/>
    </w:rPr>
  </w:style>
  <w:style w:type="paragraph" w:customStyle="1" w:styleId="33">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4">
    <w:name w:val="正文2"/>
    <w:basedOn w:val="1"/>
    <w:qFormat/>
    <w:uiPriority w:val="0"/>
    <w:pPr>
      <w:spacing w:before="156" w:line="360" w:lineRule="auto"/>
      <w:ind w:firstLine="510" w:firstLineChars="200"/>
    </w:pPr>
    <w:rPr>
      <w:szCs w:val="20"/>
    </w:rPr>
  </w:style>
  <w:style w:type="paragraph" w:customStyle="1" w:styleId="35">
    <w:name w:val="List Paragraph1"/>
    <w:basedOn w:val="1"/>
    <w:qFormat/>
    <w:uiPriority w:val="0"/>
    <w:pPr>
      <w:ind w:firstLine="200" w:firstLineChars="200"/>
    </w:pPr>
    <w:rPr>
      <w:sz w:val="28"/>
      <w:szCs w:val="28"/>
    </w:rPr>
  </w:style>
  <w:style w:type="paragraph" w:customStyle="1" w:styleId="36">
    <w:name w:val="纯文本1"/>
    <w:basedOn w:val="1"/>
    <w:qFormat/>
    <w:uiPriority w:val="0"/>
    <w:pPr>
      <w:adjustRightInd w:val="0"/>
      <w:textAlignment w:val="baseline"/>
    </w:pPr>
    <w:rPr>
      <w:rFonts w:ascii="宋体" w:hAnsi="Courier New" w:eastAsia="楷体_GB2312" w:cs="Times New Roman"/>
      <w:sz w:val="26"/>
      <w:szCs w:val="20"/>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
    <w:name w:val="纯文本2"/>
    <w:basedOn w:val="1"/>
    <w:qFormat/>
    <w:uiPriority w:val="0"/>
    <w:pPr>
      <w:adjustRightInd w:val="0"/>
      <w:textAlignment w:val="baseline"/>
    </w:pPr>
    <w:rPr>
      <w:rFonts w:ascii="宋体" w:hAnsi="Courier New" w:eastAsia="楷体_GB2312" w:cs="Times New Roman"/>
      <w:sz w:val="26"/>
      <w:szCs w:val="20"/>
    </w:rPr>
  </w:style>
  <w:style w:type="character" w:customStyle="1" w:styleId="39">
    <w:name w:val="正文文本 Char"/>
    <w:basedOn w:val="26"/>
    <w:link w:val="11"/>
    <w:qFormat/>
    <w:uiPriority w:val="0"/>
    <w:rPr>
      <w:rFonts w:ascii="Times New Roman" w:hAnsi="Times New Roman" w:eastAsia="宋体" w:cs="宋体"/>
      <w:kern w:val="2"/>
      <w:sz w:val="24"/>
      <w:szCs w:val="24"/>
    </w:rPr>
  </w:style>
  <w:style w:type="character" w:customStyle="1" w:styleId="40">
    <w:name w:val="纯文本 Char"/>
    <w:basedOn w:val="26"/>
    <w:link w:val="13"/>
    <w:qFormat/>
    <w:uiPriority w:val="0"/>
    <w:rPr>
      <w:rFonts w:ascii="宋体" w:hAnsi="Courier New"/>
      <w:sz w:val="24"/>
      <w:szCs w:val="24"/>
    </w:rPr>
  </w:style>
  <w:style w:type="paragraph" w:customStyle="1" w:styleId="41">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42">
    <w:name w:val="默认段落字体 Para Char Char Char Char Char Char Char Char Char1 Char Char Char Char"/>
    <w:basedOn w:val="1"/>
    <w:qFormat/>
    <w:uiPriority w:val="0"/>
    <w:rPr>
      <w:rFonts w:ascii="Tahoma" w:hAnsi="Tahoma"/>
      <w:sz w:val="24"/>
      <w:szCs w:val="20"/>
    </w:rPr>
  </w:style>
  <w:style w:type="paragraph" w:customStyle="1" w:styleId="43">
    <w:name w:val="Plain Text"/>
    <w:basedOn w:val="1"/>
    <w:qFormat/>
    <w:uiPriority w:val="0"/>
    <w:pPr>
      <w:adjustRightInd w:val="0"/>
      <w:textAlignment w:val="baseline"/>
    </w:pPr>
    <w:rPr>
      <w:rFonts w:ascii="宋体" w:hAnsi="Courier New" w:eastAsia="楷体_GB2312"/>
      <w:sz w:val="26"/>
      <w:szCs w:val="20"/>
    </w:rPr>
  </w:style>
  <w:style w:type="paragraph" w:customStyle="1" w:styleId="44">
    <w:name w:val="Plain Text1"/>
    <w:basedOn w:val="1"/>
    <w:qFormat/>
    <w:uiPriority w:val="99"/>
    <w:pPr>
      <w:adjustRightInd w:val="0"/>
      <w:textAlignment w:val="baseline"/>
    </w:pPr>
    <w:rPr>
      <w:rFonts w:ascii="宋体" w:hAnsi="Courier New" w:eastAsia="楷体_GB2312"/>
      <w:sz w:val="26"/>
      <w:szCs w:val="20"/>
    </w:rPr>
  </w:style>
  <w:style w:type="paragraph" w:customStyle="1" w:styleId="45">
    <w:name w:val="xl25"/>
    <w:basedOn w:val="1"/>
    <w:qFormat/>
    <w:uiPriority w:val="99"/>
    <w:pPr>
      <w:widowControl/>
      <w:spacing w:before="100" w:beforeAutospacing="1" w:after="100" w:afterAutospacing="1"/>
      <w:jc w:val="center"/>
    </w:pPr>
    <w:rPr>
      <w:rFonts w:ascii="楷体_GB2312" w:hAnsi="宋体" w:eastAsia="楷体_GB2312"/>
      <w:kern w:val="0"/>
      <w:sz w:val="24"/>
      <w:szCs w:val="20"/>
    </w:rPr>
  </w:style>
  <w:style w:type="paragraph" w:customStyle="1" w:styleId="46">
    <w:name w:val="正文段"/>
    <w:basedOn w:val="1"/>
    <w:qFormat/>
    <w:uiPriority w:val="0"/>
    <w:pPr>
      <w:widowControl/>
      <w:snapToGrid w:val="0"/>
      <w:spacing w:after="50" w:afterLines="50"/>
      <w:ind w:firstLine="200" w:firstLineChars="200"/>
    </w:pPr>
    <w:rPr>
      <w:kern w:val="0"/>
      <w:sz w:val="24"/>
      <w:szCs w:val="20"/>
    </w:rPr>
  </w:style>
  <w:style w:type="paragraph" w:customStyle="1" w:styleId="47">
    <w:name w:val="样式 标题 2 + Times New Roman 四号 非加粗 段前: 5 磅 段后: 0 磅 行距: 固定值 20..."/>
    <w:basedOn w:val="6"/>
    <w:qFormat/>
    <w:uiPriority w:val="0"/>
    <w:pPr>
      <w:spacing w:before="100" w:line="400" w:lineRule="exact"/>
    </w:pPr>
    <w:rPr>
      <w:rFonts w:ascii="Verdana" w:hAnsi="Verdana" w:cs="等线 Light"/>
      <w:b w:val="0"/>
      <w:bCs w:val="0"/>
      <w:sz w:val="28"/>
      <w:szCs w:val="20"/>
    </w:rPr>
  </w:style>
  <w:style w:type="paragraph" w:customStyle="1" w:styleId="48">
    <w:name w:val="正文_0"/>
    <w:basedOn w:val="1"/>
    <w:qFormat/>
    <w:uiPriority w:val="0"/>
    <w:rPr>
      <w:rFonts w:ascii="华文中宋" w:hAnsi="华文中宋" w:eastAsia="等线 Light" w:cs="Times New Roman"/>
      <w:sz w:val="21"/>
      <w:szCs w:val="22"/>
    </w:rPr>
  </w:style>
  <w:style w:type="paragraph" w:customStyle="1" w:styleId="49">
    <w:name w:val="1正文"/>
    <w:basedOn w:val="1"/>
    <w:qFormat/>
    <w:uiPriority w:val="0"/>
    <w:rPr>
      <w:rFonts w:ascii="宋体" w:hAnsi="宋体"/>
      <w:color w:val="000000"/>
      <w:sz w:val="15"/>
      <w:szCs w:val="1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2017.4</Company>
  <Pages>5</Pages>
  <Words>3245</Words>
  <Characters>3477</Characters>
  <Lines>279</Lines>
  <Paragraphs>78</Paragraphs>
  <TotalTime>12</TotalTime>
  <ScaleCrop>false</ScaleCrop>
  <LinksUpToDate>false</LinksUpToDate>
  <CharactersWithSpaces>3528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2022-03-28T15:25:00Z</dcterms:created>
  <dc:creator>thtf-5</dc:creator>
  <cp:lastModifiedBy>admin</cp:lastModifiedBy>
  <cp:lastPrinted>2022-06-27T16:21:00Z</cp:lastPrinted>
  <dcterms:modified xsi:type="dcterms:W3CDTF">2025-02-19T01:48:11Z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DD3446510D454732B69175C38BB23CA9</vt:lpwstr>
  </property>
  <property fmtid="{D5CDD505-2E9C-101B-9397-08002B2CF9AE}" pid="4" name="woTemplateTypoMode" linkTarget="0">
    <vt:lpwstr>web</vt:lpwstr>
  </property>
  <property fmtid="{D5CDD505-2E9C-101B-9397-08002B2CF9AE}" pid="5" name="woTemplate" linkTarget="0">
    <vt:i4>1</vt:i4>
  </property>
</Properties>
</file>