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4" w:leftChars="7" w:right="-14" w:rightChars="-7"/>
        <w:contextualSpacing/>
        <w:outlineLvl w:val="0"/>
        <w:rPr>
          <w:rFonts w:ascii="宋体" w:hAnsi="宋体" w:cs="Arial"/>
          <w:b/>
          <w:bCs/>
          <w:sz w:val="28"/>
          <w:szCs w:val="28"/>
        </w:rPr>
      </w:pPr>
      <w:bookmarkStart w:id="0" w:name="_Toc70353021"/>
      <w:bookmarkStart w:id="1" w:name="_Toc70352169"/>
      <w:r>
        <w:rPr>
          <w:rFonts w:hint="eastAsia" w:ascii="宋体" w:hAnsi="宋体" w:cs="Arial"/>
          <w:b/>
          <w:bCs/>
          <w:sz w:val="28"/>
          <w:szCs w:val="28"/>
        </w:rPr>
        <w:t>附件</w:t>
      </w:r>
      <w:bookmarkEnd w:id="0"/>
      <w:bookmarkEnd w:id="1"/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4</w:t>
      </w:r>
      <w:bookmarkStart w:id="7" w:name="_GoBack"/>
      <w:bookmarkEnd w:id="7"/>
      <w:r>
        <w:rPr>
          <w:rFonts w:hint="eastAsia" w:ascii="宋体" w:hAnsi="宋体" w:cs="Arial"/>
          <w:b/>
          <w:bCs/>
          <w:sz w:val="28"/>
          <w:szCs w:val="28"/>
        </w:rPr>
        <w:t>：</w:t>
      </w:r>
    </w:p>
    <w:p>
      <w:pPr>
        <w:spacing w:line="440" w:lineRule="exact"/>
        <w:jc w:val="left"/>
        <w:rPr>
          <w:rFonts w:ascii="黑体" w:eastAsia="黑体"/>
          <w:sz w:val="32"/>
        </w:rPr>
      </w:pPr>
      <w:bookmarkStart w:id="2" w:name="jinjicd"/>
      <w:bookmarkEnd w:id="2"/>
    </w:p>
    <w:tbl>
      <w:tblPr>
        <w:tblStyle w:val="2"/>
        <w:tblW w:w="94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268"/>
      </w:tblGrid>
      <w:tr>
        <w:tblPrEx>
          <w:tblLayout w:type="fixed"/>
        </w:tblPrEx>
        <w:trPr>
          <w:jc w:val="center"/>
        </w:trPr>
        <w:tc>
          <w:tcPr>
            <w:tcW w:w="7230" w:type="dxa"/>
            <w:vAlign w:val="center"/>
          </w:tcPr>
          <w:p>
            <w:pPr>
              <w:pStyle w:val="5"/>
              <w:ind w:right="-131"/>
              <w:rPr>
                <w:rFonts w:ascii="方正小标宋简体" w:hAnsi="华文中宋" w:eastAsia="方正小标宋简体"/>
                <w:b w:val="0"/>
                <w:color w:val="FF0000"/>
                <w:spacing w:val="140"/>
                <w:sz w:val="72"/>
                <w:szCs w:val="72"/>
              </w:rPr>
            </w:pPr>
            <w:bookmarkStart w:id="3" w:name="wenjiantou"/>
            <w:r>
              <w:rPr>
                <w:rFonts w:hint="eastAsia" w:ascii="方正小标宋简体" w:hAnsi="华文中宋" w:eastAsia="方正小标宋简体"/>
                <w:b w:val="0"/>
                <w:color w:val="FF0000"/>
                <w:spacing w:val="242"/>
                <w:sz w:val="72"/>
                <w:szCs w:val="72"/>
              </w:rPr>
              <w:t>丽水市财政</w:t>
            </w:r>
            <w:r>
              <w:rPr>
                <w:rFonts w:hint="eastAsia" w:ascii="方正小标宋简体" w:hAnsi="华文中宋" w:eastAsia="方正小标宋简体"/>
                <w:b w:val="0"/>
                <w:color w:val="FF0000"/>
                <w:spacing w:val="1"/>
                <w:sz w:val="72"/>
                <w:szCs w:val="72"/>
              </w:rPr>
              <w:t>局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ind w:right="-142" w:rightChars="-71"/>
              <w:rPr>
                <w:rFonts w:ascii="方正小标宋简体" w:hAnsi="华文中宋" w:eastAsia="方正小标宋简体"/>
                <w:b w:val="0"/>
                <w:color w:val="FF0000"/>
                <w:spacing w:val="140"/>
                <w:kern w:val="72"/>
                <w:sz w:val="72"/>
                <w:szCs w:val="72"/>
              </w:rPr>
            </w:pPr>
            <w:r>
              <w:rPr>
                <w:rFonts w:hint="eastAsia" w:ascii="方正小标宋简体" w:hAnsi="华文中宋" w:eastAsia="方正小标宋简体"/>
                <w:b w:val="0"/>
                <w:color w:val="FF0000"/>
                <w:spacing w:val="140"/>
                <w:kern w:val="72"/>
                <w:sz w:val="72"/>
                <w:szCs w:val="72"/>
              </w:rPr>
              <w:t>文件</w:t>
            </w:r>
          </w:p>
        </w:tc>
      </w:tr>
      <w:bookmarkEnd w:id="3"/>
    </w:tbl>
    <w:p>
      <w:pPr>
        <w:spacing w:line="560" w:lineRule="exact"/>
        <w:jc w:val="center"/>
        <w:rPr>
          <w:rFonts w:ascii="仿宋_GB2312" w:eastAsia="仿宋_GB2312"/>
        </w:rPr>
      </w:pPr>
    </w:p>
    <w:p>
      <w:pPr>
        <w:spacing w:line="560" w:lineRule="exact"/>
        <w:jc w:val="center"/>
        <w:rPr>
          <w:rFonts w:ascii="仿宋_GB2312" w:eastAsia="仿宋_GB2312"/>
        </w:rPr>
      </w:pPr>
    </w:p>
    <w:p>
      <w:pPr>
        <w:spacing w:line="560" w:lineRule="exact"/>
        <w:jc w:val="center"/>
        <w:rPr>
          <w:rFonts w:ascii="仿宋_GB2312" w:eastAsia="仿宋_GB2312"/>
          <w:sz w:val="36"/>
        </w:rPr>
      </w:pPr>
      <w:bookmarkStart w:id="4" w:name="fwzh"/>
      <w:r>
        <w:rPr>
          <w:rFonts w:hint="eastAsia" w:ascii="仿宋_GB2312" w:eastAsia="仿宋_GB2312"/>
          <w:sz w:val="32"/>
        </w:rPr>
        <w:t>丽财预〔2016〕221号</w:t>
      </w:r>
      <w:bookmarkEnd w:id="4"/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560" w:lineRule="exact"/>
        <w:jc w:val="center"/>
        <w:rPr>
          <w:rFonts w:ascii="仿宋_GB2312" w:eastAsia="仿宋_GB2312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232410</wp:posOffset>
                </wp:positionV>
                <wp:extent cx="59055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18.3pt;height:0pt;width:465pt;z-index:251659264;mso-width-relative:page;mso-height-relative:page;" filled="f" stroked="t" coordsize="21600,21600" o:gfxdata="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GLlmDTAAAABgEAAA8AAAAAAAAAAQAgAAAAIgAAAGRycy9kb3du&#10;cmV2LnhtbFBLAQIUABQAAAAIAIdO4kBkTppxywEAAF0DAAAOAAAAAAAAAAEAIAAAACIBAABkcnMv&#10;ZTJvRG9jLnhtbFBLBQYAAAAABgAGAFkBAABf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</w:rPr>
        <w:t xml:space="preserve">                   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/>
          <w:sz w:val="44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 w:val="44"/>
        </w:rPr>
      </w:pPr>
      <w:bookmarkStart w:id="5" w:name="filename"/>
      <w:r>
        <w:rPr>
          <w:rFonts w:hint="eastAsia" w:ascii="方正小标宋简体" w:eastAsia="方正小标宋简体"/>
          <w:b/>
          <w:sz w:val="44"/>
        </w:rPr>
        <w:t>丽水市财政局关于印发《丽水市本级单位物业管理费管理规定（试行）》的通知</w:t>
      </w:r>
      <w:bookmarkEnd w:id="5"/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bookmarkStart w:id="6" w:name="zsbm"/>
      <w:r>
        <w:rPr>
          <w:rFonts w:hint="eastAsia" w:ascii="仿宋_GB2312" w:eastAsia="仿宋_GB2312"/>
          <w:sz w:val="32"/>
          <w:szCs w:val="32"/>
        </w:rPr>
        <w:t>市本级各预算单位</w:t>
      </w:r>
      <w:bookmarkEnd w:id="6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为规范各行政事业单位的物业管理费用支出，经研究，特制定《丽水市本级单位物业管理费管理规定（试行）》，现予印发，请遵照实施。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5830" w:firstLineChars="182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丽水市财政局</w:t>
      </w:r>
    </w:p>
    <w:p>
      <w:pPr>
        <w:spacing w:line="520" w:lineRule="exact"/>
        <w:ind w:firstLine="5513" w:firstLineChars="172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2016年8月22日</w:t>
      </w:r>
    </w:p>
    <w:p>
      <w:pPr>
        <w:spacing w:line="520" w:lineRule="exact"/>
        <w:ind w:firstLine="4880" w:firstLineChars="15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18" w:right="1418" w:bottom="1418" w:left="1418" w:header="851" w:footer="851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方正小标宋简体" w:hAnsi="华文中宋" w:eastAsia="方正小标宋简体" w:cs="宋体"/>
          <w:b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kern w:val="0"/>
          <w:sz w:val="44"/>
          <w:szCs w:val="44"/>
        </w:rPr>
        <w:t>丽水市本级单位物业管理费管理规定（试行）</w:t>
      </w:r>
    </w:p>
    <w:p>
      <w:pPr>
        <w:widowControl/>
        <w:spacing w:line="520" w:lineRule="exact"/>
        <w:ind w:firstLine="643" w:firstLineChars="200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为进一步规范市本级单位物业费管理，建立高效、透明的财政支出管理制度，使部门预算编制更趋科学、合理，根据省级单位物业管理服务标准，结合市本级单位实际情况，制定本办法。</w:t>
      </w:r>
    </w:p>
    <w:p>
      <w:pPr>
        <w:widowControl/>
        <w:wordWrap w:val="0"/>
        <w:spacing w:line="520" w:lineRule="exact"/>
        <w:ind w:firstLine="633" w:firstLineChars="198"/>
        <w:contextualSpacing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一、适用范围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本规定适用于纳入市本级部门预算的全额拨款单位，包括党政机关、人大机关、政协机关、审判机关、检察机关、民主党派、事业单位和社会团体等。</w:t>
      </w:r>
    </w:p>
    <w:p>
      <w:pPr>
        <w:widowControl/>
        <w:wordWrap w:val="0"/>
        <w:spacing w:line="520" w:lineRule="exact"/>
        <w:ind w:firstLine="633" w:firstLineChars="198"/>
        <w:contextualSpacing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二、物业管理费支出范围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物业管理费支出范围包括以下六类：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（一）房屋日常养护维修费。</w:t>
      </w:r>
      <w:r>
        <w:rPr>
          <w:rFonts w:hint="eastAsia" w:ascii="仿宋_GB2312" w:eastAsia="仿宋_GB2312"/>
          <w:sz w:val="32"/>
          <w:szCs w:val="32"/>
        </w:rPr>
        <w:t>主要是指房屋的日常管理与维护，包括房屋地墙顶面、家具、门窗等检查维护与零星维修费，维修工劳保用品配备费等。对房屋进行改扩建、整体装饰装修等改变固定资产价值和大修项目不包含在内。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（二）设备设施管理维护费。</w:t>
      </w:r>
      <w:r>
        <w:rPr>
          <w:rFonts w:hint="eastAsia" w:ascii="仿宋_GB2312" w:eastAsia="仿宋_GB2312"/>
          <w:sz w:val="32"/>
          <w:szCs w:val="32"/>
        </w:rPr>
        <w:t>主要是指给排水系统、供配电系统、照明系统、弱电系统、避雷系统、空调系统、电梯系统、消防设施、监控设施等的管理维护费。包括供排水系统维护保养费及零星维修费，锅炉、水箱、管道、管件、阀门、相关专用工具等维护保养维修费；供电、照明、信息网络、电话、广播、有线电视等线路维护维修费，仪表开关、灯具更换费，供配电等系统年检费等；避雷系统、空调系统、电梯系统的维护保养和零星维修费等；监控、安保系统设备维护保养和零星维修费，消防系统定期检查、定期试验费，灭火剂等消防用品更换费，消防演练费，消防杂志订阅费及消防管理责任金等费用。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（三）环境卫生管理费。</w:t>
      </w:r>
      <w:r>
        <w:rPr>
          <w:rFonts w:hint="eastAsia" w:ascii="仿宋_GB2312" w:eastAsia="仿宋_GB2312"/>
          <w:sz w:val="32"/>
          <w:szCs w:val="32"/>
        </w:rPr>
        <w:t>主要是指室内外公共区域的日常清洁保养所发生的费用。包括保洁、清洁、消毒、杀虫、灭鼠、垃圾清运、外墙清洗、打蜡等费用，化粪池清掏、隔油池清掏、管道窨井疏通等费用，日常工具（扫把、畚箕、拖把、垃圾桶、毛巾、手套、工作服等）和常用消耗品（垃圾袋、厕纸、抹手纸、洗手液、肥皂、洗衣粉、消毒液、漂白水、清洁球、洗涤剂、空气清新剂等），清洁专用工具（擦地机、打磨机、吸尘器、洗衣机、烘干机等）保养维修折旧费，石材养护费，向相关部门缴纳的垃圾清运费、排污费、爱卫会收费、灭鼠灭虫费等。</w:t>
      </w:r>
    </w:p>
    <w:p>
      <w:pPr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（四）绿化养护费。</w:t>
      </w:r>
      <w:r>
        <w:rPr>
          <w:rFonts w:hint="eastAsia" w:ascii="仿宋_GB2312" w:eastAsia="仿宋_GB2312"/>
          <w:sz w:val="32"/>
          <w:szCs w:val="32"/>
        </w:rPr>
        <w:t>主要是指对室外区域的花坛、绿地等进行的日常养护管理以及室内场所的绿化养护、摆租等所发生的费用。</w:t>
      </w:r>
    </w:p>
    <w:p>
      <w:pPr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（五）门卫、保安秩序管理费。</w:t>
      </w:r>
      <w:r>
        <w:rPr>
          <w:rFonts w:hint="eastAsia" w:ascii="仿宋_GB2312" w:eastAsia="仿宋_GB2312"/>
          <w:sz w:val="32"/>
          <w:szCs w:val="32"/>
        </w:rPr>
        <w:t>主要是指为保证办公楼（区）的安全和正常工作秩序，对来人来访进行登记、查验，防止盗窃、破坏及意外事故；对办公区车辆、道路及环境秩序实施管理以及对内部秩序进行管理所发生的费用。包括接待、门卫、保安管理费，相关人员护卫用具（警用装备、安全帽、服装等）、通讯设备（对讲机等）购置及维护费。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（六）其他费用。</w:t>
      </w:r>
      <w:r>
        <w:rPr>
          <w:rFonts w:hint="eastAsia" w:ascii="仿宋_GB2312" w:eastAsia="仿宋_GB2312"/>
          <w:sz w:val="32"/>
          <w:szCs w:val="32"/>
        </w:rPr>
        <w:t>除以上费用外难以归类的费用。如门前三包费、物业管理资料档案管理费等。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费用应包括人工费、原材料费、外请服务费、规费、税费及物业公司利润等所有费用。物业管理费不包括办公室租赁费、水费、电费、燃气费、电话费、有线电视费、网络租赁费、办公用品购置费及其他与物业管理无关的费用。</w:t>
      </w:r>
    </w:p>
    <w:p>
      <w:pPr>
        <w:widowControl/>
        <w:wordWrap w:val="0"/>
        <w:spacing w:line="520" w:lineRule="exact"/>
        <w:ind w:firstLine="633" w:firstLineChars="198"/>
        <w:contextualSpacing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三、物业管理费支出标准</w:t>
      </w:r>
    </w:p>
    <w:p>
      <w:pPr>
        <w:widowControl/>
        <w:wordWrap w:val="0"/>
        <w:spacing w:line="52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根据《浙江省省级单位物业管理费管理规定》的有关标准，结合我市实际，</w:t>
      </w:r>
      <w:r>
        <w:rPr>
          <w:rFonts w:hint="eastAsia" w:ascii="仿宋_GB2312" w:eastAsia="仿宋_GB2312"/>
          <w:sz w:val="32"/>
          <w:szCs w:val="32"/>
        </w:rPr>
        <w:t>市本级全额拨款单位原则上按不高于8.0元/平方米/月的物业费支出标准执行，超出标准的须由财政部门核准。</w:t>
      </w:r>
    </w:p>
    <w:p>
      <w:pPr>
        <w:widowControl/>
        <w:wordWrap w:val="0"/>
        <w:spacing w:line="520" w:lineRule="exact"/>
        <w:ind w:firstLine="633" w:firstLineChars="198"/>
        <w:contextualSpacing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四、其他</w:t>
      </w:r>
    </w:p>
    <w:p>
      <w:pPr>
        <w:widowControl/>
        <w:wordWrap w:val="0"/>
        <w:spacing w:line="520" w:lineRule="exact"/>
        <w:ind w:firstLine="633" w:firstLineChars="198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以前年度已安排物业管理费的单位预算安排可按原有规定执行，部门预算未安排物业费的单位可在既有部门预算经常性项目经费（或公用经费）中按</w:t>
      </w:r>
      <w:r>
        <w:rPr>
          <w:rFonts w:hint="eastAsia" w:ascii="仿宋_GB2312" w:eastAsia="仿宋_GB2312"/>
          <w:color w:val="000000"/>
          <w:sz w:val="32"/>
          <w:szCs w:val="32"/>
        </w:rPr>
        <w:t>不高于8.0元/平方米/月的</w:t>
      </w:r>
      <w:r>
        <w:rPr>
          <w:rFonts w:hint="eastAsia" w:ascii="仿宋_GB2312" w:eastAsia="仿宋_GB2312"/>
          <w:sz w:val="32"/>
          <w:szCs w:val="32"/>
        </w:rPr>
        <w:t>标准列支物业费。今后，对新建大楼，在既有部门预算资金中安排物业费确有困难的，财政部门将结合市本级财力及单位实际情况，适当提高该单位经常性项目经费额度。</w:t>
      </w:r>
    </w:p>
    <w:p>
      <w:pPr>
        <w:widowControl/>
        <w:wordWrap w:val="0"/>
        <w:spacing w:line="520" w:lineRule="exact"/>
        <w:ind w:firstLine="633" w:firstLineChars="198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本《规定》自2017年1月1日起施行。</w:t>
      </w:r>
    </w:p>
    <w:p>
      <w:pPr>
        <w:autoSpaceDE w:val="0"/>
        <w:autoSpaceDN w:val="0"/>
        <w:spacing w:line="500" w:lineRule="exact"/>
        <w:jc w:val="center"/>
        <w:rPr>
          <w:rFonts w:ascii="仿宋_GB2312" w:eastAsia="仿宋_GB2312"/>
          <w:sz w:val="30"/>
        </w:rPr>
        <w:sectPr>
          <w:pgSz w:w="11906" w:h="16838"/>
          <w:pgMar w:top="1418" w:right="1418" w:bottom="1418" w:left="1418" w:header="851" w:footer="851" w:gutter="0"/>
          <w:cols w:space="425" w:num="1"/>
          <w:docGrid w:linePitch="312" w:charSpace="0"/>
        </w:sectPr>
      </w:pPr>
    </w:p>
    <w:p>
      <w:pPr>
        <w:autoSpaceDE w:val="0"/>
        <w:autoSpaceDN w:val="0"/>
        <w:spacing w:line="500" w:lineRule="exact"/>
        <w:jc w:val="center"/>
        <w:rPr>
          <w:rStyle w:val="4"/>
          <w:rFonts w:ascii="宋体" w:hAnsi="宋体" w:cs="宋体"/>
          <w:b/>
          <w:sz w:val="32"/>
          <w:szCs w:val="32"/>
        </w:rPr>
      </w:pPr>
      <w:r>
        <w:rPr>
          <w:rStyle w:val="4"/>
          <w:rFonts w:hint="eastAsia" w:ascii="宋体" w:hAnsi="宋体" w:cs="宋体"/>
          <w:b/>
          <w:sz w:val="32"/>
          <w:szCs w:val="32"/>
        </w:rPr>
        <w:t>物业管理费支出测算标准</w:t>
      </w:r>
    </w:p>
    <w:p>
      <w:pPr>
        <w:autoSpaceDE w:val="0"/>
        <w:autoSpaceDN w:val="0"/>
        <w:spacing w:line="500" w:lineRule="exact"/>
        <w:ind w:firstLine="420" w:firstLineChars="200"/>
        <w:jc w:val="right"/>
        <w:rPr>
          <w:rStyle w:val="4"/>
          <w:rFonts w:ascii="宋体" w:hAnsi="宋体" w:cs="宋体"/>
        </w:rPr>
      </w:pPr>
      <w:r>
        <w:rPr>
          <w:rStyle w:val="4"/>
          <w:rFonts w:hint="eastAsia" w:ascii="宋体" w:hAnsi="宋体" w:cs="宋体"/>
        </w:rPr>
        <w:t>单位：元/平方米/月</w:t>
      </w:r>
    </w:p>
    <w:tbl>
      <w:tblPr>
        <w:tblStyle w:val="2"/>
        <w:tblW w:w="8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116"/>
        <w:gridCol w:w="184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子项目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测算标准</w:t>
            </w:r>
          </w:p>
        </w:tc>
        <w:tc>
          <w:tcPr>
            <w:tcW w:w="2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房屋日常管理与维护费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1.9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房屋建筑面积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传达保安秩序管理及巡查费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1.9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环境卫生管理费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1.4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绿化管理维护费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0.9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供电设备、弱电系统管理维护费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0.55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空调系统管理维护费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0.36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消防、监控设施管理维护费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0.36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给排水系统管理维护费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0.27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其它物业管理费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0.36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2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snapToGrid w:val="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注：物业管理费支出标准8.0元/平方米/月包含电梯运行维护费，电梯运行维护费从各子项目费用中统筹列支。电梯维护费用最高</w:t>
      </w:r>
      <w:r>
        <w:rPr>
          <w:rFonts w:ascii="宋体" w:hAnsi="宋体" w:cs="宋体"/>
          <w:kern w:val="0"/>
          <w:sz w:val="24"/>
          <w:lang w:val="zh-CN"/>
        </w:rPr>
        <w:t>限价</w:t>
      </w:r>
      <w:r>
        <w:rPr>
          <w:rFonts w:hint="eastAsia" w:ascii="宋体" w:hAnsi="宋体" w:cs="宋体"/>
          <w:kern w:val="0"/>
          <w:sz w:val="24"/>
          <w:lang w:val="zh-CN"/>
        </w:rPr>
        <w:t>不得</w:t>
      </w:r>
      <w:r>
        <w:rPr>
          <w:rFonts w:ascii="宋体" w:hAnsi="宋体" w:cs="宋体"/>
          <w:kern w:val="0"/>
          <w:sz w:val="24"/>
          <w:lang w:val="zh-CN"/>
        </w:rPr>
        <w:t>高于2万元/梯·年。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D1DC3"/>
    <w:rsid w:val="379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qFormat/>
    <w:uiPriority w:val="0"/>
    <w:rPr>
      <w:rFonts w:ascii="Tahoma" w:hAnsi="Tahoma"/>
      <w:sz w:val="21"/>
      <w:szCs w:val="21"/>
    </w:rPr>
  </w:style>
  <w:style w:type="paragraph" w:customStyle="1" w:styleId="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2023-06-19T11:39:00Z</dcterms:created>
  <dc:creator>NTKO</dc:creator>
  <cp:lastModifiedBy>NTKO</cp:lastModifiedBy>
  <dcterms:modified xsi:type="dcterms:W3CDTF">2023-06-19T11:40:40Z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