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jc w:val="center"/>
        <w:rPr>
          <w:rFonts w:ascii="隶书" w:eastAsia="隶书"/>
          <w:color w:val="000000"/>
          <w:sz w:val="36"/>
        </w:rPr>
      </w:pPr>
      <w:bookmarkStart w:id="6" w:name="_GoBack"/>
      <w:bookmarkEnd w:id="6"/>
      <w:r>
        <w:rPr>
          <w:rFonts w:hint="eastAsia" w:ascii="隶书" w:eastAsia="隶书"/>
          <w:color w:val="000000"/>
          <w:sz w:val="36"/>
        </w:rPr>
        <w:t>绍兴市公安局</w:t>
      </w:r>
    </w:p>
    <w:p>
      <w:pPr>
        <w:spacing w:line="440" w:lineRule="exact"/>
        <w:jc w:val="center"/>
        <w:rPr>
          <w:rFonts w:ascii="隶书" w:eastAsia="隶书"/>
          <w:color w:val="000000"/>
          <w:sz w:val="36"/>
        </w:rPr>
      </w:pPr>
      <w:r>
        <w:rPr>
          <w:rFonts w:hint="eastAsia" w:ascii="隶书" w:eastAsia="隶书"/>
          <w:color w:val="000000"/>
          <w:sz w:val="36"/>
        </w:rPr>
        <w:t>模型中心建设、钉钉端及办公平台升级维护项目</w:t>
      </w:r>
    </w:p>
    <w:p>
      <w:pPr>
        <w:spacing w:line="440" w:lineRule="exact"/>
        <w:rPr>
          <w:rFonts w:ascii="隶书" w:eastAsia="隶书"/>
          <w:color w:val="000000"/>
          <w:sz w:val="36"/>
        </w:rPr>
      </w:pPr>
      <w:r>
        <w:rPr>
          <w:rFonts w:hint="eastAsia" w:ascii="仿宋_GB2312" w:eastAsia="仿宋_GB2312"/>
          <w:color w:val="000000"/>
          <w:sz w:val="24"/>
        </w:rPr>
        <w:t>一、</w:t>
      </w:r>
      <w:r>
        <w:rPr>
          <w:rFonts w:hint="eastAsia" w:ascii="仿宋_GB2312" w:eastAsia="仿宋_GB2312"/>
          <w:b/>
          <w:bCs/>
          <w:color w:val="000000"/>
          <w:sz w:val="24"/>
        </w:rPr>
        <w:t>招标编号：2</w:t>
      </w:r>
      <w:r>
        <w:rPr>
          <w:rFonts w:ascii="仿宋_GB2312" w:eastAsia="仿宋_GB2312"/>
          <w:b/>
          <w:bCs/>
          <w:color w:val="000000"/>
          <w:sz w:val="24"/>
        </w:rPr>
        <w:t>020-10-0169</w:t>
      </w:r>
    </w:p>
    <w:p>
      <w:pPr>
        <w:spacing w:line="440" w:lineRule="exact"/>
        <w:rPr>
          <w:rFonts w:ascii="仿宋_GB2312" w:eastAsia="仿宋_GB2312"/>
          <w:color w:val="000000"/>
          <w:sz w:val="24"/>
        </w:rPr>
      </w:pPr>
      <w:r>
        <w:rPr>
          <w:rFonts w:hint="eastAsia" w:ascii="仿宋_GB2312" w:eastAsia="仿宋_GB2312"/>
          <w:color w:val="000000"/>
          <w:sz w:val="24"/>
        </w:rPr>
        <w:t>二、</w:t>
      </w:r>
      <w:r>
        <w:rPr>
          <w:rFonts w:hint="eastAsia" w:ascii="仿宋_GB2312" w:eastAsia="仿宋_GB2312"/>
          <w:b/>
          <w:color w:val="000000"/>
          <w:sz w:val="24"/>
        </w:rPr>
        <w:t>采购组织类型及方式：</w:t>
      </w:r>
      <w:r>
        <w:rPr>
          <w:rFonts w:hint="eastAsia" w:ascii="仿宋_GB2312" w:eastAsia="仿宋_GB2312"/>
          <w:color w:val="000000"/>
          <w:sz w:val="24"/>
        </w:rPr>
        <w:t>政府集中采购-公开招标</w:t>
      </w:r>
    </w:p>
    <w:p>
      <w:pPr>
        <w:spacing w:line="440" w:lineRule="exact"/>
        <w:rPr>
          <w:rFonts w:ascii="仿宋_GB2312" w:eastAsia="仿宋_GB2312"/>
          <w:color w:val="000000"/>
          <w:sz w:val="24"/>
        </w:rPr>
      </w:pPr>
      <w:r>
        <w:rPr>
          <w:rFonts w:hint="eastAsia" w:ascii="仿宋_GB2312" w:eastAsia="仿宋_GB2312"/>
          <w:color w:val="000000"/>
          <w:sz w:val="24"/>
        </w:rPr>
        <w:t>三、</w:t>
      </w:r>
      <w:r>
        <w:rPr>
          <w:rFonts w:hint="eastAsia" w:ascii="仿宋_GB2312" w:eastAsia="仿宋_GB2312"/>
          <w:b/>
          <w:bCs/>
          <w:color w:val="000000"/>
          <w:sz w:val="24"/>
        </w:rPr>
        <w:t>招标项目名称及数量</w:t>
      </w:r>
    </w:p>
    <w:tbl>
      <w:tblPr>
        <w:tblStyle w:val="11"/>
        <w:tblW w:w="97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17"/>
        <w:gridCol w:w="3260"/>
        <w:gridCol w:w="2394"/>
        <w:gridCol w:w="23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66" w:hRule="atLeast"/>
          <w:jc w:val="center"/>
        </w:trPr>
        <w:tc>
          <w:tcPr>
            <w:tcW w:w="1717" w:type="dxa"/>
            <w:noWrap w:val="0"/>
            <w:vAlign w:val="center"/>
          </w:tcPr>
          <w:p>
            <w:pPr>
              <w:jc w:val="center"/>
              <w:rPr>
                <w:rFonts w:ascii="仿宋_GB2312" w:hAnsi="新宋体" w:eastAsia="仿宋_GB2312" w:cs="Arial"/>
                <w:b/>
                <w:color w:val="000000"/>
                <w:szCs w:val="21"/>
              </w:rPr>
            </w:pPr>
            <w:r>
              <w:rPr>
                <w:rFonts w:hint="eastAsia" w:ascii="仿宋_GB2312" w:hAnsi="新宋体" w:eastAsia="仿宋_GB2312" w:cs="宋体"/>
                <w:b/>
                <w:color w:val="000000"/>
                <w:szCs w:val="21"/>
              </w:rPr>
              <w:t>标项</w:t>
            </w:r>
          </w:p>
        </w:tc>
        <w:tc>
          <w:tcPr>
            <w:tcW w:w="3260" w:type="dxa"/>
            <w:noWrap w:val="0"/>
            <w:vAlign w:val="center"/>
          </w:tcPr>
          <w:p>
            <w:pPr>
              <w:jc w:val="center"/>
              <w:rPr>
                <w:rFonts w:ascii="仿宋_GB2312" w:hAnsi="新宋体" w:eastAsia="仿宋_GB2312" w:cs="宋体"/>
                <w:b/>
                <w:color w:val="000000"/>
                <w:szCs w:val="21"/>
              </w:rPr>
            </w:pPr>
            <w:r>
              <w:rPr>
                <w:rFonts w:hint="eastAsia" w:ascii="仿宋_GB2312" w:hAnsi="新宋体" w:eastAsia="仿宋_GB2312" w:cs="宋体"/>
                <w:b/>
                <w:color w:val="000000"/>
                <w:szCs w:val="21"/>
              </w:rPr>
              <w:t>标段名称及数量</w:t>
            </w:r>
          </w:p>
        </w:tc>
        <w:tc>
          <w:tcPr>
            <w:tcW w:w="2394" w:type="dxa"/>
            <w:noWrap w:val="0"/>
            <w:vAlign w:val="center"/>
          </w:tcPr>
          <w:p>
            <w:pPr>
              <w:jc w:val="center"/>
              <w:rPr>
                <w:rFonts w:ascii="仿宋_GB2312" w:hAnsi="新宋体" w:eastAsia="仿宋_GB2312" w:cs="Arial"/>
                <w:b/>
                <w:color w:val="000000"/>
                <w:szCs w:val="21"/>
              </w:rPr>
            </w:pPr>
            <w:r>
              <w:rPr>
                <w:rFonts w:hint="eastAsia" w:ascii="仿宋_GB2312" w:hAnsi="新宋体" w:eastAsia="仿宋_GB2312" w:cs="Arial"/>
                <w:b/>
                <w:color w:val="000000"/>
                <w:szCs w:val="21"/>
              </w:rPr>
              <w:t>预算金额或最高限价</w:t>
            </w:r>
          </w:p>
          <w:p>
            <w:pPr>
              <w:jc w:val="center"/>
              <w:rPr>
                <w:rFonts w:ascii="仿宋_GB2312" w:hAnsi="新宋体" w:eastAsia="仿宋_GB2312" w:cs="Arial"/>
                <w:b/>
                <w:color w:val="000000"/>
                <w:szCs w:val="21"/>
              </w:rPr>
            </w:pPr>
            <w:r>
              <w:rPr>
                <w:rFonts w:hint="eastAsia" w:ascii="仿宋_GB2312" w:hAnsi="新宋体" w:eastAsia="仿宋_GB2312" w:cs="Arial"/>
                <w:b/>
                <w:color w:val="000000"/>
                <w:szCs w:val="21"/>
              </w:rPr>
              <w:t>（单位：人民币元）</w:t>
            </w:r>
          </w:p>
        </w:tc>
        <w:tc>
          <w:tcPr>
            <w:tcW w:w="2383" w:type="dxa"/>
            <w:noWrap w:val="0"/>
            <w:vAlign w:val="center"/>
          </w:tcPr>
          <w:p>
            <w:pPr>
              <w:jc w:val="center"/>
              <w:rPr>
                <w:rFonts w:ascii="仿宋_GB2312" w:hAnsi="新宋体" w:eastAsia="仿宋_GB2312" w:cs="Arial"/>
                <w:b/>
                <w:color w:val="000000"/>
                <w:szCs w:val="21"/>
              </w:rPr>
            </w:pPr>
            <w:r>
              <w:rPr>
                <w:rFonts w:hint="eastAsia" w:ascii="仿宋_GB2312" w:hAnsi="新宋体" w:eastAsia="仿宋_GB2312" w:cs="Arial"/>
                <w:b/>
                <w:color w:val="000000"/>
                <w:szCs w:val="21"/>
              </w:rPr>
              <w:t>投标保证金（单位：人民币元）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0" w:hRule="atLeast"/>
          <w:jc w:val="center"/>
        </w:trPr>
        <w:tc>
          <w:tcPr>
            <w:tcW w:w="1717" w:type="dxa"/>
            <w:noWrap w:val="0"/>
            <w:vAlign w:val="center"/>
          </w:tcPr>
          <w:p>
            <w:pPr>
              <w:spacing w:line="440" w:lineRule="exact"/>
              <w:jc w:val="center"/>
              <w:rPr>
                <w:rFonts w:ascii="仿宋_GB2312" w:eastAsia="仿宋_GB2312"/>
                <w:color w:val="000000"/>
                <w:szCs w:val="21"/>
              </w:rPr>
            </w:pPr>
            <w:r>
              <w:rPr>
                <w:rFonts w:ascii="仿宋_GB2312" w:eastAsia="仿宋_GB2312"/>
                <w:color w:val="000000"/>
                <w:szCs w:val="21"/>
              </w:rPr>
              <w:t>2020-</w:t>
            </w:r>
            <w:r>
              <w:rPr>
                <w:rFonts w:hint="eastAsia" w:ascii="仿宋_GB2312" w:eastAsia="仿宋_GB2312"/>
                <w:color w:val="000000"/>
                <w:szCs w:val="21"/>
              </w:rPr>
              <w:t>1</w:t>
            </w:r>
            <w:r>
              <w:rPr>
                <w:rFonts w:ascii="仿宋_GB2312" w:eastAsia="仿宋_GB2312"/>
                <w:color w:val="000000"/>
                <w:szCs w:val="21"/>
              </w:rPr>
              <w:t>0-0169-1</w:t>
            </w:r>
          </w:p>
        </w:tc>
        <w:tc>
          <w:tcPr>
            <w:tcW w:w="3260" w:type="dxa"/>
            <w:noWrap w:val="0"/>
            <w:vAlign w:val="center"/>
          </w:tcPr>
          <w:p>
            <w:pPr>
              <w:spacing w:line="440" w:lineRule="exact"/>
              <w:jc w:val="center"/>
              <w:rPr>
                <w:rFonts w:ascii="仿宋_GB2312" w:eastAsia="仿宋_GB2312"/>
                <w:color w:val="000000"/>
                <w:szCs w:val="21"/>
              </w:rPr>
            </w:pPr>
            <w:r>
              <w:rPr>
                <w:rFonts w:hint="eastAsia" w:ascii="仿宋_GB2312" w:eastAsia="仿宋_GB2312"/>
                <w:color w:val="000000"/>
                <w:szCs w:val="21"/>
              </w:rPr>
              <w:t>模型中心建设项目</w:t>
            </w:r>
          </w:p>
        </w:tc>
        <w:tc>
          <w:tcPr>
            <w:tcW w:w="2394" w:type="dxa"/>
            <w:noWrap w:val="0"/>
            <w:vAlign w:val="center"/>
          </w:tcPr>
          <w:p>
            <w:pPr>
              <w:spacing w:line="440" w:lineRule="exact"/>
              <w:jc w:val="center"/>
              <w:rPr>
                <w:rFonts w:ascii="仿宋_GB2312" w:hAnsi="宋体" w:eastAsia="仿宋_GB2312"/>
                <w:color w:val="000000"/>
                <w:szCs w:val="21"/>
              </w:rPr>
            </w:pPr>
            <w:r>
              <w:rPr>
                <w:rFonts w:hint="eastAsia" w:ascii="仿宋_GB2312" w:eastAsia="仿宋_GB2312"/>
                <w:color w:val="000000"/>
                <w:szCs w:val="21"/>
              </w:rPr>
              <w:t>￥</w:t>
            </w:r>
            <w:r>
              <w:rPr>
                <w:rFonts w:ascii="仿宋_GB2312" w:eastAsia="仿宋_GB2312"/>
                <w:color w:val="000000"/>
                <w:szCs w:val="21"/>
              </w:rPr>
              <w:t>903895</w:t>
            </w:r>
            <w:r>
              <w:rPr>
                <w:rFonts w:hint="eastAsia" w:ascii="仿宋_GB2312" w:eastAsia="仿宋_GB2312"/>
                <w:color w:val="000000"/>
                <w:szCs w:val="21"/>
              </w:rPr>
              <w:t>.00</w:t>
            </w:r>
          </w:p>
        </w:tc>
        <w:tc>
          <w:tcPr>
            <w:tcW w:w="2383" w:type="dxa"/>
            <w:noWrap w:val="0"/>
            <w:vAlign w:val="center"/>
          </w:tcPr>
          <w:p>
            <w:pPr>
              <w:spacing w:line="440" w:lineRule="exact"/>
              <w:jc w:val="center"/>
              <w:rPr>
                <w:rFonts w:ascii="仿宋_GB2312" w:hAnsi="宋体" w:eastAsia="仿宋_GB2312"/>
                <w:color w:val="000000"/>
                <w:szCs w:val="21"/>
              </w:rPr>
            </w:pPr>
            <w:r>
              <w:rPr>
                <w:rFonts w:hint="eastAsia" w:ascii="仿宋_GB2312" w:eastAsia="仿宋_GB2312"/>
                <w:color w:val="00000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0" w:hRule="atLeast"/>
          <w:jc w:val="center"/>
        </w:trPr>
        <w:tc>
          <w:tcPr>
            <w:tcW w:w="1717" w:type="dxa"/>
            <w:noWrap w:val="0"/>
            <w:vAlign w:val="center"/>
          </w:tcPr>
          <w:p>
            <w:pPr>
              <w:spacing w:line="440" w:lineRule="exact"/>
              <w:jc w:val="center"/>
              <w:rPr>
                <w:rFonts w:ascii="仿宋_GB2312" w:eastAsia="仿宋_GB2312"/>
                <w:color w:val="000000"/>
                <w:szCs w:val="21"/>
              </w:rPr>
            </w:pPr>
            <w:r>
              <w:rPr>
                <w:rFonts w:ascii="仿宋_GB2312" w:eastAsia="仿宋_GB2312"/>
                <w:color w:val="000000"/>
                <w:szCs w:val="21"/>
              </w:rPr>
              <w:t>2020-10-0169-2</w:t>
            </w:r>
          </w:p>
        </w:tc>
        <w:tc>
          <w:tcPr>
            <w:tcW w:w="3260" w:type="dxa"/>
            <w:noWrap w:val="0"/>
            <w:vAlign w:val="center"/>
          </w:tcPr>
          <w:p>
            <w:pPr>
              <w:spacing w:line="440" w:lineRule="exact"/>
              <w:jc w:val="center"/>
              <w:rPr>
                <w:rFonts w:hint="eastAsia" w:ascii="仿宋_GB2312" w:eastAsia="仿宋_GB2312"/>
                <w:color w:val="000000"/>
                <w:szCs w:val="21"/>
              </w:rPr>
            </w:pPr>
            <w:r>
              <w:rPr>
                <w:rFonts w:hint="eastAsia" w:ascii="仿宋_GB2312" w:eastAsia="仿宋_GB2312"/>
                <w:color w:val="000000"/>
                <w:szCs w:val="21"/>
              </w:rPr>
              <w:t>钉钉端及办公平台升级维护项目</w:t>
            </w:r>
          </w:p>
        </w:tc>
        <w:tc>
          <w:tcPr>
            <w:tcW w:w="2394" w:type="dxa"/>
            <w:noWrap w:val="0"/>
            <w:vAlign w:val="center"/>
          </w:tcPr>
          <w:p>
            <w:pPr>
              <w:spacing w:line="440" w:lineRule="exact"/>
              <w:jc w:val="center"/>
              <w:rPr>
                <w:rFonts w:hint="eastAsia" w:ascii="仿宋_GB2312" w:eastAsia="仿宋_GB2312"/>
                <w:color w:val="000000"/>
                <w:szCs w:val="21"/>
              </w:rPr>
            </w:pPr>
            <w:r>
              <w:rPr>
                <w:rFonts w:hint="eastAsia" w:ascii="仿宋_GB2312" w:eastAsia="仿宋_GB2312"/>
                <w:color w:val="000000"/>
                <w:szCs w:val="21"/>
              </w:rPr>
              <w:t>￥</w:t>
            </w:r>
            <w:r>
              <w:rPr>
                <w:rFonts w:ascii="仿宋_GB2312" w:eastAsia="仿宋_GB2312"/>
                <w:color w:val="000000"/>
                <w:szCs w:val="21"/>
              </w:rPr>
              <w:t>203135</w:t>
            </w:r>
            <w:r>
              <w:rPr>
                <w:rFonts w:hint="eastAsia" w:ascii="仿宋_GB2312" w:eastAsia="仿宋_GB2312"/>
                <w:color w:val="000000"/>
                <w:szCs w:val="21"/>
              </w:rPr>
              <w:t>.00</w:t>
            </w:r>
          </w:p>
        </w:tc>
        <w:tc>
          <w:tcPr>
            <w:tcW w:w="2383" w:type="dxa"/>
            <w:noWrap w:val="0"/>
            <w:vAlign w:val="center"/>
          </w:tcPr>
          <w:p>
            <w:pPr>
              <w:spacing w:line="440" w:lineRule="exact"/>
              <w:jc w:val="center"/>
              <w:rPr>
                <w:rFonts w:hint="eastAsia" w:ascii="仿宋_GB2312" w:eastAsia="仿宋_GB2312"/>
                <w:color w:val="000000"/>
                <w:szCs w:val="21"/>
              </w:rPr>
            </w:pPr>
            <w:r>
              <w:rPr>
                <w:rFonts w:hint="eastAsia" w:ascii="仿宋_GB2312" w:eastAsia="仿宋_GB2312"/>
                <w:color w:val="000000"/>
                <w:szCs w:val="21"/>
              </w:rPr>
              <w:t>￥0.00</w:t>
            </w:r>
          </w:p>
        </w:tc>
      </w:tr>
    </w:tbl>
    <w:p>
      <w:pPr>
        <w:spacing w:line="440" w:lineRule="exact"/>
        <w:rPr>
          <w:rFonts w:ascii="仿宋_GB2312" w:eastAsia="仿宋_GB2312"/>
          <w:color w:val="000000"/>
          <w:sz w:val="24"/>
        </w:rPr>
      </w:pPr>
      <w:r>
        <w:rPr>
          <w:rFonts w:hint="eastAsia" w:ascii="仿宋_GB2312" w:eastAsia="仿宋_GB2312"/>
          <w:b/>
          <w:color w:val="000000"/>
          <w:sz w:val="24"/>
        </w:rPr>
        <w:t>四、</w:t>
      </w:r>
      <w:r>
        <w:rPr>
          <w:rFonts w:hint="eastAsia" w:ascii="仿宋_GB2312" w:eastAsia="仿宋_GB2312"/>
          <w:b/>
          <w:bCs/>
          <w:color w:val="000000"/>
          <w:sz w:val="24"/>
        </w:rPr>
        <w:t>供应商的资格要求</w:t>
      </w:r>
    </w:p>
    <w:p>
      <w:pPr>
        <w:spacing w:line="440" w:lineRule="exact"/>
        <w:ind w:firstLine="540" w:firstLineChars="225"/>
        <w:rPr>
          <w:rFonts w:ascii="仿宋_GB2312" w:hAnsi="宋体" w:eastAsia="仿宋_GB2312" w:cs="宋体"/>
          <w:color w:val="000000"/>
          <w:kern w:val="0"/>
          <w:sz w:val="24"/>
        </w:rPr>
      </w:pPr>
      <w:r>
        <w:rPr>
          <w:rFonts w:hint="eastAsia" w:ascii="仿宋_GB2312" w:hAnsi="宋体" w:eastAsia="仿宋_GB2312" w:cs="宋体"/>
          <w:color w:val="000000"/>
          <w:kern w:val="0"/>
          <w:sz w:val="24"/>
        </w:rPr>
        <w:t>1.符合政府采购法第二十二条之供应商资格规定。</w:t>
      </w:r>
    </w:p>
    <w:p>
      <w:pPr>
        <w:spacing w:line="440" w:lineRule="exact"/>
        <w:ind w:firstLine="540" w:firstLineChars="225"/>
        <w:rPr>
          <w:rFonts w:ascii="仿宋_GB2312" w:hAnsi="宋体" w:eastAsia="仿宋_GB2312" w:cs="宋体"/>
          <w:color w:val="000000"/>
          <w:kern w:val="0"/>
          <w:sz w:val="24"/>
        </w:rPr>
      </w:pPr>
      <w:r>
        <w:rPr>
          <w:rFonts w:hint="eastAsia" w:ascii="仿宋_GB2312" w:hAnsi="宋体" w:eastAsia="仿宋_GB2312" w:cs="宋体"/>
          <w:color w:val="000000"/>
          <w:kern w:val="0"/>
          <w:sz w:val="24"/>
        </w:rPr>
        <w:t>2.未被“信用中国”（www.creditchina.gov.cn）、中国政府采购网（www.ccgp.gov.cn）列入失信被执行人、重大税收违法案件当事人名单、政府采购严重违法失信行为记录名单。</w:t>
      </w:r>
    </w:p>
    <w:p>
      <w:pPr>
        <w:spacing w:line="440" w:lineRule="exact"/>
        <w:ind w:firstLine="540" w:firstLineChars="225"/>
        <w:rPr>
          <w:rFonts w:ascii="仿宋_GB2312" w:hAnsi="宋体" w:eastAsia="仿宋_GB2312" w:cs="宋体"/>
          <w:color w:val="000000"/>
          <w:kern w:val="0"/>
          <w:sz w:val="24"/>
        </w:rPr>
      </w:pPr>
      <w:r>
        <w:rPr>
          <w:rFonts w:hint="eastAsia" w:ascii="仿宋_GB2312" w:hAnsi="宋体" w:eastAsia="仿宋_GB2312" w:cs="宋体"/>
          <w:color w:val="000000"/>
          <w:kern w:val="0"/>
          <w:sz w:val="24"/>
        </w:rPr>
        <w:t>3.不接受联合体投标。</w:t>
      </w:r>
    </w:p>
    <w:p>
      <w:pPr>
        <w:spacing w:line="440" w:lineRule="exact"/>
        <w:rPr>
          <w:rFonts w:ascii="仿宋_GB2312" w:eastAsia="仿宋_GB2312"/>
          <w:color w:val="000000"/>
          <w:sz w:val="24"/>
        </w:rPr>
      </w:pPr>
      <w:r>
        <w:rPr>
          <w:rFonts w:hint="eastAsia" w:ascii="仿宋_GB2312" w:eastAsia="仿宋_GB2312"/>
          <w:b/>
          <w:bCs/>
          <w:color w:val="000000"/>
          <w:sz w:val="24"/>
        </w:rPr>
        <w:t>五、采购人联系方式</w:t>
      </w:r>
      <w:r>
        <w:rPr>
          <w:rFonts w:hint="eastAsia" w:ascii="仿宋_GB2312" w:eastAsia="仿宋_GB2312"/>
          <w:color w:val="000000"/>
          <w:sz w:val="24"/>
        </w:rPr>
        <w:t>：</w:t>
      </w:r>
      <w:r>
        <w:rPr>
          <w:rFonts w:hint="eastAsia" w:ascii="仿宋_GB2312" w:hAnsi="宋体" w:eastAsia="仿宋_GB2312"/>
          <w:bCs/>
          <w:color w:val="000000"/>
          <w:sz w:val="24"/>
        </w:rPr>
        <w:t>绍兴市公安局，李红存，0</w:t>
      </w:r>
      <w:r>
        <w:rPr>
          <w:rFonts w:ascii="仿宋_GB2312" w:hAnsi="宋体" w:eastAsia="仿宋_GB2312"/>
          <w:bCs/>
          <w:color w:val="000000"/>
          <w:sz w:val="24"/>
        </w:rPr>
        <w:t>575-</w:t>
      </w:r>
      <w:r>
        <w:rPr>
          <w:rFonts w:hint="eastAsia" w:ascii="仿宋_GB2312" w:hAnsi="宋体" w:eastAsia="仿宋_GB2312"/>
          <w:bCs/>
          <w:color w:val="000000"/>
          <w:sz w:val="24"/>
        </w:rPr>
        <w:t>88582381。</w:t>
      </w:r>
    </w:p>
    <w:p>
      <w:pPr>
        <w:autoSpaceDE w:val="0"/>
        <w:autoSpaceDN w:val="0"/>
        <w:rPr>
          <w:rFonts w:ascii="仿宋_GB2312" w:hAnsi="隶书" w:eastAsia="仿宋_GB2312" w:cs="隶书"/>
          <w:b/>
          <w:bCs/>
          <w:color w:val="000000"/>
          <w:kern w:val="0"/>
          <w:sz w:val="24"/>
          <w:lang w:val="zh-CN"/>
        </w:rPr>
      </w:pPr>
      <w:r>
        <w:rPr>
          <w:rFonts w:hint="eastAsia" w:ascii="仿宋_GB2312" w:hAnsi="宋体" w:eastAsia="仿宋_GB2312"/>
          <w:b/>
          <w:color w:val="000000"/>
          <w:sz w:val="24"/>
        </w:rPr>
        <w:t>六、招标项目设备名称及数量：</w:t>
      </w:r>
    </w:p>
    <w:p>
      <w:pPr>
        <w:spacing w:line="440" w:lineRule="exact"/>
        <w:ind w:firstLine="472" w:firstLineChars="196"/>
        <w:rPr>
          <w:rFonts w:hint="eastAsia" w:ascii="仿宋_GB2312" w:eastAsia="仿宋_GB2312"/>
          <w:b/>
          <w:color w:val="000000"/>
          <w:sz w:val="24"/>
        </w:rPr>
      </w:pPr>
      <w:r>
        <w:rPr>
          <w:rFonts w:hint="eastAsia" w:ascii="仿宋_GB2312" w:eastAsia="仿宋_GB2312"/>
          <w:b/>
          <w:color w:val="000000"/>
          <w:sz w:val="24"/>
          <w:bdr w:val="single" w:color="auto" w:sz="4" w:space="0"/>
        </w:rPr>
        <w:t>01标</w:t>
      </w:r>
      <w:r>
        <w:rPr>
          <w:rFonts w:hint="eastAsia" w:ascii="仿宋_GB2312" w:eastAsia="仿宋_GB2312"/>
          <w:b/>
          <w:color w:val="000000"/>
          <w:sz w:val="24"/>
        </w:rPr>
        <w:t>模型中心建设项目</w:t>
      </w:r>
    </w:p>
    <w:p>
      <w:pPr>
        <w:pStyle w:val="24"/>
        <w:numPr>
          <w:ilvl w:val="1"/>
          <w:numId w:val="2"/>
        </w:numPr>
        <w:spacing w:before="156" w:after="156"/>
        <w:ind w:left="525"/>
        <w:rPr>
          <w:rFonts w:hint="eastAsia" w:ascii="仿宋_GB2312" w:hAnsi="仿宋" w:eastAsia="仿宋_GB2312"/>
          <w:color w:val="000000"/>
          <w:sz w:val="24"/>
          <w:szCs w:val="24"/>
        </w:rPr>
      </w:pPr>
      <w:r>
        <w:rPr>
          <w:rFonts w:hint="eastAsia" w:ascii="仿宋_GB2312" w:hAnsi="仿宋" w:eastAsia="仿宋_GB2312"/>
          <w:color w:val="000000"/>
          <w:sz w:val="24"/>
          <w:szCs w:val="24"/>
        </w:rPr>
        <w:t>建设背景</w:t>
      </w:r>
    </w:p>
    <w:p>
      <w:pPr>
        <w:pStyle w:val="17"/>
        <w:ind w:firstLine="480"/>
        <w:rPr>
          <w:rFonts w:hint="eastAsia" w:ascii="仿宋_GB2312" w:hAnsi="仿宋" w:eastAsia="仿宋_GB2312"/>
          <w:color w:val="000000"/>
          <w:szCs w:val="24"/>
        </w:rPr>
      </w:pPr>
      <w:r>
        <w:rPr>
          <w:rFonts w:hint="eastAsia" w:ascii="仿宋_GB2312" w:hAnsi="仿宋" w:eastAsia="仿宋_GB2312"/>
          <w:color w:val="000000"/>
          <w:szCs w:val="24"/>
        </w:rPr>
        <w:t>随着国家公安信息化的发展、绍兴公安自身**信息化的发展，绍兴市公安局现有信息化实战平台已不足以支撑目前民警的实战需求。各警种对业务逻辑熟悉但对数据资源熟悉程度不够，模型开发人员具备专业技能但又不熟悉公安业务逻辑，不能很好的开发出符合业务场景需求的模型，开发成本也较高。</w:t>
      </w:r>
    </w:p>
    <w:p>
      <w:pPr>
        <w:pStyle w:val="17"/>
        <w:ind w:firstLine="480"/>
        <w:rPr>
          <w:rFonts w:hint="eastAsia" w:ascii="仿宋_GB2312" w:hAnsi="仿宋" w:eastAsia="仿宋_GB2312"/>
          <w:color w:val="000000"/>
          <w:szCs w:val="24"/>
        </w:rPr>
      </w:pPr>
      <w:r>
        <w:rPr>
          <w:rFonts w:hint="eastAsia" w:ascii="仿宋_GB2312" w:hAnsi="仿宋" w:eastAsia="仿宋_GB2312"/>
          <w:color w:val="000000"/>
          <w:szCs w:val="24"/>
        </w:rPr>
        <w:t>另一方面，随着“云上公安.智能防控”大数据战略的推进，全省一朵云平台已汇聚全省多类数据资源，各类数据正源源不断的汇聚到云上，全省各地也开展了各类模型的开发应用。目前迫切需要一个可视化的模型生成工具，能够充分利用省市信息化建设成果及数据资源，可以让各警种业务人员自主开展模型研发。强化绍兴公安数据分析挖掘的能力，为公安民警落地实战提供助力。</w:t>
      </w:r>
    </w:p>
    <w:p>
      <w:pPr>
        <w:pStyle w:val="24"/>
        <w:numPr>
          <w:ilvl w:val="1"/>
          <w:numId w:val="2"/>
        </w:numPr>
        <w:spacing w:before="156" w:after="156"/>
        <w:ind w:left="525"/>
        <w:rPr>
          <w:rFonts w:hint="eastAsia" w:ascii="仿宋_GB2312" w:hAnsi="仿宋" w:eastAsia="仿宋_GB2312"/>
          <w:color w:val="000000"/>
          <w:sz w:val="24"/>
          <w:szCs w:val="24"/>
        </w:rPr>
      </w:pPr>
      <w:r>
        <w:rPr>
          <w:rFonts w:hint="eastAsia" w:ascii="仿宋_GB2312" w:hAnsi="仿宋" w:eastAsia="仿宋_GB2312"/>
          <w:color w:val="000000"/>
          <w:sz w:val="24"/>
          <w:szCs w:val="24"/>
        </w:rPr>
        <w:t>建设内容</w:t>
      </w:r>
    </w:p>
    <w:p>
      <w:pPr>
        <w:pStyle w:val="17"/>
        <w:ind w:firstLine="480"/>
        <w:rPr>
          <w:rFonts w:hint="eastAsia" w:ascii="仿宋_GB2312" w:hAnsi="仿宋" w:eastAsia="仿宋_GB2312"/>
          <w:color w:val="000000"/>
          <w:szCs w:val="24"/>
        </w:rPr>
      </w:pPr>
      <w:r>
        <w:rPr>
          <w:rFonts w:hint="eastAsia" w:ascii="仿宋_GB2312" w:hAnsi="仿宋" w:eastAsia="仿宋_GB2312"/>
          <w:color w:val="000000"/>
          <w:szCs w:val="24"/>
        </w:rPr>
        <w:t>基于绍兴市公安局信息化实战平台及“云上公安”现有建设成果，补充建设智能**模型推演中心，形成一个直观可视的模型推演室和碰撞画布，通过预设一定数量的基础算法模型作为算子，集成现有模型建设成果及各类基础数据源，让熟悉业务的民警能够根据自己的业务逻辑选择各类数据源设置条件开展算子建设，也可根据业务需要选择算子结合自主调配的数据源，在可视化界面进行业务的推演和交互，自主生成模型，降低模型建设的成本，集全警的智慧，共同开展基础算法（算子）和业务模型建设，建成的各类算子和业务模型供全警共享。</w:t>
      </w:r>
    </w:p>
    <w:p>
      <w:pPr>
        <w:pStyle w:val="24"/>
        <w:numPr>
          <w:ilvl w:val="1"/>
          <w:numId w:val="2"/>
        </w:numPr>
        <w:spacing w:before="156" w:beforeLines="0" w:after="156" w:afterLines="0"/>
        <w:ind w:left="525" w:leftChars="50" w:hanging="420"/>
        <w:rPr>
          <w:rFonts w:hint="eastAsia" w:ascii="仿宋_GB2312" w:hAnsi="仿宋" w:eastAsia="仿宋_GB2312"/>
          <w:color w:val="000000"/>
          <w:sz w:val="24"/>
          <w:szCs w:val="24"/>
        </w:rPr>
      </w:pPr>
      <w:r>
        <w:rPr>
          <w:rFonts w:hint="eastAsia" w:ascii="仿宋_GB2312" w:hAnsi="仿宋" w:eastAsia="仿宋_GB2312"/>
          <w:color w:val="000000"/>
          <w:sz w:val="24"/>
          <w:szCs w:val="24"/>
        </w:rPr>
        <w:t>系统建设需求</w:t>
      </w:r>
    </w:p>
    <w:p>
      <w:pPr>
        <w:pStyle w:val="20"/>
        <w:spacing w:before="156" w:after="156"/>
        <w:ind w:left="630"/>
        <w:rPr>
          <w:rFonts w:hint="eastAsia" w:ascii="仿宋_GB2312" w:hAnsi="仿宋" w:eastAsia="仿宋_GB2312"/>
          <w:color w:val="000000"/>
          <w:sz w:val="24"/>
          <w:szCs w:val="24"/>
        </w:rPr>
      </w:pPr>
      <w:r>
        <w:rPr>
          <w:rFonts w:hint="eastAsia" w:ascii="仿宋_GB2312" w:hAnsi="仿宋" w:eastAsia="仿宋_GB2312"/>
          <w:color w:val="000000"/>
          <w:sz w:val="24"/>
          <w:szCs w:val="24"/>
        </w:rPr>
        <w:t>模型算子</w:t>
      </w:r>
    </w:p>
    <w:p>
      <w:pPr>
        <w:pStyle w:val="17"/>
        <w:ind w:firstLine="480"/>
        <w:rPr>
          <w:rFonts w:hint="eastAsia" w:ascii="仿宋_GB2312" w:hAnsi="仿宋" w:eastAsia="仿宋_GB2312"/>
          <w:color w:val="000000"/>
          <w:szCs w:val="24"/>
        </w:rPr>
      </w:pPr>
      <w:r>
        <w:rPr>
          <w:rFonts w:hint="eastAsia" w:ascii="仿宋_GB2312" w:hAnsi="仿宋" w:eastAsia="仿宋_GB2312"/>
          <w:color w:val="000000"/>
          <w:szCs w:val="24"/>
        </w:rPr>
        <w:t>本次项目新建15个模型算子，用于实战模型推演。</w:t>
      </w:r>
    </w:p>
    <w:p>
      <w:pPr>
        <w:pStyle w:val="22"/>
        <w:numPr>
          <w:ilvl w:val="3"/>
          <w:numId w:val="2"/>
        </w:numPr>
        <w:spacing w:before="156" w:after="156"/>
        <w:ind w:left="315"/>
        <w:rPr>
          <w:rFonts w:hint="eastAsia" w:ascii="仿宋_GB2312" w:eastAsia="仿宋_GB2312"/>
          <w:color w:val="000000"/>
          <w:sz w:val="24"/>
          <w:szCs w:val="24"/>
        </w:rPr>
      </w:pPr>
      <w:r>
        <w:rPr>
          <w:rFonts w:hint="eastAsia" w:ascii="仿宋_GB2312" w:eastAsia="仿宋_GB2312"/>
          <w:color w:val="000000"/>
          <w:sz w:val="24"/>
          <w:szCs w:val="24"/>
        </w:rPr>
        <w:t>数据清洗</w:t>
      </w:r>
    </w:p>
    <w:p>
      <w:pPr>
        <w:pStyle w:val="17"/>
        <w:ind w:firstLine="480"/>
        <w:rPr>
          <w:rFonts w:hint="eastAsia" w:ascii="仿宋_GB2312" w:hAnsi="仿宋" w:eastAsia="仿宋_GB2312"/>
          <w:color w:val="000000"/>
          <w:szCs w:val="24"/>
        </w:rPr>
      </w:pPr>
      <w:r>
        <w:rPr>
          <w:rFonts w:hint="eastAsia" w:ascii="仿宋_GB2312" w:hAnsi="仿宋" w:eastAsia="仿宋_GB2312"/>
          <w:color w:val="000000"/>
          <w:szCs w:val="24"/>
        </w:rPr>
        <w:t>接入建模所需的各类数据资源，按照身份信息、手机、案件前科、轨迹等不同类型进行清洗对应。清洗完成的数据整理成多个专题数据库。接入的数据包括：常住人口基本信息、医院就医信息、社保记录、快递数据、网吧上网数据、MAC轨迹、车辆卡口、人脸数据、车辆信息、居民用水、燃气数据、旅馆入住记录等在内的60类数据资源。</w:t>
      </w:r>
    </w:p>
    <w:p>
      <w:pPr>
        <w:pStyle w:val="22"/>
        <w:numPr>
          <w:ilvl w:val="3"/>
          <w:numId w:val="2"/>
        </w:numPr>
        <w:spacing w:before="156" w:after="156"/>
        <w:ind w:left="315"/>
        <w:rPr>
          <w:rFonts w:hint="eastAsia" w:ascii="仿宋_GB2312" w:eastAsia="仿宋_GB2312"/>
          <w:color w:val="000000"/>
          <w:sz w:val="24"/>
          <w:szCs w:val="24"/>
        </w:rPr>
      </w:pPr>
      <w:r>
        <w:rPr>
          <w:rFonts w:hint="eastAsia" w:ascii="仿宋_GB2312" w:eastAsia="仿宋_GB2312"/>
          <w:color w:val="000000"/>
          <w:sz w:val="24"/>
          <w:szCs w:val="24"/>
        </w:rPr>
        <w:t>数据建模</w:t>
      </w:r>
    </w:p>
    <w:p>
      <w:pPr>
        <w:pStyle w:val="19"/>
        <w:spacing w:before="156" w:after="156"/>
        <w:rPr>
          <w:rFonts w:hint="eastAsia" w:ascii="仿宋_GB2312" w:eastAsia="仿宋_GB2312"/>
          <w:color w:val="000000"/>
          <w:sz w:val="24"/>
          <w:szCs w:val="24"/>
        </w:rPr>
      </w:pPr>
      <w:r>
        <w:rPr>
          <w:rFonts w:hint="eastAsia" w:ascii="仿宋_GB2312" w:eastAsia="仿宋_GB2312"/>
          <w:color w:val="000000"/>
          <w:sz w:val="24"/>
          <w:szCs w:val="24"/>
        </w:rPr>
        <w:t>Idmapping</w:t>
      </w:r>
    </w:p>
    <w:p>
      <w:pPr>
        <w:pStyle w:val="17"/>
        <w:ind w:firstLine="480"/>
        <w:rPr>
          <w:rFonts w:hint="eastAsia" w:ascii="仿宋_GB2312" w:hAnsi="仿宋" w:eastAsia="仿宋_GB2312"/>
          <w:color w:val="000000"/>
          <w:szCs w:val="24"/>
        </w:rPr>
      </w:pPr>
      <w:r>
        <w:rPr>
          <w:rFonts w:hint="eastAsia" w:ascii="仿宋_GB2312" w:hAnsi="仿宋" w:eastAsia="仿宋_GB2312"/>
          <w:color w:val="000000"/>
          <w:szCs w:val="24"/>
        </w:rPr>
        <w:t>IDMapping模型用于打通人与实体（手机号/车辆/等其他关注实体），实体与实体之间的关联关系，把碎片化的数据全部串联起来，消除数据孤岛，提供一个用户的完整信息视图，快速分析人员实体关系。实现给定指定人员身份证获取人员名下可能关联的所有物品或给定物品id查询该物品可能的关联人员和物品归属。</w:t>
      </w:r>
    </w:p>
    <w:p>
      <w:pPr>
        <w:pStyle w:val="17"/>
        <w:ind w:firstLine="480"/>
        <w:rPr>
          <w:rFonts w:hint="eastAsia" w:ascii="仿宋_GB2312" w:hAnsi="仿宋" w:eastAsia="仿宋_GB2312"/>
          <w:color w:val="000000"/>
          <w:szCs w:val="24"/>
        </w:rPr>
      </w:pPr>
      <w:r>
        <w:rPr>
          <w:rFonts w:hint="eastAsia" w:ascii="仿宋_GB2312" w:hAnsi="仿宋" w:eastAsia="仿宋_GB2312"/>
          <w:color w:val="000000"/>
          <w:szCs w:val="24"/>
        </w:rPr>
        <w:t>完成数据建模后，须根据绍兴市公安局实际数据情况，对模型产出的结果数据进行梳理验证，根据结果情况对模型进行调优，保证模型结果的准确性。</w:t>
      </w:r>
    </w:p>
    <w:p>
      <w:pPr>
        <w:pStyle w:val="19"/>
        <w:spacing w:before="156" w:after="156"/>
        <w:rPr>
          <w:rFonts w:hint="eastAsia" w:ascii="仿宋_GB2312" w:eastAsia="仿宋_GB2312"/>
          <w:color w:val="000000"/>
          <w:sz w:val="24"/>
          <w:szCs w:val="24"/>
        </w:rPr>
      </w:pPr>
      <w:r>
        <w:rPr>
          <w:rFonts w:hint="eastAsia" w:ascii="仿宋_GB2312" w:eastAsia="仿宋_GB2312"/>
          <w:color w:val="000000"/>
          <w:sz w:val="24"/>
          <w:szCs w:val="24"/>
        </w:rPr>
        <w:t>落脚点</w:t>
      </w:r>
    </w:p>
    <w:p>
      <w:pPr>
        <w:pStyle w:val="17"/>
        <w:ind w:firstLine="480"/>
        <w:rPr>
          <w:rFonts w:hint="eastAsia" w:ascii="仿宋_GB2312" w:hAnsi="仿宋" w:eastAsia="仿宋_GB2312"/>
          <w:color w:val="000000"/>
          <w:szCs w:val="24"/>
        </w:rPr>
      </w:pPr>
      <w:r>
        <w:rPr>
          <w:rFonts w:hint="eastAsia" w:ascii="仿宋_GB2312" w:hAnsi="仿宋" w:eastAsia="仿宋_GB2312"/>
          <w:color w:val="000000"/>
          <w:szCs w:val="24"/>
        </w:rPr>
        <w:t>基于近三个月实体（车辆、mac、电瓶车、手机）的轨迹数据，分析实体的活动规律，计算出实体的动态历史落脚点，帮助侦查员快速分析出实体使用人的居住地、工作地、主要活动区域等。</w:t>
      </w:r>
    </w:p>
    <w:p>
      <w:pPr>
        <w:pStyle w:val="17"/>
        <w:ind w:firstLine="480"/>
        <w:rPr>
          <w:rFonts w:hint="eastAsia" w:ascii="仿宋_GB2312" w:hAnsi="仿宋" w:eastAsia="仿宋_GB2312"/>
          <w:color w:val="000000"/>
          <w:szCs w:val="24"/>
        </w:rPr>
      </w:pPr>
      <w:r>
        <w:rPr>
          <w:rFonts w:hint="eastAsia" w:ascii="仿宋_GB2312" w:hAnsi="仿宋" w:eastAsia="仿宋_GB2312"/>
          <w:color w:val="000000"/>
          <w:szCs w:val="24"/>
        </w:rPr>
        <w:t>完成数据建模后，须根据绍兴市公安局实际数据情况，对模型产出的结果数据进行梳理验证，根据结果情况对模型进行调优，保证模型结果的准确性。</w:t>
      </w:r>
    </w:p>
    <w:p>
      <w:pPr>
        <w:pStyle w:val="19"/>
        <w:spacing w:before="156" w:after="156"/>
        <w:rPr>
          <w:rFonts w:hint="eastAsia" w:ascii="仿宋_GB2312" w:eastAsia="仿宋_GB2312"/>
          <w:color w:val="000000"/>
          <w:sz w:val="24"/>
          <w:szCs w:val="24"/>
        </w:rPr>
      </w:pPr>
      <w:r>
        <w:rPr>
          <w:rFonts w:hint="eastAsia" w:ascii="仿宋_GB2312" w:eastAsia="仿宋_GB2312"/>
          <w:color w:val="000000"/>
          <w:sz w:val="24"/>
          <w:szCs w:val="24"/>
        </w:rPr>
        <w:t>亲密度</w:t>
      </w:r>
    </w:p>
    <w:p>
      <w:pPr>
        <w:pStyle w:val="17"/>
        <w:ind w:firstLine="480"/>
        <w:rPr>
          <w:rFonts w:hint="eastAsia" w:ascii="仿宋_GB2312" w:hAnsi="仿宋" w:eastAsia="仿宋_GB2312"/>
          <w:color w:val="000000"/>
          <w:szCs w:val="24"/>
        </w:rPr>
      </w:pPr>
      <w:r>
        <w:rPr>
          <w:rFonts w:hint="eastAsia" w:ascii="仿宋_GB2312" w:hAnsi="仿宋" w:eastAsia="仿宋_GB2312"/>
          <w:color w:val="000000"/>
          <w:szCs w:val="24"/>
        </w:rPr>
        <w:t>亲密度模型通过常口、暂口、婚姻登记、民航、铁路、旅馆、网吧、租赁、交通违章等数据，计算表示任意两个人关系亲密程度的得分，得分越高表示亲密程度越高。基于人员关系亲密度构建人员关系网络，在关系网络之上通过计算人员二度关系来增强人员间的亲密度得分。可以展现历史人际关系（行为轨迹）互动最密切的人人好友关系图，为我们提供疑似团伙、隐性人员的分析基础。</w:t>
      </w:r>
    </w:p>
    <w:p>
      <w:pPr>
        <w:pStyle w:val="17"/>
        <w:ind w:firstLine="480"/>
        <w:rPr>
          <w:rFonts w:hint="eastAsia" w:ascii="仿宋_GB2312" w:hAnsi="仿宋" w:eastAsia="仿宋_GB2312"/>
          <w:color w:val="000000"/>
          <w:szCs w:val="24"/>
        </w:rPr>
      </w:pPr>
      <w:r>
        <w:rPr>
          <w:rFonts w:hint="eastAsia" w:ascii="仿宋_GB2312" w:hAnsi="仿宋" w:eastAsia="仿宋_GB2312"/>
          <w:color w:val="000000"/>
          <w:szCs w:val="24"/>
        </w:rPr>
        <w:t>完成数据建模后，须根据绍兴市公安局实际数据情况，对模型产出的结果数据进行梳理验证，根据结果情况对模型进行调优，保证模型结果的准确性。</w:t>
      </w:r>
    </w:p>
    <w:p>
      <w:pPr>
        <w:pStyle w:val="19"/>
        <w:spacing w:before="156" w:after="156"/>
        <w:rPr>
          <w:rFonts w:hint="eastAsia" w:ascii="仿宋_GB2312" w:eastAsia="仿宋_GB2312"/>
          <w:color w:val="000000"/>
          <w:sz w:val="24"/>
          <w:szCs w:val="24"/>
        </w:rPr>
      </w:pPr>
      <w:r>
        <w:rPr>
          <w:rFonts w:hint="eastAsia" w:ascii="仿宋_GB2312" w:eastAsia="仿宋_GB2312"/>
          <w:color w:val="000000"/>
          <w:sz w:val="24"/>
          <w:szCs w:val="24"/>
        </w:rPr>
        <w:t>人户分离模型</w:t>
      </w:r>
    </w:p>
    <w:p>
      <w:pPr>
        <w:pStyle w:val="17"/>
        <w:ind w:firstLine="480"/>
        <w:rPr>
          <w:rFonts w:hint="eastAsia" w:ascii="仿宋_GB2312" w:hAnsi="仿宋" w:eastAsia="仿宋_GB2312"/>
          <w:color w:val="000000"/>
          <w:szCs w:val="24"/>
        </w:rPr>
      </w:pPr>
      <w:r>
        <w:rPr>
          <w:rFonts w:hint="eastAsia" w:ascii="仿宋_GB2312" w:hAnsi="仿宋" w:eastAsia="仿宋_GB2312"/>
          <w:color w:val="000000"/>
          <w:szCs w:val="24"/>
        </w:rPr>
        <w:t>通过常住人口、小区信息、快递、旅馆入住等多维度的登记类地址信息碰撞轨迹类车辆、人脸、mac等数据，发现人员户籍与常住地不同的情况。</w:t>
      </w:r>
    </w:p>
    <w:p>
      <w:pPr>
        <w:pStyle w:val="17"/>
        <w:ind w:firstLine="480"/>
        <w:rPr>
          <w:rFonts w:hint="eastAsia" w:ascii="仿宋_GB2312" w:hAnsi="仿宋" w:eastAsia="仿宋_GB2312"/>
          <w:color w:val="000000"/>
          <w:szCs w:val="24"/>
        </w:rPr>
      </w:pPr>
      <w:r>
        <w:rPr>
          <w:rFonts w:hint="eastAsia" w:ascii="仿宋_GB2312" w:hAnsi="仿宋" w:eastAsia="仿宋_GB2312"/>
          <w:color w:val="000000"/>
          <w:szCs w:val="24"/>
        </w:rPr>
        <w:t>完成数据建模后，须根据绍兴市公安局实际数据情况，对模型产出的结果数据进行梳理验证，根据结果情况对模型进行调优，保证模型结果的准确性。</w:t>
      </w:r>
    </w:p>
    <w:p>
      <w:pPr>
        <w:pStyle w:val="19"/>
        <w:spacing w:before="156" w:after="156"/>
        <w:rPr>
          <w:rFonts w:hint="eastAsia" w:ascii="仿宋_GB2312" w:eastAsia="仿宋_GB2312"/>
          <w:color w:val="000000"/>
          <w:sz w:val="24"/>
          <w:szCs w:val="24"/>
        </w:rPr>
      </w:pPr>
      <w:r>
        <w:rPr>
          <w:rFonts w:hint="eastAsia" w:ascii="仿宋_GB2312" w:eastAsia="仿宋_GB2312"/>
          <w:color w:val="000000"/>
          <w:sz w:val="24"/>
          <w:szCs w:val="24"/>
        </w:rPr>
        <w:t>异常空置房模型</w:t>
      </w:r>
    </w:p>
    <w:p>
      <w:pPr>
        <w:pStyle w:val="17"/>
        <w:ind w:firstLine="480"/>
        <w:rPr>
          <w:rFonts w:hint="eastAsia" w:ascii="仿宋_GB2312" w:hAnsi="仿宋" w:eastAsia="仿宋_GB2312"/>
          <w:color w:val="000000"/>
          <w:szCs w:val="24"/>
        </w:rPr>
      </w:pPr>
      <w:r>
        <w:rPr>
          <w:rFonts w:hint="eastAsia" w:ascii="仿宋_GB2312" w:hAnsi="仿宋" w:eastAsia="仿宋_GB2312"/>
          <w:color w:val="000000"/>
          <w:szCs w:val="24"/>
        </w:rPr>
        <w:t>通过分析居民用水用电以及快递等信息，来发现居民此段时间未入住下一段时间入住的规律，进而得出空置房屋有人入住的可能性。</w:t>
      </w:r>
    </w:p>
    <w:p>
      <w:pPr>
        <w:pStyle w:val="17"/>
        <w:ind w:firstLine="480"/>
        <w:rPr>
          <w:rFonts w:hint="eastAsia" w:ascii="仿宋_GB2312" w:hAnsi="仿宋" w:eastAsia="仿宋_GB2312"/>
          <w:color w:val="000000"/>
          <w:szCs w:val="24"/>
        </w:rPr>
      </w:pPr>
      <w:r>
        <w:rPr>
          <w:rFonts w:hint="eastAsia" w:ascii="仿宋_GB2312" w:hAnsi="仿宋" w:eastAsia="仿宋_GB2312"/>
          <w:color w:val="000000"/>
          <w:szCs w:val="24"/>
        </w:rPr>
        <w:t>完成数据建模后，须根据绍兴市公安局实际数据情况，对模型产出的结果数据进行梳理验证，根据结果情况对模型进行调优，保证模型结果的准确性。</w:t>
      </w:r>
    </w:p>
    <w:p>
      <w:pPr>
        <w:pStyle w:val="19"/>
        <w:spacing w:before="156" w:after="156"/>
        <w:rPr>
          <w:rFonts w:hint="eastAsia" w:ascii="仿宋_GB2312" w:eastAsia="仿宋_GB2312"/>
          <w:color w:val="000000"/>
          <w:sz w:val="24"/>
          <w:szCs w:val="24"/>
        </w:rPr>
      </w:pPr>
      <w:r>
        <w:rPr>
          <w:rFonts w:hint="eastAsia" w:ascii="仿宋_GB2312" w:eastAsia="仿宋_GB2312"/>
          <w:color w:val="000000"/>
          <w:sz w:val="24"/>
          <w:szCs w:val="24"/>
        </w:rPr>
        <w:t>流动人口小区出入预警</w:t>
      </w:r>
    </w:p>
    <w:p>
      <w:pPr>
        <w:pStyle w:val="17"/>
        <w:ind w:firstLine="480"/>
        <w:rPr>
          <w:rFonts w:hint="eastAsia" w:ascii="仿宋_GB2312" w:hAnsi="仿宋" w:eastAsia="仿宋_GB2312"/>
          <w:color w:val="000000"/>
          <w:szCs w:val="24"/>
        </w:rPr>
      </w:pPr>
      <w:r>
        <w:rPr>
          <w:rFonts w:hint="eastAsia" w:ascii="仿宋_GB2312" w:hAnsi="仿宋" w:eastAsia="仿宋_GB2312"/>
          <w:color w:val="000000"/>
          <w:szCs w:val="24"/>
        </w:rPr>
        <w:t>根据常住人口、暂住人口、小区信息等多维度的登记类地址碰撞轨迹类人脸和mac数据，找到非常暂人员在绍兴市的暂住位置，辅助其进行暂住登记。</w:t>
      </w:r>
    </w:p>
    <w:p>
      <w:pPr>
        <w:pStyle w:val="17"/>
        <w:ind w:firstLine="480"/>
        <w:rPr>
          <w:rFonts w:hint="eastAsia" w:ascii="仿宋_GB2312" w:hAnsi="仿宋" w:eastAsia="仿宋_GB2312"/>
          <w:color w:val="000000"/>
          <w:szCs w:val="24"/>
        </w:rPr>
      </w:pPr>
      <w:r>
        <w:rPr>
          <w:rFonts w:hint="eastAsia" w:ascii="仿宋_GB2312" w:hAnsi="仿宋" w:eastAsia="仿宋_GB2312"/>
          <w:color w:val="000000"/>
          <w:szCs w:val="24"/>
        </w:rPr>
        <w:t>完成数据建模后，须根据绍兴市公安局实际数据情况，对模型产出的结果数据进行梳理验证，根据结果情况对模型进行调优，保证模型结果的准确性。</w:t>
      </w:r>
    </w:p>
    <w:p>
      <w:pPr>
        <w:pStyle w:val="19"/>
        <w:spacing w:before="156" w:after="156"/>
        <w:rPr>
          <w:rFonts w:hint="eastAsia" w:ascii="仿宋_GB2312" w:eastAsia="仿宋_GB2312"/>
          <w:color w:val="000000"/>
          <w:sz w:val="24"/>
          <w:szCs w:val="24"/>
        </w:rPr>
      </w:pPr>
      <w:r>
        <w:rPr>
          <w:rFonts w:hint="eastAsia" w:ascii="仿宋_GB2312" w:eastAsia="仿宋_GB2312"/>
          <w:color w:val="000000"/>
          <w:sz w:val="24"/>
          <w:szCs w:val="24"/>
        </w:rPr>
        <w:t xml:space="preserve">疑似碰瓷骗保人员发现 </w:t>
      </w:r>
    </w:p>
    <w:p>
      <w:pPr>
        <w:pStyle w:val="17"/>
        <w:ind w:firstLine="480"/>
        <w:rPr>
          <w:rFonts w:hint="eastAsia" w:ascii="仿宋_GB2312" w:hAnsi="仿宋" w:eastAsia="仿宋_GB2312"/>
          <w:color w:val="000000"/>
          <w:szCs w:val="24"/>
        </w:rPr>
      </w:pPr>
      <w:r>
        <w:rPr>
          <w:rFonts w:hint="eastAsia" w:ascii="仿宋_GB2312" w:hAnsi="仿宋" w:eastAsia="仿宋_GB2312"/>
          <w:color w:val="000000"/>
          <w:szCs w:val="24"/>
        </w:rPr>
        <w:t>通过110接警，110反馈，110处警等数据进行综合分析，发现存在多次相似案事件的人员，进而推断疑似碰瓷骗保人员。</w:t>
      </w:r>
    </w:p>
    <w:p>
      <w:pPr>
        <w:pStyle w:val="17"/>
        <w:ind w:firstLine="480"/>
        <w:rPr>
          <w:rFonts w:hint="eastAsia" w:ascii="仿宋_GB2312" w:hAnsi="仿宋" w:eastAsia="仿宋_GB2312"/>
          <w:color w:val="000000"/>
          <w:szCs w:val="24"/>
        </w:rPr>
      </w:pPr>
      <w:r>
        <w:rPr>
          <w:rFonts w:hint="eastAsia" w:ascii="仿宋_GB2312" w:hAnsi="仿宋" w:eastAsia="仿宋_GB2312"/>
          <w:color w:val="000000"/>
          <w:szCs w:val="24"/>
        </w:rPr>
        <w:t>完成数据建模后，须根据绍兴市公安局实际数据情况，对模型产出的结果数据进行梳理验证，根据结果情况对模型进行调优，保证模型结果的准确性。</w:t>
      </w:r>
    </w:p>
    <w:p>
      <w:pPr>
        <w:pStyle w:val="19"/>
        <w:spacing w:before="156" w:after="156"/>
        <w:rPr>
          <w:rFonts w:hint="eastAsia" w:ascii="仿宋_GB2312" w:eastAsia="仿宋_GB2312"/>
          <w:color w:val="000000"/>
          <w:sz w:val="24"/>
          <w:szCs w:val="24"/>
        </w:rPr>
      </w:pPr>
      <w:r>
        <w:rPr>
          <w:rFonts w:hint="eastAsia" w:ascii="仿宋_GB2312" w:eastAsia="仿宋_GB2312"/>
          <w:color w:val="000000"/>
          <w:sz w:val="24"/>
          <w:szCs w:val="24"/>
        </w:rPr>
        <w:t>套牌车发现</w:t>
      </w:r>
    </w:p>
    <w:p>
      <w:pPr>
        <w:pStyle w:val="17"/>
        <w:ind w:firstLine="480"/>
        <w:rPr>
          <w:rFonts w:hint="eastAsia" w:ascii="仿宋_GB2312" w:hAnsi="仿宋" w:eastAsia="仿宋_GB2312"/>
          <w:color w:val="000000"/>
          <w:szCs w:val="24"/>
        </w:rPr>
      </w:pPr>
      <w:r>
        <w:rPr>
          <w:rFonts w:hint="eastAsia" w:ascii="仿宋_GB2312" w:hAnsi="仿宋" w:eastAsia="仿宋_GB2312"/>
          <w:color w:val="000000"/>
          <w:szCs w:val="24"/>
        </w:rPr>
        <w:t>根据车辆卡口数据及车辆违章等数据的碰撞比对，发现车辆的异常轨迹信息，进而推断出套牌车辆。</w:t>
      </w:r>
    </w:p>
    <w:p>
      <w:pPr>
        <w:pStyle w:val="17"/>
        <w:ind w:firstLine="480"/>
        <w:rPr>
          <w:rFonts w:hint="eastAsia" w:ascii="仿宋_GB2312" w:hAnsi="仿宋" w:eastAsia="仿宋_GB2312"/>
          <w:color w:val="000000"/>
          <w:szCs w:val="24"/>
        </w:rPr>
      </w:pPr>
      <w:r>
        <w:rPr>
          <w:rFonts w:hint="eastAsia" w:ascii="仿宋_GB2312" w:hAnsi="仿宋" w:eastAsia="仿宋_GB2312"/>
          <w:color w:val="000000"/>
          <w:szCs w:val="24"/>
        </w:rPr>
        <w:t>完成数据建模后，须根据绍兴市公安局实际数据情况，对模型产出的结果数据进行梳理验证，根据结果情况对模型进行调优，保证模型结果的准确性。</w:t>
      </w:r>
    </w:p>
    <w:p>
      <w:pPr>
        <w:pStyle w:val="19"/>
        <w:spacing w:before="156" w:after="156"/>
        <w:rPr>
          <w:rFonts w:hint="eastAsia" w:ascii="仿宋_GB2312" w:eastAsia="仿宋_GB2312"/>
          <w:color w:val="000000"/>
          <w:sz w:val="24"/>
          <w:szCs w:val="24"/>
        </w:rPr>
      </w:pPr>
      <w:r>
        <w:rPr>
          <w:rFonts w:hint="eastAsia" w:ascii="仿宋_GB2312" w:eastAsia="仿宋_GB2312"/>
          <w:color w:val="000000"/>
          <w:sz w:val="24"/>
          <w:szCs w:val="24"/>
        </w:rPr>
        <w:t>疑似酒店入住异常</w:t>
      </w:r>
    </w:p>
    <w:p>
      <w:pPr>
        <w:pStyle w:val="17"/>
        <w:ind w:firstLine="480"/>
        <w:rPr>
          <w:rFonts w:hint="eastAsia" w:ascii="仿宋_GB2312" w:hAnsi="仿宋" w:eastAsia="仿宋_GB2312"/>
          <w:color w:val="000000"/>
          <w:szCs w:val="24"/>
        </w:rPr>
      </w:pPr>
      <w:r>
        <w:rPr>
          <w:rFonts w:hint="eastAsia" w:ascii="仿宋_GB2312" w:hAnsi="仿宋" w:eastAsia="仿宋_GB2312"/>
          <w:color w:val="000000"/>
          <w:szCs w:val="24"/>
        </w:rPr>
        <w:t>根据已有的违法犯罪人员信息、全国在逃人员信息以及重点人员信息等，整理人员标签信息。</w:t>
      </w:r>
    </w:p>
    <w:p>
      <w:pPr>
        <w:pStyle w:val="17"/>
        <w:ind w:firstLine="480"/>
        <w:rPr>
          <w:rFonts w:hint="eastAsia" w:ascii="仿宋_GB2312" w:hAnsi="仿宋" w:eastAsia="仿宋_GB2312"/>
          <w:color w:val="000000"/>
          <w:szCs w:val="24"/>
        </w:rPr>
      </w:pPr>
      <w:r>
        <w:rPr>
          <w:rFonts w:hint="eastAsia" w:ascii="仿宋_GB2312" w:hAnsi="仿宋" w:eastAsia="仿宋_GB2312"/>
          <w:color w:val="000000"/>
          <w:szCs w:val="24"/>
        </w:rPr>
        <w:t>根据人员入住酒店记录，可以统计出酒店各类入住率（前科入住率、钟点房入住率、后半夜入住率、前科频繁入住等）情况。</w:t>
      </w:r>
    </w:p>
    <w:p>
      <w:pPr>
        <w:pStyle w:val="17"/>
        <w:ind w:firstLine="480"/>
        <w:rPr>
          <w:rFonts w:hint="eastAsia" w:ascii="仿宋_GB2312" w:hAnsi="仿宋" w:eastAsia="仿宋_GB2312"/>
          <w:color w:val="000000"/>
          <w:szCs w:val="24"/>
        </w:rPr>
      </w:pPr>
      <w:r>
        <w:rPr>
          <w:rFonts w:hint="eastAsia" w:ascii="仿宋_GB2312" w:hAnsi="仿宋" w:eastAsia="仿宋_GB2312"/>
          <w:color w:val="000000"/>
          <w:szCs w:val="24"/>
        </w:rPr>
        <w:t>对完善的酒店信息的各种入住率，基于自定义阈值\动态阈值、正态分布异常识别筛选出异常的酒店。</w:t>
      </w:r>
    </w:p>
    <w:p>
      <w:pPr>
        <w:pStyle w:val="17"/>
        <w:ind w:firstLine="480"/>
        <w:rPr>
          <w:rFonts w:hint="eastAsia" w:ascii="仿宋_GB2312" w:hAnsi="仿宋" w:eastAsia="仿宋_GB2312"/>
          <w:color w:val="000000"/>
          <w:szCs w:val="24"/>
        </w:rPr>
      </w:pPr>
      <w:r>
        <w:rPr>
          <w:rFonts w:hint="eastAsia" w:ascii="仿宋_GB2312" w:hAnsi="仿宋" w:eastAsia="仿宋_GB2312"/>
          <w:color w:val="000000"/>
          <w:szCs w:val="24"/>
        </w:rPr>
        <w:t>完成数据建模后，须根据绍兴市公安局实际数据情况，对模型产出的结果数据进行梳理验证，根据结果情况对模型进行调优，保证模型结果的准确性。</w:t>
      </w:r>
    </w:p>
    <w:p>
      <w:pPr>
        <w:pStyle w:val="19"/>
        <w:spacing w:before="156" w:after="156"/>
        <w:rPr>
          <w:rFonts w:hint="eastAsia" w:ascii="仿宋_GB2312" w:eastAsia="仿宋_GB2312"/>
          <w:color w:val="000000"/>
          <w:sz w:val="24"/>
          <w:szCs w:val="24"/>
        </w:rPr>
      </w:pPr>
      <w:r>
        <w:rPr>
          <w:rFonts w:hint="eastAsia" w:ascii="仿宋_GB2312" w:eastAsia="仿宋_GB2312"/>
          <w:color w:val="000000"/>
          <w:sz w:val="24"/>
          <w:szCs w:val="24"/>
        </w:rPr>
        <w:t>重点人员聚集</w:t>
      </w:r>
    </w:p>
    <w:p>
      <w:pPr>
        <w:pStyle w:val="17"/>
        <w:ind w:firstLine="480"/>
        <w:rPr>
          <w:rFonts w:hint="eastAsia" w:ascii="仿宋_GB2312" w:hAnsi="仿宋" w:eastAsia="仿宋_GB2312"/>
          <w:color w:val="000000"/>
          <w:szCs w:val="24"/>
        </w:rPr>
      </w:pPr>
      <w:r>
        <w:rPr>
          <w:rFonts w:hint="eastAsia" w:ascii="仿宋_GB2312" w:hAnsi="仿宋" w:eastAsia="仿宋_GB2312"/>
          <w:color w:val="000000"/>
          <w:szCs w:val="24"/>
        </w:rPr>
        <w:t>利用本地感知类轨迹数据（人脸卡口，车辆卡口，MAC轨迹），通过流计算技术，做到实时发现布控重点人员的聚集行为，并结合人员落脚点算法，减少由于人员住址地区与重点区域重合而导致的误报。另外，辅以人员近期异常统计，计算人员聚集风险值。</w:t>
      </w:r>
    </w:p>
    <w:p>
      <w:pPr>
        <w:pStyle w:val="17"/>
        <w:ind w:firstLine="480"/>
        <w:rPr>
          <w:rFonts w:hint="eastAsia" w:ascii="仿宋_GB2312" w:hAnsi="仿宋" w:eastAsia="仿宋_GB2312"/>
          <w:color w:val="000000"/>
          <w:szCs w:val="24"/>
        </w:rPr>
      </w:pPr>
      <w:r>
        <w:rPr>
          <w:rFonts w:hint="eastAsia" w:ascii="仿宋_GB2312" w:hAnsi="仿宋" w:eastAsia="仿宋_GB2312"/>
          <w:color w:val="000000"/>
          <w:szCs w:val="24"/>
        </w:rPr>
        <w:t>完成数据建模后，须根据绍兴市公安局实际数据情况，对模型产出的结果数据进行梳理验证，根据结果情况对模型进行调优，保证模型结果的准确性。</w:t>
      </w:r>
    </w:p>
    <w:p>
      <w:pPr>
        <w:pStyle w:val="19"/>
        <w:spacing w:before="156" w:after="156"/>
        <w:rPr>
          <w:rFonts w:hint="eastAsia" w:ascii="仿宋_GB2312" w:eastAsia="仿宋_GB2312"/>
          <w:color w:val="000000"/>
          <w:sz w:val="24"/>
          <w:szCs w:val="24"/>
        </w:rPr>
      </w:pPr>
      <w:r>
        <w:rPr>
          <w:rFonts w:hint="eastAsia" w:ascii="仿宋_GB2312" w:eastAsia="仿宋_GB2312"/>
          <w:color w:val="000000"/>
          <w:sz w:val="24"/>
          <w:szCs w:val="24"/>
        </w:rPr>
        <w:t>居住登记到期仍在绍</w:t>
      </w:r>
    </w:p>
    <w:p>
      <w:pPr>
        <w:pStyle w:val="17"/>
        <w:ind w:firstLine="480"/>
        <w:rPr>
          <w:rFonts w:hint="eastAsia" w:ascii="仿宋_GB2312" w:hAnsi="仿宋" w:eastAsia="仿宋_GB2312"/>
          <w:color w:val="000000"/>
          <w:szCs w:val="24"/>
        </w:rPr>
      </w:pPr>
      <w:r>
        <w:rPr>
          <w:rFonts w:hint="eastAsia" w:ascii="仿宋_GB2312" w:hAnsi="仿宋" w:eastAsia="仿宋_GB2312"/>
          <w:color w:val="000000"/>
          <w:szCs w:val="24"/>
        </w:rPr>
        <w:t>对7天内暂住登记即将到期的人员，利用人脸、车辆、mac等感知类数据和小区、水电等登记类数据之间的碰撞计算新的居住地址，并推送基层业务警员。</w:t>
      </w:r>
    </w:p>
    <w:p>
      <w:pPr>
        <w:pStyle w:val="17"/>
        <w:ind w:firstLine="480"/>
        <w:rPr>
          <w:rFonts w:hint="eastAsia" w:ascii="仿宋_GB2312" w:hAnsi="仿宋" w:eastAsia="仿宋_GB2312"/>
          <w:color w:val="000000"/>
          <w:szCs w:val="24"/>
        </w:rPr>
      </w:pPr>
      <w:r>
        <w:rPr>
          <w:rFonts w:hint="eastAsia" w:ascii="仿宋_GB2312" w:hAnsi="仿宋" w:eastAsia="仿宋_GB2312"/>
          <w:color w:val="000000"/>
          <w:szCs w:val="24"/>
        </w:rPr>
        <w:t>完成数据建模后，须根据绍兴市公安局实际数据情况，对模型产出的结果数据进行梳理验证，根据结果情况对模型进行调优，保证模型结果的准确性。</w:t>
      </w:r>
    </w:p>
    <w:p>
      <w:pPr>
        <w:pStyle w:val="19"/>
        <w:spacing w:before="156" w:after="156"/>
        <w:rPr>
          <w:rFonts w:hint="eastAsia" w:ascii="仿宋_GB2312" w:eastAsia="仿宋_GB2312"/>
          <w:color w:val="000000"/>
          <w:sz w:val="24"/>
          <w:szCs w:val="24"/>
        </w:rPr>
      </w:pPr>
      <w:r>
        <w:rPr>
          <w:rFonts w:hint="eastAsia" w:ascii="仿宋_GB2312" w:eastAsia="仿宋_GB2312"/>
          <w:color w:val="000000"/>
          <w:sz w:val="24"/>
          <w:szCs w:val="24"/>
        </w:rPr>
        <w:t>疑似涉赌窝点发现</w:t>
      </w:r>
    </w:p>
    <w:p>
      <w:pPr>
        <w:pStyle w:val="17"/>
        <w:ind w:firstLine="480"/>
        <w:rPr>
          <w:rFonts w:hint="eastAsia" w:ascii="仿宋_GB2312" w:hAnsi="仿宋" w:eastAsia="仿宋_GB2312"/>
          <w:color w:val="000000"/>
          <w:szCs w:val="24"/>
        </w:rPr>
      </w:pPr>
      <w:r>
        <w:rPr>
          <w:rFonts w:hint="eastAsia" w:ascii="仿宋_GB2312" w:hAnsi="仿宋" w:eastAsia="仿宋_GB2312"/>
          <w:color w:val="000000"/>
          <w:szCs w:val="24"/>
        </w:rPr>
        <w:t>根据前科涉赌人员亲密度分析，潜在赌博群体。依托idmapping分析，提取相关联的mac、手机、车辆等实体的轨迹信息，运用落脚点算法发现涉赌群体的窝点。</w:t>
      </w:r>
    </w:p>
    <w:p>
      <w:pPr>
        <w:pStyle w:val="17"/>
        <w:ind w:firstLine="480"/>
        <w:rPr>
          <w:rFonts w:hint="eastAsia" w:ascii="仿宋_GB2312" w:hAnsi="仿宋" w:eastAsia="仿宋_GB2312"/>
          <w:color w:val="000000"/>
          <w:szCs w:val="24"/>
        </w:rPr>
      </w:pPr>
      <w:r>
        <w:rPr>
          <w:rFonts w:hint="eastAsia" w:ascii="仿宋_GB2312" w:hAnsi="仿宋" w:eastAsia="仿宋_GB2312"/>
          <w:color w:val="000000"/>
          <w:szCs w:val="24"/>
        </w:rPr>
        <w:t>完成数据建模后，须根据绍兴市公安局实际数据情况，对模型产出的结果数据进行梳理验证，根据结果情况对模型进行调优，保证模型结果的准确性。</w:t>
      </w:r>
    </w:p>
    <w:p>
      <w:pPr>
        <w:pStyle w:val="19"/>
        <w:spacing w:before="156" w:after="156"/>
        <w:rPr>
          <w:rFonts w:hint="eastAsia" w:ascii="仿宋_GB2312" w:eastAsia="仿宋_GB2312"/>
          <w:color w:val="000000"/>
          <w:sz w:val="24"/>
          <w:szCs w:val="24"/>
        </w:rPr>
      </w:pPr>
      <w:r>
        <w:rPr>
          <w:rFonts w:hint="eastAsia" w:ascii="仿宋_GB2312" w:eastAsia="仿宋_GB2312"/>
          <w:color w:val="000000"/>
          <w:sz w:val="24"/>
          <w:szCs w:val="24"/>
        </w:rPr>
        <w:t>流口辅助登记</w:t>
      </w:r>
    </w:p>
    <w:p>
      <w:pPr>
        <w:pStyle w:val="17"/>
        <w:ind w:firstLine="480"/>
        <w:rPr>
          <w:rFonts w:hint="eastAsia" w:ascii="仿宋_GB2312" w:hAnsi="仿宋" w:eastAsia="仿宋_GB2312"/>
          <w:color w:val="000000"/>
          <w:szCs w:val="24"/>
        </w:rPr>
      </w:pPr>
      <w:r>
        <w:rPr>
          <w:rFonts w:hint="eastAsia" w:ascii="仿宋_GB2312" w:hAnsi="仿宋" w:eastAsia="仿宋_GB2312"/>
          <w:color w:val="000000"/>
          <w:szCs w:val="24"/>
        </w:rPr>
        <w:t>根据暂住人口基本信息，常住人口基本信息，快递数据等多维度的登记类地址碰撞轨迹类人脸和mac数据，找到非常暂人员在绍兴市的暂住位置，辅助其进行暂住登记。</w:t>
      </w:r>
    </w:p>
    <w:p>
      <w:pPr>
        <w:pStyle w:val="17"/>
        <w:ind w:firstLine="480"/>
        <w:rPr>
          <w:rFonts w:hint="eastAsia" w:ascii="仿宋_GB2312" w:hAnsi="仿宋" w:eastAsia="仿宋_GB2312"/>
          <w:color w:val="000000"/>
          <w:szCs w:val="24"/>
        </w:rPr>
      </w:pPr>
      <w:r>
        <w:rPr>
          <w:rFonts w:hint="eastAsia" w:ascii="仿宋_GB2312" w:hAnsi="仿宋" w:eastAsia="仿宋_GB2312"/>
          <w:color w:val="000000"/>
          <w:szCs w:val="24"/>
        </w:rPr>
        <w:t>完成数据建模后，须根据绍兴市公安局实际数据情况，对模型产出的结果数据进行梳理验证，根据结果情况对模型进行调优，保证模型结果的准确性。</w:t>
      </w:r>
    </w:p>
    <w:p>
      <w:pPr>
        <w:pStyle w:val="19"/>
        <w:spacing w:before="156" w:after="156"/>
        <w:rPr>
          <w:rFonts w:hint="eastAsia" w:ascii="仿宋_GB2312" w:eastAsia="仿宋_GB2312"/>
          <w:color w:val="000000"/>
          <w:sz w:val="24"/>
          <w:szCs w:val="24"/>
        </w:rPr>
      </w:pPr>
      <w:r>
        <w:rPr>
          <w:rFonts w:hint="eastAsia" w:ascii="仿宋_GB2312" w:eastAsia="仿宋_GB2312"/>
          <w:color w:val="000000"/>
          <w:sz w:val="24"/>
          <w:szCs w:val="24"/>
        </w:rPr>
        <w:t>疑似涉黄团伙核心人员发现</w:t>
      </w:r>
    </w:p>
    <w:p>
      <w:pPr>
        <w:pStyle w:val="17"/>
        <w:ind w:firstLine="480"/>
        <w:rPr>
          <w:rFonts w:hint="eastAsia" w:ascii="仿宋_GB2312" w:hAnsi="仿宋" w:eastAsia="仿宋_GB2312"/>
          <w:color w:val="000000"/>
          <w:szCs w:val="24"/>
        </w:rPr>
      </w:pPr>
      <w:r>
        <w:rPr>
          <w:rFonts w:hint="eastAsia" w:ascii="仿宋_GB2312" w:hAnsi="仿宋" w:eastAsia="仿宋_GB2312"/>
          <w:color w:val="000000"/>
          <w:szCs w:val="24"/>
        </w:rPr>
        <w:t>根据采分等话单数据进行idmapping，提取其中近期前科涉黄人员，并建立通联图网络。根据对于整个网络的图分析，得出最有可能的涉黄团体，最后再对每个涉黄团体进行图网络中心性及重要性分析，得到可能的涉黄组织核心人员。</w:t>
      </w:r>
    </w:p>
    <w:p>
      <w:pPr>
        <w:pStyle w:val="17"/>
        <w:ind w:firstLine="480"/>
        <w:rPr>
          <w:rFonts w:hint="eastAsia" w:ascii="仿宋_GB2312" w:hAnsi="仿宋" w:eastAsia="仿宋_GB2312"/>
          <w:color w:val="000000"/>
          <w:szCs w:val="24"/>
        </w:rPr>
      </w:pPr>
      <w:r>
        <w:rPr>
          <w:rFonts w:hint="eastAsia" w:ascii="仿宋_GB2312" w:hAnsi="仿宋" w:eastAsia="仿宋_GB2312"/>
          <w:color w:val="000000"/>
          <w:szCs w:val="24"/>
        </w:rPr>
        <w:t>完成数据建模后，须根据绍兴市公安局实际数据情况，对模型产出的结果数据进行梳理验证，根据结果情况对模型进行调优，保证模型结果的准确性。</w:t>
      </w:r>
    </w:p>
    <w:p>
      <w:pPr>
        <w:pStyle w:val="19"/>
        <w:spacing w:before="156" w:after="156"/>
        <w:rPr>
          <w:rFonts w:hint="eastAsia" w:ascii="仿宋_GB2312" w:eastAsia="仿宋_GB2312"/>
          <w:color w:val="000000"/>
          <w:sz w:val="24"/>
          <w:szCs w:val="24"/>
        </w:rPr>
      </w:pPr>
      <w:r>
        <w:rPr>
          <w:rFonts w:hint="eastAsia" w:ascii="仿宋_GB2312" w:eastAsia="仿宋_GB2312"/>
          <w:color w:val="000000"/>
          <w:sz w:val="24"/>
          <w:szCs w:val="24"/>
        </w:rPr>
        <w:t>被盗电子设备触网发现模型</w:t>
      </w:r>
    </w:p>
    <w:p>
      <w:pPr>
        <w:pStyle w:val="17"/>
        <w:ind w:firstLine="480"/>
        <w:rPr>
          <w:rFonts w:hint="eastAsia" w:ascii="仿宋_GB2312" w:hAnsi="仿宋" w:eastAsia="仿宋_GB2312"/>
          <w:color w:val="000000"/>
          <w:szCs w:val="24"/>
        </w:rPr>
      </w:pPr>
      <w:r>
        <w:rPr>
          <w:rFonts w:hint="eastAsia" w:ascii="仿宋_GB2312" w:hAnsi="仿宋" w:eastAsia="仿宋_GB2312"/>
          <w:color w:val="000000"/>
          <w:szCs w:val="24"/>
        </w:rPr>
        <w:t>根据失主提供的被盗电子设备imei数据关联对应的mac数据，利用mac轨迹分析查找被盗电子设备最新触网地点，推出报警。</w:t>
      </w:r>
    </w:p>
    <w:p>
      <w:pPr>
        <w:pStyle w:val="17"/>
        <w:ind w:firstLine="480"/>
        <w:rPr>
          <w:rFonts w:hint="eastAsia" w:ascii="仿宋_GB2312" w:hAnsi="仿宋" w:eastAsia="仿宋_GB2312"/>
          <w:color w:val="000000"/>
          <w:szCs w:val="24"/>
        </w:rPr>
      </w:pPr>
      <w:r>
        <w:rPr>
          <w:rFonts w:hint="eastAsia" w:ascii="仿宋_GB2312" w:hAnsi="仿宋" w:eastAsia="仿宋_GB2312"/>
          <w:color w:val="000000"/>
          <w:szCs w:val="24"/>
        </w:rPr>
        <w:t>完成数据建模后，须根据绍兴市公安局实际数据情况，对模型产出的结果数据进行梳理验证，根据结果情况对模型进行调优，保证模型结果的准确性。</w:t>
      </w:r>
    </w:p>
    <w:p>
      <w:pPr>
        <w:pStyle w:val="20"/>
        <w:spacing w:before="156" w:after="156"/>
        <w:ind w:left="630"/>
        <w:rPr>
          <w:rFonts w:hint="eastAsia" w:ascii="仿宋_GB2312" w:hAnsi="仿宋" w:eastAsia="仿宋_GB2312"/>
          <w:color w:val="000000"/>
          <w:sz w:val="24"/>
          <w:szCs w:val="24"/>
        </w:rPr>
      </w:pPr>
      <w:r>
        <w:rPr>
          <w:rFonts w:hint="eastAsia" w:ascii="仿宋_GB2312" w:hAnsi="仿宋" w:eastAsia="仿宋_GB2312"/>
          <w:color w:val="000000"/>
          <w:sz w:val="24"/>
          <w:szCs w:val="24"/>
        </w:rPr>
        <w:t>模型推演室</w:t>
      </w:r>
    </w:p>
    <w:p>
      <w:pPr>
        <w:pStyle w:val="17"/>
        <w:ind w:firstLine="480"/>
        <w:rPr>
          <w:rFonts w:hint="eastAsia" w:ascii="仿宋_GB2312" w:hAnsi="仿宋" w:eastAsia="仿宋_GB2312"/>
          <w:color w:val="000000"/>
          <w:szCs w:val="24"/>
        </w:rPr>
      </w:pPr>
      <w:r>
        <w:rPr>
          <w:rFonts w:hint="eastAsia" w:ascii="仿宋_GB2312" w:hAnsi="仿宋" w:eastAsia="仿宋_GB2312"/>
          <w:color w:val="000000"/>
          <w:szCs w:val="24"/>
        </w:rPr>
        <w:t>模型推演室提供算子与算子、算子与数据源之间、数据源和数据源之间的碰撞和推演，通过拖拉拽简单操作方式，实现交、并、差集运算，进行可视化交互操作。</w:t>
      </w:r>
    </w:p>
    <w:p>
      <w:pPr>
        <w:pStyle w:val="17"/>
        <w:ind w:firstLine="480"/>
        <w:rPr>
          <w:rFonts w:hint="eastAsia" w:ascii="仿宋_GB2312" w:hAnsi="仿宋" w:eastAsia="仿宋_GB2312"/>
          <w:color w:val="000000"/>
          <w:szCs w:val="24"/>
        </w:rPr>
      </w:pPr>
      <w:r>
        <w:rPr>
          <w:rFonts w:hint="eastAsia" w:ascii="仿宋_GB2312" w:hAnsi="仿宋" w:eastAsia="仿宋_GB2312"/>
          <w:color w:val="000000"/>
          <w:szCs w:val="24"/>
        </w:rPr>
        <w:t>民警可以将单个算法模型在模型推演室根据业务需求自由组合来研判某些复杂的场景，支持实时计算和离线计算。操作便捷易理解，可让无技术背景的资深民警结合自己的**经验来研判案件精准圈人，支持将优秀的**研判方案线上工程化保存下来。</w:t>
      </w:r>
    </w:p>
    <w:p>
      <w:pPr>
        <w:pStyle w:val="17"/>
        <w:ind w:firstLine="480"/>
        <w:rPr>
          <w:rFonts w:hint="eastAsia" w:ascii="仿宋_GB2312" w:hAnsi="仿宋" w:eastAsia="仿宋_GB2312"/>
          <w:color w:val="000000"/>
          <w:szCs w:val="24"/>
        </w:rPr>
      </w:pPr>
      <w:r>
        <w:rPr>
          <w:rFonts w:hint="eastAsia" w:ascii="仿宋_GB2312" w:hAnsi="仿宋" w:eastAsia="仿宋_GB2312"/>
          <w:color w:val="000000"/>
          <w:szCs w:val="24"/>
        </w:rPr>
        <w:t>同时支持算法模型和标准数据源之间的碰撞运行，快速比对碰撞出结果。</w:t>
      </w:r>
    </w:p>
    <w:p>
      <w:pPr>
        <w:pStyle w:val="17"/>
        <w:ind w:firstLine="480"/>
        <w:rPr>
          <w:rFonts w:hint="eastAsia" w:ascii="仿宋_GB2312" w:hAnsi="仿宋" w:eastAsia="仿宋_GB2312"/>
          <w:color w:val="000000"/>
          <w:szCs w:val="24"/>
        </w:rPr>
      </w:pPr>
      <w:r>
        <w:rPr>
          <w:rFonts w:hint="eastAsia" w:ascii="仿宋_GB2312" w:hAnsi="仿宋" w:eastAsia="仿宋_GB2312"/>
          <w:color w:val="000000"/>
          <w:szCs w:val="24"/>
        </w:rPr>
        <w:t>可针对不同警种的特性，导入该警种特有的原始数据源，进行特定化场景条件碰撞，支持碰撞方案的保存和运行分析。</w:t>
      </w:r>
    </w:p>
    <w:p>
      <w:pPr>
        <w:pStyle w:val="22"/>
        <w:numPr>
          <w:ilvl w:val="3"/>
          <w:numId w:val="2"/>
        </w:numPr>
        <w:spacing w:before="156" w:after="156"/>
        <w:ind w:left="315"/>
        <w:rPr>
          <w:rFonts w:hint="eastAsia" w:ascii="仿宋_GB2312" w:hAnsi="仿宋" w:eastAsia="仿宋_GB2312"/>
          <w:color w:val="000000"/>
          <w:sz w:val="24"/>
          <w:szCs w:val="24"/>
        </w:rPr>
      </w:pPr>
      <w:r>
        <w:rPr>
          <w:rFonts w:hint="eastAsia" w:ascii="仿宋_GB2312" w:hAnsi="仿宋" w:eastAsia="仿宋_GB2312"/>
          <w:color w:val="000000"/>
          <w:sz w:val="24"/>
          <w:szCs w:val="24"/>
        </w:rPr>
        <w:t>推演数据</w:t>
      </w:r>
    </w:p>
    <w:p>
      <w:pPr>
        <w:pStyle w:val="19"/>
        <w:spacing w:before="156" w:after="156"/>
        <w:rPr>
          <w:rFonts w:hint="eastAsia" w:ascii="仿宋_GB2312" w:hAnsi="仿宋" w:eastAsia="仿宋_GB2312"/>
          <w:color w:val="000000"/>
          <w:sz w:val="24"/>
          <w:szCs w:val="24"/>
        </w:rPr>
      </w:pPr>
      <w:r>
        <w:rPr>
          <w:rFonts w:hint="eastAsia" w:ascii="仿宋_GB2312" w:hAnsi="仿宋" w:eastAsia="仿宋_GB2312"/>
          <w:color w:val="000000"/>
          <w:sz w:val="24"/>
          <w:szCs w:val="24"/>
        </w:rPr>
        <w:t>模型算子</w:t>
      </w:r>
    </w:p>
    <w:p>
      <w:pPr>
        <w:pStyle w:val="17"/>
        <w:ind w:firstLine="480"/>
        <w:rPr>
          <w:rFonts w:hint="eastAsia" w:ascii="仿宋_GB2312" w:hAnsi="仿宋" w:eastAsia="仿宋_GB2312"/>
          <w:color w:val="000000"/>
          <w:szCs w:val="24"/>
        </w:rPr>
      </w:pPr>
      <w:r>
        <w:rPr>
          <w:rFonts w:hint="eastAsia" w:ascii="仿宋_GB2312" w:hAnsi="仿宋" w:eastAsia="仿宋_GB2312"/>
          <w:color w:val="000000"/>
          <w:szCs w:val="24"/>
        </w:rPr>
        <w:t>推演室集成本次项目建设的所有模型算子，能够进行自定义推演分析。</w:t>
      </w:r>
    </w:p>
    <w:p>
      <w:pPr>
        <w:pStyle w:val="19"/>
        <w:spacing w:before="156" w:after="156"/>
        <w:rPr>
          <w:rFonts w:hint="eastAsia" w:ascii="仿宋_GB2312" w:hAnsi="仿宋" w:eastAsia="仿宋_GB2312"/>
          <w:color w:val="000000"/>
          <w:sz w:val="24"/>
          <w:szCs w:val="24"/>
        </w:rPr>
      </w:pPr>
      <w:r>
        <w:rPr>
          <w:rFonts w:hint="eastAsia" w:ascii="仿宋_GB2312" w:hAnsi="仿宋" w:eastAsia="仿宋_GB2312"/>
          <w:color w:val="000000"/>
          <w:sz w:val="24"/>
          <w:szCs w:val="24"/>
        </w:rPr>
        <w:t>数据源表</w:t>
      </w:r>
    </w:p>
    <w:p>
      <w:pPr>
        <w:pStyle w:val="17"/>
        <w:ind w:firstLine="480"/>
        <w:rPr>
          <w:rFonts w:hint="eastAsia" w:ascii="仿宋_GB2312" w:hAnsi="仿宋" w:eastAsia="仿宋_GB2312"/>
          <w:color w:val="000000"/>
          <w:szCs w:val="24"/>
        </w:rPr>
      </w:pPr>
      <w:r>
        <w:rPr>
          <w:rFonts w:hint="eastAsia" w:ascii="仿宋_GB2312" w:hAnsi="仿宋" w:eastAsia="仿宋_GB2312"/>
          <w:color w:val="000000"/>
          <w:szCs w:val="24"/>
        </w:rPr>
        <w:t>系统提供数据源的配置管理功能。对接省厅“云上公安”各类数据资源、绍兴市局本地各类数据资源等，形成适用于模型推演的数据源表目录。能够支持人员、车辆、案事件、卡口、MAC、电话等多种类型。数据源表需要定时和后台数据进行对接，实现定时更新。</w:t>
      </w:r>
    </w:p>
    <w:p>
      <w:pPr>
        <w:pStyle w:val="17"/>
        <w:ind w:firstLine="480"/>
        <w:rPr>
          <w:rFonts w:hint="eastAsia" w:ascii="仿宋_GB2312" w:hAnsi="仿宋" w:eastAsia="仿宋_GB2312"/>
          <w:color w:val="000000"/>
          <w:szCs w:val="24"/>
        </w:rPr>
      </w:pPr>
      <w:r>
        <w:rPr>
          <w:rFonts w:hint="eastAsia" w:ascii="仿宋_GB2312" w:hAnsi="仿宋" w:eastAsia="仿宋_GB2312"/>
          <w:color w:val="000000"/>
          <w:szCs w:val="24"/>
        </w:rPr>
        <w:t>数据源可直接参与模型的组合推演分析。</w:t>
      </w:r>
    </w:p>
    <w:p>
      <w:pPr>
        <w:pStyle w:val="19"/>
        <w:spacing w:before="156" w:after="156"/>
        <w:rPr>
          <w:rFonts w:hint="eastAsia" w:ascii="仿宋_GB2312" w:hAnsi="仿宋" w:eastAsia="仿宋_GB2312"/>
          <w:color w:val="000000"/>
          <w:sz w:val="24"/>
          <w:szCs w:val="24"/>
        </w:rPr>
      </w:pPr>
      <w:r>
        <w:rPr>
          <w:rFonts w:hint="eastAsia" w:ascii="仿宋_GB2312" w:hAnsi="仿宋" w:eastAsia="仿宋_GB2312"/>
          <w:color w:val="000000"/>
          <w:sz w:val="24"/>
          <w:szCs w:val="24"/>
        </w:rPr>
        <w:t>民警上传</w:t>
      </w:r>
    </w:p>
    <w:p>
      <w:pPr>
        <w:pStyle w:val="17"/>
        <w:ind w:firstLine="480"/>
        <w:rPr>
          <w:rFonts w:hint="eastAsia" w:ascii="仿宋_GB2312" w:hAnsi="仿宋" w:eastAsia="仿宋_GB2312"/>
          <w:color w:val="000000"/>
          <w:szCs w:val="24"/>
        </w:rPr>
      </w:pPr>
      <w:r>
        <w:rPr>
          <w:rFonts w:hint="eastAsia" w:ascii="仿宋_GB2312" w:hAnsi="仿宋" w:eastAsia="仿宋_GB2312"/>
          <w:color w:val="000000"/>
          <w:szCs w:val="24"/>
        </w:rPr>
        <w:t>提供民警自由上传推演数据源的功能，并实现全面的管理，实现推演数据源可配置。提供数据源权限管理功能，默认情况下，民警上传的数据源只能是发布者可见。提供数据源的发布共享功能，民警可将已上传的数据源发布共享给其他人使用。支持推演结果的下载导出，结果数据可作为再次推演的数据源。</w:t>
      </w:r>
    </w:p>
    <w:p>
      <w:pPr>
        <w:pStyle w:val="22"/>
        <w:numPr>
          <w:ilvl w:val="3"/>
          <w:numId w:val="2"/>
        </w:numPr>
        <w:spacing w:before="156" w:after="156"/>
        <w:ind w:left="315"/>
        <w:rPr>
          <w:rFonts w:hint="eastAsia" w:ascii="仿宋_GB2312" w:hAnsi="仿宋" w:eastAsia="仿宋_GB2312"/>
          <w:color w:val="000000"/>
          <w:sz w:val="24"/>
          <w:szCs w:val="24"/>
        </w:rPr>
      </w:pPr>
      <w:r>
        <w:rPr>
          <w:rFonts w:hint="eastAsia" w:ascii="仿宋_GB2312" w:hAnsi="仿宋" w:eastAsia="仿宋_GB2312"/>
          <w:color w:val="000000"/>
          <w:sz w:val="24"/>
          <w:szCs w:val="24"/>
        </w:rPr>
        <w:t>运算逻辑</w:t>
      </w:r>
    </w:p>
    <w:p>
      <w:pPr>
        <w:pStyle w:val="17"/>
        <w:ind w:firstLine="480"/>
        <w:rPr>
          <w:rFonts w:hint="eastAsia" w:ascii="仿宋_GB2312" w:hAnsi="仿宋" w:eastAsia="仿宋_GB2312"/>
          <w:color w:val="000000"/>
          <w:szCs w:val="24"/>
        </w:rPr>
      </w:pPr>
      <w:r>
        <w:rPr>
          <w:rFonts w:hint="eastAsia" w:ascii="仿宋_GB2312" w:hAnsi="仿宋" w:eastAsia="仿宋_GB2312"/>
          <w:color w:val="000000"/>
          <w:szCs w:val="24"/>
        </w:rPr>
        <w:t>支持集合的多重运算推演，推演过程采用任务式，计算过程中间结果支持导出。</w:t>
      </w:r>
    </w:p>
    <w:p>
      <w:pPr>
        <w:pStyle w:val="17"/>
        <w:ind w:firstLine="480"/>
        <w:rPr>
          <w:rFonts w:hint="eastAsia" w:ascii="仿宋_GB2312" w:hAnsi="仿宋" w:eastAsia="仿宋_GB2312"/>
          <w:color w:val="000000"/>
          <w:szCs w:val="24"/>
        </w:rPr>
      </w:pPr>
      <w:r>
        <w:rPr>
          <w:rFonts w:hint="eastAsia" w:ascii="仿宋_GB2312" w:hAnsi="仿宋" w:eastAsia="仿宋_GB2312"/>
          <w:color w:val="000000"/>
          <w:szCs w:val="24"/>
        </w:rPr>
        <w:t>交集：计算出两个集合相同的元素。</w:t>
      </w:r>
    </w:p>
    <w:p>
      <w:pPr>
        <w:pStyle w:val="17"/>
        <w:ind w:firstLine="480"/>
        <w:rPr>
          <w:rFonts w:hint="eastAsia" w:ascii="仿宋_GB2312" w:hAnsi="仿宋" w:eastAsia="仿宋_GB2312"/>
          <w:color w:val="000000"/>
          <w:szCs w:val="24"/>
        </w:rPr>
      </w:pPr>
      <w:r>
        <w:rPr>
          <w:rFonts w:hint="eastAsia" w:ascii="仿宋_GB2312" w:hAnsi="仿宋" w:eastAsia="仿宋_GB2312"/>
          <w:color w:val="000000"/>
          <w:szCs w:val="24"/>
        </w:rPr>
        <w:t>并集：将两个集合的数据进行合并，形成新的集合，去除重复记录集。</w:t>
      </w:r>
    </w:p>
    <w:p>
      <w:pPr>
        <w:pStyle w:val="17"/>
        <w:ind w:firstLine="480"/>
        <w:rPr>
          <w:rFonts w:hint="eastAsia" w:ascii="仿宋_GB2312" w:hAnsi="仿宋" w:eastAsia="仿宋_GB2312"/>
          <w:color w:val="000000"/>
          <w:szCs w:val="24"/>
        </w:rPr>
      </w:pPr>
      <w:r>
        <w:rPr>
          <w:rFonts w:hint="eastAsia" w:ascii="仿宋_GB2312" w:hAnsi="仿宋" w:eastAsia="仿宋_GB2312"/>
          <w:color w:val="000000"/>
          <w:szCs w:val="24"/>
        </w:rPr>
        <w:t>差集：以一个集合的数据为主，去掉与另一个集合有重复的数据，形成新的集合。</w:t>
      </w:r>
    </w:p>
    <w:p>
      <w:pPr>
        <w:pStyle w:val="17"/>
        <w:ind w:firstLine="480"/>
        <w:rPr>
          <w:rFonts w:hint="eastAsia" w:ascii="仿宋_GB2312" w:hAnsi="仿宋" w:eastAsia="仿宋_GB2312"/>
          <w:color w:val="000000"/>
          <w:szCs w:val="24"/>
        </w:rPr>
      </w:pPr>
      <w:r>
        <w:rPr>
          <w:rFonts w:hint="eastAsia" w:ascii="仿宋_GB2312" w:hAnsi="仿宋" w:eastAsia="仿宋_GB2312"/>
          <w:color w:val="000000"/>
          <w:szCs w:val="24"/>
        </w:rPr>
        <w:t>基于用户已产生的原始各类型的数据，增加对集合中数据的拓线，并支持对拓线数据进行存储，包括产生新集合，或合并至现有集合中。</w:t>
      </w:r>
    </w:p>
    <w:p>
      <w:pPr>
        <w:pStyle w:val="22"/>
        <w:numPr>
          <w:ilvl w:val="3"/>
          <w:numId w:val="2"/>
        </w:numPr>
        <w:spacing w:before="156" w:after="156"/>
        <w:ind w:left="315"/>
        <w:rPr>
          <w:rFonts w:hint="eastAsia" w:ascii="仿宋_GB2312" w:hAnsi="仿宋" w:eastAsia="仿宋_GB2312"/>
          <w:color w:val="000000"/>
          <w:sz w:val="24"/>
          <w:szCs w:val="24"/>
        </w:rPr>
      </w:pPr>
      <w:r>
        <w:rPr>
          <w:rFonts w:hint="eastAsia" w:ascii="仿宋_GB2312" w:hAnsi="仿宋" w:eastAsia="仿宋_GB2312"/>
          <w:color w:val="000000"/>
          <w:sz w:val="24"/>
          <w:szCs w:val="24"/>
        </w:rPr>
        <w:t>推演功能</w:t>
      </w:r>
    </w:p>
    <w:p>
      <w:pPr>
        <w:pStyle w:val="19"/>
        <w:spacing w:before="156" w:after="156"/>
        <w:ind w:left="1412"/>
        <w:rPr>
          <w:rFonts w:hint="eastAsia" w:ascii="仿宋_GB2312" w:hAnsi="仿宋" w:eastAsia="仿宋_GB2312"/>
          <w:color w:val="000000"/>
          <w:sz w:val="24"/>
          <w:szCs w:val="24"/>
        </w:rPr>
      </w:pPr>
      <w:r>
        <w:rPr>
          <w:rFonts w:hint="eastAsia" w:ascii="仿宋_GB2312" w:hAnsi="仿宋" w:eastAsia="仿宋_GB2312"/>
          <w:color w:val="000000"/>
          <w:sz w:val="24"/>
          <w:szCs w:val="24"/>
        </w:rPr>
        <w:t>自定义组合</w:t>
      </w:r>
    </w:p>
    <w:p>
      <w:pPr>
        <w:pStyle w:val="17"/>
        <w:ind w:firstLine="480"/>
        <w:rPr>
          <w:rFonts w:hint="eastAsia" w:ascii="仿宋_GB2312" w:hAnsi="仿宋" w:eastAsia="仿宋_GB2312"/>
          <w:color w:val="000000"/>
          <w:szCs w:val="24"/>
        </w:rPr>
      </w:pPr>
      <w:r>
        <w:rPr>
          <w:rFonts w:hint="eastAsia" w:ascii="仿宋_GB2312" w:hAnsi="仿宋" w:eastAsia="仿宋_GB2312"/>
          <w:color w:val="000000"/>
          <w:szCs w:val="24"/>
        </w:rPr>
        <w:t>可视化交互操作。在推演室画布上，通过自由拖拽模型、算子、数据源等数据集，自定义交集、并集、差集组合，形成符合民警研判需要的逻辑推演方案，用于特定业务场景的挖掘分析。拖拽进入画布的模型、算子、数据源等集合，提供数据搜索筛选功能，民警可通过字段搜索，选择其中的部分数据表参与方案的推演。支持方案的运算与保存。</w:t>
      </w:r>
    </w:p>
    <w:p>
      <w:pPr>
        <w:pStyle w:val="19"/>
        <w:spacing w:before="156" w:after="156"/>
        <w:ind w:left="1412"/>
        <w:rPr>
          <w:rFonts w:hint="eastAsia" w:ascii="仿宋_GB2312" w:hAnsi="仿宋" w:eastAsia="仿宋_GB2312"/>
          <w:color w:val="000000"/>
          <w:sz w:val="24"/>
          <w:szCs w:val="24"/>
        </w:rPr>
      </w:pPr>
      <w:r>
        <w:rPr>
          <w:rFonts w:hint="eastAsia" w:ascii="仿宋_GB2312" w:hAnsi="仿宋" w:eastAsia="仿宋_GB2312"/>
          <w:color w:val="000000"/>
          <w:sz w:val="24"/>
          <w:szCs w:val="24"/>
        </w:rPr>
        <w:t>画布计算</w:t>
      </w:r>
    </w:p>
    <w:p>
      <w:pPr>
        <w:pStyle w:val="17"/>
        <w:ind w:firstLine="480"/>
        <w:rPr>
          <w:rFonts w:hint="eastAsia" w:ascii="仿宋_GB2312" w:hAnsi="仿宋" w:eastAsia="仿宋_GB2312"/>
          <w:color w:val="000000"/>
          <w:szCs w:val="24"/>
        </w:rPr>
      </w:pPr>
      <w:r>
        <w:rPr>
          <w:rFonts w:hint="eastAsia" w:ascii="仿宋_GB2312" w:hAnsi="仿宋" w:eastAsia="仿宋_GB2312"/>
          <w:color w:val="000000"/>
          <w:szCs w:val="24"/>
        </w:rPr>
        <w:t>形成的推演方案，通过点击运行按钮进行结果的计算。</w:t>
      </w:r>
    </w:p>
    <w:p>
      <w:pPr>
        <w:pStyle w:val="17"/>
        <w:ind w:firstLine="480"/>
        <w:rPr>
          <w:rFonts w:hint="eastAsia" w:ascii="仿宋_GB2312" w:hAnsi="仿宋" w:eastAsia="仿宋_GB2312"/>
          <w:color w:val="000000"/>
          <w:szCs w:val="24"/>
        </w:rPr>
      </w:pPr>
      <w:r>
        <w:rPr>
          <w:rFonts w:hint="eastAsia" w:ascii="仿宋_GB2312" w:hAnsi="仿宋" w:eastAsia="仿宋_GB2312"/>
          <w:color w:val="000000"/>
          <w:szCs w:val="24"/>
        </w:rPr>
        <w:t>对于数据量超级庞大的数据，在线分析时间长，速度慢，占用内存高，可能影响其他应用功能的使用。系统需支持离线分析，将工作量大的分析过程离线执行，保证系统高效稳定性。</w:t>
      </w:r>
    </w:p>
    <w:p>
      <w:pPr>
        <w:pStyle w:val="17"/>
        <w:ind w:firstLine="480"/>
        <w:rPr>
          <w:rFonts w:hint="eastAsia" w:ascii="仿宋_GB2312" w:hAnsi="仿宋" w:eastAsia="仿宋_GB2312"/>
          <w:color w:val="000000"/>
          <w:szCs w:val="24"/>
        </w:rPr>
      </w:pPr>
      <w:r>
        <w:rPr>
          <w:rFonts w:hint="eastAsia" w:ascii="仿宋_GB2312" w:hAnsi="仿宋" w:eastAsia="仿宋_GB2312"/>
          <w:color w:val="000000"/>
          <w:szCs w:val="24"/>
        </w:rPr>
        <w:t>定制化显示分析结果：对于比对的结果，用户可定制需要显示的字段及顺序，同时也可定制导出成EXCEL的字段内容信息。</w:t>
      </w:r>
    </w:p>
    <w:p>
      <w:pPr>
        <w:pStyle w:val="19"/>
        <w:spacing w:before="156" w:beforeLines="0" w:after="156" w:afterLines="0"/>
        <w:ind w:left="1412" w:leftChars="200" w:hanging="992"/>
        <w:rPr>
          <w:rFonts w:hint="eastAsia" w:ascii="仿宋_GB2312" w:hAnsi="仿宋" w:eastAsia="仿宋_GB2312"/>
          <w:color w:val="000000"/>
          <w:sz w:val="24"/>
          <w:szCs w:val="24"/>
        </w:rPr>
      </w:pPr>
      <w:r>
        <w:rPr>
          <w:rFonts w:hint="eastAsia" w:ascii="仿宋_GB2312" w:hAnsi="仿宋" w:eastAsia="仿宋_GB2312"/>
          <w:color w:val="000000"/>
          <w:sz w:val="24"/>
          <w:szCs w:val="24"/>
        </w:rPr>
        <w:t>我的模型</w:t>
      </w:r>
    </w:p>
    <w:p>
      <w:pPr>
        <w:pStyle w:val="17"/>
        <w:ind w:firstLine="480"/>
        <w:rPr>
          <w:rFonts w:hint="eastAsia" w:ascii="仿宋_GB2312" w:hAnsi="仿宋" w:eastAsia="仿宋_GB2312"/>
          <w:color w:val="000000"/>
          <w:szCs w:val="24"/>
        </w:rPr>
      </w:pPr>
      <w:r>
        <w:rPr>
          <w:rFonts w:hint="eastAsia" w:ascii="仿宋_GB2312" w:hAnsi="仿宋" w:eastAsia="仿宋_GB2312"/>
          <w:color w:val="000000"/>
          <w:szCs w:val="24"/>
        </w:rPr>
        <w:t>民警运用算子及画布进行研判的过程中，可以对一些面向业务的、较复杂的运算组合命名保存，生成“我的模型”。“我的模型”仅本人可见，可直接放入画布进行二次组合研判。民警可将自己创建的模型发布至模型商城，对全警共享。</w:t>
      </w:r>
    </w:p>
    <w:p>
      <w:pPr>
        <w:pStyle w:val="19"/>
        <w:spacing w:before="156" w:beforeLines="0" w:after="156" w:afterLines="0"/>
        <w:ind w:left="1412" w:leftChars="200" w:hanging="992"/>
        <w:rPr>
          <w:rFonts w:hint="eastAsia" w:ascii="仿宋_GB2312" w:hAnsi="仿宋" w:eastAsia="仿宋_GB2312"/>
          <w:color w:val="000000"/>
          <w:sz w:val="24"/>
          <w:szCs w:val="24"/>
        </w:rPr>
      </w:pPr>
      <w:r>
        <w:rPr>
          <w:rFonts w:hint="eastAsia" w:ascii="仿宋_GB2312" w:hAnsi="仿宋" w:eastAsia="仿宋_GB2312"/>
          <w:color w:val="000000"/>
          <w:sz w:val="24"/>
          <w:szCs w:val="24"/>
        </w:rPr>
        <w:t>画布重置</w:t>
      </w:r>
    </w:p>
    <w:p>
      <w:pPr>
        <w:pStyle w:val="17"/>
        <w:ind w:firstLine="480"/>
        <w:rPr>
          <w:rFonts w:hint="eastAsia" w:ascii="仿宋_GB2312" w:hAnsi="仿宋" w:eastAsia="仿宋_GB2312"/>
          <w:color w:val="000000"/>
          <w:szCs w:val="24"/>
        </w:rPr>
      </w:pPr>
      <w:r>
        <w:rPr>
          <w:rFonts w:hint="eastAsia" w:ascii="仿宋_GB2312" w:hAnsi="仿宋" w:eastAsia="仿宋_GB2312"/>
          <w:color w:val="000000"/>
          <w:szCs w:val="24"/>
        </w:rPr>
        <w:t>提供画布的一键重置功能。点击重置画布按钮，弹框确认后，画布内流程将被清空，便于民警对画布内的数据源进行统一的清除，方便新建。</w:t>
      </w:r>
    </w:p>
    <w:p>
      <w:pPr>
        <w:pStyle w:val="22"/>
        <w:numPr>
          <w:ilvl w:val="3"/>
          <w:numId w:val="2"/>
        </w:numPr>
        <w:spacing w:before="156" w:after="156"/>
        <w:ind w:left="315"/>
        <w:rPr>
          <w:rFonts w:hint="eastAsia" w:ascii="仿宋_GB2312" w:eastAsia="仿宋_GB2312"/>
          <w:color w:val="000000"/>
          <w:sz w:val="24"/>
          <w:szCs w:val="24"/>
        </w:rPr>
      </w:pPr>
      <w:r>
        <w:rPr>
          <w:rFonts w:hint="eastAsia" w:ascii="仿宋_GB2312" w:eastAsia="仿宋_GB2312"/>
          <w:color w:val="000000"/>
          <w:sz w:val="24"/>
          <w:szCs w:val="24"/>
        </w:rPr>
        <w:t>模型商城</w:t>
      </w:r>
    </w:p>
    <w:p>
      <w:pPr>
        <w:pStyle w:val="17"/>
        <w:ind w:firstLine="480"/>
        <w:rPr>
          <w:rFonts w:hint="eastAsia" w:ascii="仿宋_GB2312" w:hAnsi="仿宋" w:eastAsia="仿宋_GB2312"/>
          <w:color w:val="000000"/>
          <w:szCs w:val="24"/>
        </w:rPr>
      </w:pPr>
      <w:r>
        <w:rPr>
          <w:rFonts w:hint="eastAsia" w:ascii="仿宋_GB2312" w:hAnsi="仿宋" w:eastAsia="仿宋_GB2312"/>
          <w:color w:val="000000"/>
          <w:szCs w:val="24"/>
        </w:rPr>
        <w:t>对接绍兴市公安局目前常用的各类数据分析模型，进行综合展示，模型侧重于对公安具体业务场景的分析研判。能够支持将各模型运算结果集用于推演室进行二次组合分析研判。点击单个模型可以查看该模型的详细信息。支持模型的查询搜索。</w:t>
      </w:r>
    </w:p>
    <w:p>
      <w:pPr>
        <w:pStyle w:val="17"/>
        <w:ind w:firstLine="480"/>
        <w:rPr>
          <w:rFonts w:hint="eastAsia" w:ascii="仿宋_GB2312" w:hAnsi="仿宋" w:eastAsia="仿宋_GB2312"/>
          <w:color w:val="000000"/>
          <w:szCs w:val="24"/>
        </w:rPr>
      </w:pPr>
      <w:r>
        <w:rPr>
          <w:rFonts w:hint="eastAsia" w:ascii="仿宋_GB2312" w:hAnsi="仿宋" w:eastAsia="仿宋_GB2312"/>
          <w:color w:val="000000"/>
          <w:szCs w:val="24"/>
        </w:rPr>
        <w:t>可以对民警日常工作中总结出的优秀研判方案进行发布，新发布的模型进入模型商城进行展示与应用。提供对模型访问量及用户评价的统计与排名。热门、好用的模型高亮置顶，便于快速查找应用，并鼓励民警总结生成优秀经验。</w:t>
      </w:r>
    </w:p>
    <w:p>
      <w:pPr>
        <w:pStyle w:val="22"/>
        <w:numPr>
          <w:ilvl w:val="3"/>
          <w:numId w:val="2"/>
        </w:numPr>
        <w:spacing w:before="156" w:after="156"/>
        <w:ind w:left="315"/>
        <w:rPr>
          <w:rFonts w:hint="eastAsia" w:ascii="仿宋_GB2312" w:eastAsia="仿宋_GB2312"/>
          <w:color w:val="000000"/>
          <w:sz w:val="24"/>
          <w:szCs w:val="24"/>
        </w:rPr>
      </w:pPr>
      <w:r>
        <w:rPr>
          <w:rFonts w:hint="eastAsia" w:ascii="仿宋_GB2312" w:eastAsia="仿宋_GB2312"/>
          <w:color w:val="000000"/>
          <w:sz w:val="24"/>
          <w:szCs w:val="24"/>
        </w:rPr>
        <w:t>我的算子</w:t>
      </w:r>
    </w:p>
    <w:p>
      <w:pPr>
        <w:pStyle w:val="17"/>
        <w:ind w:firstLine="480"/>
        <w:rPr>
          <w:rFonts w:hint="eastAsia" w:ascii="仿宋_GB2312" w:hAnsi="仿宋" w:eastAsia="仿宋_GB2312"/>
          <w:color w:val="000000"/>
          <w:szCs w:val="24"/>
        </w:rPr>
      </w:pPr>
      <w:r>
        <w:rPr>
          <w:rFonts w:hint="eastAsia" w:ascii="仿宋_GB2312" w:hAnsi="仿宋" w:eastAsia="仿宋_GB2312"/>
          <w:color w:val="000000"/>
          <w:szCs w:val="24"/>
        </w:rPr>
        <w:t>民警运用基础算子和数据源进行研判的过程中，可以对一些常用的简单组合命名保存，生成“我的算子”，便于二次快速导入推演室画布进行利用，默认的名称为本地当前时间。用户可进入我的算子模块进行查看以及管理。我的算子属于用户私有数据源，仅本人可见。提供对算子的查询搜索。</w:t>
      </w:r>
    </w:p>
    <w:p>
      <w:pPr>
        <w:pStyle w:val="24"/>
        <w:numPr>
          <w:ilvl w:val="1"/>
          <w:numId w:val="2"/>
        </w:numPr>
        <w:spacing w:before="156" w:after="156"/>
        <w:rPr>
          <w:rFonts w:hint="eastAsia" w:ascii="仿宋_GB2312" w:hAnsi="仿宋" w:eastAsia="仿宋_GB2312"/>
          <w:color w:val="000000"/>
          <w:sz w:val="24"/>
          <w:szCs w:val="24"/>
        </w:rPr>
      </w:pPr>
      <w:bookmarkStart w:id="0" w:name="_Toc416685497"/>
      <w:r>
        <w:rPr>
          <w:rFonts w:hint="eastAsia" w:ascii="仿宋_GB2312" w:hAnsi="仿宋" w:eastAsia="仿宋_GB2312"/>
          <w:color w:val="000000"/>
          <w:sz w:val="24"/>
          <w:szCs w:val="24"/>
        </w:rPr>
        <w:t>功能和性能需求</w:t>
      </w:r>
      <w:bookmarkEnd w:id="0"/>
    </w:p>
    <w:p>
      <w:pPr>
        <w:pStyle w:val="3"/>
        <w:ind w:left="420" w:firstLine="0"/>
        <w:rPr>
          <w:rFonts w:hint="eastAsia" w:ascii="仿宋_GB2312" w:hAnsi="仿宋" w:eastAsia="仿宋_GB2312" w:cs="宋体"/>
          <w:sz w:val="24"/>
          <w:szCs w:val="24"/>
        </w:rPr>
      </w:pPr>
      <w:r>
        <w:rPr>
          <w:rFonts w:hint="eastAsia" w:ascii="仿宋_GB2312" w:hAnsi="仿宋" w:eastAsia="仿宋_GB2312" w:cs="宋体"/>
          <w:sz w:val="24"/>
          <w:szCs w:val="24"/>
        </w:rPr>
        <w:t>3.1 功能需求</w:t>
      </w:r>
    </w:p>
    <w:p>
      <w:pPr>
        <w:pStyle w:val="17"/>
        <w:ind w:firstLine="480"/>
        <w:rPr>
          <w:rFonts w:hint="eastAsia" w:ascii="仿宋_GB2312" w:hAnsi="仿宋" w:eastAsia="仿宋_GB2312" w:cs="Times New Roman"/>
          <w:color w:val="000000"/>
          <w:szCs w:val="24"/>
        </w:rPr>
      </w:pPr>
      <w:r>
        <w:rPr>
          <w:rFonts w:hint="eastAsia" w:ascii="仿宋_GB2312" w:hAnsi="仿宋" w:eastAsia="仿宋_GB2312"/>
          <w:color w:val="000000"/>
          <w:szCs w:val="24"/>
        </w:rPr>
        <w:t>充分发挥现有信息化建设成果，融合公安内部各类算法模型与数据资源进行深化应用，通过建设模型推演室进行自主分析研判，积极调动基层民警参与。提高工作效率、增强隐性违法犯罪行为分析挖掘能力的同时，实现民警优秀研判经验的积累与共享，服务全警实战，营造全警建模的氛围。</w:t>
      </w:r>
    </w:p>
    <w:p>
      <w:pPr>
        <w:pStyle w:val="3"/>
        <w:ind w:firstLine="480"/>
        <w:rPr>
          <w:rFonts w:hint="eastAsia" w:ascii="仿宋_GB2312" w:hAnsi="仿宋" w:eastAsia="仿宋_GB2312" w:cs="宋体"/>
          <w:sz w:val="24"/>
          <w:szCs w:val="24"/>
        </w:rPr>
      </w:pPr>
      <w:r>
        <w:rPr>
          <w:rFonts w:hint="eastAsia" w:ascii="仿宋_GB2312" w:hAnsi="仿宋" w:eastAsia="仿宋_GB2312" w:cs="宋体"/>
          <w:sz w:val="24"/>
          <w:szCs w:val="24"/>
        </w:rPr>
        <w:t>3.2 性能需求</w:t>
      </w:r>
    </w:p>
    <w:p>
      <w:pPr>
        <w:pStyle w:val="3"/>
        <w:ind w:firstLine="480"/>
        <w:rPr>
          <w:rFonts w:hint="eastAsia" w:ascii="仿宋_GB2312" w:hAnsi="仿宋" w:eastAsia="仿宋_GB2312" w:cs="宋体"/>
          <w:sz w:val="24"/>
          <w:szCs w:val="24"/>
        </w:rPr>
      </w:pPr>
      <w:r>
        <w:rPr>
          <w:rFonts w:hint="eastAsia" w:ascii="仿宋_GB2312" w:hAnsi="仿宋" w:eastAsia="仿宋_GB2312" w:cs="宋体"/>
          <w:sz w:val="24"/>
          <w:szCs w:val="24"/>
        </w:rPr>
        <w:t>（1）容量</w:t>
      </w:r>
    </w:p>
    <w:p>
      <w:pPr>
        <w:pStyle w:val="3"/>
        <w:ind w:firstLine="480"/>
        <w:rPr>
          <w:rFonts w:hint="eastAsia" w:ascii="仿宋_GB2312" w:hAnsi="仿宋" w:eastAsia="仿宋_GB2312" w:cs="宋体"/>
          <w:sz w:val="24"/>
          <w:szCs w:val="24"/>
        </w:rPr>
      </w:pPr>
      <w:r>
        <w:rPr>
          <w:rFonts w:hint="eastAsia" w:ascii="仿宋_GB2312" w:hAnsi="仿宋" w:eastAsia="仿宋_GB2312" w:cs="宋体"/>
          <w:sz w:val="24"/>
          <w:szCs w:val="24"/>
        </w:rPr>
        <w:t>支持在线用户数500；</w:t>
      </w:r>
    </w:p>
    <w:p>
      <w:pPr>
        <w:pStyle w:val="3"/>
        <w:ind w:firstLine="480"/>
        <w:rPr>
          <w:rFonts w:hint="eastAsia" w:ascii="仿宋_GB2312" w:hAnsi="仿宋" w:eastAsia="仿宋_GB2312" w:cs="宋体"/>
          <w:sz w:val="24"/>
          <w:szCs w:val="24"/>
        </w:rPr>
      </w:pPr>
      <w:r>
        <w:rPr>
          <w:rFonts w:hint="eastAsia" w:ascii="仿宋_GB2312" w:hAnsi="仿宋" w:eastAsia="仿宋_GB2312" w:cs="宋体"/>
          <w:sz w:val="24"/>
          <w:szCs w:val="24"/>
        </w:rPr>
        <w:t>满足50个及以上用户数的并发访问。</w:t>
      </w:r>
    </w:p>
    <w:p>
      <w:pPr>
        <w:pStyle w:val="3"/>
        <w:ind w:firstLine="480"/>
        <w:rPr>
          <w:rFonts w:hint="eastAsia" w:ascii="仿宋_GB2312" w:hAnsi="仿宋" w:eastAsia="仿宋_GB2312" w:cs="宋体"/>
          <w:sz w:val="24"/>
          <w:szCs w:val="24"/>
        </w:rPr>
      </w:pPr>
      <w:r>
        <w:rPr>
          <w:rFonts w:hint="eastAsia" w:ascii="仿宋_GB2312" w:hAnsi="仿宋" w:eastAsia="仿宋_GB2312" w:cs="宋体"/>
          <w:sz w:val="24"/>
          <w:szCs w:val="24"/>
        </w:rPr>
        <w:t>（2）响应</w:t>
      </w:r>
    </w:p>
    <w:p>
      <w:pPr>
        <w:pStyle w:val="3"/>
        <w:ind w:firstLine="480"/>
        <w:rPr>
          <w:rFonts w:hint="eastAsia" w:ascii="仿宋_GB2312" w:hAnsi="仿宋" w:eastAsia="仿宋_GB2312" w:cs="宋体"/>
          <w:sz w:val="24"/>
          <w:szCs w:val="24"/>
        </w:rPr>
      </w:pPr>
      <w:r>
        <w:rPr>
          <w:rFonts w:hint="eastAsia" w:ascii="仿宋_GB2312" w:hAnsi="仿宋" w:eastAsia="仿宋_GB2312" w:cs="宋体"/>
          <w:sz w:val="24"/>
          <w:szCs w:val="24"/>
        </w:rPr>
        <w:t>平台登陆时间≤5秒；</w:t>
      </w:r>
    </w:p>
    <w:p>
      <w:pPr>
        <w:pStyle w:val="3"/>
        <w:ind w:firstLine="480"/>
        <w:rPr>
          <w:rFonts w:hint="eastAsia" w:ascii="仿宋_GB2312" w:hAnsi="仿宋" w:eastAsia="仿宋_GB2312" w:cs="宋体"/>
          <w:sz w:val="24"/>
          <w:szCs w:val="24"/>
        </w:rPr>
      </w:pPr>
      <w:r>
        <w:rPr>
          <w:rFonts w:hint="eastAsia" w:ascii="仿宋_GB2312" w:hAnsi="仿宋" w:eastAsia="仿宋_GB2312" w:cs="宋体"/>
          <w:sz w:val="24"/>
          <w:szCs w:val="24"/>
        </w:rPr>
        <w:t>页面间跳转时间≤3秒；</w:t>
      </w:r>
    </w:p>
    <w:p>
      <w:pPr>
        <w:pStyle w:val="3"/>
        <w:ind w:firstLine="480"/>
        <w:rPr>
          <w:rFonts w:hint="eastAsia" w:ascii="仿宋_GB2312" w:hAnsi="仿宋" w:eastAsia="仿宋_GB2312" w:cs="宋体"/>
          <w:sz w:val="24"/>
          <w:szCs w:val="24"/>
        </w:rPr>
      </w:pPr>
      <w:r>
        <w:rPr>
          <w:rFonts w:hint="eastAsia" w:ascii="仿宋_GB2312" w:hAnsi="仿宋" w:eastAsia="仿宋_GB2312" w:cs="宋体"/>
          <w:sz w:val="24"/>
          <w:szCs w:val="24"/>
        </w:rPr>
        <w:t>平均查询和下载响应时间≤5秒；</w:t>
      </w:r>
    </w:p>
    <w:p>
      <w:pPr>
        <w:pStyle w:val="3"/>
        <w:ind w:firstLine="480"/>
        <w:rPr>
          <w:rFonts w:hint="eastAsia" w:ascii="仿宋_GB2312" w:hAnsi="仿宋" w:eastAsia="仿宋_GB2312" w:cs="宋体"/>
          <w:sz w:val="24"/>
          <w:szCs w:val="24"/>
        </w:rPr>
      </w:pPr>
      <w:r>
        <w:rPr>
          <w:rFonts w:hint="eastAsia" w:ascii="仿宋_GB2312" w:hAnsi="仿宋" w:eastAsia="仿宋_GB2312" w:cs="宋体"/>
          <w:sz w:val="24"/>
          <w:szCs w:val="24"/>
        </w:rPr>
        <w:t>各类固定统计报表形成时间≤60秒；</w:t>
      </w:r>
    </w:p>
    <w:p>
      <w:pPr>
        <w:pStyle w:val="3"/>
        <w:ind w:firstLine="480"/>
        <w:rPr>
          <w:rFonts w:hint="eastAsia" w:ascii="仿宋_GB2312" w:hAnsi="仿宋" w:eastAsia="仿宋_GB2312" w:cs="宋体"/>
          <w:sz w:val="24"/>
          <w:szCs w:val="24"/>
        </w:rPr>
      </w:pPr>
      <w:r>
        <w:rPr>
          <w:rFonts w:hint="eastAsia" w:ascii="仿宋_GB2312" w:hAnsi="仿宋" w:eastAsia="仿宋_GB2312" w:cs="宋体"/>
          <w:sz w:val="24"/>
          <w:szCs w:val="24"/>
        </w:rPr>
        <w:t>系统服务响应时间＜15秒，吞吐量≥500TPS；</w:t>
      </w:r>
    </w:p>
    <w:p>
      <w:pPr>
        <w:pStyle w:val="3"/>
        <w:ind w:firstLine="480"/>
        <w:rPr>
          <w:rFonts w:hint="eastAsia" w:ascii="仿宋_GB2312" w:hAnsi="仿宋" w:eastAsia="仿宋_GB2312" w:cs="宋体"/>
          <w:sz w:val="24"/>
          <w:szCs w:val="24"/>
        </w:rPr>
      </w:pPr>
      <w:r>
        <w:rPr>
          <w:rFonts w:hint="eastAsia" w:ascii="仿宋_GB2312" w:hAnsi="仿宋" w:eastAsia="仿宋_GB2312" w:cs="宋体"/>
          <w:sz w:val="24"/>
          <w:szCs w:val="24"/>
        </w:rPr>
        <w:t>各种比对、分析等复杂事务处理≤120秒；</w:t>
      </w:r>
    </w:p>
    <w:p>
      <w:pPr>
        <w:pStyle w:val="3"/>
        <w:ind w:firstLine="480"/>
        <w:rPr>
          <w:rFonts w:hint="eastAsia" w:ascii="仿宋_GB2312" w:hAnsi="仿宋" w:eastAsia="仿宋_GB2312" w:cs="宋体"/>
          <w:sz w:val="24"/>
          <w:szCs w:val="24"/>
        </w:rPr>
      </w:pPr>
      <w:r>
        <w:rPr>
          <w:rFonts w:hint="eastAsia" w:ascii="仿宋_GB2312" w:hAnsi="仿宋" w:eastAsia="仿宋_GB2312" w:cs="宋体"/>
          <w:sz w:val="24"/>
          <w:szCs w:val="24"/>
        </w:rPr>
        <w:t>系统故障平均间隔时间≥30天；</w:t>
      </w:r>
    </w:p>
    <w:p>
      <w:pPr>
        <w:pStyle w:val="3"/>
        <w:ind w:firstLine="480"/>
        <w:rPr>
          <w:rFonts w:hint="eastAsia" w:ascii="仿宋_GB2312" w:hAnsi="仿宋" w:eastAsia="仿宋_GB2312" w:cs="宋体"/>
          <w:sz w:val="24"/>
          <w:szCs w:val="24"/>
        </w:rPr>
      </w:pPr>
      <w:r>
        <w:rPr>
          <w:rFonts w:hint="eastAsia" w:ascii="仿宋_GB2312" w:hAnsi="仿宋" w:eastAsia="仿宋_GB2312" w:cs="宋体"/>
          <w:sz w:val="24"/>
          <w:szCs w:val="24"/>
        </w:rPr>
        <w:t>在整体性能上，满足提供7×24小时不间断服务、满足高服务质量(QoS)要求。</w:t>
      </w:r>
    </w:p>
    <w:p>
      <w:pPr>
        <w:pStyle w:val="24"/>
        <w:numPr>
          <w:ilvl w:val="1"/>
          <w:numId w:val="2"/>
        </w:numPr>
        <w:spacing w:before="156" w:after="156"/>
        <w:rPr>
          <w:rFonts w:hint="eastAsia" w:ascii="仿宋_GB2312" w:hAnsi="仿宋" w:eastAsia="仿宋_GB2312" w:cs="Times New Roman"/>
          <w:color w:val="000000"/>
          <w:sz w:val="24"/>
          <w:szCs w:val="24"/>
        </w:rPr>
      </w:pPr>
      <w:r>
        <w:rPr>
          <w:rFonts w:hint="eastAsia" w:ascii="仿宋_GB2312" w:hAnsi="仿宋" w:eastAsia="仿宋_GB2312"/>
          <w:color w:val="000000"/>
          <w:sz w:val="24"/>
          <w:szCs w:val="24"/>
        </w:rPr>
        <w:t>项目实施要求</w:t>
      </w:r>
    </w:p>
    <w:p>
      <w:pPr>
        <w:pStyle w:val="3"/>
        <w:ind w:firstLine="480"/>
        <w:rPr>
          <w:rFonts w:hint="eastAsia" w:ascii="仿宋_GB2312" w:hAnsi="仿宋" w:eastAsia="仿宋_GB2312" w:cs="宋体"/>
          <w:sz w:val="24"/>
          <w:szCs w:val="24"/>
        </w:rPr>
      </w:pPr>
      <w:r>
        <w:rPr>
          <w:rFonts w:hint="eastAsia" w:ascii="仿宋_GB2312" w:hAnsi="仿宋" w:eastAsia="仿宋_GB2312" w:cs="宋体"/>
          <w:sz w:val="24"/>
          <w:szCs w:val="24"/>
        </w:rPr>
        <w:t>总工期为4个月，其中建设工期为3个月，试运行1个月。</w:t>
      </w:r>
    </w:p>
    <w:p>
      <w:pPr>
        <w:pStyle w:val="3"/>
        <w:ind w:firstLine="480"/>
        <w:rPr>
          <w:rFonts w:hint="eastAsia" w:ascii="仿宋_GB2312" w:hAnsi="仿宋" w:eastAsia="仿宋_GB2312" w:cs="宋体"/>
          <w:sz w:val="24"/>
          <w:szCs w:val="24"/>
        </w:rPr>
      </w:pPr>
      <w:r>
        <w:rPr>
          <w:rFonts w:hint="eastAsia" w:ascii="仿宋_GB2312" w:hAnsi="仿宋" w:eastAsia="仿宋_GB2312" w:cs="宋体"/>
          <w:sz w:val="24"/>
          <w:szCs w:val="24"/>
        </w:rPr>
        <w:t>详细实施进度要求如下：</w:t>
      </w:r>
    </w:p>
    <w:p>
      <w:pPr>
        <w:pStyle w:val="3"/>
        <w:ind w:firstLine="480"/>
        <w:rPr>
          <w:rFonts w:hint="eastAsia" w:ascii="仿宋_GB2312" w:hAnsi="仿宋" w:eastAsia="仿宋_GB2312" w:cs="宋体"/>
          <w:sz w:val="24"/>
          <w:szCs w:val="24"/>
        </w:rPr>
      </w:pPr>
      <w:r>
        <w:rPr>
          <w:rFonts w:hint="eastAsia" w:ascii="仿宋_GB2312" w:hAnsi="仿宋" w:eastAsia="仿宋_GB2312" w:cs="宋体"/>
          <w:sz w:val="24"/>
          <w:szCs w:val="24"/>
        </w:rPr>
        <w:t>1) 合同签订后10个工作日内完成项目需求分析、概要设计、详细设计，细化系统建设计划和测试验收方案，并报采购人审查通过。</w:t>
      </w:r>
    </w:p>
    <w:p>
      <w:pPr>
        <w:pStyle w:val="3"/>
        <w:ind w:firstLine="480"/>
        <w:rPr>
          <w:rFonts w:hint="eastAsia" w:ascii="仿宋_GB2312" w:hAnsi="仿宋" w:eastAsia="仿宋_GB2312" w:cs="宋体"/>
          <w:sz w:val="24"/>
          <w:szCs w:val="24"/>
        </w:rPr>
      </w:pPr>
      <w:r>
        <w:rPr>
          <w:rFonts w:hint="eastAsia" w:ascii="仿宋_GB2312" w:hAnsi="仿宋" w:eastAsia="仿宋_GB2312" w:cs="宋体"/>
          <w:sz w:val="24"/>
          <w:szCs w:val="24"/>
        </w:rPr>
        <w:t>2) 合同签订后3个月内，完成项目开发、编码，测试，实现系统全部功能，完成调试、集成等，通过初步验收，进入试运行；</w:t>
      </w:r>
    </w:p>
    <w:p>
      <w:pPr>
        <w:pStyle w:val="3"/>
        <w:ind w:firstLine="480"/>
        <w:rPr>
          <w:rFonts w:hint="eastAsia" w:ascii="仿宋_GB2312" w:hAnsi="仿宋" w:eastAsia="仿宋_GB2312" w:cs="宋体"/>
          <w:sz w:val="24"/>
          <w:szCs w:val="24"/>
        </w:rPr>
      </w:pPr>
      <w:r>
        <w:rPr>
          <w:rFonts w:hint="eastAsia" w:ascii="仿宋_GB2312" w:hAnsi="仿宋" w:eastAsia="仿宋_GB2312" w:cs="宋体"/>
          <w:sz w:val="24"/>
          <w:szCs w:val="24"/>
        </w:rPr>
        <w:t>3）项目通过初验后1个月内完成培训、试运行，系统修改完善后正常、稳定运行，经峻工验收，进入维护期。</w:t>
      </w:r>
      <w:r>
        <w:rPr>
          <w:rFonts w:hint="eastAsia" w:ascii="仿宋_GB2312" w:hAnsi="仿宋" w:eastAsia="仿宋_GB2312" w:cs="宋体"/>
          <w:sz w:val="24"/>
          <w:szCs w:val="24"/>
        </w:rPr>
        <w:tab/>
      </w:r>
      <w:r>
        <w:rPr>
          <w:rFonts w:hint="eastAsia" w:ascii="仿宋_GB2312" w:hAnsi="仿宋" w:eastAsia="仿宋_GB2312" w:cs="宋体"/>
          <w:sz w:val="24"/>
          <w:szCs w:val="24"/>
        </w:rPr>
        <w:tab/>
      </w:r>
    </w:p>
    <w:p>
      <w:pPr>
        <w:pStyle w:val="3"/>
        <w:ind w:firstLine="480"/>
        <w:rPr>
          <w:rFonts w:hint="eastAsia" w:ascii="仿宋_GB2312" w:hAnsi="仿宋" w:eastAsia="仿宋_GB2312" w:cs="宋体"/>
          <w:sz w:val="24"/>
          <w:szCs w:val="24"/>
        </w:rPr>
      </w:pPr>
      <w:r>
        <w:rPr>
          <w:rFonts w:hint="eastAsia" w:ascii="仿宋_GB2312" w:hAnsi="仿宋" w:eastAsia="仿宋_GB2312" w:cs="宋体"/>
          <w:sz w:val="24"/>
          <w:szCs w:val="24"/>
        </w:rPr>
        <w:t xml:space="preserve"> 5.2 实施地点：绍兴市公安局及其指定地点。</w:t>
      </w:r>
    </w:p>
    <w:p>
      <w:pPr>
        <w:pStyle w:val="24"/>
        <w:numPr>
          <w:ilvl w:val="1"/>
          <w:numId w:val="2"/>
        </w:numPr>
        <w:spacing w:before="156" w:after="156"/>
        <w:rPr>
          <w:rFonts w:hint="eastAsia" w:ascii="仿宋_GB2312" w:hAnsi="仿宋" w:eastAsia="仿宋_GB2312" w:cs="Times New Roman"/>
          <w:color w:val="000000"/>
          <w:sz w:val="24"/>
          <w:szCs w:val="24"/>
        </w:rPr>
      </w:pPr>
      <w:r>
        <w:rPr>
          <w:rFonts w:hint="eastAsia" w:ascii="仿宋_GB2312" w:hAnsi="仿宋" w:eastAsia="仿宋_GB2312"/>
          <w:color w:val="000000"/>
          <w:sz w:val="24"/>
          <w:szCs w:val="24"/>
        </w:rPr>
        <w:t>质量保证</w:t>
      </w:r>
    </w:p>
    <w:p>
      <w:pPr>
        <w:spacing w:line="360" w:lineRule="auto"/>
        <w:ind w:left="105" w:firstLine="470"/>
        <w:rPr>
          <w:rFonts w:hint="eastAsia" w:ascii="仿宋_GB2312" w:hAnsi="仿宋" w:eastAsia="仿宋_GB2312"/>
          <w:color w:val="000000"/>
          <w:sz w:val="24"/>
        </w:rPr>
      </w:pPr>
      <w:r>
        <w:rPr>
          <w:rFonts w:hint="eastAsia" w:ascii="仿宋_GB2312" w:hAnsi="仿宋" w:eastAsia="仿宋_GB2312"/>
          <w:color w:val="000000"/>
          <w:sz w:val="24"/>
        </w:rPr>
        <w:t>1、投标人须保证所提供产品符合国家有关规定。投标人须保证所提供产品具有合法的版权或使用权，本项目采购的产品，如在本项目范围内使用过程中出现版权或使用权纠纷，应由投标人负责，采购人不承担责任。</w:t>
      </w:r>
    </w:p>
    <w:p>
      <w:pPr>
        <w:spacing w:line="360" w:lineRule="auto"/>
        <w:ind w:left="105" w:firstLine="470"/>
        <w:rPr>
          <w:rFonts w:hint="eastAsia" w:ascii="仿宋_GB2312" w:hAnsi="仿宋" w:eastAsia="仿宋_GB2312"/>
          <w:color w:val="000000"/>
          <w:sz w:val="24"/>
        </w:rPr>
      </w:pPr>
      <w:r>
        <w:rPr>
          <w:rFonts w:hint="eastAsia" w:ascii="仿宋_GB2312" w:hAnsi="仿宋" w:eastAsia="仿宋_GB2312"/>
          <w:color w:val="000000"/>
          <w:sz w:val="24"/>
        </w:rPr>
        <w:t>2、投标人必须保证解决项目所涉及的技术问题，如因技术原因无法满足采购人需求，由此产生的风险由投标人承担。</w:t>
      </w:r>
    </w:p>
    <w:p>
      <w:pPr>
        <w:spacing w:line="360" w:lineRule="auto"/>
        <w:ind w:firstLine="480" w:firstLineChars="200"/>
        <w:rPr>
          <w:rFonts w:hint="eastAsia" w:ascii="仿宋_GB2312" w:hAnsi="仿宋" w:eastAsia="仿宋_GB2312"/>
          <w:color w:val="000000"/>
          <w:sz w:val="24"/>
        </w:rPr>
      </w:pPr>
      <w:r>
        <w:rPr>
          <w:rFonts w:hint="eastAsia" w:ascii="仿宋_GB2312" w:hAnsi="仿宋" w:eastAsia="仿宋_GB2312"/>
          <w:color w:val="000000"/>
          <w:sz w:val="24"/>
        </w:rPr>
        <w:t>3、投标人在质保期内，如遇软件产品升级、改版，应免费提供更新、升级服务。</w:t>
      </w:r>
    </w:p>
    <w:p>
      <w:pPr>
        <w:pStyle w:val="24"/>
        <w:numPr>
          <w:ilvl w:val="1"/>
          <w:numId w:val="2"/>
        </w:numPr>
        <w:spacing w:before="156" w:after="156"/>
        <w:rPr>
          <w:rFonts w:hint="eastAsia" w:ascii="仿宋_GB2312" w:hAnsi="仿宋" w:eastAsia="仿宋_GB2312"/>
          <w:color w:val="000000"/>
          <w:sz w:val="24"/>
          <w:szCs w:val="24"/>
        </w:rPr>
      </w:pPr>
      <w:r>
        <w:rPr>
          <w:rFonts w:hint="eastAsia" w:ascii="仿宋_GB2312" w:hAnsi="仿宋" w:eastAsia="仿宋_GB2312"/>
          <w:color w:val="000000"/>
          <w:sz w:val="24"/>
          <w:szCs w:val="24"/>
        </w:rPr>
        <w:t>项目培训和售后服务要求</w:t>
      </w:r>
    </w:p>
    <w:p>
      <w:pPr>
        <w:tabs>
          <w:tab w:val="left" w:pos="840"/>
        </w:tabs>
        <w:spacing w:line="360" w:lineRule="auto"/>
        <w:ind w:left="105" w:firstLine="470"/>
        <w:rPr>
          <w:rFonts w:hint="eastAsia" w:ascii="仿宋_GB2312" w:hAnsi="仿宋" w:eastAsia="仿宋_GB2312"/>
          <w:color w:val="000000"/>
          <w:sz w:val="24"/>
        </w:rPr>
      </w:pPr>
      <w:r>
        <w:rPr>
          <w:rFonts w:hint="eastAsia" w:ascii="仿宋_GB2312" w:hAnsi="仿宋" w:eastAsia="仿宋_GB2312"/>
          <w:color w:val="000000"/>
          <w:sz w:val="24"/>
        </w:rPr>
        <w:t>1、技术力量和人员配置</w:t>
      </w:r>
    </w:p>
    <w:p>
      <w:pPr>
        <w:tabs>
          <w:tab w:val="left" w:pos="840"/>
        </w:tabs>
        <w:spacing w:line="360" w:lineRule="auto"/>
        <w:ind w:left="105" w:firstLine="470"/>
        <w:rPr>
          <w:rFonts w:hint="eastAsia" w:ascii="仿宋_GB2312" w:hAnsi="仿宋" w:eastAsia="仿宋_GB2312"/>
          <w:color w:val="000000"/>
          <w:sz w:val="24"/>
        </w:rPr>
      </w:pPr>
      <w:r>
        <w:rPr>
          <w:rFonts w:hint="eastAsia" w:ascii="仿宋_GB2312" w:hAnsi="仿宋" w:eastAsia="仿宋_GB2312"/>
          <w:color w:val="000000"/>
          <w:sz w:val="24"/>
        </w:rPr>
        <w:t>要求项目中标单位选派具有深厚应用软件开发、系统集成与实施经验的项目经理和精深专业技术的工程师，结合其在应用软件开发、系统集成与实施方面的积累经验，提出较详细的项目实施计划，确定软件系统需求调研、系统分析和开发、实施、试运行、正式运行、验收等的各项规范；提出项目完善的售后服务体系，为该项目在服务保证期内和将来提供统一技术服务界面，融合系统软件集成商、应用软件开发商的售后服务；制定详细的培训计划，保证系统各级用户正常系统使用和运行维护管理。</w:t>
      </w:r>
    </w:p>
    <w:p>
      <w:pPr>
        <w:tabs>
          <w:tab w:val="left" w:pos="840"/>
        </w:tabs>
        <w:spacing w:line="360" w:lineRule="auto"/>
        <w:ind w:left="575"/>
        <w:rPr>
          <w:rFonts w:hint="eastAsia" w:ascii="仿宋_GB2312" w:hAnsi="仿宋" w:eastAsia="仿宋_GB2312"/>
          <w:color w:val="000000"/>
          <w:sz w:val="24"/>
        </w:rPr>
      </w:pPr>
      <w:r>
        <w:rPr>
          <w:rFonts w:hint="eastAsia" w:ascii="仿宋_GB2312" w:hAnsi="仿宋" w:eastAsia="仿宋_GB2312"/>
          <w:color w:val="000000"/>
          <w:sz w:val="24"/>
        </w:rPr>
        <w:t>2、售后服务要求</w:t>
      </w:r>
    </w:p>
    <w:p>
      <w:pPr>
        <w:tabs>
          <w:tab w:val="left" w:pos="840"/>
        </w:tabs>
        <w:spacing w:line="360" w:lineRule="auto"/>
        <w:ind w:left="105" w:firstLine="470"/>
        <w:rPr>
          <w:rFonts w:hint="eastAsia" w:ascii="仿宋_GB2312" w:hAnsi="仿宋" w:eastAsia="仿宋_GB2312"/>
          <w:color w:val="000000"/>
          <w:sz w:val="24"/>
        </w:rPr>
      </w:pPr>
      <w:r>
        <w:rPr>
          <w:rFonts w:hint="eastAsia" w:ascii="仿宋_GB2312" w:hAnsi="仿宋" w:eastAsia="仿宋_GB2312"/>
          <w:color w:val="000000"/>
          <w:sz w:val="24"/>
        </w:rPr>
        <w:t>为了保证本次项目顺利成功，要求投标人承诺项目验收后提供三年驻场维保服务。包括系统的免费升级、功能完善、故障排除、性能调优、技术咨询，以及模型的迭代更新等，并负责系统的开发、集成，处理、协调与各系统软件等供应商的关系。</w:t>
      </w:r>
    </w:p>
    <w:p>
      <w:pPr>
        <w:tabs>
          <w:tab w:val="left" w:pos="840"/>
        </w:tabs>
        <w:spacing w:line="360" w:lineRule="auto"/>
        <w:ind w:left="105" w:firstLine="470"/>
        <w:rPr>
          <w:rFonts w:hint="eastAsia" w:ascii="仿宋_GB2312" w:hAnsi="仿宋" w:eastAsia="仿宋_GB2312"/>
          <w:color w:val="000000"/>
          <w:sz w:val="24"/>
        </w:rPr>
      </w:pPr>
      <w:r>
        <w:rPr>
          <w:rFonts w:hint="eastAsia" w:ascii="仿宋_GB2312" w:hAnsi="仿宋" w:eastAsia="仿宋_GB2312"/>
          <w:color w:val="000000"/>
          <w:sz w:val="24"/>
        </w:rPr>
        <w:t>3、人员培训</w:t>
      </w:r>
    </w:p>
    <w:p>
      <w:pPr>
        <w:tabs>
          <w:tab w:val="left" w:pos="840"/>
        </w:tabs>
        <w:spacing w:line="360" w:lineRule="auto"/>
        <w:ind w:left="105" w:firstLine="470"/>
        <w:rPr>
          <w:rFonts w:hint="eastAsia" w:ascii="仿宋_GB2312" w:hAnsi="仿宋" w:eastAsia="仿宋_GB2312"/>
          <w:color w:val="000000"/>
          <w:sz w:val="24"/>
        </w:rPr>
      </w:pPr>
      <w:r>
        <w:rPr>
          <w:rFonts w:hint="eastAsia" w:ascii="仿宋_GB2312" w:hAnsi="仿宋" w:eastAsia="仿宋_GB2312"/>
          <w:color w:val="000000"/>
          <w:sz w:val="24"/>
        </w:rPr>
        <w:t>要求在项目交付前提供不少于两次在绍兴市公安局内免费集中培训；每次培训规模不低于30人，时间不少于两天。</w:t>
      </w:r>
    </w:p>
    <w:p>
      <w:pPr>
        <w:spacing w:line="360" w:lineRule="auto"/>
        <w:ind w:firstLine="480" w:firstLineChars="200"/>
        <w:rPr>
          <w:rFonts w:hint="eastAsia" w:ascii="仿宋_GB2312" w:hAnsi="仿宋" w:eastAsia="仿宋_GB2312"/>
          <w:color w:val="000000"/>
          <w:sz w:val="24"/>
        </w:rPr>
      </w:pPr>
      <w:r>
        <w:rPr>
          <w:rFonts w:hint="eastAsia" w:ascii="仿宋_GB2312" w:hAnsi="仿宋" w:eastAsia="仿宋_GB2312"/>
          <w:color w:val="000000"/>
          <w:sz w:val="24"/>
        </w:rPr>
        <w:t>对应公安系统信息化建设的过程，应针对不同类型使用人员定制课程、进度、教学计划进行基础培训服务。力求信息系统的使用人员能在尽可能短的时间之内达到熟悉系统的软硬件环境并能够熟练掌握应用系统的操作目的。</w:t>
      </w:r>
    </w:p>
    <w:p>
      <w:pPr>
        <w:pStyle w:val="24"/>
        <w:numPr>
          <w:ilvl w:val="1"/>
          <w:numId w:val="2"/>
        </w:numPr>
        <w:spacing w:before="156" w:after="156"/>
        <w:rPr>
          <w:rFonts w:hint="eastAsia" w:ascii="仿宋_GB2312" w:hAnsi="仿宋" w:eastAsia="仿宋_GB2312"/>
          <w:color w:val="000000"/>
          <w:sz w:val="24"/>
          <w:szCs w:val="24"/>
        </w:rPr>
      </w:pPr>
      <w:r>
        <w:rPr>
          <w:rFonts w:hint="eastAsia" w:ascii="仿宋_GB2312" w:hAnsi="仿宋" w:eastAsia="仿宋_GB2312"/>
          <w:color w:val="000000"/>
          <w:sz w:val="24"/>
          <w:szCs w:val="24"/>
        </w:rPr>
        <w:t>技术服务要求</w:t>
      </w:r>
    </w:p>
    <w:p>
      <w:pPr>
        <w:spacing w:line="360" w:lineRule="auto"/>
        <w:ind w:left="105" w:firstLine="480"/>
        <w:rPr>
          <w:rFonts w:hint="eastAsia" w:ascii="仿宋_GB2312" w:hAnsi="仿宋" w:eastAsia="仿宋_GB2312"/>
          <w:color w:val="000000"/>
          <w:sz w:val="24"/>
        </w:rPr>
      </w:pPr>
      <w:r>
        <w:rPr>
          <w:rFonts w:hint="eastAsia" w:ascii="仿宋_GB2312" w:hAnsi="仿宋" w:eastAsia="仿宋_GB2312"/>
          <w:color w:val="000000"/>
          <w:sz w:val="24"/>
        </w:rPr>
        <w:t>1、投标人应确保其技术建议以及所提供的设备的完整性、实用性，保证全部系统及时投入正常运行。否则若出现因投标人提供的设备不满足要求、不合理，或者其所提供的技术支持和服务不全面，而导致系统无法实现或不能完全实现的状况，投标人负全部责任。</w:t>
      </w:r>
    </w:p>
    <w:p>
      <w:pPr>
        <w:spacing w:line="360" w:lineRule="auto"/>
        <w:ind w:left="105" w:firstLine="480"/>
        <w:rPr>
          <w:rFonts w:hint="eastAsia" w:ascii="仿宋_GB2312" w:hAnsi="仿宋" w:eastAsia="仿宋_GB2312"/>
          <w:color w:val="000000"/>
          <w:sz w:val="24"/>
        </w:rPr>
      </w:pPr>
      <w:r>
        <w:rPr>
          <w:rFonts w:hint="eastAsia" w:ascii="仿宋_GB2312" w:hAnsi="仿宋" w:eastAsia="仿宋_GB2312"/>
          <w:color w:val="000000"/>
          <w:sz w:val="24"/>
        </w:rPr>
        <w:t>2、特别提示：采购人需求在开发期和试运行期内，仍有可能不断完善，投标人须承诺在采购需求或政策法规范围内，随着采购人需求的变动随时做出响应，修改应用软件。正式验收通过后，若有需求变动，在免费维护期内，投标人须承诺在采购需求和政策法规范围内，仍应免费按采购人需求对整个系统做出相应修改，以满足采购人的需求软件。版权归绍兴市公安局所有。</w:t>
      </w:r>
    </w:p>
    <w:p>
      <w:pPr>
        <w:pStyle w:val="24"/>
        <w:numPr>
          <w:ilvl w:val="1"/>
          <w:numId w:val="2"/>
        </w:numPr>
        <w:spacing w:before="156" w:after="156"/>
        <w:rPr>
          <w:rFonts w:hint="eastAsia" w:ascii="仿宋_GB2312" w:hAnsi="仿宋" w:eastAsia="仿宋_GB2312"/>
          <w:color w:val="000000"/>
          <w:sz w:val="24"/>
          <w:szCs w:val="24"/>
        </w:rPr>
      </w:pPr>
      <w:r>
        <w:rPr>
          <w:rFonts w:hint="eastAsia" w:ascii="仿宋_GB2312" w:hAnsi="仿宋" w:eastAsia="仿宋_GB2312"/>
          <w:color w:val="000000"/>
          <w:sz w:val="24"/>
          <w:szCs w:val="24"/>
        </w:rPr>
        <w:t>验收要求</w:t>
      </w:r>
    </w:p>
    <w:p>
      <w:pPr>
        <w:spacing w:line="360" w:lineRule="auto"/>
        <w:ind w:left="105" w:firstLine="470"/>
        <w:rPr>
          <w:rFonts w:hint="eastAsia" w:ascii="仿宋_GB2312" w:hAnsi="仿宋" w:eastAsia="仿宋_GB2312"/>
          <w:color w:val="000000"/>
          <w:sz w:val="24"/>
        </w:rPr>
      </w:pPr>
      <w:r>
        <w:rPr>
          <w:rFonts w:hint="eastAsia" w:ascii="仿宋_GB2312" w:hAnsi="仿宋" w:eastAsia="仿宋_GB2312"/>
          <w:color w:val="000000"/>
          <w:sz w:val="24"/>
        </w:rPr>
        <w:t>项目的工作内容及成果文档的提交应覆盖以下内容，电子文档是成果不可分割的部分。</w:t>
      </w:r>
    </w:p>
    <w:p>
      <w:pPr>
        <w:spacing w:line="360" w:lineRule="auto"/>
        <w:ind w:left="105" w:firstLine="470"/>
        <w:rPr>
          <w:rFonts w:hint="eastAsia" w:ascii="仿宋_GB2312" w:hAnsi="仿宋" w:eastAsia="仿宋_GB2312"/>
          <w:color w:val="000000"/>
          <w:sz w:val="24"/>
        </w:rPr>
      </w:pPr>
      <w:r>
        <w:rPr>
          <w:rFonts w:hint="eastAsia" w:ascii="仿宋_GB2312" w:hAnsi="仿宋" w:eastAsia="仿宋_GB2312"/>
          <w:color w:val="000000"/>
          <w:sz w:val="24"/>
        </w:rPr>
        <w:t>1、应用软件的源程序及可执行代码。</w:t>
      </w:r>
    </w:p>
    <w:p>
      <w:pPr>
        <w:spacing w:line="360" w:lineRule="auto"/>
        <w:ind w:left="105" w:firstLine="470"/>
        <w:rPr>
          <w:rFonts w:hint="eastAsia" w:ascii="仿宋_GB2312" w:hAnsi="仿宋" w:eastAsia="仿宋_GB2312"/>
          <w:color w:val="000000"/>
          <w:sz w:val="24"/>
        </w:rPr>
      </w:pPr>
      <w:r>
        <w:rPr>
          <w:rFonts w:hint="eastAsia" w:ascii="仿宋_GB2312" w:hAnsi="仿宋" w:eastAsia="仿宋_GB2312"/>
          <w:color w:val="000000"/>
          <w:sz w:val="24"/>
        </w:rPr>
        <w:t>2、数据库的设计以及数据实体模型、相互关系的描述；</w:t>
      </w:r>
    </w:p>
    <w:p>
      <w:pPr>
        <w:spacing w:line="360" w:lineRule="auto"/>
        <w:ind w:left="105" w:firstLine="470"/>
        <w:rPr>
          <w:rFonts w:hint="eastAsia" w:ascii="仿宋_GB2312" w:hAnsi="仿宋" w:eastAsia="仿宋_GB2312"/>
          <w:color w:val="000000"/>
          <w:sz w:val="24"/>
        </w:rPr>
      </w:pPr>
      <w:r>
        <w:rPr>
          <w:rFonts w:hint="eastAsia" w:ascii="仿宋_GB2312" w:hAnsi="仿宋" w:eastAsia="仿宋_GB2312"/>
          <w:color w:val="000000"/>
          <w:sz w:val="24"/>
        </w:rPr>
        <w:t>3、网络系统的拓扑结构以及相关设备的配置；</w:t>
      </w:r>
    </w:p>
    <w:p>
      <w:pPr>
        <w:spacing w:line="360" w:lineRule="auto"/>
        <w:ind w:left="105" w:firstLine="470"/>
        <w:rPr>
          <w:rFonts w:hint="eastAsia" w:ascii="仿宋_GB2312" w:hAnsi="仿宋" w:eastAsia="仿宋_GB2312"/>
          <w:color w:val="000000"/>
          <w:sz w:val="24"/>
        </w:rPr>
      </w:pPr>
      <w:r>
        <w:rPr>
          <w:rFonts w:hint="eastAsia" w:ascii="仿宋_GB2312" w:hAnsi="仿宋" w:eastAsia="仿宋_GB2312"/>
          <w:color w:val="000000"/>
          <w:sz w:val="24"/>
        </w:rPr>
        <w:t>4、系统的体系架构及描述；</w:t>
      </w:r>
    </w:p>
    <w:p>
      <w:pPr>
        <w:spacing w:line="360" w:lineRule="auto"/>
        <w:ind w:left="105" w:firstLine="470"/>
        <w:rPr>
          <w:rFonts w:hint="eastAsia" w:ascii="仿宋_GB2312" w:hAnsi="仿宋" w:eastAsia="仿宋_GB2312"/>
          <w:color w:val="000000"/>
          <w:sz w:val="24"/>
        </w:rPr>
      </w:pPr>
      <w:r>
        <w:rPr>
          <w:rFonts w:hint="eastAsia" w:ascii="仿宋_GB2312" w:hAnsi="仿宋" w:eastAsia="仿宋_GB2312"/>
          <w:color w:val="000000"/>
          <w:sz w:val="24"/>
        </w:rPr>
        <w:t>5、提供的其它技术手册，包括：</w:t>
      </w:r>
    </w:p>
    <w:p>
      <w:pPr>
        <w:spacing w:line="360" w:lineRule="auto"/>
        <w:ind w:left="575"/>
        <w:rPr>
          <w:rFonts w:hint="eastAsia" w:ascii="仿宋_GB2312" w:hAnsi="仿宋" w:eastAsia="仿宋_GB2312"/>
          <w:color w:val="000000"/>
          <w:sz w:val="24"/>
        </w:rPr>
      </w:pPr>
      <w:r>
        <w:rPr>
          <w:rFonts w:hint="eastAsia" w:ascii="仿宋_GB2312" w:hAnsi="仿宋" w:eastAsia="仿宋_GB2312"/>
          <w:color w:val="000000"/>
          <w:sz w:val="24"/>
        </w:rPr>
        <w:t>需求分析报告（含软件功能需求与数据要求）；</w:t>
      </w:r>
    </w:p>
    <w:p>
      <w:pPr>
        <w:spacing w:line="360" w:lineRule="auto"/>
        <w:ind w:left="575"/>
        <w:rPr>
          <w:rFonts w:hint="eastAsia" w:ascii="仿宋_GB2312" w:hAnsi="仿宋" w:eastAsia="仿宋_GB2312"/>
          <w:color w:val="000000"/>
          <w:sz w:val="24"/>
        </w:rPr>
      </w:pPr>
      <w:r>
        <w:rPr>
          <w:rFonts w:hint="eastAsia" w:ascii="仿宋_GB2312" w:hAnsi="仿宋" w:eastAsia="仿宋_GB2312"/>
          <w:color w:val="000000"/>
          <w:sz w:val="24"/>
        </w:rPr>
        <w:t>系统概要设计说明书；</w:t>
      </w:r>
    </w:p>
    <w:p>
      <w:pPr>
        <w:spacing w:line="360" w:lineRule="auto"/>
        <w:ind w:left="575"/>
        <w:rPr>
          <w:rFonts w:hint="eastAsia" w:ascii="仿宋_GB2312" w:hAnsi="仿宋" w:eastAsia="仿宋_GB2312"/>
          <w:color w:val="000000"/>
          <w:sz w:val="24"/>
        </w:rPr>
      </w:pPr>
      <w:r>
        <w:rPr>
          <w:rFonts w:hint="eastAsia" w:ascii="仿宋_GB2312" w:hAnsi="仿宋" w:eastAsia="仿宋_GB2312"/>
          <w:color w:val="000000"/>
          <w:sz w:val="24"/>
        </w:rPr>
        <w:t>系统详细设计方案及系统测试方案设计；</w:t>
      </w:r>
    </w:p>
    <w:p>
      <w:pPr>
        <w:spacing w:line="360" w:lineRule="auto"/>
        <w:ind w:left="575"/>
        <w:rPr>
          <w:rFonts w:hint="eastAsia" w:ascii="仿宋_GB2312" w:hAnsi="仿宋" w:eastAsia="仿宋_GB2312"/>
          <w:color w:val="000000"/>
          <w:sz w:val="24"/>
        </w:rPr>
      </w:pPr>
      <w:r>
        <w:rPr>
          <w:rFonts w:hint="eastAsia" w:ascii="仿宋_GB2312" w:hAnsi="仿宋" w:eastAsia="仿宋_GB2312"/>
          <w:color w:val="000000"/>
          <w:sz w:val="24"/>
        </w:rPr>
        <w:t>软件培训资料（含系统演示光盘）；</w:t>
      </w:r>
    </w:p>
    <w:p>
      <w:pPr>
        <w:spacing w:line="360" w:lineRule="auto"/>
        <w:ind w:left="575"/>
        <w:rPr>
          <w:rFonts w:hint="eastAsia" w:ascii="仿宋_GB2312" w:hAnsi="仿宋" w:eastAsia="仿宋_GB2312"/>
          <w:color w:val="000000"/>
          <w:sz w:val="24"/>
        </w:rPr>
      </w:pPr>
      <w:r>
        <w:rPr>
          <w:rFonts w:hint="eastAsia" w:ascii="仿宋_GB2312" w:hAnsi="仿宋" w:eastAsia="仿宋_GB2312"/>
          <w:color w:val="000000"/>
          <w:sz w:val="24"/>
        </w:rPr>
        <w:t>数据库设计方案；</w:t>
      </w:r>
    </w:p>
    <w:p>
      <w:pPr>
        <w:spacing w:line="360" w:lineRule="auto"/>
        <w:ind w:left="575"/>
        <w:rPr>
          <w:rFonts w:hint="eastAsia" w:ascii="仿宋_GB2312" w:hAnsi="仿宋" w:eastAsia="仿宋_GB2312"/>
          <w:color w:val="000000"/>
          <w:sz w:val="24"/>
        </w:rPr>
      </w:pPr>
      <w:r>
        <w:rPr>
          <w:rFonts w:hint="eastAsia" w:ascii="仿宋_GB2312" w:hAnsi="仿宋" w:eastAsia="仿宋_GB2312"/>
          <w:color w:val="000000"/>
          <w:sz w:val="24"/>
        </w:rPr>
        <w:t>程序安装维护手册；</w:t>
      </w:r>
    </w:p>
    <w:p>
      <w:pPr>
        <w:spacing w:line="360" w:lineRule="auto"/>
        <w:ind w:left="575"/>
        <w:rPr>
          <w:rFonts w:hint="eastAsia" w:ascii="仿宋_GB2312" w:hAnsi="仿宋" w:eastAsia="仿宋_GB2312"/>
          <w:color w:val="000000"/>
          <w:sz w:val="24"/>
        </w:rPr>
      </w:pPr>
      <w:r>
        <w:rPr>
          <w:rFonts w:hint="eastAsia" w:ascii="仿宋_GB2312" w:hAnsi="仿宋" w:eastAsia="仿宋_GB2312"/>
          <w:color w:val="000000"/>
          <w:sz w:val="24"/>
        </w:rPr>
        <w:t>软件使用操作手册；</w:t>
      </w:r>
    </w:p>
    <w:p>
      <w:pPr>
        <w:spacing w:line="360" w:lineRule="auto"/>
        <w:ind w:left="575"/>
        <w:rPr>
          <w:rFonts w:hint="eastAsia" w:ascii="仿宋_GB2312" w:hAnsi="仿宋" w:eastAsia="仿宋_GB2312"/>
          <w:color w:val="000000"/>
          <w:sz w:val="24"/>
        </w:rPr>
      </w:pPr>
      <w:r>
        <w:rPr>
          <w:rFonts w:hint="eastAsia" w:ascii="仿宋_GB2312" w:hAnsi="仿宋" w:eastAsia="仿宋_GB2312"/>
          <w:color w:val="000000"/>
          <w:sz w:val="24"/>
        </w:rPr>
        <w:t>系统的测试分析报告；</w:t>
      </w:r>
    </w:p>
    <w:p>
      <w:pPr>
        <w:spacing w:line="360" w:lineRule="auto"/>
        <w:ind w:left="575"/>
        <w:rPr>
          <w:rFonts w:hint="eastAsia" w:ascii="仿宋_GB2312" w:hAnsi="仿宋" w:eastAsia="仿宋_GB2312"/>
          <w:color w:val="000000"/>
          <w:sz w:val="24"/>
        </w:rPr>
      </w:pPr>
      <w:r>
        <w:rPr>
          <w:rFonts w:hint="eastAsia" w:ascii="仿宋_GB2312" w:hAnsi="仿宋" w:eastAsia="仿宋_GB2312"/>
          <w:color w:val="000000"/>
          <w:sz w:val="24"/>
        </w:rPr>
        <w:t>系统第三方检测报告。</w:t>
      </w:r>
    </w:p>
    <w:p>
      <w:pPr>
        <w:pStyle w:val="24"/>
        <w:numPr>
          <w:ilvl w:val="0"/>
          <w:numId w:val="0"/>
        </w:numPr>
        <w:spacing w:before="156" w:after="156"/>
        <w:rPr>
          <w:rFonts w:hint="eastAsia" w:ascii="仿宋_GB2312" w:hAnsi="仿宋" w:eastAsia="仿宋_GB2312"/>
          <w:color w:val="000000"/>
          <w:sz w:val="24"/>
          <w:szCs w:val="24"/>
        </w:rPr>
      </w:pPr>
      <w:r>
        <w:rPr>
          <w:rFonts w:hint="eastAsia" w:ascii="仿宋_GB2312" w:hAnsi="仿宋" w:eastAsia="仿宋_GB2312"/>
          <w:color w:val="000000"/>
          <w:sz w:val="24"/>
          <w:szCs w:val="24"/>
        </w:rPr>
        <w:t>1.10 产权要求</w:t>
      </w:r>
    </w:p>
    <w:p>
      <w:pPr>
        <w:snapToGrid w:val="0"/>
        <w:spacing w:line="360" w:lineRule="auto"/>
        <w:ind w:firstLine="480" w:firstLineChars="200"/>
        <w:rPr>
          <w:rFonts w:hint="eastAsia" w:ascii="仿宋_GB2312" w:hAnsi="仿宋" w:eastAsia="仿宋_GB2312"/>
          <w:color w:val="000000"/>
          <w:sz w:val="24"/>
        </w:rPr>
      </w:pPr>
      <w:r>
        <w:rPr>
          <w:rFonts w:hint="eastAsia" w:ascii="仿宋_GB2312" w:hAnsi="仿宋" w:eastAsia="仿宋_GB2312"/>
          <w:color w:val="000000"/>
          <w:sz w:val="24"/>
        </w:rPr>
        <w:t>1.本项目的所有权和知识产权归采购人所有。</w:t>
      </w:r>
    </w:p>
    <w:p>
      <w:pPr>
        <w:snapToGrid w:val="0"/>
        <w:spacing w:line="360" w:lineRule="auto"/>
        <w:ind w:firstLine="480" w:firstLineChars="200"/>
        <w:rPr>
          <w:rFonts w:hint="eastAsia" w:ascii="仿宋_GB2312" w:hAnsi="仿宋" w:eastAsia="仿宋_GB2312"/>
          <w:color w:val="000000"/>
          <w:sz w:val="24"/>
        </w:rPr>
      </w:pPr>
      <w:r>
        <w:rPr>
          <w:rFonts w:hint="eastAsia" w:ascii="仿宋_GB2312" w:hAnsi="仿宋" w:eastAsia="仿宋_GB2312"/>
          <w:color w:val="000000"/>
          <w:sz w:val="24"/>
        </w:rPr>
        <w:t>2.涉及的源代码（含质保期内的后续升级版本）必须遵循相关标准和规范,并无条件提交给采购人。</w:t>
      </w:r>
    </w:p>
    <w:p>
      <w:pPr>
        <w:snapToGrid w:val="0"/>
        <w:spacing w:line="360" w:lineRule="auto"/>
        <w:ind w:firstLine="480" w:firstLineChars="200"/>
        <w:rPr>
          <w:rFonts w:hint="eastAsia" w:ascii="仿宋_GB2312" w:hAnsi="仿宋" w:eastAsia="仿宋_GB2312"/>
          <w:color w:val="000000"/>
          <w:sz w:val="24"/>
        </w:rPr>
      </w:pPr>
      <w:r>
        <w:rPr>
          <w:rFonts w:hint="eastAsia" w:ascii="仿宋_GB2312" w:hAnsi="仿宋" w:eastAsia="仿宋_GB2312"/>
          <w:color w:val="000000"/>
          <w:sz w:val="24"/>
        </w:rPr>
        <w:t>3.涉及接口的必须遵循相关标准和规范，向下部署的，必须无条件开放所有接口且满足国家共享相关规定要求，项目承建单位（施工单位、实施单位）有义务配合采购人做好有关信息共享工作。</w:t>
      </w:r>
    </w:p>
    <w:p>
      <w:pPr>
        <w:snapToGrid w:val="0"/>
        <w:spacing w:line="360" w:lineRule="auto"/>
        <w:ind w:firstLine="480" w:firstLineChars="200"/>
        <w:rPr>
          <w:rFonts w:hint="eastAsia" w:ascii="仿宋_GB2312" w:hAnsi="仿宋" w:eastAsia="仿宋_GB2312"/>
          <w:color w:val="000000"/>
          <w:sz w:val="24"/>
        </w:rPr>
      </w:pPr>
      <w:r>
        <w:rPr>
          <w:rFonts w:hint="eastAsia" w:ascii="仿宋_GB2312" w:hAnsi="仿宋" w:eastAsia="仿宋_GB2312"/>
          <w:color w:val="000000"/>
          <w:sz w:val="24"/>
        </w:rPr>
        <w:t>4.本项目在开发、使用和维护过程中接触到的采购人的所有资料，未经采购人授权代表书面许可，不得留存，私自查阅及向任何第三方泄露。</w:t>
      </w:r>
    </w:p>
    <w:p>
      <w:pPr>
        <w:snapToGrid w:val="0"/>
        <w:spacing w:line="360" w:lineRule="auto"/>
        <w:ind w:firstLine="480" w:firstLineChars="200"/>
        <w:rPr>
          <w:rFonts w:hint="eastAsia" w:ascii="仿宋_GB2312" w:hAnsi="仿宋" w:eastAsia="仿宋_GB2312"/>
          <w:color w:val="000000"/>
          <w:sz w:val="24"/>
        </w:rPr>
      </w:pPr>
      <w:r>
        <w:rPr>
          <w:rFonts w:hint="eastAsia" w:ascii="仿宋_GB2312" w:hAnsi="仿宋" w:eastAsia="仿宋_GB2312"/>
          <w:color w:val="000000"/>
          <w:sz w:val="24"/>
        </w:rPr>
        <w:t>5.本项目的设计开发专利申请权、技术秘密的使用权和转让权归采购人所有。</w:t>
      </w:r>
    </w:p>
    <w:p>
      <w:pPr>
        <w:pStyle w:val="24"/>
        <w:numPr>
          <w:ilvl w:val="0"/>
          <w:numId w:val="0"/>
        </w:numPr>
        <w:spacing w:before="156" w:after="156"/>
        <w:rPr>
          <w:rFonts w:hint="eastAsia" w:ascii="仿宋_GB2312" w:hAnsi="仿宋" w:eastAsia="仿宋_GB2312"/>
          <w:color w:val="000000"/>
          <w:sz w:val="24"/>
          <w:szCs w:val="24"/>
        </w:rPr>
      </w:pPr>
      <w:r>
        <w:rPr>
          <w:rFonts w:hint="eastAsia" w:ascii="仿宋_GB2312" w:hAnsi="仿宋" w:eastAsia="仿宋_GB2312"/>
          <w:color w:val="000000"/>
          <w:sz w:val="24"/>
          <w:szCs w:val="24"/>
        </w:rPr>
        <w:t>1.11付款方式</w:t>
      </w:r>
    </w:p>
    <w:p>
      <w:pPr>
        <w:spacing w:line="400" w:lineRule="exact"/>
        <w:ind w:firstLine="480" w:firstLineChars="200"/>
        <w:rPr>
          <w:rFonts w:hint="eastAsia" w:ascii="仿宋_GB2312" w:hAnsi="宋体" w:eastAsia="仿宋_GB2312"/>
          <w:color w:val="000000"/>
          <w:sz w:val="24"/>
        </w:rPr>
      </w:pPr>
      <w:r>
        <w:rPr>
          <w:rFonts w:hint="eastAsia" w:ascii="仿宋_GB2312" w:hAnsi="宋体" w:eastAsia="仿宋_GB2312"/>
          <w:color w:val="000000"/>
          <w:sz w:val="24"/>
        </w:rPr>
        <w:t>合同签订后15天内，支付合同金额的40%，验收合格后15天内，中标人向招标人指定账户打入合同金额5%，作为履约保证金，招标人支付合同金额的60%，合同履约完成后退还履约保证金（不计息）。</w:t>
      </w:r>
    </w:p>
    <w:p>
      <w:pPr>
        <w:rPr>
          <w:rFonts w:hint="eastAsia" w:ascii="仿宋_GB2312" w:hAnsi="宋体" w:eastAsia="仿宋_GB2312"/>
          <w:b/>
          <w:color w:val="000000"/>
          <w:sz w:val="24"/>
        </w:rPr>
      </w:pPr>
      <w:bookmarkStart w:id="1" w:name="_Toc84325981"/>
      <w:bookmarkStart w:id="2" w:name="_Toc81372787"/>
      <w:bookmarkStart w:id="3" w:name="_Toc81372964"/>
      <w:bookmarkStart w:id="4" w:name="_Toc80157775"/>
      <w:r>
        <w:rPr>
          <w:rFonts w:hint="eastAsia" w:ascii="仿宋_GB2312" w:eastAsia="仿宋_GB2312"/>
          <w:b/>
          <w:color w:val="000000"/>
          <w:sz w:val="24"/>
          <w:bdr w:val="single" w:color="auto" w:sz="4" w:space="0"/>
        </w:rPr>
        <w:t>02标</w:t>
      </w:r>
      <w:r>
        <w:rPr>
          <w:rFonts w:hint="eastAsia" w:ascii="仿宋_GB2312" w:hAnsi="宋体" w:eastAsia="仿宋_GB2312"/>
          <w:b/>
          <w:color w:val="000000"/>
          <w:sz w:val="24"/>
        </w:rPr>
        <w:t>钉钉端及办公平台升级维护项目</w:t>
      </w:r>
    </w:p>
    <w:p>
      <w:pPr>
        <w:snapToGrid w:val="0"/>
        <w:spacing w:line="440" w:lineRule="exact"/>
        <w:jc w:val="left"/>
        <w:rPr>
          <w:rFonts w:hint="eastAsia" w:ascii="仿宋_GB2312" w:hAnsi="宋体" w:eastAsia="仿宋_GB2312"/>
          <w:color w:val="000000"/>
          <w:sz w:val="24"/>
        </w:rPr>
      </w:pPr>
      <w:r>
        <w:rPr>
          <w:rFonts w:hint="eastAsia" w:ascii="仿宋_GB2312" w:hAnsi="宋体" w:eastAsia="仿宋_GB2312"/>
          <w:color w:val="000000"/>
          <w:sz w:val="24"/>
        </w:rPr>
        <w:t>一、招标内容：</w:t>
      </w:r>
    </w:p>
    <w:p>
      <w:pPr>
        <w:spacing w:line="360" w:lineRule="auto"/>
        <w:rPr>
          <w:rFonts w:hint="eastAsia" w:ascii="仿宋_GB2312" w:hAnsi="宋体" w:eastAsia="仿宋_GB2312"/>
          <w:b/>
          <w:bCs/>
          <w:color w:val="000000"/>
          <w:sz w:val="24"/>
        </w:rPr>
      </w:pPr>
      <w:r>
        <w:rPr>
          <w:rFonts w:hint="eastAsia" w:ascii="仿宋_GB2312" w:hAnsi="宋体" w:eastAsia="仿宋_GB2312"/>
          <w:b/>
          <w:bCs/>
          <w:color w:val="000000"/>
          <w:sz w:val="24"/>
        </w:rPr>
        <w:t>1、建设目标和内容要求</w:t>
      </w:r>
    </w:p>
    <w:p>
      <w:pPr>
        <w:spacing w:line="360" w:lineRule="auto"/>
        <w:ind w:firstLine="424" w:firstLineChars="177"/>
        <w:rPr>
          <w:rFonts w:hint="eastAsia" w:ascii="仿宋_GB2312" w:hAnsi="宋体" w:eastAsia="仿宋_GB2312"/>
          <w:color w:val="000000"/>
          <w:sz w:val="24"/>
        </w:rPr>
      </w:pPr>
      <w:r>
        <w:rPr>
          <w:rFonts w:hint="eastAsia" w:ascii="仿宋_GB2312" w:hAnsi="宋体" w:eastAsia="仿宋_GB2312"/>
          <w:color w:val="000000"/>
          <w:sz w:val="24"/>
        </w:rPr>
        <w:t>针对民警的日常工作需求在钉钉平台建设各类微应用，建设民警巡逻、民警走访、走千村访万户、清风行动、问卷调查等应用模块，并支持各类业务数据导出，需要将现有绍兴公安工作台迁移到浙政钉上。主要功能需求建设包括：</w:t>
      </w:r>
    </w:p>
    <w:p>
      <w:pPr>
        <w:spacing w:line="360" w:lineRule="auto"/>
        <w:ind w:firstLine="424" w:firstLineChars="177"/>
        <w:rPr>
          <w:rFonts w:hint="eastAsia" w:ascii="仿宋_GB2312" w:hAnsi="宋体" w:eastAsia="仿宋_GB2312"/>
          <w:color w:val="000000"/>
          <w:sz w:val="24"/>
        </w:rPr>
      </w:pPr>
      <w:r>
        <w:rPr>
          <w:rFonts w:hint="eastAsia" w:ascii="仿宋_GB2312" w:hAnsi="宋体" w:eastAsia="仿宋_GB2312"/>
          <w:color w:val="000000"/>
          <w:sz w:val="24"/>
        </w:rPr>
        <w:t>民警巡逻：民警在巡逻时，可以通过钉钉实现巡逻签到、巡逻签退、巡逻笔记等功能；</w:t>
      </w:r>
    </w:p>
    <w:p>
      <w:pPr>
        <w:spacing w:line="360" w:lineRule="auto"/>
        <w:ind w:firstLine="424" w:firstLineChars="177"/>
        <w:rPr>
          <w:rFonts w:hint="eastAsia" w:ascii="仿宋_GB2312" w:hAnsi="宋体" w:eastAsia="仿宋_GB2312"/>
          <w:color w:val="000000"/>
          <w:sz w:val="24"/>
        </w:rPr>
      </w:pPr>
      <w:r>
        <w:rPr>
          <w:rFonts w:hint="eastAsia" w:ascii="仿宋_GB2312" w:hAnsi="宋体" w:eastAsia="仿宋_GB2312"/>
          <w:color w:val="000000"/>
          <w:sz w:val="24"/>
        </w:rPr>
        <w:t>民警走访：民警在对老百姓走访时，能够记录群众的相关信息，包括：姓名、地址、手机号、建议等；</w:t>
      </w:r>
    </w:p>
    <w:p>
      <w:pPr>
        <w:spacing w:line="360" w:lineRule="auto"/>
        <w:ind w:firstLine="480" w:firstLineChars="200"/>
        <w:rPr>
          <w:rFonts w:hint="eastAsia" w:ascii="仿宋_GB2312" w:hAnsi="宋体" w:eastAsia="仿宋_GB2312"/>
          <w:color w:val="000000"/>
          <w:sz w:val="24"/>
        </w:rPr>
      </w:pPr>
      <w:r>
        <w:rPr>
          <w:rFonts w:hint="eastAsia" w:ascii="仿宋_GB2312" w:hAnsi="宋体" w:eastAsia="仿宋_GB2312"/>
          <w:color w:val="000000"/>
          <w:sz w:val="24"/>
        </w:rPr>
        <w:t>专项行动：为民警在钉钉端提供记录所有相关场所信息的功能；</w:t>
      </w:r>
    </w:p>
    <w:p>
      <w:pPr>
        <w:spacing w:line="360" w:lineRule="auto"/>
        <w:ind w:firstLine="424" w:firstLineChars="177"/>
        <w:rPr>
          <w:rFonts w:hint="eastAsia" w:ascii="仿宋_GB2312" w:hAnsi="宋体" w:eastAsia="仿宋_GB2312"/>
          <w:color w:val="000000"/>
          <w:sz w:val="24"/>
        </w:rPr>
      </w:pPr>
      <w:r>
        <w:rPr>
          <w:rFonts w:hint="eastAsia" w:ascii="仿宋_GB2312" w:hAnsi="宋体" w:eastAsia="仿宋_GB2312"/>
          <w:color w:val="000000"/>
          <w:sz w:val="24"/>
        </w:rPr>
        <w:t>问卷调查：在钉钉端可以实现问卷及调查。</w:t>
      </w:r>
    </w:p>
    <w:p>
      <w:pPr>
        <w:spacing w:line="360" w:lineRule="auto"/>
        <w:ind w:firstLine="424" w:firstLineChars="177"/>
        <w:rPr>
          <w:rFonts w:hint="eastAsia" w:ascii="仿宋_GB2312" w:hAnsi="宋体" w:eastAsia="仿宋_GB2312"/>
          <w:color w:val="000000"/>
          <w:sz w:val="24"/>
        </w:rPr>
      </w:pPr>
      <w:r>
        <w:rPr>
          <w:rFonts w:hint="eastAsia" w:ascii="仿宋_GB2312" w:hAnsi="宋体" w:eastAsia="仿宋_GB2312"/>
          <w:color w:val="000000"/>
          <w:sz w:val="24"/>
        </w:rPr>
        <w:t>全员消息推送：实现即时消息发布功能，可编辑消息并推送到钉钉移动端，民警接收消息提醒后可查看消息详情。</w:t>
      </w:r>
    </w:p>
    <w:p>
      <w:pPr>
        <w:spacing w:line="360" w:lineRule="auto"/>
        <w:ind w:firstLine="424" w:firstLineChars="177"/>
        <w:rPr>
          <w:rFonts w:hint="eastAsia" w:ascii="仿宋_GB2312" w:hAnsi="宋体" w:eastAsia="仿宋_GB2312"/>
          <w:color w:val="000000"/>
          <w:sz w:val="24"/>
        </w:rPr>
      </w:pPr>
      <w:r>
        <w:rPr>
          <w:rFonts w:hint="eastAsia" w:ascii="仿宋_GB2312" w:hAnsi="宋体" w:eastAsia="仿宋_GB2312"/>
          <w:color w:val="000000"/>
          <w:sz w:val="24"/>
        </w:rPr>
        <w:t>应酬、饮酒报备：民警、部门领导需要饮酒时，需要向上级领导报备。</w:t>
      </w:r>
    </w:p>
    <w:p>
      <w:pPr>
        <w:spacing w:line="360" w:lineRule="auto"/>
        <w:ind w:firstLine="424" w:firstLineChars="177"/>
        <w:rPr>
          <w:rFonts w:hint="eastAsia" w:ascii="仿宋_GB2312" w:hAnsi="宋体" w:eastAsia="仿宋_GB2312"/>
          <w:color w:val="000000"/>
          <w:sz w:val="24"/>
        </w:rPr>
      </w:pPr>
      <w:r>
        <w:rPr>
          <w:rFonts w:hint="eastAsia" w:ascii="仿宋_GB2312" w:hAnsi="宋体" w:eastAsia="仿宋_GB2312"/>
          <w:color w:val="000000"/>
          <w:sz w:val="24"/>
        </w:rPr>
        <w:t>会议申请：包括管理会议室，申请会议，会议审批，会议报名、会议保障等功能。</w:t>
      </w:r>
    </w:p>
    <w:p>
      <w:pPr>
        <w:spacing w:line="360" w:lineRule="auto"/>
        <w:ind w:firstLine="424" w:firstLineChars="177"/>
        <w:rPr>
          <w:rFonts w:hint="eastAsia" w:ascii="仿宋_GB2312" w:hAnsi="宋体" w:eastAsia="仿宋_GB2312"/>
          <w:color w:val="000000"/>
          <w:sz w:val="24"/>
        </w:rPr>
      </w:pPr>
      <w:r>
        <w:rPr>
          <w:rFonts w:hint="eastAsia" w:ascii="仿宋_GB2312" w:hAnsi="宋体" w:eastAsia="仿宋_GB2312"/>
          <w:color w:val="000000"/>
          <w:sz w:val="24"/>
        </w:rPr>
        <w:t>数据导出：实现对民警巡逻、民警走访等功能的数据导出。</w:t>
      </w:r>
    </w:p>
    <w:p>
      <w:pPr>
        <w:spacing w:line="360" w:lineRule="auto"/>
        <w:ind w:firstLine="424" w:firstLineChars="177"/>
        <w:rPr>
          <w:rFonts w:hint="eastAsia" w:ascii="仿宋_GB2312" w:hAnsi="宋体" w:eastAsia="仿宋_GB2312"/>
          <w:color w:val="000000"/>
          <w:sz w:val="24"/>
        </w:rPr>
      </w:pPr>
      <w:r>
        <w:rPr>
          <w:rFonts w:hint="eastAsia" w:ascii="仿宋_GB2312" w:hAnsi="宋体" w:eastAsia="仿宋_GB2312"/>
          <w:color w:val="000000"/>
          <w:sz w:val="24"/>
        </w:rPr>
        <w:t>公文流转：对接公安网上的协同办公系统，实现在钉钉上公文的查看、办理、传阅、转发功能；</w:t>
      </w:r>
    </w:p>
    <w:p>
      <w:pPr>
        <w:spacing w:line="360" w:lineRule="auto"/>
        <w:ind w:firstLine="424" w:firstLineChars="177"/>
        <w:rPr>
          <w:rFonts w:hint="eastAsia" w:ascii="仿宋_GB2312" w:hAnsi="宋体" w:eastAsia="仿宋_GB2312"/>
          <w:color w:val="000000"/>
          <w:sz w:val="24"/>
        </w:rPr>
      </w:pPr>
      <w:r>
        <w:rPr>
          <w:rFonts w:hint="eastAsia" w:ascii="仿宋_GB2312" w:hAnsi="宋体" w:eastAsia="仿宋_GB2312"/>
          <w:color w:val="000000"/>
          <w:sz w:val="24"/>
        </w:rPr>
        <w:t>OA办公平台改造：包括发文流程改造,办公首页页面调整、办文单页面调整、收文办文单领导意见显示调整；</w:t>
      </w:r>
    </w:p>
    <w:p>
      <w:pPr>
        <w:spacing w:line="360" w:lineRule="auto"/>
        <w:ind w:firstLine="424" w:firstLineChars="177"/>
        <w:rPr>
          <w:rFonts w:hint="eastAsia" w:ascii="仿宋_GB2312" w:hAnsi="宋体" w:eastAsia="仿宋_GB2312"/>
          <w:color w:val="000000"/>
          <w:sz w:val="24"/>
        </w:rPr>
      </w:pPr>
      <w:r>
        <w:rPr>
          <w:rFonts w:hint="eastAsia" w:ascii="仿宋_GB2312" w:hAnsi="宋体" w:eastAsia="仿宋_GB2312"/>
          <w:color w:val="000000"/>
          <w:sz w:val="24"/>
        </w:rPr>
        <w:t>钉钉工作台迁移：将现有绍兴市公安局钉钉工作台上功能迁移到浙政钉工作台，迁移的功能包括：会议管理、会议活动请假、负责人外出报备、局介绍信开具、公章使用审批、调休、请假、维修申报、物品领用、一卡通申领、车辆出入申请、公务接待审批、固话装移机申请、虚拟网申请、交通安全设施应急维修，信息化项目启动报告审批，市局机关经费预算（采购方式）事前审批，市局机关招标文件会审审批，市局机关合同会审审批。</w:t>
      </w:r>
    </w:p>
    <w:p>
      <w:pPr>
        <w:spacing w:line="360" w:lineRule="auto"/>
        <w:rPr>
          <w:rFonts w:hint="eastAsia" w:ascii="仿宋_GB2312" w:hAnsi="宋体" w:eastAsia="仿宋_GB2312"/>
          <w:b/>
          <w:bCs/>
          <w:color w:val="000000"/>
          <w:sz w:val="24"/>
        </w:rPr>
      </w:pPr>
      <w:r>
        <w:rPr>
          <w:rFonts w:hint="eastAsia" w:ascii="仿宋_GB2312" w:hAnsi="宋体" w:eastAsia="仿宋_GB2312"/>
          <w:b/>
          <w:bCs/>
          <w:color w:val="000000"/>
          <w:sz w:val="24"/>
        </w:rPr>
        <w:t>2、技术要求</w:t>
      </w:r>
    </w:p>
    <w:p>
      <w:pPr>
        <w:spacing w:line="360" w:lineRule="auto"/>
        <w:rPr>
          <w:rFonts w:hint="eastAsia" w:ascii="仿宋_GB2312" w:hAnsi="宋体" w:eastAsia="仿宋_GB2312"/>
          <w:b/>
          <w:bCs/>
          <w:color w:val="000000"/>
          <w:sz w:val="24"/>
        </w:rPr>
      </w:pPr>
      <w:r>
        <w:rPr>
          <w:rFonts w:hint="eastAsia" w:ascii="仿宋_GB2312" w:hAnsi="宋体" w:eastAsia="仿宋_GB2312"/>
          <w:b/>
          <w:bCs/>
          <w:color w:val="000000"/>
          <w:sz w:val="24"/>
        </w:rPr>
        <w:t>2.1 需求理解</w:t>
      </w:r>
    </w:p>
    <w:p>
      <w:pPr>
        <w:spacing w:line="360" w:lineRule="auto"/>
        <w:ind w:firstLine="480" w:firstLineChars="200"/>
        <w:rPr>
          <w:rFonts w:hint="eastAsia" w:ascii="仿宋_GB2312" w:hAnsi="宋体" w:eastAsia="仿宋_GB2312"/>
          <w:color w:val="000000"/>
          <w:sz w:val="24"/>
        </w:rPr>
      </w:pPr>
      <w:r>
        <w:rPr>
          <w:rFonts w:hint="eastAsia" w:ascii="仿宋_GB2312" w:hAnsi="等线" w:eastAsia="仿宋_GB2312" w:cs="Arial"/>
          <w:color w:val="000000"/>
          <w:sz w:val="24"/>
        </w:rPr>
        <w:t>对钉钉移动办公角度整体理解深刻，</w:t>
      </w:r>
      <w:r>
        <w:rPr>
          <w:rFonts w:hint="eastAsia" w:ascii="仿宋_GB2312" w:hAnsi="宋体" w:eastAsia="仿宋_GB2312"/>
          <w:color w:val="000000"/>
          <w:sz w:val="24"/>
        </w:rPr>
        <w:t>需对公安办公需求有一定了解，并</w:t>
      </w:r>
      <w:r>
        <w:rPr>
          <w:rFonts w:hint="eastAsia" w:ascii="仿宋_GB2312" w:hAnsi="等线" w:eastAsia="仿宋_GB2312" w:cs="Arial"/>
          <w:color w:val="000000"/>
          <w:sz w:val="24"/>
        </w:rPr>
        <w:t>形成整体建设框架，</w:t>
      </w:r>
      <w:r>
        <w:rPr>
          <w:rFonts w:hint="eastAsia" w:ascii="仿宋_GB2312" w:hAnsi="宋体" w:eastAsia="仿宋_GB2312"/>
          <w:color w:val="000000"/>
          <w:sz w:val="24"/>
        </w:rPr>
        <w:t xml:space="preserve">能把握各个模块功能要点。 </w:t>
      </w:r>
    </w:p>
    <w:p>
      <w:pPr>
        <w:spacing w:line="360" w:lineRule="auto"/>
        <w:rPr>
          <w:rFonts w:hint="eastAsia" w:ascii="仿宋_GB2312" w:hAnsi="宋体" w:eastAsia="仿宋_GB2312"/>
          <w:color w:val="000000"/>
          <w:sz w:val="24"/>
        </w:rPr>
      </w:pPr>
      <w:r>
        <w:rPr>
          <w:rFonts w:hint="eastAsia" w:ascii="仿宋_GB2312" w:hAnsi="宋体" w:eastAsia="仿宋_GB2312"/>
          <w:color w:val="000000"/>
          <w:sz w:val="24"/>
        </w:rPr>
        <w:t>2.2 服务端技术要求</w:t>
      </w:r>
    </w:p>
    <w:p>
      <w:pPr>
        <w:spacing w:line="360" w:lineRule="auto"/>
        <w:rPr>
          <w:rFonts w:hint="eastAsia" w:ascii="仿宋_GB2312" w:hAnsi="宋体" w:eastAsia="仿宋_GB2312"/>
          <w:color w:val="000000"/>
          <w:sz w:val="24"/>
        </w:rPr>
      </w:pPr>
      <w:r>
        <w:rPr>
          <w:rFonts w:hint="eastAsia" w:ascii="仿宋_GB2312" w:hAnsi="宋体" w:eastAsia="仿宋_GB2312"/>
          <w:color w:val="000000"/>
          <w:sz w:val="24"/>
        </w:rPr>
        <w:t>（1）系统整体上以阿里云为支撑平台，投标人可以采用平台免费提供的硬件网络环境、数据库（Mysql、Oracl）和中间件Tomcat（版本7.0/8.0/9.0）,如投标人采用其它产品需自行采购。</w:t>
      </w:r>
    </w:p>
    <w:p>
      <w:pPr>
        <w:spacing w:line="360" w:lineRule="auto"/>
        <w:ind w:firstLine="424" w:firstLineChars="177"/>
        <w:rPr>
          <w:rFonts w:hint="eastAsia" w:ascii="仿宋_GB2312" w:hAnsi="宋体" w:eastAsia="仿宋_GB2312"/>
          <w:color w:val="000000"/>
          <w:sz w:val="24"/>
        </w:rPr>
      </w:pPr>
      <w:r>
        <w:rPr>
          <w:rFonts w:hint="eastAsia" w:ascii="仿宋_GB2312" w:hAnsi="宋体" w:eastAsia="仿宋_GB2312"/>
          <w:color w:val="000000"/>
          <w:sz w:val="24"/>
        </w:rPr>
        <w:t>（2）系统应采用成熟、先进的设计思想和设计方法，同时应充分、高效地利用现有相关的硬件和网络资源，实现先进性和实用性的相统一。</w:t>
      </w:r>
    </w:p>
    <w:p>
      <w:pPr>
        <w:spacing w:line="360" w:lineRule="auto"/>
        <w:ind w:firstLine="424" w:firstLineChars="177"/>
        <w:rPr>
          <w:rFonts w:hint="eastAsia" w:ascii="仿宋_GB2312" w:hAnsi="宋体" w:eastAsia="仿宋_GB2312"/>
          <w:color w:val="000000"/>
          <w:sz w:val="24"/>
        </w:rPr>
      </w:pPr>
      <w:r>
        <w:rPr>
          <w:rFonts w:hint="eastAsia" w:ascii="仿宋_GB2312" w:hAnsi="宋体" w:eastAsia="仿宋_GB2312"/>
          <w:color w:val="000000"/>
          <w:sz w:val="24"/>
        </w:rPr>
        <w:t>（3）系统具有良好的易用性，交互操作简单。</w:t>
      </w:r>
    </w:p>
    <w:p>
      <w:pPr>
        <w:spacing w:line="360" w:lineRule="auto"/>
        <w:ind w:firstLine="424" w:firstLineChars="177"/>
        <w:rPr>
          <w:rFonts w:hint="eastAsia" w:ascii="仿宋_GB2312" w:hAnsi="宋体" w:eastAsia="仿宋_GB2312"/>
          <w:color w:val="000000"/>
          <w:sz w:val="24"/>
        </w:rPr>
      </w:pPr>
      <w:r>
        <w:rPr>
          <w:rFonts w:hint="eastAsia" w:ascii="仿宋_GB2312" w:hAnsi="宋体" w:eastAsia="仿宋_GB2312"/>
          <w:color w:val="000000"/>
          <w:sz w:val="24"/>
        </w:rPr>
        <w:t>（4）软件架构要求具备开放性，提供完整规范的开发接口，能够满足主流平台和跨平台快速应用开发的需求；</w:t>
      </w:r>
    </w:p>
    <w:p>
      <w:pPr>
        <w:spacing w:line="360" w:lineRule="auto"/>
        <w:ind w:firstLine="424" w:firstLineChars="177"/>
        <w:rPr>
          <w:rFonts w:hint="eastAsia" w:ascii="仿宋_GB2312" w:hAnsi="宋体" w:eastAsia="仿宋_GB2312"/>
          <w:color w:val="000000"/>
          <w:sz w:val="24"/>
        </w:rPr>
      </w:pPr>
      <w:r>
        <w:rPr>
          <w:rFonts w:hint="eastAsia" w:ascii="仿宋_GB2312" w:hAnsi="宋体" w:eastAsia="仿宋_GB2312"/>
          <w:color w:val="000000"/>
          <w:sz w:val="24"/>
        </w:rPr>
        <w:t>（5）基于主流技术平台，使用主流开发框架；</w:t>
      </w:r>
    </w:p>
    <w:p>
      <w:pPr>
        <w:spacing w:line="360" w:lineRule="auto"/>
        <w:ind w:firstLine="424" w:firstLineChars="177"/>
        <w:rPr>
          <w:rFonts w:hint="eastAsia" w:ascii="仿宋_GB2312" w:hAnsi="宋体" w:eastAsia="仿宋_GB2312"/>
          <w:color w:val="000000"/>
          <w:sz w:val="24"/>
        </w:rPr>
      </w:pPr>
      <w:r>
        <w:rPr>
          <w:rFonts w:hint="eastAsia" w:ascii="仿宋_GB2312" w:hAnsi="宋体" w:eastAsia="仿宋_GB2312"/>
          <w:color w:val="000000"/>
          <w:sz w:val="24"/>
        </w:rPr>
        <w:t>（6）数据结构严谨，技术体系稳定、高效、灵活，便于进行功能扩展。</w:t>
      </w:r>
    </w:p>
    <w:p>
      <w:pPr>
        <w:spacing w:line="360" w:lineRule="auto"/>
        <w:ind w:firstLine="424" w:firstLineChars="177"/>
        <w:rPr>
          <w:rFonts w:hint="eastAsia" w:ascii="仿宋_GB2312" w:hAnsi="宋体" w:eastAsia="仿宋_GB2312"/>
          <w:color w:val="000000"/>
          <w:sz w:val="24"/>
        </w:rPr>
      </w:pPr>
      <w:r>
        <w:rPr>
          <w:rFonts w:hint="eastAsia" w:ascii="仿宋_GB2312" w:hAnsi="宋体" w:eastAsia="仿宋_GB2312"/>
          <w:color w:val="000000"/>
          <w:sz w:val="24"/>
        </w:rPr>
        <w:t>（7）支持数据、流程（业务逻辑）、展现三个层次的分离。</w:t>
      </w:r>
    </w:p>
    <w:p>
      <w:pPr>
        <w:spacing w:line="360" w:lineRule="auto"/>
        <w:rPr>
          <w:rFonts w:hint="eastAsia" w:ascii="仿宋_GB2312" w:hAnsi="宋体" w:eastAsia="仿宋_GB2312"/>
          <w:color w:val="000000"/>
          <w:sz w:val="24"/>
        </w:rPr>
      </w:pPr>
      <w:r>
        <w:rPr>
          <w:rFonts w:hint="eastAsia" w:ascii="仿宋_GB2312" w:hAnsi="宋体" w:eastAsia="仿宋_GB2312"/>
          <w:color w:val="000000"/>
          <w:sz w:val="24"/>
        </w:rPr>
        <w:t>2.2客户端技术要求：</w:t>
      </w:r>
    </w:p>
    <w:p>
      <w:pPr>
        <w:spacing w:line="360" w:lineRule="auto"/>
        <w:ind w:firstLine="424" w:firstLineChars="177"/>
        <w:rPr>
          <w:rFonts w:hint="eastAsia" w:ascii="仿宋_GB2312" w:hAnsi="宋体" w:eastAsia="仿宋_GB2312"/>
          <w:color w:val="000000"/>
          <w:sz w:val="24"/>
        </w:rPr>
      </w:pPr>
      <w:r>
        <w:rPr>
          <w:rFonts w:hint="eastAsia" w:ascii="仿宋_GB2312" w:hAnsi="宋体" w:eastAsia="仿宋_GB2312"/>
          <w:color w:val="000000"/>
          <w:sz w:val="24"/>
        </w:rPr>
        <w:t>（1）移动端要求采用阿里钉钉为基础平台，支持H5混合应用模式，兼容安卓和苹果操作系统。</w:t>
      </w:r>
    </w:p>
    <w:p>
      <w:pPr>
        <w:spacing w:line="360" w:lineRule="auto"/>
        <w:ind w:firstLine="424" w:firstLineChars="177"/>
        <w:rPr>
          <w:rFonts w:hint="eastAsia" w:ascii="仿宋_GB2312" w:hAnsi="宋体" w:eastAsia="仿宋_GB2312"/>
          <w:color w:val="000000"/>
          <w:sz w:val="24"/>
        </w:rPr>
      </w:pPr>
      <w:r>
        <w:rPr>
          <w:rFonts w:hint="eastAsia" w:ascii="仿宋_GB2312" w:hAnsi="宋体" w:eastAsia="仿宋_GB2312"/>
          <w:color w:val="000000"/>
          <w:sz w:val="24"/>
        </w:rPr>
        <w:t>（2）PC端兼容多种常用浏览器访问。</w:t>
      </w:r>
    </w:p>
    <w:p>
      <w:pPr>
        <w:spacing w:line="360" w:lineRule="auto"/>
        <w:rPr>
          <w:rFonts w:hint="eastAsia" w:ascii="仿宋_GB2312" w:hAnsi="宋体" w:eastAsia="仿宋_GB2312"/>
          <w:color w:val="000000"/>
          <w:sz w:val="24"/>
        </w:rPr>
      </w:pPr>
      <w:r>
        <w:rPr>
          <w:rFonts w:hint="eastAsia" w:ascii="仿宋_GB2312" w:hAnsi="宋体" w:eastAsia="仿宋_GB2312"/>
          <w:color w:val="000000"/>
          <w:sz w:val="24"/>
        </w:rPr>
        <w:t>2.4性能要求</w:t>
      </w:r>
    </w:p>
    <w:p>
      <w:pPr>
        <w:spacing w:line="360" w:lineRule="auto"/>
        <w:ind w:firstLine="424" w:firstLineChars="177"/>
        <w:rPr>
          <w:rFonts w:hint="eastAsia" w:ascii="仿宋_GB2312" w:hAnsi="宋体" w:eastAsia="仿宋_GB2312"/>
          <w:color w:val="000000"/>
          <w:sz w:val="24"/>
        </w:rPr>
      </w:pPr>
      <w:r>
        <w:rPr>
          <w:rFonts w:hint="eastAsia" w:ascii="仿宋_GB2312" w:hAnsi="宋体" w:eastAsia="仿宋_GB2312"/>
          <w:color w:val="000000"/>
          <w:sz w:val="24"/>
        </w:rPr>
        <w:t>（1）系统应能够满足500个并发访问，支持云平台灵活扩展来支持更大并发访问；</w:t>
      </w:r>
    </w:p>
    <w:p>
      <w:pPr>
        <w:spacing w:line="360" w:lineRule="auto"/>
        <w:ind w:firstLine="424" w:firstLineChars="177"/>
        <w:rPr>
          <w:rFonts w:hint="eastAsia" w:ascii="仿宋_GB2312" w:hAnsi="宋体" w:eastAsia="仿宋_GB2312"/>
          <w:color w:val="000000"/>
          <w:sz w:val="24"/>
        </w:rPr>
      </w:pPr>
      <w:r>
        <w:rPr>
          <w:rFonts w:hint="eastAsia" w:ascii="仿宋_GB2312" w:hAnsi="宋体" w:eastAsia="仿宋_GB2312"/>
          <w:color w:val="000000"/>
          <w:sz w:val="24"/>
        </w:rPr>
        <w:t>（2）页面访问响应时间&lt;3秒，查询响应时间&lt;5秒；</w:t>
      </w:r>
    </w:p>
    <w:p>
      <w:pPr>
        <w:spacing w:line="360" w:lineRule="auto"/>
        <w:ind w:firstLine="424" w:firstLineChars="177"/>
        <w:rPr>
          <w:rFonts w:hint="eastAsia" w:ascii="仿宋_GB2312" w:hAnsi="宋体" w:eastAsia="仿宋_GB2312"/>
          <w:color w:val="000000"/>
          <w:sz w:val="24"/>
        </w:rPr>
      </w:pPr>
      <w:r>
        <w:rPr>
          <w:rFonts w:hint="eastAsia" w:ascii="仿宋_GB2312" w:hAnsi="宋体" w:eastAsia="仿宋_GB2312"/>
          <w:color w:val="000000"/>
          <w:sz w:val="24"/>
        </w:rPr>
        <w:t>（3）能提供7*24小时不间断稳定运行。</w:t>
      </w:r>
    </w:p>
    <w:p>
      <w:pPr>
        <w:spacing w:line="360" w:lineRule="auto"/>
        <w:rPr>
          <w:rFonts w:hint="eastAsia" w:ascii="仿宋_GB2312" w:hAnsi="宋体" w:eastAsia="仿宋_GB2312"/>
          <w:color w:val="000000"/>
          <w:sz w:val="24"/>
        </w:rPr>
      </w:pPr>
      <w:bookmarkStart w:id="5" w:name="_Toc29474267"/>
      <w:r>
        <w:rPr>
          <w:rFonts w:hint="eastAsia" w:ascii="仿宋_GB2312" w:hAnsi="宋体" w:eastAsia="仿宋_GB2312"/>
          <w:color w:val="000000"/>
          <w:sz w:val="24"/>
        </w:rPr>
        <w:t>2.5系统设计</w:t>
      </w:r>
      <w:bookmarkEnd w:id="5"/>
      <w:r>
        <w:rPr>
          <w:rFonts w:hint="eastAsia" w:ascii="仿宋_GB2312" w:hAnsi="宋体" w:eastAsia="仿宋_GB2312"/>
          <w:color w:val="000000"/>
          <w:sz w:val="24"/>
        </w:rPr>
        <w:t>要求</w:t>
      </w:r>
    </w:p>
    <w:p>
      <w:pPr>
        <w:spacing w:line="360" w:lineRule="auto"/>
        <w:ind w:firstLine="480"/>
        <w:rPr>
          <w:rFonts w:hint="eastAsia" w:ascii="仿宋_GB2312" w:hAnsi="宋体" w:eastAsia="仿宋_GB2312"/>
          <w:color w:val="000000"/>
          <w:sz w:val="24"/>
        </w:rPr>
      </w:pPr>
      <w:r>
        <w:rPr>
          <w:rFonts w:hint="eastAsia" w:ascii="仿宋_GB2312" w:hAnsi="宋体" w:eastAsia="仿宋_GB2312"/>
          <w:color w:val="000000"/>
          <w:sz w:val="24"/>
        </w:rPr>
        <w:t>（1）平台开放性和集成性：平台要具备高度的开放性和集成性，。</w:t>
      </w:r>
    </w:p>
    <w:p>
      <w:pPr>
        <w:spacing w:line="360" w:lineRule="auto"/>
        <w:ind w:firstLine="480"/>
        <w:rPr>
          <w:rFonts w:hint="eastAsia" w:ascii="仿宋_GB2312" w:hAnsi="宋体" w:eastAsia="仿宋_GB2312"/>
          <w:color w:val="000000"/>
          <w:sz w:val="24"/>
        </w:rPr>
      </w:pPr>
      <w:r>
        <w:rPr>
          <w:rFonts w:hint="eastAsia" w:ascii="仿宋_GB2312" w:hAnsi="宋体" w:eastAsia="仿宋_GB2312"/>
          <w:color w:val="000000"/>
          <w:sz w:val="24"/>
        </w:rPr>
        <w:t>（2）平台易用性：界面简洁、清晰、柔和、美观、大方，操作简单方便。</w:t>
      </w:r>
    </w:p>
    <w:p>
      <w:pPr>
        <w:spacing w:line="360" w:lineRule="auto"/>
        <w:ind w:firstLine="480"/>
        <w:rPr>
          <w:rFonts w:hint="eastAsia" w:ascii="仿宋_GB2312" w:hAnsi="宋体" w:eastAsia="仿宋_GB2312"/>
          <w:color w:val="000000"/>
          <w:sz w:val="24"/>
        </w:rPr>
      </w:pPr>
      <w:r>
        <w:rPr>
          <w:rFonts w:hint="eastAsia" w:ascii="仿宋_GB2312" w:hAnsi="宋体" w:eastAsia="仿宋_GB2312"/>
          <w:color w:val="000000"/>
          <w:sz w:val="24"/>
        </w:rPr>
        <w:t>（3）平台可扩展性：充分考虑未来业务量及业务种类增长的需求，同时也要考虑与行政管理体制的配合和协调。</w:t>
      </w:r>
    </w:p>
    <w:p>
      <w:pPr>
        <w:spacing w:line="360" w:lineRule="auto"/>
        <w:ind w:firstLine="480"/>
        <w:rPr>
          <w:rFonts w:hint="eastAsia" w:ascii="仿宋_GB2312" w:hAnsi="宋体" w:eastAsia="仿宋_GB2312"/>
          <w:color w:val="000000"/>
          <w:sz w:val="24"/>
        </w:rPr>
      </w:pPr>
      <w:r>
        <w:rPr>
          <w:rFonts w:hint="eastAsia" w:ascii="仿宋_GB2312" w:hAnsi="宋体" w:eastAsia="仿宋_GB2312"/>
          <w:color w:val="000000"/>
          <w:sz w:val="24"/>
        </w:rPr>
        <w:t>（4）软件规模具有可调性；新的软件模块即插即用，新功能、新业务的增加能够在不影响平台运行的情况下实现；</w:t>
      </w:r>
    </w:p>
    <w:p>
      <w:pPr>
        <w:spacing w:line="360" w:lineRule="auto"/>
        <w:ind w:firstLine="480"/>
        <w:rPr>
          <w:rFonts w:hint="eastAsia" w:ascii="仿宋_GB2312" w:hAnsi="宋体" w:eastAsia="仿宋_GB2312"/>
          <w:color w:val="000000"/>
          <w:sz w:val="24"/>
        </w:rPr>
      </w:pPr>
      <w:r>
        <w:rPr>
          <w:rFonts w:hint="eastAsia" w:ascii="仿宋_GB2312" w:hAnsi="宋体" w:eastAsia="仿宋_GB2312"/>
          <w:color w:val="000000"/>
          <w:sz w:val="24"/>
        </w:rPr>
        <w:t>（5）系统要具备逐步升级能力的结构采用模块化设计；可动态增加服务器，增加处理能力，能够实现负载平衡。</w:t>
      </w:r>
    </w:p>
    <w:p>
      <w:pPr>
        <w:spacing w:line="360" w:lineRule="auto"/>
        <w:rPr>
          <w:rFonts w:hint="eastAsia" w:ascii="仿宋_GB2312" w:hAnsi="宋体" w:eastAsia="仿宋_GB2312"/>
          <w:color w:val="000000"/>
          <w:sz w:val="24"/>
        </w:rPr>
      </w:pPr>
      <w:r>
        <w:rPr>
          <w:rFonts w:hint="eastAsia" w:ascii="仿宋_GB2312" w:hAnsi="宋体" w:eastAsia="仿宋_GB2312"/>
          <w:color w:val="000000"/>
          <w:sz w:val="24"/>
        </w:rPr>
        <w:t>2.6系统安全保障要求</w:t>
      </w:r>
    </w:p>
    <w:p>
      <w:pPr>
        <w:spacing w:line="360" w:lineRule="auto"/>
        <w:ind w:firstLine="424" w:firstLineChars="177"/>
        <w:rPr>
          <w:rFonts w:hint="eastAsia" w:ascii="仿宋_GB2312" w:hAnsi="宋体" w:eastAsia="仿宋_GB2312"/>
          <w:color w:val="000000"/>
          <w:sz w:val="24"/>
        </w:rPr>
      </w:pPr>
      <w:r>
        <w:rPr>
          <w:rFonts w:hint="eastAsia" w:ascii="仿宋_GB2312" w:hAnsi="宋体" w:eastAsia="仿宋_GB2312"/>
          <w:color w:val="000000"/>
          <w:sz w:val="24"/>
        </w:rPr>
        <w:t>根据电子政务信息安全等级保护要求，针对可能遇到的各种安全威胁和风险。本项目将针对政务外网采取相应等级的安全措施，形成技术先进、功能全面的信息安全保障体系，保障信息系统业务服务的连续性、可靠性以及信息资源的完整性、可用性，确保系统能够安全、稳定、可靠地运行。针对云计算虚拟化技术，结合国家及地方相关安全保障标准的研究，以及云计算安全测评国家标准的试点工作，进行充分的验证和评测；针对网站安全，通过建设网站监测公共服务平台，对门户网站及政务外网WEB应用进行网站漏洞检测、网页木马监测、网页防篡改监测、敏感关键字监测、网站可用性监测等。</w:t>
      </w:r>
    </w:p>
    <w:p>
      <w:pPr>
        <w:spacing w:line="360" w:lineRule="auto"/>
        <w:rPr>
          <w:rFonts w:hint="eastAsia" w:ascii="仿宋_GB2312" w:hAnsi="宋体" w:eastAsia="仿宋_GB2312"/>
          <w:b/>
          <w:bCs/>
          <w:color w:val="000000"/>
          <w:sz w:val="24"/>
        </w:rPr>
      </w:pPr>
      <w:r>
        <w:rPr>
          <w:rFonts w:hint="eastAsia" w:ascii="仿宋_GB2312" w:hAnsi="宋体" w:eastAsia="仿宋_GB2312"/>
          <w:b/>
          <w:bCs/>
          <w:color w:val="000000"/>
          <w:sz w:val="24"/>
        </w:rPr>
        <w:t>3、到货期要求</w:t>
      </w:r>
    </w:p>
    <w:p>
      <w:pPr>
        <w:spacing w:line="360" w:lineRule="auto"/>
        <w:ind w:firstLine="424" w:firstLineChars="177"/>
        <w:rPr>
          <w:rFonts w:hint="eastAsia" w:ascii="仿宋_GB2312" w:hAnsi="宋体" w:eastAsia="仿宋_GB2312"/>
          <w:color w:val="000000"/>
          <w:sz w:val="24"/>
        </w:rPr>
      </w:pPr>
      <w:r>
        <w:rPr>
          <w:rFonts w:hint="eastAsia" w:ascii="仿宋_GB2312" w:hAnsi="宋体" w:eastAsia="仿宋_GB2312"/>
          <w:color w:val="000000"/>
          <w:sz w:val="24"/>
        </w:rPr>
        <w:t>供应商收到中标通知书之日起90个日历日内完成功能开发和安装部署，通过初步验收，投入试运行。</w:t>
      </w:r>
    </w:p>
    <w:p>
      <w:pPr>
        <w:spacing w:line="360" w:lineRule="auto"/>
        <w:rPr>
          <w:rFonts w:hint="eastAsia" w:ascii="仿宋_GB2312" w:hAnsi="宋体" w:eastAsia="仿宋_GB2312"/>
          <w:b/>
          <w:bCs/>
          <w:color w:val="000000"/>
          <w:sz w:val="24"/>
        </w:rPr>
      </w:pPr>
      <w:r>
        <w:rPr>
          <w:rFonts w:hint="eastAsia" w:ascii="仿宋_GB2312" w:hAnsi="宋体" w:eastAsia="仿宋_GB2312"/>
          <w:b/>
          <w:bCs/>
          <w:color w:val="000000"/>
          <w:sz w:val="24"/>
        </w:rPr>
        <w:t>4、付款方式要求</w:t>
      </w:r>
    </w:p>
    <w:p>
      <w:pPr>
        <w:snapToGrid w:val="0"/>
        <w:spacing w:line="440" w:lineRule="exact"/>
        <w:ind w:firstLine="480" w:firstLineChars="200"/>
        <w:jc w:val="left"/>
        <w:rPr>
          <w:rFonts w:hint="eastAsia" w:ascii="仿宋_GB2312" w:hAnsi="宋体" w:eastAsia="仿宋_GB2312"/>
          <w:color w:val="000000"/>
          <w:sz w:val="24"/>
        </w:rPr>
      </w:pPr>
      <w:r>
        <w:rPr>
          <w:rFonts w:hint="eastAsia" w:ascii="仿宋_GB2312" w:hAnsi="宋体" w:eastAsia="仿宋_GB2312"/>
          <w:color w:val="000000"/>
          <w:sz w:val="24"/>
        </w:rPr>
        <w:t>签订合同后15天内，支付合同金额的50%，中标方向采购人指定账户打入合同金额5%作为履约保证金，验收合格后15天内采购人支付合同金额50%，合同履约完成后退还履约保证金（不计息）。</w:t>
      </w:r>
    </w:p>
    <w:p>
      <w:pPr>
        <w:pStyle w:val="31"/>
        <w:numPr>
          <w:ilvl w:val="0"/>
          <w:numId w:val="3"/>
        </w:numPr>
        <w:snapToGrid w:val="0"/>
        <w:spacing w:before="156" w:after="156" w:line="440" w:lineRule="exact"/>
        <w:rPr>
          <w:rFonts w:hint="eastAsia" w:ascii="仿宋_GB2312" w:hAnsi="宋体" w:eastAsia="仿宋_GB2312"/>
          <w:color w:val="000000"/>
          <w:sz w:val="24"/>
          <w:szCs w:val="24"/>
        </w:rPr>
      </w:pPr>
      <w:r>
        <w:rPr>
          <w:rFonts w:hint="eastAsia" w:ascii="仿宋_GB2312" w:hAnsi="宋体" w:eastAsia="仿宋_GB2312"/>
          <w:color w:val="000000"/>
          <w:sz w:val="24"/>
          <w:szCs w:val="24"/>
        </w:rPr>
        <w:t>相关服务要求</w:t>
      </w:r>
    </w:p>
    <w:p>
      <w:pPr>
        <w:spacing w:line="360" w:lineRule="auto"/>
        <w:rPr>
          <w:rFonts w:hint="eastAsia" w:ascii="仿宋_GB2312" w:hAnsi="宋体" w:eastAsia="仿宋_GB2312"/>
          <w:color w:val="000000"/>
          <w:sz w:val="24"/>
        </w:rPr>
      </w:pPr>
      <w:r>
        <w:rPr>
          <w:rFonts w:hint="eastAsia" w:ascii="仿宋_GB2312" w:hAnsi="宋体" w:eastAsia="仿宋_GB2312"/>
          <w:color w:val="000000"/>
          <w:sz w:val="24"/>
        </w:rPr>
        <w:t>1、问题响应及解决服务</w:t>
      </w:r>
    </w:p>
    <w:p>
      <w:pPr>
        <w:pStyle w:val="32"/>
        <w:widowControl/>
        <w:shd w:val="clear" w:color="auto" w:fill="FFFFFF"/>
        <w:spacing w:before="156" w:after="156" w:line="360" w:lineRule="auto"/>
        <w:ind w:firstLine="0" w:firstLineChars="0"/>
        <w:jc w:val="left"/>
        <w:rPr>
          <w:rFonts w:hint="eastAsia" w:ascii="仿宋_GB2312" w:hAnsi="宋体" w:eastAsia="仿宋_GB2312" w:cs="Arial"/>
          <w:color w:val="000000"/>
          <w:sz w:val="24"/>
          <w:szCs w:val="24"/>
        </w:rPr>
      </w:pPr>
      <w:r>
        <w:rPr>
          <w:rFonts w:hint="eastAsia" w:ascii="仿宋_GB2312" w:hAnsi="宋体" w:eastAsia="仿宋_GB2312" w:cs="Arial"/>
          <w:color w:val="000000"/>
          <w:sz w:val="24"/>
          <w:szCs w:val="24"/>
        </w:rPr>
        <w:t>1.1故障处理服务</w:t>
      </w:r>
    </w:p>
    <w:p>
      <w:pPr>
        <w:pStyle w:val="32"/>
        <w:widowControl/>
        <w:shd w:val="clear" w:color="auto" w:fill="FFFFFF"/>
        <w:spacing w:before="156" w:after="156" w:line="360" w:lineRule="auto"/>
        <w:ind w:firstLine="0" w:firstLineChars="0"/>
        <w:jc w:val="left"/>
        <w:rPr>
          <w:rFonts w:hint="eastAsia" w:ascii="仿宋_GB2312" w:hAnsi="宋体" w:eastAsia="仿宋_GB2312" w:cs="Arial"/>
          <w:color w:val="000000"/>
          <w:sz w:val="24"/>
          <w:szCs w:val="24"/>
        </w:rPr>
      </w:pPr>
      <w:r>
        <w:rPr>
          <w:rFonts w:hint="eastAsia" w:ascii="仿宋_GB2312" w:hAnsi="宋体" w:eastAsia="仿宋_GB2312" w:cs="Arial"/>
          <w:color w:val="000000"/>
          <w:sz w:val="24"/>
          <w:szCs w:val="24"/>
        </w:rPr>
        <w:t>1.1.1故障处理服务定义</w:t>
      </w:r>
    </w:p>
    <w:p>
      <w:pPr>
        <w:pStyle w:val="32"/>
        <w:widowControl/>
        <w:shd w:val="clear" w:color="auto" w:fill="FFFFFF"/>
        <w:spacing w:before="156" w:after="156" w:line="360" w:lineRule="auto"/>
        <w:ind w:firstLineChars="0"/>
        <w:jc w:val="left"/>
        <w:rPr>
          <w:rFonts w:hint="eastAsia" w:ascii="仿宋_GB2312" w:hAnsi="宋体" w:eastAsia="仿宋_GB2312" w:cs="Arial"/>
          <w:color w:val="000000"/>
          <w:sz w:val="24"/>
          <w:szCs w:val="24"/>
        </w:rPr>
      </w:pPr>
      <w:r>
        <w:rPr>
          <w:rFonts w:hint="eastAsia" w:ascii="仿宋_GB2312" w:hAnsi="宋体" w:eastAsia="仿宋_GB2312" w:cs="Arial"/>
          <w:color w:val="000000"/>
          <w:sz w:val="24"/>
          <w:szCs w:val="24"/>
        </w:rPr>
        <w:t>服务响应：7×24小时响应。</w:t>
      </w:r>
    </w:p>
    <w:p>
      <w:pPr>
        <w:pStyle w:val="32"/>
        <w:widowControl/>
        <w:shd w:val="clear" w:color="auto" w:fill="FFFFFF"/>
        <w:spacing w:before="156" w:after="156" w:line="360" w:lineRule="auto"/>
        <w:ind w:firstLine="0" w:firstLineChars="0"/>
        <w:jc w:val="left"/>
        <w:rPr>
          <w:rFonts w:hint="eastAsia" w:ascii="仿宋_GB2312" w:hAnsi="宋体" w:eastAsia="仿宋_GB2312" w:cs="Arial"/>
          <w:color w:val="000000"/>
          <w:sz w:val="24"/>
          <w:szCs w:val="24"/>
        </w:rPr>
      </w:pPr>
      <w:r>
        <w:rPr>
          <w:rFonts w:hint="eastAsia" w:ascii="仿宋_GB2312" w:hAnsi="宋体" w:eastAsia="仿宋_GB2312" w:cs="Arial"/>
          <w:color w:val="000000"/>
          <w:sz w:val="24"/>
          <w:szCs w:val="24"/>
        </w:rPr>
        <w:t>1.1.2故障处理服务规定</w:t>
      </w:r>
    </w:p>
    <w:p>
      <w:pPr>
        <w:pStyle w:val="32"/>
        <w:widowControl/>
        <w:shd w:val="clear" w:color="auto" w:fill="FFFFFF"/>
        <w:spacing w:before="156" w:after="156" w:line="360" w:lineRule="auto"/>
        <w:ind w:firstLineChars="0"/>
        <w:jc w:val="left"/>
        <w:rPr>
          <w:rFonts w:hint="eastAsia" w:ascii="仿宋_GB2312" w:hAnsi="宋体" w:eastAsia="仿宋_GB2312" w:cs="Arial"/>
          <w:color w:val="000000"/>
          <w:sz w:val="24"/>
          <w:szCs w:val="24"/>
        </w:rPr>
      </w:pPr>
      <w:r>
        <w:rPr>
          <w:rFonts w:hint="eastAsia" w:ascii="仿宋_GB2312" w:hAnsi="宋体" w:eastAsia="仿宋_GB2312" w:cs="Arial"/>
          <w:color w:val="000000"/>
          <w:sz w:val="24"/>
          <w:szCs w:val="24"/>
        </w:rPr>
        <w:t>当采购人系统发生故障时，</w:t>
      </w:r>
      <w:r>
        <w:rPr>
          <w:rFonts w:hint="eastAsia" w:ascii="仿宋_GB2312" w:hAnsi="宋体" w:eastAsia="仿宋_GB2312" w:cs="Arial"/>
          <w:color w:val="000000"/>
          <w:sz w:val="24"/>
          <w:szCs w:val="24"/>
          <w:lang w:eastAsia="zh-CN"/>
        </w:rPr>
        <w:t>投标人</w:t>
      </w:r>
      <w:r>
        <w:rPr>
          <w:rFonts w:hint="eastAsia" w:ascii="仿宋_GB2312" w:hAnsi="宋体" w:eastAsia="仿宋_GB2312" w:cs="Arial"/>
          <w:color w:val="000000"/>
          <w:sz w:val="24"/>
          <w:szCs w:val="24"/>
        </w:rPr>
        <w:t>应及时响应并进行故障处理。</w:t>
      </w:r>
    </w:p>
    <w:p>
      <w:pPr>
        <w:pStyle w:val="32"/>
        <w:widowControl/>
        <w:shd w:val="clear" w:color="auto" w:fill="FFFFFF"/>
        <w:spacing w:before="156" w:after="156" w:line="360" w:lineRule="auto"/>
        <w:ind w:firstLine="0" w:firstLineChars="0"/>
        <w:jc w:val="left"/>
        <w:rPr>
          <w:rFonts w:hint="eastAsia" w:ascii="仿宋_GB2312" w:hAnsi="宋体" w:eastAsia="仿宋_GB2312" w:cs="Arial"/>
          <w:color w:val="000000"/>
          <w:sz w:val="24"/>
          <w:szCs w:val="24"/>
        </w:rPr>
      </w:pPr>
      <w:r>
        <w:rPr>
          <w:rFonts w:hint="eastAsia" w:ascii="仿宋_GB2312" w:hAnsi="宋体" w:eastAsia="仿宋_GB2312" w:cs="Arial"/>
          <w:color w:val="000000"/>
          <w:sz w:val="24"/>
          <w:szCs w:val="24"/>
        </w:rPr>
        <w:t>1.1.2.1服务响应</w:t>
      </w:r>
    </w:p>
    <w:p>
      <w:pPr>
        <w:pStyle w:val="32"/>
        <w:widowControl/>
        <w:shd w:val="clear" w:color="auto" w:fill="FFFFFF"/>
        <w:spacing w:before="156" w:after="156" w:line="360" w:lineRule="auto"/>
        <w:ind w:firstLineChars="0"/>
        <w:jc w:val="left"/>
        <w:rPr>
          <w:rFonts w:hint="eastAsia" w:ascii="仿宋_GB2312" w:hAnsi="宋体" w:eastAsia="仿宋_GB2312" w:cs="Arial"/>
          <w:color w:val="000000"/>
          <w:sz w:val="24"/>
          <w:szCs w:val="24"/>
        </w:rPr>
      </w:pPr>
      <w:r>
        <w:rPr>
          <w:rFonts w:hint="eastAsia" w:ascii="仿宋_GB2312" w:hAnsi="宋体" w:eastAsia="仿宋_GB2312" w:cs="Arial"/>
          <w:color w:val="000000"/>
          <w:sz w:val="24"/>
          <w:szCs w:val="24"/>
        </w:rPr>
        <w:t>对于系统故障，采购人可通过</w:t>
      </w:r>
      <w:r>
        <w:rPr>
          <w:rFonts w:hint="eastAsia" w:ascii="仿宋_GB2312" w:hAnsi="宋体" w:eastAsia="仿宋_GB2312" w:cs="Arial"/>
          <w:color w:val="000000"/>
          <w:sz w:val="24"/>
          <w:szCs w:val="24"/>
          <w:lang w:eastAsia="zh-CN"/>
        </w:rPr>
        <w:t>投标人</w:t>
      </w:r>
      <w:r>
        <w:rPr>
          <w:rFonts w:hint="eastAsia" w:ascii="仿宋_GB2312" w:hAnsi="宋体" w:eastAsia="仿宋_GB2312" w:cs="Arial"/>
          <w:color w:val="000000"/>
          <w:sz w:val="24"/>
          <w:szCs w:val="24"/>
        </w:rPr>
        <w:t>所提供热线电话取得技术支持服务。</w:t>
      </w:r>
      <w:r>
        <w:rPr>
          <w:rFonts w:hint="eastAsia" w:ascii="仿宋_GB2312" w:hAnsi="宋体" w:eastAsia="仿宋_GB2312" w:cs="Arial"/>
          <w:color w:val="000000"/>
          <w:sz w:val="24"/>
          <w:szCs w:val="24"/>
          <w:lang w:eastAsia="zh-CN"/>
        </w:rPr>
        <w:t>投标人</w:t>
      </w:r>
      <w:r>
        <w:rPr>
          <w:rFonts w:hint="eastAsia" w:ascii="仿宋_GB2312" w:hAnsi="宋体" w:eastAsia="仿宋_GB2312" w:cs="Arial"/>
          <w:color w:val="000000"/>
          <w:sz w:val="24"/>
          <w:szCs w:val="24"/>
        </w:rPr>
        <w:t>在接到采购人故障申告电话后应于10分钟内响应，如故障未能在1小时内通过远程支持得到解决，</w:t>
      </w:r>
      <w:r>
        <w:rPr>
          <w:rFonts w:hint="eastAsia" w:ascii="仿宋_GB2312" w:hAnsi="宋体" w:eastAsia="仿宋_GB2312" w:cs="Arial"/>
          <w:color w:val="000000"/>
          <w:sz w:val="24"/>
          <w:szCs w:val="24"/>
          <w:lang w:eastAsia="zh-CN"/>
        </w:rPr>
        <w:t>投标人</w:t>
      </w:r>
      <w:r>
        <w:rPr>
          <w:rFonts w:hint="eastAsia" w:ascii="仿宋_GB2312" w:hAnsi="宋体" w:eastAsia="仿宋_GB2312" w:cs="Arial"/>
          <w:color w:val="000000"/>
          <w:sz w:val="24"/>
          <w:szCs w:val="24"/>
        </w:rPr>
        <w:t>应将根据采购人要求派指定服务工程师以最快方式赶往采购人现场，提供不间断故障处理服务。</w:t>
      </w:r>
    </w:p>
    <w:p>
      <w:pPr>
        <w:pStyle w:val="32"/>
        <w:widowControl/>
        <w:shd w:val="clear" w:color="auto" w:fill="FFFFFF"/>
        <w:spacing w:before="156" w:after="156" w:line="360" w:lineRule="auto"/>
        <w:ind w:firstLine="0" w:firstLineChars="0"/>
        <w:jc w:val="left"/>
        <w:rPr>
          <w:rFonts w:hint="eastAsia" w:ascii="仿宋_GB2312" w:hAnsi="宋体" w:eastAsia="仿宋_GB2312" w:cs="Arial"/>
          <w:color w:val="000000"/>
          <w:sz w:val="24"/>
          <w:szCs w:val="24"/>
        </w:rPr>
      </w:pPr>
      <w:r>
        <w:rPr>
          <w:rFonts w:hint="eastAsia" w:ascii="仿宋_GB2312" w:hAnsi="宋体" w:eastAsia="仿宋_GB2312" w:cs="Arial"/>
          <w:color w:val="000000"/>
          <w:sz w:val="24"/>
          <w:szCs w:val="24"/>
        </w:rPr>
        <w:t>1.1.2.1.1响应时间</w:t>
      </w:r>
    </w:p>
    <w:p>
      <w:pPr>
        <w:pStyle w:val="32"/>
        <w:widowControl/>
        <w:shd w:val="clear" w:color="auto" w:fill="FFFFFF"/>
        <w:spacing w:before="156" w:after="156" w:line="360" w:lineRule="auto"/>
        <w:ind w:firstLineChars="0"/>
        <w:jc w:val="left"/>
        <w:rPr>
          <w:rFonts w:hint="eastAsia" w:ascii="仿宋_GB2312" w:hAnsi="宋体" w:eastAsia="仿宋_GB2312" w:cs="Arial"/>
          <w:color w:val="000000"/>
          <w:sz w:val="24"/>
          <w:szCs w:val="24"/>
        </w:rPr>
      </w:pPr>
      <w:r>
        <w:rPr>
          <w:rFonts w:hint="eastAsia" w:ascii="仿宋_GB2312" w:hAnsi="宋体" w:eastAsia="仿宋_GB2312" w:cs="Arial"/>
          <w:color w:val="000000"/>
          <w:sz w:val="24"/>
          <w:szCs w:val="24"/>
        </w:rPr>
        <w:t>疑难问题（不危及运行）在24小时内答复用户。</w:t>
      </w:r>
    </w:p>
    <w:p>
      <w:pPr>
        <w:pStyle w:val="32"/>
        <w:widowControl/>
        <w:shd w:val="clear" w:color="auto" w:fill="FFFFFF"/>
        <w:spacing w:before="156" w:after="156" w:line="360" w:lineRule="auto"/>
        <w:ind w:firstLineChars="0"/>
        <w:jc w:val="left"/>
        <w:rPr>
          <w:rFonts w:hint="eastAsia" w:ascii="仿宋_GB2312" w:hAnsi="宋体" w:eastAsia="仿宋_GB2312" w:cs="Arial"/>
          <w:color w:val="000000"/>
          <w:sz w:val="24"/>
          <w:szCs w:val="24"/>
        </w:rPr>
      </w:pPr>
      <w:r>
        <w:rPr>
          <w:rFonts w:hint="eastAsia" w:ascii="仿宋_GB2312" w:hAnsi="宋体" w:eastAsia="仿宋_GB2312" w:cs="Arial"/>
          <w:color w:val="000000"/>
          <w:sz w:val="24"/>
          <w:szCs w:val="24"/>
        </w:rPr>
        <w:t>重大问题（危及运行）在2小时内到现场处理或通过网络远程处理。</w:t>
      </w:r>
    </w:p>
    <w:p>
      <w:pPr>
        <w:pStyle w:val="32"/>
        <w:widowControl/>
        <w:shd w:val="clear" w:color="auto" w:fill="FFFFFF"/>
        <w:spacing w:before="156" w:after="156" w:line="360" w:lineRule="auto"/>
        <w:ind w:firstLineChars="0"/>
        <w:jc w:val="left"/>
        <w:rPr>
          <w:rFonts w:hint="eastAsia" w:ascii="仿宋_GB2312" w:hAnsi="宋体" w:eastAsia="仿宋_GB2312" w:cs="Arial"/>
          <w:color w:val="000000"/>
          <w:sz w:val="24"/>
          <w:szCs w:val="24"/>
        </w:rPr>
      </w:pPr>
      <w:r>
        <w:rPr>
          <w:rFonts w:hint="eastAsia" w:ascii="仿宋_GB2312" w:hAnsi="宋体" w:eastAsia="仿宋_GB2312" w:cs="Arial"/>
          <w:color w:val="000000"/>
          <w:sz w:val="24"/>
          <w:szCs w:val="24"/>
        </w:rPr>
        <w:t>特大问题（系统不能正常运行）在2小时内恢复系统运行，并在24小时内派技术人员到现场解决。</w:t>
      </w:r>
    </w:p>
    <w:p>
      <w:pPr>
        <w:pStyle w:val="32"/>
        <w:widowControl/>
        <w:shd w:val="clear" w:color="auto" w:fill="FFFFFF"/>
        <w:spacing w:before="156" w:after="156" w:line="360" w:lineRule="auto"/>
        <w:ind w:firstLine="0" w:firstLineChars="0"/>
        <w:jc w:val="left"/>
        <w:rPr>
          <w:rFonts w:hint="eastAsia" w:ascii="仿宋_GB2312" w:hAnsi="宋体" w:eastAsia="仿宋_GB2312" w:cs="Arial"/>
          <w:color w:val="000000"/>
          <w:sz w:val="24"/>
          <w:szCs w:val="24"/>
        </w:rPr>
      </w:pPr>
      <w:r>
        <w:rPr>
          <w:rFonts w:hint="eastAsia" w:ascii="仿宋_GB2312" w:hAnsi="宋体" w:eastAsia="仿宋_GB2312" w:cs="Arial"/>
          <w:color w:val="000000"/>
          <w:sz w:val="24"/>
          <w:szCs w:val="24"/>
        </w:rPr>
        <w:t>1.1.2.1.2系统恢复时间</w:t>
      </w:r>
    </w:p>
    <w:p>
      <w:pPr>
        <w:pStyle w:val="32"/>
        <w:widowControl/>
        <w:shd w:val="clear" w:color="auto" w:fill="FFFFFF"/>
        <w:spacing w:before="156" w:after="156" w:line="360" w:lineRule="auto"/>
        <w:ind w:firstLineChars="0"/>
        <w:jc w:val="left"/>
        <w:rPr>
          <w:rFonts w:hint="eastAsia" w:ascii="仿宋_GB2312" w:hAnsi="宋体" w:eastAsia="仿宋_GB2312" w:cs="Arial"/>
          <w:color w:val="000000"/>
          <w:sz w:val="24"/>
          <w:szCs w:val="24"/>
        </w:rPr>
      </w:pPr>
      <w:r>
        <w:rPr>
          <w:rFonts w:hint="eastAsia" w:ascii="仿宋_GB2312" w:hAnsi="宋体" w:eastAsia="仿宋_GB2312" w:cs="Arial"/>
          <w:color w:val="000000"/>
          <w:sz w:val="24"/>
          <w:szCs w:val="24"/>
          <w:lang w:eastAsia="zh-CN"/>
        </w:rPr>
        <w:t>投标人</w:t>
      </w:r>
      <w:r>
        <w:rPr>
          <w:rFonts w:hint="eastAsia" w:ascii="仿宋_GB2312" w:hAnsi="宋体" w:eastAsia="仿宋_GB2312" w:cs="Arial"/>
          <w:color w:val="000000"/>
          <w:sz w:val="24"/>
          <w:szCs w:val="24"/>
        </w:rPr>
        <w:t>服务工程师到达采购人现场后，应于2小时内恢复系统的正常运行，并收集现场信息以便完成故障分析。</w:t>
      </w:r>
    </w:p>
    <w:p>
      <w:pPr>
        <w:pStyle w:val="32"/>
        <w:widowControl/>
        <w:shd w:val="clear" w:color="auto" w:fill="FFFFFF"/>
        <w:spacing w:before="156" w:after="156" w:line="360" w:lineRule="auto"/>
        <w:ind w:firstLine="0" w:firstLineChars="0"/>
        <w:jc w:val="left"/>
        <w:rPr>
          <w:rFonts w:hint="eastAsia" w:ascii="仿宋_GB2312" w:hAnsi="宋体" w:eastAsia="仿宋_GB2312" w:cs="Arial"/>
          <w:color w:val="000000"/>
          <w:sz w:val="24"/>
          <w:szCs w:val="24"/>
        </w:rPr>
      </w:pPr>
      <w:r>
        <w:rPr>
          <w:rFonts w:hint="eastAsia" w:ascii="仿宋_GB2312" w:hAnsi="宋体" w:eastAsia="仿宋_GB2312" w:cs="Arial"/>
          <w:color w:val="000000"/>
          <w:sz w:val="24"/>
          <w:szCs w:val="24"/>
        </w:rPr>
        <w:t>1.1.2.1.3故障分析时间</w:t>
      </w:r>
    </w:p>
    <w:p>
      <w:pPr>
        <w:pStyle w:val="32"/>
        <w:widowControl/>
        <w:shd w:val="clear" w:color="auto" w:fill="FFFFFF"/>
        <w:spacing w:before="156" w:after="156" w:line="360" w:lineRule="auto"/>
        <w:ind w:firstLineChars="0"/>
        <w:jc w:val="left"/>
        <w:rPr>
          <w:rFonts w:hint="eastAsia" w:ascii="仿宋_GB2312" w:hAnsi="宋体" w:eastAsia="仿宋_GB2312" w:cs="Arial"/>
          <w:color w:val="000000"/>
          <w:sz w:val="24"/>
          <w:szCs w:val="24"/>
        </w:rPr>
      </w:pPr>
      <w:r>
        <w:rPr>
          <w:rFonts w:hint="eastAsia" w:ascii="仿宋_GB2312" w:hAnsi="宋体" w:eastAsia="仿宋_GB2312" w:cs="Arial"/>
          <w:color w:val="000000"/>
          <w:sz w:val="24"/>
          <w:szCs w:val="24"/>
          <w:lang w:eastAsia="zh-CN"/>
        </w:rPr>
        <w:t>投标人</w:t>
      </w:r>
      <w:r>
        <w:rPr>
          <w:rFonts w:hint="eastAsia" w:ascii="仿宋_GB2312" w:hAnsi="宋体" w:eastAsia="仿宋_GB2312" w:cs="Arial"/>
          <w:color w:val="000000"/>
          <w:sz w:val="24"/>
          <w:szCs w:val="24"/>
        </w:rPr>
        <w:t>在系统恢复正常运行后，应对系统运行情况进行跟踪，并结合故障现场信息对故障产生原因进行分析，3日内提交故障分析报告及解决方案。</w:t>
      </w:r>
    </w:p>
    <w:p>
      <w:pPr>
        <w:pStyle w:val="32"/>
        <w:widowControl/>
        <w:shd w:val="clear" w:color="auto" w:fill="FFFFFF"/>
        <w:spacing w:before="156" w:after="156" w:line="360" w:lineRule="auto"/>
        <w:ind w:firstLine="0" w:firstLineChars="0"/>
        <w:jc w:val="left"/>
        <w:rPr>
          <w:rFonts w:hint="eastAsia" w:ascii="仿宋_GB2312" w:hAnsi="宋体" w:eastAsia="仿宋_GB2312" w:cs="Arial"/>
          <w:color w:val="000000"/>
          <w:sz w:val="24"/>
          <w:szCs w:val="24"/>
        </w:rPr>
      </w:pPr>
      <w:r>
        <w:rPr>
          <w:rFonts w:hint="eastAsia" w:ascii="仿宋_GB2312" w:hAnsi="宋体" w:eastAsia="仿宋_GB2312" w:cs="Arial"/>
          <w:color w:val="000000"/>
          <w:sz w:val="24"/>
          <w:szCs w:val="24"/>
        </w:rPr>
        <w:t>1.1.2.1.4不间断故障处理</w:t>
      </w:r>
    </w:p>
    <w:p>
      <w:pPr>
        <w:pStyle w:val="32"/>
        <w:widowControl/>
        <w:shd w:val="clear" w:color="auto" w:fill="FFFFFF"/>
        <w:spacing w:before="156" w:after="156" w:line="360" w:lineRule="auto"/>
        <w:ind w:firstLineChars="0"/>
        <w:jc w:val="left"/>
        <w:rPr>
          <w:rFonts w:hint="eastAsia" w:ascii="仿宋_GB2312" w:hAnsi="宋体" w:eastAsia="仿宋_GB2312" w:cs="Arial"/>
          <w:color w:val="000000"/>
          <w:sz w:val="24"/>
          <w:szCs w:val="24"/>
        </w:rPr>
      </w:pPr>
      <w:r>
        <w:rPr>
          <w:rFonts w:hint="eastAsia" w:ascii="仿宋_GB2312" w:hAnsi="宋体" w:eastAsia="仿宋_GB2312" w:cs="Arial"/>
          <w:color w:val="000000"/>
          <w:sz w:val="24"/>
          <w:szCs w:val="24"/>
          <w:lang w:eastAsia="zh-CN"/>
        </w:rPr>
        <w:t>投标人</w:t>
      </w:r>
      <w:r>
        <w:rPr>
          <w:rFonts w:hint="eastAsia" w:ascii="仿宋_GB2312" w:hAnsi="宋体" w:eastAsia="仿宋_GB2312" w:cs="Arial"/>
          <w:color w:val="000000"/>
          <w:sz w:val="24"/>
          <w:szCs w:val="24"/>
        </w:rPr>
        <w:t>服务工程师在到达采购人现场后，应开始进行不间断服务直至系统恢复正常运行，得到采购人确认后方可离开。</w:t>
      </w:r>
    </w:p>
    <w:p>
      <w:pPr>
        <w:pStyle w:val="32"/>
        <w:widowControl/>
        <w:shd w:val="clear" w:color="auto" w:fill="FFFFFF"/>
        <w:spacing w:before="156" w:after="156" w:line="360" w:lineRule="auto"/>
        <w:ind w:firstLine="0" w:firstLineChars="0"/>
        <w:jc w:val="left"/>
        <w:rPr>
          <w:rFonts w:hint="eastAsia" w:ascii="仿宋_GB2312" w:hAnsi="宋体" w:eastAsia="仿宋_GB2312" w:cs="Arial"/>
          <w:color w:val="000000"/>
          <w:sz w:val="24"/>
          <w:szCs w:val="24"/>
        </w:rPr>
      </w:pPr>
      <w:r>
        <w:rPr>
          <w:rFonts w:hint="eastAsia" w:ascii="仿宋_GB2312" w:hAnsi="宋体" w:eastAsia="仿宋_GB2312" w:cs="Arial"/>
          <w:color w:val="000000"/>
          <w:sz w:val="24"/>
          <w:szCs w:val="24"/>
        </w:rPr>
        <w:t>1.2技术支持服务</w:t>
      </w:r>
    </w:p>
    <w:p>
      <w:pPr>
        <w:pStyle w:val="32"/>
        <w:widowControl/>
        <w:shd w:val="clear" w:color="auto" w:fill="FFFFFF"/>
        <w:spacing w:before="156" w:after="156" w:line="360" w:lineRule="auto"/>
        <w:ind w:firstLineChars="0"/>
        <w:jc w:val="left"/>
        <w:rPr>
          <w:rFonts w:hint="eastAsia" w:ascii="仿宋_GB2312" w:hAnsi="宋体" w:eastAsia="仿宋_GB2312" w:cs="Arial"/>
          <w:color w:val="000000"/>
          <w:sz w:val="24"/>
          <w:szCs w:val="24"/>
        </w:rPr>
      </w:pPr>
      <w:r>
        <w:rPr>
          <w:rFonts w:hint="eastAsia" w:ascii="仿宋_GB2312" w:hAnsi="宋体" w:eastAsia="仿宋_GB2312" w:cs="Arial"/>
          <w:color w:val="000000"/>
          <w:sz w:val="24"/>
          <w:szCs w:val="24"/>
        </w:rPr>
        <w:t>应标人应提供一整套规范的技术支持服务运作体系和流程，指定稳定的技术服务队伍，提供故障诊断、技术咨询等全方位的技术支持服务。同时，</w:t>
      </w:r>
      <w:r>
        <w:rPr>
          <w:rFonts w:hint="eastAsia" w:ascii="仿宋_GB2312" w:hAnsi="宋体" w:eastAsia="仿宋_GB2312" w:cs="Arial"/>
          <w:color w:val="000000"/>
          <w:sz w:val="24"/>
          <w:szCs w:val="24"/>
          <w:lang w:eastAsia="zh-CN"/>
        </w:rPr>
        <w:t>投标人</w:t>
      </w:r>
      <w:r>
        <w:rPr>
          <w:rFonts w:hint="eastAsia" w:ascii="仿宋_GB2312" w:hAnsi="宋体" w:eastAsia="仿宋_GB2312" w:cs="Arial"/>
          <w:color w:val="000000"/>
          <w:sz w:val="24"/>
          <w:szCs w:val="24"/>
        </w:rPr>
        <w:t>应建立相应的采购人档案库，便于及时获得系统运行报告、采购人随访意见反馈、常见故障及处理方案等重要技术资料，采购人资料由客户服务经理管理。</w:t>
      </w:r>
    </w:p>
    <w:p>
      <w:pPr>
        <w:pStyle w:val="32"/>
        <w:widowControl/>
        <w:shd w:val="clear" w:color="auto" w:fill="FFFFFF"/>
        <w:spacing w:before="156" w:after="156" w:line="360" w:lineRule="auto"/>
        <w:ind w:firstLineChars="0"/>
        <w:jc w:val="left"/>
        <w:rPr>
          <w:rFonts w:hint="eastAsia" w:ascii="仿宋_GB2312" w:hAnsi="宋体" w:eastAsia="仿宋_GB2312" w:cs="Arial"/>
          <w:color w:val="000000"/>
          <w:sz w:val="24"/>
          <w:szCs w:val="24"/>
        </w:rPr>
      </w:pPr>
      <w:r>
        <w:rPr>
          <w:rFonts w:hint="eastAsia" w:ascii="仿宋_GB2312" w:hAnsi="宋体" w:eastAsia="仿宋_GB2312" w:cs="Arial"/>
          <w:color w:val="000000"/>
          <w:sz w:val="24"/>
          <w:szCs w:val="24"/>
          <w:lang w:eastAsia="zh-CN"/>
        </w:rPr>
        <w:t>投标人</w:t>
      </w:r>
      <w:r>
        <w:rPr>
          <w:rFonts w:hint="eastAsia" w:ascii="仿宋_GB2312" w:hAnsi="宋体" w:eastAsia="仿宋_GB2312" w:cs="Arial"/>
          <w:color w:val="000000"/>
          <w:sz w:val="24"/>
          <w:szCs w:val="24"/>
        </w:rPr>
        <w:t>应为采购人提供多种技术支持方式，并对采购人所提交问题指派固定服务队伍进行解答并提供相关建议，对未能彻底解决的问题应进行跟踪、反馈并及时处理。</w:t>
      </w:r>
    </w:p>
    <w:p>
      <w:pPr>
        <w:spacing w:line="360" w:lineRule="auto"/>
        <w:rPr>
          <w:rFonts w:hint="eastAsia" w:ascii="仿宋_GB2312" w:hAnsi="宋体" w:eastAsia="仿宋_GB2312"/>
          <w:color w:val="000000"/>
          <w:sz w:val="24"/>
        </w:rPr>
      </w:pPr>
      <w:r>
        <w:rPr>
          <w:rFonts w:hint="eastAsia" w:ascii="仿宋_GB2312" w:hAnsi="宋体" w:eastAsia="仿宋_GB2312"/>
          <w:color w:val="000000"/>
          <w:sz w:val="24"/>
        </w:rPr>
        <w:t>2、培训</w:t>
      </w:r>
    </w:p>
    <w:p>
      <w:pPr>
        <w:pStyle w:val="32"/>
        <w:widowControl/>
        <w:shd w:val="clear" w:color="auto" w:fill="FFFFFF"/>
        <w:spacing w:before="156" w:after="156" w:line="360" w:lineRule="auto"/>
        <w:ind w:firstLineChars="0"/>
        <w:jc w:val="left"/>
        <w:rPr>
          <w:rFonts w:hint="eastAsia" w:ascii="仿宋_GB2312" w:hAnsi="宋体" w:eastAsia="仿宋_GB2312" w:cs="Arial"/>
          <w:color w:val="000000"/>
          <w:sz w:val="24"/>
          <w:szCs w:val="24"/>
        </w:rPr>
      </w:pPr>
      <w:r>
        <w:rPr>
          <w:rFonts w:hint="eastAsia" w:ascii="仿宋_GB2312" w:hAnsi="宋体" w:eastAsia="仿宋_GB2312" w:cs="Arial"/>
          <w:color w:val="000000"/>
          <w:sz w:val="24"/>
          <w:szCs w:val="24"/>
          <w:lang w:eastAsia="zh-CN"/>
        </w:rPr>
        <w:t>投标人</w:t>
      </w:r>
      <w:r>
        <w:rPr>
          <w:rFonts w:hint="eastAsia" w:ascii="仿宋_GB2312" w:hAnsi="宋体" w:eastAsia="仿宋_GB2312" w:cs="Arial"/>
          <w:color w:val="000000"/>
          <w:sz w:val="24"/>
          <w:szCs w:val="24"/>
        </w:rPr>
        <w:t>应该提供丰富的培训内容给予采购人充分的选择。</w:t>
      </w:r>
    </w:p>
    <w:p>
      <w:pPr>
        <w:pStyle w:val="32"/>
        <w:widowControl/>
        <w:shd w:val="clear" w:color="auto" w:fill="FFFFFF"/>
        <w:spacing w:before="156" w:after="156" w:line="360" w:lineRule="auto"/>
        <w:ind w:firstLineChars="0"/>
        <w:jc w:val="left"/>
        <w:rPr>
          <w:rFonts w:hint="eastAsia" w:ascii="仿宋_GB2312" w:hAnsi="宋体" w:eastAsia="仿宋_GB2312" w:cs="Arial"/>
          <w:color w:val="000000"/>
          <w:sz w:val="24"/>
          <w:szCs w:val="24"/>
        </w:rPr>
      </w:pPr>
      <w:r>
        <w:rPr>
          <w:rFonts w:hint="eastAsia" w:ascii="仿宋_GB2312" w:hAnsi="宋体" w:eastAsia="仿宋_GB2312" w:cs="Arial"/>
          <w:color w:val="000000"/>
          <w:sz w:val="24"/>
          <w:szCs w:val="24"/>
        </w:rPr>
        <w:t>对于专题团体培训，采购人提供培训工程师到达</w:t>
      </w:r>
      <w:r>
        <w:rPr>
          <w:rFonts w:hint="eastAsia" w:ascii="仿宋_GB2312" w:hAnsi="宋体" w:eastAsia="仿宋_GB2312" w:cs="Arial"/>
          <w:color w:val="000000"/>
          <w:sz w:val="24"/>
          <w:szCs w:val="24"/>
          <w:lang w:eastAsia="zh-CN"/>
        </w:rPr>
        <w:t>投标人</w:t>
      </w:r>
      <w:r>
        <w:rPr>
          <w:rFonts w:hint="eastAsia" w:ascii="仿宋_GB2312" w:hAnsi="宋体" w:eastAsia="仿宋_GB2312" w:cs="Arial"/>
          <w:color w:val="000000"/>
          <w:sz w:val="24"/>
          <w:szCs w:val="24"/>
        </w:rPr>
        <w:t>现场进行指定专题的培训，受培训人数不限。</w:t>
      </w:r>
      <w:r>
        <w:rPr>
          <w:rFonts w:hint="eastAsia" w:ascii="仿宋_GB2312" w:hAnsi="宋体" w:eastAsia="仿宋_GB2312" w:cs="Arial"/>
          <w:color w:val="000000"/>
          <w:sz w:val="24"/>
          <w:szCs w:val="24"/>
          <w:lang w:eastAsia="zh-CN"/>
        </w:rPr>
        <w:t>投标人</w:t>
      </w:r>
      <w:r>
        <w:rPr>
          <w:rFonts w:hint="eastAsia" w:ascii="仿宋_GB2312" w:hAnsi="宋体" w:eastAsia="仿宋_GB2312" w:cs="Arial"/>
          <w:color w:val="000000"/>
          <w:sz w:val="24"/>
          <w:szCs w:val="24"/>
        </w:rPr>
        <w:t>应该针对采购人实际情况提供一年培训时间和课程的分布建议，并且有义务为采购人编写特定专题的教材。</w:t>
      </w:r>
    </w:p>
    <w:p>
      <w:pPr>
        <w:spacing w:line="360" w:lineRule="auto"/>
        <w:rPr>
          <w:rFonts w:hint="eastAsia" w:ascii="仿宋_GB2312" w:hAnsi="宋体" w:eastAsia="仿宋_GB2312"/>
          <w:color w:val="000000"/>
          <w:sz w:val="24"/>
        </w:rPr>
      </w:pPr>
      <w:r>
        <w:rPr>
          <w:rFonts w:hint="eastAsia" w:ascii="仿宋_GB2312" w:hAnsi="宋体" w:eastAsia="仿宋_GB2312"/>
          <w:color w:val="000000"/>
          <w:sz w:val="24"/>
        </w:rPr>
        <w:t>3.定期回顾</w:t>
      </w:r>
    </w:p>
    <w:p>
      <w:pPr>
        <w:pStyle w:val="32"/>
        <w:widowControl/>
        <w:shd w:val="clear" w:color="auto" w:fill="FFFFFF"/>
        <w:tabs>
          <w:tab w:val="left" w:pos="567"/>
        </w:tabs>
        <w:spacing w:before="156" w:after="156" w:line="360" w:lineRule="auto"/>
        <w:ind w:firstLine="284" w:firstLineChars="0"/>
        <w:jc w:val="left"/>
        <w:rPr>
          <w:rFonts w:hint="eastAsia" w:ascii="仿宋_GB2312" w:hAnsi="宋体" w:eastAsia="仿宋_GB2312" w:cs="Arial"/>
          <w:color w:val="000000"/>
          <w:sz w:val="24"/>
          <w:szCs w:val="24"/>
        </w:rPr>
      </w:pPr>
      <w:r>
        <w:rPr>
          <w:rFonts w:hint="eastAsia" w:ascii="仿宋_GB2312" w:hAnsi="宋体" w:eastAsia="仿宋_GB2312" w:cs="Arial"/>
          <w:color w:val="000000"/>
          <w:sz w:val="24"/>
          <w:szCs w:val="24"/>
          <w:lang w:eastAsia="zh-CN"/>
        </w:rPr>
        <w:t>投标人</w:t>
      </w:r>
      <w:r>
        <w:rPr>
          <w:rFonts w:hint="eastAsia" w:ascii="仿宋_GB2312" w:hAnsi="宋体" w:eastAsia="仿宋_GB2312" w:cs="Arial"/>
          <w:color w:val="000000"/>
          <w:sz w:val="24"/>
          <w:szCs w:val="24"/>
        </w:rPr>
        <w:t>与采购人应至少每季度召开一次服务例会进行该阶段应标人所提供技术服务的回顾，同时由采购人对该阶段的服务执行情况及服务质量进行考核。在采购人的要求下，</w:t>
      </w:r>
      <w:r>
        <w:rPr>
          <w:rFonts w:hint="eastAsia" w:ascii="仿宋_GB2312" w:hAnsi="宋体" w:eastAsia="仿宋_GB2312" w:cs="Arial"/>
          <w:color w:val="000000"/>
          <w:sz w:val="24"/>
          <w:szCs w:val="24"/>
          <w:lang w:eastAsia="zh-CN"/>
        </w:rPr>
        <w:t>投标人</w:t>
      </w:r>
      <w:r>
        <w:rPr>
          <w:rFonts w:hint="eastAsia" w:ascii="仿宋_GB2312" w:hAnsi="宋体" w:eastAsia="仿宋_GB2312" w:cs="Arial"/>
          <w:color w:val="000000"/>
          <w:sz w:val="24"/>
          <w:szCs w:val="24"/>
        </w:rPr>
        <w:t>有义务随时配合召开其他时间的例会。例会结束之后应由</w:t>
      </w:r>
      <w:r>
        <w:rPr>
          <w:rFonts w:hint="eastAsia" w:ascii="仿宋_GB2312" w:hAnsi="宋体" w:eastAsia="仿宋_GB2312" w:cs="Arial"/>
          <w:color w:val="000000"/>
          <w:sz w:val="24"/>
          <w:szCs w:val="24"/>
          <w:lang w:eastAsia="zh-CN"/>
        </w:rPr>
        <w:t>投标人</w:t>
      </w:r>
      <w:r>
        <w:rPr>
          <w:rFonts w:hint="eastAsia" w:ascii="仿宋_GB2312" w:hAnsi="宋体" w:eastAsia="仿宋_GB2312" w:cs="Arial"/>
          <w:color w:val="000000"/>
          <w:sz w:val="24"/>
          <w:szCs w:val="24"/>
        </w:rPr>
        <w:t>客户服务经理提供会议纪要交采购人确认，并对会议纪要中采购人意见与建议部分于7日内进行反馈并跟踪落实。</w:t>
      </w:r>
    </w:p>
    <w:p>
      <w:pPr>
        <w:pStyle w:val="32"/>
        <w:widowControl/>
        <w:shd w:val="clear" w:color="auto" w:fill="FFFFFF"/>
        <w:spacing w:before="156" w:after="156" w:line="360" w:lineRule="auto"/>
        <w:ind w:firstLineChars="0"/>
        <w:jc w:val="left"/>
        <w:rPr>
          <w:rFonts w:hint="eastAsia" w:ascii="仿宋_GB2312" w:hAnsi="宋体" w:eastAsia="仿宋_GB2312" w:cs="Arial"/>
          <w:color w:val="000000"/>
          <w:sz w:val="24"/>
          <w:szCs w:val="24"/>
        </w:rPr>
      </w:pPr>
      <w:r>
        <w:rPr>
          <w:rFonts w:hint="eastAsia" w:ascii="仿宋_GB2312" w:hAnsi="宋体" w:eastAsia="仿宋_GB2312" w:cs="Arial"/>
          <w:color w:val="000000"/>
          <w:sz w:val="24"/>
          <w:szCs w:val="24"/>
        </w:rPr>
        <w:t>会议内容将涉及以下事项：</w:t>
      </w:r>
    </w:p>
    <w:p>
      <w:pPr>
        <w:snapToGrid w:val="0"/>
        <w:spacing w:line="440" w:lineRule="exact"/>
        <w:ind w:firstLine="480" w:firstLineChars="200"/>
        <w:jc w:val="left"/>
        <w:rPr>
          <w:rFonts w:hint="eastAsia" w:ascii="仿宋_GB2312" w:hAnsi="宋体" w:eastAsia="仿宋_GB2312"/>
          <w:color w:val="000000"/>
          <w:sz w:val="24"/>
        </w:rPr>
      </w:pPr>
      <w:r>
        <w:rPr>
          <w:rFonts w:hint="eastAsia" w:ascii="仿宋_GB2312" w:hAnsi="宋体" w:eastAsia="仿宋_GB2312"/>
          <w:color w:val="000000"/>
          <w:sz w:val="24"/>
        </w:rPr>
        <w:t>（1）投标人客户服务经理对该阶段所执行服务进行介绍，提交阶段性服务情况汇总报告。报告内容应包括该阶段所发生全部服务内容的的执行及采购人满意度情况。</w:t>
      </w:r>
    </w:p>
    <w:p>
      <w:pPr>
        <w:snapToGrid w:val="0"/>
        <w:spacing w:line="440" w:lineRule="exact"/>
        <w:ind w:firstLine="480" w:firstLineChars="200"/>
        <w:jc w:val="left"/>
        <w:rPr>
          <w:rFonts w:hint="eastAsia" w:ascii="仿宋_GB2312" w:hAnsi="宋体" w:eastAsia="仿宋_GB2312"/>
          <w:color w:val="000000"/>
          <w:sz w:val="24"/>
        </w:rPr>
      </w:pPr>
      <w:r>
        <w:rPr>
          <w:rFonts w:hint="eastAsia" w:ascii="仿宋_GB2312" w:hAnsi="宋体" w:eastAsia="仿宋_GB2312"/>
          <w:color w:val="000000"/>
          <w:sz w:val="24"/>
        </w:rPr>
        <w:t>（2）采购人对投标人客户服务经理所提供阶段性服务情况汇总报告进行确认。确认完成后由采购人对该阶段服务执行情况及服务质量进行考核，并依据考核标准评测打分。</w:t>
      </w:r>
    </w:p>
    <w:p>
      <w:pPr>
        <w:snapToGrid w:val="0"/>
        <w:spacing w:line="440" w:lineRule="exact"/>
        <w:ind w:firstLine="480" w:firstLineChars="200"/>
        <w:jc w:val="left"/>
        <w:rPr>
          <w:rFonts w:hint="eastAsia" w:ascii="仿宋_GB2312" w:hAnsi="宋体" w:eastAsia="仿宋_GB2312"/>
          <w:color w:val="000000"/>
          <w:sz w:val="24"/>
        </w:rPr>
      </w:pPr>
      <w:r>
        <w:rPr>
          <w:rFonts w:hint="eastAsia" w:ascii="仿宋_GB2312" w:hAnsi="宋体" w:eastAsia="仿宋_GB2312"/>
          <w:color w:val="000000"/>
          <w:sz w:val="24"/>
        </w:rPr>
        <w:t>（3）投标人客户服务经理听取并记录采购人针对该阶段服务执行情况及服务质量的意见及建议，全部内容应通过会议纪要形式确认。</w:t>
      </w:r>
    </w:p>
    <w:p>
      <w:pPr>
        <w:snapToGrid w:val="0"/>
        <w:spacing w:line="440" w:lineRule="exact"/>
        <w:ind w:firstLine="480" w:firstLineChars="200"/>
        <w:jc w:val="left"/>
        <w:rPr>
          <w:rFonts w:hint="eastAsia" w:ascii="仿宋_GB2312" w:hAnsi="宋体" w:eastAsia="仿宋_GB2312"/>
          <w:color w:val="000000"/>
          <w:sz w:val="24"/>
        </w:rPr>
      </w:pPr>
      <w:r>
        <w:rPr>
          <w:rFonts w:hint="eastAsia" w:ascii="仿宋_GB2312" w:hAnsi="宋体" w:eastAsia="仿宋_GB2312"/>
          <w:color w:val="000000"/>
          <w:sz w:val="24"/>
        </w:rPr>
        <w:t>（4）投标人客户服务经理应根据采购人需求制定下一阶段的客户服务计划。客户服务计划指应标人应根据采购人所购买服务及其所服务的系统具体情况所定义的服务流程、服务内容、及服务质量。</w:t>
      </w:r>
    </w:p>
    <w:p>
      <w:pPr>
        <w:snapToGrid w:val="0"/>
        <w:spacing w:line="440" w:lineRule="exact"/>
        <w:ind w:firstLine="480" w:firstLineChars="200"/>
        <w:jc w:val="left"/>
        <w:rPr>
          <w:rFonts w:hint="eastAsia" w:ascii="仿宋_GB2312" w:hAnsi="宋体" w:eastAsia="仿宋_GB2312"/>
          <w:color w:val="000000"/>
          <w:sz w:val="24"/>
        </w:rPr>
      </w:pPr>
      <w:r>
        <w:rPr>
          <w:rFonts w:hint="eastAsia" w:ascii="仿宋_GB2312" w:hAnsi="宋体" w:eastAsia="仿宋_GB2312"/>
          <w:color w:val="000000"/>
          <w:sz w:val="24"/>
        </w:rPr>
        <w:t>（5）讨论本阶段服务过程中的重大事件对采购人系统运行的影响及应对措施，如系统升级、搬迁、系统管理人员变动、管理流程及制度变更等。</w:t>
      </w:r>
    </w:p>
    <w:p>
      <w:pPr>
        <w:snapToGrid w:val="0"/>
        <w:spacing w:line="440" w:lineRule="exact"/>
        <w:ind w:firstLine="480" w:firstLineChars="200"/>
        <w:jc w:val="left"/>
        <w:rPr>
          <w:rFonts w:hint="eastAsia" w:ascii="仿宋_GB2312" w:hAnsi="宋体" w:eastAsia="仿宋_GB2312"/>
          <w:color w:val="000000"/>
          <w:sz w:val="24"/>
        </w:rPr>
      </w:pPr>
      <w:r>
        <w:rPr>
          <w:rFonts w:hint="eastAsia" w:ascii="仿宋_GB2312" w:hAnsi="宋体" w:eastAsia="仿宋_GB2312"/>
          <w:color w:val="000000"/>
          <w:sz w:val="24"/>
        </w:rPr>
        <w:t>（6）针对本阶段服务过程中的重大技术问题，探讨有何预防措施及系统优化措施，寻求问题解决更为合理、有效的途径，改进针对此类问题的服务流程。</w:t>
      </w:r>
    </w:p>
    <w:p>
      <w:pPr>
        <w:snapToGrid w:val="0"/>
        <w:spacing w:line="440" w:lineRule="exact"/>
        <w:ind w:firstLine="480" w:firstLineChars="200"/>
        <w:jc w:val="left"/>
        <w:rPr>
          <w:rFonts w:hint="eastAsia" w:ascii="仿宋_GB2312" w:hAnsi="宋体" w:eastAsia="仿宋_GB2312"/>
          <w:color w:val="000000"/>
          <w:sz w:val="24"/>
        </w:rPr>
      </w:pPr>
      <w:r>
        <w:rPr>
          <w:rFonts w:hint="eastAsia" w:ascii="仿宋_GB2312" w:hAnsi="宋体" w:eastAsia="仿宋_GB2312"/>
          <w:color w:val="000000"/>
          <w:sz w:val="24"/>
        </w:rPr>
        <w:t>（7）投标人介绍该阶段所推出的补丁程序信息、软件版本发放信息。</w:t>
      </w:r>
    </w:p>
    <w:p>
      <w:pPr>
        <w:snapToGrid w:val="0"/>
        <w:spacing w:line="440" w:lineRule="exact"/>
        <w:jc w:val="left"/>
        <w:rPr>
          <w:rFonts w:hint="eastAsia" w:ascii="仿宋_GB2312" w:hAnsi="宋体" w:eastAsia="仿宋_GB2312"/>
          <w:b/>
          <w:color w:val="000000"/>
          <w:sz w:val="24"/>
        </w:rPr>
      </w:pPr>
      <w:r>
        <w:rPr>
          <w:rFonts w:hint="eastAsia" w:ascii="仿宋_GB2312" w:hAnsi="宋体" w:eastAsia="仿宋_GB2312"/>
          <w:b/>
          <w:color w:val="000000"/>
          <w:sz w:val="24"/>
        </w:rPr>
        <w:t>三．版权要求</w:t>
      </w:r>
    </w:p>
    <w:p>
      <w:pPr>
        <w:snapToGrid w:val="0"/>
        <w:spacing w:line="440" w:lineRule="exact"/>
        <w:ind w:firstLine="480" w:firstLineChars="200"/>
        <w:jc w:val="left"/>
        <w:rPr>
          <w:rFonts w:hint="eastAsia" w:ascii="仿宋_GB2312" w:hAnsi="宋体" w:eastAsia="仿宋_GB2312"/>
          <w:color w:val="000000"/>
          <w:sz w:val="24"/>
        </w:rPr>
      </w:pPr>
      <w:r>
        <w:rPr>
          <w:rFonts w:hint="eastAsia" w:ascii="仿宋_GB2312" w:hAnsi="宋体" w:eastAsia="仿宋_GB2312"/>
          <w:color w:val="000000"/>
          <w:sz w:val="24"/>
        </w:rPr>
        <w:t>1.本项目的所有权和知识产权归采购人所有。</w:t>
      </w:r>
    </w:p>
    <w:p>
      <w:pPr>
        <w:snapToGrid w:val="0"/>
        <w:spacing w:line="440" w:lineRule="exact"/>
        <w:ind w:firstLine="480" w:firstLineChars="200"/>
        <w:jc w:val="left"/>
        <w:rPr>
          <w:rFonts w:hint="eastAsia" w:ascii="仿宋_GB2312" w:hAnsi="宋体" w:eastAsia="仿宋_GB2312"/>
          <w:color w:val="000000"/>
          <w:sz w:val="24"/>
        </w:rPr>
      </w:pPr>
      <w:r>
        <w:rPr>
          <w:rFonts w:hint="eastAsia" w:ascii="仿宋_GB2312" w:hAnsi="宋体" w:eastAsia="仿宋_GB2312"/>
          <w:color w:val="000000"/>
          <w:sz w:val="24"/>
        </w:rPr>
        <w:t>2.涉及的源代码（含质保期内的后续升级版本）必须遵循相关标准和规范,并无条件提交给采购人。</w:t>
      </w:r>
    </w:p>
    <w:p>
      <w:pPr>
        <w:snapToGrid w:val="0"/>
        <w:spacing w:line="440" w:lineRule="exact"/>
        <w:ind w:firstLine="480" w:firstLineChars="200"/>
        <w:jc w:val="left"/>
        <w:rPr>
          <w:rFonts w:hint="eastAsia" w:ascii="仿宋_GB2312" w:hAnsi="宋体" w:eastAsia="仿宋_GB2312"/>
          <w:color w:val="000000"/>
          <w:sz w:val="24"/>
        </w:rPr>
      </w:pPr>
      <w:r>
        <w:rPr>
          <w:rFonts w:hint="eastAsia" w:ascii="仿宋_GB2312" w:hAnsi="宋体" w:eastAsia="仿宋_GB2312"/>
          <w:color w:val="000000"/>
          <w:sz w:val="24"/>
        </w:rPr>
        <w:t>3.涉及接口的必须遵循相关标准和规范，向下部署的，必须无条件开放所有接口且满足国家共享相关规定要求，投标人有义务配合采购人做好有关信息共享工作。</w:t>
      </w:r>
    </w:p>
    <w:p>
      <w:pPr>
        <w:snapToGrid w:val="0"/>
        <w:spacing w:line="440" w:lineRule="exact"/>
        <w:ind w:firstLine="480" w:firstLineChars="200"/>
        <w:jc w:val="left"/>
        <w:rPr>
          <w:rFonts w:hint="eastAsia" w:ascii="仿宋_GB2312" w:hAnsi="宋体" w:eastAsia="仿宋_GB2312"/>
          <w:color w:val="000000"/>
          <w:sz w:val="24"/>
        </w:rPr>
      </w:pPr>
      <w:r>
        <w:rPr>
          <w:rFonts w:hint="eastAsia" w:ascii="仿宋_GB2312" w:hAnsi="宋体" w:eastAsia="仿宋_GB2312"/>
          <w:color w:val="000000"/>
          <w:sz w:val="24"/>
        </w:rPr>
        <w:t>4.本项目在开发、使用和维护过程中接触到的采购人的所有资料，未经采购人授权代表书面许可，不得留存，私自查阅及向任何第三方泄露。</w:t>
      </w:r>
    </w:p>
    <w:p>
      <w:pPr>
        <w:snapToGrid w:val="0"/>
        <w:spacing w:line="440" w:lineRule="exact"/>
        <w:ind w:firstLine="480" w:firstLineChars="200"/>
        <w:jc w:val="left"/>
        <w:rPr>
          <w:rFonts w:hint="eastAsia" w:ascii="仿宋_GB2312" w:hAnsi="宋体" w:eastAsia="仿宋_GB2312"/>
          <w:color w:val="000000"/>
          <w:sz w:val="24"/>
        </w:rPr>
      </w:pPr>
      <w:r>
        <w:rPr>
          <w:rFonts w:hint="eastAsia" w:ascii="仿宋_GB2312" w:hAnsi="宋体" w:eastAsia="仿宋_GB2312"/>
          <w:color w:val="000000"/>
          <w:sz w:val="24"/>
        </w:rPr>
        <w:t>5.本项目的设计开发专利申请权、技术秘密的使用权和转让权归采购人所有。</w:t>
      </w:r>
    </w:p>
    <w:p>
      <w:pPr>
        <w:snapToGrid w:val="0"/>
        <w:spacing w:line="440" w:lineRule="exact"/>
        <w:ind w:firstLine="480" w:firstLineChars="200"/>
        <w:jc w:val="left"/>
        <w:rPr>
          <w:rFonts w:hint="eastAsia" w:ascii="仿宋_GB2312" w:hAnsi="宋体" w:eastAsia="仿宋_GB2312"/>
          <w:color w:val="000000"/>
          <w:sz w:val="24"/>
        </w:rPr>
      </w:pPr>
    </w:p>
    <w:p>
      <w:pPr>
        <w:pageBreakBefore/>
        <w:spacing w:line="800" w:lineRule="exact"/>
        <w:rPr>
          <w:rFonts w:ascii="仿宋_GB2312" w:hAnsi="宋体" w:eastAsia="仿宋_GB2312"/>
          <w:b/>
          <w:color w:val="000000"/>
          <w:sz w:val="24"/>
        </w:rPr>
      </w:pPr>
      <w:r>
        <w:rPr>
          <w:rFonts w:hint="eastAsia" w:ascii="仿宋_GB2312" w:hAnsi="宋体" w:eastAsia="仿宋_GB2312"/>
          <w:b/>
          <w:color w:val="000000"/>
          <w:sz w:val="24"/>
        </w:rPr>
        <w:t>七、评标方法及标准</w:t>
      </w:r>
    </w:p>
    <w:p>
      <w:pPr>
        <w:spacing w:line="440" w:lineRule="exact"/>
        <w:jc w:val="left"/>
        <w:rPr>
          <w:rFonts w:ascii="仿宋_GB2312" w:hAnsi="宋体" w:eastAsia="仿宋_GB2312"/>
          <w:b/>
          <w:color w:val="000000"/>
          <w:sz w:val="24"/>
        </w:rPr>
      </w:pPr>
      <w:r>
        <w:rPr>
          <w:rFonts w:hint="eastAsia" w:ascii="仿宋_GB2312" w:hAnsi="宋体" w:eastAsia="仿宋_GB2312"/>
          <w:b/>
          <w:color w:val="000000"/>
          <w:sz w:val="24"/>
        </w:rPr>
        <w:t>1、评标方法：</w:t>
      </w:r>
    </w:p>
    <w:p>
      <w:pPr>
        <w:spacing w:line="440" w:lineRule="exact"/>
        <w:ind w:firstLine="480" w:firstLineChars="200"/>
        <w:jc w:val="left"/>
        <w:rPr>
          <w:rFonts w:ascii="仿宋_GB2312" w:hAnsi="宋体" w:eastAsia="仿宋_GB2312"/>
          <w:color w:val="000000"/>
          <w:sz w:val="24"/>
        </w:rPr>
      </w:pPr>
      <w:r>
        <w:rPr>
          <w:rFonts w:hint="eastAsia" w:ascii="仿宋_GB2312" w:hAnsi="宋体" w:eastAsia="仿宋_GB2312"/>
          <w:color w:val="000000"/>
          <w:sz w:val="24"/>
        </w:rPr>
        <w:t>1.1本次评标采用综合评分法，评标结果按评审后得分由高到低顺序排列。得分相同的，按投标报价由低到高顺序排列。得分且投标报价相同的并列。投标文件满足招标文件全部实质性要求，且按照评审因素的量化指标评审得分最高的投标人为的中标候选人。中标候选人并列的，采用随机抽取的方式确定。</w:t>
      </w:r>
    </w:p>
    <w:p>
      <w:pPr>
        <w:spacing w:line="440" w:lineRule="exact"/>
        <w:ind w:firstLine="472" w:firstLineChars="196"/>
        <w:jc w:val="left"/>
        <w:rPr>
          <w:rFonts w:ascii="仿宋_GB2312" w:hAnsi="宋体" w:eastAsia="仿宋_GB2312"/>
          <w:b/>
          <w:color w:val="000000"/>
          <w:sz w:val="24"/>
        </w:rPr>
      </w:pPr>
      <w:r>
        <w:rPr>
          <w:rFonts w:hint="eastAsia" w:ascii="仿宋_GB2312" w:hAnsi="宋体" w:eastAsia="仿宋_GB2312"/>
          <w:b/>
          <w:color w:val="000000"/>
          <w:sz w:val="24"/>
        </w:rPr>
        <w:t>1.2采用综合评分法的，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spacing w:line="440" w:lineRule="exact"/>
        <w:ind w:firstLine="482" w:firstLineChars="200"/>
        <w:jc w:val="left"/>
        <w:rPr>
          <w:rFonts w:ascii="仿宋_GB2312" w:hAnsi="宋体" w:eastAsia="仿宋_GB2312"/>
          <w:color w:val="000000"/>
          <w:sz w:val="24"/>
        </w:rPr>
      </w:pPr>
      <w:r>
        <w:rPr>
          <w:rFonts w:hint="eastAsia" w:ascii="仿宋_GB2312" w:hAnsi="宋体" w:eastAsia="仿宋_GB2312"/>
          <w:b/>
          <w:color w:val="000000"/>
          <w:sz w:val="24"/>
        </w:rPr>
        <w:t>非单一产品采购项目，采购人应当根据采购项目技术构成、产品价格比重等合理确定核心产品，并在招标文件中载明。多家投标人提供的核心产品品牌相同的，按前款规定处理。</w:t>
      </w:r>
    </w:p>
    <w:p>
      <w:pPr>
        <w:spacing w:line="440" w:lineRule="exact"/>
        <w:jc w:val="left"/>
        <w:rPr>
          <w:rFonts w:ascii="仿宋_GB2312" w:hAnsi="宋体" w:eastAsia="仿宋_GB2312"/>
          <w:color w:val="000000"/>
          <w:sz w:val="24"/>
        </w:rPr>
      </w:pPr>
      <w:r>
        <w:rPr>
          <w:rFonts w:hint="eastAsia" w:ascii="仿宋_GB2312" w:hAnsi="宋体" w:eastAsia="仿宋_GB2312"/>
          <w:b/>
          <w:color w:val="000000"/>
          <w:sz w:val="24"/>
        </w:rPr>
        <w:t>2.评分标准：</w:t>
      </w:r>
      <w:r>
        <w:rPr>
          <w:rFonts w:hint="eastAsia" w:ascii="仿宋_GB2312" w:hAnsi="宋体" w:eastAsia="仿宋_GB2312"/>
          <w:color w:val="000000"/>
          <w:sz w:val="24"/>
        </w:rPr>
        <w:t>共100分，其中商务技术分70分，价格分30分。评分依下述所列为评标打分依据，分值如下（计算分值时，按其算术平均值保留小数2位）。</w:t>
      </w:r>
    </w:p>
    <w:p>
      <w:pPr>
        <w:spacing w:line="440" w:lineRule="exact"/>
        <w:rPr>
          <w:rFonts w:hint="eastAsia" w:ascii="仿宋_GB2312" w:hAnsi="宋体" w:eastAsia="仿宋_GB2312"/>
          <w:b/>
          <w:bCs/>
          <w:iCs/>
          <w:color w:val="000000"/>
          <w:sz w:val="24"/>
        </w:rPr>
      </w:pPr>
      <w:r>
        <w:rPr>
          <w:rFonts w:hint="eastAsia" w:ascii="仿宋_GB2312" w:hAnsi="宋体" w:eastAsia="仿宋_GB2312"/>
          <w:b/>
          <w:bCs/>
          <w:iCs/>
          <w:color w:val="000000"/>
          <w:sz w:val="24"/>
        </w:rPr>
        <w:t>2.1.商务技术分（70分）</w:t>
      </w:r>
    </w:p>
    <w:p>
      <w:pPr>
        <w:spacing w:line="440" w:lineRule="exact"/>
        <w:rPr>
          <w:rFonts w:hint="eastAsia" w:ascii="仿宋_GB2312" w:eastAsia="仿宋_GB2312"/>
          <w:b/>
          <w:color w:val="000000"/>
          <w:sz w:val="24"/>
          <w:bdr w:val="single" w:color="auto" w:sz="4" w:space="0"/>
        </w:rPr>
      </w:pPr>
      <w:r>
        <w:rPr>
          <w:rFonts w:hint="eastAsia" w:ascii="仿宋_GB2312" w:eastAsia="仿宋_GB2312"/>
          <w:b/>
          <w:color w:val="000000"/>
          <w:sz w:val="24"/>
          <w:bdr w:val="single" w:color="auto" w:sz="4" w:space="0"/>
        </w:rPr>
        <w:t>01标</w:t>
      </w:r>
    </w:p>
    <w:tbl>
      <w:tblPr>
        <w:tblStyle w:val="11"/>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6"/>
        <w:gridCol w:w="1277"/>
        <w:gridCol w:w="5386"/>
        <w:gridCol w:w="10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0" w:hRule="atLeast"/>
          <w:jc w:val="center"/>
        </w:trPr>
        <w:tc>
          <w:tcPr>
            <w:tcW w:w="479" w:type="pct"/>
            <w:tcBorders>
              <w:top w:val="single" w:color="auto" w:sz="4" w:space="0"/>
              <w:left w:val="single" w:color="auto" w:sz="4" w:space="0"/>
              <w:bottom w:val="single" w:color="auto" w:sz="4" w:space="0"/>
              <w:right w:val="single" w:color="auto" w:sz="4" w:space="0"/>
            </w:tcBorders>
            <w:noWrap w:val="0"/>
            <w:vAlign w:val="center"/>
          </w:tcPr>
          <w:p>
            <w:pPr>
              <w:adjustRightInd/>
              <w:spacing w:line="360" w:lineRule="auto"/>
              <w:jc w:val="center"/>
              <w:rPr>
                <w:rFonts w:hint="eastAsia" w:ascii="仿宋_GB2312" w:hAnsi="仿宋" w:eastAsia="仿宋_GB2312" w:cs="宋体"/>
                <w:color w:val="000000"/>
                <w:sz w:val="24"/>
              </w:rPr>
            </w:pPr>
            <w:r>
              <w:rPr>
                <w:rFonts w:hint="eastAsia" w:ascii="仿宋_GB2312" w:hAnsi="仿宋" w:eastAsia="仿宋_GB2312" w:cs="宋体"/>
                <w:color w:val="000000"/>
                <w:sz w:val="24"/>
              </w:rPr>
              <w:t>序号</w:t>
            </w:r>
          </w:p>
        </w:tc>
        <w:tc>
          <w:tcPr>
            <w:tcW w:w="749" w:type="pct"/>
            <w:tcBorders>
              <w:top w:val="single" w:color="auto" w:sz="4" w:space="0"/>
              <w:left w:val="single" w:color="auto" w:sz="4" w:space="0"/>
              <w:bottom w:val="single" w:color="auto" w:sz="4" w:space="0"/>
              <w:right w:val="single" w:color="auto" w:sz="4" w:space="0"/>
            </w:tcBorders>
            <w:noWrap w:val="0"/>
            <w:vAlign w:val="center"/>
          </w:tcPr>
          <w:p>
            <w:pPr>
              <w:adjustRightInd/>
              <w:spacing w:line="360" w:lineRule="auto"/>
              <w:jc w:val="center"/>
              <w:rPr>
                <w:rFonts w:hint="eastAsia" w:ascii="仿宋_GB2312" w:hAnsi="仿宋" w:eastAsia="仿宋_GB2312" w:cs="宋体"/>
                <w:color w:val="000000"/>
                <w:sz w:val="24"/>
              </w:rPr>
            </w:pPr>
            <w:r>
              <w:rPr>
                <w:rFonts w:hint="eastAsia" w:ascii="仿宋_GB2312" w:hAnsi="仿宋" w:eastAsia="仿宋_GB2312" w:cs="宋体"/>
                <w:color w:val="000000"/>
                <w:sz w:val="24"/>
              </w:rPr>
              <w:t>评分要素</w:t>
            </w:r>
          </w:p>
        </w:tc>
        <w:tc>
          <w:tcPr>
            <w:tcW w:w="3160" w:type="pct"/>
            <w:tcBorders>
              <w:top w:val="single" w:color="auto" w:sz="4" w:space="0"/>
              <w:left w:val="single" w:color="auto" w:sz="4" w:space="0"/>
              <w:bottom w:val="single" w:color="auto" w:sz="4" w:space="0"/>
              <w:right w:val="single" w:color="auto" w:sz="4" w:space="0"/>
            </w:tcBorders>
            <w:noWrap w:val="0"/>
            <w:vAlign w:val="top"/>
          </w:tcPr>
          <w:p>
            <w:pPr>
              <w:adjustRightInd/>
              <w:spacing w:line="360" w:lineRule="auto"/>
              <w:jc w:val="center"/>
              <w:rPr>
                <w:rFonts w:hint="eastAsia" w:ascii="仿宋_GB2312" w:hAnsi="仿宋" w:eastAsia="仿宋_GB2312" w:cs="宋体"/>
                <w:color w:val="000000"/>
                <w:sz w:val="24"/>
              </w:rPr>
            </w:pPr>
            <w:r>
              <w:rPr>
                <w:rFonts w:hint="eastAsia" w:ascii="仿宋_GB2312" w:hAnsi="仿宋" w:eastAsia="仿宋_GB2312" w:cs="宋体"/>
                <w:color w:val="000000"/>
                <w:sz w:val="24"/>
              </w:rPr>
              <w:t>评分细则</w:t>
            </w:r>
          </w:p>
        </w:tc>
        <w:tc>
          <w:tcPr>
            <w:tcW w:w="612" w:type="pct"/>
            <w:tcBorders>
              <w:top w:val="single" w:color="auto" w:sz="4" w:space="0"/>
              <w:left w:val="single" w:color="auto" w:sz="4" w:space="0"/>
              <w:bottom w:val="single" w:color="auto" w:sz="4" w:space="0"/>
              <w:right w:val="single" w:color="auto" w:sz="4" w:space="0"/>
            </w:tcBorders>
            <w:noWrap w:val="0"/>
            <w:vAlign w:val="center"/>
          </w:tcPr>
          <w:p>
            <w:pPr>
              <w:adjustRightInd/>
              <w:spacing w:line="360" w:lineRule="auto"/>
              <w:jc w:val="center"/>
              <w:rPr>
                <w:rFonts w:hint="eastAsia" w:ascii="仿宋_GB2312" w:hAnsi="仿宋" w:eastAsia="仿宋_GB2312" w:cs="宋体"/>
                <w:color w:val="000000"/>
                <w:sz w:val="24"/>
              </w:rPr>
            </w:pPr>
            <w:r>
              <w:rPr>
                <w:rFonts w:hint="eastAsia" w:ascii="仿宋_GB2312" w:hAnsi="仿宋" w:eastAsia="仿宋_GB2312" w:cs="宋体"/>
                <w:color w:val="000000"/>
                <w:sz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0" w:hRule="atLeast"/>
          <w:jc w:val="center"/>
        </w:trPr>
        <w:tc>
          <w:tcPr>
            <w:tcW w:w="479" w:type="pct"/>
            <w:tcBorders>
              <w:top w:val="single" w:color="auto" w:sz="4" w:space="0"/>
              <w:left w:val="single" w:color="auto" w:sz="4" w:space="0"/>
              <w:bottom w:val="single" w:color="auto" w:sz="4" w:space="0"/>
              <w:right w:val="single" w:color="auto" w:sz="4" w:space="0"/>
            </w:tcBorders>
            <w:noWrap w:val="0"/>
            <w:vAlign w:val="center"/>
          </w:tcPr>
          <w:p>
            <w:pPr>
              <w:adjustRightInd/>
              <w:spacing w:line="360" w:lineRule="auto"/>
              <w:jc w:val="center"/>
              <w:rPr>
                <w:rFonts w:hint="eastAsia" w:ascii="仿宋_GB2312" w:hAnsi="仿宋" w:eastAsia="仿宋_GB2312" w:cs="宋体"/>
                <w:color w:val="000000"/>
                <w:sz w:val="24"/>
              </w:rPr>
            </w:pPr>
            <w:r>
              <w:rPr>
                <w:rFonts w:hint="eastAsia" w:ascii="仿宋_GB2312" w:hAnsi="仿宋" w:eastAsia="仿宋_GB2312" w:cs="宋体"/>
                <w:color w:val="000000"/>
                <w:sz w:val="24"/>
              </w:rPr>
              <w:t>1</w:t>
            </w:r>
          </w:p>
        </w:tc>
        <w:tc>
          <w:tcPr>
            <w:tcW w:w="749" w:type="pct"/>
            <w:vMerge w:val="restart"/>
            <w:tcBorders>
              <w:top w:val="single" w:color="auto" w:sz="4" w:space="0"/>
              <w:left w:val="single" w:color="auto" w:sz="4" w:space="0"/>
              <w:bottom w:val="single" w:color="auto" w:sz="4" w:space="0"/>
              <w:right w:val="single" w:color="auto" w:sz="4" w:space="0"/>
            </w:tcBorders>
            <w:noWrap w:val="0"/>
            <w:vAlign w:val="center"/>
          </w:tcPr>
          <w:p>
            <w:pPr>
              <w:adjustRightInd/>
              <w:spacing w:line="360" w:lineRule="auto"/>
              <w:jc w:val="center"/>
              <w:rPr>
                <w:rFonts w:hint="eastAsia" w:ascii="仿宋_GB2312" w:hAnsi="仿宋" w:eastAsia="仿宋_GB2312" w:cs="宋体"/>
                <w:color w:val="000000"/>
                <w:sz w:val="24"/>
              </w:rPr>
            </w:pPr>
            <w:r>
              <w:rPr>
                <w:rFonts w:hint="eastAsia" w:ascii="仿宋_GB2312" w:hAnsi="仿宋" w:eastAsia="仿宋_GB2312" w:cs="宋体"/>
                <w:color w:val="000000"/>
                <w:sz w:val="24"/>
              </w:rPr>
              <w:t>投标方案的科学性和完整性（10分）</w:t>
            </w:r>
          </w:p>
        </w:tc>
        <w:tc>
          <w:tcPr>
            <w:tcW w:w="3160" w:type="pct"/>
            <w:tcBorders>
              <w:top w:val="single" w:color="auto" w:sz="4" w:space="0"/>
              <w:left w:val="single" w:color="auto" w:sz="4" w:space="0"/>
              <w:bottom w:val="single" w:color="auto" w:sz="4" w:space="0"/>
              <w:right w:val="single" w:color="auto" w:sz="4" w:space="0"/>
            </w:tcBorders>
            <w:noWrap w:val="0"/>
            <w:vAlign w:val="top"/>
          </w:tcPr>
          <w:p>
            <w:pPr>
              <w:adjustRightInd/>
              <w:spacing w:line="360" w:lineRule="auto"/>
              <w:jc w:val="left"/>
              <w:rPr>
                <w:rFonts w:hint="eastAsia" w:ascii="仿宋_GB2312" w:hAnsi="仿宋" w:eastAsia="仿宋_GB2312" w:cs="宋体"/>
                <w:color w:val="000000"/>
                <w:sz w:val="24"/>
              </w:rPr>
            </w:pPr>
            <w:r>
              <w:rPr>
                <w:rFonts w:hint="eastAsia" w:ascii="仿宋_GB2312" w:hAnsi="仿宋" w:eastAsia="仿宋_GB2312" w:cs="宋体"/>
                <w:color w:val="000000"/>
                <w:sz w:val="24"/>
              </w:rPr>
              <w:t>按其提供的投标方案总体设计、建设方案（详细阐述业务系统的体系架构、功能模块，技术解决方案中体现包括“模型算子”、“模型推演室”）等方面进行打分，</w:t>
            </w:r>
            <w:r>
              <w:rPr>
                <w:rFonts w:hint="eastAsia" w:ascii="仿宋_GB2312" w:hAnsi="仿宋_GB2312" w:eastAsia="仿宋_GB2312" w:cs="仿宋_GB2312"/>
                <w:color w:val="000000"/>
                <w:sz w:val="24"/>
              </w:rPr>
              <w:t>优于项目需求的4.0.0-3.0分，符合项目需求</w:t>
            </w:r>
            <w:r>
              <w:rPr>
                <w:rFonts w:hint="eastAsia" w:ascii="仿宋_GB2312" w:hAnsi="仿宋" w:eastAsia="仿宋_GB2312" w:cs="宋体"/>
                <w:color w:val="000000"/>
                <w:sz w:val="24"/>
              </w:rPr>
              <w:t>的得2.9-1.0分，部分符合项目需求的得0.9-0.1分，不符合或不提供不得分。</w:t>
            </w:r>
          </w:p>
        </w:tc>
        <w:tc>
          <w:tcPr>
            <w:tcW w:w="612" w:type="pct"/>
            <w:tcBorders>
              <w:top w:val="single" w:color="auto" w:sz="4" w:space="0"/>
              <w:left w:val="single" w:color="auto" w:sz="4" w:space="0"/>
              <w:bottom w:val="single" w:color="auto" w:sz="4" w:space="0"/>
              <w:right w:val="single" w:color="auto" w:sz="4" w:space="0"/>
            </w:tcBorders>
            <w:noWrap w:val="0"/>
            <w:vAlign w:val="center"/>
          </w:tcPr>
          <w:p>
            <w:pPr>
              <w:adjustRightInd/>
              <w:spacing w:line="360" w:lineRule="auto"/>
              <w:jc w:val="center"/>
              <w:rPr>
                <w:rFonts w:hint="eastAsia" w:ascii="仿宋_GB2312" w:hAnsi="仿宋" w:eastAsia="仿宋_GB2312" w:cs="宋体"/>
                <w:color w:val="000000"/>
                <w:sz w:val="24"/>
              </w:rPr>
            </w:pPr>
            <w:r>
              <w:rPr>
                <w:rFonts w:hint="eastAsia" w:ascii="仿宋_GB2312" w:hAnsi="仿宋" w:eastAsia="仿宋_GB2312" w:cs="宋体"/>
                <w:color w:val="000000"/>
                <w:sz w:val="24"/>
              </w:rPr>
              <w:t>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0" w:hRule="atLeast"/>
          <w:jc w:val="center"/>
        </w:trPr>
        <w:tc>
          <w:tcPr>
            <w:tcW w:w="479" w:type="pct"/>
            <w:tcBorders>
              <w:top w:val="single" w:color="auto" w:sz="4" w:space="0"/>
              <w:left w:val="single" w:color="auto" w:sz="4" w:space="0"/>
              <w:bottom w:val="single" w:color="auto" w:sz="4" w:space="0"/>
              <w:right w:val="single" w:color="auto" w:sz="4" w:space="0"/>
            </w:tcBorders>
            <w:noWrap w:val="0"/>
            <w:vAlign w:val="center"/>
          </w:tcPr>
          <w:p>
            <w:pPr>
              <w:adjustRightInd/>
              <w:spacing w:line="360" w:lineRule="auto"/>
              <w:jc w:val="center"/>
              <w:rPr>
                <w:rFonts w:hint="eastAsia" w:ascii="仿宋_GB2312" w:hAnsi="仿宋" w:eastAsia="仿宋_GB2312" w:cs="宋体"/>
                <w:color w:val="000000"/>
                <w:sz w:val="24"/>
              </w:rPr>
            </w:pPr>
            <w:r>
              <w:rPr>
                <w:rFonts w:hint="eastAsia" w:ascii="仿宋_GB2312" w:hAnsi="仿宋" w:eastAsia="仿宋_GB2312" w:cs="宋体"/>
                <w:color w:val="000000"/>
                <w:sz w:val="24"/>
              </w:rPr>
              <w:t>2</w:t>
            </w: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jc w:val="left"/>
              <w:rPr>
                <w:rFonts w:hint="eastAsia" w:ascii="仿宋_GB2312" w:hAnsi="仿宋" w:eastAsia="仿宋_GB2312" w:cs="宋体"/>
                <w:color w:val="000000"/>
                <w:sz w:val="24"/>
              </w:rPr>
            </w:pPr>
          </w:p>
        </w:tc>
        <w:tc>
          <w:tcPr>
            <w:tcW w:w="3160" w:type="pct"/>
            <w:tcBorders>
              <w:top w:val="single" w:color="auto" w:sz="4" w:space="0"/>
              <w:left w:val="single" w:color="auto" w:sz="4" w:space="0"/>
              <w:bottom w:val="single" w:color="auto" w:sz="4" w:space="0"/>
              <w:right w:val="single" w:color="auto" w:sz="4" w:space="0"/>
            </w:tcBorders>
            <w:noWrap w:val="0"/>
            <w:vAlign w:val="top"/>
          </w:tcPr>
          <w:p>
            <w:pPr>
              <w:adjustRightInd/>
              <w:spacing w:line="360" w:lineRule="auto"/>
              <w:jc w:val="left"/>
              <w:rPr>
                <w:rFonts w:ascii="仿宋_GB2312" w:hAnsi="仿宋" w:eastAsia="仿宋_GB2312" w:cs="宋体"/>
                <w:color w:val="000000"/>
                <w:sz w:val="24"/>
              </w:rPr>
            </w:pPr>
            <w:r>
              <w:rPr>
                <w:rFonts w:hint="eastAsia" w:ascii="仿宋_GB2312" w:hAnsi="仿宋" w:eastAsia="仿宋_GB2312" w:cs="宋体"/>
                <w:color w:val="000000"/>
                <w:sz w:val="24"/>
              </w:rPr>
              <w:t>1、按其提供的投标方案中对系统提出整合建议和措施完整性、有效性、符合性等方面进行打分，</w:t>
            </w:r>
            <w:r>
              <w:rPr>
                <w:rFonts w:hint="eastAsia" w:ascii="仿宋_GB2312" w:hAnsi="仿宋" w:eastAsia="仿宋_GB2312" w:cs="仿宋_GB2312"/>
                <w:color w:val="000000"/>
                <w:sz w:val="24"/>
              </w:rPr>
              <w:t>优于项目需求的得2.0-1.5分，符合项目需求的得1.4-0.6分，部分符合项目需求的得0.5-0.1分，不符合或不提供不得分；</w:t>
            </w:r>
          </w:p>
          <w:p>
            <w:pPr>
              <w:adjustRightInd/>
              <w:spacing w:line="360" w:lineRule="auto"/>
              <w:jc w:val="left"/>
              <w:rPr>
                <w:rFonts w:ascii="仿宋_GB2312" w:hAnsi="仿宋" w:eastAsia="仿宋_GB2312" w:cs="宋体"/>
                <w:color w:val="000000"/>
                <w:sz w:val="24"/>
              </w:rPr>
            </w:pPr>
            <w:r>
              <w:rPr>
                <w:rFonts w:hint="eastAsia" w:ascii="仿宋_GB2312" w:hAnsi="仿宋" w:eastAsia="仿宋_GB2312" w:cs="宋体"/>
                <w:color w:val="000000"/>
                <w:sz w:val="24"/>
              </w:rPr>
              <w:t>2、按其详细阐述对系统建设目标、功能模块、重难点、实现思路完整性、有效性、符合性等方面进行打分，</w:t>
            </w:r>
            <w:r>
              <w:rPr>
                <w:rFonts w:hint="eastAsia" w:ascii="仿宋_GB2312" w:hAnsi="仿宋" w:eastAsia="仿宋_GB2312" w:cs="仿宋_GB2312"/>
                <w:color w:val="000000"/>
                <w:sz w:val="24"/>
              </w:rPr>
              <w:t>优于项目需求的得2.0-1.5分，符合项目需求的得1.4-0.6分，部分符合项目需求的得0.5-0.1分，不符合或不提供不得分</w:t>
            </w:r>
            <w:r>
              <w:rPr>
                <w:rFonts w:hint="eastAsia" w:ascii="仿宋_GB2312" w:hAnsi="仿宋" w:eastAsia="仿宋_GB2312" w:cs="宋体"/>
                <w:color w:val="000000"/>
                <w:sz w:val="24"/>
              </w:rPr>
              <w:t>;</w:t>
            </w:r>
          </w:p>
          <w:p>
            <w:pPr>
              <w:adjustRightInd/>
              <w:spacing w:line="360" w:lineRule="auto"/>
              <w:jc w:val="left"/>
              <w:rPr>
                <w:rFonts w:hint="eastAsia" w:ascii="仿宋_GB2312" w:hAnsi="仿宋" w:eastAsia="仿宋_GB2312" w:cs="宋体"/>
                <w:color w:val="000000"/>
                <w:sz w:val="24"/>
              </w:rPr>
            </w:pPr>
            <w:r>
              <w:rPr>
                <w:rFonts w:hint="eastAsia" w:ascii="仿宋_GB2312" w:hAnsi="仿宋" w:eastAsia="仿宋_GB2312" w:cs="宋体"/>
                <w:color w:val="000000"/>
                <w:sz w:val="24"/>
              </w:rPr>
              <w:t>3、按其提供的关键技术的理解等方面进行打分，</w:t>
            </w:r>
            <w:r>
              <w:rPr>
                <w:rFonts w:hint="eastAsia" w:ascii="仿宋_GB2312" w:hAnsi="仿宋" w:eastAsia="仿宋_GB2312" w:cs="仿宋_GB2312"/>
                <w:color w:val="000000"/>
                <w:sz w:val="24"/>
              </w:rPr>
              <w:t>优于项目需求的得2.0-1.5分，符合项目需求的得1.4-0.6分，部分符合项目需求的得0.5-0.1分，不符合或不提供不得分</w:t>
            </w:r>
            <w:r>
              <w:rPr>
                <w:rFonts w:hint="eastAsia" w:ascii="仿宋_GB2312" w:hAnsi="仿宋" w:eastAsia="仿宋_GB2312" w:cs="宋体"/>
                <w:color w:val="000000"/>
                <w:sz w:val="24"/>
              </w:rPr>
              <w:t>;</w:t>
            </w:r>
          </w:p>
        </w:tc>
        <w:tc>
          <w:tcPr>
            <w:tcW w:w="612" w:type="pct"/>
            <w:tcBorders>
              <w:top w:val="single" w:color="auto" w:sz="4" w:space="0"/>
              <w:left w:val="single" w:color="auto" w:sz="4" w:space="0"/>
              <w:bottom w:val="single" w:color="auto" w:sz="4" w:space="0"/>
              <w:right w:val="single" w:color="auto" w:sz="4" w:space="0"/>
            </w:tcBorders>
            <w:noWrap w:val="0"/>
            <w:vAlign w:val="center"/>
          </w:tcPr>
          <w:p>
            <w:pPr>
              <w:adjustRightInd/>
              <w:spacing w:line="360" w:lineRule="auto"/>
              <w:jc w:val="center"/>
              <w:rPr>
                <w:rFonts w:hint="eastAsia" w:ascii="仿宋_GB2312" w:hAnsi="仿宋" w:eastAsia="仿宋_GB2312" w:cs="宋体"/>
                <w:color w:val="000000"/>
                <w:sz w:val="24"/>
              </w:rPr>
            </w:pPr>
            <w:r>
              <w:rPr>
                <w:rFonts w:hint="eastAsia" w:ascii="仿宋_GB2312" w:hAnsi="仿宋" w:eastAsia="仿宋_GB2312" w:cs="宋体"/>
                <w:color w:val="000000"/>
                <w:sz w:val="24"/>
              </w:rPr>
              <w:t>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0" w:hRule="atLeast"/>
          <w:jc w:val="center"/>
        </w:trPr>
        <w:tc>
          <w:tcPr>
            <w:tcW w:w="479" w:type="pct"/>
            <w:vMerge w:val="restart"/>
            <w:tcBorders>
              <w:top w:val="single" w:color="auto" w:sz="4" w:space="0"/>
              <w:left w:val="single" w:color="auto" w:sz="4" w:space="0"/>
              <w:right w:val="single" w:color="auto" w:sz="4" w:space="0"/>
            </w:tcBorders>
            <w:noWrap w:val="0"/>
            <w:vAlign w:val="center"/>
          </w:tcPr>
          <w:p>
            <w:pPr>
              <w:adjustRightInd/>
              <w:spacing w:line="360" w:lineRule="auto"/>
              <w:jc w:val="center"/>
              <w:rPr>
                <w:rFonts w:hint="eastAsia" w:ascii="仿宋_GB2312" w:hAnsi="仿宋" w:eastAsia="仿宋_GB2312" w:cs="宋体"/>
                <w:color w:val="000000"/>
                <w:sz w:val="24"/>
              </w:rPr>
            </w:pPr>
            <w:r>
              <w:rPr>
                <w:rFonts w:hint="eastAsia" w:ascii="仿宋_GB2312" w:hAnsi="仿宋" w:eastAsia="仿宋_GB2312" w:cs="宋体"/>
                <w:color w:val="000000"/>
                <w:sz w:val="24"/>
              </w:rPr>
              <w:t>3</w:t>
            </w:r>
          </w:p>
        </w:tc>
        <w:tc>
          <w:tcPr>
            <w:tcW w:w="749" w:type="pct"/>
            <w:vMerge w:val="restart"/>
            <w:tcBorders>
              <w:top w:val="single" w:color="auto" w:sz="4" w:space="0"/>
              <w:left w:val="single" w:color="auto" w:sz="4" w:space="0"/>
              <w:bottom w:val="single" w:color="auto" w:sz="4" w:space="0"/>
              <w:right w:val="single" w:color="auto" w:sz="4" w:space="0"/>
            </w:tcBorders>
            <w:noWrap w:val="0"/>
            <w:vAlign w:val="center"/>
          </w:tcPr>
          <w:p>
            <w:pPr>
              <w:adjustRightInd/>
              <w:spacing w:line="360" w:lineRule="auto"/>
              <w:jc w:val="center"/>
              <w:rPr>
                <w:rFonts w:hint="eastAsia" w:ascii="仿宋_GB2312" w:hAnsi="仿宋" w:eastAsia="仿宋_GB2312" w:cs="宋体"/>
                <w:color w:val="000000"/>
                <w:sz w:val="24"/>
              </w:rPr>
            </w:pPr>
            <w:r>
              <w:rPr>
                <w:rFonts w:hint="eastAsia" w:ascii="仿宋_GB2312" w:hAnsi="仿宋" w:eastAsia="仿宋_GB2312" w:cs="宋体"/>
                <w:color w:val="000000"/>
                <w:sz w:val="24"/>
              </w:rPr>
              <w:t>平台衔接（4分）</w:t>
            </w:r>
          </w:p>
        </w:tc>
        <w:tc>
          <w:tcPr>
            <w:tcW w:w="3160" w:type="pct"/>
            <w:tcBorders>
              <w:top w:val="single" w:color="auto" w:sz="4" w:space="0"/>
              <w:left w:val="single" w:color="auto" w:sz="4" w:space="0"/>
              <w:bottom w:val="single" w:color="auto" w:sz="4" w:space="0"/>
              <w:right w:val="single" w:color="auto" w:sz="4" w:space="0"/>
            </w:tcBorders>
            <w:noWrap w:val="0"/>
            <w:vAlign w:val="top"/>
          </w:tcPr>
          <w:p>
            <w:pPr>
              <w:adjustRightInd/>
              <w:spacing w:line="360" w:lineRule="auto"/>
              <w:jc w:val="left"/>
              <w:rPr>
                <w:rFonts w:hint="eastAsia" w:ascii="仿宋_GB2312" w:hAnsi="仿宋" w:eastAsia="仿宋_GB2312" w:cs="宋体"/>
                <w:color w:val="000000"/>
                <w:sz w:val="24"/>
              </w:rPr>
            </w:pPr>
            <w:r>
              <w:rPr>
                <w:rFonts w:hint="eastAsia" w:ascii="仿宋_GB2312" w:hAnsi="仿宋" w:eastAsia="仿宋_GB2312" w:cs="宋体"/>
                <w:color w:val="000000"/>
                <w:sz w:val="24"/>
              </w:rPr>
              <w:t>提供承诺，承诺本次项目能与现有实战平台系统无缝对接，满足得2分，否则不得分（2分）</w:t>
            </w:r>
          </w:p>
        </w:tc>
        <w:tc>
          <w:tcPr>
            <w:tcW w:w="612" w:type="pct"/>
            <w:tcBorders>
              <w:top w:val="single" w:color="auto" w:sz="4" w:space="0"/>
              <w:left w:val="single" w:color="auto" w:sz="4" w:space="0"/>
              <w:bottom w:val="single" w:color="auto" w:sz="4" w:space="0"/>
              <w:right w:val="single" w:color="auto" w:sz="4" w:space="0"/>
            </w:tcBorders>
            <w:noWrap w:val="0"/>
            <w:vAlign w:val="center"/>
          </w:tcPr>
          <w:p>
            <w:pPr>
              <w:adjustRightInd/>
              <w:spacing w:line="360" w:lineRule="auto"/>
              <w:jc w:val="center"/>
              <w:rPr>
                <w:rFonts w:hint="eastAsia" w:ascii="仿宋_GB2312" w:hAnsi="仿宋" w:eastAsia="仿宋_GB2312" w:cs="宋体"/>
                <w:color w:val="000000"/>
                <w:sz w:val="24"/>
              </w:rPr>
            </w:pPr>
            <w:r>
              <w:rPr>
                <w:rFonts w:hint="eastAsia" w:ascii="仿宋_GB2312" w:hAnsi="仿宋" w:eastAsia="仿宋_GB2312" w:cs="宋体"/>
                <w:color w:val="000000"/>
                <w:sz w:val="24"/>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0" w:hRule="atLeast"/>
          <w:jc w:val="center"/>
        </w:trPr>
        <w:tc>
          <w:tcPr>
            <w:tcW w:w="479" w:type="pct"/>
            <w:vMerge w:val="continue"/>
            <w:tcBorders>
              <w:left w:val="single" w:color="auto" w:sz="4" w:space="0"/>
              <w:bottom w:val="single" w:color="auto" w:sz="4" w:space="0"/>
              <w:right w:val="single" w:color="auto" w:sz="4" w:space="0"/>
            </w:tcBorders>
            <w:noWrap w:val="0"/>
            <w:vAlign w:val="center"/>
          </w:tcPr>
          <w:p>
            <w:pPr>
              <w:adjustRightInd/>
              <w:spacing w:line="360" w:lineRule="auto"/>
              <w:jc w:val="center"/>
              <w:rPr>
                <w:rFonts w:hint="eastAsia" w:ascii="仿宋_GB2312" w:hAnsi="仿宋" w:eastAsia="仿宋_GB2312" w:cs="宋体"/>
                <w:color w:val="000000"/>
                <w:sz w:val="24"/>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jc w:val="left"/>
              <w:rPr>
                <w:rFonts w:hint="eastAsia" w:ascii="仿宋_GB2312" w:hAnsi="仿宋" w:eastAsia="仿宋_GB2312" w:cs="宋体"/>
                <w:color w:val="000000"/>
                <w:sz w:val="24"/>
              </w:rPr>
            </w:pPr>
          </w:p>
        </w:tc>
        <w:tc>
          <w:tcPr>
            <w:tcW w:w="3160" w:type="pct"/>
            <w:tcBorders>
              <w:top w:val="single" w:color="auto" w:sz="4" w:space="0"/>
              <w:left w:val="single" w:color="auto" w:sz="4" w:space="0"/>
              <w:bottom w:val="single" w:color="auto" w:sz="4" w:space="0"/>
              <w:right w:val="single" w:color="auto" w:sz="4" w:space="0"/>
            </w:tcBorders>
            <w:noWrap w:val="0"/>
            <w:vAlign w:val="top"/>
          </w:tcPr>
          <w:p>
            <w:pPr>
              <w:adjustRightInd/>
              <w:spacing w:line="360" w:lineRule="auto"/>
              <w:jc w:val="left"/>
              <w:rPr>
                <w:rFonts w:hint="eastAsia" w:ascii="仿宋_GB2312" w:hAnsi="仿宋" w:eastAsia="仿宋_GB2312" w:cs="宋体"/>
                <w:color w:val="000000"/>
                <w:sz w:val="24"/>
              </w:rPr>
            </w:pPr>
            <w:r>
              <w:rPr>
                <w:rFonts w:hint="eastAsia" w:ascii="仿宋_GB2312" w:hAnsi="仿宋" w:eastAsia="仿宋_GB2312" w:cs="宋体"/>
                <w:color w:val="000000"/>
                <w:sz w:val="24"/>
              </w:rPr>
              <w:t>提供承诺，承诺本次项目能与“云上公安”的无缝对接，满足得2分，否则不得分（2分）</w:t>
            </w:r>
          </w:p>
        </w:tc>
        <w:tc>
          <w:tcPr>
            <w:tcW w:w="612" w:type="pct"/>
            <w:tcBorders>
              <w:top w:val="single" w:color="auto" w:sz="4" w:space="0"/>
              <w:left w:val="single" w:color="auto" w:sz="4" w:space="0"/>
              <w:bottom w:val="single" w:color="auto" w:sz="4" w:space="0"/>
              <w:right w:val="single" w:color="auto" w:sz="4" w:space="0"/>
            </w:tcBorders>
            <w:noWrap w:val="0"/>
            <w:vAlign w:val="center"/>
          </w:tcPr>
          <w:p>
            <w:pPr>
              <w:adjustRightInd/>
              <w:spacing w:line="360" w:lineRule="auto"/>
              <w:jc w:val="center"/>
              <w:rPr>
                <w:rFonts w:hint="eastAsia" w:ascii="仿宋_GB2312" w:hAnsi="仿宋" w:eastAsia="仿宋_GB2312" w:cs="宋体"/>
                <w:color w:val="000000"/>
                <w:sz w:val="24"/>
              </w:rPr>
            </w:pPr>
            <w:r>
              <w:rPr>
                <w:rFonts w:hint="eastAsia" w:ascii="仿宋_GB2312" w:hAnsi="仿宋" w:eastAsia="仿宋_GB2312" w:cs="宋体"/>
                <w:color w:val="000000"/>
                <w:sz w:val="24"/>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0" w:hRule="atLeast"/>
          <w:jc w:val="center"/>
        </w:trPr>
        <w:tc>
          <w:tcPr>
            <w:tcW w:w="479" w:type="pct"/>
            <w:tcBorders>
              <w:top w:val="single" w:color="auto" w:sz="4" w:space="0"/>
              <w:left w:val="single" w:color="auto" w:sz="4" w:space="0"/>
              <w:bottom w:val="single" w:color="auto" w:sz="4" w:space="0"/>
              <w:right w:val="single" w:color="auto" w:sz="4" w:space="0"/>
            </w:tcBorders>
            <w:noWrap w:val="0"/>
            <w:vAlign w:val="center"/>
          </w:tcPr>
          <w:p>
            <w:pPr>
              <w:adjustRightInd/>
              <w:spacing w:line="360" w:lineRule="auto"/>
              <w:jc w:val="center"/>
              <w:rPr>
                <w:rFonts w:hint="eastAsia" w:ascii="仿宋_GB2312" w:hAnsi="仿宋" w:eastAsia="仿宋_GB2312" w:cs="宋体"/>
                <w:color w:val="000000"/>
                <w:sz w:val="24"/>
              </w:rPr>
            </w:pPr>
            <w:r>
              <w:rPr>
                <w:rFonts w:ascii="仿宋_GB2312" w:hAnsi="仿宋" w:eastAsia="仿宋_GB2312" w:cs="宋体"/>
                <w:color w:val="000000"/>
                <w:sz w:val="24"/>
              </w:rPr>
              <w:t>4</w:t>
            </w:r>
          </w:p>
        </w:tc>
        <w:tc>
          <w:tcPr>
            <w:tcW w:w="749" w:type="pct"/>
            <w:tcBorders>
              <w:top w:val="single" w:color="auto" w:sz="4" w:space="0"/>
              <w:left w:val="single" w:color="auto" w:sz="4" w:space="0"/>
              <w:bottom w:val="single" w:color="auto" w:sz="4" w:space="0"/>
              <w:right w:val="single" w:color="auto" w:sz="4" w:space="0"/>
            </w:tcBorders>
            <w:noWrap w:val="0"/>
            <w:vAlign w:val="center"/>
          </w:tcPr>
          <w:p>
            <w:pPr>
              <w:adjustRightInd/>
              <w:spacing w:line="360" w:lineRule="auto"/>
              <w:jc w:val="center"/>
              <w:rPr>
                <w:rFonts w:hint="eastAsia" w:ascii="仿宋_GB2312" w:hAnsi="仿宋" w:eastAsia="仿宋_GB2312" w:cs="宋体"/>
                <w:color w:val="000000"/>
                <w:sz w:val="24"/>
              </w:rPr>
            </w:pPr>
            <w:r>
              <w:rPr>
                <w:rFonts w:hint="eastAsia" w:ascii="仿宋_GB2312" w:hAnsi="仿宋" w:eastAsia="仿宋_GB2312" w:cs="宋体"/>
                <w:color w:val="000000"/>
                <w:sz w:val="24"/>
              </w:rPr>
              <w:t>现场演示（24分）</w:t>
            </w:r>
          </w:p>
        </w:tc>
        <w:tc>
          <w:tcPr>
            <w:tcW w:w="3160" w:type="pct"/>
            <w:tcBorders>
              <w:top w:val="single" w:color="auto" w:sz="4" w:space="0"/>
              <w:left w:val="single" w:color="auto" w:sz="4" w:space="0"/>
              <w:bottom w:val="single" w:color="auto" w:sz="4" w:space="0"/>
              <w:right w:val="single" w:color="auto" w:sz="4" w:space="0"/>
            </w:tcBorders>
            <w:noWrap w:val="0"/>
            <w:vAlign w:val="top"/>
          </w:tcPr>
          <w:p>
            <w:pPr>
              <w:adjustRightInd/>
              <w:spacing w:line="360" w:lineRule="auto"/>
              <w:jc w:val="left"/>
              <w:rPr>
                <w:rFonts w:ascii="仿宋_GB2312" w:hAnsi="仿宋" w:eastAsia="仿宋_GB2312" w:cs="宋体"/>
                <w:b/>
                <w:bCs/>
                <w:color w:val="000000"/>
                <w:sz w:val="24"/>
              </w:rPr>
            </w:pPr>
            <w:r>
              <w:rPr>
                <w:rFonts w:hint="eastAsia" w:ascii="仿宋_GB2312" w:hAnsi="仿宋" w:eastAsia="仿宋_GB2312" w:cs="宋体"/>
                <w:b/>
                <w:bCs/>
                <w:color w:val="000000"/>
                <w:sz w:val="24"/>
              </w:rPr>
              <w:t>演示内容：</w:t>
            </w:r>
          </w:p>
          <w:p>
            <w:pPr>
              <w:adjustRightInd/>
              <w:spacing w:line="360" w:lineRule="auto"/>
              <w:jc w:val="left"/>
              <w:rPr>
                <w:rFonts w:ascii="仿宋_GB2312" w:hAnsi="仿宋" w:eastAsia="仿宋_GB2312" w:cs="宋体"/>
                <w:color w:val="000000"/>
                <w:sz w:val="24"/>
              </w:rPr>
            </w:pPr>
            <w:r>
              <w:rPr>
                <w:rFonts w:hint="eastAsia" w:ascii="仿宋_GB2312" w:hAnsi="仿宋" w:eastAsia="仿宋_GB2312" w:cs="宋体"/>
                <w:color w:val="000000"/>
                <w:sz w:val="24"/>
              </w:rPr>
              <w:t>1）模型推演室：演示功能内容包括常用模型算子总览得2分、线下数据源上传得2分、数据表字段筛选得2分、常用画布工具（保存、清除等）得2分、自定义交差并集拖拽组合计算得2分，不演示不得分（10分）；</w:t>
            </w:r>
          </w:p>
          <w:p>
            <w:pPr>
              <w:adjustRightInd/>
              <w:spacing w:line="360" w:lineRule="auto"/>
              <w:jc w:val="left"/>
              <w:rPr>
                <w:rFonts w:ascii="仿宋_GB2312" w:hAnsi="仿宋" w:eastAsia="仿宋_GB2312" w:cs="宋体"/>
                <w:color w:val="000000"/>
                <w:sz w:val="24"/>
              </w:rPr>
            </w:pPr>
            <w:r>
              <w:rPr>
                <w:rFonts w:hint="eastAsia" w:ascii="仿宋_GB2312" w:hAnsi="仿宋" w:eastAsia="仿宋_GB2312" w:cs="宋体"/>
                <w:color w:val="000000"/>
                <w:sz w:val="24"/>
              </w:rPr>
              <w:t>2）模型商城：演示功能内容包括自建模型发布展示得2分、商城模型直接用于自定义模型推演得2分、模型详情查看得2分、模型查询及热度排行得2分，不演示不得分（8分）；</w:t>
            </w:r>
          </w:p>
          <w:p>
            <w:pPr>
              <w:adjustRightInd/>
              <w:spacing w:line="360" w:lineRule="auto"/>
              <w:jc w:val="left"/>
              <w:rPr>
                <w:rFonts w:ascii="仿宋_GB2312" w:hAnsi="仿宋" w:eastAsia="仿宋_GB2312" w:cs="宋体"/>
                <w:color w:val="000000"/>
                <w:sz w:val="24"/>
              </w:rPr>
            </w:pPr>
            <w:r>
              <w:rPr>
                <w:rFonts w:hint="eastAsia" w:ascii="仿宋_GB2312" w:hAnsi="仿宋" w:eastAsia="仿宋_GB2312" w:cs="宋体"/>
                <w:color w:val="000000"/>
                <w:sz w:val="24"/>
              </w:rPr>
              <w:t>3）我的算子：演示功能内容包括自定义构建我的算子得2分、我的算子直接用于模型推演得2分、查询及管理我的算子得2分，不演示不得分（6分）。</w:t>
            </w:r>
          </w:p>
          <w:p>
            <w:pPr>
              <w:adjustRightInd/>
              <w:spacing w:line="360" w:lineRule="auto"/>
              <w:jc w:val="left"/>
              <w:rPr>
                <w:rFonts w:ascii="仿宋_GB2312" w:hAnsi="仿宋" w:eastAsia="仿宋_GB2312" w:cs="宋体"/>
                <w:color w:val="000000"/>
                <w:sz w:val="24"/>
              </w:rPr>
            </w:pPr>
            <w:r>
              <w:rPr>
                <w:rFonts w:hint="eastAsia" w:ascii="仿宋_GB2312" w:hAnsi="仿宋" w:eastAsia="仿宋_GB2312" w:cs="宋体"/>
                <w:b/>
                <w:bCs/>
                <w:color w:val="000000"/>
                <w:sz w:val="24"/>
              </w:rPr>
              <w:t>说明：</w:t>
            </w:r>
            <w:r>
              <w:rPr>
                <w:rFonts w:hint="eastAsia" w:ascii="仿宋_GB2312" w:hAnsi="仿宋" w:eastAsia="仿宋_GB2312" w:cs="宋体"/>
                <w:color w:val="000000"/>
                <w:sz w:val="24"/>
              </w:rPr>
              <w:t>1、采用图片、PPT、Axure等高保真演示的上述演示不得分；</w:t>
            </w:r>
          </w:p>
          <w:p>
            <w:pPr>
              <w:adjustRightInd/>
              <w:spacing w:line="360" w:lineRule="auto"/>
              <w:jc w:val="left"/>
              <w:rPr>
                <w:rFonts w:hint="eastAsia" w:ascii="仿宋_GB2312" w:hAnsi="仿宋" w:eastAsia="仿宋_GB2312" w:cs="宋体"/>
                <w:dstrike/>
                <w:color w:val="000000"/>
                <w:sz w:val="24"/>
              </w:rPr>
            </w:pPr>
            <w:r>
              <w:rPr>
                <w:rFonts w:hint="eastAsia" w:ascii="仿宋_GB2312" w:hAnsi="仿宋" w:eastAsia="仿宋_GB2312" w:cs="宋体"/>
                <w:color w:val="000000"/>
                <w:sz w:val="24"/>
              </w:rPr>
              <w:t>2、演示其它要求详见前附表。</w:t>
            </w:r>
          </w:p>
        </w:tc>
        <w:tc>
          <w:tcPr>
            <w:tcW w:w="612" w:type="pct"/>
            <w:tcBorders>
              <w:top w:val="single" w:color="auto" w:sz="4" w:space="0"/>
              <w:left w:val="single" w:color="auto" w:sz="4" w:space="0"/>
              <w:bottom w:val="single" w:color="auto" w:sz="4" w:space="0"/>
              <w:right w:val="single" w:color="auto" w:sz="4" w:space="0"/>
            </w:tcBorders>
            <w:noWrap w:val="0"/>
            <w:vAlign w:val="center"/>
          </w:tcPr>
          <w:p>
            <w:pPr>
              <w:adjustRightInd/>
              <w:spacing w:line="360" w:lineRule="auto"/>
              <w:jc w:val="center"/>
              <w:rPr>
                <w:rFonts w:hint="eastAsia" w:ascii="仿宋_GB2312" w:hAnsi="仿宋" w:eastAsia="仿宋_GB2312" w:cs="宋体"/>
                <w:color w:val="000000"/>
                <w:sz w:val="24"/>
              </w:rPr>
            </w:pPr>
            <w:r>
              <w:rPr>
                <w:rFonts w:hint="eastAsia" w:ascii="仿宋_GB2312" w:hAnsi="仿宋" w:eastAsia="仿宋_GB2312" w:cs="宋体"/>
                <w:color w:val="000000"/>
                <w:sz w:val="24"/>
              </w:rPr>
              <w:t>2</w:t>
            </w:r>
            <w:r>
              <w:rPr>
                <w:rFonts w:ascii="仿宋_GB2312" w:hAnsi="仿宋" w:eastAsia="仿宋_GB2312" w:cs="宋体"/>
                <w:color w:val="000000"/>
                <w:sz w:val="24"/>
              </w:rPr>
              <w:t>4</w:t>
            </w:r>
            <w:r>
              <w:rPr>
                <w:rFonts w:hint="eastAsia" w:ascii="仿宋_GB2312" w:hAnsi="仿宋" w:eastAsia="仿宋_GB2312" w:cs="宋体"/>
                <w:color w:val="000000"/>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0" w:hRule="atLeast"/>
          <w:jc w:val="center"/>
        </w:trPr>
        <w:tc>
          <w:tcPr>
            <w:tcW w:w="479" w:type="pct"/>
            <w:vMerge w:val="restart"/>
            <w:tcBorders>
              <w:top w:val="single" w:color="auto" w:sz="4" w:space="0"/>
              <w:left w:val="single" w:color="auto" w:sz="4" w:space="0"/>
              <w:right w:val="single" w:color="auto" w:sz="4" w:space="0"/>
            </w:tcBorders>
            <w:noWrap w:val="0"/>
            <w:vAlign w:val="center"/>
          </w:tcPr>
          <w:p>
            <w:pPr>
              <w:adjustRightInd/>
              <w:spacing w:line="360" w:lineRule="auto"/>
              <w:jc w:val="center"/>
              <w:rPr>
                <w:rFonts w:hint="eastAsia" w:ascii="仿宋_GB2312" w:hAnsi="仿宋" w:eastAsia="仿宋_GB2312" w:cs="宋体"/>
                <w:color w:val="000000"/>
                <w:sz w:val="24"/>
              </w:rPr>
            </w:pPr>
            <w:r>
              <w:rPr>
                <w:rFonts w:hint="eastAsia" w:ascii="仿宋_GB2312" w:hAnsi="仿宋" w:eastAsia="仿宋_GB2312" w:cs="宋体"/>
                <w:color w:val="000000"/>
                <w:sz w:val="24"/>
              </w:rPr>
              <w:t>5</w:t>
            </w:r>
          </w:p>
        </w:tc>
        <w:tc>
          <w:tcPr>
            <w:tcW w:w="749" w:type="pct"/>
            <w:vMerge w:val="restart"/>
            <w:tcBorders>
              <w:top w:val="single" w:color="auto" w:sz="4" w:space="0"/>
              <w:left w:val="single" w:color="auto" w:sz="4" w:space="0"/>
              <w:bottom w:val="single" w:color="auto" w:sz="4" w:space="0"/>
              <w:right w:val="single" w:color="auto" w:sz="4" w:space="0"/>
            </w:tcBorders>
            <w:noWrap w:val="0"/>
            <w:vAlign w:val="center"/>
          </w:tcPr>
          <w:p>
            <w:pPr>
              <w:adjustRightInd/>
              <w:spacing w:line="360" w:lineRule="auto"/>
              <w:jc w:val="center"/>
              <w:rPr>
                <w:rFonts w:hint="eastAsia" w:ascii="仿宋_GB2312" w:hAnsi="仿宋" w:eastAsia="仿宋_GB2312" w:cs="宋体"/>
                <w:color w:val="000000"/>
                <w:sz w:val="24"/>
              </w:rPr>
            </w:pPr>
            <w:r>
              <w:rPr>
                <w:rFonts w:hint="eastAsia" w:ascii="仿宋_GB2312" w:hAnsi="仿宋" w:eastAsia="仿宋_GB2312" w:cs="宋体"/>
                <w:color w:val="000000"/>
                <w:sz w:val="24"/>
              </w:rPr>
              <w:t>质量保证措施和建设工期情况（2分）</w:t>
            </w:r>
          </w:p>
        </w:tc>
        <w:tc>
          <w:tcPr>
            <w:tcW w:w="3160" w:type="pct"/>
            <w:tcBorders>
              <w:top w:val="single" w:color="auto" w:sz="4" w:space="0"/>
              <w:left w:val="single" w:color="auto" w:sz="4" w:space="0"/>
              <w:bottom w:val="single" w:color="auto" w:sz="4" w:space="0"/>
              <w:right w:val="single" w:color="auto" w:sz="4" w:space="0"/>
            </w:tcBorders>
            <w:noWrap w:val="0"/>
            <w:vAlign w:val="top"/>
          </w:tcPr>
          <w:p>
            <w:pPr>
              <w:adjustRightInd/>
              <w:spacing w:line="360" w:lineRule="auto"/>
              <w:jc w:val="left"/>
              <w:rPr>
                <w:rFonts w:hint="eastAsia" w:ascii="仿宋_GB2312" w:hAnsi="仿宋" w:eastAsia="仿宋_GB2312" w:cs="宋体"/>
                <w:color w:val="000000"/>
                <w:sz w:val="24"/>
              </w:rPr>
            </w:pPr>
            <w:r>
              <w:rPr>
                <w:rFonts w:hint="eastAsia" w:ascii="仿宋_GB2312" w:hAnsi="仿宋" w:eastAsia="仿宋_GB2312" w:cs="宋体"/>
                <w:color w:val="000000"/>
                <w:sz w:val="24"/>
              </w:rPr>
              <w:t>按其提供的明确的建设质量目标、质量保证措施、详细可行的实施内容及工期保证等方面进行打分，</w:t>
            </w:r>
            <w:r>
              <w:rPr>
                <w:rFonts w:hint="eastAsia" w:ascii="仿宋_GB2312" w:hAnsi="仿宋" w:eastAsia="仿宋_GB2312" w:cs="仿宋_GB2312"/>
                <w:color w:val="000000"/>
                <w:sz w:val="24"/>
              </w:rPr>
              <w:t>优于项目需求的得</w:t>
            </w:r>
            <w:r>
              <w:rPr>
                <w:rFonts w:ascii="仿宋_GB2312" w:hAnsi="仿宋" w:eastAsia="仿宋_GB2312" w:cs="仿宋_GB2312"/>
                <w:color w:val="000000"/>
                <w:sz w:val="24"/>
              </w:rPr>
              <w:t>1</w:t>
            </w:r>
            <w:r>
              <w:rPr>
                <w:rFonts w:hint="eastAsia" w:ascii="仿宋_GB2312" w:hAnsi="仿宋" w:eastAsia="仿宋_GB2312" w:cs="仿宋_GB2312"/>
                <w:color w:val="000000"/>
                <w:sz w:val="24"/>
              </w:rPr>
              <w:t>.0-</w:t>
            </w:r>
            <w:r>
              <w:rPr>
                <w:rFonts w:ascii="仿宋_GB2312" w:hAnsi="仿宋" w:eastAsia="仿宋_GB2312" w:cs="仿宋_GB2312"/>
                <w:color w:val="000000"/>
                <w:sz w:val="24"/>
              </w:rPr>
              <w:t>0</w:t>
            </w:r>
            <w:r>
              <w:rPr>
                <w:rFonts w:hint="eastAsia" w:ascii="仿宋_GB2312" w:hAnsi="仿宋" w:eastAsia="仿宋_GB2312" w:cs="仿宋_GB2312"/>
                <w:color w:val="000000"/>
                <w:sz w:val="24"/>
              </w:rPr>
              <w:t>.</w:t>
            </w:r>
            <w:r>
              <w:rPr>
                <w:rFonts w:ascii="仿宋_GB2312" w:hAnsi="仿宋" w:eastAsia="仿宋_GB2312" w:cs="仿宋_GB2312"/>
                <w:color w:val="000000"/>
                <w:sz w:val="24"/>
              </w:rPr>
              <w:t>8</w:t>
            </w:r>
            <w:r>
              <w:rPr>
                <w:rFonts w:hint="eastAsia" w:ascii="仿宋_GB2312" w:hAnsi="仿宋" w:eastAsia="仿宋_GB2312" w:cs="仿宋_GB2312"/>
                <w:color w:val="000000"/>
                <w:sz w:val="24"/>
              </w:rPr>
              <w:t>分，符合项目需求的得</w:t>
            </w:r>
            <w:r>
              <w:rPr>
                <w:rFonts w:ascii="仿宋_GB2312" w:hAnsi="仿宋" w:eastAsia="仿宋_GB2312" w:cs="仿宋_GB2312"/>
                <w:color w:val="000000"/>
                <w:sz w:val="24"/>
              </w:rPr>
              <w:t>0.7</w:t>
            </w:r>
            <w:r>
              <w:rPr>
                <w:rFonts w:hint="eastAsia" w:ascii="仿宋_GB2312" w:hAnsi="仿宋" w:eastAsia="仿宋_GB2312" w:cs="仿宋_GB2312"/>
                <w:color w:val="000000"/>
                <w:sz w:val="24"/>
              </w:rPr>
              <w:t>-0.</w:t>
            </w:r>
            <w:r>
              <w:rPr>
                <w:rFonts w:ascii="仿宋_GB2312" w:hAnsi="仿宋" w:eastAsia="仿宋_GB2312" w:cs="仿宋_GB2312"/>
                <w:color w:val="000000"/>
                <w:sz w:val="24"/>
              </w:rPr>
              <w:t>4</w:t>
            </w:r>
            <w:r>
              <w:rPr>
                <w:rFonts w:hint="eastAsia" w:ascii="仿宋_GB2312" w:hAnsi="仿宋" w:eastAsia="仿宋_GB2312" w:cs="仿宋_GB2312"/>
                <w:color w:val="000000"/>
                <w:sz w:val="24"/>
              </w:rPr>
              <w:t>分，部分符合项目需求的得0.</w:t>
            </w:r>
            <w:r>
              <w:rPr>
                <w:rFonts w:ascii="仿宋_GB2312" w:hAnsi="仿宋" w:eastAsia="仿宋_GB2312" w:cs="仿宋_GB2312"/>
                <w:color w:val="000000"/>
                <w:sz w:val="24"/>
              </w:rPr>
              <w:t>3</w:t>
            </w:r>
            <w:r>
              <w:rPr>
                <w:rFonts w:hint="eastAsia" w:ascii="仿宋_GB2312" w:hAnsi="仿宋" w:eastAsia="仿宋_GB2312" w:cs="仿宋_GB2312"/>
                <w:color w:val="000000"/>
                <w:sz w:val="24"/>
              </w:rPr>
              <w:t>-0.1分，不符合或不提供不得分。</w:t>
            </w:r>
          </w:p>
        </w:tc>
        <w:tc>
          <w:tcPr>
            <w:tcW w:w="612" w:type="pct"/>
            <w:tcBorders>
              <w:top w:val="single" w:color="auto" w:sz="4" w:space="0"/>
              <w:left w:val="single" w:color="auto" w:sz="4" w:space="0"/>
              <w:bottom w:val="single" w:color="auto" w:sz="4" w:space="0"/>
              <w:right w:val="single" w:color="auto" w:sz="4" w:space="0"/>
            </w:tcBorders>
            <w:noWrap w:val="0"/>
            <w:vAlign w:val="center"/>
          </w:tcPr>
          <w:p>
            <w:pPr>
              <w:adjustRightInd/>
              <w:spacing w:line="360" w:lineRule="auto"/>
              <w:jc w:val="center"/>
              <w:rPr>
                <w:rFonts w:hint="eastAsia" w:ascii="仿宋_GB2312" w:hAnsi="仿宋" w:eastAsia="仿宋_GB2312" w:cs="宋体"/>
                <w:color w:val="000000"/>
                <w:sz w:val="24"/>
              </w:rPr>
            </w:pPr>
            <w:r>
              <w:rPr>
                <w:rFonts w:hint="eastAsia" w:ascii="仿宋_GB2312" w:hAnsi="仿宋" w:eastAsia="仿宋_GB2312" w:cs="宋体"/>
                <w:color w:val="000000"/>
                <w:sz w:val="24"/>
              </w:rPr>
              <w:t>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0" w:hRule="atLeast"/>
          <w:jc w:val="center"/>
        </w:trPr>
        <w:tc>
          <w:tcPr>
            <w:tcW w:w="479" w:type="pct"/>
            <w:vMerge w:val="continue"/>
            <w:tcBorders>
              <w:left w:val="single" w:color="auto" w:sz="4" w:space="0"/>
              <w:bottom w:val="single" w:color="auto" w:sz="4" w:space="0"/>
              <w:right w:val="single" w:color="auto" w:sz="4" w:space="0"/>
            </w:tcBorders>
            <w:noWrap w:val="0"/>
            <w:vAlign w:val="center"/>
          </w:tcPr>
          <w:p>
            <w:pPr>
              <w:adjustRightInd/>
              <w:spacing w:line="360" w:lineRule="auto"/>
              <w:jc w:val="center"/>
              <w:rPr>
                <w:rFonts w:hint="eastAsia" w:ascii="仿宋_GB2312" w:hAnsi="仿宋" w:eastAsia="仿宋_GB2312" w:cs="宋体"/>
                <w:color w:val="000000"/>
                <w:sz w:val="24"/>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jc w:val="left"/>
              <w:rPr>
                <w:rFonts w:hint="eastAsia" w:ascii="仿宋_GB2312" w:hAnsi="仿宋" w:eastAsia="仿宋_GB2312" w:cs="宋体"/>
                <w:color w:val="000000"/>
                <w:sz w:val="24"/>
              </w:rPr>
            </w:pPr>
          </w:p>
        </w:tc>
        <w:tc>
          <w:tcPr>
            <w:tcW w:w="3160" w:type="pct"/>
            <w:tcBorders>
              <w:top w:val="single" w:color="auto" w:sz="4" w:space="0"/>
              <w:left w:val="single" w:color="auto" w:sz="4" w:space="0"/>
              <w:bottom w:val="single" w:color="auto" w:sz="4" w:space="0"/>
              <w:right w:val="single" w:color="auto" w:sz="4" w:space="0"/>
            </w:tcBorders>
            <w:noWrap w:val="0"/>
            <w:vAlign w:val="top"/>
          </w:tcPr>
          <w:p>
            <w:pPr>
              <w:adjustRightInd/>
              <w:spacing w:line="360" w:lineRule="auto"/>
              <w:jc w:val="left"/>
              <w:rPr>
                <w:rFonts w:hint="eastAsia" w:ascii="仿宋_GB2312" w:hAnsi="仿宋" w:eastAsia="仿宋_GB2312" w:cs="宋体"/>
                <w:color w:val="000000"/>
                <w:sz w:val="24"/>
              </w:rPr>
            </w:pPr>
            <w:r>
              <w:rPr>
                <w:rFonts w:hint="eastAsia" w:ascii="仿宋_GB2312" w:hAnsi="仿宋" w:eastAsia="仿宋_GB2312" w:cs="宋体"/>
                <w:color w:val="000000"/>
                <w:sz w:val="24"/>
              </w:rPr>
              <w:t>按其按期完成上线运行、验收等措施等方面进行打分，</w:t>
            </w:r>
            <w:r>
              <w:rPr>
                <w:rFonts w:hint="eastAsia" w:ascii="仿宋_GB2312" w:hAnsi="仿宋" w:eastAsia="仿宋_GB2312" w:cs="仿宋_GB2312"/>
                <w:color w:val="000000"/>
                <w:sz w:val="24"/>
              </w:rPr>
              <w:t>优于项目需求的得</w:t>
            </w:r>
            <w:r>
              <w:rPr>
                <w:rFonts w:ascii="仿宋_GB2312" w:hAnsi="仿宋" w:eastAsia="仿宋_GB2312" w:cs="仿宋_GB2312"/>
                <w:color w:val="000000"/>
                <w:sz w:val="24"/>
              </w:rPr>
              <w:t>1</w:t>
            </w:r>
            <w:r>
              <w:rPr>
                <w:rFonts w:hint="eastAsia" w:ascii="仿宋_GB2312" w:hAnsi="仿宋" w:eastAsia="仿宋_GB2312" w:cs="仿宋_GB2312"/>
                <w:color w:val="000000"/>
                <w:sz w:val="24"/>
              </w:rPr>
              <w:t>.0-</w:t>
            </w:r>
            <w:r>
              <w:rPr>
                <w:rFonts w:ascii="仿宋_GB2312" w:hAnsi="仿宋" w:eastAsia="仿宋_GB2312" w:cs="仿宋_GB2312"/>
                <w:color w:val="000000"/>
                <w:sz w:val="24"/>
              </w:rPr>
              <w:t>0</w:t>
            </w:r>
            <w:r>
              <w:rPr>
                <w:rFonts w:hint="eastAsia" w:ascii="仿宋_GB2312" w:hAnsi="仿宋" w:eastAsia="仿宋_GB2312" w:cs="仿宋_GB2312"/>
                <w:color w:val="000000"/>
                <w:sz w:val="24"/>
              </w:rPr>
              <w:t>.</w:t>
            </w:r>
            <w:r>
              <w:rPr>
                <w:rFonts w:ascii="仿宋_GB2312" w:hAnsi="仿宋" w:eastAsia="仿宋_GB2312" w:cs="仿宋_GB2312"/>
                <w:color w:val="000000"/>
                <w:sz w:val="24"/>
              </w:rPr>
              <w:t>8</w:t>
            </w:r>
            <w:r>
              <w:rPr>
                <w:rFonts w:hint="eastAsia" w:ascii="仿宋_GB2312" w:hAnsi="仿宋" w:eastAsia="仿宋_GB2312" w:cs="仿宋_GB2312"/>
                <w:color w:val="000000"/>
                <w:sz w:val="24"/>
              </w:rPr>
              <w:t>分，符合项目需求的得</w:t>
            </w:r>
            <w:r>
              <w:rPr>
                <w:rFonts w:ascii="仿宋_GB2312" w:hAnsi="仿宋" w:eastAsia="仿宋_GB2312" w:cs="仿宋_GB2312"/>
                <w:color w:val="000000"/>
                <w:sz w:val="24"/>
              </w:rPr>
              <w:t>0.7</w:t>
            </w:r>
            <w:r>
              <w:rPr>
                <w:rFonts w:hint="eastAsia" w:ascii="仿宋_GB2312" w:hAnsi="仿宋" w:eastAsia="仿宋_GB2312" w:cs="仿宋_GB2312"/>
                <w:color w:val="000000"/>
                <w:sz w:val="24"/>
              </w:rPr>
              <w:t>-0.</w:t>
            </w:r>
            <w:r>
              <w:rPr>
                <w:rFonts w:ascii="仿宋_GB2312" w:hAnsi="仿宋" w:eastAsia="仿宋_GB2312" w:cs="仿宋_GB2312"/>
                <w:color w:val="000000"/>
                <w:sz w:val="24"/>
              </w:rPr>
              <w:t>4</w:t>
            </w:r>
            <w:r>
              <w:rPr>
                <w:rFonts w:hint="eastAsia" w:ascii="仿宋_GB2312" w:hAnsi="仿宋" w:eastAsia="仿宋_GB2312" w:cs="仿宋_GB2312"/>
                <w:color w:val="000000"/>
                <w:sz w:val="24"/>
              </w:rPr>
              <w:t>分，部分符合项目需求的得0.</w:t>
            </w:r>
            <w:r>
              <w:rPr>
                <w:rFonts w:ascii="仿宋_GB2312" w:hAnsi="仿宋" w:eastAsia="仿宋_GB2312" w:cs="仿宋_GB2312"/>
                <w:color w:val="000000"/>
                <w:sz w:val="24"/>
              </w:rPr>
              <w:t>3</w:t>
            </w:r>
            <w:r>
              <w:rPr>
                <w:rFonts w:hint="eastAsia" w:ascii="仿宋_GB2312" w:hAnsi="仿宋" w:eastAsia="仿宋_GB2312" w:cs="仿宋_GB2312"/>
                <w:color w:val="000000"/>
                <w:sz w:val="24"/>
              </w:rPr>
              <w:t>-0.1分，不符合或不提供不得分。</w:t>
            </w:r>
          </w:p>
        </w:tc>
        <w:tc>
          <w:tcPr>
            <w:tcW w:w="612" w:type="pct"/>
            <w:tcBorders>
              <w:top w:val="single" w:color="auto" w:sz="4" w:space="0"/>
              <w:left w:val="single" w:color="auto" w:sz="4" w:space="0"/>
              <w:bottom w:val="single" w:color="auto" w:sz="4" w:space="0"/>
              <w:right w:val="single" w:color="auto" w:sz="4" w:space="0"/>
            </w:tcBorders>
            <w:noWrap w:val="0"/>
            <w:vAlign w:val="center"/>
          </w:tcPr>
          <w:p>
            <w:pPr>
              <w:adjustRightInd/>
              <w:spacing w:line="360" w:lineRule="auto"/>
              <w:jc w:val="center"/>
              <w:rPr>
                <w:rFonts w:hint="eastAsia" w:ascii="仿宋_GB2312" w:hAnsi="仿宋" w:eastAsia="仿宋_GB2312" w:cs="宋体"/>
                <w:color w:val="000000"/>
                <w:sz w:val="24"/>
              </w:rPr>
            </w:pPr>
            <w:r>
              <w:rPr>
                <w:rFonts w:hint="eastAsia" w:ascii="仿宋_GB2312" w:hAnsi="仿宋" w:eastAsia="仿宋_GB2312" w:cs="宋体"/>
                <w:color w:val="000000"/>
                <w:sz w:val="24"/>
              </w:rPr>
              <w:t>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 w:hRule="atLeast"/>
          <w:jc w:val="center"/>
        </w:trPr>
        <w:tc>
          <w:tcPr>
            <w:tcW w:w="479" w:type="pct"/>
            <w:vMerge w:val="restart"/>
            <w:tcBorders>
              <w:top w:val="single" w:color="auto" w:sz="4" w:space="0"/>
              <w:left w:val="single" w:color="auto" w:sz="4" w:space="0"/>
              <w:right w:val="single" w:color="auto" w:sz="4" w:space="0"/>
            </w:tcBorders>
            <w:noWrap w:val="0"/>
            <w:vAlign w:val="center"/>
          </w:tcPr>
          <w:p>
            <w:pPr>
              <w:adjustRightInd/>
              <w:spacing w:line="360" w:lineRule="auto"/>
              <w:jc w:val="center"/>
              <w:rPr>
                <w:rFonts w:hint="eastAsia" w:ascii="仿宋_GB2312" w:hAnsi="仿宋" w:eastAsia="仿宋_GB2312" w:cs="宋体"/>
                <w:color w:val="000000"/>
                <w:sz w:val="24"/>
              </w:rPr>
            </w:pPr>
            <w:r>
              <w:rPr>
                <w:rFonts w:hint="eastAsia" w:ascii="仿宋_GB2312" w:hAnsi="仿宋" w:eastAsia="仿宋_GB2312" w:cs="宋体"/>
                <w:color w:val="000000"/>
                <w:sz w:val="24"/>
              </w:rPr>
              <w:t>6</w:t>
            </w:r>
          </w:p>
        </w:tc>
        <w:tc>
          <w:tcPr>
            <w:tcW w:w="749" w:type="pct"/>
            <w:vMerge w:val="restart"/>
            <w:tcBorders>
              <w:top w:val="single" w:color="auto" w:sz="4" w:space="0"/>
              <w:left w:val="single" w:color="auto" w:sz="4" w:space="0"/>
              <w:bottom w:val="single" w:color="auto" w:sz="4" w:space="0"/>
              <w:right w:val="single" w:color="auto" w:sz="4" w:space="0"/>
            </w:tcBorders>
            <w:noWrap w:val="0"/>
            <w:vAlign w:val="center"/>
          </w:tcPr>
          <w:p>
            <w:pPr>
              <w:adjustRightInd/>
              <w:spacing w:line="360" w:lineRule="auto"/>
              <w:rPr>
                <w:rFonts w:hint="eastAsia" w:ascii="仿宋_GB2312" w:hAnsi="仿宋" w:eastAsia="仿宋_GB2312" w:cs="宋体"/>
                <w:color w:val="000000"/>
                <w:sz w:val="24"/>
              </w:rPr>
            </w:pPr>
            <w:r>
              <w:rPr>
                <w:rFonts w:hint="eastAsia" w:ascii="仿宋_GB2312" w:hAnsi="仿宋" w:eastAsia="仿宋_GB2312" w:cs="宋体"/>
                <w:color w:val="000000"/>
                <w:sz w:val="24"/>
              </w:rPr>
              <w:t>培训、测试、试运行和验收（4分）</w:t>
            </w:r>
          </w:p>
        </w:tc>
        <w:tc>
          <w:tcPr>
            <w:tcW w:w="3160" w:type="pct"/>
            <w:tcBorders>
              <w:top w:val="single" w:color="auto" w:sz="4" w:space="0"/>
              <w:left w:val="single" w:color="auto" w:sz="4" w:space="0"/>
              <w:bottom w:val="single" w:color="auto" w:sz="4" w:space="0"/>
              <w:right w:val="single" w:color="auto" w:sz="4" w:space="0"/>
            </w:tcBorders>
            <w:noWrap w:val="0"/>
            <w:vAlign w:val="top"/>
          </w:tcPr>
          <w:p>
            <w:pPr>
              <w:adjustRightInd/>
              <w:spacing w:line="360" w:lineRule="auto"/>
              <w:jc w:val="left"/>
              <w:rPr>
                <w:rFonts w:ascii="仿宋_GB2312" w:hAnsi="仿宋" w:eastAsia="仿宋_GB2312" w:cs="仿宋_GB2312"/>
                <w:color w:val="000000"/>
                <w:sz w:val="24"/>
              </w:rPr>
            </w:pPr>
            <w:r>
              <w:rPr>
                <w:rFonts w:hint="eastAsia" w:ascii="仿宋_GB2312" w:hAnsi="仿宋" w:eastAsia="仿宋_GB2312" w:cs="仿宋_GB2312"/>
                <w:color w:val="000000"/>
                <w:sz w:val="24"/>
              </w:rPr>
              <w:t>1、按其提供的功能测试及试运行的合理性、可行性情况等方面进行打分，优于项目需求的得</w:t>
            </w:r>
            <w:r>
              <w:rPr>
                <w:rFonts w:ascii="仿宋_GB2312" w:hAnsi="仿宋" w:eastAsia="仿宋_GB2312" w:cs="仿宋_GB2312"/>
                <w:color w:val="000000"/>
                <w:sz w:val="24"/>
              </w:rPr>
              <w:t>1</w:t>
            </w:r>
            <w:r>
              <w:rPr>
                <w:rFonts w:hint="eastAsia" w:ascii="仿宋_GB2312" w:hAnsi="仿宋" w:eastAsia="仿宋_GB2312" w:cs="仿宋_GB2312"/>
                <w:color w:val="000000"/>
                <w:sz w:val="24"/>
              </w:rPr>
              <w:t>.0-</w:t>
            </w:r>
            <w:r>
              <w:rPr>
                <w:rFonts w:ascii="仿宋_GB2312" w:hAnsi="仿宋" w:eastAsia="仿宋_GB2312" w:cs="仿宋_GB2312"/>
                <w:color w:val="000000"/>
                <w:sz w:val="24"/>
              </w:rPr>
              <w:t>0</w:t>
            </w:r>
            <w:r>
              <w:rPr>
                <w:rFonts w:hint="eastAsia" w:ascii="仿宋_GB2312" w:hAnsi="仿宋" w:eastAsia="仿宋_GB2312" w:cs="仿宋_GB2312"/>
                <w:color w:val="000000"/>
                <w:sz w:val="24"/>
              </w:rPr>
              <w:t>.</w:t>
            </w:r>
            <w:r>
              <w:rPr>
                <w:rFonts w:ascii="仿宋_GB2312" w:hAnsi="仿宋" w:eastAsia="仿宋_GB2312" w:cs="仿宋_GB2312"/>
                <w:color w:val="000000"/>
                <w:sz w:val="24"/>
              </w:rPr>
              <w:t>8</w:t>
            </w:r>
            <w:r>
              <w:rPr>
                <w:rFonts w:hint="eastAsia" w:ascii="仿宋_GB2312" w:hAnsi="仿宋" w:eastAsia="仿宋_GB2312" w:cs="仿宋_GB2312"/>
                <w:color w:val="000000"/>
                <w:sz w:val="24"/>
              </w:rPr>
              <w:t>分，符合项目需求的得</w:t>
            </w:r>
            <w:r>
              <w:rPr>
                <w:rFonts w:ascii="仿宋_GB2312" w:hAnsi="仿宋" w:eastAsia="仿宋_GB2312" w:cs="仿宋_GB2312"/>
                <w:color w:val="000000"/>
                <w:sz w:val="24"/>
              </w:rPr>
              <w:t>0.7</w:t>
            </w:r>
            <w:r>
              <w:rPr>
                <w:rFonts w:hint="eastAsia" w:ascii="仿宋_GB2312" w:hAnsi="仿宋" w:eastAsia="仿宋_GB2312" w:cs="仿宋_GB2312"/>
                <w:color w:val="000000"/>
                <w:sz w:val="24"/>
              </w:rPr>
              <w:t>-0.</w:t>
            </w:r>
            <w:r>
              <w:rPr>
                <w:rFonts w:ascii="仿宋_GB2312" w:hAnsi="仿宋" w:eastAsia="仿宋_GB2312" w:cs="仿宋_GB2312"/>
                <w:color w:val="000000"/>
                <w:sz w:val="24"/>
              </w:rPr>
              <w:t>4</w:t>
            </w:r>
            <w:r>
              <w:rPr>
                <w:rFonts w:hint="eastAsia" w:ascii="仿宋_GB2312" w:hAnsi="仿宋" w:eastAsia="仿宋_GB2312" w:cs="仿宋_GB2312"/>
                <w:color w:val="000000"/>
                <w:sz w:val="24"/>
              </w:rPr>
              <w:t>分，部分符合项目需求的得0.</w:t>
            </w:r>
            <w:r>
              <w:rPr>
                <w:rFonts w:ascii="仿宋_GB2312" w:hAnsi="仿宋" w:eastAsia="仿宋_GB2312" w:cs="仿宋_GB2312"/>
                <w:color w:val="000000"/>
                <w:sz w:val="24"/>
              </w:rPr>
              <w:t>3</w:t>
            </w:r>
            <w:r>
              <w:rPr>
                <w:rFonts w:hint="eastAsia" w:ascii="仿宋_GB2312" w:hAnsi="仿宋" w:eastAsia="仿宋_GB2312" w:cs="仿宋_GB2312"/>
                <w:color w:val="000000"/>
                <w:sz w:val="24"/>
              </w:rPr>
              <w:t>-0.1分，不符合或不提供不得分。</w:t>
            </w:r>
          </w:p>
          <w:p>
            <w:pPr>
              <w:adjustRightInd/>
              <w:spacing w:line="360" w:lineRule="auto"/>
              <w:jc w:val="left"/>
              <w:rPr>
                <w:rFonts w:hint="eastAsia" w:ascii="仿宋_GB2312" w:hAnsi="仿宋" w:eastAsia="仿宋_GB2312" w:cs="仿宋_GB2312"/>
                <w:color w:val="000000"/>
                <w:sz w:val="24"/>
              </w:rPr>
            </w:pPr>
            <w:r>
              <w:rPr>
                <w:rFonts w:hint="eastAsia" w:ascii="仿宋_GB2312" w:hAnsi="仿宋" w:eastAsia="仿宋_GB2312" w:cs="仿宋_GB2312"/>
                <w:color w:val="000000"/>
                <w:sz w:val="24"/>
              </w:rPr>
              <w:t>2、按其验收方案的合理性、可行性情况等方面进行打分，优于项目需求的得</w:t>
            </w:r>
            <w:r>
              <w:rPr>
                <w:rFonts w:ascii="仿宋_GB2312" w:hAnsi="仿宋" w:eastAsia="仿宋_GB2312" w:cs="仿宋_GB2312"/>
                <w:color w:val="000000"/>
                <w:sz w:val="24"/>
              </w:rPr>
              <w:t>1</w:t>
            </w:r>
            <w:r>
              <w:rPr>
                <w:rFonts w:hint="eastAsia" w:ascii="仿宋_GB2312" w:hAnsi="仿宋" w:eastAsia="仿宋_GB2312" w:cs="仿宋_GB2312"/>
                <w:color w:val="000000"/>
                <w:sz w:val="24"/>
              </w:rPr>
              <w:t>.0-</w:t>
            </w:r>
            <w:r>
              <w:rPr>
                <w:rFonts w:ascii="仿宋_GB2312" w:hAnsi="仿宋" w:eastAsia="仿宋_GB2312" w:cs="仿宋_GB2312"/>
                <w:color w:val="000000"/>
                <w:sz w:val="24"/>
              </w:rPr>
              <w:t>0</w:t>
            </w:r>
            <w:r>
              <w:rPr>
                <w:rFonts w:hint="eastAsia" w:ascii="仿宋_GB2312" w:hAnsi="仿宋" w:eastAsia="仿宋_GB2312" w:cs="仿宋_GB2312"/>
                <w:color w:val="000000"/>
                <w:sz w:val="24"/>
              </w:rPr>
              <w:t>.</w:t>
            </w:r>
            <w:r>
              <w:rPr>
                <w:rFonts w:ascii="仿宋_GB2312" w:hAnsi="仿宋" w:eastAsia="仿宋_GB2312" w:cs="仿宋_GB2312"/>
                <w:color w:val="000000"/>
                <w:sz w:val="24"/>
              </w:rPr>
              <w:t>8</w:t>
            </w:r>
            <w:r>
              <w:rPr>
                <w:rFonts w:hint="eastAsia" w:ascii="仿宋_GB2312" w:hAnsi="仿宋" w:eastAsia="仿宋_GB2312" w:cs="仿宋_GB2312"/>
                <w:color w:val="000000"/>
                <w:sz w:val="24"/>
              </w:rPr>
              <w:t>分，符合项目需求的得</w:t>
            </w:r>
            <w:r>
              <w:rPr>
                <w:rFonts w:ascii="仿宋_GB2312" w:hAnsi="仿宋" w:eastAsia="仿宋_GB2312" w:cs="仿宋_GB2312"/>
                <w:color w:val="000000"/>
                <w:sz w:val="24"/>
              </w:rPr>
              <w:t>0.7</w:t>
            </w:r>
            <w:r>
              <w:rPr>
                <w:rFonts w:hint="eastAsia" w:ascii="仿宋_GB2312" w:hAnsi="仿宋" w:eastAsia="仿宋_GB2312" w:cs="仿宋_GB2312"/>
                <w:color w:val="000000"/>
                <w:sz w:val="24"/>
              </w:rPr>
              <w:t>-0.</w:t>
            </w:r>
            <w:r>
              <w:rPr>
                <w:rFonts w:ascii="仿宋_GB2312" w:hAnsi="仿宋" w:eastAsia="仿宋_GB2312" w:cs="仿宋_GB2312"/>
                <w:color w:val="000000"/>
                <w:sz w:val="24"/>
              </w:rPr>
              <w:t>4</w:t>
            </w:r>
            <w:r>
              <w:rPr>
                <w:rFonts w:hint="eastAsia" w:ascii="仿宋_GB2312" w:hAnsi="仿宋" w:eastAsia="仿宋_GB2312" w:cs="仿宋_GB2312"/>
                <w:color w:val="000000"/>
                <w:sz w:val="24"/>
              </w:rPr>
              <w:t>分，部分符合项目需求的得0.</w:t>
            </w:r>
            <w:r>
              <w:rPr>
                <w:rFonts w:ascii="仿宋_GB2312" w:hAnsi="仿宋" w:eastAsia="仿宋_GB2312" w:cs="仿宋_GB2312"/>
                <w:color w:val="000000"/>
                <w:sz w:val="24"/>
              </w:rPr>
              <w:t>3</w:t>
            </w:r>
            <w:r>
              <w:rPr>
                <w:rFonts w:hint="eastAsia" w:ascii="仿宋_GB2312" w:hAnsi="仿宋" w:eastAsia="仿宋_GB2312" w:cs="仿宋_GB2312"/>
                <w:color w:val="000000"/>
                <w:sz w:val="24"/>
              </w:rPr>
              <w:t>-0.1分，不符合或不提供不得分。</w:t>
            </w:r>
          </w:p>
        </w:tc>
        <w:tc>
          <w:tcPr>
            <w:tcW w:w="612" w:type="pct"/>
            <w:tcBorders>
              <w:top w:val="single" w:color="auto" w:sz="4" w:space="0"/>
              <w:left w:val="single" w:color="auto" w:sz="4" w:space="0"/>
              <w:bottom w:val="single" w:color="auto" w:sz="4" w:space="0"/>
              <w:right w:val="single" w:color="auto" w:sz="4" w:space="0"/>
            </w:tcBorders>
            <w:noWrap w:val="0"/>
            <w:vAlign w:val="center"/>
          </w:tcPr>
          <w:p>
            <w:pPr>
              <w:adjustRightInd/>
              <w:spacing w:line="360" w:lineRule="auto"/>
              <w:jc w:val="center"/>
              <w:rPr>
                <w:rFonts w:hint="eastAsia" w:ascii="仿宋_GB2312" w:hAnsi="仿宋" w:eastAsia="仿宋_GB2312" w:cs="仿宋_GB2312"/>
                <w:color w:val="000000"/>
                <w:sz w:val="24"/>
              </w:rPr>
            </w:pPr>
            <w:r>
              <w:rPr>
                <w:rFonts w:hint="eastAsia" w:ascii="仿宋_GB2312" w:hAnsi="仿宋" w:eastAsia="仿宋_GB2312" w:cs="仿宋_GB2312"/>
                <w:color w:val="000000"/>
                <w:sz w:val="24"/>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48" w:hRule="atLeast"/>
          <w:jc w:val="center"/>
        </w:trPr>
        <w:tc>
          <w:tcPr>
            <w:tcW w:w="479" w:type="pct"/>
            <w:vMerge w:val="continue"/>
            <w:tcBorders>
              <w:left w:val="single" w:color="auto" w:sz="4" w:space="0"/>
              <w:bottom w:val="single" w:color="auto" w:sz="4" w:space="0"/>
              <w:right w:val="single" w:color="auto" w:sz="4" w:space="0"/>
            </w:tcBorders>
            <w:noWrap w:val="0"/>
            <w:vAlign w:val="center"/>
          </w:tcPr>
          <w:p>
            <w:pPr>
              <w:adjustRightInd/>
              <w:spacing w:line="360" w:lineRule="auto"/>
              <w:jc w:val="center"/>
              <w:rPr>
                <w:rFonts w:hint="eastAsia" w:ascii="仿宋_GB2312" w:hAnsi="仿宋" w:eastAsia="仿宋_GB2312" w:cs="宋体"/>
                <w:color w:val="000000"/>
                <w:sz w:val="24"/>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jc w:val="left"/>
              <w:rPr>
                <w:rFonts w:hint="eastAsia" w:ascii="仿宋_GB2312" w:hAnsi="仿宋" w:eastAsia="仿宋_GB2312" w:cs="宋体"/>
                <w:color w:val="000000"/>
                <w:sz w:val="24"/>
              </w:rPr>
            </w:pPr>
          </w:p>
        </w:tc>
        <w:tc>
          <w:tcPr>
            <w:tcW w:w="3160" w:type="pct"/>
            <w:tcBorders>
              <w:top w:val="single" w:color="auto" w:sz="4" w:space="0"/>
              <w:left w:val="single" w:color="auto" w:sz="4" w:space="0"/>
              <w:bottom w:val="single" w:color="auto" w:sz="4" w:space="0"/>
              <w:right w:val="single" w:color="auto" w:sz="4" w:space="0"/>
            </w:tcBorders>
            <w:noWrap w:val="0"/>
            <w:vAlign w:val="top"/>
          </w:tcPr>
          <w:p>
            <w:pPr>
              <w:adjustRightInd/>
              <w:spacing w:line="360" w:lineRule="auto"/>
              <w:jc w:val="left"/>
              <w:rPr>
                <w:rFonts w:hint="eastAsia" w:ascii="仿宋_GB2312" w:hAnsi="仿宋" w:eastAsia="仿宋_GB2312" w:cs="仿宋_GB2312"/>
                <w:color w:val="000000"/>
                <w:sz w:val="24"/>
              </w:rPr>
            </w:pPr>
            <w:r>
              <w:rPr>
                <w:rFonts w:hint="eastAsia" w:ascii="仿宋_GB2312" w:hAnsi="仿宋" w:eastAsia="仿宋_GB2312" w:cs="仿宋_GB2312"/>
                <w:color w:val="000000"/>
                <w:sz w:val="24"/>
              </w:rPr>
              <w:t>按其投标方案中描述培训内容、培训师资力量等方面进行打分，优于项目需求的得2.0-1.5分，符合项目需求的得1.4-0.6分，部分符合项目需求的得0.5-0.1分，不符合或不提供不得分。</w:t>
            </w:r>
          </w:p>
        </w:tc>
        <w:tc>
          <w:tcPr>
            <w:tcW w:w="612" w:type="pct"/>
            <w:tcBorders>
              <w:top w:val="single" w:color="auto" w:sz="4" w:space="0"/>
              <w:left w:val="single" w:color="auto" w:sz="4" w:space="0"/>
              <w:bottom w:val="single" w:color="auto" w:sz="4" w:space="0"/>
              <w:right w:val="single" w:color="auto" w:sz="4" w:space="0"/>
            </w:tcBorders>
            <w:noWrap w:val="0"/>
            <w:vAlign w:val="center"/>
          </w:tcPr>
          <w:p>
            <w:pPr>
              <w:adjustRightInd/>
              <w:spacing w:line="360" w:lineRule="auto"/>
              <w:jc w:val="center"/>
              <w:rPr>
                <w:rFonts w:hint="eastAsia" w:ascii="仿宋_GB2312" w:hAnsi="仿宋" w:eastAsia="仿宋_GB2312" w:cs="仿宋_GB2312"/>
                <w:color w:val="000000"/>
                <w:sz w:val="24"/>
              </w:rPr>
            </w:pPr>
            <w:r>
              <w:rPr>
                <w:rFonts w:hint="eastAsia" w:ascii="仿宋_GB2312" w:hAnsi="仿宋" w:eastAsia="仿宋_GB2312" w:cs="仿宋_GB2312"/>
                <w:color w:val="000000"/>
                <w:sz w:val="24"/>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0" w:hRule="atLeast"/>
          <w:jc w:val="center"/>
        </w:trPr>
        <w:tc>
          <w:tcPr>
            <w:tcW w:w="479" w:type="pct"/>
            <w:tcBorders>
              <w:top w:val="single" w:color="auto" w:sz="4" w:space="0"/>
              <w:left w:val="single" w:color="auto" w:sz="4" w:space="0"/>
              <w:bottom w:val="single" w:color="auto" w:sz="4" w:space="0"/>
              <w:right w:val="single" w:color="auto" w:sz="4" w:space="0"/>
            </w:tcBorders>
            <w:noWrap w:val="0"/>
            <w:vAlign w:val="center"/>
          </w:tcPr>
          <w:p>
            <w:pPr>
              <w:adjustRightInd/>
              <w:jc w:val="center"/>
              <w:rPr>
                <w:rFonts w:hint="eastAsia" w:ascii="仿宋_GB2312" w:hAnsi="仿宋" w:eastAsia="仿宋_GB2312" w:cs="仿宋"/>
                <w:color w:val="000000"/>
                <w:sz w:val="24"/>
              </w:rPr>
            </w:pPr>
            <w:r>
              <w:rPr>
                <w:rFonts w:ascii="仿宋_GB2312" w:hAnsi="仿宋" w:eastAsia="仿宋_GB2312" w:cs="仿宋"/>
                <w:color w:val="000000"/>
                <w:sz w:val="24"/>
              </w:rPr>
              <w:t>7</w:t>
            </w:r>
          </w:p>
        </w:tc>
        <w:tc>
          <w:tcPr>
            <w:tcW w:w="749" w:type="pct"/>
            <w:tcBorders>
              <w:top w:val="single" w:color="auto" w:sz="4" w:space="0"/>
              <w:left w:val="single" w:color="auto" w:sz="4" w:space="0"/>
              <w:bottom w:val="single" w:color="auto" w:sz="4" w:space="0"/>
              <w:right w:val="single" w:color="auto" w:sz="4" w:space="0"/>
            </w:tcBorders>
            <w:noWrap w:val="0"/>
            <w:vAlign w:val="center"/>
          </w:tcPr>
          <w:p>
            <w:pPr>
              <w:adjustRightInd/>
              <w:jc w:val="center"/>
              <w:rPr>
                <w:rFonts w:hint="eastAsia" w:ascii="仿宋_GB2312" w:hAnsi="仿宋" w:eastAsia="仿宋_GB2312" w:cs="仿宋"/>
                <w:color w:val="000000"/>
                <w:sz w:val="24"/>
              </w:rPr>
            </w:pPr>
            <w:r>
              <w:rPr>
                <w:rFonts w:hint="eastAsia" w:ascii="仿宋_GB2312" w:hAnsi="仿宋" w:eastAsia="仿宋_GB2312" w:cs="仿宋"/>
                <w:color w:val="000000"/>
                <w:sz w:val="24"/>
              </w:rPr>
              <w:t>项目组人员情况</w:t>
            </w:r>
          </w:p>
          <w:p>
            <w:pPr>
              <w:adjustRightInd/>
              <w:spacing w:line="360" w:lineRule="auto"/>
              <w:jc w:val="center"/>
              <w:rPr>
                <w:rFonts w:hint="eastAsia" w:ascii="仿宋_GB2312" w:hAnsi="仿宋" w:eastAsia="仿宋_GB2312" w:cs="宋体"/>
                <w:color w:val="000000"/>
                <w:sz w:val="24"/>
              </w:rPr>
            </w:pPr>
            <w:r>
              <w:rPr>
                <w:rFonts w:hint="eastAsia" w:ascii="仿宋_GB2312" w:hAnsi="仿宋" w:eastAsia="仿宋_GB2312" w:cs="仿宋"/>
                <w:color w:val="000000"/>
                <w:sz w:val="24"/>
              </w:rPr>
              <w:t>（10分）</w:t>
            </w:r>
          </w:p>
        </w:tc>
        <w:tc>
          <w:tcPr>
            <w:tcW w:w="3160" w:type="pct"/>
            <w:tcBorders>
              <w:top w:val="single" w:color="auto" w:sz="4" w:space="0"/>
              <w:left w:val="single" w:color="auto" w:sz="4" w:space="0"/>
              <w:bottom w:val="single" w:color="auto" w:sz="4" w:space="0"/>
              <w:right w:val="single" w:color="auto" w:sz="4" w:space="0"/>
            </w:tcBorders>
            <w:noWrap w:val="0"/>
            <w:vAlign w:val="top"/>
          </w:tcPr>
          <w:p>
            <w:pPr>
              <w:adjustRightInd/>
              <w:spacing w:line="360" w:lineRule="auto"/>
              <w:jc w:val="left"/>
              <w:rPr>
                <w:rFonts w:hint="eastAsia" w:ascii="仿宋_GB2312" w:hAnsi="仿宋" w:eastAsia="仿宋_GB2312" w:cs="仿宋"/>
                <w:color w:val="000000"/>
                <w:sz w:val="24"/>
              </w:rPr>
            </w:pPr>
            <w:r>
              <w:rPr>
                <w:rFonts w:hint="eastAsia" w:ascii="仿宋_GB2312" w:hAnsi="仿宋" w:eastAsia="仿宋_GB2312" w:cs="仿宋"/>
                <w:color w:val="000000"/>
                <w:sz w:val="24"/>
              </w:rPr>
              <w:t>项目经理具备PMP证书，并在本公司任职满1年（以社保缴纳证明为准）的得4分（4分）</w:t>
            </w:r>
          </w:p>
          <w:p>
            <w:pPr>
              <w:adjustRightInd/>
              <w:spacing w:line="360" w:lineRule="auto"/>
              <w:jc w:val="left"/>
              <w:rPr>
                <w:rFonts w:hint="eastAsia" w:ascii="仿宋_GB2312" w:hAnsi="仿宋" w:eastAsia="仿宋_GB2312" w:cs="仿宋"/>
                <w:color w:val="000000"/>
                <w:sz w:val="24"/>
              </w:rPr>
            </w:pPr>
            <w:r>
              <w:rPr>
                <w:rFonts w:hint="eastAsia" w:ascii="仿宋_GB2312" w:hAnsi="仿宋" w:eastAsia="仿宋_GB2312" w:cs="仿宋"/>
                <w:color w:val="000000"/>
                <w:sz w:val="24"/>
              </w:rPr>
              <w:t>项目组实施人员专业人员素质、技术能力、专业分布等情况。需具有类似项目实施经历；项目组人员具备中级及以上信息系统项目管理师证书的情况（一个证书得1分，最高得2分）；项目组人员具有PMP认证资质情况（一个证书得1分，最高得2分）；项目组人员具有数据库工程师（OCP）、Hadoop数据库工程师资质情况（每个证书得1分，最高得2分）（6分）。</w:t>
            </w:r>
          </w:p>
          <w:p>
            <w:pPr>
              <w:adjustRightInd/>
              <w:spacing w:line="360" w:lineRule="auto"/>
              <w:jc w:val="left"/>
              <w:rPr>
                <w:rFonts w:hint="eastAsia" w:ascii="仿宋_GB2312" w:hAnsi="仿宋" w:eastAsia="仿宋_GB2312" w:cs="仿宋"/>
                <w:color w:val="000000"/>
                <w:sz w:val="24"/>
              </w:rPr>
            </w:pPr>
            <w:r>
              <w:rPr>
                <w:rFonts w:hint="eastAsia" w:ascii="仿宋_GB2312" w:hAnsi="仿宋" w:eastAsia="仿宋_GB2312" w:cs="仿宋"/>
                <w:color w:val="000000"/>
                <w:sz w:val="24"/>
              </w:rPr>
              <w:t>要求提供项目经理近1年、其余人员近3个月的社保缴纳清单原件扫描件和上述人员身份证扫描件及证书原件扫描件，以上涉及到的证书均需相关政府部门颁发，培训等机构颁发的无效。</w:t>
            </w:r>
          </w:p>
        </w:tc>
        <w:tc>
          <w:tcPr>
            <w:tcW w:w="612" w:type="pct"/>
            <w:tcBorders>
              <w:top w:val="single" w:color="auto" w:sz="4" w:space="0"/>
              <w:left w:val="single" w:color="auto" w:sz="4" w:space="0"/>
              <w:bottom w:val="single" w:color="auto" w:sz="4" w:space="0"/>
              <w:right w:val="single" w:color="auto" w:sz="4" w:space="0"/>
            </w:tcBorders>
            <w:noWrap w:val="0"/>
            <w:vAlign w:val="center"/>
          </w:tcPr>
          <w:p>
            <w:pPr>
              <w:adjustRightInd/>
              <w:spacing w:line="360" w:lineRule="auto"/>
              <w:jc w:val="center"/>
              <w:rPr>
                <w:rFonts w:hint="eastAsia" w:ascii="仿宋_GB2312" w:hAnsi="仿宋" w:eastAsia="仿宋_GB2312" w:cs="仿宋"/>
                <w:color w:val="000000"/>
                <w:sz w:val="24"/>
              </w:rPr>
            </w:pPr>
            <w:r>
              <w:rPr>
                <w:rFonts w:hint="eastAsia" w:ascii="仿宋_GB2312" w:hAnsi="仿宋" w:eastAsia="仿宋_GB2312" w:cs="仿宋"/>
                <w:color w:val="000000"/>
                <w:sz w:val="24"/>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0" w:hRule="atLeast"/>
          <w:jc w:val="center"/>
        </w:trPr>
        <w:tc>
          <w:tcPr>
            <w:tcW w:w="479" w:type="pct"/>
            <w:vMerge w:val="restart"/>
            <w:tcBorders>
              <w:top w:val="single" w:color="auto" w:sz="4" w:space="0"/>
              <w:left w:val="single" w:color="auto" w:sz="4" w:space="0"/>
              <w:right w:val="single" w:color="auto" w:sz="4" w:space="0"/>
            </w:tcBorders>
            <w:noWrap w:val="0"/>
            <w:vAlign w:val="center"/>
          </w:tcPr>
          <w:p>
            <w:pPr>
              <w:spacing w:line="360" w:lineRule="auto"/>
              <w:jc w:val="center"/>
              <w:rPr>
                <w:rFonts w:hint="eastAsia" w:ascii="仿宋_GB2312" w:hAnsi="仿宋" w:eastAsia="仿宋_GB2312" w:cs="宋体"/>
                <w:color w:val="000000"/>
                <w:sz w:val="24"/>
              </w:rPr>
            </w:pPr>
            <w:r>
              <w:rPr>
                <w:rFonts w:ascii="仿宋_GB2312" w:hAnsi="仿宋" w:eastAsia="仿宋_GB2312" w:cs="宋体"/>
                <w:color w:val="000000"/>
                <w:sz w:val="24"/>
              </w:rPr>
              <w:t>8</w:t>
            </w:r>
          </w:p>
        </w:tc>
        <w:tc>
          <w:tcPr>
            <w:tcW w:w="749" w:type="pct"/>
            <w:vMerge w:val="restart"/>
            <w:tcBorders>
              <w:top w:val="single" w:color="auto" w:sz="4" w:space="0"/>
              <w:left w:val="single" w:color="auto" w:sz="4" w:space="0"/>
              <w:bottom w:val="single" w:color="auto" w:sz="4" w:space="0"/>
              <w:right w:val="single" w:color="auto" w:sz="4" w:space="0"/>
            </w:tcBorders>
            <w:noWrap w:val="0"/>
            <w:vAlign w:val="center"/>
          </w:tcPr>
          <w:p>
            <w:pPr>
              <w:adjustRightInd/>
              <w:spacing w:line="360" w:lineRule="auto"/>
              <w:jc w:val="center"/>
              <w:rPr>
                <w:rFonts w:hint="eastAsia" w:ascii="仿宋_GB2312" w:hAnsi="仿宋" w:eastAsia="仿宋_GB2312" w:cs="宋体"/>
                <w:color w:val="000000"/>
                <w:sz w:val="24"/>
              </w:rPr>
            </w:pPr>
            <w:r>
              <w:rPr>
                <w:rFonts w:hint="eastAsia" w:ascii="仿宋_GB2312" w:hAnsi="仿宋" w:eastAsia="仿宋_GB2312" w:cs="宋体"/>
                <w:color w:val="000000"/>
                <w:sz w:val="24"/>
              </w:rPr>
              <w:t>售后服务（3分）</w:t>
            </w:r>
          </w:p>
        </w:tc>
        <w:tc>
          <w:tcPr>
            <w:tcW w:w="3160" w:type="pct"/>
            <w:tcBorders>
              <w:top w:val="single" w:color="auto" w:sz="4" w:space="0"/>
              <w:left w:val="single" w:color="auto" w:sz="4" w:space="0"/>
              <w:bottom w:val="single" w:color="auto" w:sz="4" w:space="0"/>
              <w:right w:val="single" w:color="auto" w:sz="4" w:space="0"/>
            </w:tcBorders>
            <w:noWrap w:val="0"/>
            <w:vAlign w:val="top"/>
          </w:tcPr>
          <w:p>
            <w:pPr>
              <w:adjustRightInd/>
              <w:spacing w:line="360" w:lineRule="auto"/>
              <w:jc w:val="left"/>
              <w:rPr>
                <w:rFonts w:hint="eastAsia" w:ascii="仿宋_GB2312" w:hAnsi="仿宋" w:eastAsia="仿宋_GB2312" w:cs="宋体"/>
                <w:color w:val="000000"/>
                <w:sz w:val="24"/>
              </w:rPr>
            </w:pPr>
            <w:r>
              <w:rPr>
                <w:rFonts w:hint="eastAsia" w:ascii="仿宋_GB2312" w:hAnsi="仿宋" w:eastAsia="仿宋_GB2312" w:cs="宋体"/>
                <w:color w:val="000000"/>
                <w:sz w:val="24"/>
              </w:rPr>
              <w:t>在项目实施地区有售后服务机构或承诺中标后设立的得1分。</w:t>
            </w:r>
          </w:p>
        </w:tc>
        <w:tc>
          <w:tcPr>
            <w:tcW w:w="612" w:type="pct"/>
            <w:tcBorders>
              <w:top w:val="single" w:color="auto" w:sz="4" w:space="0"/>
              <w:left w:val="single" w:color="auto" w:sz="4" w:space="0"/>
              <w:bottom w:val="single" w:color="auto" w:sz="4" w:space="0"/>
              <w:right w:val="single" w:color="auto" w:sz="4" w:space="0"/>
            </w:tcBorders>
            <w:noWrap w:val="0"/>
            <w:vAlign w:val="center"/>
          </w:tcPr>
          <w:p>
            <w:pPr>
              <w:adjustRightInd/>
              <w:spacing w:line="360" w:lineRule="auto"/>
              <w:jc w:val="center"/>
              <w:rPr>
                <w:rFonts w:hint="eastAsia" w:ascii="仿宋_GB2312" w:hAnsi="仿宋" w:eastAsia="仿宋_GB2312" w:cs="宋体"/>
                <w:color w:val="000000"/>
                <w:sz w:val="24"/>
              </w:rPr>
            </w:pPr>
            <w:r>
              <w:rPr>
                <w:rFonts w:hint="eastAsia" w:ascii="仿宋_GB2312" w:hAnsi="仿宋" w:eastAsia="仿宋_GB2312" w:cs="宋体"/>
                <w:color w:val="000000"/>
                <w:sz w:val="24"/>
              </w:rPr>
              <w:t>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0" w:hRule="atLeast"/>
          <w:jc w:val="center"/>
        </w:trPr>
        <w:tc>
          <w:tcPr>
            <w:tcW w:w="479" w:type="pct"/>
            <w:vMerge w:val="continue"/>
            <w:tcBorders>
              <w:left w:val="single" w:color="auto" w:sz="4" w:space="0"/>
              <w:bottom w:val="single" w:color="auto" w:sz="4" w:space="0"/>
              <w:right w:val="single" w:color="auto" w:sz="4" w:space="0"/>
            </w:tcBorders>
            <w:noWrap w:val="0"/>
            <w:vAlign w:val="center"/>
          </w:tcPr>
          <w:p>
            <w:pPr>
              <w:adjustRightInd/>
              <w:spacing w:line="360" w:lineRule="auto"/>
              <w:jc w:val="center"/>
              <w:rPr>
                <w:rFonts w:hint="eastAsia" w:ascii="仿宋_GB2312" w:hAnsi="仿宋" w:eastAsia="仿宋_GB2312" w:cs="宋体"/>
                <w:color w:val="000000"/>
                <w:sz w:val="24"/>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jc w:val="left"/>
              <w:rPr>
                <w:rFonts w:hint="eastAsia" w:ascii="仿宋_GB2312" w:hAnsi="仿宋" w:eastAsia="仿宋_GB2312" w:cs="宋体"/>
                <w:color w:val="000000"/>
                <w:sz w:val="24"/>
              </w:rPr>
            </w:pPr>
          </w:p>
        </w:tc>
        <w:tc>
          <w:tcPr>
            <w:tcW w:w="3160" w:type="pct"/>
            <w:tcBorders>
              <w:top w:val="single" w:color="auto" w:sz="4" w:space="0"/>
              <w:left w:val="single" w:color="auto" w:sz="4" w:space="0"/>
              <w:bottom w:val="single" w:color="auto" w:sz="4" w:space="0"/>
              <w:right w:val="single" w:color="auto" w:sz="4" w:space="0"/>
            </w:tcBorders>
            <w:noWrap w:val="0"/>
            <w:vAlign w:val="top"/>
          </w:tcPr>
          <w:p>
            <w:pPr>
              <w:adjustRightInd/>
              <w:spacing w:line="360" w:lineRule="auto"/>
              <w:jc w:val="left"/>
              <w:rPr>
                <w:rFonts w:ascii="仿宋_GB2312" w:hAnsi="仿宋" w:eastAsia="仿宋_GB2312" w:cs="宋体"/>
                <w:color w:val="000000"/>
                <w:sz w:val="24"/>
              </w:rPr>
            </w:pPr>
            <w:r>
              <w:rPr>
                <w:rFonts w:hint="eastAsia" w:ascii="仿宋_GB2312" w:hAnsi="仿宋" w:eastAsia="仿宋_GB2312" w:cs="宋体"/>
                <w:color w:val="000000"/>
                <w:sz w:val="24"/>
              </w:rPr>
              <w:t>1、按其提供的售后服务方案、售后服务承诺的可行性、完整性以及服务承诺落实的保障措施，维护期内外的后续技术支持和维护能力情况等方面进行打分，</w:t>
            </w:r>
            <w:r>
              <w:rPr>
                <w:rFonts w:hint="eastAsia" w:ascii="仿宋_GB2312" w:hAnsi="仿宋" w:eastAsia="仿宋_GB2312" w:cs="仿宋_GB2312"/>
                <w:color w:val="000000"/>
                <w:sz w:val="24"/>
              </w:rPr>
              <w:t>优于项目需求的得</w:t>
            </w:r>
            <w:r>
              <w:rPr>
                <w:rFonts w:ascii="仿宋_GB2312" w:hAnsi="仿宋" w:eastAsia="仿宋_GB2312" w:cs="仿宋_GB2312"/>
                <w:color w:val="000000"/>
                <w:sz w:val="24"/>
              </w:rPr>
              <w:t>1</w:t>
            </w:r>
            <w:r>
              <w:rPr>
                <w:rFonts w:hint="eastAsia" w:ascii="仿宋_GB2312" w:hAnsi="仿宋" w:eastAsia="仿宋_GB2312" w:cs="仿宋_GB2312"/>
                <w:color w:val="000000"/>
                <w:sz w:val="24"/>
              </w:rPr>
              <w:t>.0-</w:t>
            </w:r>
            <w:r>
              <w:rPr>
                <w:rFonts w:ascii="仿宋_GB2312" w:hAnsi="仿宋" w:eastAsia="仿宋_GB2312" w:cs="仿宋_GB2312"/>
                <w:color w:val="000000"/>
                <w:sz w:val="24"/>
              </w:rPr>
              <w:t>0</w:t>
            </w:r>
            <w:r>
              <w:rPr>
                <w:rFonts w:hint="eastAsia" w:ascii="仿宋_GB2312" w:hAnsi="仿宋" w:eastAsia="仿宋_GB2312" w:cs="仿宋_GB2312"/>
                <w:color w:val="000000"/>
                <w:sz w:val="24"/>
              </w:rPr>
              <w:t>.</w:t>
            </w:r>
            <w:r>
              <w:rPr>
                <w:rFonts w:ascii="仿宋_GB2312" w:hAnsi="仿宋" w:eastAsia="仿宋_GB2312" w:cs="仿宋_GB2312"/>
                <w:color w:val="000000"/>
                <w:sz w:val="24"/>
              </w:rPr>
              <w:t>8</w:t>
            </w:r>
            <w:r>
              <w:rPr>
                <w:rFonts w:hint="eastAsia" w:ascii="仿宋_GB2312" w:hAnsi="仿宋" w:eastAsia="仿宋_GB2312" w:cs="仿宋_GB2312"/>
                <w:color w:val="000000"/>
                <w:sz w:val="24"/>
              </w:rPr>
              <w:t>分，符合项目需求的得</w:t>
            </w:r>
            <w:r>
              <w:rPr>
                <w:rFonts w:ascii="仿宋_GB2312" w:hAnsi="仿宋" w:eastAsia="仿宋_GB2312" w:cs="仿宋_GB2312"/>
                <w:color w:val="000000"/>
                <w:sz w:val="24"/>
              </w:rPr>
              <w:t>0.7</w:t>
            </w:r>
            <w:r>
              <w:rPr>
                <w:rFonts w:hint="eastAsia" w:ascii="仿宋_GB2312" w:hAnsi="仿宋" w:eastAsia="仿宋_GB2312" w:cs="仿宋_GB2312"/>
                <w:color w:val="000000"/>
                <w:sz w:val="24"/>
              </w:rPr>
              <w:t>-0.</w:t>
            </w:r>
            <w:r>
              <w:rPr>
                <w:rFonts w:ascii="仿宋_GB2312" w:hAnsi="仿宋" w:eastAsia="仿宋_GB2312" w:cs="仿宋_GB2312"/>
                <w:color w:val="000000"/>
                <w:sz w:val="24"/>
              </w:rPr>
              <w:t>4</w:t>
            </w:r>
            <w:r>
              <w:rPr>
                <w:rFonts w:hint="eastAsia" w:ascii="仿宋_GB2312" w:hAnsi="仿宋" w:eastAsia="仿宋_GB2312" w:cs="仿宋_GB2312"/>
                <w:color w:val="000000"/>
                <w:sz w:val="24"/>
              </w:rPr>
              <w:t>分，部分符合项目需求的得0.</w:t>
            </w:r>
            <w:r>
              <w:rPr>
                <w:rFonts w:ascii="仿宋_GB2312" w:hAnsi="仿宋" w:eastAsia="仿宋_GB2312" w:cs="仿宋_GB2312"/>
                <w:color w:val="000000"/>
                <w:sz w:val="24"/>
              </w:rPr>
              <w:t>3</w:t>
            </w:r>
            <w:r>
              <w:rPr>
                <w:rFonts w:hint="eastAsia" w:ascii="仿宋_GB2312" w:hAnsi="仿宋" w:eastAsia="仿宋_GB2312" w:cs="仿宋_GB2312"/>
                <w:color w:val="000000"/>
                <w:sz w:val="24"/>
              </w:rPr>
              <w:t>-0.1分，不符合或不提供不得分。</w:t>
            </w:r>
          </w:p>
          <w:p>
            <w:pPr>
              <w:adjustRightInd/>
              <w:spacing w:line="360" w:lineRule="auto"/>
              <w:jc w:val="left"/>
              <w:rPr>
                <w:rFonts w:hint="eastAsia" w:ascii="仿宋_GB2312" w:hAnsi="仿宋" w:eastAsia="仿宋_GB2312" w:cs="宋体"/>
                <w:color w:val="000000"/>
                <w:sz w:val="24"/>
              </w:rPr>
            </w:pPr>
            <w:r>
              <w:rPr>
                <w:rFonts w:ascii="仿宋_GB2312" w:hAnsi="仿宋" w:eastAsia="仿宋_GB2312" w:cs="宋体"/>
                <w:color w:val="000000"/>
                <w:sz w:val="24"/>
              </w:rPr>
              <w:t>2</w:t>
            </w:r>
            <w:r>
              <w:rPr>
                <w:rFonts w:hint="eastAsia" w:ascii="仿宋_GB2312" w:hAnsi="仿宋" w:eastAsia="仿宋_GB2312" w:cs="宋体"/>
                <w:color w:val="000000"/>
                <w:sz w:val="24"/>
              </w:rPr>
              <w:t>、按其对服务承诺的保障措施、尤其是在系统维护期内的承诺情况、是否满足采购人的要求等方面进行打分，</w:t>
            </w:r>
            <w:r>
              <w:rPr>
                <w:rFonts w:hint="eastAsia" w:ascii="仿宋_GB2312" w:hAnsi="仿宋" w:eastAsia="仿宋_GB2312" w:cs="仿宋_GB2312"/>
                <w:color w:val="000000"/>
                <w:sz w:val="24"/>
              </w:rPr>
              <w:t>优于项目需求的得</w:t>
            </w:r>
            <w:r>
              <w:rPr>
                <w:rFonts w:ascii="仿宋_GB2312" w:hAnsi="仿宋" w:eastAsia="仿宋_GB2312" w:cs="仿宋_GB2312"/>
                <w:color w:val="000000"/>
                <w:sz w:val="24"/>
              </w:rPr>
              <w:t>1</w:t>
            </w:r>
            <w:r>
              <w:rPr>
                <w:rFonts w:hint="eastAsia" w:ascii="仿宋_GB2312" w:hAnsi="仿宋" w:eastAsia="仿宋_GB2312" w:cs="仿宋_GB2312"/>
                <w:color w:val="000000"/>
                <w:sz w:val="24"/>
              </w:rPr>
              <w:t>.0-</w:t>
            </w:r>
            <w:r>
              <w:rPr>
                <w:rFonts w:ascii="仿宋_GB2312" w:hAnsi="仿宋" w:eastAsia="仿宋_GB2312" w:cs="仿宋_GB2312"/>
                <w:color w:val="000000"/>
                <w:sz w:val="24"/>
              </w:rPr>
              <w:t>0</w:t>
            </w:r>
            <w:r>
              <w:rPr>
                <w:rFonts w:hint="eastAsia" w:ascii="仿宋_GB2312" w:hAnsi="仿宋" w:eastAsia="仿宋_GB2312" w:cs="仿宋_GB2312"/>
                <w:color w:val="000000"/>
                <w:sz w:val="24"/>
              </w:rPr>
              <w:t>.</w:t>
            </w:r>
            <w:r>
              <w:rPr>
                <w:rFonts w:ascii="仿宋_GB2312" w:hAnsi="仿宋" w:eastAsia="仿宋_GB2312" w:cs="仿宋_GB2312"/>
                <w:color w:val="000000"/>
                <w:sz w:val="24"/>
              </w:rPr>
              <w:t>8</w:t>
            </w:r>
            <w:r>
              <w:rPr>
                <w:rFonts w:hint="eastAsia" w:ascii="仿宋_GB2312" w:hAnsi="仿宋" w:eastAsia="仿宋_GB2312" w:cs="仿宋_GB2312"/>
                <w:color w:val="000000"/>
                <w:sz w:val="24"/>
              </w:rPr>
              <w:t>分，符合项目需求的得</w:t>
            </w:r>
            <w:r>
              <w:rPr>
                <w:rFonts w:ascii="仿宋_GB2312" w:hAnsi="仿宋" w:eastAsia="仿宋_GB2312" w:cs="仿宋_GB2312"/>
                <w:color w:val="000000"/>
                <w:sz w:val="24"/>
              </w:rPr>
              <w:t>0.7</w:t>
            </w:r>
            <w:r>
              <w:rPr>
                <w:rFonts w:hint="eastAsia" w:ascii="仿宋_GB2312" w:hAnsi="仿宋" w:eastAsia="仿宋_GB2312" w:cs="仿宋_GB2312"/>
                <w:color w:val="000000"/>
                <w:sz w:val="24"/>
              </w:rPr>
              <w:t>-0.</w:t>
            </w:r>
            <w:r>
              <w:rPr>
                <w:rFonts w:ascii="仿宋_GB2312" w:hAnsi="仿宋" w:eastAsia="仿宋_GB2312" w:cs="仿宋_GB2312"/>
                <w:color w:val="000000"/>
                <w:sz w:val="24"/>
              </w:rPr>
              <w:t>4</w:t>
            </w:r>
            <w:r>
              <w:rPr>
                <w:rFonts w:hint="eastAsia" w:ascii="仿宋_GB2312" w:hAnsi="仿宋" w:eastAsia="仿宋_GB2312" w:cs="仿宋_GB2312"/>
                <w:color w:val="000000"/>
                <w:sz w:val="24"/>
              </w:rPr>
              <w:t>分，部分符合项目需求的得0.</w:t>
            </w:r>
            <w:r>
              <w:rPr>
                <w:rFonts w:ascii="仿宋_GB2312" w:hAnsi="仿宋" w:eastAsia="仿宋_GB2312" w:cs="仿宋_GB2312"/>
                <w:color w:val="000000"/>
                <w:sz w:val="24"/>
              </w:rPr>
              <w:t>3</w:t>
            </w:r>
            <w:r>
              <w:rPr>
                <w:rFonts w:hint="eastAsia" w:ascii="仿宋_GB2312" w:hAnsi="仿宋" w:eastAsia="仿宋_GB2312" w:cs="仿宋_GB2312"/>
                <w:color w:val="000000"/>
                <w:sz w:val="24"/>
              </w:rPr>
              <w:t>-0.1分，不符合或不提供不得分。</w:t>
            </w:r>
          </w:p>
        </w:tc>
        <w:tc>
          <w:tcPr>
            <w:tcW w:w="612" w:type="pct"/>
            <w:tcBorders>
              <w:top w:val="single" w:color="auto" w:sz="4" w:space="0"/>
              <w:left w:val="single" w:color="auto" w:sz="4" w:space="0"/>
              <w:bottom w:val="single" w:color="auto" w:sz="4" w:space="0"/>
              <w:right w:val="single" w:color="auto" w:sz="4" w:space="0"/>
            </w:tcBorders>
            <w:noWrap w:val="0"/>
            <w:vAlign w:val="center"/>
          </w:tcPr>
          <w:p>
            <w:pPr>
              <w:adjustRightInd/>
              <w:spacing w:line="360" w:lineRule="auto"/>
              <w:jc w:val="center"/>
              <w:rPr>
                <w:rFonts w:hint="eastAsia" w:ascii="仿宋_GB2312" w:hAnsi="仿宋" w:eastAsia="仿宋_GB2312" w:cs="宋体"/>
                <w:color w:val="000000"/>
                <w:sz w:val="24"/>
              </w:rPr>
            </w:pPr>
            <w:r>
              <w:rPr>
                <w:rFonts w:hint="eastAsia" w:ascii="仿宋_GB2312" w:hAnsi="仿宋" w:eastAsia="仿宋_GB2312" w:cs="宋体"/>
                <w:color w:val="000000"/>
                <w:sz w:val="24"/>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0" w:hRule="atLeast"/>
          <w:jc w:val="center"/>
        </w:trPr>
        <w:tc>
          <w:tcPr>
            <w:tcW w:w="479" w:type="pct"/>
            <w:tcBorders>
              <w:top w:val="single" w:color="auto" w:sz="4" w:space="0"/>
              <w:left w:val="single" w:color="auto" w:sz="4" w:space="0"/>
              <w:bottom w:val="single" w:color="auto" w:sz="4" w:space="0"/>
              <w:right w:val="single" w:color="auto" w:sz="4" w:space="0"/>
            </w:tcBorders>
            <w:noWrap w:val="0"/>
            <w:vAlign w:val="center"/>
          </w:tcPr>
          <w:p>
            <w:pPr>
              <w:adjustRightInd/>
              <w:spacing w:line="360" w:lineRule="auto"/>
              <w:jc w:val="center"/>
              <w:rPr>
                <w:rFonts w:hint="eastAsia" w:ascii="仿宋_GB2312" w:hAnsi="仿宋" w:eastAsia="仿宋_GB2312" w:cs="宋体"/>
                <w:color w:val="000000"/>
                <w:sz w:val="24"/>
              </w:rPr>
            </w:pPr>
            <w:r>
              <w:rPr>
                <w:rFonts w:ascii="仿宋_GB2312" w:hAnsi="仿宋" w:eastAsia="仿宋_GB2312" w:cs="宋体"/>
                <w:color w:val="000000"/>
                <w:sz w:val="24"/>
              </w:rPr>
              <w:t>9</w:t>
            </w:r>
          </w:p>
        </w:tc>
        <w:tc>
          <w:tcPr>
            <w:tcW w:w="749" w:type="pct"/>
            <w:tcBorders>
              <w:top w:val="single" w:color="auto" w:sz="4" w:space="0"/>
              <w:left w:val="single" w:color="auto" w:sz="4" w:space="0"/>
              <w:bottom w:val="single" w:color="auto" w:sz="4" w:space="0"/>
              <w:right w:val="single" w:color="auto" w:sz="4" w:space="0"/>
            </w:tcBorders>
            <w:noWrap w:val="0"/>
            <w:vAlign w:val="center"/>
          </w:tcPr>
          <w:p>
            <w:pPr>
              <w:adjustRightInd/>
              <w:spacing w:line="360" w:lineRule="auto"/>
              <w:jc w:val="center"/>
              <w:rPr>
                <w:rFonts w:hint="eastAsia" w:ascii="仿宋_GB2312" w:hAnsi="仿宋" w:eastAsia="仿宋_GB2312" w:cs="宋体"/>
                <w:color w:val="000000"/>
                <w:sz w:val="24"/>
              </w:rPr>
            </w:pPr>
            <w:r>
              <w:rPr>
                <w:rFonts w:hint="eastAsia" w:ascii="仿宋_GB2312" w:hAnsi="仿宋" w:eastAsia="仿宋_GB2312" w:cs="宋体"/>
                <w:color w:val="000000"/>
                <w:sz w:val="24"/>
              </w:rPr>
              <w:t>投标人资质情况</w:t>
            </w:r>
          </w:p>
          <w:p>
            <w:pPr>
              <w:adjustRightInd/>
              <w:spacing w:line="360" w:lineRule="auto"/>
              <w:jc w:val="center"/>
              <w:rPr>
                <w:rFonts w:hint="eastAsia" w:ascii="仿宋_GB2312" w:hAnsi="仿宋" w:eastAsia="仿宋_GB2312" w:cs="宋体"/>
                <w:color w:val="000000"/>
                <w:sz w:val="24"/>
              </w:rPr>
            </w:pPr>
            <w:r>
              <w:rPr>
                <w:rFonts w:hint="eastAsia" w:ascii="仿宋_GB2312" w:hAnsi="仿宋" w:eastAsia="仿宋_GB2312" w:cs="宋体"/>
                <w:color w:val="000000"/>
                <w:sz w:val="24"/>
              </w:rPr>
              <w:t>（7分）</w:t>
            </w:r>
          </w:p>
        </w:tc>
        <w:tc>
          <w:tcPr>
            <w:tcW w:w="3160" w:type="pct"/>
            <w:tcBorders>
              <w:top w:val="single" w:color="auto" w:sz="4" w:space="0"/>
              <w:left w:val="single" w:color="auto" w:sz="4" w:space="0"/>
              <w:bottom w:val="single" w:color="auto" w:sz="4" w:space="0"/>
              <w:right w:val="single" w:color="auto" w:sz="4" w:space="0"/>
            </w:tcBorders>
            <w:noWrap w:val="0"/>
            <w:vAlign w:val="top"/>
          </w:tcPr>
          <w:p>
            <w:pPr>
              <w:adjustRightInd/>
              <w:spacing w:line="360" w:lineRule="auto"/>
              <w:jc w:val="left"/>
              <w:rPr>
                <w:rFonts w:ascii="仿宋_GB2312" w:hAnsi="仿宋" w:eastAsia="仿宋_GB2312" w:cs="宋体"/>
                <w:color w:val="000000"/>
                <w:sz w:val="24"/>
              </w:rPr>
            </w:pPr>
            <w:r>
              <w:rPr>
                <w:rFonts w:hint="eastAsia" w:ascii="仿宋_GB2312" w:hAnsi="仿宋" w:eastAsia="仿宋_GB2312" w:cs="宋体"/>
                <w:color w:val="000000"/>
                <w:sz w:val="24"/>
              </w:rPr>
              <w:t>具有CMMI3级及以上证书的得3分。</w:t>
            </w:r>
          </w:p>
          <w:p>
            <w:pPr>
              <w:adjustRightInd/>
              <w:spacing w:line="360" w:lineRule="auto"/>
              <w:jc w:val="left"/>
              <w:rPr>
                <w:rFonts w:hint="eastAsia" w:ascii="仿宋_GB2312" w:hAnsi="仿宋" w:eastAsia="仿宋_GB2312" w:cs="宋体"/>
                <w:color w:val="000000"/>
                <w:sz w:val="24"/>
              </w:rPr>
            </w:pPr>
            <w:r>
              <w:rPr>
                <w:rFonts w:hint="eastAsia" w:ascii="仿宋_GB2312" w:hAnsi="仿宋" w:eastAsia="仿宋_GB2312" w:cs="宋体"/>
                <w:color w:val="000000"/>
                <w:sz w:val="24"/>
              </w:rPr>
              <w:t>投标人具有（认证范围含行业应用软件开发、应用服务等）质量管理体系认证证书ISO9001、环境管理体系认证证书ISO14001、信息安全管理体系认证证书ISO27001 ，OHSAS18001职业健康安全管理体系认证证书，每个证书得1分，最高得4分。</w:t>
            </w:r>
          </w:p>
        </w:tc>
        <w:tc>
          <w:tcPr>
            <w:tcW w:w="612" w:type="pct"/>
            <w:tcBorders>
              <w:top w:val="single" w:color="auto" w:sz="4" w:space="0"/>
              <w:left w:val="single" w:color="auto" w:sz="4" w:space="0"/>
              <w:bottom w:val="single" w:color="auto" w:sz="4" w:space="0"/>
              <w:right w:val="single" w:color="auto" w:sz="4" w:space="0"/>
            </w:tcBorders>
            <w:noWrap w:val="0"/>
            <w:vAlign w:val="center"/>
          </w:tcPr>
          <w:p>
            <w:pPr>
              <w:adjustRightInd/>
              <w:spacing w:line="360" w:lineRule="auto"/>
              <w:jc w:val="center"/>
              <w:rPr>
                <w:rFonts w:hint="eastAsia" w:ascii="仿宋_GB2312" w:hAnsi="仿宋" w:eastAsia="仿宋_GB2312" w:cs="宋体"/>
                <w:color w:val="000000"/>
                <w:sz w:val="24"/>
              </w:rPr>
            </w:pPr>
            <w:r>
              <w:rPr>
                <w:rFonts w:hint="eastAsia" w:ascii="仿宋_GB2312" w:hAnsi="仿宋" w:eastAsia="仿宋_GB2312" w:cs="宋体"/>
                <w:color w:val="000000"/>
                <w:sz w:val="24"/>
              </w:rPr>
              <w:t>7分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0" w:hRule="atLeast"/>
          <w:jc w:val="center"/>
        </w:trPr>
        <w:tc>
          <w:tcPr>
            <w:tcW w:w="479" w:type="pct"/>
            <w:tcBorders>
              <w:top w:val="single" w:color="auto" w:sz="4" w:space="0"/>
              <w:left w:val="single" w:color="auto" w:sz="4" w:space="0"/>
              <w:bottom w:val="single" w:color="auto" w:sz="4" w:space="0"/>
              <w:right w:val="single" w:color="auto" w:sz="4" w:space="0"/>
            </w:tcBorders>
            <w:noWrap w:val="0"/>
            <w:vAlign w:val="center"/>
          </w:tcPr>
          <w:p>
            <w:pPr>
              <w:adjustRightInd/>
              <w:spacing w:line="360" w:lineRule="auto"/>
              <w:jc w:val="center"/>
              <w:rPr>
                <w:rFonts w:hint="eastAsia" w:ascii="仿宋_GB2312" w:hAnsi="仿宋" w:eastAsia="仿宋_GB2312" w:cs="宋体"/>
                <w:color w:val="000000"/>
                <w:sz w:val="24"/>
              </w:rPr>
            </w:pPr>
            <w:r>
              <w:rPr>
                <w:rFonts w:ascii="仿宋_GB2312" w:hAnsi="仿宋" w:eastAsia="仿宋_GB2312" w:cs="宋体"/>
                <w:color w:val="000000"/>
                <w:sz w:val="24"/>
              </w:rPr>
              <w:t>10</w:t>
            </w:r>
          </w:p>
        </w:tc>
        <w:tc>
          <w:tcPr>
            <w:tcW w:w="749" w:type="pct"/>
            <w:tcBorders>
              <w:top w:val="single" w:color="auto" w:sz="4" w:space="0"/>
              <w:left w:val="single" w:color="auto" w:sz="4" w:space="0"/>
              <w:bottom w:val="single" w:color="auto" w:sz="4" w:space="0"/>
              <w:right w:val="single" w:color="auto" w:sz="4" w:space="0"/>
            </w:tcBorders>
            <w:noWrap w:val="0"/>
            <w:vAlign w:val="center"/>
          </w:tcPr>
          <w:p>
            <w:pPr>
              <w:adjustRightInd/>
              <w:spacing w:line="360" w:lineRule="auto"/>
              <w:rPr>
                <w:rFonts w:hint="eastAsia" w:ascii="仿宋_GB2312" w:hAnsi="仿宋" w:eastAsia="仿宋_GB2312" w:cs="宋体"/>
                <w:color w:val="000000"/>
                <w:sz w:val="24"/>
              </w:rPr>
            </w:pPr>
            <w:r>
              <w:rPr>
                <w:rFonts w:hint="eastAsia" w:ascii="仿宋_GB2312" w:hAnsi="仿宋" w:eastAsia="仿宋_GB2312" w:cs="宋体"/>
                <w:color w:val="000000"/>
                <w:sz w:val="24"/>
              </w:rPr>
              <w:t>投标人经验（</w:t>
            </w:r>
            <w:r>
              <w:rPr>
                <w:rFonts w:ascii="仿宋_GB2312" w:hAnsi="仿宋" w:eastAsia="仿宋_GB2312" w:cs="宋体"/>
                <w:color w:val="000000"/>
                <w:sz w:val="24"/>
              </w:rPr>
              <w:t>4</w:t>
            </w:r>
            <w:r>
              <w:rPr>
                <w:rFonts w:hint="eastAsia" w:ascii="仿宋_GB2312" w:hAnsi="仿宋" w:eastAsia="仿宋_GB2312" w:cs="宋体"/>
                <w:color w:val="000000"/>
                <w:sz w:val="24"/>
              </w:rPr>
              <w:t>分）</w:t>
            </w:r>
          </w:p>
        </w:tc>
        <w:tc>
          <w:tcPr>
            <w:tcW w:w="3160" w:type="pct"/>
            <w:tcBorders>
              <w:top w:val="single" w:color="auto" w:sz="4" w:space="0"/>
              <w:left w:val="single" w:color="auto" w:sz="4" w:space="0"/>
              <w:bottom w:val="single" w:color="auto" w:sz="4" w:space="0"/>
              <w:right w:val="single" w:color="auto" w:sz="4" w:space="0"/>
            </w:tcBorders>
            <w:noWrap w:val="0"/>
            <w:vAlign w:val="top"/>
          </w:tcPr>
          <w:p>
            <w:pPr>
              <w:adjustRightInd/>
              <w:snapToGrid w:val="0"/>
              <w:spacing w:line="360" w:lineRule="auto"/>
              <w:jc w:val="left"/>
              <w:rPr>
                <w:rFonts w:hint="eastAsia" w:ascii="仿宋_GB2312" w:hAnsi="仿宋" w:eastAsia="仿宋_GB2312" w:cs="宋体"/>
                <w:color w:val="000000"/>
                <w:sz w:val="24"/>
              </w:rPr>
            </w:pPr>
            <w:r>
              <w:rPr>
                <w:rFonts w:hint="eastAsia" w:ascii="仿宋_GB2312" w:hAnsi="仿宋" w:eastAsia="仿宋_GB2312" w:cs="仿宋"/>
                <w:color w:val="000000"/>
                <w:sz w:val="24"/>
              </w:rPr>
              <w:t>2017年1月1日以</w:t>
            </w:r>
            <w:r>
              <w:rPr>
                <w:rFonts w:hint="eastAsia" w:ascii="仿宋_GB2312" w:hAnsi="仿宋" w:eastAsia="仿宋_GB2312" w:cs="宋体"/>
                <w:color w:val="000000"/>
                <w:sz w:val="24"/>
              </w:rPr>
              <w:t>同等规模同类案例</w:t>
            </w:r>
            <w:r>
              <w:rPr>
                <w:rFonts w:hint="eastAsia" w:ascii="仿宋_GB2312" w:hAnsi="仿宋" w:eastAsia="仿宋_GB2312" w:cs="仿宋"/>
                <w:color w:val="000000"/>
                <w:sz w:val="24"/>
              </w:rPr>
              <w:t>（提供合同复印件），</w:t>
            </w:r>
            <w:r>
              <w:rPr>
                <w:rFonts w:hint="eastAsia" w:ascii="仿宋_GB2312" w:hAnsi="仿宋" w:eastAsia="仿宋_GB2312" w:cs="宋体"/>
                <w:color w:val="000000"/>
                <w:sz w:val="24"/>
              </w:rPr>
              <w:t>每提供1个得1分，最高得4分。</w:t>
            </w:r>
            <w:r>
              <w:rPr>
                <w:rFonts w:hint="eastAsia" w:ascii="仿宋_GB2312" w:hAnsi="仿宋" w:eastAsia="仿宋_GB2312" w:cs="宋体"/>
                <w:color w:val="000000"/>
                <w:sz w:val="24"/>
                <w:lang w:val="zh-CN"/>
              </w:rPr>
              <w:t>（</w:t>
            </w:r>
            <w:r>
              <w:rPr>
                <w:rFonts w:hint="eastAsia" w:ascii="仿宋_GB2312" w:hAnsi="仿宋" w:eastAsia="仿宋_GB2312" w:cs="宋体"/>
                <w:color w:val="000000"/>
                <w:sz w:val="24"/>
              </w:rPr>
              <w:t>4分</w:t>
            </w:r>
            <w:r>
              <w:rPr>
                <w:rFonts w:hint="eastAsia" w:ascii="仿宋_GB2312" w:hAnsi="仿宋" w:eastAsia="仿宋_GB2312" w:cs="宋体"/>
                <w:color w:val="000000"/>
                <w:sz w:val="24"/>
                <w:lang w:val="zh-CN"/>
              </w:rPr>
              <w:t>）</w:t>
            </w:r>
          </w:p>
        </w:tc>
        <w:tc>
          <w:tcPr>
            <w:tcW w:w="612" w:type="pct"/>
            <w:tcBorders>
              <w:top w:val="single" w:color="auto" w:sz="4" w:space="0"/>
              <w:left w:val="single" w:color="auto" w:sz="4" w:space="0"/>
              <w:bottom w:val="single" w:color="auto" w:sz="4" w:space="0"/>
              <w:right w:val="single" w:color="auto" w:sz="4" w:space="0"/>
            </w:tcBorders>
            <w:noWrap w:val="0"/>
            <w:vAlign w:val="center"/>
          </w:tcPr>
          <w:p>
            <w:pPr>
              <w:adjustRightInd/>
              <w:spacing w:line="360" w:lineRule="auto"/>
              <w:jc w:val="center"/>
              <w:rPr>
                <w:rFonts w:hint="eastAsia" w:ascii="仿宋_GB2312" w:hAnsi="仿宋" w:eastAsia="仿宋_GB2312" w:cs="宋体"/>
                <w:color w:val="000000"/>
                <w:sz w:val="24"/>
              </w:rPr>
            </w:pPr>
            <w:r>
              <w:rPr>
                <w:rFonts w:hint="eastAsia" w:ascii="仿宋_GB2312" w:hAnsi="仿宋" w:eastAsia="仿宋_GB2312" w:cs="宋体"/>
                <w:color w:val="000000"/>
                <w:sz w:val="24"/>
              </w:rPr>
              <w:t>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0" w:hRule="atLeast"/>
          <w:jc w:val="center"/>
        </w:trPr>
        <w:tc>
          <w:tcPr>
            <w:tcW w:w="479" w:type="pct"/>
            <w:tcBorders>
              <w:top w:val="single" w:color="auto" w:sz="4" w:space="0"/>
              <w:left w:val="single" w:color="auto" w:sz="4" w:space="0"/>
              <w:bottom w:val="single" w:color="auto" w:sz="4" w:space="0"/>
              <w:right w:val="single" w:color="auto" w:sz="4" w:space="0"/>
            </w:tcBorders>
            <w:noWrap w:val="0"/>
            <w:vAlign w:val="center"/>
          </w:tcPr>
          <w:p>
            <w:pPr>
              <w:adjustRightInd/>
              <w:spacing w:line="360" w:lineRule="auto"/>
              <w:jc w:val="center"/>
              <w:rPr>
                <w:rFonts w:hint="eastAsia" w:ascii="仿宋_GB2312" w:hAnsi="仿宋" w:eastAsia="仿宋_GB2312" w:cs="宋体"/>
                <w:color w:val="000000"/>
                <w:sz w:val="24"/>
              </w:rPr>
            </w:pPr>
            <w:r>
              <w:rPr>
                <w:rFonts w:hint="eastAsia" w:ascii="仿宋_GB2312" w:hAnsi="仿宋" w:eastAsia="仿宋_GB2312" w:cs="宋体"/>
                <w:color w:val="000000"/>
                <w:sz w:val="24"/>
              </w:rPr>
              <w:t>1</w:t>
            </w:r>
            <w:r>
              <w:rPr>
                <w:rFonts w:ascii="仿宋_GB2312" w:hAnsi="仿宋" w:eastAsia="仿宋_GB2312" w:cs="宋体"/>
                <w:color w:val="000000"/>
                <w:sz w:val="24"/>
              </w:rPr>
              <w:t>1</w:t>
            </w:r>
          </w:p>
        </w:tc>
        <w:tc>
          <w:tcPr>
            <w:tcW w:w="749" w:type="pct"/>
            <w:tcBorders>
              <w:top w:val="single" w:color="auto" w:sz="4" w:space="0"/>
              <w:left w:val="single" w:color="auto" w:sz="4" w:space="0"/>
              <w:bottom w:val="single" w:color="auto" w:sz="4" w:space="0"/>
              <w:right w:val="single" w:color="auto" w:sz="4" w:space="0"/>
            </w:tcBorders>
            <w:noWrap w:val="0"/>
            <w:vAlign w:val="center"/>
          </w:tcPr>
          <w:p>
            <w:pPr>
              <w:adjustRightInd/>
              <w:spacing w:line="360" w:lineRule="auto"/>
              <w:jc w:val="center"/>
              <w:rPr>
                <w:rFonts w:hint="eastAsia" w:ascii="仿宋_GB2312" w:hAnsi="仿宋" w:eastAsia="仿宋_GB2312" w:cs="宋体"/>
                <w:color w:val="000000"/>
                <w:sz w:val="24"/>
              </w:rPr>
            </w:pPr>
            <w:r>
              <w:rPr>
                <w:rFonts w:hint="eastAsia" w:ascii="仿宋_GB2312" w:hAnsi="仿宋" w:eastAsia="仿宋_GB2312" w:cs="宋体"/>
                <w:color w:val="000000"/>
                <w:sz w:val="24"/>
              </w:rPr>
              <w:t>投标文件编制质量（2分）</w:t>
            </w:r>
          </w:p>
        </w:tc>
        <w:tc>
          <w:tcPr>
            <w:tcW w:w="3160" w:type="pct"/>
            <w:tcBorders>
              <w:top w:val="single" w:color="auto" w:sz="4" w:space="0"/>
              <w:left w:val="single" w:color="auto" w:sz="4" w:space="0"/>
              <w:bottom w:val="single" w:color="auto" w:sz="4" w:space="0"/>
              <w:right w:val="single" w:color="auto" w:sz="4" w:space="0"/>
            </w:tcBorders>
            <w:noWrap w:val="0"/>
            <w:vAlign w:val="top"/>
          </w:tcPr>
          <w:p>
            <w:pPr>
              <w:adjustRightInd/>
              <w:spacing w:line="360" w:lineRule="auto"/>
              <w:jc w:val="left"/>
              <w:rPr>
                <w:rFonts w:hint="eastAsia" w:ascii="仿宋_GB2312" w:hAnsi="仿宋" w:eastAsia="仿宋_GB2312" w:cs="宋体"/>
                <w:color w:val="000000"/>
                <w:sz w:val="24"/>
              </w:rPr>
            </w:pPr>
            <w:r>
              <w:rPr>
                <w:rFonts w:hint="eastAsia" w:ascii="仿宋_GB2312" w:hAnsi="仿宋" w:eastAsia="仿宋_GB2312" w:cs="宋体"/>
                <w:color w:val="000000"/>
                <w:sz w:val="24"/>
              </w:rPr>
              <w:t>根据投标文件内容是否完整、编排是否合理、资料提供是否齐全、文字综合表述是否清楚合理等进行打分， 2.0-0.1分。</w:t>
            </w:r>
          </w:p>
        </w:tc>
        <w:tc>
          <w:tcPr>
            <w:tcW w:w="612" w:type="pct"/>
            <w:tcBorders>
              <w:top w:val="single" w:color="auto" w:sz="4" w:space="0"/>
              <w:left w:val="single" w:color="auto" w:sz="4" w:space="0"/>
              <w:bottom w:val="single" w:color="auto" w:sz="4" w:space="0"/>
              <w:right w:val="single" w:color="auto" w:sz="4" w:space="0"/>
            </w:tcBorders>
            <w:noWrap w:val="0"/>
            <w:vAlign w:val="center"/>
          </w:tcPr>
          <w:p>
            <w:pPr>
              <w:adjustRightInd/>
              <w:spacing w:line="360" w:lineRule="auto"/>
              <w:jc w:val="center"/>
              <w:rPr>
                <w:rFonts w:hint="eastAsia" w:ascii="仿宋_GB2312" w:hAnsi="仿宋" w:eastAsia="仿宋_GB2312" w:cs="宋体"/>
                <w:color w:val="000000"/>
                <w:sz w:val="24"/>
              </w:rPr>
            </w:pPr>
            <w:r>
              <w:rPr>
                <w:rFonts w:hint="eastAsia" w:ascii="仿宋_GB2312" w:hAnsi="仿宋" w:eastAsia="仿宋_GB2312" w:cs="宋体"/>
                <w:color w:val="000000"/>
                <w:sz w:val="24"/>
              </w:rPr>
              <w:t>2分</w:t>
            </w:r>
          </w:p>
        </w:tc>
      </w:tr>
    </w:tbl>
    <w:p>
      <w:pPr>
        <w:spacing w:line="440" w:lineRule="exact"/>
        <w:rPr>
          <w:rFonts w:ascii="仿宋_GB2312" w:hAnsi="宋体" w:eastAsia="仿宋_GB2312"/>
          <w:b/>
          <w:bCs/>
          <w:iCs/>
          <w:color w:val="000000"/>
          <w:sz w:val="24"/>
        </w:rPr>
      </w:pPr>
      <w:r>
        <w:rPr>
          <w:rFonts w:hint="eastAsia" w:ascii="仿宋_GB2312" w:eastAsia="仿宋_GB2312"/>
          <w:b/>
          <w:color w:val="000000"/>
          <w:sz w:val="24"/>
          <w:bdr w:val="single" w:color="auto" w:sz="4" w:space="0"/>
        </w:rPr>
        <w:t>02标</w:t>
      </w:r>
    </w:p>
    <w:tbl>
      <w:tblPr>
        <w:tblStyle w:val="11"/>
        <w:tblW w:w="493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5"/>
        <w:gridCol w:w="1417"/>
        <w:gridCol w:w="709"/>
        <w:gridCol w:w="53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7" w:hRule="atLeast"/>
          <w:jc w:val="center"/>
        </w:trPr>
        <w:tc>
          <w:tcPr>
            <w:tcW w:w="538" w:type="pct"/>
            <w:noWrap w:val="0"/>
            <w:vAlign w:val="center"/>
          </w:tcPr>
          <w:p>
            <w:pPr>
              <w:pStyle w:val="6"/>
              <w:snapToGrid w:val="0"/>
              <w:jc w:val="center"/>
              <w:rPr>
                <w:rFonts w:hint="eastAsia" w:ascii="仿宋_GB2312" w:hAnsi="等线" w:eastAsia="仿宋_GB2312" w:cs="Arial"/>
                <w:color w:val="000000"/>
                <w:kern w:val="2"/>
                <w:sz w:val="24"/>
                <w:szCs w:val="24"/>
                <w:lang w:val="en-US" w:eastAsia="zh-CN"/>
              </w:rPr>
            </w:pPr>
            <w:r>
              <w:rPr>
                <w:rFonts w:hint="eastAsia" w:ascii="仿宋_GB2312" w:hAnsi="等线" w:eastAsia="仿宋_GB2312" w:cs="Arial"/>
                <w:color w:val="000000"/>
                <w:kern w:val="2"/>
                <w:sz w:val="24"/>
                <w:szCs w:val="24"/>
                <w:lang w:val="en-US" w:eastAsia="zh-CN"/>
              </w:rPr>
              <w:t>序号</w:t>
            </w:r>
          </w:p>
        </w:tc>
        <w:tc>
          <w:tcPr>
            <w:tcW w:w="842" w:type="pct"/>
            <w:noWrap w:val="0"/>
            <w:vAlign w:val="center"/>
          </w:tcPr>
          <w:p>
            <w:pPr>
              <w:pStyle w:val="6"/>
              <w:snapToGrid w:val="0"/>
              <w:jc w:val="center"/>
              <w:rPr>
                <w:rFonts w:hint="eastAsia" w:ascii="仿宋_GB2312" w:hAnsi="等线" w:eastAsia="仿宋_GB2312" w:cs="Arial"/>
                <w:color w:val="000000"/>
                <w:kern w:val="2"/>
                <w:sz w:val="24"/>
                <w:szCs w:val="24"/>
                <w:lang w:val="en-US" w:eastAsia="zh-CN"/>
              </w:rPr>
            </w:pPr>
            <w:r>
              <w:rPr>
                <w:rFonts w:hint="eastAsia" w:ascii="仿宋_GB2312" w:hAnsi="等线" w:eastAsia="仿宋_GB2312" w:cs="Arial"/>
                <w:color w:val="000000"/>
                <w:kern w:val="2"/>
                <w:sz w:val="24"/>
                <w:szCs w:val="24"/>
                <w:lang w:val="en-US" w:eastAsia="zh-CN"/>
              </w:rPr>
              <w:t>评审因素</w:t>
            </w:r>
          </w:p>
        </w:tc>
        <w:tc>
          <w:tcPr>
            <w:tcW w:w="421" w:type="pct"/>
            <w:noWrap w:val="0"/>
            <w:vAlign w:val="center"/>
          </w:tcPr>
          <w:p>
            <w:pPr>
              <w:pStyle w:val="6"/>
              <w:snapToGrid w:val="0"/>
              <w:jc w:val="center"/>
              <w:rPr>
                <w:rFonts w:hint="eastAsia" w:ascii="仿宋_GB2312" w:hAnsi="等线" w:eastAsia="仿宋_GB2312" w:cs="Arial"/>
                <w:color w:val="000000"/>
                <w:kern w:val="2"/>
                <w:sz w:val="24"/>
                <w:szCs w:val="24"/>
                <w:lang w:val="en-US" w:eastAsia="zh-CN"/>
              </w:rPr>
            </w:pPr>
            <w:r>
              <w:rPr>
                <w:rFonts w:hint="eastAsia" w:ascii="仿宋_GB2312" w:hAnsi="等线" w:eastAsia="仿宋_GB2312" w:cs="Arial"/>
                <w:color w:val="000000"/>
                <w:kern w:val="2"/>
                <w:sz w:val="24"/>
                <w:szCs w:val="24"/>
                <w:lang w:val="en-US" w:eastAsia="zh-CN"/>
              </w:rPr>
              <w:t>分值</w:t>
            </w:r>
          </w:p>
        </w:tc>
        <w:tc>
          <w:tcPr>
            <w:tcW w:w="3199" w:type="pct"/>
            <w:noWrap w:val="0"/>
            <w:vAlign w:val="center"/>
          </w:tcPr>
          <w:p>
            <w:pPr>
              <w:pStyle w:val="6"/>
              <w:snapToGrid w:val="0"/>
              <w:jc w:val="center"/>
              <w:rPr>
                <w:rFonts w:hint="eastAsia" w:ascii="仿宋_GB2312" w:hAnsi="等线" w:eastAsia="仿宋_GB2312" w:cs="Arial"/>
                <w:color w:val="000000"/>
                <w:kern w:val="2"/>
                <w:sz w:val="24"/>
                <w:szCs w:val="24"/>
                <w:lang w:val="en-US" w:eastAsia="zh-CN"/>
              </w:rPr>
            </w:pPr>
            <w:r>
              <w:rPr>
                <w:rFonts w:hint="eastAsia" w:ascii="仿宋_GB2312" w:hAnsi="等线" w:eastAsia="仿宋_GB2312" w:cs="Arial"/>
                <w:color w:val="000000"/>
                <w:kern w:val="2"/>
                <w:sz w:val="24"/>
                <w:szCs w:val="24"/>
                <w:lang w:val="en-US" w:eastAsia="zh-CN"/>
              </w:rPr>
              <w:t>评分标准说明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538" w:type="pct"/>
            <w:noWrap w:val="0"/>
            <w:vAlign w:val="center"/>
          </w:tcPr>
          <w:p>
            <w:pPr>
              <w:pStyle w:val="6"/>
              <w:snapToGrid w:val="0"/>
              <w:spacing w:line="300" w:lineRule="auto"/>
              <w:jc w:val="center"/>
              <w:rPr>
                <w:rFonts w:hint="eastAsia" w:ascii="仿宋_GB2312" w:hAnsi="等线" w:eastAsia="仿宋_GB2312" w:cs="Arial"/>
                <w:color w:val="000000"/>
                <w:kern w:val="2"/>
                <w:sz w:val="24"/>
                <w:szCs w:val="24"/>
                <w:lang w:val="en-US" w:eastAsia="zh-CN"/>
              </w:rPr>
            </w:pPr>
            <w:r>
              <w:rPr>
                <w:rFonts w:hint="eastAsia" w:ascii="仿宋_GB2312" w:hAnsi="等线" w:eastAsia="仿宋_GB2312" w:cs="Arial"/>
                <w:color w:val="000000"/>
                <w:kern w:val="2"/>
                <w:sz w:val="24"/>
                <w:szCs w:val="24"/>
                <w:lang w:val="en-US" w:eastAsia="zh-CN"/>
              </w:rPr>
              <w:t>1</w:t>
            </w:r>
          </w:p>
        </w:tc>
        <w:tc>
          <w:tcPr>
            <w:tcW w:w="842" w:type="pct"/>
            <w:noWrap w:val="0"/>
            <w:vAlign w:val="center"/>
          </w:tcPr>
          <w:p>
            <w:pPr>
              <w:pStyle w:val="6"/>
              <w:snapToGrid w:val="0"/>
              <w:spacing w:line="300" w:lineRule="auto"/>
              <w:jc w:val="center"/>
              <w:rPr>
                <w:rFonts w:hint="eastAsia" w:ascii="仿宋_GB2312" w:hAnsi="等线" w:eastAsia="仿宋_GB2312" w:cs="Arial"/>
                <w:color w:val="000000"/>
                <w:kern w:val="2"/>
                <w:sz w:val="24"/>
                <w:szCs w:val="24"/>
                <w:lang w:val="en-US" w:eastAsia="zh-CN"/>
              </w:rPr>
            </w:pPr>
            <w:r>
              <w:rPr>
                <w:rFonts w:hint="eastAsia" w:ascii="仿宋_GB2312" w:hAnsi="等线" w:eastAsia="仿宋_GB2312" w:cs="Arial"/>
                <w:color w:val="000000"/>
                <w:kern w:val="2"/>
                <w:sz w:val="24"/>
                <w:szCs w:val="24"/>
                <w:lang w:val="en-US" w:eastAsia="zh-CN"/>
              </w:rPr>
              <w:t>组织管理</w:t>
            </w:r>
          </w:p>
        </w:tc>
        <w:tc>
          <w:tcPr>
            <w:tcW w:w="421" w:type="pct"/>
            <w:noWrap w:val="0"/>
            <w:vAlign w:val="center"/>
          </w:tcPr>
          <w:p>
            <w:pPr>
              <w:pStyle w:val="6"/>
              <w:snapToGrid w:val="0"/>
              <w:spacing w:line="300" w:lineRule="auto"/>
              <w:jc w:val="center"/>
              <w:rPr>
                <w:rFonts w:hint="eastAsia" w:ascii="仿宋_GB2312" w:hAnsi="等线" w:eastAsia="仿宋_GB2312" w:cs="Arial"/>
                <w:color w:val="000000"/>
                <w:kern w:val="2"/>
                <w:sz w:val="24"/>
                <w:szCs w:val="24"/>
                <w:lang w:val="en-US" w:eastAsia="zh-CN"/>
              </w:rPr>
            </w:pPr>
            <w:r>
              <w:rPr>
                <w:rFonts w:hint="eastAsia" w:ascii="仿宋_GB2312" w:hAnsi="等线" w:eastAsia="仿宋_GB2312" w:cs="Arial"/>
                <w:color w:val="000000"/>
                <w:kern w:val="2"/>
                <w:sz w:val="24"/>
                <w:szCs w:val="24"/>
                <w:lang w:val="en-US" w:eastAsia="zh-CN"/>
              </w:rPr>
              <w:t>6</w:t>
            </w:r>
          </w:p>
        </w:tc>
        <w:tc>
          <w:tcPr>
            <w:tcW w:w="3199" w:type="pct"/>
            <w:noWrap w:val="0"/>
            <w:vAlign w:val="top"/>
          </w:tcPr>
          <w:p>
            <w:pPr>
              <w:pStyle w:val="6"/>
              <w:snapToGrid w:val="0"/>
              <w:spacing w:line="300" w:lineRule="auto"/>
              <w:rPr>
                <w:rFonts w:hint="eastAsia" w:ascii="仿宋_GB2312" w:hAnsi="等线" w:eastAsia="仿宋_GB2312" w:cs="Arial"/>
                <w:color w:val="000000"/>
                <w:kern w:val="2"/>
                <w:sz w:val="24"/>
                <w:szCs w:val="24"/>
                <w:lang w:val="en-US" w:eastAsia="zh-CN"/>
              </w:rPr>
            </w:pPr>
            <w:r>
              <w:rPr>
                <w:rFonts w:hint="eastAsia" w:ascii="仿宋_GB2312" w:hAnsi="等线" w:eastAsia="仿宋_GB2312" w:cs="Arial"/>
                <w:color w:val="000000"/>
                <w:kern w:val="2"/>
                <w:sz w:val="24"/>
                <w:szCs w:val="24"/>
                <w:lang w:val="en-US" w:eastAsia="zh-CN"/>
              </w:rPr>
              <w:t>投标人的项目团队中，项目经理具备信息系统项目管理师证书或系统分析师证书的，每个证书得1分，最高得2分；技术负责人具备系统分析师证书，得1分；其他成员中，具备PMP或信息系统项目管理师，每个得0.5分，最多得3分，没有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538" w:type="pct"/>
            <w:noWrap w:val="0"/>
            <w:vAlign w:val="center"/>
          </w:tcPr>
          <w:p>
            <w:pPr>
              <w:pStyle w:val="6"/>
              <w:snapToGrid w:val="0"/>
              <w:spacing w:line="300" w:lineRule="auto"/>
              <w:jc w:val="center"/>
              <w:rPr>
                <w:rFonts w:hint="eastAsia" w:ascii="仿宋_GB2312" w:hAnsi="等线" w:eastAsia="仿宋_GB2312" w:cs="Arial"/>
                <w:color w:val="000000"/>
                <w:kern w:val="2"/>
                <w:sz w:val="24"/>
                <w:szCs w:val="24"/>
                <w:lang w:val="en-US" w:eastAsia="zh-CN"/>
              </w:rPr>
            </w:pPr>
            <w:r>
              <w:rPr>
                <w:rFonts w:hint="eastAsia" w:ascii="仿宋_GB2312" w:hAnsi="等线" w:eastAsia="仿宋_GB2312" w:cs="Arial"/>
                <w:color w:val="000000"/>
                <w:kern w:val="2"/>
                <w:sz w:val="24"/>
                <w:szCs w:val="24"/>
                <w:lang w:val="en-US" w:eastAsia="zh-CN"/>
              </w:rPr>
              <w:t>2</w:t>
            </w:r>
          </w:p>
        </w:tc>
        <w:tc>
          <w:tcPr>
            <w:tcW w:w="842" w:type="pct"/>
            <w:noWrap w:val="0"/>
            <w:vAlign w:val="center"/>
          </w:tcPr>
          <w:p>
            <w:pPr>
              <w:pStyle w:val="6"/>
              <w:snapToGrid w:val="0"/>
              <w:spacing w:line="300" w:lineRule="auto"/>
              <w:jc w:val="center"/>
              <w:rPr>
                <w:rFonts w:hint="eastAsia" w:ascii="仿宋_GB2312" w:hAnsi="等线" w:eastAsia="仿宋_GB2312" w:cs="Arial"/>
                <w:color w:val="000000"/>
                <w:kern w:val="2"/>
                <w:sz w:val="24"/>
                <w:szCs w:val="24"/>
                <w:lang w:val="en-US" w:eastAsia="zh-CN"/>
              </w:rPr>
            </w:pPr>
            <w:r>
              <w:rPr>
                <w:rFonts w:hint="eastAsia" w:ascii="仿宋_GB2312" w:hAnsi="等线" w:eastAsia="仿宋_GB2312" w:cs="Arial"/>
                <w:color w:val="000000"/>
                <w:kern w:val="2"/>
                <w:sz w:val="24"/>
                <w:szCs w:val="24"/>
                <w:lang w:val="en-US" w:eastAsia="zh-CN"/>
              </w:rPr>
              <w:t>履约合同</w:t>
            </w:r>
          </w:p>
        </w:tc>
        <w:tc>
          <w:tcPr>
            <w:tcW w:w="421" w:type="pct"/>
            <w:noWrap w:val="0"/>
            <w:vAlign w:val="center"/>
          </w:tcPr>
          <w:p>
            <w:pPr>
              <w:pStyle w:val="6"/>
              <w:snapToGrid w:val="0"/>
              <w:spacing w:line="300" w:lineRule="auto"/>
              <w:jc w:val="center"/>
              <w:rPr>
                <w:rFonts w:hint="eastAsia" w:ascii="仿宋_GB2312" w:hAnsi="等线" w:eastAsia="仿宋_GB2312" w:cs="Arial"/>
                <w:color w:val="000000"/>
                <w:kern w:val="2"/>
                <w:sz w:val="24"/>
                <w:szCs w:val="24"/>
                <w:lang w:val="en-US" w:eastAsia="zh-CN"/>
              </w:rPr>
            </w:pPr>
            <w:r>
              <w:rPr>
                <w:rFonts w:ascii="仿宋_GB2312" w:hAnsi="等线" w:eastAsia="仿宋_GB2312" w:cs="Arial"/>
                <w:color w:val="000000"/>
                <w:kern w:val="2"/>
                <w:sz w:val="24"/>
                <w:szCs w:val="24"/>
                <w:lang w:val="en-US" w:eastAsia="zh-CN"/>
              </w:rPr>
              <w:t>4</w:t>
            </w:r>
          </w:p>
        </w:tc>
        <w:tc>
          <w:tcPr>
            <w:tcW w:w="3199" w:type="pct"/>
            <w:noWrap w:val="0"/>
            <w:vAlign w:val="top"/>
          </w:tcPr>
          <w:p>
            <w:pPr>
              <w:pStyle w:val="6"/>
              <w:snapToGrid w:val="0"/>
              <w:spacing w:line="300" w:lineRule="auto"/>
              <w:rPr>
                <w:rFonts w:hint="eastAsia" w:ascii="仿宋_GB2312" w:hAnsi="等线" w:eastAsia="仿宋_GB2312" w:cs="Arial"/>
                <w:color w:val="000000"/>
                <w:kern w:val="2"/>
                <w:sz w:val="24"/>
                <w:szCs w:val="24"/>
                <w:lang w:val="en-US" w:eastAsia="zh-CN"/>
              </w:rPr>
            </w:pPr>
            <w:r>
              <w:rPr>
                <w:rFonts w:hint="eastAsia" w:ascii="仿宋_GB2312" w:hAnsi="等线" w:eastAsia="仿宋_GB2312" w:cs="Arial"/>
                <w:color w:val="000000"/>
                <w:kern w:val="2"/>
                <w:sz w:val="24"/>
                <w:szCs w:val="24"/>
                <w:lang w:val="en-US" w:eastAsia="zh-CN"/>
              </w:rPr>
              <w:t>2017年7月1日以来同类项目合同案例（提供合同复印件），每个案例得2分，最高得4分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16" w:hRule="atLeast"/>
          <w:jc w:val="center"/>
        </w:trPr>
        <w:tc>
          <w:tcPr>
            <w:tcW w:w="538" w:type="pct"/>
            <w:noWrap w:val="0"/>
            <w:vAlign w:val="center"/>
          </w:tcPr>
          <w:p>
            <w:pPr>
              <w:pStyle w:val="6"/>
              <w:snapToGrid w:val="0"/>
              <w:spacing w:line="300" w:lineRule="auto"/>
              <w:jc w:val="center"/>
              <w:rPr>
                <w:rFonts w:hint="eastAsia" w:ascii="仿宋_GB2312" w:hAnsi="等线" w:eastAsia="仿宋_GB2312" w:cs="Arial"/>
                <w:color w:val="000000"/>
                <w:kern w:val="2"/>
                <w:sz w:val="24"/>
                <w:szCs w:val="24"/>
                <w:lang w:val="en-US" w:eastAsia="zh-CN"/>
              </w:rPr>
            </w:pPr>
            <w:r>
              <w:rPr>
                <w:rFonts w:hint="eastAsia" w:ascii="仿宋_GB2312" w:hAnsi="等线" w:eastAsia="仿宋_GB2312" w:cs="Arial"/>
                <w:color w:val="000000"/>
                <w:kern w:val="2"/>
                <w:sz w:val="24"/>
                <w:szCs w:val="24"/>
                <w:lang w:val="en-US" w:eastAsia="zh-CN"/>
              </w:rPr>
              <w:t>3</w:t>
            </w:r>
          </w:p>
        </w:tc>
        <w:tc>
          <w:tcPr>
            <w:tcW w:w="842" w:type="pct"/>
            <w:noWrap w:val="0"/>
            <w:vAlign w:val="center"/>
          </w:tcPr>
          <w:p>
            <w:pPr>
              <w:pStyle w:val="6"/>
              <w:snapToGrid w:val="0"/>
              <w:spacing w:line="300" w:lineRule="auto"/>
              <w:jc w:val="center"/>
              <w:rPr>
                <w:rFonts w:hint="eastAsia" w:ascii="仿宋_GB2312" w:hAnsi="等线" w:eastAsia="仿宋_GB2312" w:cs="Arial"/>
                <w:color w:val="000000"/>
                <w:kern w:val="2"/>
                <w:sz w:val="24"/>
                <w:szCs w:val="24"/>
                <w:lang w:val="en-US" w:eastAsia="zh-CN"/>
              </w:rPr>
            </w:pPr>
            <w:r>
              <w:rPr>
                <w:rFonts w:hint="eastAsia" w:ascii="仿宋_GB2312" w:hAnsi="等线" w:eastAsia="仿宋_GB2312" w:cs="Arial"/>
                <w:color w:val="000000"/>
                <w:kern w:val="2"/>
                <w:sz w:val="24"/>
                <w:szCs w:val="24"/>
                <w:lang w:val="en-US" w:eastAsia="zh-CN"/>
              </w:rPr>
              <w:t>体系认证</w:t>
            </w:r>
          </w:p>
        </w:tc>
        <w:tc>
          <w:tcPr>
            <w:tcW w:w="421" w:type="pct"/>
            <w:noWrap w:val="0"/>
            <w:vAlign w:val="center"/>
          </w:tcPr>
          <w:p>
            <w:pPr>
              <w:pStyle w:val="6"/>
              <w:snapToGrid w:val="0"/>
              <w:spacing w:line="300" w:lineRule="auto"/>
              <w:jc w:val="center"/>
              <w:rPr>
                <w:rFonts w:hint="eastAsia" w:ascii="仿宋_GB2312" w:hAnsi="等线" w:eastAsia="仿宋_GB2312" w:cs="Arial"/>
                <w:color w:val="000000"/>
                <w:kern w:val="2"/>
                <w:sz w:val="24"/>
                <w:szCs w:val="24"/>
                <w:lang w:val="en-US" w:eastAsia="zh-CN"/>
              </w:rPr>
            </w:pPr>
            <w:r>
              <w:rPr>
                <w:rFonts w:ascii="仿宋_GB2312" w:hAnsi="等线" w:eastAsia="仿宋_GB2312" w:cs="Arial"/>
                <w:color w:val="000000"/>
                <w:kern w:val="2"/>
                <w:sz w:val="24"/>
                <w:szCs w:val="24"/>
                <w:lang w:val="en-US" w:eastAsia="zh-CN"/>
              </w:rPr>
              <w:t>4</w:t>
            </w:r>
          </w:p>
        </w:tc>
        <w:tc>
          <w:tcPr>
            <w:tcW w:w="3199" w:type="pct"/>
            <w:noWrap w:val="0"/>
            <w:vAlign w:val="top"/>
          </w:tcPr>
          <w:p>
            <w:pPr>
              <w:pStyle w:val="6"/>
              <w:snapToGrid w:val="0"/>
              <w:spacing w:line="300" w:lineRule="auto"/>
              <w:rPr>
                <w:rFonts w:hint="eastAsia" w:ascii="仿宋_GB2312" w:hAnsi="等线" w:eastAsia="仿宋_GB2312" w:cs="Arial"/>
                <w:color w:val="000000"/>
                <w:kern w:val="2"/>
                <w:sz w:val="24"/>
                <w:szCs w:val="24"/>
                <w:lang w:val="en-US" w:eastAsia="zh-CN"/>
              </w:rPr>
            </w:pPr>
            <w:r>
              <w:rPr>
                <w:rFonts w:hint="eastAsia" w:ascii="仿宋_GB2312" w:hAnsi="等线" w:eastAsia="仿宋_GB2312" w:cs="Arial"/>
                <w:color w:val="000000"/>
                <w:kern w:val="2"/>
                <w:sz w:val="24"/>
                <w:szCs w:val="24"/>
                <w:lang w:val="en-US" w:eastAsia="zh-CN"/>
              </w:rPr>
              <w:t>投标人提供ISO27001信息安全管理体系认证、ISO20000信息技术服务管理体系认证证书，每提供1个得2分，最多4分，没有不得分。</w:t>
            </w:r>
          </w:p>
          <w:p>
            <w:pPr>
              <w:pStyle w:val="6"/>
              <w:snapToGrid w:val="0"/>
              <w:spacing w:line="300" w:lineRule="auto"/>
              <w:rPr>
                <w:rFonts w:hint="eastAsia" w:ascii="仿宋_GB2312" w:hAnsi="等线" w:eastAsia="仿宋_GB2312" w:cs="Arial"/>
                <w:color w:val="000000"/>
                <w:kern w:val="2"/>
                <w:sz w:val="24"/>
                <w:szCs w:val="24"/>
                <w:lang w:val="en-US" w:eastAsia="zh-CN"/>
              </w:rPr>
            </w:pPr>
            <w:r>
              <w:rPr>
                <w:rFonts w:hint="eastAsia" w:ascii="仿宋_GB2312" w:hAnsi="等线" w:eastAsia="仿宋_GB2312" w:cs="Arial"/>
                <w:color w:val="000000"/>
                <w:kern w:val="2"/>
                <w:sz w:val="24"/>
                <w:szCs w:val="24"/>
                <w:lang w:val="en-US" w:eastAsia="zh-CN"/>
              </w:rPr>
              <w:t>（提供有效证书复印件加盖投标人公章）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538" w:type="pct"/>
            <w:noWrap w:val="0"/>
            <w:vAlign w:val="center"/>
          </w:tcPr>
          <w:p>
            <w:pPr>
              <w:pStyle w:val="6"/>
              <w:snapToGrid w:val="0"/>
              <w:spacing w:line="300" w:lineRule="auto"/>
              <w:jc w:val="center"/>
              <w:rPr>
                <w:rFonts w:hint="eastAsia" w:ascii="仿宋_GB2312" w:hAnsi="等线" w:eastAsia="仿宋_GB2312" w:cs="Arial"/>
                <w:color w:val="000000"/>
                <w:kern w:val="2"/>
                <w:sz w:val="24"/>
                <w:szCs w:val="24"/>
                <w:lang w:val="en-US" w:eastAsia="zh-CN"/>
              </w:rPr>
            </w:pPr>
            <w:r>
              <w:rPr>
                <w:rFonts w:hint="eastAsia" w:ascii="仿宋_GB2312" w:hAnsi="等线" w:eastAsia="仿宋_GB2312" w:cs="Arial"/>
                <w:color w:val="000000"/>
                <w:kern w:val="2"/>
                <w:sz w:val="24"/>
                <w:szCs w:val="24"/>
                <w:lang w:val="en-US" w:eastAsia="zh-CN"/>
              </w:rPr>
              <w:t>4</w:t>
            </w:r>
          </w:p>
        </w:tc>
        <w:tc>
          <w:tcPr>
            <w:tcW w:w="842" w:type="pct"/>
            <w:noWrap w:val="0"/>
            <w:vAlign w:val="center"/>
          </w:tcPr>
          <w:p>
            <w:pPr>
              <w:pStyle w:val="6"/>
              <w:snapToGrid w:val="0"/>
              <w:spacing w:line="300" w:lineRule="auto"/>
              <w:jc w:val="center"/>
              <w:rPr>
                <w:rFonts w:hint="eastAsia" w:ascii="仿宋_GB2312" w:hAnsi="等线" w:eastAsia="仿宋_GB2312" w:cs="Arial"/>
                <w:color w:val="000000"/>
                <w:kern w:val="2"/>
                <w:sz w:val="24"/>
                <w:szCs w:val="24"/>
                <w:lang w:val="en-US" w:eastAsia="zh-CN"/>
              </w:rPr>
            </w:pPr>
            <w:r>
              <w:rPr>
                <w:rFonts w:hint="eastAsia" w:ascii="仿宋_GB2312" w:hAnsi="等线" w:eastAsia="仿宋_GB2312" w:cs="Arial"/>
                <w:color w:val="000000"/>
                <w:kern w:val="2"/>
                <w:sz w:val="24"/>
                <w:szCs w:val="24"/>
                <w:lang w:val="en-US" w:eastAsia="zh-CN"/>
              </w:rPr>
              <w:t>其他认证</w:t>
            </w:r>
          </w:p>
        </w:tc>
        <w:tc>
          <w:tcPr>
            <w:tcW w:w="421" w:type="pct"/>
            <w:noWrap w:val="0"/>
            <w:vAlign w:val="center"/>
          </w:tcPr>
          <w:p>
            <w:pPr>
              <w:pStyle w:val="6"/>
              <w:snapToGrid w:val="0"/>
              <w:spacing w:line="300" w:lineRule="auto"/>
              <w:jc w:val="center"/>
              <w:rPr>
                <w:rFonts w:hint="eastAsia" w:ascii="仿宋_GB2312" w:hAnsi="等线" w:eastAsia="仿宋_GB2312" w:cs="Arial"/>
                <w:color w:val="000000"/>
                <w:kern w:val="2"/>
                <w:sz w:val="24"/>
                <w:szCs w:val="24"/>
                <w:lang w:val="en-US" w:eastAsia="zh-CN"/>
              </w:rPr>
            </w:pPr>
            <w:r>
              <w:rPr>
                <w:rFonts w:hint="eastAsia" w:ascii="仿宋_GB2312" w:hAnsi="等线" w:eastAsia="仿宋_GB2312" w:cs="Arial"/>
                <w:color w:val="000000"/>
                <w:kern w:val="2"/>
                <w:sz w:val="24"/>
                <w:szCs w:val="24"/>
                <w:lang w:val="en-US" w:eastAsia="zh-CN"/>
              </w:rPr>
              <w:t>4</w:t>
            </w:r>
          </w:p>
        </w:tc>
        <w:tc>
          <w:tcPr>
            <w:tcW w:w="3199" w:type="pct"/>
            <w:noWrap w:val="0"/>
            <w:vAlign w:val="top"/>
          </w:tcPr>
          <w:p>
            <w:pPr>
              <w:pStyle w:val="6"/>
              <w:snapToGrid w:val="0"/>
              <w:spacing w:line="300" w:lineRule="auto"/>
              <w:rPr>
                <w:rFonts w:hint="eastAsia" w:ascii="仿宋_GB2312" w:hAnsi="等线" w:eastAsia="仿宋_GB2312" w:cs="Arial"/>
                <w:color w:val="000000"/>
                <w:kern w:val="2"/>
                <w:sz w:val="24"/>
                <w:szCs w:val="24"/>
                <w:lang w:val="en-US" w:eastAsia="zh-CN"/>
              </w:rPr>
            </w:pPr>
            <w:r>
              <w:rPr>
                <w:rFonts w:hint="eastAsia" w:ascii="仿宋_GB2312" w:hAnsi="等线" w:eastAsia="仿宋_GB2312" w:cs="Arial"/>
                <w:color w:val="000000"/>
                <w:kern w:val="2"/>
                <w:sz w:val="24"/>
                <w:szCs w:val="24"/>
                <w:lang w:val="en-US" w:eastAsia="zh-CN"/>
              </w:rPr>
              <w:t>投标人提供有效期内CMMI3级及以上、ITSS叁级及以上资质证书，每个证书得2分，最高得4分，没有不得分；</w:t>
            </w:r>
          </w:p>
          <w:p>
            <w:pPr>
              <w:pStyle w:val="6"/>
              <w:snapToGrid w:val="0"/>
              <w:spacing w:line="300" w:lineRule="auto"/>
              <w:rPr>
                <w:rFonts w:hint="eastAsia" w:ascii="仿宋_GB2312" w:hAnsi="等线" w:eastAsia="仿宋_GB2312" w:cs="Arial"/>
                <w:color w:val="000000"/>
                <w:kern w:val="2"/>
                <w:sz w:val="24"/>
                <w:szCs w:val="24"/>
                <w:lang w:val="en-US" w:eastAsia="zh-CN"/>
              </w:rPr>
            </w:pPr>
            <w:r>
              <w:rPr>
                <w:rFonts w:hint="eastAsia" w:ascii="仿宋_GB2312" w:hAnsi="等线" w:eastAsia="仿宋_GB2312" w:cs="Arial"/>
                <w:color w:val="000000"/>
                <w:kern w:val="2"/>
                <w:sz w:val="24"/>
                <w:szCs w:val="24"/>
                <w:lang w:val="en-US" w:eastAsia="zh-CN"/>
              </w:rPr>
              <w:t>（提供有效证书复印件加盖投标人公章）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538" w:type="pct"/>
            <w:noWrap w:val="0"/>
            <w:vAlign w:val="center"/>
          </w:tcPr>
          <w:p>
            <w:pPr>
              <w:pStyle w:val="6"/>
              <w:snapToGrid w:val="0"/>
              <w:spacing w:line="300" w:lineRule="auto"/>
              <w:jc w:val="center"/>
              <w:rPr>
                <w:rFonts w:hint="eastAsia" w:ascii="仿宋_GB2312" w:hAnsi="等线" w:eastAsia="仿宋_GB2312" w:cs="Arial"/>
                <w:color w:val="000000"/>
                <w:kern w:val="2"/>
                <w:sz w:val="24"/>
                <w:szCs w:val="24"/>
                <w:lang w:val="en-US" w:eastAsia="zh-CN"/>
              </w:rPr>
            </w:pPr>
            <w:r>
              <w:rPr>
                <w:rFonts w:hint="eastAsia" w:ascii="仿宋_GB2312" w:hAnsi="等线" w:eastAsia="仿宋_GB2312" w:cs="Arial"/>
                <w:color w:val="000000"/>
                <w:kern w:val="2"/>
                <w:sz w:val="24"/>
                <w:szCs w:val="24"/>
                <w:lang w:val="en-US" w:eastAsia="zh-CN"/>
              </w:rPr>
              <w:t>5</w:t>
            </w:r>
          </w:p>
        </w:tc>
        <w:tc>
          <w:tcPr>
            <w:tcW w:w="842" w:type="pct"/>
            <w:noWrap w:val="0"/>
            <w:vAlign w:val="center"/>
          </w:tcPr>
          <w:p>
            <w:pPr>
              <w:pStyle w:val="6"/>
              <w:snapToGrid w:val="0"/>
              <w:spacing w:line="300" w:lineRule="auto"/>
              <w:jc w:val="center"/>
              <w:rPr>
                <w:rFonts w:hint="eastAsia" w:ascii="仿宋_GB2312" w:hAnsi="等线" w:eastAsia="仿宋_GB2312" w:cs="Arial"/>
                <w:color w:val="000000"/>
                <w:kern w:val="2"/>
                <w:sz w:val="24"/>
                <w:szCs w:val="24"/>
                <w:lang w:val="en-US" w:eastAsia="zh-CN"/>
              </w:rPr>
            </w:pPr>
            <w:r>
              <w:rPr>
                <w:rFonts w:hint="eastAsia" w:ascii="仿宋_GB2312" w:hAnsi="等线" w:eastAsia="仿宋_GB2312" w:cs="Arial"/>
                <w:color w:val="000000"/>
                <w:kern w:val="2"/>
                <w:sz w:val="24"/>
                <w:szCs w:val="24"/>
                <w:lang w:val="en-US" w:eastAsia="zh-CN"/>
              </w:rPr>
              <w:t>整体框架</w:t>
            </w:r>
          </w:p>
        </w:tc>
        <w:tc>
          <w:tcPr>
            <w:tcW w:w="421" w:type="pct"/>
            <w:noWrap w:val="0"/>
            <w:vAlign w:val="center"/>
          </w:tcPr>
          <w:p>
            <w:pPr>
              <w:pStyle w:val="6"/>
              <w:snapToGrid w:val="0"/>
              <w:spacing w:line="300" w:lineRule="auto"/>
              <w:jc w:val="center"/>
              <w:rPr>
                <w:rFonts w:hint="eastAsia" w:ascii="仿宋_GB2312" w:hAnsi="等线" w:eastAsia="仿宋_GB2312" w:cs="Arial"/>
                <w:color w:val="000000"/>
                <w:kern w:val="2"/>
                <w:sz w:val="24"/>
                <w:szCs w:val="24"/>
                <w:lang w:val="en-US" w:eastAsia="zh-CN"/>
              </w:rPr>
            </w:pPr>
            <w:r>
              <w:rPr>
                <w:rFonts w:ascii="仿宋_GB2312" w:hAnsi="等线" w:eastAsia="仿宋_GB2312" w:cs="Arial"/>
                <w:color w:val="000000"/>
                <w:kern w:val="2"/>
                <w:sz w:val="24"/>
                <w:szCs w:val="24"/>
                <w:lang w:val="en-US" w:eastAsia="zh-CN"/>
              </w:rPr>
              <w:t>5</w:t>
            </w:r>
          </w:p>
        </w:tc>
        <w:tc>
          <w:tcPr>
            <w:tcW w:w="3199" w:type="pct"/>
            <w:noWrap w:val="0"/>
            <w:vAlign w:val="center"/>
          </w:tcPr>
          <w:p>
            <w:pPr>
              <w:pStyle w:val="6"/>
              <w:snapToGrid w:val="0"/>
              <w:spacing w:line="300" w:lineRule="auto"/>
              <w:rPr>
                <w:rFonts w:hint="eastAsia" w:ascii="仿宋_GB2312" w:hAnsi="等线" w:eastAsia="仿宋_GB2312" w:cs="Arial"/>
                <w:color w:val="000000"/>
                <w:kern w:val="2"/>
                <w:sz w:val="24"/>
                <w:szCs w:val="24"/>
                <w:lang w:val="en-US" w:eastAsia="zh-CN"/>
              </w:rPr>
            </w:pPr>
            <w:r>
              <w:rPr>
                <w:rFonts w:hint="eastAsia" w:ascii="仿宋_GB2312" w:hAnsi="等线" w:eastAsia="仿宋_GB2312" w:cs="Arial"/>
                <w:color w:val="000000"/>
                <w:kern w:val="2"/>
                <w:sz w:val="24"/>
                <w:szCs w:val="24"/>
                <w:lang w:val="en-US" w:eastAsia="zh-CN"/>
              </w:rPr>
              <w:t>按其对本期系统的需求和功能理解等方面进行打分，优于项目需求的5.0.0-4.0分，符合项目需求的得3.9-2.0分，部分符合项目需求的得1.9-0.1分，不符合或不提供不得分。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538" w:type="pct"/>
            <w:noWrap w:val="0"/>
            <w:vAlign w:val="center"/>
          </w:tcPr>
          <w:p>
            <w:pPr>
              <w:pStyle w:val="6"/>
              <w:snapToGrid w:val="0"/>
              <w:spacing w:line="300" w:lineRule="auto"/>
              <w:jc w:val="center"/>
              <w:rPr>
                <w:rFonts w:hint="eastAsia" w:ascii="仿宋_GB2312" w:hAnsi="等线" w:eastAsia="仿宋_GB2312" w:cs="Arial"/>
                <w:color w:val="000000"/>
                <w:kern w:val="2"/>
                <w:sz w:val="24"/>
                <w:szCs w:val="24"/>
                <w:lang w:val="en-US" w:eastAsia="zh-CN"/>
              </w:rPr>
            </w:pPr>
            <w:r>
              <w:rPr>
                <w:rFonts w:hint="eastAsia" w:ascii="仿宋_GB2312" w:hAnsi="等线" w:eastAsia="仿宋_GB2312" w:cs="Arial"/>
                <w:color w:val="000000"/>
                <w:kern w:val="2"/>
                <w:sz w:val="24"/>
                <w:szCs w:val="24"/>
                <w:lang w:val="en-US" w:eastAsia="zh-CN"/>
              </w:rPr>
              <w:t>6</w:t>
            </w:r>
          </w:p>
        </w:tc>
        <w:tc>
          <w:tcPr>
            <w:tcW w:w="842" w:type="pct"/>
            <w:noWrap w:val="0"/>
            <w:vAlign w:val="center"/>
          </w:tcPr>
          <w:p>
            <w:pPr>
              <w:pStyle w:val="6"/>
              <w:snapToGrid w:val="0"/>
              <w:spacing w:line="300" w:lineRule="auto"/>
              <w:jc w:val="center"/>
              <w:rPr>
                <w:rFonts w:hint="eastAsia" w:ascii="仿宋_GB2312" w:hAnsi="等线" w:eastAsia="仿宋_GB2312" w:cs="Arial"/>
                <w:color w:val="000000"/>
                <w:kern w:val="2"/>
                <w:sz w:val="24"/>
                <w:szCs w:val="24"/>
                <w:lang w:val="en-US" w:eastAsia="zh-CN"/>
              </w:rPr>
            </w:pPr>
            <w:r>
              <w:rPr>
                <w:rFonts w:hint="eastAsia" w:ascii="仿宋_GB2312" w:hAnsi="等线" w:eastAsia="仿宋_GB2312" w:cs="Arial"/>
                <w:color w:val="000000"/>
                <w:kern w:val="2"/>
                <w:sz w:val="24"/>
                <w:szCs w:val="24"/>
                <w:lang w:val="en-US" w:eastAsia="zh-CN"/>
              </w:rPr>
              <w:t>需求理解</w:t>
            </w:r>
          </w:p>
        </w:tc>
        <w:tc>
          <w:tcPr>
            <w:tcW w:w="421" w:type="pct"/>
            <w:noWrap w:val="0"/>
            <w:vAlign w:val="center"/>
          </w:tcPr>
          <w:p>
            <w:pPr>
              <w:pStyle w:val="6"/>
              <w:snapToGrid w:val="0"/>
              <w:spacing w:line="300" w:lineRule="auto"/>
              <w:jc w:val="center"/>
              <w:rPr>
                <w:rFonts w:hint="eastAsia" w:ascii="仿宋_GB2312" w:hAnsi="等线" w:eastAsia="仿宋_GB2312" w:cs="Arial"/>
                <w:color w:val="000000"/>
                <w:kern w:val="2"/>
                <w:sz w:val="24"/>
                <w:szCs w:val="24"/>
                <w:lang w:val="en-US" w:eastAsia="zh-CN"/>
              </w:rPr>
            </w:pPr>
            <w:r>
              <w:rPr>
                <w:rFonts w:hint="eastAsia" w:ascii="仿宋_GB2312" w:hAnsi="等线" w:eastAsia="仿宋_GB2312" w:cs="Arial"/>
                <w:color w:val="000000"/>
                <w:kern w:val="2"/>
                <w:sz w:val="24"/>
                <w:szCs w:val="24"/>
                <w:lang w:val="en-US" w:eastAsia="zh-CN"/>
              </w:rPr>
              <w:t>4</w:t>
            </w:r>
          </w:p>
        </w:tc>
        <w:tc>
          <w:tcPr>
            <w:tcW w:w="3199" w:type="pct"/>
            <w:noWrap w:val="0"/>
            <w:vAlign w:val="center"/>
          </w:tcPr>
          <w:p>
            <w:pPr>
              <w:pStyle w:val="6"/>
              <w:snapToGrid w:val="0"/>
              <w:spacing w:line="300" w:lineRule="auto"/>
              <w:rPr>
                <w:rFonts w:hint="eastAsia" w:ascii="仿宋_GB2312" w:hAnsi="等线" w:eastAsia="仿宋_GB2312" w:cs="Arial"/>
                <w:color w:val="000000"/>
                <w:kern w:val="2"/>
                <w:sz w:val="24"/>
                <w:szCs w:val="24"/>
                <w:lang w:val="en-US" w:eastAsia="zh-CN"/>
              </w:rPr>
            </w:pPr>
            <w:r>
              <w:rPr>
                <w:rFonts w:hint="eastAsia" w:ascii="仿宋_GB2312" w:hAnsi="仿宋_GB2312" w:eastAsia="仿宋_GB2312" w:cs="仿宋_GB2312"/>
                <w:color w:val="000000"/>
                <w:kern w:val="2"/>
                <w:sz w:val="24"/>
                <w:szCs w:val="24"/>
                <w:lang w:val="en-US" w:eastAsia="zh-CN"/>
              </w:rPr>
              <w:t>按其对本期系统的需求和功能理解等方面进行打分，优于项目需求的4.0.0-3.0分，符合项目需求的得2.9-1.0分，部分符合项目需求的得0.9-0.1分，不符合或不提供不得分。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538" w:type="pct"/>
            <w:noWrap w:val="0"/>
            <w:vAlign w:val="center"/>
          </w:tcPr>
          <w:p>
            <w:pPr>
              <w:pStyle w:val="6"/>
              <w:snapToGrid w:val="0"/>
              <w:spacing w:line="300" w:lineRule="auto"/>
              <w:jc w:val="center"/>
              <w:rPr>
                <w:rFonts w:hint="eastAsia" w:ascii="仿宋_GB2312" w:hAnsi="等线" w:eastAsia="仿宋_GB2312" w:cs="Arial"/>
                <w:color w:val="000000"/>
                <w:kern w:val="2"/>
                <w:sz w:val="24"/>
                <w:szCs w:val="24"/>
                <w:lang w:val="en-US" w:eastAsia="zh-CN"/>
              </w:rPr>
            </w:pPr>
            <w:r>
              <w:rPr>
                <w:rFonts w:hint="eastAsia" w:ascii="仿宋_GB2312" w:hAnsi="等线" w:eastAsia="仿宋_GB2312" w:cs="Arial"/>
                <w:color w:val="000000"/>
                <w:kern w:val="2"/>
                <w:sz w:val="24"/>
                <w:szCs w:val="24"/>
                <w:lang w:val="en-US" w:eastAsia="zh-CN"/>
              </w:rPr>
              <w:t>7</w:t>
            </w:r>
          </w:p>
        </w:tc>
        <w:tc>
          <w:tcPr>
            <w:tcW w:w="842" w:type="pct"/>
            <w:noWrap w:val="0"/>
            <w:vAlign w:val="center"/>
          </w:tcPr>
          <w:p>
            <w:pPr>
              <w:pStyle w:val="6"/>
              <w:snapToGrid w:val="0"/>
              <w:spacing w:line="300" w:lineRule="auto"/>
              <w:jc w:val="center"/>
              <w:rPr>
                <w:rFonts w:hint="eastAsia" w:ascii="仿宋_GB2312" w:hAnsi="等线" w:eastAsia="仿宋_GB2312" w:cs="Arial"/>
                <w:color w:val="000000"/>
                <w:kern w:val="2"/>
                <w:sz w:val="24"/>
                <w:szCs w:val="24"/>
                <w:lang w:val="en-US" w:eastAsia="zh-CN"/>
              </w:rPr>
            </w:pPr>
            <w:r>
              <w:rPr>
                <w:rFonts w:hint="eastAsia" w:ascii="仿宋_GB2312" w:hAnsi="等线" w:eastAsia="仿宋_GB2312" w:cs="Arial"/>
                <w:color w:val="000000"/>
                <w:kern w:val="2"/>
                <w:sz w:val="24"/>
                <w:szCs w:val="24"/>
                <w:lang w:val="en-US" w:eastAsia="zh-CN"/>
              </w:rPr>
              <w:t>建设方案</w:t>
            </w:r>
          </w:p>
        </w:tc>
        <w:tc>
          <w:tcPr>
            <w:tcW w:w="421" w:type="pct"/>
            <w:noWrap w:val="0"/>
            <w:vAlign w:val="center"/>
          </w:tcPr>
          <w:p>
            <w:pPr>
              <w:pStyle w:val="6"/>
              <w:snapToGrid w:val="0"/>
              <w:spacing w:line="300" w:lineRule="auto"/>
              <w:jc w:val="center"/>
              <w:rPr>
                <w:rFonts w:hint="eastAsia" w:ascii="仿宋_GB2312" w:hAnsi="等线" w:eastAsia="仿宋_GB2312" w:cs="Arial"/>
                <w:color w:val="000000"/>
                <w:kern w:val="2"/>
                <w:sz w:val="24"/>
                <w:szCs w:val="24"/>
                <w:lang w:val="en-US" w:eastAsia="zh-CN"/>
              </w:rPr>
            </w:pPr>
            <w:r>
              <w:rPr>
                <w:rFonts w:ascii="仿宋_GB2312" w:hAnsi="等线" w:eastAsia="仿宋_GB2312" w:cs="Arial"/>
                <w:color w:val="000000"/>
                <w:kern w:val="2"/>
                <w:sz w:val="24"/>
                <w:szCs w:val="24"/>
                <w:lang w:val="en-US" w:eastAsia="zh-CN"/>
              </w:rPr>
              <w:t>5</w:t>
            </w:r>
          </w:p>
        </w:tc>
        <w:tc>
          <w:tcPr>
            <w:tcW w:w="3199" w:type="pct"/>
            <w:noWrap w:val="0"/>
            <w:vAlign w:val="center"/>
          </w:tcPr>
          <w:p>
            <w:pPr>
              <w:pStyle w:val="6"/>
              <w:snapToGrid w:val="0"/>
              <w:spacing w:line="300" w:lineRule="auto"/>
              <w:rPr>
                <w:rFonts w:ascii="仿宋_GB2312" w:hAnsi="仿宋_GB2312" w:eastAsia="仿宋_GB2312" w:cs="仿宋_GB2312"/>
                <w:color w:val="000000"/>
                <w:kern w:val="2"/>
                <w:sz w:val="24"/>
                <w:szCs w:val="24"/>
                <w:lang w:val="en-US" w:eastAsia="zh-CN"/>
              </w:rPr>
            </w:pPr>
            <w:r>
              <w:rPr>
                <w:rFonts w:hint="eastAsia" w:ascii="仿宋_GB2312" w:hAnsi="仿宋_GB2312" w:eastAsia="仿宋_GB2312" w:cs="仿宋_GB2312"/>
                <w:color w:val="000000"/>
                <w:kern w:val="2"/>
                <w:sz w:val="24"/>
                <w:szCs w:val="24"/>
                <w:lang w:val="en-US" w:eastAsia="zh-CN"/>
              </w:rPr>
              <w:t>按其对本期系统的建设方案、集成方案、安全方案、运维方案等方面进行打分，优于项目需求的5.0.0-4.0分，符合项目需求的得3.9-2.0分，部分符合项目需求的得1.9-0.1分，不符合或不提供不得分。</w:t>
            </w:r>
          </w:p>
          <w:p>
            <w:pPr>
              <w:pStyle w:val="6"/>
              <w:snapToGrid w:val="0"/>
              <w:spacing w:line="300" w:lineRule="auto"/>
              <w:rPr>
                <w:rFonts w:hint="eastAsia" w:ascii="仿宋_GB2312" w:hAnsi="等线" w:eastAsia="仿宋_GB2312" w:cs="Arial"/>
                <w:color w:val="000000"/>
                <w:kern w:val="2"/>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078" w:hRule="atLeast"/>
          <w:jc w:val="center"/>
        </w:trPr>
        <w:tc>
          <w:tcPr>
            <w:tcW w:w="538" w:type="pct"/>
            <w:noWrap w:val="0"/>
            <w:vAlign w:val="center"/>
          </w:tcPr>
          <w:p>
            <w:pPr>
              <w:pStyle w:val="6"/>
              <w:snapToGrid w:val="0"/>
              <w:spacing w:line="300" w:lineRule="auto"/>
              <w:jc w:val="center"/>
              <w:rPr>
                <w:rFonts w:hint="eastAsia" w:ascii="仿宋_GB2312" w:hAnsi="等线" w:eastAsia="仿宋_GB2312" w:cs="Arial"/>
                <w:color w:val="000000"/>
                <w:kern w:val="2"/>
                <w:sz w:val="24"/>
                <w:szCs w:val="24"/>
                <w:lang w:val="en-US" w:eastAsia="zh-CN"/>
              </w:rPr>
            </w:pPr>
            <w:r>
              <w:rPr>
                <w:rFonts w:hint="eastAsia" w:ascii="仿宋_GB2312" w:hAnsi="等线" w:eastAsia="仿宋_GB2312" w:cs="Arial"/>
                <w:color w:val="000000"/>
                <w:kern w:val="2"/>
                <w:sz w:val="24"/>
                <w:szCs w:val="24"/>
                <w:lang w:val="en-US" w:eastAsia="zh-CN"/>
              </w:rPr>
              <w:t>8</w:t>
            </w:r>
          </w:p>
        </w:tc>
        <w:tc>
          <w:tcPr>
            <w:tcW w:w="842" w:type="pct"/>
            <w:noWrap w:val="0"/>
            <w:vAlign w:val="center"/>
          </w:tcPr>
          <w:p>
            <w:pPr>
              <w:pStyle w:val="6"/>
              <w:snapToGrid w:val="0"/>
              <w:spacing w:line="300" w:lineRule="auto"/>
              <w:jc w:val="center"/>
              <w:rPr>
                <w:rFonts w:hint="eastAsia" w:ascii="仿宋_GB2312" w:hAnsi="等线" w:eastAsia="仿宋_GB2312" w:cs="Arial"/>
                <w:color w:val="000000"/>
                <w:kern w:val="2"/>
                <w:sz w:val="24"/>
                <w:szCs w:val="24"/>
                <w:lang w:val="en-US" w:eastAsia="zh-CN"/>
              </w:rPr>
            </w:pPr>
            <w:r>
              <w:rPr>
                <w:rFonts w:hint="eastAsia" w:ascii="仿宋_GB2312" w:hAnsi="等线" w:eastAsia="仿宋_GB2312" w:cs="Arial"/>
                <w:color w:val="000000"/>
                <w:kern w:val="2"/>
                <w:sz w:val="24"/>
                <w:szCs w:val="24"/>
                <w:lang w:val="en-US" w:eastAsia="zh-CN"/>
              </w:rPr>
              <w:t>系统演示</w:t>
            </w:r>
          </w:p>
        </w:tc>
        <w:tc>
          <w:tcPr>
            <w:tcW w:w="421" w:type="pct"/>
            <w:noWrap w:val="0"/>
            <w:vAlign w:val="center"/>
          </w:tcPr>
          <w:p>
            <w:pPr>
              <w:pStyle w:val="6"/>
              <w:snapToGrid w:val="0"/>
              <w:spacing w:line="300" w:lineRule="auto"/>
              <w:jc w:val="center"/>
              <w:rPr>
                <w:rFonts w:hint="eastAsia" w:ascii="仿宋_GB2312" w:hAnsi="等线" w:eastAsia="仿宋_GB2312" w:cs="Arial"/>
                <w:color w:val="000000"/>
                <w:kern w:val="2"/>
                <w:sz w:val="24"/>
                <w:szCs w:val="24"/>
                <w:lang w:val="en-US" w:eastAsia="zh-CN"/>
              </w:rPr>
            </w:pPr>
            <w:r>
              <w:rPr>
                <w:rFonts w:ascii="仿宋_GB2312" w:hAnsi="等线" w:eastAsia="仿宋_GB2312" w:cs="Arial"/>
                <w:color w:val="000000"/>
                <w:kern w:val="2"/>
                <w:sz w:val="24"/>
                <w:szCs w:val="24"/>
                <w:lang w:val="en-US" w:eastAsia="zh-CN"/>
              </w:rPr>
              <w:t>27</w:t>
            </w:r>
          </w:p>
        </w:tc>
        <w:tc>
          <w:tcPr>
            <w:tcW w:w="3199" w:type="pct"/>
            <w:noWrap w:val="0"/>
            <w:vAlign w:val="center"/>
          </w:tcPr>
          <w:p>
            <w:pPr>
              <w:pStyle w:val="6"/>
              <w:snapToGrid w:val="0"/>
              <w:spacing w:line="300" w:lineRule="auto"/>
              <w:rPr>
                <w:rFonts w:hint="eastAsia" w:ascii="仿宋_GB2312" w:hAnsi="等线" w:eastAsia="仿宋_GB2312" w:cs="Arial"/>
                <w:b/>
                <w:bCs/>
                <w:color w:val="000000"/>
                <w:kern w:val="2"/>
                <w:sz w:val="24"/>
                <w:szCs w:val="24"/>
                <w:lang w:val="en-US" w:eastAsia="zh-CN"/>
              </w:rPr>
            </w:pPr>
            <w:r>
              <w:rPr>
                <w:rFonts w:hint="eastAsia" w:ascii="仿宋_GB2312" w:hAnsi="等线" w:eastAsia="仿宋_GB2312" w:cs="Arial"/>
                <w:b/>
                <w:bCs/>
                <w:color w:val="000000"/>
                <w:kern w:val="2"/>
                <w:sz w:val="24"/>
                <w:szCs w:val="24"/>
                <w:lang w:val="en-US" w:eastAsia="zh-CN"/>
              </w:rPr>
              <w:t>演示内容：</w:t>
            </w:r>
          </w:p>
          <w:p>
            <w:pPr>
              <w:pStyle w:val="6"/>
              <w:snapToGrid w:val="0"/>
              <w:spacing w:line="300" w:lineRule="auto"/>
              <w:rPr>
                <w:rFonts w:ascii="仿宋_GB2312" w:hAnsi="等线" w:eastAsia="仿宋_GB2312" w:cs="Arial"/>
                <w:color w:val="000000"/>
                <w:kern w:val="2"/>
                <w:sz w:val="24"/>
                <w:szCs w:val="24"/>
                <w:lang w:val="en-US" w:eastAsia="zh-CN"/>
              </w:rPr>
            </w:pPr>
            <w:r>
              <w:rPr>
                <w:rFonts w:hint="eastAsia" w:ascii="仿宋_GB2312" w:hAnsi="等线" w:eastAsia="仿宋_GB2312" w:cs="Arial"/>
                <w:color w:val="000000"/>
                <w:kern w:val="2"/>
                <w:sz w:val="24"/>
                <w:szCs w:val="24"/>
                <w:lang w:val="en-US" w:eastAsia="zh-CN"/>
              </w:rPr>
              <w:t>1、</w:t>
            </w:r>
            <w:r>
              <w:rPr>
                <w:rFonts w:hint="eastAsia" w:ascii="仿宋_GB2312" w:hAnsi="等线" w:eastAsia="仿宋_GB2312" w:cs="Arial"/>
                <w:color w:val="000000"/>
                <w:sz w:val="24"/>
              </w:rPr>
              <w:t>演示迁移到浙政钉的功能</w:t>
            </w:r>
            <w:r>
              <w:rPr>
                <w:rFonts w:hint="eastAsia" w:ascii="仿宋_GB2312" w:hAnsi="等线" w:eastAsia="仿宋_GB2312" w:cs="Arial"/>
                <w:color w:val="000000"/>
                <w:sz w:val="24"/>
                <w:lang w:eastAsia="zh-CN"/>
              </w:rPr>
              <w:t>：</w:t>
            </w:r>
          </w:p>
          <w:p>
            <w:pPr>
              <w:pStyle w:val="6"/>
              <w:snapToGrid w:val="0"/>
              <w:spacing w:line="300" w:lineRule="auto"/>
              <w:rPr>
                <w:rFonts w:hint="eastAsia" w:ascii="仿宋_GB2312" w:hAnsi="等线" w:eastAsia="仿宋_GB2312" w:cs="Arial"/>
                <w:color w:val="000000"/>
                <w:kern w:val="2"/>
                <w:sz w:val="24"/>
                <w:szCs w:val="24"/>
                <w:lang w:val="en-US" w:eastAsia="zh-CN"/>
              </w:rPr>
            </w:pPr>
            <w:r>
              <w:rPr>
                <w:rFonts w:hint="eastAsia" w:ascii="仿宋_GB2312" w:hAnsi="等线" w:eastAsia="仿宋_GB2312" w:cs="Arial"/>
                <w:color w:val="000000"/>
                <w:kern w:val="2"/>
                <w:sz w:val="24"/>
                <w:szCs w:val="24"/>
                <w:lang w:val="en-US" w:eastAsia="zh-CN"/>
              </w:rPr>
              <w:t>会议活动请假：实现对需要参加的会议活动请假，并将该请假抄送给办公室（1分）；</w:t>
            </w:r>
            <w:r>
              <w:rPr>
                <w:rFonts w:hint="eastAsia" w:ascii="仿宋_GB2312" w:hAnsi="等线" w:eastAsia="仿宋_GB2312" w:cs="Arial"/>
                <w:color w:val="000000"/>
                <w:kern w:val="2"/>
                <w:sz w:val="24"/>
                <w:szCs w:val="24"/>
                <w:lang w:val="en-US" w:eastAsia="zh-CN"/>
              </w:rPr>
              <w:br w:type="textWrapping"/>
            </w:r>
            <w:r>
              <w:rPr>
                <w:rFonts w:hint="eastAsia" w:ascii="仿宋_GB2312" w:hAnsi="等线" w:eastAsia="仿宋_GB2312" w:cs="Arial"/>
                <w:color w:val="000000"/>
                <w:kern w:val="2"/>
                <w:sz w:val="24"/>
                <w:szCs w:val="24"/>
                <w:lang w:val="en-US" w:eastAsia="zh-CN"/>
              </w:rPr>
              <w:t>负责人外出报备：实现各部门负责人外出时，向局长领导添加报备信息，并且抄送给办公室（1分）；</w:t>
            </w:r>
            <w:r>
              <w:rPr>
                <w:rFonts w:hint="eastAsia" w:ascii="仿宋_GB2312" w:hAnsi="等线" w:eastAsia="仿宋_GB2312" w:cs="Arial"/>
                <w:color w:val="000000"/>
                <w:kern w:val="2"/>
                <w:sz w:val="24"/>
                <w:szCs w:val="24"/>
                <w:lang w:val="en-US" w:eastAsia="zh-CN"/>
              </w:rPr>
              <w:br w:type="textWrapping"/>
            </w:r>
            <w:r>
              <w:rPr>
                <w:rFonts w:hint="eastAsia" w:ascii="仿宋_GB2312" w:hAnsi="等线" w:eastAsia="仿宋_GB2312" w:cs="Arial"/>
                <w:color w:val="000000"/>
                <w:kern w:val="2"/>
                <w:sz w:val="24"/>
                <w:szCs w:val="24"/>
                <w:lang w:val="en-US" w:eastAsia="zh-CN"/>
              </w:rPr>
              <w:t>公章使用审批：实现向办公室借用公章的审批流程（1分）；</w:t>
            </w:r>
          </w:p>
          <w:p>
            <w:pPr>
              <w:pStyle w:val="6"/>
              <w:snapToGrid w:val="0"/>
              <w:spacing w:line="300" w:lineRule="auto"/>
              <w:rPr>
                <w:rFonts w:hint="eastAsia" w:ascii="仿宋_GB2312" w:hAnsi="等线" w:eastAsia="仿宋_GB2312" w:cs="Arial"/>
                <w:color w:val="000000"/>
                <w:kern w:val="2"/>
                <w:sz w:val="24"/>
                <w:szCs w:val="24"/>
                <w:lang w:val="en-US" w:eastAsia="zh-CN"/>
              </w:rPr>
            </w:pPr>
            <w:r>
              <w:rPr>
                <w:rFonts w:hint="eastAsia" w:ascii="仿宋_GB2312" w:hAnsi="等线" w:eastAsia="仿宋_GB2312" w:cs="Arial"/>
                <w:color w:val="000000"/>
                <w:kern w:val="2"/>
                <w:sz w:val="24"/>
                <w:szCs w:val="24"/>
                <w:lang w:val="en-US" w:eastAsia="zh-CN"/>
              </w:rPr>
              <w:t>调休：实现调休流程审批 （1分）；</w:t>
            </w:r>
          </w:p>
          <w:p>
            <w:pPr>
              <w:pStyle w:val="6"/>
              <w:snapToGrid w:val="0"/>
              <w:spacing w:line="300" w:lineRule="auto"/>
              <w:rPr>
                <w:rFonts w:ascii="仿宋_GB2312" w:hAnsi="等线" w:eastAsia="仿宋_GB2312" w:cs="Arial"/>
                <w:color w:val="000000"/>
                <w:kern w:val="2"/>
                <w:sz w:val="24"/>
                <w:szCs w:val="24"/>
                <w:lang w:val="en-US" w:eastAsia="zh-CN"/>
              </w:rPr>
            </w:pPr>
            <w:r>
              <w:rPr>
                <w:rFonts w:hint="eastAsia" w:ascii="仿宋_GB2312" w:hAnsi="等线" w:eastAsia="仿宋_GB2312" w:cs="Arial"/>
                <w:color w:val="000000"/>
                <w:kern w:val="2"/>
                <w:sz w:val="24"/>
                <w:szCs w:val="24"/>
                <w:lang w:val="en-US" w:eastAsia="zh-CN"/>
              </w:rPr>
              <w:t>请假：实现请假流程审批 （1分）；</w:t>
            </w:r>
          </w:p>
          <w:p>
            <w:pPr>
              <w:adjustRightInd/>
              <w:snapToGrid w:val="0"/>
              <w:spacing w:line="300" w:lineRule="auto"/>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szCs w:val="32"/>
              </w:rPr>
              <w:t>维修申报</w:t>
            </w:r>
            <w:r>
              <w:rPr>
                <w:rFonts w:hint="eastAsia" w:ascii="仿宋_GB2312" w:hAnsi="仿宋_GB2312" w:eastAsia="仿宋_GB2312" w:cs="仿宋_GB2312"/>
                <w:color w:val="000000"/>
                <w:sz w:val="24"/>
              </w:rPr>
              <w:t>：实现向警保中心对设备、设施维修申请及审批 （1分）；</w:t>
            </w:r>
          </w:p>
          <w:p>
            <w:pPr>
              <w:adjustRightInd/>
              <w:snapToGrid w:val="0"/>
              <w:spacing w:line="300" w:lineRule="auto"/>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szCs w:val="32"/>
              </w:rPr>
              <w:t>物品领用</w:t>
            </w:r>
            <w:r>
              <w:rPr>
                <w:rFonts w:hint="eastAsia" w:ascii="仿宋_GB2312" w:hAnsi="仿宋_GB2312" w:eastAsia="仿宋_GB2312" w:cs="仿宋_GB2312"/>
                <w:color w:val="000000"/>
                <w:sz w:val="24"/>
              </w:rPr>
              <w:t>：实现向警保中心对办公用品的申请及审批  （1分）；</w:t>
            </w:r>
          </w:p>
          <w:p>
            <w:pPr>
              <w:adjustRightInd/>
              <w:snapToGrid w:val="0"/>
              <w:spacing w:line="300" w:lineRule="auto"/>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szCs w:val="32"/>
              </w:rPr>
              <w:t>一卡通申领</w:t>
            </w:r>
            <w:r>
              <w:rPr>
                <w:rFonts w:hint="eastAsia" w:ascii="仿宋_GB2312" w:hAnsi="仿宋_GB2312" w:eastAsia="仿宋_GB2312" w:cs="仿宋_GB2312"/>
                <w:color w:val="000000"/>
                <w:sz w:val="24"/>
              </w:rPr>
              <w:t>：实现向警保中心对一卡通的申请及审批  （1分）；</w:t>
            </w:r>
          </w:p>
          <w:p>
            <w:pPr>
              <w:pStyle w:val="6"/>
              <w:snapToGrid w:val="0"/>
              <w:spacing w:line="300" w:lineRule="auto"/>
              <w:rPr>
                <w:rFonts w:ascii="仿宋_GB2312" w:hAnsi="仿宋_GB2312" w:eastAsia="仿宋_GB2312" w:cs="仿宋_GB2312"/>
                <w:color w:val="000000"/>
                <w:kern w:val="2"/>
                <w:sz w:val="24"/>
                <w:szCs w:val="24"/>
                <w:lang w:val="en-US" w:eastAsia="zh-CN"/>
              </w:rPr>
            </w:pPr>
            <w:r>
              <w:rPr>
                <w:rFonts w:hint="eastAsia" w:ascii="仿宋_GB2312" w:hAnsi="仿宋_GB2312" w:eastAsia="仿宋_GB2312" w:cs="仿宋_GB2312"/>
                <w:color w:val="000000"/>
                <w:kern w:val="2"/>
                <w:sz w:val="24"/>
                <w:szCs w:val="32"/>
                <w:lang w:val="en-US" w:eastAsia="zh-CN"/>
              </w:rPr>
              <w:t>车辆出入申请</w:t>
            </w:r>
            <w:r>
              <w:rPr>
                <w:rFonts w:hint="eastAsia" w:ascii="仿宋_GB2312" w:hAnsi="仿宋_GB2312" w:eastAsia="仿宋_GB2312" w:cs="仿宋_GB2312"/>
                <w:color w:val="000000"/>
                <w:kern w:val="2"/>
                <w:sz w:val="24"/>
                <w:szCs w:val="24"/>
                <w:lang w:val="en-US" w:eastAsia="zh-CN"/>
              </w:rPr>
              <w:t>：实现向警保中心对车辆出去申请及审批 （1分）；</w:t>
            </w:r>
          </w:p>
          <w:p>
            <w:pPr>
              <w:pStyle w:val="6"/>
              <w:snapToGrid w:val="0"/>
              <w:spacing w:line="300" w:lineRule="auto"/>
              <w:rPr>
                <w:rFonts w:ascii="仿宋_GB2312" w:hAnsi="仿宋" w:eastAsia="仿宋_GB2312" w:cs="仿宋_GB2312"/>
                <w:color w:val="000000"/>
                <w:sz w:val="24"/>
                <w:szCs w:val="24"/>
                <w:lang w:val="en-US" w:eastAsia="zh-CN"/>
              </w:rPr>
            </w:pPr>
            <w:r>
              <w:rPr>
                <w:rFonts w:hint="eastAsia" w:ascii="仿宋_GB2312" w:hAnsi="等线" w:eastAsia="仿宋_GB2312" w:cs="Arial"/>
                <w:color w:val="000000"/>
                <w:kern w:val="2"/>
                <w:sz w:val="24"/>
                <w:szCs w:val="24"/>
                <w:lang w:val="en-US" w:eastAsia="zh-CN"/>
              </w:rPr>
              <w:t>2、演示基于钉钉的日常工作功能：</w:t>
            </w:r>
            <w:r>
              <w:rPr>
                <w:rFonts w:hint="eastAsia" w:ascii="仿宋_GB2312" w:hAnsi="等线" w:eastAsia="仿宋_GB2312" w:cs="Arial"/>
                <w:color w:val="000000"/>
                <w:kern w:val="2"/>
                <w:sz w:val="24"/>
                <w:szCs w:val="24"/>
                <w:lang w:val="en-US" w:eastAsia="zh-CN"/>
              </w:rPr>
              <w:br w:type="textWrapping"/>
            </w:r>
            <w:r>
              <w:rPr>
                <w:rFonts w:hint="eastAsia" w:ascii="仿宋_GB2312" w:hAnsi="等线" w:eastAsia="仿宋_GB2312" w:cs="Arial"/>
                <w:color w:val="000000"/>
                <w:kern w:val="2"/>
                <w:sz w:val="24"/>
                <w:szCs w:val="24"/>
                <w:lang w:val="en-US" w:eastAsia="zh-CN"/>
              </w:rPr>
              <w:t>民警在对老百姓走访时，能够记录群众的相关信息，包括：姓名、地址、手机号、建议等（</w:t>
            </w:r>
            <w:r>
              <w:rPr>
                <w:rFonts w:ascii="仿宋_GB2312" w:hAnsi="等线" w:eastAsia="仿宋_GB2312" w:cs="Arial"/>
                <w:color w:val="000000"/>
                <w:kern w:val="2"/>
                <w:sz w:val="24"/>
                <w:szCs w:val="24"/>
                <w:lang w:val="en-US" w:eastAsia="zh-CN"/>
              </w:rPr>
              <w:t>3</w:t>
            </w:r>
            <w:r>
              <w:rPr>
                <w:rFonts w:hint="eastAsia" w:ascii="仿宋_GB2312" w:hAnsi="等线" w:eastAsia="仿宋_GB2312" w:cs="Arial"/>
                <w:color w:val="000000"/>
                <w:kern w:val="2"/>
                <w:sz w:val="24"/>
                <w:szCs w:val="24"/>
                <w:lang w:val="en-US" w:eastAsia="zh-CN"/>
              </w:rPr>
              <w:t>分）</w:t>
            </w:r>
            <w:r>
              <w:rPr>
                <w:rFonts w:hint="eastAsia" w:ascii="仿宋_GB2312" w:hAnsi="等线" w:eastAsia="仿宋_GB2312" w:cs="Arial"/>
                <w:color w:val="000000"/>
                <w:kern w:val="2"/>
                <w:sz w:val="24"/>
                <w:szCs w:val="24"/>
                <w:lang w:val="en-US" w:eastAsia="zh-CN"/>
              </w:rPr>
              <w:br w:type="textWrapping"/>
            </w:r>
            <w:r>
              <w:rPr>
                <w:rFonts w:hint="eastAsia" w:ascii="仿宋_GB2312" w:hAnsi="等线" w:eastAsia="仿宋_GB2312" w:cs="Arial"/>
                <w:color w:val="000000"/>
                <w:kern w:val="2"/>
                <w:sz w:val="24"/>
                <w:szCs w:val="24"/>
                <w:lang w:val="en-US" w:eastAsia="zh-CN"/>
              </w:rPr>
              <w:t>基于钉钉发起饮酒报备功能，当民警、领导需要饮酒时，向上级领导进行报备（</w:t>
            </w:r>
            <w:r>
              <w:rPr>
                <w:rFonts w:ascii="仿宋_GB2312" w:hAnsi="等线" w:eastAsia="仿宋_GB2312" w:cs="Arial"/>
                <w:color w:val="000000"/>
                <w:kern w:val="2"/>
                <w:sz w:val="24"/>
                <w:szCs w:val="24"/>
                <w:lang w:val="en-US" w:eastAsia="zh-CN"/>
              </w:rPr>
              <w:t>3</w:t>
            </w:r>
            <w:r>
              <w:rPr>
                <w:rFonts w:hint="eastAsia" w:ascii="仿宋_GB2312" w:hAnsi="等线" w:eastAsia="仿宋_GB2312" w:cs="Arial"/>
                <w:color w:val="000000"/>
                <w:kern w:val="2"/>
                <w:sz w:val="24"/>
                <w:szCs w:val="24"/>
                <w:lang w:val="en-US" w:eastAsia="zh-CN"/>
              </w:rPr>
              <w:t>分）</w:t>
            </w:r>
            <w:r>
              <w:rPr>
                <w:rFonts w:hint="eastAsia" w:ascii="仿宋_GB2312" w:hAnsi="等线" w:eastAsia="仿宋_GB2312" w:cs="Arial"/>
                <w:color w:val="000000"/>
                <w:kern w:val="2"/>
                <w:sz w:val="24"/>
                <w:szCs w:val="24"/>
                <w:lang w:val="en-US" w:eastAsia="zh-CN"/>
              </w:rPr>
              <w:br w:type="textWrapping"/>
            </w:r>
            <w:r>
              <w:rPr>
                <w:rFonts w:hint="eastAsia" w:ascii="仿宋_GB2312" w:hAnsi="等线" w:eastAsia="仿宋_GB2312" w:cs="Arial"/>
                <w:color w:val="000000"/>
                <w:kern w:val="2"/>
                <w:sz w:val="24"/>
                <w:szCs w:val="24"/>
                <w:lang w:val="en-US" w:eastAsia="zh-CN"/>
              </w:rPr>
              <w:t>对民警巡逻、民警走访等功能的数据导出（</w:t>
            </w:r>
            <w:r>
              <w:rPr>
                <w:rFonts w:ascii="仿宋_GB2312" w:hAnsi="等线" w:eastAsia="仿宋_GB2312" w:cs="Arial"/>
                <w:color w:val="000000"/>
                <w:kern w:val="2"/>
                <w:sz w:val="24"/>
                <w:szCs w:val="24"/>
                <w:lang w:val="en-US" w:eastAsia="zh-CN"/>
              </w:rPr>
              <w:t>3</w:t>
            </w:r>
            <w:r>
              <w:rPr>
                <w:rFonts w:hint="eastAsia" w:ascii="仿宋_GB2312" w:hAnsi="等线" w:eastAsia="仿宋_GB2312" w:cs="Arial"/>
                <w:color w:val="000000"/>
                <w:kern w:val="2"/>
                <w:sz w:val="24"/>
                <w:szCs w:val="24"/>
                <w:lang w:val="en-US" w:eastAsia="zh-CN"/>
              </w:rPr>
              <w:t>分）</w:t>
            </w:r>
          </w:p>
          <w:p>
            <w:pPr>
              <w:pStyle w:val="6"/>
              <w:snapToGrid w:val="0"/>
              <w:spacing w:line="300" w:lineRule="auto"/>
              <w:rPr>
                <w:rFonts w:hint="eastAsia" w:ascii="仿宋_GB2312" w:hAnsi="等线" w:eastAsia="仿宋_GB2312" w:cs="Arial"/>
                <w:color w:val="000000"/>
                <w:kern w:val="2"/>
                <w:sz w:val="24"/>
                <w:szCs w:val="24"/>
                <w:lang w:val="en-US" w:eastAsia="zh-CN"/>
              </w:rPr>
            </w:pPr>
            <w:r>
              <w:rPr>
                <w:rFonts w:hint="eastAsia" w:ascii="仿宋_GB2312" w:hAnsi="等线" w:eastAsia="仿宋_GB2312" w:cs="Arial"/>
                <w:color w:val="000000"/>
                <w:kern w:val="2"/>
                <w:sz w:val="24"/>
                <w:szCs w:val="24"/>
                <w:lang w:val="en-US" w:eastAsia="zh-CN"/>
              </w:rPr>
              <w:t>3、演示基于钉钉的会议申请功能：</w:t>
            </w:r>
            <w:r>
              <w:rPr>
                <w:rFonts w:hint="eastAsia" w:ascii="仿宋_GB2312" w:hAnsi="等线" w:eastAsia="仿宋_GB2312" w:cs="Arial"/>
                <w:color w:val="000000"/>
                <w:kern w:val="2"/>
                <w:sz w:val="24"/>
                <w:szCs w:val="24"/>
                <w:lang w:val="en-US" w:eastAsia="zh-CN"/>
              </w:rPr>
              <w:br w:type="textWrapping"/>
            </w:r>
            <w:r>
              <w:rPr>
                <w:rFonts w:hint="eastAsia" w:ascii="仿宋_GB2312" w:hAnsi="等线" w:eastAsia="仿宋_GB2312" w:cs="Arial"/>
                <w:color w:val="000000"/>
                <w:kern w:val="2"/>
                <w:sz w:val="24"/>
                <w:szCs w:val="24"/>
                <w:lang w:val="en-US" w:eastAsia="zh-CN"/>
              </w:rPr>
              <w:t>会议申请，实现在钉钉端新增会议（2分）</w:t>
            </w:r>
            <w:r>
              <w:rPr>
                <w:rFonts w:hint="eastAsia" w:ascii="仿宋_GB2312" w:hAnsi="等线" w:eastAsia="仿宋_GB2312" w:cs="Arial"/>
                <w:color w:val="000000"/>
                <w:kern w:val="2"/>
                <w:sz w:val="24"/>
                <w:szCs w:val="24"/>
                <w:lang w:val="en-US" w:eastAsia="zh-CN"/>
              </w:rPr>
              <w:br w:type="textWrapping"/>
            </w:r>
            <w:r>
              <w:rPr>
                <w:rFonts w:hint="eastAsia" w:ascii="仿宋_GB2312" w:hAnsi="等线" w:eastAsia="仿宋_GB2312" w:cs="Arial"/>
                <w:color w:val="000000"/>
                <w:kern w:val="2"/>
                <w:sz w:val="24"/>
                <w:szCs w:val="24"/>
                <w:lang w:val="en-US" w:eastAsia="zh-CN"/>
              </w:rPr>
              <w:t>会议审批，实现在钉钉上对申请的会议进行审批（</w:t>
            </w:r>
            <w:r>
              <w:rPr>
                <w:rFonts w:ascii="仿宋_GB2312" w:hAnsi="等线" w:eastAsia="仿宋_GB2312" w:cs="Arial"/>
                <w:color w:val="000000"/>
                <w:kern w:val="2"/>
                <w:sz w:val="24"/>
                <w:szCs w:val="24"/>
                <w:lang w:val="en-US" w:eastAsia="zh-CN"/>
              </w:rPr>
              <w:t>3</w:t>
            </w:r>
            <w:r>
              <w:rPr>
                <w:rFonts w:hint="eastAsia" w:ascii="仿宋_GB2312" w:hAnsi="等线" w:eastAsia="仿宋_GB2312" w:cs="Arial"/>
                <w:color w:val="000000"/>
                <w:kern w:val="2"/>
                <w:sz w:val="24"/>
                <w:szCs w:val="24"/>
                <w:lang w:val="en-US" w:eastAsia="zh-CN"/>
              </w:rPr>
              <w:t>分）</w:t>
            </w:r>
            <w:r>
              <w:rPr>
                <w:rFonts w:hint="eastAsia" w:ascii="仿宋_GB2312" w:hAnsi="等线" w:eastAsia="仿宋_GB2312" w:cs="Arial"/>
                <w:color w:val="000000"/>
                <w:kern w:val="2"/>
                <w:sz w:val="24"/>
                <w:szCs w:val="24"/>
                <w:lang w:val="en-US" w:eastAsia="zh-CN"/>
              </w:rPr>
              <w:br w:type="textWrapping"/>
            </w:r>
            <w:r>
              <w:rPr>
                <w:rFonts w:hint="eastAsia" w:ascii="仿宋_GB2312" w:hAnsi="等线" w:eastAsia="仿宋_GB2312" w:cs="Arial"/>
                <w:color w:val="000000"/>
                <w:kern w:val="2"/>
                <w:sz w:val="24"/>
                <w:szCs w:val="24"/>
                <w:lang w:val="en-US" w:eastAsia="zh-CN"/>
              </w:rPr>
              <w:t>会议保障，保障人员可以查看需要保障的会议详情（2分）</w:t>
            </w:r>
            <w:r>
              <w:rPr>
                <w:rFonts w:hint="eastAsia" w:ascii="仿宋_GB2312" w:hAnsi="等线" w:eastAsia="仿宋_GB2312" w:cs="Arial"/>
                <w:color w:val="000000"/>
                <w:kern w:val="2"/>
                <w:sz w:val="24"/>
                <w:szCs w:val="24"/>
                <w:lang w:val="en-US" w:eastAsia="zh-CN"/>
              </w:rPr>
              <w:br w:type="textWrapping"/>
            </w:r>
            <w:r>
              <w:rPr>
                <w:rFonts w:hint="eastAsia" w:ascii="仿宋_GB2312" w:hAnsi="等线" w:eastAsia="仿宋_GB2312" w:cs="Arial"/>
                <w:color w:val="000000"/>
                <w:kern w:val="2"/>
                <w:sz w:val="24"/>
                <w:szCs w:val="24"/>
                <w:lang w:val="en-US" w:eastAsia="zh-CN"/>
              </w:rPr>
              <w:t>会议报名，实现给部门参加领导的报名功能（2分）</w:t>
            </w:r>
          </w:p>
          <w:p>
            <w:pPr>
              <w:pStyle w:val="6"/>
              <w:snapToGrid w:val="0"/>
              <w:spacing w:line="300" w:lineRule="auto"/>
              <w:rPr>
                <w:rFonts w:ascii="仿宋_GB2312" w:hAnsi="等线" w:eastAsia="仿宋_GB2312" w:cs="Arial"/>
                <w:color w:val="000000"/>
                <w:kern w:val="2"/>
                <w:sz w:val="24"/>
                <w:szCs w:val="24"/>
                <w:lang w:val="en-US" w:eastAsia="zh-CN"/>
              </w:rPr>
            </w:pPr>
            <w:r>
              <w:rPr>
                <w:rFonts w:hint="eastAsia" w:ascii="仿宋_GB2312" w:hAnsi="等线" w:eastAsia="仿宋_GB2312" w:cs="Arial"/>
                <w:color w:val="000000"/>
                <w:kern w:val="2"/>
                <w:sz w:val="24"/>
                <w:szCs w:val="24"/>
                <w:lang w:val="en-US" w:eastAsia="zh-CN"/>
              </w:rPr>
              <w:t>上述演示仅以PPT形式讲解或没有演示的不得分。</w:t>
            </w:r>
          </w:p>
          <w:p>
            <w:pPr>
              <w:spacing w:line="440" w:lineRule="exact"/>
              <w:rPr>
                <w:rFonts w:hint="eastAsia" w:ascii="仿宋_GB2312" w:hAnsi="仿宋" w:eastAsia="仿宋_GB2312" w:cs="仿宋_GB2312"/>
                <w:color w:val="000000"/>
                <w:kern w:val="0"/>
                <w:sz w:val="24"/>
                <w:lang w:val="zh-CN"/>
              </w:rPr>
            </w:pPr>
            <w:r>
              <w:rPr>
                <w:rFonts w:hint="eastAsia" w:ascii="仿宋_GB2312" w:hAnsi="仿宋" w:eastAsia="仿宋_GB2312" w:cs="仿宋_GB2312"/>
                <w:color w:val="000000"/>
                <w:kern w:val="0"/>
                <w:sz w:val="24"/>
                <w:lang w:val="zh-CN"/>
              </w:rPr>
              <w:t>说明：演示其它要求详见前附表。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538" w:type="pct"/>
            <w:noWrap w:val="0"/>
            <w:vAlign w:val="center"/>
          </w:tcPr>
          <w:p>
            <w:pPr>
              <w:pStyle w:val="6"/>
              <w:snapToGrid w:val="0"/>
              <w:spacing w:line="300" w:lineRule="auto"/>
              <w:jc w:val="center"/>
              <w:rPr>
                <w:rFonts w:hint="eastAsia" w:ascii="仿宋_GB2312" w:hAnsi="等线" w:eastAsia="仿宋_GB2312" w:cs="Arial"/>
                <w:color w:val="000000"/>
                <w:kern w:val="2"/>
                <w:sz w:val="24"/>
                <w:szCs w:val="24"/>
                <w:lang w:val="en-US" w:eastAsia="zh-CN"/>
              </w:rPr>
            </w:pPr>
            <w:r>
              <w:rPr>
                <w:rFonts w:ascii="仿宋_GB2312" w:hAnsi="等线" w:eastAsia="仿宋_GB2312" w:cs="Arial"/>
                <w:color w:val="000000"/>
                <w:kern w:val="2"/>
                <w:sz w:val="24"/>
                <w:szCs w:val="24"/>
                <w:lang w:val="en-US" w:eastAsia="zh-CN"/>
              </w:rPr>
              <w:t>9</w:t>
            </w:r>
          </w:p>
        </w:tc>
        <w:tc>
          <w:tcPr>
            <w:tcW w:w="842" w:type="pct"/>
            <w:noWrap w:val="0"/>
            <w:vAlign w:val="center"/>
          </w:tcPr>
          <w:p>
            <w:pPr>
              <w:pStyle w:val="6"/>
              <w:snapToGrid w:val="0"/>
              <w:spacing w:line="300" w:lineRule="auto"/>
              <w:jc w:val="center"/>
              <w:rPr>
                <w:rFonts w:hint="eastAsia" w:ascii="仿宋_GB2312" w:hAnsi="等线" w:eastAsia="仿宋_GB2312" w:cs="Arial"/>
                <w:color w:val="000000"/>
                <w:kern w:val="2"/>
                <w:sz w:val="24"/>
                <w:szCs w:val="24"/>
                <w:lang w:val="en-US" w:eastAsia="zh-CN"/>
              </w:rPr>
            </w:pPr>
            <w:r>
              <w:rPr>
                <w:rFonts w:hint="eastAsia" w:ascii="仿宋_GB2312" w:hAnsi="等线" w:eastAsia="仿宋_GB2312" w:cs="Arial"/>
                <w:color w:val="000000"/>
                <w:kern w:val="2"/>
                <w:sz w:val="24"/>
                <w:szCs w:val="24"/>
                <w:lang w:val="en-US" w:eastAsia="zh-CN"/>
              </w:rPr>
              <w:t>项目实施和培训方案</w:t>
            </w:r>
          </w:p>
        </w:tc>
        <w:tc>
          <w:tcPr>
            <w:tcW w:w="421" w:type="pct"/>
            <w:noWrap w:val="0"/>
            <w:vAlign w:val="center"/>
          </w:tcPr>
          <w:p>
            <w:pPr>
              <w:pStyle w:val="6"/>
              <w:snapToGrid w:val="0"/>
              <w:spacing w:line="300" w:lineRule="auto"/>
              <w:jc w:val="center"/>
              <w:rPr>
                <w:rFonts w:hint="eastAsia" w:ascii="仿宋_GB2312" w:hAnsi="等线" w:eastAsia="仿宋_GB2312" w:cs="Arial"/>
                <w:color w:val="000000"/>
                <w:kern w:val="2"/>
                <w:sz w:val="24"/>
                <w:szCs w:val="24"/>
                <w:lang w:val="en-US" w:eastAsia="zh-CN"/>
              </w:rPr>
            </w:pPr>
            <w:r>
              <w:rPr>
                <w:rFonts w:ascii="仿宋_GB2312" w:hAnsi="等线" w:eastAsia="仿宋_GB2312" w:cs="Arial"/>
                <w:color w:val="000000"/>
                <w:kern w:val="2"/>
                <w:sz w:val="24"/>
                <w:szCs w:val="24"/>
                <w:lang w:val="en-US" w:eastAsia="zh-CN"/>
              </w:rPr>
              <w:t>4</w:t>
            </w:r>
          </w:p>
        </w:tc>
        <w:tc>
          <w:tcPr>
            <w:tcW w:w="3199" w:type="pct"/>
            <w:noWrap w:val="0"/>
            <w:vAlign w:val="center"/>
          </w:tcPr>
          <w:p>
            <w:pPr>
              <w:pStyle w:val="6"/>
              <w:snapToGrid w:val="0"/>
              <w:spacing w:line="300" w:lineRule="auto"/>
              <w:rPr>
                <w:rFonts w:hint="eastAsia" w:ascii="仿宋_GB2312" w:hAnsi="等线" w:eastAsia="仿宋_GB2312" w:cs="Arial"/>
                <w:color w:val="000000"/>
                <w:kern w:val="2"/>
                <w:sz w:val="24"/>
                <w:szCs w:val="24"/>
                <w:lang w:val="en-US" w:eastAsia="zh-CN"/>
              </w:rPr>
            </w:pPr>
            <w:r>
              <w:rPr>
                <w:rFonts w:hint="eastAsia" w:ascii="仿宋_GB2312" w:hAnsi="等线" w:eastAsia="仿宋_GB2312" w:cs="Arial"/>
                <w:color w:val="000000"/>
                <w:kern w:val="2"/>
                <w:sz w:val="24"/>
                <w:szCs w:val="24"/>
                <w:lang w:val="en-US" w:eastAsia="zh-CN"/>
              </w:rPr>
              <w:t>按其项目实施和培训方案完整性、合理性等方面进行打分。优于项目需求的得4.0-3.0分，符合项目需求的得2.9-2.0分，部分符合项目需求的得1.9-0.1分，不符合或不提供不得分。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538" w:type="pct"/>
            <w:noWrap w:val="0"/>
            <w:vAlign w:val="center"/>
          </w:tcPr>
          <w:p>
            <w:pPr>
              <w:pStyle w:val="6"/>
              <w:snapToGrid w:val="0"/>
              <w:spacing w:line="300" w:lineRule="auto"/>
              <w:jc w:val="center"/>
              <w:rPr>
                <w:rFonts w:hint="eastAsia" w:ascii="仿宋_GB2312" w:hAnsi="等线" w:eastAsia="仿宋_GB2312" w:cs="Arial"/>
                <w:color w:val="000000"/>
                <w:kern w:val="2"/>
                <w:sz w:val="24"/>
                <w:szCs w:val="24"/>
                <w:lang w:val="en-US" w:eastAsia="zh-CN"/>
              </w:rPr>
            </w:pPr>
            <w:r>
              <w:rPr>
                <w:rFonts w:ascii="仿宋_GB2312" w:hAnsi="等线" w:eastAsia="仿宋_GB2312" w:cs="Arial"/>
                <w:color w:val="000000"/>
                <w:kern w:val="2"/>
                <w:sz w:val="24"/>
                <w:szCs w:val="24"/>
                <w:lang w:val="en-US" w:eastAsia="zh-CN"/>
              </w:rPr>
              <w:t>10</w:t>
            </w:r>
          </w:p>
        </w:tc>
        <w:tc>
          <w:tcPr>
            <w:tcW w:w="842" w:type="pct"/>
            <w:noWrap w:val="0"/>
            <w:vAlign w:val="center"/>
          </w:tcPr>
          <w:p>
            <w:pPr>
              <w:pStyle w:val="6"/>
              <w:snapToGrid w:val="0"/>
              <w:spacing w:line="300" w:lineRule="auto"/>
              <w:jc w:val="center"/>
              <w:rPr>
                <w:rFonts w:hint="eastAsia" w:ascii="仿宋_GB2312" w:hAnsi="等线" w:eastAsia="仿宋_GB2312" w:cs="Arial"/>
                <w:color w:val="000000"/>
                <w:kern w:val="2"/>
                <w:sz w:val="24"/>
                <w:szCs w:val="24"/>
                <w:lang w:val="en-US" w:eastAsia="zh-CN"/>
              </w:rPr>
            </w:pPr>
            <w:r>
              <w:rPr>
                <w:rFonts w:hint="eastAsia" w:ascii="仿宋_GB2312" w:hAnsi="等线" w:eastAsia="仿宋_GB2312" w:cs="Arial"/>
                <w:color w:val="000000"/>
                <w:kern w:val="2"/>
                <w:sz w:val="24"/>
                <w:szCs w:val="24"/>
                <w:lang w:val="en-US" w:eastAsia="zh-CN"/>
              </w:rPr>
              <w:t>服务响应</w:t>
            </w:r>
          </w:p>
        </w:tc>
        <w:tc>
          <w:tcPr>
            <w:tcW w:w="421" w:type="pct"/>
            <w:noWrap w:val="0"/>
            <w:vAlign w:val="center"/>
          </w:tcPr>
          <w:p>
            <w:pPr>
              <w:pStyle w:val="6"/>
              <w:snapToGrid w:val="0"/>
              <w:spacing w:line="300" w:lineRule="auto"/>
              <w:jc w:val="center"/>
              <w:rPr>
                <w:rFonts w:hint="eastAsia" w:ascii="仿宋_GB2312" w:hAnsi="等线" w:eastAsia="仿宋_GB2312" w:cs="Arial"/>
                <w:color w:val="000000"/>
                <w:kern w:val="2"/>
                <w:sz w:val="24"/>
                <w:szCs w:val="24"/>
                <w:lang w:val="en-US" w:eastAsia="zh-CN"/>
              </w:rPr>
            </w:pPr>
            <w:r>
              <w:rPr>
                <w:rFonts w:hint="eastAsia" w:ascii="仿宋_GB2312" w:hAnsi="等线" w:eastAsia="仿宋_GB2312" w:cs="Arial"/>
                <w:color w:val="000000"/>
                <w:kern w:val="2"/>
                <w:sz w:val="24"/>
                <w:szCs w:val="24"/>
                <w:lang w:val="en-US" w:eastAsia="zh-CN"/>
              </w:rPr>
              <w:t>2</w:t>
            </w:r>
          </w:p>
        </w:tc>
        <w:tc>
          <w:tcPr>
            <w:tcW w:w="3199" w:type="pct"/>
            <w:noWrap w:val="0"/>
            <w:vAlign w:val="center"/>
          </w:tcPr>
          <w:p>
            <w:pPr>
              <w:pStyle w:val="32"/>
              <w:widowControl/>
              <w:shd w:val="clear" w:color="auto" w:fill="FFFFFF"/>
              <w:spacing w:before="156" w:after="156" w:line="360" w:lineRule="auto"/>
              <w:ind w:firstLineChars="0"/>
              <w:jc w:val="left"/>
              <w:rPr>
                <w:rFonts w:hint="eastAsia" w:ascii="仿宋_GB2312" w:hAnsi="等线" w:eastAsia="仿宋_GB2312" w:cs="Arial"/>
                <w:color w:val="000000"/>
                <w:kern w:val="2"/>
                <w:sz w:val="24"/>
                <w:szCs w:val="24"/>
                <w:lang w:val="en-US" w:eastAsia="zh-CN"/>
              </w:rPr>
            </w:pPr>
            <w:r>
              <w:rPr>
                <w:rFonts w:hint="eastAsia" w:ascii="仿宋_GB2312" w:hAnsi="等线" w:eastAsia="仿宋_GB2312" w:cs="Arial"/>
                <w:color w:val="000000"/>
                <w:kern w:val="2"/>
                <w:sz w:val="24"/>
                <w:szCs w:val="24"/>
                <w:lang w:val="en-US" w:eastAsia="zh-CN"/>
              </w:rPr>
              <w:t>响应时间：</w:t>
            </w:r>
            <w:r>
              <w:rPr>
                <w:rFonts w:hint="eastAsia" w:ascii="仿宋_GB2312" w:hAnsi="宋体" w:eastAsia="仿宋_GB2312" w:cs="Arial"/>
                <w:color w:val="000000"/>
                <w:sz w:val="24"/>
                <w:szCs w:val="24"/>
                <w:lang w:val="en-US" w:eastAsia="zh-CN"/>
              </w:rPr>
              <w:t>疑难问题（不危及运行）在24小时内答复用户。重大问题（危及运行）在2小时内到现场处理或通过网络远程处理。特大问题（系统不能正常运行）在2小时内恢复系统运行，并在24小时内派技术人员到现场解决。</w:t>
            </w:r>
            <w:r>
              <w:rPr>
                <w:rFonts w:hint="eastAsia" w:ascii="仿宋_GB2312" w:hAnsi="等线" w:eastAsia="仿宋_GB2312" w:cs="Arial"/>
                <w:color w:val="000000"/>
                <w:kern w:val="2"/>
                <w:sz w:val="24"/>
                <w:szCs w:val="24"/>
                <w:lang w:val="en-US" w:eastAsia="zh-CN"/>
              </w:rPr>
              <w:t>不能达到则不得分。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538" w:type="pct"/>
            <w:noWrap w:val="0"/>
            <w:vAlign w:val="center"/>
          </w:tcPr>
          <w:p>
            <w:pPr>
              <w:pStyle w:val="6"/>
              <w:snapToGrid w:val="0"/>
              <w:spacing w:line="300" w:lineRule="auto"/>
              <w:jc w:val="center"/>
              <w:rPr>
                <w:rFonts w:hint="eastAsia" w:ascii="仿宋_GB2312" w:hAnsi="等线" w:eastAsia="仿宋_GB2312" w:cs="Arial"/>
                <w:color w:val="000000"/>
                <w:kern w:val="2"/>
                <w:sz w:val="24"/>
                <w:szCs w:val="24"/>
                <w:lang w:val="en-US" w:eastAsia="zh-CN"/>
              </w:rPr>
            </w:pPr>
            <w:r>
              <w:rPr>
                <w:rFonts w:ascii="仿宋_GB2312" w:hAnsi="等线" w:eastAsia="仿宋_GB2312" w:cs="Arial"/>
                <w:color w:val="000000"/>
                <w:kern w:val="2"/>
                <w:sz w:val="24"/>
                <w:szCs w:val="24"/>
                <w:lang w:val="en-US" w:eastAsia="zh-CN"/>
              </w:rPr>
              <w:t>11</w:t>
            </w:r>
          </w:p>
        </w:tc>
        <w:tc>
          <w:tcPr>
            <w:tcW w:w="842" w:type="pct"/>
            <w:noWrap w:val="0"/>
            <w:vAlign w:val="center"/>
          </w:tcPr>
          <w:p>
            <w:pPr>
              <w:pStyle w:val="6"/>
              <w:snapToGrid w:val="0"/>
              <w:spacing w:line="300" w:lineRule="auto"/>
              <w:jc w:val="center"/>
              <w:rPr>
                <w:rFonts w:hint="eastAsia" w:ascii="仿宋_GB2312" w:hAnsi="等线" w:eastAsia="仿宋_GB2312" w:cs="Arial"/>
                <w:color w:val="000000"/>
                <w:kern w:val="2"/>
                <w:sz w:val="24"/>
                <w:szCs w:val="24"/>
                <w:lang w:val="en-US" w:eastAsia="zh-CN"/>
              </w:rPr>
            </w:pPr>
            <w:r>
              <w:rPr>
                <w:rFonts w:hint="eastAsia" w:ascii="仿宋_GB2312" w:hAnsi="等线" w:eastAsia="仿宋_GB2312" w:cs="Arial"/>
                <w:color w:val="000000"/>
                <w:kern w:val="2"/>
                <w:sz w:val="24"/>
                <w:szCs w:val="24"/>
                <w:lang w:val="en-US" w:eastAsia="zh-CN"/>
              </w:rPr>
              <w:t>售后服务（3分）</w:t>
            </w:r>
          </w:p>
        </w:tc>
        <w:tc>
          <w:tcPr>
            <w:tcW w:w="421" w:type="pct"/>
            <w:noWrap w:val="0"/>
            <w:vAlign w:val="center"/>
          </w:tcPr>
          <w:p>
            <w:pPr>
              <w:pStyle w:val="6"/>
              <w:snapToGrid w:val="0"/>
              <w:spacing w:line="300" w:lineRule="auto"/>
              <w:jc w:val="center"/>
              <w:rPr>
                <w:rFonts w:hint="eastAsia" w:ascii="仿宋_GB2312" w:hAnsi="等线" w:eastAsia="仿宋_GB2312" w:cs="Arial"/>
                <w:color w:val="000000"/>
                <w:kern w:val="2"/>
                <w:sz w:val="24"/>
                <w:szCs w:val="24"/>
                <w:lang w:val="en-US" w:eastAsia="zh-CN"/>
              </w:rPr>
            </w:pPr>
            <w:r>
              <w:rPr>
                <w:rFonts w:hint="eastAsia" w:ascii="仿宋_GB2312" w:hAnsi="等线" w:eastAsia="仿宋_GB2312" w:cs="Arial"/>
                <w:color w:val="000000"/>
                <w:kern w:val="2"/>
                <w:sz w:val="24"/>
                <w:szCs w:val="24"/>
                <w:lang w:val="en-US" w:eastAsia="zh-CN"/>
              </w:rPr>
              <w:t>3</w:t>
            </w:r>
          </w:p>
        </w:tc>
        <w:tc>
          <w:tcPr>
            <w:tcW w:w="3199" w:type="pct"/>
            <w:noWrap w:val="0"/>
            <w:vAlign w:val="center"/>
          </w:tcPr>
          <w:p>
            <w:pPr>
              <w:pStyle w:val="32"/>
              <w:widowControl/>
              <w:shd w:val="clear" w:color="auto" w:fill="FFFFFF"/>
              <w:spacing w:before="156" w:after="156" w:line="360" w:lineRule="auto"/>
              <w:ind w:firstLine="0" w:firstLineChars="0"/>
              <w:jc w:val="left"/>
              <w:rPr>
                <w:rFonts w:hint="eastAsia" w:ascii="仿宋_GB2312" w:hAnsi="等线" w:eastAsia="仿宋_GB2312" w:cs="Arial"/>
                <w:color w:val="000000"/>
                <w:kern w:val="2"/>
                <w:sz w:val="24"/>
                <w:szCs w:val="24"/>
                <w:lang w:val="en-US" w:eastAsia="zh-CN"/>
              </w:rPr>
            </w:pPr>
            <w:r>
              <w:rPr>
                <w:rFonts w:hint="eastAsia" w:ascii="仿宋_GB2312" w:hAnsi="等线" w:eastAsia="仿宋_GB2312" w:cs="Arial"/>
                <w:color w:val="000000"/>
                <w:kern w:val="2"/>
                <w:sz w:val="24"/>
                <w:szCs w:val="24"/>
                <w:lang w:val="en-US" w:eastAsia="zh-CN"/>
              </w:rPr>
              <w:t>按其对本项目的售后方案的完整性、合理性等方面进行打分,优于项目需求的得3.0-2.0分，符合项目需求的得1.9-1.0分，部分符合项目需求的得0.9-0.1分，不符合或不提供不得分。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538" w:type="pct"/>
            <w:noWrap w:val="0"/>
            <w:vAlign w:val="center"/>
          </w:tcPr>
          <w:p>
            <w:pPr>
              <w:pStyle w:val="6"/>
              <w:snapToGrid w:val="0"/>
              <w:spacing w:line="300" w:lineRule="auto"/>
              <w:jc w:val="center"/>
              <w:rPr>
                <w:rFonts w:hint="eastAsia" w:ascii="仿宋_GB2312" w:hAnsi="等线" w:eastAsia="仿宋_GB2312" w:cs="Arial"/>
                <w:color w:val="000000"/>
                <w:kern w:val="2"/>
                <w:sz w:val="24"/>
                <w:szCs w:val="24"/>
                <w:lang w:val="en-US" w:eastAsia="zh-CN"/>
              </w:rPr>
            </w:pPr>
            <w:r>
              <w:rPr>
                <w:rFonts w:ascii="仿宋_GB2312" w:hAnsi="等线" w:eastAsia="仿宋_GB2312" w:cs="Arial"/>
                <w:color w:val="000000"/>
                <w:kern w:val="2"/>
                <w:sz w:val="24"/>
                <w:szCs w:val="24"/>
                <w:lang w:val="en-US" w:eastAsia="zh-CN"/>
              </w:rPr>
              <w:t>12</w:t>
            </w:r>
          </w:p>
        </w:tc>
        <w:tc>
          <w:tcPr>
            <w:tcW w:w="842" w:type="pct"/>
            <w:noWrap w:val="0"/>
            <w:vAlign w:val="center"/>
          </w:tcPr>
          <w:p>
            <w:pPr>
              <w:pStyle w:val="6"/>
              <w:snapToGrid w:val="0"/>
              <w:spacing w:line="300" w:lineRule="auto"/>
              <w:jc w:val="center"/>
              <w:rPr>
                <w:rFonts w:hint="eastAsia" w:ascii="仿宋_GB2312" w:hAnsi="等线" w:eastAsia="仿宋_GB2312" w:cs="Arial"/>
                <w:color w:val="000000"/>
                <w:kern w:val="2"/>
                <w:sz w:val="24"/>
                <w:szCs w:val="24"/>
                <w:lang w:val="en-US" w:eastAsia="zh-CN"/>
              </w:rPr>
            </w:pPr>
            <w:r>
              <w:rPr>
                <w:rFonts w:hint="eastAsia" w:ascii="仿宋_GB2312" w:hAnsi="等线" w:eastAsia="仿宋_GB2312" w:cs="Arial"/>
                <w:color w:val="000000"/>
                <w:kern w:val="2"/>
                <w:sz w:val="24"/>
                <w:szCs w:val="24"/>
                <w:lang w:val="en-US" w:eastAsia="zh-CN"/>
              </w:rPr>
              <w:t>标书制作（2分）</w:t>
            </w:r>
          </w:p>
        </w:tc>
        <w:tc>
          <w:tcPr>
            <w:tcW w:w="421" w:type="pct"/>
            <w:noWrap w:val="0"/>
            <w:vAlign w:val="center"/>
          </w:tcPr>
          <w:p>
            <w:pPr>
              <w:pStyle w:val="6"/>
              <w:snapToGrid w:val="0"/>
              <w:spacing w:line="300" w:lineRule="auto"/>
              <w:jc w:val="center"/>
              <w:rPr>
                <w:rFonts w:hint="eastAsia" w:ascii="仿宋_GB2312" w:hAnsi="等线" w:eastAsia="仿宋_GB2312" w:cs="Arial"/>
                <w:color w:val="000000"/>
                <w:kern w:val="2"/>
                <w:sz w:val="24"/>
                <w:szCs w:val="24"/>
                <w:lang w:val="en-US" w:eastAsia="zh-CN"/>
              </w:rPr>
            </w:pPr>
            <w:r>
              <w:rPr>
                <w:rFonts w:hint="eastAsia" w:ascii="仿宋_GB2312" w:hAnsi="等线" w:eastAsia="仿宋_GB2312" w:cs="Arial"/>
                <w:color w:val="000000"/>
                <w:kern w:val="2"/>
                <w:sz w:val="24"/>
                <w:szCs w:val="24"/>
                <w:lang w:val="en-US" w:eastAsia="zh-CN"/>
              </w:rPr>
              <w:t>2</w:t>
            </w:r>
          </w:p>
        </w:tc>
        <w:tc>
          <w:tcPr>
            <w:tcW w:w="3199" w:type="pct"/>
            <w:noWrap w:val="0"/>
            <w:vAlign w:val="center"/>
          </w:tcPr>
          <w:p>
            <w:pPr>
              <w:pStyle w:val="32"/>
              <w:widowControl/>
              <w:shd w:val="clear" w:color="auto" w:fill="FFFFFF"/>
              <w:spacing w:before="156" w:after="156" w:line="360" w:lineRule="auto"/>
              <w:ind w:firstLineChars="0"/>
              <w:jc w:val="left"/>
              <w:rPr>
                <w:rFonts w:hint="eastAsia" w:ascii="仿宋_GB2312" w:hAnsi="等线" w:eastAsia="仿宋_GB2312" w:cs="Arial"/>
                <w:color w:val="000000"/>
                <w:kern w:val="2"/>
                <w:sz w:val="24"/>
                <w:szCs w:val="24"/>
                <w:lang w:eastAsia="zh-CN"/>
              </w:rPr>
            </w:pPr>
            <w:r>
              <w:rPr>
                <w:rFonts w:hint="eastAsia" w:ascii="仿宋_GB2312" w:hAnsi="等线" w:eastAsia="仿宋_GB2312" w:cs="Arial"/>
                <w:color w:val="000000"/>
                <w:kern w:val="2"/>
                <w:sz w:val="24"/>
                <w:szCs w:val="24"/>
                <w:lang w:val="en-US" w:eastAsia="zh-CN"/>
              </w:rPr>
              <w:t>根据投标文件内容是否完整、编排是否合理、资料提供是否齐全、文字综合表述是否清楚合理等进行打分， 2.0-0.1分。</w:t>
            </w:r>
          </w:p>
        </w:tc>
      </w:tr>
      <w:bookmarkEnd w:id="1"/>
      <w:bookmarkEnd w:id="2"/>
      <w:bookmarkEnd w:id="3"/>
      <w:bookmarkEnd w:id="4"/>
    </w:tbl>
    <w:p>
      <w:pPr>
        <w:spacing w:line="440" w:lineRule="exact"/>
        <w:rPr>
          <w:rFonts w:ascii="仿宋_GB2312" w:hAnsi="宋体" w:eastAsia="仿宋_GB2312"/>
          <w:b/>
          <w:bCs/>
          <w:iCs/>
          <w:color w:val="000000"/>
          <w:sz w:val="24"/>
        </w:rPr>
      </w:pPr>
      <w:r>
        <w:rPr>
          <w:rFonts w:hint="eastAsia" w:ascii="仿宋_GB2312" w:hAnsi="宋体" w:eastAsia="仿宋_GB2312"/>
          <w:b/>
          <w:bCs/>
          <w:iCs/>
          <w:color w:val="000000"/>
          <w:sz w:val="24"/>
        </w:rPr>
        <w:t>2.2价格分（30分）</w:t>
      </w:r>
    </w:p>
    <w:p>
      <w:pPr>
        <w:spacing w:line="440" w:lineRule="exact"/>
        <w:rPr>
          <w:rFonts w:ascii="仿宋_GB2312" w:hAnsi="宋体" w:eastAsia="仿宋_GB2312"/>
          <w:bCs/>
          <w:iCs/>
          <w:color w:val="000000"/>
          <w:sz w:val="24"/>
        </w:rPr>
      </w:pPr>
      <w:r>
        <w:rPr>
          <w:rFonts w:hint="eastAsia" w:ascii="仿宋_GB2312" w:hAnsi="宋体" w:eastAsia="仿宋_GB2312"/>
          <w:bCs/>
          <w:iCs/>
          <w:color w:val="000000"/>
          <w:sz w:val="24"/>
        </w:rPr>
        <w:t>2.2.1评标基准价：即满足招标文件要求且投标价格最低的投标报价为评标基准价，其价格分为满分。</w:t>
      </w:r>
    </w:p>
    <w:p>
      <w:pPr>
        <w:spacing w:line="440" w:lineRule="exact"/>
        <w:rPr>
          <w:rFonts w:ascii="仿宋_GB2312" w:hAnsi="宋体" w:eastAsia="仿宋_GB2312"/>
          <w:bCs/>
          <w:iCs/>
          <w:color w:val="000000"/>
          <w:sz w:val="24"/>
        </w:rPr>
      </w:pPr>
      <w:r>
        <w:rPr>
          <w:rFonts w:hint="eastAsia" w:ascii="仿宋_GB2312" w:hAnsi="宋体" w:eastAsia="仿宋_GB2312"/>
          <w:bCs/>
          <w:iCs/>
          <w:color w:val="000000"/>
          <w:sz w:val="24"/>
        </w:rPr>
        <w:t>2.2.2其他投标人的价格分统一按照下列公式计算：</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仿宋_GB2312" w:hAnsi="宋体" w:eastAsia="仿宋_GB2312"/>
          <w:bCs/>
          <w:iCs/>
          <w:color w:val="000000"/>
          <w:sz w:val="24"/>
        </w:rPr>
      </w:pPr>
      <w:r>
        <w:rPr>
          <w:rFonts w:hint="eastAsia" w:ascii="仿宋_GB2312" w:hAnsi="宋体" w:eastAsia="仿宋_GB2312"/>
          <w:bCs/>
          <w:iCs/>
          <w:color w:val="000000"/>
          <w:sz w:val="24"/>
        </w:rPr>
        <w:t>投标报价得分=(评标基准价／投标报价)×价格权值×100</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仿宋_GB2312" w:hAnsi="宋体" w:eastAsia="仿宋_GB2312"/>
          <w:bCs/>
          <w:iCs/>
          <w:color w:val="000000"/>
          <w:sz w:val="24"/>
        </w:rPr>
      </w:pPr>
      <w:r>
        <w:rPr>
          <w:rFonts w:hint="eastAsia" w:ascii="仿宋_GB2312" w:hAnsi="宋体" w:eastAsia="仿宋_GB2312"/>
          <w:bCs/>
          <w:iCs/>
          <w:color w:val="000000"/>
          <w:sz w:val="24"/>
        </w:rPr>
        <w:t>即：投标报价得分=(评标基准价／投标报价)×30</w:t>
      </w:r>
    </w:p>
    <w:sectPr>
      <w:footerReference r:id="rId3" w:type="default"/>
      <w:foot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Courier New">
    <w:panose1 w:val="02070309020205020404"/>
    <w:charset w:val="00"/>
    <w:family w:val="modern"/>
    <w:pitch w:val="default"/>
    <w:sig w:usb0="E0002EFF" w:usb1="C0007843" w:usb2="00000009" w:usb3="00000000" w:csb0="400001FF" w:csb1="FFFF0000"/>
  </w:font>
  <w:font w:name="隶书">
    <w:panose1 w:val="02010509060101010101"/>
    <w:charset w:val="86"/>
    <w:family w:val="modern"/>
    <w:pitch w:val="default"/>
    <w:sig w:usb0="00000001" w:usb1="080E0000" w:usb2="00000000" w:usb3="00000000" w:csb0="00040000" w:csb1="00000000"/>
  </w:font>
  <w:font w:name="仿宋_GB2312">
    <w:altName w:val="仿宋"/>
    <w:panose1 w:val="02010609030101010101"/>
    <w:charset w:val="86"/>
    <w:family w:val="modern"/>
    <w:pitch w:val="default"/>
    <w:sig w:usb0="00000001" w:usb1="080E0000" w:usb2="00000010" w:usb3="00000000" w:csb0="00040000" w:csb1="00000000"/>
  </w:font>
  <w:font w:name="新宋体">
    <w:panose1 w:val="02010609030101010101"/>
    <w:charset w:val="86"/>
    <w:family w:val="modern"/>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rPr>
        <w:szCs w:val="21"/>
      </w:rPr>
      <w:t xml:space="preserve">- </w:t>
    </w:r>
    <w:r>
      <w:rPr>
        <w:szCs w:val="21"/>
      </w:rPr>
      <w:fldChar w:fldCharType="begin"/>
    </w:r>
    <w:r>
      <w:rPr>
        <w:szCs w:val="21"/>
      </w:rPr>
      <w:instrText xml:space="preserve"> PAGE </w:instrText>
    </w:r>
    <w:r>
      <w:rPr>
        <w:szCs w:val="21"/>
      </w:rPr>
      <w:fldChar w:fldCharType="separate"/>
    </w:r>
    <w:r>
      <w:rPr>
        <w:szCs w:val="21"/>
        <w:lang/>
      </w:rPr>
      <w:t>20</w:t>
    </w:r>
    <w:r>
      <w:rPr>
        <w:szCs w:val="21"/>
      </w:rPr>
      <w:fldChar w:fldCharType="end"/>
    </w:r>
    <w:r>
      <w:rPr>
        <w:szCs w:val="21"/>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3"/>
      </w:rPr>
    </w:pPr>
    <w:r>
      <w:fldChar w:fldCharType="begin"/>
    </w:r>
    <w:r>
      <w:rPr>
        <w:rStyle w:val="13"/>
      </w:rPr>
      <w:instrText xml:space="preserve">PAGE  </w:instrText>
    </w:r>
    <w:r>
      <w:fldChar w:fldCharType="end"/>
    </w:r>
  </w:p>
  <w:p>
    <w:pPr>
      <w:pStyle w:val="8"/>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C4159AB"/>
    <w:multiLevelType w:val="multilevel"/>
    <w:tmpl w:val="0C4159AB"/>
    <w:lvl w:ilvl="0" w:tentative="0">
      <w:start w:val="1"/>
      <w:numFmt w:val="bullet"/>
      <w:lvlText w:val=""/>
      <w:lvlJc w:val="left"/>
      <w:pPr>
        <w:ind w:left="995" w:hanging="420"/>
      </w:pPr>
      <w:rPr>
        <w:rFonts w:hint="default" w:ascii="Wingdings" w:hAnsi="Wingdings"/>
      </w:rPr>
    </w:lvl>
    <w:lvl w:ilvl="1" w:tentative="0">
      <w:start w:val="1"/>
      <w:numFmt w:val="bullet"/>
      <w:lvlText w:val=""/>
      <w:lvlJc w:val="left"/>
      <w:pPr>
        <w:ind w:left="1415" w:hanging="420"/>
      </w:pPr>
      <w:rPr>
        <w:rFonts w:hint="default" w:ascii="Wingdings" w:hAnsi="Wingdings"/>
      </w:rPr>
    </w:lvl>
    <w:lvl w:ilvl="2" w:tentative="0">
      <w:start w:val="1"/>
      <w:numFmt w:val="bullet"/>
      <w:pStyle w:val="2"/>
      <w:lvlText w:val=""/>
      <w:lvlJc w:val="left"/>
      <w:pPr>
        <w:ind w:left="1835" w:hanging="420"/>
      </w:pPr>
      <w:rPr>
        <w:rFonts w:hint="default" w:ascii="Wingdings" w:hAnsi="Wingdings"/>
      </w:rPr>
    </w:lvl>
    <w:lvl w:ilvl="3" w:tentative="0">
      <w:start w:val="1"/>
      <w:numFmt w:val="bullet"/>
      <w:lvlText w:val=""/>
      <w:lvlJc w:val="left"/>
      <w:pPr>
        <w:ind w:left="2255" w:hanging="420"/>
      </w:pPr>
      <w:rPr>
        <w:rFonts w:hint="default" w:ascii="Wingdings" w:hAnsi="Wingdings"/>
      </w:rPr>
    </w:lvl>
    <w:lvl w:ilvl="4" w:tentative="0">
      <w:start w:val="1"/>
      <w:numFmt w:val="bullet"/>
      <w:lvlText w:val=""/>
      <w:lvlJc w:val="left"/>
      <w:pPr>
        <w:ind w:left="2675" w:hanging="420"/>
      </w:pPr>
      <w:rPr>
        <w:rFonts w:hint="default" w:ascii="Wingdings" w:hAnsi="Wingdings"/>
      </w:rPr>
    </w:lvl>
    <w:lvl w:ilvl="5" w:tentative="0">
      <w:start w:val="1"/>
      <w:numFmt w:val="bullet"/>
      <w:lvlText w:val=""/>
      <w:lvlJc w:val="left"/>
      <w:pPr>
        <w:ind w:left="3095" w:hanging="420"/>
      </w:pPr>
      <w:rPr>
        <w:rFonts w:hint="default" w:ascii="Wingdings" w:hAnsi="Wingdings"/>
      </w:rPr>
    </w:lvl>
    <w:lvl w:ilvl="6" w:tentative="0">
      <w:start w:val="1"/>
      <w:numFmt w:val="bullet"/>
      <w:lvlText w:val=""/>
      <w:lvlJc w:val="left"/>
      <w:pPr>
        <w:ind w:left="3515" w:hanging="420"/>
      </w:pPr>
      <w:rPr>
        <w:rFonts w:hint="default" w:ascii="Wingdings" w:hAnsi="Wingdings"/>
      </w:rPr>
    </w:lvl>
    <w:lvl w:ilvl="7" w:tentative="0">
      <w:start w:val="1"/>
      <w:numFmt w:val="bullet"/>
      <w:lvlText w:val=""/>
      <w:lvlJc w:val="left"/>
      <w:pPr>
        <w:ind w:left="3935" w:hanging="420"/>
      </w:pPr>
      <w:rPr>
        <w:rFonts w:hint="default" w:ascii="Wingdings" w:hAnsi="Wingdings"/>
      </w:rPr>
    </w:lvl>
    <w:lvl w:ilvl="8" w:tentative="0">
      <w:start w:val="1"/>
      <w:numFmt w:val="bullet"/>
      <w:lvlText w:val=""/>
      <w:lvlJc w:val="left"/>
      <w:pPr>
        <w:ind w:left="4355" w:hanging="420"/>
      </w:pPr>
      <w:rPr>
        <w:rFonts w:hint="default" w:ascii="Wingdings" w:hAnsi="Wingdings"/>
      </w:rPr>
    </w:lvl>
  </w:abstractNum>
  <w:abstractNum w:abstractNumId="1">
    <w:nsid w:val="43740B8A"/>
    <w:multiLevelType w:val="multilevel"/>
    <w:tmpl w:val="43740B8A"/>
    <w:lvl w:ilvl="0" w:tentative="0">
      <w:start w:val="1"/>
      <w:numFmt w:val="chineseCountingThousand"/>
      <w:suff w:val="space"/>
      <w:lvlText w:val="第%1章"/>
      <w:lvlJc w:val="left"/>
      <w:pPr>
        <w:ind w:left="0" w:firstLine="0"/>
      </w:pPr>
      <w:rPr>
        <w:rFonts w:hint="default" w:ascii="Times New Roman" w:hAnsi="Times New Roman" w:eastAsia="宋体" w:cs="Times New Roman"/>
        <w:b/>
        <w:i w:val="0"/>
        <w:sz w:val="36"/>
      </w:rPr>
    </w:lvl>
    <w:lvl w:ilvl="1" w:tentative="0">
      <w:start w:val="1"/>
      <w:numFmt w:val="decimal"/>
      <w:isLgl/>
      <w:suff w:val="space"/>
      <w:lvlText w:val="%1.%2."/>
      <w:lvlJc w:val="left"/>
      <w:pPr>
        <w:ind w:left="0" w:firstLine="0"/>
      </w:pPr>
      <w:rPr>
        <w:rFonts w:hint="default" w:ascii="Times New Roman" w:hAnsi="Times New Roman" w:eastAsia="宋体" w:cs="Times New Roman"/>
        <w:b/>
        <w:i w:val="0"/>
        <w:sz w:val="28"/>
      </w:rPr>
    </w:lvl>
    <w:lvl w:ilvl="2" w:tentative="0">
      <w:start w:val="1"/>
      <w:numFmt w:val="decimal"/>
      <w:isLgl/>
      <w:suff w:val="space"/>
      <w:lvlText w:val="%1.%2.%3."/>
      <w:lvlJc w:val="left"/>
      <w:pPr>
        <w:ind w:left="0" w:firstLine="0"/>
      </w:pPr>
      <w:rPr>
        <w:rFonts w:hint="default" w:ascii="Times New Roman" w:hAnsi="Times New Roman" w:eastAsia="宋体" w:cs="Times New Roman"/>
        <w:b/>
        <w:i w:val="0"/>
        <w:sz w:val="28"/>
      </w:rPr>
    </w:lvl>
    <w:lvl w:ilvl="3" w:tentative="0">
      <w:start w:val="1"/>
      <w:numFmt w:val="decimal"/>
      <w:isLgl/>
      <w:suff w:val="space"/>
      <w:lvlText w:val="%1.%2.%3.%4."/>
      <w:lvlJc w:val="left"/>
      <w:pPr>
        <w:ind w:left="0" w:firstLine="0"/>
      </w:pPr>
      <w:rPr>
        <w:rFonts w:hint="default" w:ascii="Times New Roman" w:hAnsi="Times New Roman" w:eastAsia="宋体" w:cs="Times New Roman"/>
        <w:b/>
        <w:i w:val="0"/>
        <w:sz w:val="24"/>
      </w:rPr>
    </w:lvl>
    <w:lvl w:ilvl="4" w:tentative="0">
      <w:start w:val="1"/>
      <w:numFmt w:val="decimal"/>
      <w:isLgl/>
      <w:suff w:val="space"/>
      <w:lvlText w:val="%1.%2.%3.%4.%5."/>
      <w:lvlJc w:val="left"/>
      <w:pPr>
        <w:ind w:left="0" w:firstLine="0"/>
      </w:pPr>
      <w:rPr>
        <w:rFonts w:hint="default" w:ascii="Times New Roman" w:hAnsi="Times New Roman" w:eastAsia="宋体" w:cs="Times New Roman"/>
        <w:b/>
        <w:i w:val="0"/>
        <w:sz w:val="24"/>
      </w:rPr>
    </w:lvl>
    <w:lvl w:ilvl="5" w:tentative="0">
      <w:start w:val="1"/>
      <w:numFmt w:val="decimal"/>
      <w:isLgl/>
      <w:suff w:val="space"/>
      <w:lvlText w:val="%1.%2.%3.%4.%5.%6."/>
      <w:lvlJc w:val="left"/>
      <w:pPr>
        <w:ind w:left="0" w:firstLine="0"/>
      </w:pPr>
      <w:rPr>
        <w:rFonts w:hint="default" w:ascii="Times New Roman" w:hAnsi="Times New Roman" w:eastAsia="宋体" w:cs="Times New Roman"/>
        <w:b/>
        <w:i w:val="0"/>
        <w:sz w:val="24"/>
      </w:rPr>
    </w:lvl>
    <w:lvl w:ilvl="6" w:tentative="0">
      <w:start w:val="1"/>
      <w:numFmt w:val="decimal"/>
      <w:isLgl/>
      <w:suff w:val="space"/>
      <w:lvlText w:val="%1.%2.%3.%4.%5.%6.%7."/>
      <w:lvlJc w:val="left"/>
      <w:pPr>
        <w:ind w:left="0" w:firstLine="0"/>
      </w:pPr>
      <w:rPr>
        <w:rFonts w:hint="default" w:ascii="Times New Roman" w:hAnsi="Times New Roman" w:eastAsia="宋体" w:cs="Times New Roman"/>
        <w:b/>
        <w:i w:val="0"/>
        <w:sz w:val="24"/>
      </w:rPr>
    </w:lvl>
    <w:lvl w:ilvl="7" w:tentative="0">
      <w:start w:val="1"/>
      <w:numFmt w:val="decimal"/>
      <w:isLgl/>
      <w:suff w:val="space"/>
      <w:lvlText w:val="%1.%2.%3.%4.%5.%6.%7.%8."/>
      <w:lvlJc w:val="left"/>
      <w:pPr>
        <w:ind w:left="0" w:firstLine="0"/>
      </w:pPr>
      <w:rPr>
        <w:rFonts w:hint="default" w:ascii="Times New Roman" w:hAnsi="Times New Roman" w:eastAsia="宋体" w:cs="Times New Roman"/>
        <w:b/>
        <w:i w:val="0"/>
        <w:sz w:val="24"/>
      </w:rPr>
    </w:lvl>
    <w:lvl w:ilvl="8" w:tentative="0">
      <w:start w:val="1"/>
      <w:numFmt w:val="decimal"/>
      <w:isLgl/>
      <w:suff w:val="space"/>
      <w:lvlText w:val="%1.%2.%3.%4.%5.%6.%7.%8.%9."/>
      <w:lvlJc w:val="left"/>
      <w:pPr>
        <w:ind w:left="0" w:firstLine="0"/>
      </w:pPr>
      <w:rPr>
        <w:rFonts w:hint="default" w:ascii="Times New Roman" w:hAnsi="Times New Roman" w:eastAsia="宋体" w:cs="Times New Roman"/>
        <w:b/>
        <w:i w:val="0"/>
        <w:sz w:val="24"/>
      </w:rPr>
    </w:lvl>
  </w:abstractNum>
  <w:abstractNum w:abstractNumId="2">
    <w:nsid w:val="4F647A53"/>
    <w:multiLevelType w:val="multilevel"/>
    <w:tmpl w:val="4F647A53"/>
    <w:lvl w:ilvl="0" w:tentative="0">
      <w:start w:val="2"/>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lvlOverride w:ilvl="0">
      <w:lvl w:ilvl="0" w:tentative="1">
        <w:start w:val="1"/>
        <w:numFmt w:val="decimal"/>
        <w:suff w:val="space"/>
        <w:lvlText w:val="第%1章"/>
        <w:lvlJc w:val="left"/>
        <w:pPr>
          <w:ind w:left="0" w:firstLine="0"/>
        </w:pPr>
        <w:rPr>
          <w:rFonts w:hint="default" w:ascii="Times New Roman" w:hAnsi="Times New Roman" w:eastAsia="黑体" w:cs="Times New Roman"/>
          <w:b/>
          <w:i w:val="0"/>
          <w:sz w:val="44"/>
          <w:lang w:val="en-US"/>
        </w:rPr>
      </w:lvl>
    </w:lvlOverride>
    <w:lvlOverride w:ilvl="1">
      <w:lvl w:ilvl="1" w:tentative="1">
        <w:start w:val="1"/>
        <w:numFmt w:val="decimal"/>
        <w:isLgl/>
        <w:suff w:val="space"/>
        <w:lvlText w:val="%1.%2."/>
        <w:lvlJc w:val="left"/>
        <w:pPr>
          <w:ind w:left="0" w:firstLine="0"/>
        </w:pPr>
        <w:rPr>
          <w:rFonts w:hint="default" w:ascii="Times New Roman" w:hAnsi="Times New Roman" w:eastAsia="宋体" w:cs="Times New Roman"/>
          <w:b/>
          <w:i w:val="0"/>
          <w:sz w:val="36"/>
        </w:rPr>
      </w:lvl>
    </w:lvlOverride>
    <w:lvlOverride w:ilvl="2">
      <w:lvl w:ilvl="2" w:tentative="1">
        <w:start w:val="1"/>
        <w:numFmt w:val="decimal"/>
        <w:pStyle w:val="20"/>
        <w:isLgl/>
        <w:suff w:val="space"/>
        <w:lvlText w:val="%1.%2.%3."/>
        <w:lvlJc w:val="left"/>
        <w:pPr>
          <w:ind w:left="0" w:firstLine="0"/>
        </w:pPr>
        <w:rPr>
          <w:rFonts w:hint="default" w:ascii="Times New Roman" w:hAnsi="Times New Roman" w:eastAsia="宋体" w:cs="Times New Roman"/>
          <w:b/>
          <w:i w:val="0"/>
          <w:sz w:val="32"/>
        </w:rPr>
      </w:lvl>
    </w:lvlOverride>
    <w:lvlOverride w:ilvl="3">
      <w:lvl w:ilvl="3" w:tentative="1">
        <w:start w:val="1"/>
        <w:numFmt w:val="decimal"/>
        <w:isLgl/>
        <w:suff w:val="space"/>
        <w:lvlText w:val="%1.%2.%3.%4."/>
        <w:lvlJc w:val="left"/>
        <w:pPr>
          <w:ind w:left="0" w:firstLine="0"/>
        </w:pPr>
        <w:rPr>
          <w:rFonts w:hint="default" w:ascii="Times New Roman" w:hAnsi="Times New Roman" w:eastAsia="宋体" w:cs="Times New Roman"/>
          <w:b/>
          <w:i w:val="0"/>
          <w:sz w:val="30"/>
        </w:rPr>
      </w:lvl>
    </w:lvlOverride>
    <w:lvlOverride w:ilvl="4">
      <w:lvl w:ilvl="4" w:tentative="1">
        <w:start w:val="1"/>
        <w:numFmt w:val="decimal"/>
        <w:pStyle w:val="19"/>
        <w:isLgl/>
        <w:suff w:val="space"/>
        <w:lvlText w:val="%1.%2.%3.%4.%5."/>
        <w:lvlJc w:val="left"/>
        <w:pPr>
          <w:ind w:left="0" w:firstLine="0"/>
        </w:pPr>
        <w:rPr>
          <w:rFonts w:hint="default" w:ascii="Times New Roman" w:hAnsi="Times New Roman" w:eastAsia="宋体" w:cs="Times New Roman"/>
          <w:b/>
          <w:i w:val="0"/>
          <w:sz w:val="28"/>
        </w:rPr>
      </w:lvl>
    </w:lvlOverride>
    <w:lvlOverride w:ilvl="5">
      <w:lvl w:ilvl="5" w:tentative="1">
        <w:start w:val="1"/>
        <w:numFmt w:val="decimal"/>
        <w:isLgl/>
        <w:suff w:val="space"/>
        <w:lvlText w:val="%1.%2.%3.%4.%5.%6."/>
        <w:lvlJc w:val="left"/>
        <w:pPr>
          <w:ind w:left="0" w:firstLine="0"/>
        </w:pPr>
        <w:rPr>
          <w:rFonts w:hint="default" w:ascii="Times New Roman" w:hAnsi="Times New Roman" w:eastAsia="宋体" w:cs="Times New Roman"/>
          <w:b/>
          <w:i w:val="0"/>
          <w:sz w:val="24"/>
        </w:rPr>
      </w:lvl>
    </w:lvlOverride>
    <w:lvlOverride w:ilvl="6">
      <w:lvl w:ilvl="6" w:tentative="1">
        <w:start w:val="1"/>
        <w:numFmt w:val="decimal"/>
        <w:isLgl/>
        <w:suff w:val="space"/>
        <w:lvlText w:val="%1.%2.%3.%4.%5.%6.%7."/>
        <w:lvlJc w:val="left"/>
        <w:pPr>
          <w:ind w:left="0" w:firstLine="0"/>
        </w:pPr>
        <w:rPr>
          <w:rFonts w:hint="default" w:ascii="Times New Roman" w:hAnsi="Times New Roman" w:eastAsia="宋体" w:cs="Times New Roman"/>
          <w:b/>
          <w:i w:val="0"/>
          <w:sz w:val="24"/>
        </w:rPr>
      </w:lvl>
    </w:lvlOverride>
    <w:lvlOverride w:ilvl="7">
      <w:lvl w:ilvl="7" w:tentative="1">
        <w:start w:val="1"/>
        <w:numFmt w:val="decimal"/>
        <w:isLgl/>
        <w:suff w:val="space"/>
        <w:lvlText w:val="%1.%2.%3.%4.%5.%6.%7.%8."/>
        <w:lvlJc w:val="left"/>
        <w:pPr>
          <w:ind w:left="0" w:firstLine="0"/>
        </w:pPr>
        <w:rPr>
          <w:rFonts w:hint="default" w:ascii="Times New Roman" w:hAnsi="Times New Roman" w:eastAsia="宋体" w:cs="Times New Roman"/>
          <w:b/>
          <w:i w:val="0"/>
          <w:sz w:val="24"/>
        </w:rPr>
      </w:lvl>
    </w:lvlOverride>
    <w:lvlOverride w:ilvl="8">
      <w:lvl w:ilvl="8" w:tentative="1">
        <w:start w:val="1"/>
        <w:numFmt w:val="decimal"/>
        <w:isLgl/>
        <w:suff w:val="space"/>
        <w:lvlText w:val="%1.%2.%3.%4.%5.%6.%7.%8.%9."/>
        <w:lvlJc w:val="left"/>
        <w:pPr>
          <w:ind w:left="0" w:firstLine="0"/>
        </w:pPr>
        <w:rPr>
          <w:rFonts w:hint="default" w:ascii="Times New Roman" w:hAnsi="Times New Roman" w:eastAsia="宋体" w:cs="Times New Roman"/>
          <w:b/>
          <w:i w:val="0"/>
          <w:sz w:val="24"/>
        </w:rPr>
      </w:lvl>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B09"/>
    <w:rsid w:val="000620C3"/>
    <w:rsid w:val="00115FDE"/>
    <w:rsid w:val="00180538"/>
    <w:rsid w:val="001940BE"/>
    <w:rsid w:val="001A40BB"/>
    <w:rsid w:val="001C776C"/>
    <w:rsid w:val="00243868"/>
    <w:rsid w:val="00317B09"/>
    <w:rsid w:val="00365106"/>
    <w:rsid w:val="003C5F96"/>
    <w:rsid w:val="00440373"/>
    <w:rsid w:val="0053712C"/>
    <w:rsid w:val="005C481F"/>
    <w:rsid w:val="005E3B7D"/>
    <w:rsid w:val="006212C1"/>
    <w:rsid w:val="006359EA"/>
    <w:rsid w:val="006773EF"/>
    <w:rsid w:val="006D5DCD"/>
    <w:rsid w:val="00716CC5"/>
    <w:rsid w:val="00807791"/>
    <w:rsid w:val="00887D4E"/>
    <w:rsid w:val="008B6C9F"/>
    <w:rsid w:val="00967CFA"/>
    <w:rsid w:val="009D4A47"/>
    <w:rsid w:val="00A44F6E"/>
    <w:rsid w:val="00BE1544"/>
    <w:rsid w:val="00C23B06"/>
    <w:rsid w:val="00C345EF"/>
    <w:rsid w:val="00C37890"/>
    <w:rsid w:val="00C87279"/>
    <w:rsid w:val="00D349B9"/>
    <w:rsid w:val="00D50FA1"/>
    <w:rsid w:val="00E9560F"/>
    <w:rsid w:val="00F120EF"/>
    <w:rsid w:val="10D95299"/>
    <w:rsid w:val="1CA91595"/>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等线" w:hAnsi="等线" w:eastAsia="等线"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0"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qFormat="1" w:unhideWhenUsed="0" w:uiPriority="34" w:semiHidden="0" w:name="List Paragraph"/>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atentStyles>
  <w:style w:type="paragraph" w:default="1" w:styleId="1">
    <w:name w:val="Normal"/>
    <w:qFormat/>
    <w:uiPriority w:val="0"/>
    <w:pPr>
      <w:widowControl w:val="0"/>
      <w:adjustRightInd w:val="0"/>
      <w:jc w:val="both"/>
    </w:pPr>
    <w:rPr>
      <w:rFonts w:ascii="Times New Roman" w:hAnsi="Times New Roman" w:eastAsia="宋体"/>
      <w:kern w:val="2"/>
      <w:sz w:val="21"/>
      <w:szCs w:val="24"/>
      <w:lang w:val="en-US" w:eastAsia="zh-CN" w:bidi="ar-SA"/>
    </w:rPr>
  </w:style>
  <w:style w:type="paragraph" w:styleId="2">
    <w:name w:val="heading 3"/>
    <w:basedOn w:val="1"/>
    <w:next w:val="1"/>
    <w:link w:val="15"/>
    <w:semiHidden/>
    <w:unhideWhenUsed/>
    <w:qFormat/>
    <w:uiPriority w:val="0"/>
    <w:pPr>
      <w:keepNext/>
      <w:keepLines/>
      <w:numPr>
        <w:ilvl w:val="2"/>
        <w:numId w:val="1"/>
      </w:numPr>
      <w:tabs>
        <w:tab w:val="left" w:pos="900"/>
      </w:tabs>
      <w:spacing w:before="260" w:after="260" w:line="415" w:lineRule="auto"/>
      <w:outlineLvl w:val="2"/>
    </w:pPr>
    <w:rPr>
      <w:b/>
      <w:bCs/>
      <w:kern w:val="0"/>
      <w:sz w:val="32"/>
      <w:szCs w:val="32"/>
    </w:rPr>
  </w:style>
  <w:style w:type="character" w:default="1" w:styleId="12">
    <w:name w:val="Default Paragraph Font"/>
    <w:semiHidden/>
    <w:unhideWhenUsed/>
    <w:uiPriority w:val="1"/>
  </w:style>
  <w:style w:type="table" w:default="1" w:styleId="11">
    <w:name w:val="Normal Table"/>
    <w:semiHidden/>
    <w:unhideWhenUsed/>
    <w:uiPriority w:val="99"/>
    <w:tblPr>
      <w:tblStyle w:val="11"/>
      <w:tblCellMar>
        <w:top w:w="0" w:type="dxa"/>
        <w:left w:w="108" w:type="dxa"/>
        <w:bottom w:w="0" w:type="dxa"/>
        <w:right w:w="108" w:type="dxa"/>
      </w:tblCellMar>
    </w:tblPr>
    <w:trPr>
      <w:wBefore w:w="0" w:type="dxa"/>
    </w:trPr>
  </w:style>
  <w:style w:type="paragraph" w:styleId="3">
    <w:name w:val="Normal Indent"/>
    <w:basedOn w:val="1"/>
    <w:semiHidden/>
    <w:unhideWhenUsed/>
    <w:qFormat/>
    <w:uiPriority w:val="0"/>
    <w:pPr>
      <w:widowControl/>
      <w:snapToGrid w:val="0"/>
      <w:spacing w:line="480" w:lineRule="exact"/>
      <w:ind w:firstLine="567"/>
    </w:pPr>
    <w:rPr>
      <w:rFonts w:ascii="宋体"/>
      <w:color w:val="000000"/>
      <w:kern w:val="28"/>
      <w:sz w:val="28"/>
      <w:szCs w:val="20"/>
    </w:rPr>
  </w:style>
  <w:style w:type="paragraph" w:styleId="4">
    <w:name w:val="annotation text"/>
    <w:basedOn w:val="1"/>
    <w:link w:val="34"/>
    <w:semiHidden/>
    <w:unhideWhenUsed/>
    <w:uiPriority w:val="99"/>
    <w:pPr>
      <w:jc w:val="left"/>
    </w:pPr>
  </w:style>
  <w:style w:type="paragraph" w:styleId="5">
    <w:name w:val="Body Text Indent"/>
    <w:basedOn w:val="1"/>
    <w:link w:val="28"/>
    <w:qFormat/>
    <w:uiPriority w:val="0"/>
    <w:pPr>
      <w:adjustRightInd/>
      <w:spacing w:after="120"/>
      <w:ind w:left="420" w:leftChars="200"/>
    </w:pPr>
    <w:rPr>
      <w:kern w:val="0"/>
      <w:sz w:val="20"/>
    </w:rPr>
  </w:style>
  <w:style w:type="paragraph" w:styleId="6">
    <w:name w:val="Plain Text"/>
    <w:basedOn w:val="1"/>
    <w:link w:val="30"/>
    <w:qFormat/>
    <w:uiPriority w:val="0"/>
    <w:pPr>
      <w:adjustRightInd/>
    </w:pPr>
    <w:rPr>
      <w:rFonts w:ascii="宋体" w:hAnsi="Courier New"/>
      <w:kern w:val="0"/>
      <w:sz w:val="20"/>
      <w:szCs w:val="20"/>
    </w:rPr>
  </w:style>
  <w:style w:type="paragraph" w:styleId="7">
    <w:name w:val="Balloon Text"/>
    <w:basedOn w:val="1"/>
    <w:link w:val="36"/>
    <w:semiHidden/>
    <w:unhideWhenUsed/>
    <w:uiPriority w:val="99"/>
    <w:rPr>
      <w:sz w:val="18"/>
      <w:szCs w:val="18"/>
    </w:rPr>
  </w:style>
  <w:style w:type="paragraph" w:styleId="8">
    <w:name w:val="footer"/>
    <w:basedOn w:val="1"/>
    <w:link w:val="27"/>
    <w:unhideWhenUsed/>
    <w:qFormat/>
    <w:uiPriority w:val="0"/>
    <w:pPr>
      <w:tabs>
        <w:tab w:val="center" w:pos="4153"/>
        <w:tab w:val="right" w:pos="8306"/>
      </w:tabs>
      <w:snapToGrid w:val="0"/>
      <w:jc w:val="left"/>
    </w:pPr>
    <w:rPr>
      <w:kern w:val="0"/>
      <w:sz w:val="18"/>
      <w:szCs w:val="18"/>
    </w:rPr>
  </w:style>
  <w:style w:type="paragraph" w:styleId="9">
    <w:name w:val="header"/>
    <w:basedOn w:val="1"/>
    <w:link w:val="26"/>
    <w:unhideWhenUsed/>
    <w:qFormat/>
    <w:uiPriority w:val="0"/>
    <w:pPr>
      <w:pBdr>
        <w:bottom w:val="single" w:color="auto" w:sz="6" w:space="1"/>
      </w:pBdr>
      <w:tabs>
        <w:tab w:val="center" w:pos="4153"/>
        <w:tab w:val="right" w:pos="8306"/>
      </w:tabs>
      <w:snapToGrid w:val="0"/>
      <w:jc w:val="center"/>
    </w:pPr>
    <w:rPr>
      <w:kern w:val="0"/>
      <w:sz w:val="18"/>
      <w:szCs w:val="18"/>
    </w:rPr>
  </w:style>
  <w:style w:type="paragraph" w:styleId="10">
    <w:name w:val="annotation subject"/>
    <w:basedOn w:val="4"/>
    <w:next w:val="4"/>
    <w:link w:val="35"/>
    <w:semiHidden/>
    <w:unhideWhenUsed/>
    <w:uiPriority w:val="99"/>
    <w:rPr>
      <w:b/>
      <w:bCs/>
    </w:rPr>
  </w:style>
  <w:style w:type="character" w:styleId="13">
    <w:name w:val="page number"/>
    <w:basedOn w:val="12"/>
    <w:qFormat/>
    <w:uiPriority w:val="0"/>
  </w:style>
  <w:style w:type="character" w:styleId="14">
    <w:name w:val="annotation reference"/>
    <w:semiHidden/>
    <w:unhideWhenUsed/>
    <w:uiPriority w:val="99"/>
    <w:rPr>
      <w:sz w:val="21"/>
      <w:szCs w:val="21"/>
    </w:rPr>
  </w:style>
  <w:style w:type="character" w:customStyle="1" w:styleId="15">
    <w:name w:val="标题 3 字符"/>
    <w:link w:val="2"/>
    <w:semiHidden/>
    <w:uiPriority w:val="0"/>
    <w:rPr>
      <w:rFonts w:ascii="Times New Roman" w:hAnsi="Times New Roman" w:eastAsia="宋体" w:cs="Times New Roman"/>
      <w:b/>
      <w:bCs/>
      <w:sz w:val="32"/>
      <w:szCs w:val="32"/>
    </w:rPr>
  </w:style>
  <w:style w:type="character" w:customStyle="1" w:styleId="16">
    <w:name w:val="__正文 Char"/>
    <w:link w:val="17"/>
    <w:locked/>
    <w:uiPriority w:val="0"/>
    <w:rPr>
      <w:rFonts w:ascii="Calibri" w:hAnsi="Calibri" w:cs="Calibri"/>
      <w:kern w:val="2"/>
      <w:sz w:val="24"/>
      <w:szCs w:val="21"/>
      <w:lang w:val="en-US" w:eastAsia="zh-CN" w:bidi="ar-SA"/>
    </w:rPr>
  </w:style>
  <w:style w:type="paragraph" w:customStyle="1" w:styleId="17">
    <w:name w:val="__正文"/>
    <w:link w:val="16"/>
    <w:qFormat/>
    <w:uiPriority w:val="0"/>
    <w:pPr>
      <w:spacing w:line="360" w:lineRule="auto"/>
      <w:ind w:firstLine="200" w:firstLineChars="200"/>
    </w:pPr>
    <w:rPr>
      <w:rFonts w:ascii="Calibri" w:hAnsi="Calibri" w:cs="Calibri"/>
      <w:kern w:val="2"/>
      <w:sz w:val="24"/>
      <w:szCs w:val="21"/>
      <w:lang w:val="en-US" w:eastAsia="zh-CN" w:bidi="ar-SA"/>
    </w:rPr>
  </w:style>
  <w:style w:type="character" w:customStyle="1" w:styleId="18">
    <w:name w:val="_标题5 Char"/>
    <w:link w:val="19"/>
    <w:locked/>
    <w:uiPriority w:val="0"/>
    <w:rPr>
      <w:rFonts w:ascii="Calibri" w:hAnsi="Calibri" w:cs="Calibri"/>
      <w:b/>
      <w:sz w:val="28"/>
      <w:szCs w:val="21"/>
    </w:rPr>
  </w:style>
  <w:style w:type="paragraph" w:customStyle="1" w:styleId="19">
    <w:name w:val="_标题5"/>
    <w:basedOn w:val="17"/>
    <w:next w:val="17"/>
    <w:link w:val="18"/>
    <w:qFormat/>
    <w:uiPriority w:val="0"/>
    <w:pPr>
      <w:numPr>
        <w:ilvl w:val="4"/>
        <w:numId w:val="2"/>
      </w:numPr>
      <w:spacing w:beforeLines="50" w:afterLines="50"/>
      <w:ind w:firstLineChars="0"/>
      <w:outlineLvl w:val="4"/>
    </w:pPr>
    <w:rPr>
      <w:rFonts w:cs="Times New Roman"/>
      <w:b/>
      <w:kern w:val="0"/>
      <w:sz w:val="28"/>
    </w:rPr>
  </w:style>
  <w:style w:type="paragraph" w:customStyle="1" w:styleId="20">
    <w:name w:val="_标题3"/>
    <w:basedOn w:val="17"/>
    <w:next w:val="17"/>
    <w:link w:val="21"/>
    <w:qFormat/>
    <w:uiPriority w:val="0"/>
    <w:pPr>
      <w:widowControl w:val="0"/>
      <w:numPr>
        <w:ilvl w:val="2"/>
        <w:numId w:val="2"/>
      </w:numPr>
      <w:spacing w:beforeLines="50" w:afterLines="50"/>
      <w:ind w:firstLineChars="0"/>
      <w:outlineLvl w:val="2"/>
    </w:pPr>
    <w:rPr>
      <w:rFonts w:cs="Times New Roman"/>
      <w:b/>
      <w:kern w:val="0"/>
      <w:sz w:val="32"/>
    </w:rPr>
  </w:style>
  <w:style w:type="character" w:customStyle="1" w:styleId="21">
    <w:name w:val="_标题3 Char"/>
    <w:link w:val="20"/>
    <w:locked/>
    <w:uiPriority w:val="0"/>
    <w:rPr>
      <w:rFonts w:ascii="Calibri" w:hAnsi="Calibri" w:cs="Calibri"/>
      <w:b/>
      <w:sz w:val="32"/>
      <w:szCs w:val="21"/>
    </w:rPr>
  </w:style>
  <w:style w:type="paragraph" w:customStyle="1" w:styleId="22">
    <w:name w:val="_标题4"/>
    <w:basedOn w:val="17"/>
    <w:next w:val="17"/>
    <w:link w:val="23"/>
    <w:qFormat/>
    <w:uiPriority w:val="0"/>
    <w:pPr>
      <w:widowControl w:val="0"/>
      <w:spacing w:beforeLines="50" w:afterLines="50"/>
      <w:ind w:left="150" w:leftChars="150" w:firstLineChars="0"/>
      <w:outlineLvl w:val="3"/>
    </w:pPr>
    <w:rPr>
      <w:rFonts w:cs="Times New Roman"/>
      <w:b/>
      <w:kern w:val="0"/>
      <w:sz w:val="30"/>
    </w:rPr>
  </w:style>
  <w:style w:type="character" w:customStyle="1" w:styleId="23">
    <w:name w:val="_标题4 Char"/>
    <w:link w:val="22"/>
    <w:locked/>
    <w:uiPriority w:val="0"/>
    <w:rPr>
      <w:rFonts w:ascii="Calibri" w:hAnsi="Calibri" w:cs="Calibri"/>
      <w:b/>
      <w:sz w:val="30"/>
      <w:szCs w:val="21"/>
    </w:rPr>
  </w:style>
  <w:style w:type="paragraph" w:customStyle="1" w:styleId="24">
    <w:name w:val="_标题2"/>
    <w:basedOn w:val="17"/>
    <w:next w:val="17"/>
    <w:qFormat/>
    <w:uiPriority w:val="0"/>
    <w:pPr>
      <w:widowControl w:val="0"/>
      <w:spacing w:beforeLines="50" w:afterLines="50"/>
      <w:ind w:firstLineChars="0"/>
      <w:outlineLvl w:val="1"/>
    </w:pPr>
    <w:rPr>
      <w:b/>
      <w:sz w:val="36"/>
    </w:rPr>
  </w:style>
  <w:style w:type="paragraph" w:customStyle="1" w:styleId="25">
    <w:name w:val="_标题1"/>
    <w:basedOn w:val="17"/>
    <w:next w:val="17"/>
    <w:qFormat/>
    <w:uiPriority w:val="0"/>
    <w:pPr>
      <w:widowControl w:val="0"/>
      <w:spacing w:beforeLines="50" w:afterLines="50"/>
      <w:ind w:left="425" w:hanging="425" w:firstLineChars="0"/>
      <w:outlineLvl w:val="0"/>
    </w:pPr>
    <w:rPr>
      <w:rFonts w:eastAsia="黑体"/>
      <w:b/>
      <w:sz w:val="44"/>
    </w:rPr>
  </w:style>
  <w:style w:type="character" w:customStyle="1" w:styleId="26">
    <w:name w:val="页眉 字符"/>
    <w:link w:val="9"/>
    <w:qFormat/>
    <w:uiPriority w:val="0"/>
    <w:rPr>
      <w:rFonts w:ascii="Times New Roman" w:hAnsi="Times New Roman" w:eastAsia="宋体" w:cs="Times New Roman"/>
      <w:sz w:val="18"/>
      <w:szCs w:val="18"/>
    </w:rPr>
  </w:style>
  <w:style w:type="character" w:customStyle="1" w:styleId="27">
    <w:name w:val="页脚 字符"/>
    <w:link w:val="8"/>
    <w:uiPriority w:val="0"/>
    <w:rPr>
      <w:rFonts w:ascii="Times New Roman" w:hAnsi="Times New Roman" w:eastAsia="宋体" w:cs="Times New Roman"/>
      <w:sz w:val="18"/>
      <w:szCs w:val="18"/>
    </w:rPr>
  </w:style>
  <w:style w:type="character" w:customStyle="1" w:styleId="28">
    <w:name w:val="正文文本缩进 字符"/>
    <w:link w:val="5"/>
    <w:qFormat/>
    <w:uiPriority w:val="0"/>
    <w:rPr>
      <w:rFonts w:ascii="Times New Roman" w:hAnsi="Times New Roman" w:eastAsia="宋体" w:cs="Times New Roman"/>
      <w:szCs w:val="24"/>
    </w:rPr>
  </w:style>
  <w:style w:type="character" w:customStyle="1" w:styleId="29">
    <w:name w:val="纯文本 字符"/>
    <w:semiHidden/>
    <w:uiPriority w:val="99"/>
    <w:rPr>
      <w:rFonts w:ascii="等线" w:hAnsi="Courier New" w:cs="Courier New"/>
      <w:szCs w:val="24"/>
    </w:rPr>
  </w:style>
  <w:style w:type="character" w:customStyle="1" w:styleId="30">
    <w:name w:val="纯文本 字符1"/>
    <w:link w:val="6"/>
    <w:qFormat/>
    <w:uiPriority w:val="0"/>
    <w:rPr>
      <w:rFonts w:ascii="宋体" w:hAnsi="Courier New" w:eastAsia="宋体" w:cs="Times New Roman"/>
      <w:szCs w:val="20"/>
    </w:rPr>
  </w:style>
  <w:style w:type="paragraph" w:styleId="31">
    <w:name w:val="List Paragraph"/>
    <w:basedOn w:val="1"/>
    <w:qFormat/>
    <w:uiPriority w:val="34"/>
    <w:pPr>
      <w:widowControl/>
      <w:adjustRightInd/>
      <w:spacing w:after="200" w:line="276" w:lineRule="auto"/>
      <w:ind w:left="720"/>
      <w:contextualSpacing/>
      <w:jc w:val="left"/>
    </w:pPr>
    <w:rPr>
      <w:rFonts w:ascii="Calibri" w:hAnsi="Calibri"/>
      <w:kern w:val="0"/>
      <w:sz w:val="22"/>
      <w:szCs w:val="22"/>
    </w:rPr>
  </w:style>
  <w:style w:type="paragraph" w:customStyle="1" w:styleId="32">
    <w:name w:val="lp1"/>
    <w:basedOn w:val="1"/>
    <w:next w:val="31"/>
    <w:link w:val="33"/>
    <w:qFormat/>
    <w:uiPriority w:val="0"/>
    <w:pPr>
      <w:adjustRightInd/>
      <w:ind w:firstLine="420" w:firstLineChars="200"/>
    </w:pPr>
    <w:rPr>
      <w:rFonts w:ascii="Calibri" w:hAnsi="Calibri"/>
      <w:kern w:val="0"/>
      <w:sz w:val="20"/>
      <w:szCs w:val="20"/>
    </w:rPr>
  </w:style>
  <w:style w:type="character" w:customStyle="1" w:styleId="33">
    <w:name w:val="列出段落 字符"/>
    <w:link w:val="32"/>
    <w:qFormat/>
    <w:locked/>
    <w:uiPriority w:val="0"/>
    <w:rPr>
      <w:rFonts w:ascii="Calibri" w:hAnsi="Calibri" w:eastAsia="宋体" w:cs="Times New Roman"/>
    </w:rPr>
  </w:style>
  <w:style w:type="character" w:customStyle="1" w:styleId="34">
    <w:name w:val="批注文字 字符"/>
    <w:link w:val="4"/>
    <w:semiHidden/>
    <w:uiPriority w:val="99"/>
    <w:rPr>
      <w:rFonts w:ascii="Times New Roman" w:hAnsi="Times New Roman" w:eastAsia="宋体"/>
      <w:kern w:val="2"/>
      <w:sz w:val="21"/>
      <w:szCs w:val="24"/>
    </w:rPr>
  </w:style>
  <w:style w:type="character" w:customStyle="1" w:styleId="35">
    <w:name w:val="批注主题 字符"/>
    <w:link w:val="10"/>
    <w:semiHidden/>
    <w:uiPriority w:val="99"/>
    <w:rPr>
      <w:rFonts w:ascii="Times New Roman" w:hAnsi="Times New Roman" w:eastAsia="宋体"/>
      <w:b/>
      <w:bCs/>
      <w:kern w:val="2"/>
      <w:sz w:val="21"/>
      <w:szCs w:val="24"/>
    </w:rPr>
  </w:style>
  <w:style w:type="character" w:customStyle="1" w:styleId="36">
    <w:name w:val="批注框文本 字符"/>
    <w:link w:val="7"/>
    <w:semiHidden/>
    <w:uiPriority w:val="99"/>
    <w:rPr>
      <w:rFonts w:ascii="Times New Roman" w:hAnsi="Times New Roman" w:eastAsia="宋体"/>
      <w:kern w:val="2"/>
      <w:sz w:val="18"/>
      <w:szCs w:val="18"/>
    </w:rPr>
  </w:style>
</w:styles>
</file>

<file path=word/_rels/document.xml.rels><?xml version="1.0" encoding="UTF-8" standalone="yes"?><Relationships xmlns="http://schemas.openxmlformats.org/package/2006/relationships"><Relationship Id="rId1" Target="styles.xml" Type="http://schemas.openxmlformats.org/officeDocument/2006/relationships/styles"/><Relationship Id="rId2" Target="settings.xml" Type="http://schemas.openxmlformats.org/officeDocument/2006/relationships/settings"/><Relationship Id="rId3" Target="footer1.xml" Type="http://schemas.openxmlformats.org/officeDocument/2006/relationships/footer"/><Relationship Id="rId4" Target="footer2.xml" Type="http://schemas.openxmlformats.org/officeDocument/2006/relationships/footer"/><Relationship Id="rId5" Target="theme/theme1.xml" Type="http://schemas.openxmlformats.org/officeDocument/2006/relationships/theme"/><Relationship Id="rId6" Target="numbering.xml" Type="http://schemas.openxmlformats.org/officeDocument/2006/relationships/numbering"/><Relationship Id="rId7" Target="fontTable.xml" Type="http://schemas.openxmlformats.org/officeDocument/2006/relationships/fontTable"/></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25</Pages>
  <Words>2386</Words>
  <Characters>13602</Characters>
  <Lines>113</Lines>
  <Paragraphs>31</Paragraphs>
  <TotalTime>0</TotalTime>
  <ScaleCrop>false</ScaleCrop>
  <LinksUpToDate>false</LinksUpToDate>
  <CharactersWithSpaces>15957</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2020-10-19T08:13:00Z</dcterms:created>
  <dc:creator>dreamsummit</dc:creator>
  <cp:lastModifiedBy>WPS_1701756769</cp:lastModifiedBy>
  <dcterms:modified xsi:type="dcterms:W3CDTF">2024-02-26T03:31:47Z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18C3D20E63224CE3AA55C0A3264589FC_13</vt:lpwstr>
  </property>
</Properties>
</file>