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隶书" w:eastAsia="隶书"/>
          <w:color w:val="000000"/>
          <w:sz w:val="36"/>
        </w:rPr>
      </w:pPr>
      <w:bookmarkStart w:id="6" w:name="_GoBack"/>
      <w:bookmarkEnd w:id="6"/>
      <w:r>
        <w:rPr>
          <w:rFonts w:hint="eastAsia" w:ascii="隶书" w:eastAsia="隶书"/>
          <w:color w:val="000000"/>
          <w:sz w:val="36"/>
        </w:rPr>
        <w:t>绍兴市公安局</w:t>
      </w:r>
    </w:p>
    <w:p>
      <w:pPr>
        <w:spacing w:line="440" w:lineRule="exact"/>
        <w:jc w:val="center"/>
        <w:rPr>
          <w:rFonts w:ascii="隶书" w:eastAsia="隶书"/>
          <w:color w:val="000000"/>
          <w:sz w:val="36"/>
        </w:rPr>
      </w:pPr>
      <w:r>
        <w:rPr>
          <w:rFonts w:hint="eastAsia" w:ascii="隶书" w:eastAsia="隶书"/>
          <w:color w:val="000000"/>
          <w:sz w:val="36"/>
        </w:rPr>
        <w:t>模型中心建设、钉钉端及办公平台升级维护项目</w:t>
      </w:r>
    </w:p>
    <w:p>
      <w:pPr>
        <w:spacing w:line="440" w:lineRule="exact"/>
        <w:rPr>
          <w:rFonts w:ascii="隶书" w:eastAsia="隶书"/>
          <w:color w:val="000000"/>
          <w:sz w:val="36"/>
        </w:rPr>
      </w:pPr>
      <w:r>
        <w:rPr>
          <w:rFonts w:hint="eastAsia" w:ascii="仿宋_GB2312" w:eastAsia="仿宋_GB2312"/>
          <w:color w:val="000000"/>
          <w:sz w:val="24"/>
        </w:rPr>
        <w:t>一、</w:t>
      </w:r>
      <w:r>
        <w:rPr>
          <w:rFonts w:hint="eastAsia" w:ascii="仿宋_GB2312" w:eastAsia="仿宋_GB2312"/>
          <w:b/>
          <w:bCs/>
          <w:color w:val="000000"/>
          <w:sz w:val="24"/>
        </w:rPr>
        <w:t>招标编号：2</w:t>
      </w:r>
      <w:r>
        <w:rPr>
          <w:rFonts w:ascii="仿宋_GB2312" w:eastAsia="仿宋_GB2312"/>
          <w:b/>
          <w:bCs/>
          <w:color w:val="000000"/>
          <w:sz w:val="24"/>
        </w:rPr>
        <w:t>020-10-0169</w:t>
      </w:r>
    </w:p>
    <w:p>
      <w:pPr>
        <w:spacing w:line="440" w:lineRule="exact"/>
        <w:rPr>
          <w:rFonts w:ascii="仿宋_GB2312" w:eastAsia="仿宋_GB2312"/>
          <w:color w:val="000000"/>
          <w:sz w:val="24"/>
        </w:rPr>
      </w:pPr>
      <w:r>
        <w:rPr>
          <w:rFonts w:hint="eastAsia" w:ascii="仿宋_GB2312" w:eastAsia="仿宋_GB2312"/>
          <w:color w:val="000000"/>
          <w:sz w:val="24"/>
        </w:rPr>
        <w:t>二、</w:t>
      </w:r>
      <w:r>
        <w:rPr>
          <w:rFonts w:hint="eastAsia" w:ascii="仿宋_GB2312" w:eastAsia="仿宋_GB2312"/>
          <w:b/>
          <w:color w:val="000000"/>
          <w:sz w:val="24"/>
        </w:rPr>
        <w:t>采购组织类型及方式：</w:t>
      </w:r>
      <w:r>
        <w:rPr>
          <w:rFonts w:hint="eastAsia" w:ascii="仿宋_GB2312" w:eastAsia="仿宋_GB2312"/>
          <w:color w:val="000000"/>
          <w:sz w:val="24"/>
        </w:rPr>
        <w:t>政府集中采购-公开招标</w:t>
      </w:r>
    </w:p>
    <w:p>
      <w:pPr>
        <w:spacing w:line="440" w:lineRule="exact"/>
        <w:rPr>
          <w:rFonts w:ascii="仿宋_GB2312" w:eastAsia="仿宋_GB2312"/>
          <w:color w:val="000000"/>
          <w:sz w:val="24"/>
        </w:rPr>
      </w:pPr>
      <w:r>
        <w:rPr>
          <w:rFonts w:hint="eastAsia" w:ascii="仿宋_GB2312" w:eastAsia="仿宋_GB2312"/>
          <w:color w:val="000000"/>
          <w:sz w:val="24"/>
        </w:rPr>
        <w:t>三、</w:t>
      </w:r>
      <w:r>
        <w:rPr>
          <w:rFonts w:hint="eastAsia" w:ascii="仿宋_GB2312" w:eastAsia="仿宋_GB2312"/>
          <w:b/>
          <w:bCs/>
          <w:color w:val="000000"/>
          <w:sz w:val="24"/>
        </w:rPr>
        <w:t>招标项目名称及数量</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3260"/>
        <w:gridCol w:w="2394"/>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6" w:hRule="atLeast"/>
          <w:jc w:val="center"/>
        </w:trPr>
        <w:tc>
          <w:tcPr>
            <w:tcW w:w="1717" w:type="dxa"/>
            <w:noWrap w:val="0"/>
            <w:vAlign w:val="center"/>
          </w:tcPr>
          <w:p>
            <w:pPr>
              <w:jc w:val="center"/>
              <w:rPr>
                <w:rFonts w:ascii="仿宋_GB2312" w:hAnsi="新宋体" w:eastAsia="仿宋_GB2312" w:cs="Arial"/>
                <w:b/>
                <w:color w:val="000000"/>
                <w:szCs w:val="21"/>
              </w:rPr>
            </w:pPr>
            <w:r>
              <w:rPr>
                <w:rFonts w:hint="eastAsia" w:ascii="仿宋_GB2312" w:hAnsi="新宋体" w:eastAsia="仿宋_GB2312" w:cs="宋体"/>
                <w:b/>
                <w:color w:val="000000"/>
                <w:szCs w:val="21"/>
              </w:rPr>
              <w:t>标项</w:t>
            </w:r>
          </w:p>
        </w:tc>
        <w:tc>
          <w:tcPr>
            <w:tcW w:w="3260" w:type="dxa"/>
            <w:noWrap w:val="0"/>
            <w:vAlign w:val="center"/>
          </w:tcPr>
          <w:p>
            <w:pPr>
              <w:jc w:val="center"/>
              <w:rPr>
                <w:rFonts w:ascii="仿宋_GB2312" w:hAnsi="新宋体" w:eastAsia="仿宋_GB2312" w:cs="宋体"/>
                <w:b/>
                <w:color w:val="000000"/>
                <w:szCs w:val="21"/>
              </w:rPr>
            </w:pPr>
            <w:r>
              <w:rPr>
                <w:rFonts w:hint="eastAsia" w:ascii="仿宋_GB2312" w:hAnsi="新宋体" w:eastAsia="仿宋_GB2312" w:cs="宋体"/>
                <w:b/>
                <w:color w:val="000000"/>
                <w:szCs w:val="21"/>
              </w:rPr>
              <w:t>标段名称及数量</w:t>
            </w:r>
          </w:p>
        </w:tc>
        <w:tc>
          <w:tcPr>
            <w:tcW w:w="2394" w:type="dxa"/>
            <w:noWrap w:val="0"/>
            <w:vAlign w:val="center"/>
          </w:tcPr>
          <w:p>
            <w:pPr>
              <w:jc w:val="center"/>
              <w:rPr>
                <w:rFonts w:ascii="仿宋_GB2312" w:hAnsi="新宋体" w:eastAsia="仿宋_GB2312" w:cs="Arial"/>
                <w:b/>
                <w:color w:val="000000"/>
                <w:szCs w:val="21"/>
              </w:rPr>
            </w:pPr>
            <w:r>
              <w:rPr>
                <w:rFonts w:hint="eastAsia" w:ascii="仿宋_GB2312" w:hAnsi="新宋体" w:eastAsia="仿宋_GB2312" w:cs="Arial"/>
                <w:b/>
                <w:color w:val="000000"/>
                <w:szCs w:val="21"/>
              </w:rPr>
              <w:t>预算金额或最高限价</w:t>
            </w:r>
          </w:p>
          <w:p>
            <w:pPr>
              <w:jc w:val="center"/>
              <w:rPr>
                <w:rFonts w:ascii="仿宋_GB2312" w:hAnsi="新宋体" w:eastAsia="仿宋_GB2312" w:cs="Arial"/>
                <w:b/>
                <w:color w:val="000000"/>
                <w:szCs w:val="21"/>
              </w:rPr>
            </w:pPr>
            <w:r>
              <w:rPr>
                <w:rFonts w:hint="eastAsia" w:ascii="仿宋_GB2312" w:hAnsi="新宋体" w:eastAsia="仿宋_GB2312" w:cs="Arial"/>
                <w:b/>
                <w:color w:val="000000"/>
                <w:szCs w:val="21"/>
              </w:rPr>
              <w:t>（单位：人民币元）</w:t>
            </w:r>
          </w:p>
        </w:tc>
        <w:tc>
          <w:tcPr>
            <w:tcW w:w="2383" w:type="dxa"/>
            <w:noWrap w:val="0"/>
            <w:vAlign w:val="center"/>
          </w:tcPr>
          <w:p>
            <w:pPr>
              <w:jc w:val="center"/>
              <w:rPr>
                <w:rFonts w:ascii="仿宋_GB2312" w:hAnsi="新宋体" w:eastAsia="仿宋_GB2312" w:cs="Arial"/>
                <w:b/>
                <w:color w:val="000000"/>
                <w:szCs w:val="21"/>
              </w:rPr>
            </w:pPr>
            <w:r>
              <w:rPr>
                <w:rFonts w:hint="eastAsia" w:ascii="仿宋_GB2312" w:hAnsi="新宋体" w:eastAsia="仿宋_GB2312" w:cs="Arial"/>
                <w:b/>
                <w:color w:val="000000"/>
                <w:szCs w:val="21"/>
              </w:rPr>
              <w:t>投标保证金（单位：人民币元）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717" w:type="dxa"/>
            <w:noWrap w:val="0"/>
            <w:vAlign w:val="center"/>
          </w:tcPr>
          <w:p>
            <w:pPr>
              <w:spacing w:line="440" w:lineRule="exact"/>
              <w:jc w:val="center"/>
              <w:rPr>
                <w:rFonts w:ascii="仿宋_GB2312" w:eastAsia="仿宋_GB2312"/>
                <w:color w:val="000000"/>
                <w:szCs w:val="21"/>
              </w:rPr>
            </w:pPr>
            <w:r>
              <w:rPr>
                <w:rFonts w:ascii="仿宋_GB2312" w:eastAsia="仿宋_GB2312"/>
                <w:color w:val="000000"/>
                <w:szCs w:val="21"/>
              </w:rPr>
              <w:t>2020-</w:t>
            </w:r>
            <w:r>
              <w:rPr>
                <w:rFonts w:hint="eastAsia" w:ascii="仿宋_GB2312" w:eastAsia="仿宋_GB2312"/>
                <w:color w:val="000000"/>
                <w:szCs w:val="21"/>
              </w:rPr>
              <w:t>1</w:t>
            </w:r>
            <w:r>
              <w:rPr>
                <w:rFonts w:ascii="仿宋_GB2312" w:eastAsia="仿宋_GB2312"/>
                <w:color w:val="000000"/>
                <w:szCs w:val="21"/>
              </w:rPr>
              <w:t>0-0169-1</w:t>
            </w:r>
          </w:p>
        </w:tc>
        <w:tc>
          <w:tcPr>
            <w:tcW w:w="3260" w:type="dxa"/>
            <w:noWrap w:val="0"/>
            <w:vAlign w:val="center"/>
          </w:tcPr>
          <w:p>
            <w:pPr>
              <w:spacing w:line="440" w:lineRule="exact"/>
              <w:jc w:val="center"/>
              <w:rPr>
                <w:rFonts w:ascii="仿宋_GB2312" w:eastAsia="仿宋_GB2312"/>
                <w:color w:val="000000"/>
                <w:szCs w:val="21"/>
              </w:rPr>
            </w:pPr>
            <w:r>
              <w:rPr>
                <w:rFonts w:hint="eastAsia" w:ascii="仿宋_GB2312" w:eastAsia="仿宋_GB2312"/>
                <w:color w:val="000000"/>
                <w:szCs w:val="21"/>
              </w:rPr>
              <w:t>模型中心建设项目</w:t>
            </w:r>
          </w:p>
        </w:tc>
        <w:tc>
          <w:tcPr>
            <w:tcW w:w="2394" w:type="dxa"/>
            <w:noWrap w:val="0"/>
            <w:vAlign w:val="center"/>
          </w:tcPr>
          <w:p>
            <w:pPr>
              <w:spacing w:line="440" w:lineRule="exact"/>
              <w:jc w:val="center"/>
              <w:rPr>
                <w:rFonts w:ascii="仿宋_GB2312" w:hAnsi="宋体" w:eastAsia="仿宋_GB2312"/>
                <w:color w:val="000000"/>
                <w:szCs w:val="21"/>
              </w:rPr>
            </w:pPr>
            <w:r>
              <w:rPr>
                <w:rFonts w:hint="eastAsia" w:ascii="仿宋_GB2312" w:eastAsia="仿宋_GB2312"/>
                <w:color w:val="000000"/>
                <w:szCs w:val="21"/>
              </w:rPr>
              <w:t>￥</w:t>
            </w:r>
            <w:r>
              <w:rPr>
                <w:rFonts w:ascii="仿宋_GB2312" w:eastAsia="仿宋_GB2312"/>
                <w:color w:val="000000"/>
                <w:szCs w:val="21"/>
              </w:rPr>
              <w:t>903895</w:t>
            </w:r>
            <w:r>
              <w:rPr>
                <w:rFonts w:hint="eastAsia" w:ascii="仿宋_GB2312" w:eastAsia="仿宋_GB2312"/>
                <w:color w:val="000000"/>
                <w:szCs w:val="21"/>
              </w:rPr>
              <w:t>.00</w:t>
            </w:r>
          </w:p>
        </w:tc>
        <w:tc>
          <w:tcPr>
            <w:tcW w:w="2383" w:type="dxa"/>
            <w:noWrap w:val="0"/>
            <w:vAlign w:val="center"/>
          </w:tcPr>
          <w:p>
            <w:pPr>
              <w:spacing w:line="440" w:lineRule="exact"/>
              <w:jc w:val="center"/>
              <w:rPr>
                <w:rFonts w:ascii="仿宋_GB2312" w:hAnsi="宋体" w:eastAsia="仿宋_GB2312"/>
                <w:color w:val="000000"/>
                <w:szCs w:val="21"/>
              </w:rPr>
            </w:pPr>
            <w:r>
              <w:rPr>
                <w:rFonts w:hint="eastAsia" w:ascii="仿宋_GB2312" w:eastAsia="仿宋_GB2312"/>
                <w:color w:val="00000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717" w:type="dxa"/>
            <w:noWrap w:val="0"/>
            <w:vAlign w:val="center"/>
          </w:tcPr>
          <w:p>
            <w:pPr>
              <w:spacing w:line="440" w:lineRule="exact"/>
              <w:jc w:val="center"/>
              <w:rPr>
                <w:rFonts w:ascii="仿宋_GB2312" w:eastAsia="仿宋_GB2312"/>
                <w:color w:val="000000"/>
                <w:szCs w:val="21"/>
              </w:rPr>
            </w:pPr>
            <w:r>
              <w:rPr>
                <w:rFonts w:ascii="仿宋_GB2312" w:eastAsia="仿宋_GB2312"/>
                <w:color w:val="000000"/>
                <w:szCs w:val="21"/>
              </w:rPr>
              <w:t>2020-10-0169-2</w:t>
            </w:r>
          </w:p>
        </w:tc>
        <w:tc>
          <w:tcPr>
            <w:tcW w:w="3260" w:type="dxa"/>
            <w:noWrap w:val="0"/>
            <w:vAlign w:val="center"/>
          </w:tcPr>
          <w:p>
            <w:pPr>
              <w:spacing w:line="440" w:lineRule="exact"/>
              <w:jc w:val="center"/>
              <w:rPr>
                <w:rFonts w:hint="eastAsia" w:ascii="仿宋_GB2312" w:eastAsia="仿宋_GB2312"/>
                <w:color w:val="000000"/>
                <w:szCs w:val="21"/>
              </w:rPr>
            </w:pPr>
            <w:r>
              <w:rPr>
                <w:rFonts w:hint="eastAsia" w:ascii="仿宋_GB2312" w:eastAsia="仿宋_GB2312"/>
                <w:color w:val="000000"/>
                <w:szCs w:val="21"/>
              </w:rPr>
              <w:t>钉钉端及办公平台升级维护项目</w:t>
            </w:r>
          </w:p>
        </w:tc>
        <w:tc>
          <w:tcPr>
            <w:tcW w:w="2394" w:type="dxa"/>
            <w:noWrap w:val="0"/>
            <w:vAlign w:val="center"/>
          </w:tcPr>
          <w:p>
            <w:pPr>
              <w:spacing w:line="440" w:lineRule="exact"/>
              <w:jc w:val="center"/>
              <w:rPr>
                <w:rFonts w:hint="eastAsia" w:ascii="仿宋_GB2312" w:eastAsia="仿宋_GB2312"/>
                <w:color w:val="000000"/>
                <w:szCs w:val="21"/>
              </w:rPr>
            </w:pPr>
            <w:r>
              <w:rPr>
                <w:rFonts w:hint="eastAsia" w:ascii="仿宋_GB2312" w:eastAsia="仿宋_GB2312"/>
                <w:color w:val="000000"/>
                <w:szCs w:val="21"/>
              </w:rPr>
              <w:t>￥</w:t>
            </w:r>
            <w:r>
              <w:rPr>
                <w:rFonts w:ascii="仿宋_GB2312" w:eastAsia="仿宋_GB2312"/>
                <w:color w:val="000000"/>
                <w:szCs w:val="21"/>
              </w:rPr>
              <w:t>203135</w:t>
            </w:r>
            <w:r>
              <w:rPr>
                <w:rFonts w:hint="eastAsia" w:ascii="仿宋_GB2312" w:eastAsia="仿宋_GB2312"/>
                <w:color w:val="000000"/>
                <w:szCs w:val="21"/>
              </w:rPr>
              <w:t>.00</w:t>
            </w:r>
          </w:p>
        </w:tc>
        <w:tc>
          <w:tcPr>
            <w:tcW w:w="2383" w:type="dxa"/>
            <w:noWrap w:val="0"/>
            <w:vAlign w:val="center"/>
          </w:tcPr>
          <w:p>
            <w:pPr>
              <w:spacing w:line="440" w:lineRule="exact"/>
              <w:jc w:val="center"/>
              <w:rPr>
                <w:rFonts w:hint="eastAsia" w:ascii="仿宋_GB2312" w:eastAsia="仿宋_GB2312"/>
                <w:color w:val="000000"/>
                <w:szCs w:val="21"/>
              </w:rPr>
            </w:pPr>
            <w:r>
              <w:rPr>
                <w:rFonts w:hint="eastAsia" w:ascii="仿宋_GB2312" w:eastAsia="仿宋_GB2312"/>
                <w:color w:val="000000"/>
                <w:szCs w:val="21"/>
              </w:rPr>
              <w:t>￥0.00</w:t>
            </w:r>
          </w:p>
        </w:tc>
      </w:tr>
    </w:tbl>
    <w:p>
      <w:pPr>
        <w:spacing w:line="440" w:lineRule="exact"/>
        <w:rPr>
          <w:rFonts w:ascii="仿宋_GB2312" w:eastAsia="仿宋_GB2312"/>
          <w:color w:val="000000"/>
          <w:sz w:val="24"/>
        </w:rPr>
      </w:pPr>
      <w:r>
        <w:rPr>
          <w:rFonts w:hint="eastAsia" w:ascii="仿宋_GB2312" w:eastAsia="仿宋_GB2312"/>
          <w:b/>
          <w:color w:val="000000"/>
          <w:sz w:val="24"/>
        </w:rPr>
        <w:t>四、</w:t>
      </w:r>
      <w:r>
        <w:rPr>
          <w:rFonts w:hint="eastAsia" w:ascii="仿宋_GB2312" w:eastAsia="仿宋_GB2312"/>
          <w:b/>
          <w:bCs/>
          <w:color w:val="000000"/>
          <w:sz w:val="24"/>
        </w:rPr>
        <w:t>供应商的资格要求</w:t>
      </w:r>
    </w:p>
    <w:p>
      <w:pPr>
        <w:spacing w:line="440" w:lineRule="exact"/>
        <w:ind w:firstLine="540" w:firstLineChars="225"/>
        <w:rPr>
          <w:rFonts w:ascii="仿宋_GB2312" w:hAnsi="宋体" w:eastAsia="仿宋_GB2312" w:cs="宋体"/>
          <w:color w:val="000000"/>
          <w:kern w:val="0"/>
          <w:sz w:val="24"/>
        </w:rPr>
      </w:pPr>
      <w:r>
        <w:rPr>
          <w:rFonts w:hint="eastAsia" w:ascii="仿宋_GB2312" w:hAnsi="宋体" w:eastAsia="仿宋_GB2312" w:cs="宋体"/>
          <w:color w:val="000000"/>
          <w:kern w:val="0"/>
          <w:sz w:val="24"/>
        </w:rPr>
        <w:t>1.符合政府采购法第二十二条之供应商资格规定。</w:t>
      </w:r>
    </w:p>
    <w:p>
      <w:pPr>
        <w:spacing w:line="440" w:lineRule="exact"/>
        <w:ind w:firstLine="540" w:firstLineChars="225"/>
        <w:rPr>
          <w:rFonts w:ascii="仿宋_GB2312" w:hAnsi="宋体" w:eastAsia="仿宋_GB2312" w:cs="宋体"/>
          <w:color w:val="000000"/>
          <w:kern w:val="0"/>
          <w:sz w:val="24"/>
        </w:rPr>
      </w:pPr>
      <w:r>
        <w:rPr>
          <w:rFonts w:hint="eastAsia" w:ascii="仿宋_GB2312" w:hAnsi="宋体" w:eastAsia="仿宋_GB2312" w:cs="宋体"/>
          <w:color w:val="000000"/>
          <w:kern w:val="0"/>
          <w:sz w:val="24"/>
        </w:rPr>
        <w:t>2.未被“信用中国”（www.creditchina.gov.cn）、中国政府采购网（www.ccgp.gov.cn）列入失信被执行人、重大税收违法案件当事人名单、政府采购严重违法失信行为记录名单。</w:t>
      </w:r>
    </w:p>
    <w:p>
      <w:pPr>
        <w:spacing w:line="440" w:lineRule="exact"/>
        <w:ind w:firstLine="540" w:firstLineChars="225"/>
        <w:rPr>
          <w:rFonts w:ascii="仿宋_GB2312" w:hAnsi="宋体" w:eastAsia="仿宋_GB2312" w:cs="宋体"/>
          <w:color w:val="000000"/>
          <w:kern w:val="0"/>
          <w:sz w:val="24"/>
        </w:rPr>
      </w:pPr>
      <w:r>
        <w:rPr>
          <w:rFonts w:hint="eastAsia" w:ascii="仿宋_GB2312" w:hAnsi="宋体" w:eastAsia="仿宋_GB2312" w:cs="宋体"/>
          <w:color w:val="000000"/>
          <w:kern w:val="0"/>
          <w:sz w:val="24"/>
        </w:rPr>
        <w:t>3.不接受联合体投标。</w:t>
      </w:r>
    </w:p>
    <w:p>
      <w:pPr>
        <w:spacing w:line="440" w:lineRule="exact"/>
        <w:rPr>
          <w:rFonts w:ascii="仿宋_GB2312" w:eastAsia="仿宋_GB2312"/>
          <w:color w:val="000000"/>
          <w:sz w:val="24"/>
        </w:rPr>
      </w:pPr>
      <w:r>
        <w:rPr>
          <w:rFonts w:hint="eastAsia" w:ascii="仿宋_GB2312" w:eastAsia="仿宋_GB2312"/>
          <w:b/>
          <w:bCs/>
          <w:color w:val="000000"/>
          <w:sz w:val="24"/>
        </w:rPr>
        <w:t>五、采购人联系方式</w:t>
      </w:r>
      <w:r>
        <w:rPr>
          <w:rFonts w:hint="eastAsia" w:ascii="仿宋_GB2312" w:eastAsia="仿宋_GB2312"/>
          <w:color w:val="000000"/>
          <w:sz w:val="24"/>
        </w:rPr>
        <w:t>：</w:t>
      </w:r>
      <w:r>
        <w:rPr>
          <w:rFonts w:hint="eastAsia" w:ascii="仿宋_GB2312" w:hAnsi="宋体" w:eastAsia="仿宋_GB2312"/>
          <w:bCs/>
          <w:color w:val="000000"/>
          <w:sz w:val="24"/>
        </w:rPr>
        <w:t>绍兴市公安局，李红存，0</w:t>
      </w:r>
      <w:r>
        <w:rPr>
          <w:rFonts w:ascii="仿宋_GB2312" w:hAnsi="宋体" w:eastAsia="仿宋_GB2312"/>
          <w:bCs/>
          <w:color w:val="000000"/>
          <w:sz w:val="24"/>
        </w:rPr>
        <w:t>575-</w:t>
      </w:r>
      <w:r>
        <w:rPr>
          <w:rFonts w:hint="eastAsia" w:ascii="仿宋_GB2312" w:hAnsi="宋体" w:eastAsia="仿宋_GB2312"/>
          <w:bCs/>
          <w:color w:val="000000"/>
          <w:sz w:val="24"/>
        </w:rPr>
        <w:t>88582381。</w:t>
      </w:r>
    </w:p>
    <w:p>
      <w:pPr>
        <w:autoSpaceDE w:val="0"/>
        <w:autoSpaceDN w:val="0"/>
        <w:rPr>
          <w:rFonts w:ascii="仿宋_GB2312" w:hAnsi="隶书" w:eastAsia="仿宋_GB2312" w:cs="隶书"/>
          <w:b/>
          <w:bCs/>
          <w:color w:val="000000"/>
          <w:kern w:val="0"/>
          <w:sz w:val="24"/>
          <w:lang w:val="zh-CN"/>
        </w:rPr>
      </w:pPr>
      <w:r>
        <w:rPr>
          <w:rFonts w:hint="eastAsia" w:ascii="仿宋_GB2312" w:hAnsi="宋体" w:eastAsia="仿宋_GB2312"/>
          <w:b/>
          <w:color w:val="000000"/>
          <w:sz w:val="24"/>
        </w:rPr>
        <w:t>六、招标项目设备名称及数量：</w:t>
      </w:r>
    </w:p>
    <w:p>
      <w:pPr>
        <w:spacing w:line="440" w:lineRule="exact"/>
        <w:ind w:firstLine="472" w:firstLineChars="196"/>
        <w:rPr>
          <w:rFonts w:hint="eastAsia" w:ascii="仿宋_GB2312" w:eastAsia="仿宋_GB2312"/>
          <w:b/>
          <w:color w:val="000000"/>
          <w:sz w:val="24"/>
        </w:rPr>
      </w:pPr>
      <w:r>
        <w:rPr>
          <w:rFonts w:hint="eastAsia" w:ascii="仿宋_GB2312" w:eastAsia="仿宋_GB2312"/>
          <w:b/>
          <w:color w:val="000000"/>
          <w:sz w:val="24"/>
          <w:bdr w:val="single" w:color="auto" w:sz="4" w:space="0"/>
        </w:rPr>
        <w:t>01标</w:t>
      </w:r>
      <w:r>
        <w:rPr>
          <w:rFonts w:hint="eastAsia" w:ascii="仿宋_GB2312" w:eastAsia="仿宋_GB2312"/>
          <w:b/>
          <w:color w:val="000000"/>
          <w:sz w:val="24"/>
        </w:rPr>
        <w:t>模型中心建设项目</w:t>
      </w:r>
    </w:p>
    <w:p>
      <w:pPr>
        <w:pStyle w:val="24"/>
        <w:numPr>
          <w:ilvl w:val="1"/>
          <w:numId w:val="2"/>
        </w:numPr>
        <w:spacing w:before="156" w:after="156"/>
        <w:ind w:left="525"/>
        <w:rPr>
          <w:rFonts w:hint="eastAsia" w:ascii="仿宋_GB2312" w:hAnsi="仿宋" w:eastAsia="仿宋_GB2312"/>
          <w:color w:val="000000"/>
          <w:sz w:val="24"/>
          <w:szCs w:val="24"/>
        </w:rPr>
      </w:pPr>
      <w:r>
        <w:rPr>
          <w:rFonts w:hint="eastAsia" w:ascii="仿宋_GB2312" w:hAnsi="仿宋" w:eastAsia="仿宋_GB2312"/>
          <w:color w:val="000000"/>
          <w:sz w:val="24"/>
          <w:szCs w:val="24"/>
        </w:rPr>
        <w:t>建设背景</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随着国家公安信息化的发展、绍兴公安自身**信息化的发展，绍兴市公安局现有信息化实战平台已不足以支撑目前民警的实战需求。各警种对业务逻辑熟悉但对数据资源熟悉程度不够，模型开发人员具备专业技能但又不熟悉公安业务逻辑，不能很好的开发出符合业务场景需求的模型，开发成本也较高。</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另一方面，随着“云上公安.智能防控”大数据战略的推进，全省一朵云平台已汇聚全省多类数据资源，各类数据正源源不断的汇聚到云上，全省各地也开展了各类模型的开发应用。目前迫切需要一个可视化的模型生成工具，能够充分利用省市信息化建设成果及数据资源，可以让各警种业务人员自主开展模型研发。强化绍兴公安数据分析挖掘的能力，为公安民警落地实战提供助力。</w:t>
      </w:r>
    </w:p>
    <w:p>
      <w:pPr>
        <w:pStyle w:val="24"/>
        <w:numPr>
          <w:ilvl w:val="1"/>
          <w:numId w:val="2"/>
        </w:numPr>
        <w:spacing w:before="156" w:after="156"/>
        <w:ind w:left="525"/>
        <w:rPr>
          <w:rFonts w:hint="eastAsia" w:ascii="仿宋_GB2312" w:hAnsi="仿宋" w:eastAsia="仿宋_GB2312"/>
          <w:color w:val="000000"/>
          <w:sz w:val="24"/>
          <w:szCs w:val="24"/>
        </w:rPr>
      </w:pPr>
      <w:r>
        <w:rPr>
          <w:rFonts w:hint="eastAsia" w:ascii="仿宋_GB2312" w:hAnsi="仿宋" w:eastAsia="仿宋_GB2312"/>
          <w:color w:val="000000"/>
          <w:sz w:val="24"/>
          <w:szCs w:val="24"/>
        </w:rPr>
        <w:t>建设内容</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基于绍兴市公安局信息化实战平台及“云上公安”现有建设成果，补充建设智能**模型推演中心，形成一个直观可视的模型推演室和碰撞画布，通过预设一定数量的基础算法模型作为算子，集成现有模型建设成果及各类基础数据源，让熟悉业务的民警能够根据自己的业务逻辑选择各类数据源设置条件开展算子建设，也可根据业务需要选择算子结合自主调配的数据源，在可视化界面进行业务的推演和交互，自主生成模型，降低模型建设的成本，集全警的智慧，共同开展基础算法（算子）和业务模型建设，建成的各类算子和业务模型供全警共享。</w:t>
      </w:r>
    </w:p>
    <w:p>
      <w:pPr>
        <w:pStyle w:val="24"/>
        <w:numPr>
          <w:ilvl w:val="1"/>
          <w:numId w:val="2"/>
        </w:numPr>
        <w:spacing w:before="156" w:beforeLines="0" w:after="156" w:afterLines="0"/>
        <w:ind w:left="525" w:leftChars="50" w:hanging="420"/>
        <w:rPr>
          <w:rFonts w:hint="eastAsia" w:ascii="仿宋_GB2312" w:hAnsi="仿宋" w:eastAsia="仿宋_GB2312"/>
          <w:color w:val="000000"/>
          <w:sz w:val="24"/>
          <w:szCs w:val="24"/>
        </w:rPr>
      </w:pPr>
      <w:r>
        <w:rPr>
          <w:rFonts w:hint="eastAsia" w:ascii="仿宋_GB2312" w:hAnsi="仿宋" w:eastAsia="仿宋_GB2312"/>
          <w:color w:val="000000"/>
          <w:sz w:val="24"/>
          <w:szCs w:val="24"/>
        </w:rPr>
        <w:t>系统建设需求</w:t>
      </w:r>
    </w:p>
    <w:p>
      <w:pPr>
        <w:pStyle w:val="20"/>
        <w:spacing w:before="156" w:after="156"/>
        <w:ind w:left="630"/>
        <w:rPr>
          <w:rFonts w:hint="eastAsia" w:ascii="仿宋_GB2312" w:hAnsi="仿宋" w:eastAsia="仿宋_GB2312"/>
          <w:color w:val="000000"/>
          <w:sz w:val="24"/>
          <w:szCs w:val="24"/>
        </w:rPr>
      </w:pPr>
      <w:r>
        <w:rPr>
          <w:rFonts w:hint="eastAsia" w:ascii="仿宋_GB2312" w:hAnsi="仿宋" w:eastAsia="仿宋_GB2312"/>
          <w:color w:val="000000"/>
          <w:sz w:val="24"/>
          <w:szCs w:val="24"/>
        </w:rPr>
        <w:t>模型算子</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本次项目新建15个模型算子，用于实战模型推演。</w:t>
      </w:r>
    </w:p>
    <w:p>
      <w:pPr>
        <w:pStyle w:val="22"/>
        <w:numPr>
          <w:ilvl w:val="3"/>
          <w:numId w:val="2"/>
        </w:numPr>
        <w:spacing w:before="156" w:after="156"/>
        <w:ind w:left="315"/>
        <w:rPr>
          <w:rFonts w:hint="eastAsia" w:ascii="仿宋_GB2312" w:eastAsia="仿宋_GB2312"/>
          <w:color w:val="000000"/>
          <w:sz w:val="24"/>
          <w:szCs w:val="24"/>
        </w:rPr>
      </w:pPr>
      <w:r>
        <w:rPr>
          <w:rFonts w:hint="eastAsia" w:ascii="仿宋_GB2312" w:eastAsia="仿宋_GB2312"/>
          <w:color w:val="000000"/>
          <w:sz w:val="24"/>
          <w:szCs w:val="24"/>
        </w:rPr>
        <w:t>数据清洗</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接入建模所需的各类数据资源，按照身份信息、手机、案件前科、轨迹等不同类型进行清洗对应。清洗完成的数据整理成多个专题数据库。接入的数据包括：常住人口基本信息、医院就医信息、社保记录、快递数据、网吧上网数据、MAC轨迹、车辆卡口、人脸数据、车辆信息、居民用水、燃气数据、旅馆入住记录等在内的60类数据资源。</w:t>
      </w:r>
    </w:p>
    <w:p>
      <w:pPr>
        <w:pStyle w:val="22"/>
        <w:numPr>
          <w:ilvl w:val="3"/>
          <w:numId w:val="2"/>
        </w:numPr>
        <w:spacing w:before="156" w:after="156"/>
        <w:ind w:left="315"/>
        <w:rPr>
          <w:rFonts w:hint="eastAsia" w:ascii="仿宋_GB2312" w:eastAsia="仿宋_GB2312"/>
          <w:color w:val="000000"/>
          <w:sz w:val="24"/>
          <w:szCs w:val="24"/>
        </w:rPr>
      </w:pPr>
      <w:r>
        <w:rPr>
          <w:rFonts w:hint="eastAsia" w:ascii="仿宋_GB2312" w:eastAsia="仿宋_GB2312"/>
          <w:color w:val="000000"/>
          <w:sz w:val="24"/>
          <w:szCs w:val="24"/>
        </w:rPr>
        <w:t>数据建模</w:t>
      </w:r>
    </w:p>
    <w:p>
      <w:pPr>
        <w:pStyle w:val="19"/>
        <w:spacing w:before="156" w:after="156"/>
        <w:rPr>
          <w:rFonts w:hint="eastAsia" w:ascii="仿宋_GB2312" w:eastAsia="仿宋_GB2312"/>
          <w:color w:val="000000"/>
          <w:sz w:val="24"/>
          <w:szCs w:val="24"/>
        </w:rPr>
      </w:pPr>
      <w:r>
        <w:rPr>
          <w:rFonts w:hint="eastAsia" w:ascii="仿宋_GB2312" w:eastAsia="仿宋_GB2312"/>
          <w:color w:val="000000"/>
          <w:sz w:val="24"/>
          <w:szCs w:val="24"/>
        </w:rPr>
        <w:t>Idmapping</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IDMapping模型用于打通人与实体（手机号/车辆/等其他关注实体），实体与实体之间的关联关系，把碎片化的数据全部串联起来，消除数据孤岛，提供一个用户的完整信息视图，快速分析人员实体关系。实现给定指定人员身份证获取人员名下可能关联的所有物品或给定物品id查询该物品可能的关联人员和物品归属。</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完成数据建模后，须根据绍兴市公安局实际数据情况，对模型产出的结果数据进行梳理验证，根据结果情况对模型进行调优，保证模型结果的准确性。</w:t>
      </w:r>
    </w:p>
    <w:p>
      <w:pPr>
        <w:pStyle w:val="19"/>
        <w:spacing w:before="156" w:after="156"/>
        <w:rPr>
          <w:rFonts w:hint="eastAsia" w:ascii="仿宋_GB2312" w:eastAsia="仿宋_GB2312"/>
          <w:color w:val="000000"/>
          <w:sz w:val="24"/>
          <w:szCs w:val="24"/>
        </w:rPr>
      </w:pPr>
      <w:r>
        <w:rPr>
          <w:rFonts w:hint="eastAsia" w:ascii="仿宋_GB2312" w:eastAsia="仿宋_GB2312"/>
          <w:color w:val="000000"/>
          <w:sz w:val="24"/>
          <w:szCs w:val="24"/>
        </w:rPr>
        <w:t>落脚点</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基于近三个月实体（车辆、mac、电瓶车、手机）的轨迹数据，分析实体的活动规律，计算出实体的动态历史落脚点，帮助侦查员快速分析出实体使用人的居住地、工作地、主要活动区域等。</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完成数据建模后，须根据绍兴市公安局实际数据情况，对模型产出的结果数据进行梳理验证，根据结果情况对模型进行调优，保证模型结果的准确性。</w:t>
      </w:r>
    </w:p>
    <w:p>
      <w:pPr>
        <w:pStyle w:val="19"/>
        <w:spacing w:before="156" w:after="156"/>
        <w:rPr>
          <w:rFonts w:hint="eastAsia" w:ascii="仿宋_GB2312" w:eastAsia="仿宋_GB2312"/>
          <w:color w:val="000000"/>
          <w:sz w:val="24"/>
          <w:szCs w:val="24"/>
        </w:rPr>
      </w:pPr>
      <w:r>
        <w:rPr>
          <w:rFonts w:hint="eastAsia" w:ascii="仿宋_GB2312" w:eastAsia="仿宋_GB2312"/>
          <w:color w:val="000000"/>
          <w:sz w:val="24"/>
          <w:szCs w:val="24"/>
        </w:rPr>
        <w:t>亲密度</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亲密度模型通过常口、暂口、婚姻登记、民航、铁路、旅馆、网吧、租赁、交通违章等数据，计算表示任意两个人关系亲密程度的得分，得分越高表示亲密程度越高。基于人员关系亲密度构建人员关系网络，在关系网络之上通过计算人员二度关系来增强人员间的亲密度得分。可以展现历史人际关系（行为轨迹）互动最密切的人人好友关系图，为我们提供疑似团伙、隐性人员的分析基础。</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完成数据建模后，须根据绍兴市公安局实际数据情况，对模型产出的结果数据进行梳理验证，根据结果情况对模型进行调优，保证模型结果的准确性。</w:t>
      </w:r>
    </w:p>
    <w:p>
      <w:pPr>
        <w:pStyle w:val="19"/>
        <w:spacing w:before="156" w:after="156"/>
        <w:rPr>
          <w:rFonts w:hint="eastAsia" w:ascii="仿宋_GB2312" w:eastAsia="仿宋_GB2312"/>
          <w:color w:val="000000"/>
          <w:sz w:val="24"/>
          <w:szCs w:val="24"/>
        </w:rPr>
      </w:pPr>
      <w:r>
        <w:rPr>
          <w:rFonts w:hint="eastAsia" w:ascii="仿宋_GB2312" w:eastAsia="仿宋_GB2312"/>
          <w:color w:val="000000"/>
          <w:sz w:val="24"/>
          <w:szCs w:val="24"/>
        </w:rPr>
        <w:t>人户分离模型</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通过常住人口、小区信息、快递、旅馆入住等多维度的登记类地址信息碰撞轨迹类车辆、人脸、mac等数据，发现人员户籍与常住地不同的情况。</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完成数据建模后，须根据绍兴市公安局实际数据情况，对模型产出的结果数据进行梳理验证，根据结果情况对模型进行调优，保证模型结果的准确性。</w:t>
      </w:r>
    </w:p>
    <w:p>
      <w:pPr>
        <w:pStyle w:val="19"/>
        <w:spacing w:before="156" w:after="156"/>
        <w:rPr>
          <w:rFonts w:hint="eastAsia" w:ascii="仿宋_GB2312" w:eastAsia="仿宋_GB2312"/>
          <w:color w:val="000000"/>
          <w:sz w:val="24"/>
          <w:szCs w:val="24"/>
        </w:rPr>
      </w:pPr>
      <w:r>
        <w:rPr>
          <w:rFonts w:hint="eastAsia" w:ascii="仿宋_GB2312" w:eastAsia="仿宋_GB2312"/>
          <w:color w:val="000000"/>
          <w:sz w:val="24"/>
          <w:szCs w:val="24"/>
        </w:rPr>
        <w:t>异常空置房模型</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通过分析居民用水用电以及快递等信息，来发现居民此段时间未入住下一段时间入住的规律，进而得出空置房屋有人入住的可能性。</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完成数据建模后，须根据绍兴市公安局实际数据情况，对模型产出的结果数据进行梳理验证，根据结果情况对模型进行调优，保证模型结果的准确性。</w:t>
      </w:r>
    </w:p>
    <w:p>
      <w:pPr>
        <w:pStyle w:val="19"/>
        <w:spacing w:before="156" w:after="156"/>
        <w:rPr>
          <w:rFonts w:hint="eastAsia" w:ascii="仿宋_GB2312" w:eastAsia="仿宋_GB2312"/>
          <w:color w:val="000000"/>
          <w:sz w:val="24"/>
          <w:szCs w:val="24"/>
        </w:rPr>
      </w:pPr>
      <w:r>
        <w:rPr>
          <w:rFonts w:hint="eastAsia" w:ascii="仿宋_GB2312" w:eastAsia="仿宋_GB2312"/>
          <w:color w:val="000000"/>
          <w:sz w:val="24"/>
          <w:szCs w:val="24"/>
        </w:rPr>
        <w:t>流动人口小区出入预警</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根据常住人口、暂住人口、小区信息等多维度的登记类地址碰撞轨迹类人脸和mac数据，找到非常暂人员在绍兴市的暂住位置，辅助其进行暂住登记。</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完成数据建模后，须根据绍兴市公安局实际数据情况，对模型产出的结果数据进行梳理验证，根据结果情况对模型进行调优，保证模型结果的准确性。</w:t>
      </w:r>
    </w:p>
    <w:p>
      <w:pPr>
        <w:pStyle w:val="19"/>
        <w:spacing w:before="156" w:after="156"/>
        <w:rPr>
          <w:rFonts w:hint="eastAsia" w:ascii="仿宋_GB2312" w:eastAsia="仿宋_GB2312"/>
          <w:color w:val="000000"/>
          <w:sz w:val="24"/>
          <w:szCs w:val="24"/>
        </w:rPr>
      </w:pPr>
      <w:r>
        <w:rPr>
          <w:rFonts w:hint="eastAsia" w:ascii="仿宋_GB2312" w:eastAsia="仿宋_GB2312"/>
          <w:color w:val="000000"/>
          <w:sz w:val="24"/>
          <w:szCs w:val="24"/>
        </w:rPr>
        <w:t xml:space="preserve">疑似碰瓷骗保人员发现 </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通过110接警，110反馈，110处警等数据进行综合分析，发现存在多次相似案事件的人员，进而推断疑似碰瓷骗保人员。</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完成数据建模后，须根据绍兴市公安局实际数据情况，对模型产出的结果数据进行梳理验证，根据结果情况对模型进行调优，保证模型结果的准确性。</w:t>
      </w:r>
    </w:p>
    <w:p>
      <w:pPr>
        <w:pStyle w:val="19"/>
        <w:spacing w:before="156" w:after="156"/>
        <w:rPr>
          <w:rFonts w:hint="eastAsia" w:ascii="仿宋_GB2312" w:eastAsia="仿宋_GB2312"/>
          <w:color w:val="000000"/>
          <w:sz w:val="24"/>
          <w:szCs w:val="24"/>
        </w:rPr>
      </w:pPr>
      <w:r>
        <w:rPr>
          <w:rFonts w:hint="eastAsia" w:ascii="仿宋_GB2312" w:eastAsia="仿宋_GB2312"/>
          <w:color w:val="000000"/>
          <w:sz w:val="24"/>
          <w:szCs w:val="24"/>
        </w:rPr>
        <w:t>套牌车发现</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根据车辆卡口数据及车辆违章等数据的碰撞比对，发现车辆的异常轨迹信息，进而推断出套牌车辆。</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完成数据建模后，须根据绍兴市公安局实际数据情况，对模型产出的结果数据进行梳理验证，根据结果情况对模型进行调优，保证模型结果的准确性。</w:t>
      </w:r>
    </w:p>
    <w:p>
      <w:pPr>
        <w:pStyle w:val="19"/>
        <w:spacing w:before="156" w:after="156"/>
        <w:rPr>
          <w:rFonts w:hint="eastAsia" w:ascii="仿宋_GB2312" w:eastAsia="仿宋_GB2312"/>
          <w:color w:val="000000"/>
          <w:sz w:val="24"/>
          <w:szCs w:val="24"/>
        </w:rPr>
      </w:pPr>
      <w:r>
        <w:rPr>
          <w:rFonts w:hint="eastAsia" w:ascii="仿宋_GB2312" w:eastAsia="仿宋_GB2312"/>
          <w:color w:val="000000"/>
          <w:sz w:val="24"/>
          <w:szCs w:val="24"/>
        </w:rPr>
        <w:t>疑似酒店入住异常</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根据已有的违法犯罪人员信息、全国在逃人员信息以及重点人员信息等，整理人员标签信息。</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根据人员入住酒店记录，可以统计出酒店各类入住率（前科入住率、钟点房入住率、后半夜入住率、前科频繁入住等）情况。</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对完善的酒店信息的各种入住率，基于自定义阈值\动态阈值、正态分布异常识别筛选出异常的酒店。</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完成数据建模后，须根据绍兴市公安局实际数据情况，对模型产出的结果数据进行梳理验证，根据结果情况对模型进行调优，保证模型结果的准确性。</w:t>
      </w:r>
    </w:p>
    <w:p>
      <w:pPr>
        <w:pStyle w:val="19"/>
        <w:spacing w:before="156" w:after="156"/>
        <w:rPr>
          <w:rFonts w:hint="eastAsia" w:ascii="仿宋_GB2312" w:eastAsia="仿宋_GB2312"/>
          <w:color w:val="000000"/>
          <w:sz w:val="24"/>
          <w:szCs w:val="24"/>
        </w:rPr>
      </w:pPr>
      <w:r>
        <w:rPr>
          <w:rFonts w:hint="eastAsia" w:ascii="仿宋_GB2312" w:eastAsia="仿宋_GB2312"/>
          <w:color w:val="000000"/>
          <w:sz w:val="24"/>
          <w:szCs w:val="24"/>
        </w:rPr>
        <w:t>重点人员聚集</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利用本地感知类轨迹数据（人脸卡口，车辆卡口，MAC轨迹），通过流计算技术，做到实时发现布控重点人员的聚集行为，并结合人员落脚点算法，减少由于人员住址地区与重点区域重合而导致的误报。另外，辅以人员近期异常统计，计算人员聚集风险值。</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完成数据建模后，须根据绍兴市公安局实际数据情况，对模型产出的结果数据进行梳理验证，根据结果情况对模型进行调优，保证模型结果的准确性。</w:t>
      </w:r>
    </w:p>
    <w:p>
      <w:pPr>
        <w:pStyle w:val="19"/>
        <w:spacing w:before="156" w:after="156"/>
        <w:rPr>
          <w:rFonts w:hint="eastAsia" w:ascii="仿宋_GB2312" w:eastAsia="仿宋_GB2312"/>
          <w:color w:val="000000"/>
          <w:sz w:val="24"/>
          <w:szCs w:val="24"/>
        </w:rPr>
      </w:pPr>
      <w:r>
        <w:rPr>
          <w:rFonts w:hint="eastAsia" w:ascii="仿宋_GB2312" w:eastAsia="仿宋_GB2312"/>
          <w:color w:val="000000"/>
          <w:sz w:val="24"/>
          <w:szCs w:val="24"/>
        </w:rPr>
        <w:t>居住登记到期仍在绍</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对7天内暂住登记即将到期的人员，利用人脸、车辆、mac等感知类数据和小区、水电等登记类数据之间的碰撞计算新的居住地址，并推送基层业务警员。</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完成数据建模后，须根据绍兴市公安局实际数据情况，对模型产出的结果数据进行梳理验证，根据结果情况对模型进行调优，保证模型结果的准确性。</w:t>
      </w:r>
    </w:p>
    <w:p>
      <w:pPr>
        <w:pStyle w:val="19"/>
        <w:spacing w:before="156" w:after="156"/>
        <w:rPr>
          <w:rFonts w:hint="eastAsia" w:ascii="仿宋_GB2312" w:eastAsia="仿宋_GB2312"/>
          <w:color w:val="000000"/>
          <w:sz w:val="24"/>
          <w:szCs w:val="24"/>
        </w:rPr>
      </w:pPr>
      <w:r>
        <w:rPr>
          <w:rFonts w:hint="eastAsia" w:ascii="仿宋_GB2312" w:eastAsia="仿宋_GB2312"/>
          <w:color w:val="000000"/>
          <w:sz w:val="24"/>
          <w:szCs w:val="24"/>
        </w:rPr>
        <w:t>疑似涉赌窝点发现</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根据前科涉赌人员亲密度分析，潜在赌博群体。依托idmapping分析，提取相关联的mac、手机、车辆等实体的轨迹信息，运用落脚点算法发现涉赌群体的窝点。</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完成数据建模后，须根据绍兴市公安局实际数据情况，对模型产出的结果数据进行梳理验证，根据结果情况对模型进行调优，保证模型结果的准确性。</w:t>
      </w:r>
    </w:p>
    <w:p>
      <w:pPr>
        <w:pStyle w:val="19"/>
        <w:spacing w:before="156" w:after="156"/>
        <w:rPr>
          <w:rFonts w:hint="eastAsia" w:ascii="仿宋_GB2312" w:eastAsia="仿宋_GB2312"/>
          <w:color w:val="000000"/>
          <w:sz w:val="24"/>
          <w:szCs w:val="24"/>
        </w:rPr>
      </w:pPr>
      <w:r>
        <w:rPr>
          <w:rFonts w:hint="eastAsia" w:ascii="仿宋_GB2312" w:eastAsia="仿宋_GB2312"/>
          <w:color w:val="000000"/>
          <w:sz w:val="24"/>
          <w:szCs w:val="24"/>
        </w:rPr>
        <w:t>流口辅助登记</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根据暂住人口基本信息，常住人口基本信息，快递数据等多维度的登记类地址碰撞轨迹类人脸和mac数据，找到非常暂人员在绍兴市的暂住位置，辅助其进行暂住登记。</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完成数据建模后，须根据绍兴市公安局实际数据情况，对模型产出的结果数据进行梳理验证，根据结果情况对模型进行调优，保证模型结果的准确性。</w:t>
      </w:r>
    </w:p>
    <w:p>
      <w:pPr>
        <w:pStyle w:val="19"/>
        <w:spacing w:before="156" w:after="156"/>
        <w:rPr>
          <w:rFonts w:hint="eastAsia" w:ascii="仿宋_GB2312" w:eastAsia="仿宋_GB2312"/>
          <w:color w:val="000000"/>
          <w:sz w:val="24"/>
          <w:szCs w:val="24"/>
        </w:rPr>
      </w:pPr>
      <w:r>
        <w:rPr>
          <w:rFonts w:hint="eastAsia" w:ascii="仿宋_GB2312" w:eastAsia="仿宋_GB2312"/>
          <w:color w:val="000000"/>
          <w:sz w:val="24"/>
          <w:szCs w:val="24"/>
        </w:rPr>
        <w:t>疑似涉黄团伙核心人员发现</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根据采分等话单数据进行idmapping，提取其中近期前科涉黄人员，并建立通联图网络。根据对于整个网络的图分析，得出最有可能的涉黄团体，最后再对每个涉黄团体进行图网络中心性及重要性分析，得到可能的涉黄组织核心人员。</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完成数据建模后，须根据绍兴市公安局实际数据情况，对模型产出的结果数据进行梳理验证，根据结果情况对模型进行调优，保证模型结果的准确性。</w:t>
      </w:r>
    </w:p>
    <w:p>
      <w:pPr>
        <w:pStyle w:val="19"/>
        <w:spacing w:before="156" w:after="156"/>
        <w:rPr>
          <w:rFonts w:hint="eastAsia" w:ascii="仿宋_GB2312" w:eastAsia="仿宋_GB2312"/>
          <w:color w:val="000000"/>
          <w:sz w:val="24"/>
          <w:szCs w:val="24"/>
        </w:rPr>
      </w:pPr>
      <w:r>
        <w:rPr>
          <w:rFonts w:hint="eastAsia" w:ascii="仿宋_GB2312" w:eastAsia="仿宋_GB2312"/>
          <w:color w:val="000000"/>
          <w:sz w:val="24"/>
          <w:szCs w:val="24"/>
        </w:rPr>
        <w:t>被盗电子设备触网发现模型</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根据失主提供的被盗电子设备imei数据关联对应的mac数据，利用mac轨迹分析查找被盗电子设备最新触网地点，推出报警。</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完成数据建模后，须根据绍兴市公安局实际数据情况，对模型产出的结果数据进行梳理验证，根据结果情况对模型进行调优，保证模型结果的准确性。</w:t>
      </w:r>
    </w:p>
    <w:p>
      <w:pPr>
        <w:pStyle w:val="20"/>
        <w:spacing w:before="156" w:after="156"/>
        <w:ind w:left="630"/>
        <w:rPr>
          <w:rFonts w:hint="eastAsia" w:ascii="仿宋_GB2312" w:hAnsi="仿宋" w:eastAsia="仿宋_GB2312"/>
          <w:color w:val="000000"/>
          <w:sz w:val="24"/>
          <w:szCs w:val="24"/>
        </w:rPr>
      </w:pPr>
      <w:r>
        <w:rPr>
          <w:rFonts w:hint="eastAsia" w:ascii="仿宋_GB2312" w:hAnsi="仿宋" w:eastAsia="仿宋_GB2312"/>
          <w:color w:val="000000"/>
          <w:sz w:val="24"/>
          <w:szCs w:val="24"/>
        </w:rPr>
        <w:t>模型推演室</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模型推演室提供算子与算子、算子与数据源之间、数据源和数据源之间的碰撞和推演，通过拖拉拽简单操作方式，实现交、并、差集运算，进行可视化交互操作。</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民警可以将单个算法模型在模型推演室根据业务需求自由组合来研判某些复杂的场景，支持实时计算和离线计算。操作便捷易理解，可让无技术背景的资深民警结合自己的**经验来研判案件精准圈人，支持将优秀的**研判方案线上工程化保存下来。</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同时支持算法模型和标准数据源之间的碰撞运行，快速比对碰撞出结果。</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可针对不同警种的特性，导入该警种特有的原始数据源，进行特定化场景条件碰撞，支持碰撞方案的保存和运行分析。</w:t>
      </w:r>
    </w:p>
    <w:p>
      <w:pPr>
        <w:pStyle w:val="22"/>
        <w:numPr>
          <w:ilvl w:val="3"/>
          <w:numId w:val="2"/>
        </w:numPr>
        <w:spacing w:before="156" w:after="156"/>
        <w:ind w:left="315"/>
        <w:rPr>
          <w:rFonts w:hint="eastAsia" w:ascii="仿宋_GB2312" w:hAnsi="仿宋" w:eastAsia="仿宋_GB2312"/>
          <w:color w:val="000000"/>
          <w:sz w:val="24"/>
          <w:szCs w:val="24"/>
        </w:rPr>
      </w:pPr>
      <w:r>
        <w:rPr>
          <w:rFonts w:hint="eastAsia" w:ascii="仿宋_GB2312" w:hAnsi="仿宋" w:eastAsia="仿宋_GB2312"/>
          <w:color w:val="000000"/>
          <w:sz w:val="24"/>
          <w:szCs w:val="24"/>
        </w:rPr>
        <w:t>推演数据</w:t>
      </w:r>
    </w:p>
    <w:p>
      <w:pPr>
        <w:pStyle w:val="19"/>
        <w:spacing w:before="156" w:after="156"/>
        <w:rPr>
          <w:rFonts w:hint="eastAsia" w:ascii="仿宋_GB2312" w:hAnsi="仿宋" w:eastAsia="仿宋_GB2312"/>
          <w:color w:val="000000"/>
          <w:sz w:val="24"/>
          <w:szCs w:val="24"/>
        </w:rPr>
      </w:pPr>
      <w:r>
        <w:rPr>
          <w:rFonts w:hint="eastAsia" w:ascii="仿宋_GB2312" w:hAnsi="仿宋" w:eastAsia="仿宋_GB2312"/>
          <w:color w:val="000000"/>
          <w:sz w:val="24"/>
          <w:szCs w:val="24"/>
        </w:rPr>
        <w:t>模型算子</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推演室集成本次项目建设的所有模型算子，能够进行自定义推演分析。</w:t>
      </w:r>
    </w:p>
    <w:p>
      <w:pPr>
        <w:pStyle w:val="19"/>
        <w:spacing w:before="156" w:after="156"/>
        <w:rPr>
          <w:rFonts w:hint="eastAsia" w:ascii="仿宋_GB2312" w:hAnsi="仿宋" w:eastAsia="仿宋_GB2312"/>
          <w:color w:val="000000"/>
          <w:sz w:val="24"/>
          <w:szCs w:val="24"/>
        </w:rPr>
      </w:pPr>
      <w:r>
        <w:rPr>
          <w:rFonts w:hint="eastAsia" w:ascii="仿宋_GB2312" w:hAnsi="仿宋" w:eastAsia="仿宋_GB2312"/>
          <w:color w:val="000000"/>
          <w:sz w:val="24"/>
          <w:szCs w:val="24"/>
        </w:rPr>
        <w:t>数据源表</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系统提供数据源的配置管理功能。对接省厅“云上公安”各类数据资源、绍兴市局本地各类数据资源等，形成适用于模型推演的数据源表目录。能够支持人员、车辆、案事件、卡口、MAC、电话等多种类型。数据源表需要定时和后台数据进行对接，实现定时更新。</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数据源可直接参与模型的组合推演分析。</w:t>
      </w:r>
    </w:p>
    <w:p>
      <w:pPr>
        <w:pStyle w:val="19"/>
        <w:spacing w:before="156" w:after="156"/>
        <w:rPr>
          <w:rFonts w:hint="eastAsia" w:ascii="仿宋_GB2312" w:hAnsi="仿宋" w:eastAsia="仿宋_GB2312"/>
          <w:color w:val="000000"/>
          <w:sz w:val="24"/>
          <w:szCs w:val="24"/>
        </w:rPr>
      </w:pPr>
      <w:r>
        <w:rPr>
          <w:rFonts w:hint="eastAsia" w:ascii="仿宋_GB2312" w:hAnsi="仿宋" w:eastAsia="仿宋_GB2312"/>
          <w:color w:val="000000"/>
          <w:sz w:val="24"/>
          <w:szCs w:val="24"/>
        </w:rPr>
        <w:t>民警上传</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提供民警自由上传推演数据源的功能，并实现全面的管理，实现推演数据源可配置。提供数据源权限管理功能，默认情况下，民警上传的数据源只能是发布者可见。提供数据源的发布共享功能，民警可将已上传的数据源发布共享给其他人使用。支持推演结果的下载导出，结果数据可作为再次推演的数据源。</w:t>
      </w:r>
    </w:p>
    <w:p>
      <w:pPr>
        <w:pStyle w:val="22"/>
        <w:numPr>
          <w:ilvl w:val="3"/>
          <w:numId w:val="2"/>
        </w:numPr>
        <w:spacing w:before="156" w:after="156"/>
        <w:ind w:left="315"/>
        <w:rPr>
          <w:rFonts w:hint="eastAsia" w:ascii="仿宋_GB2312" w:hAnsi="仿宋" w:eastAsia="仿宋_GB2312"/>
          <w:color w:val="000000"/>
          <w:sz w:val="24"/>
          <w:szCs w:val="24"/>
        </w:rPr>
      </w:pPr>
      <w:r>
        <w:rPr>
          <w:rFonts w:hint="eastAsia" w:ascii="仿宋_GB2312" w:hAnsi="仿宋" w:eastAsia="仿宋_GB2312"/>
          <w:color w:val="000000"/>
          <w:sz w:val="24"/>
          <w:szCs w:val="24"/>
        </w:rPr>
        <w:t>运算逻辑</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支持集合的多重运算推演，推演过程采用任务式，计算过程中间结果支持导出。</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交集：计算出两个集合相同的元素。</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并集：将两个集合的数据进行合并，形成新的集合，去除重复记录集。</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差集：以一个集合的数据为主，去掉与另一个集合有重复的数据，形成新的集合。</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基于用户已产生的原始各类型的数据，增加对集合中数据的拓线，并支持对拓线数据进行存储，包括产生新集合，或合并至现有集合中。</w:t>
      </w:r>
    </w:p>
    <w:p>
      <w:pPr>
        <w:pStyle w:val="22"/>
        <w:numPr>
          <w:ilvl w:val="3"/>
          <w:numId w:val="2"/>
        </w:numPr>
        <w:spacing w:before="156" w:after="156"/>
        <w:ind w:left="315"/>
        <w:rPr>
          <w:rFonts w:hint="eastAsia" w:ascii="仿宋_GB2312" w:hAnsi="仿宋" w:eastAsia="仿宋_GB2312"/>
          <w:color w:val="000000"/>
          <w:sz w:val="24"/>
          <w:szCs w:val="24"/>
        </w:rPr>
      </w:pPr>
      <w:r>
        <w:rPr>
          <w:rFonts w:hint="eastAsia" w:ascii="仿宋_GB2312" w:hAnsi="仿宋" w:eastAsia="仿宋_GB2312"/>
          <w:color w:val="000000"/>
          <w:sz w:val="24"/>
          <w:szCs w:val="24"/>
        </w:rPr>
        <w:t>推演功能</w:t>
      </w:r>
    </w:p>
    <w:p>
      <w:pPr>
        <w:pStyle w:val="19"/>
        <w:spacing w:before="156" w:after="156"/>
        <w:ind w:left="1412"/>
        <w:rPr>
          <w:rFonts w:hint="eastAsia" w:ascii="仿宋_GB2312" w:hAnsi="仿宋" w:eastAsia="仿宋_GB2312"/>
          <w:color w:val="000000"/>
          <w:sz w:val="24"/>
          <w:szCs w:val="24"/>
        </w:rPr>
      </w:pPr>
      <w:r>
        <w:rPr>
          <w:rFonts w:hint="eastAsia" w:ascii="仿宋_GB2312" w:hAnsi="仿宋" w:eastAsia="仿宋_GB2312"/>
          <w:color w:val="000000"/>
          <w:sz w:val="24"/>
          <w:szCs w:val="24"/>
        </w:rPr>
        <w:t>自定义组合</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可视化交互操作。在推演室画布上，通过自由拖拽模型、算子、数据源等数据集，自定义交集、并集、差集组合，形成符合民警研判需要的逻辑推演方案，用于特定业务场景的挖掘分析。拖拽进入画布的模型、算子、数据源等集合，提供数据搜索筛选功能，民警可通过字段搜索，选择其中的部分数据表参与方案的推演。支持方案的运算与保存。</w:t>
      </w:r>
    </w:p>
    <w:p>
      <w:pPr>
        <w:pStyle w:val="19"/>
        <w:spacing w:before="156" w:after="156"/>
        <w:ind w:left="1412"/>
        <w:rPr>
          <w:rFonts w:hint="eastAsia" w:ascii="仿宋_GB2312" w:hAnsi="仿宋" w:eastAsia="仿宋_GB2312"/>
          <w:color w:val="000000"/>
          <w:sz w:val="24"/>
          <w:szCs w:val="24"/>
        </w:rPr>
      </w:pPr>
      <w:r>
        <w:rPr>
          <w:rFonts w:hint="eastAsia" w:ascii="仿宋_GB2312" w:hAnsi="仿宋" w:eastAsia="仿宋_GB2312"/>
          <w:color w:val="000000"/>
          <w:sz w:val="24"/>
          <w:szCs w:val="24"/>
        </w:rPr>
        <w:t>画布计算</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形成的推演方案，通过点击运行按钮进行结果的计算。</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对于数据量超级庞大的数据，在线分析时间长，速度慢，占用内存高，可能影响其他应用功能的使用。系统需支持离线分析，将工作量大的分析过程离线执行，保证系统高效稳定性。</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定制化显示分析结果：对于比对的结果，用户可定制需要显示的字段及顺序，同时也可定制导出成EXCEL的字段内容信息。</w:t>
      </w:r>
    </w:p>
    <w:p>
      <w:pPr>
        <w:pStyle w:val="19"/>
        <w:spacing w:before="156" w:beforeLines="0" w:after="156" w:afterLines="0"/>
        <w:ind w:left="1412" w:leftChars="200" w:hanging="992"/>
        <w:rPr>
          <w:rFonts w:hint="eastAsia" w:ascii="仿宋_GB2312" w:hAnsi="仿宋" w:eastAsia="仿宋_GB2312"/>
          <w:color w:val="000000"/>
          <w:sz w:val="24"/>
          <w:szCs w:val="24"/>
        </w:rPr>
      </w:pPr>
      <w:r>
        <w:rPr>
          <w:rFonts w:hint="eastAsia" w:ascii="仿宋_GB2312" w:hAnsi="仿宋" w:eastAsia="仿宋_GB2312"/>
          <w:color w:val="000000"/>
          <w:sz w:val="24"/>
          <w:szCs w:val="24"/>
        </w:rPr>
        <w:t>我的模型</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民警运用算子及画布进行研判的过程中，可以对一些面向业务的、较复杂的运算组合命名保存，生成“我的模型”。“我的模型”仅本人可见，可直接放入画布进行二次组合研判。民警可将自己创建的模型发布至模型商城，对全警共享。</w:t>
      </w:r>
    </w:p>
    <w:p>
      <w:pPr>
        <w:pStyle w:val="19"/>
        <w:spacing w:before="156" w:beforeLines="0" w:after="156" w:afterLines="0"/>
        <w:ind w:left="1412" w:leftChars="200" w:hanging="992"/>
        <w:rPr>
          <w:rFonts w:hint="eastAsia" w:ascii="仿宋_GB2312" w:hAnsi="仿宋" w:eastAsia="仿宋_GB2312"/>
          <w:color w:val="000000"/>
          <w:sz w:val="24"/>
          <w:szCs w:val="24"/>
        </w:rPr>
      </w:pPr>
      <w:r>
        <w:rPr>
          <w:rFonts w:hint="eastAsia" w:ascii="仿宋_GB2312" w:hAnsi="仿宋" w:eastAsia="仿宋_GB2312"/>
          <w:color w:val="000000"/>
          <w:sz w:val="24"/>
          <w:szCs w:val="24"/>
        </w:rPr>
        <w:t>画布重置</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提供画布的一键重置功能。点击重置画布按钮，弹框确认后，画布内流程将被清空，便于民警对画布内的数据源进行统一的清除，方便新建。</w:t>
      </w:r>
    </w:p>
    <w:p>
      <w:pPr>
        <w:pStyle w:val="22"/>
        <w:numPr>
          <w:ilvl w:val="3"/>
          <w:numId w:val="2"/>
        </w:numPr>
        <w:spacing w:before="156" w:after="156"/>
        <w:ind w:left="315"/>
        <w:rPr>
          <w:rFonts w:hint="eastAsia" w:ascii="仿宋_GB2312" w:eastAsia="仿宋_GB2312"/>
          <w:color w:val="000000"/>
          <w:sz w:val="24"/>
          <w:szCs w:val="24"/>
        </w:rPr>
      </w:pPr>
      <w:r>
        <w:rPr>
          <w:rFonts w:hint="eastAsia" w:ascii="仿宋_GB2312" w:eastAsia="仿宋_GB2312"/>
          <w:color w:val="000000"/>
          <w:sz w:val="24"/>
          <w:szCs w:val="24"/>
        </w:rPr>
        <w:t>模型商城</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对接绍兴市公安局目前常用的各类数据分析模型，进行综合展示，模型侧重于对公安具体业务场景的分析研判。能够支持将各模型运算结果集用于推演室进行二次组合分析研判。点击单个模型可以查看该模型的详细信息。支持模型的查询搜索。</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可以对民警日常工作中总结出的优秀研判方案进行发布，新发布的模型进入模型商城进行展示与应用。提供对模型访问量及用户评价的统计与排名。热门、好用的模型高亮置顶，便于快速查找应用，并鼓励民警总结生成优秀经验。</w:t>
      </w:r>
    </w:p>
    <w:p>
      <w:pPr>
        <w:pStyle w:val="22"/>
        <w:numPr>
          <w:ilvl w:val="3"/>
          <w:numId w:val="2"/>
        </w:numPr>
        <w:spacing w:before="156" w:after="156"/>
        <w:ind w:left="315"/>
        <w:rPr>
          <w:rFonts w:hint="eastAsia" w:ascii="仿宋_GB2312" w:eastAsia="仿宋_GB2312"/>
          <w:color w:val="000000"/>
          <w:sz w:val="24"/>
          <w:szCs w:val="24"/>
        </w:rPr>
      </w:pPr>
      <w:r>
        <w:rPr>
          <w:rFonts w:hint="eastAsia" w:ascii="仿宋_GB2312" w:eastAsia="仿宋_GB2312"/>
          <w:color w:val="000000"/>
          <w:sz w:val="24"/>
          <w:szCs w:val="24"/>
        </w:rPr>
        <w:t>我的算子</w:t>
      </w:r>
    </w:p>
    <w:p>
      <w:pPr>
        <w:pStyle w:val="17"/>
        <w:ind w:firstLine="480"/>
        <w:rPr>
          <w:rFonts w:hint="eastAsia" w:ascii="仿宋_GB2312" w:hAnsi="仿宋" w:eastAsia="仿宋_GB2312"/>
          <w:color w:val="000000"/>
          <w:szCs w:val="24"/>
        </w:rPr>
      </w:pPr>
      <w:r>
        <w:rPr>
          <w:rFonts w:hint="eastAsia" w:ascii="仿宋_GB2312" w:hAnsi="仿宋" w:eastAsia="仿宋_GB2312"/>
          <w:color w:val="000000"/>
          <w:szCs w:val="24"/>
        </w:rPr>
        <w:t>民警运用基础算子和数据源进行研判的过程中，可以对一些常用的简单组合命名保存，生成“我的算子”，便于二次快速导入推演室画布进行利用，默认的名称为本地当前时间。用户可进入我的算子模块进行查看以及管理。我的算子属于用户私有数据源，仅本人可见。提供对算子的查询搜索。</w:t>
      </w:r>
    </w:p>
    <w:p>
      <w:pPr>
        <w:pStyle w:val="24"/>
        <w:numPr>
          <w:ilvl w:val="1"/>
          <w:numId w:val="2"/>
        </w:numPr>
        <w:spacing w:before="156" w:after="156"/>
        <w:rPr>
          <w:rFonts w:hint="eastAsia" w:ascii="仿宋_GB2312" w:hAnsi="仿宋" w:eastAsia="仿宋_GB2312"/>
          <w:color w:val="000000"/>
          <w:sz w:val="24"/>
          <w:szCs w:val="24"/>
        </w:rPr>
      </w:pPr>
      <w:bookmarkStart w:id="0" w:name="_Toc416685497"/>
      <w:r>
        <w:rPr>
          <w:rFonts w:hint="eastAsia" w:ascii="仿宋_GB2312" w:hAnsi="仿宋" w:eastAsia="仿宋_GB2312"/>
          <w:color w:val="000000"/>
          <w:sz w:val="24"/>
          <w:szCs w:val="24"/>
        </w:rPr>
        <w:t>功能和性能需求</w:t>
      </w:r>
      <w:bookmarkEnd w:id="0"/>
    </w:p>
    <w:p>
      <w:pPr>
        <w:pStyle w:val="3"/>
        <w:ind w:left="420" w:firstLine="0"/>
        <w:rPr>
          <w:rFonts w:hint="eastAsia" w:ascii="仿宋_GB2312" w:hAnsi="仿宋" w:eastAsia="仿宋_GB2312" w:cs="宋体"/>
          <w:sz w:val="24"/>
          <w:szCs w:val="24"/>
        </w:rPr>
      </w:pPr>
      <w:r>
        <w:rPr>
          <w:rFonts w:hint="eastAsia" w:ascii="仿宋_GB2312" w:hAnsi="仿宋" w:eastAsia="仿宋_GB2312" w:cs="宋体"/>
          <w:sz w:val="24"/>
          <w:szCs w:val="24"/>
        </w:rPr>
        <w:t>3.1 功能需求</w:t>
      </w:r>
    </w:p>
    <w:p>
      <w:pPr>
        <w:pStyle w:val="17"/>
        <w:ind w:firstLine="480"/>
        <w:rPr>
          <w:rFonts w:hint="eastAsia" w:ascii="仿宋_GB2312" w:hAnsi="仿宋" w:eastAsia="仿宋_GB2312" w:cs="Times New Roman"/>
          <w:color w:val="000000"/>
          <w:szCs w:val="24"/>
        </w:rPr>
      </w:pPr>
      <w:r>
        <w:rPr>
          <w:rFonts w:hint="eastAsia" w:ascii="仿宋_GB2312" w:hAnsi="仿宋" w:eastAsia="仿宋_GB2312"/>
          <w:color w:val="000000"/>
          <w:szCs w:val="24"/>
        </w:rPr>
        <w:t>充分发挥现有信息化建设成果，融合公安内部各类算法模型与数据资源进行深化应用，通过建设模型推演室进行自主分析研判，积极调动基层民警参与。提高工作效率、增强隐性违法犯罪行为分析挖掘能力的同时，实现民警优秀研判经验的积累与共享，服务全警实战，营造全警建模的氛围。</w:t>
      </w:r>
    </w:p>
    <w:p>
      <w:pPr>
        <w:pStyle w:val="3"/>
        <w:ind w:firstLine="480"/>
        <w:rPr>
          <w:rFonts w:hint="eastAsia" w:ascii="仿宋_GB2312" w:hAnsi="仿宋" w:eastAsia="仿宋_GB2312" w:cs="宋体"/>
          <w:sz w:val="24"/>
          <w:szCs w:val="24"/>
        </w:rPr>
      </w:pPr>
      <w:r>
        <w:rPr>
          <w:rFonts w:hint="eastAsia" w:ascii="仿宋_GB2312" w:hAnsi="仿宋" w:eastAsia="仿宋_GB2312" w:cs="宋体"/>
          <w:sz w:val="24"/>
          <w:szCs w:val="24"/>
        </w:rPr>
        <w:t>3.2 性能需求</w:t>
      </w:r>
    </w:p>
    <w:p>
      <w:pPr>
        <w:pStyle w:val="3"/>
        <w:ind w:firstLine="480"/>
        <w:rPr>
          <w:rFonts w:hint="eastAsia" w:ascii="仿宋_GB2312" w:hAnsi="仿宋" w:eastAsia="仿宋_GB2312" w:cs="宋体"/>
          <w:sz w:val="24"/>
          <w:szCs w:val="24"/>
        </w:rPr>
      </w:pPr>
      <w:r>
        <w:rPr>
          <w:rFonts w:hint="eastAsia" w:ascii="仿宋_GB2312" w:hAnsi="仿宋" w:eastAsia="仿宋_GB2312" w:cs="宋体"/>
          <w:sz w:val="24"/>
          <w:szCs w:val="24"/>
        </w:rPr>
        <w:t>（1）容量</w:t>
      </w:r>
    </w:p>
    <w:p>
      <w:pPr>
        <w:pStyle w:val="3"/>
        <w:ind w:firstLine="480"/>
        <w:rPr>
          <w:rFonts w:hint="eastAsia" w:ascii="仿宋_GB2312" w:hAnsi="仿宋" w:eastAsia="仿宋_GB2312" w:cs="宋体"/>
          <w:sz w:val="24"/>
          <w:szCs w:val="24"/>
        </w:rPr>
      </w:pPr>
      <w:r>
        <w:rPr>
          <w:rFonts w:hint="eastAsia" w:ascii="仿宋_GB2312" w:hAnsi="仿宋" w:eastAsia="仿宋_GB2312" w:cs="宋体"/>
          <w:sz w:val="24"/>
          <w:szCs w:val="24"/>
        </w:rPr>
        <w:t>支持在线用户数500；</w:t>
      </w:r>
    </w:p>
    <w:p>
      <w:pPr>
        <w:pStyle w:val="3"/>
        <w:ind w:firstLine="480"/>
        <w:rPr>
          <w:rFonts w:hint="eastAsia" w:ascii="仿宋_GB2312" w:hAnsi="仿宋" w:eastAsia="仿宋_GB2312" w:cs="宋体"/>
          <w:sz w:val="24"/>
          <w:szCs w:val="24"/>
        </w:rPr>
      </w:pPr>
      <w:r>
        <w:rPr>
          <w:rFonts w:hint="eastAsia" w:ascii="仿宋_GB2312" w:hAnsi="仿宋" w:eastAsia="仿宋_GB2312" w:cs="宋体"/>
          <w:sz w:val="24"/>
          <w:szCs w:val="24"/>
        </w:rPr>
        <w:t>满足50个及以上用户数的并发访问。</w:t>
      </w:r>
    </w:p>
    <w:p>
      <w:pPr>
        <w:pStyle w:val="3"/>
        <w:ind w:firstLine="480"/>
        <w:rPr>
          <w:rFonts w:hint="eastAsia" w:ascii="仿宋_GB2312" w:hAnsi="仿宋" w:eastAsia="仿宋_GB2312" w:cs="宋体"/>
          <w:sz w:val="24"/>
          <w:szCs w:val="24"/>
        </w:rPr>
      </w:pPr>
      <w:r>
        <w:rPr>
          <w:rFonts w:hint="eastAsia" w:ascii="仿宋_GB2312" w:hAnsi="仿宋" w:eastAsia="仿宋_GB2312" w:cs="宋体"/>
          <w:sz w:val="24"/>
          <w:szCs w:val="24"/>
        </w:rPr>
        <w:t>（2）响应</w:t>
      </w:r>
    </w:p>
    <w:p>
      <w:pPr>
        <w:pStyle w:val="3"/>
        <w:ind w:firstLine="480"/>
        <w:rPr>
          <w:rFonts w:hint="eastAsia" w:ascii="仿宋_GB2312" w:hAnsi="仿宋" w:eastAsia="仿宋_GB2312" w:cs="宋体"/>
          <w:sz w:val="24"/>
          <w:szCs w:val="24"/>
        </w:rPr>
      </w:pPr>
      <w:r>
        <w:rPr>
          <w:rFonts w:hint="eastAsia" w:ascii="仿宋_GB2312" w:hAnsi="仿宋" w:eastAsia="仿宋_GB2312" w:cs="宋体"/>
          <w:sz w:val="24"/>
          <w:szCs w:val="24"/>
        </w:rPr>
        <w:t>平台登陆时间≤5秒；</w:t>
      </w:r>
    </w:p>
    <w:p>
      <w:pPr>
        <w:pStyle w:val="3"/>
        <w:ind w:firstLine="480"/>
        <w:rPr>
          <w:rFonts w:hint="eastAsia" w:ascii="仿宋_GB2312" w:hAnsi="仿宋" w:eastAsia="仿宋_GB2312" w:cs="宋体"/>
          <w:sz w:val="24"/>
          <w:szCs w:val="24"/>
        </w:rPr>
      </w:pPr>
      <w:r>
        <w:rPr>
          <w:rFonts w:hint="eastAsia" w:ascii="仿宋_GB2312" w:hAnsi="仿宋" w:eastAsia="仿宋_GB2312" w:cs="宋体"/>
          <w:sz w:val="24"/>
          <w:szCs w:val="24"/>
        </w:rPr>
        <w:t>页面间跳转时间≤3秒；</w:t>
      </w:r>
    </w:p>
    <w:p>
      <w:pPr>
        <w:pStyle w:val="3"/>
        <w:ind w:firstLine="480"/>
        <w:rPr>
          <w:rFonts w:hint="eastAsia" w:ascii="仿宋_GB2312" w:hAnsi="仿宋" w:eastAsia="仿宋_GB2312" w:cs="宋体"/>
          <w:sz w:val="24"/>
          <w:szCs w:val="24"/>
        </w:rPr>
      </w:pPr>
      <w:r>
        <w:rPr>
          <w:rFonts w:hint="eastAsia" w:ascii="仿宋_GB2312" w:hAnsi="仿宋" w:eastAsia="仿宋_GB2312" w:cs="宋体"/>
          <w:sz w:val="24"/>
          <w:szCs w:val="24"/>
        </w:rPr>
        <w:t>平均查询和下载响应时间≤5秒；</w:t>
      </w:r>
    </w:p>
    <w:p>
      <w:pPr>
        <w:pStyle w:val="3"/>
        <w:ind w:firstLine="480"/>
        <w:rPr>
          <w:rFonts w:hint="eastAsia" w:ascii="仿宋_GB2312" w:hAnsi="仿宋" w:eastAsia="仿宋_GB2312" w:cs="宋体"/>
          <w:sz w:val="24"/>
          <w:szCs w:val="24"/>
        </w:rPr>
      </w:pPr>
      <w:r>
        <w:rPr>
          <w:rFonts w:hint="eastAsia" w:ascii="仿宋_GB2312" w:hAnsi="仿宋" w:eastAsia="仿宋_GB2312" w:cs="宋体"/>
          <w:sz w:val="24"/>
          <w:szCs w:val="24"/>
        </w:rPr>
        <w:t>各类固定统计报表形成时间≤60秒；</w:t>
      </w:r>
    </w:p>
    <w:p>
      <w:pPr>
        <w:pStyle w:val="3"/>
        <w:ind w:firstLine="480"/>
        <w:rPr>
          <w:rFonts w:hint="eastAsia" w:ascii="仿宋_GB2312" w:hAnsi="仿宋" w:eastAsia="仿宋_GB2312" w:cs="宋体"/>
          <w:sz w:val="24"/>
          <w:szCs w:val="24"/>
        </w:rPr>
      </w:pPr>
      <w:r>
        <w:rPr>
          <w:rFonts w:hint="eastAsia" w:ascii="仿宋_GB2312" w:hAnsi="仿宋" w:eastAsia="仿宋_GB2312" w:cs="宋体"/>
          <w:sz w:val="24"/>
          <w:szCs w:val="24"/>
        </w:rPr>
        <w:t>系统服务响应时间＜15秒，吞吐量≥500TPS；</w:t>
      </w:r>
    </w:p>
    <w:p>
      <w:pPr>
        <w:pStyle w:val="3"/>
        <w:ind w:firstLine="480"/>
        <w:rPr>
          <w:rFonts w:hint="eastAsia" w:ascii="仿宋_GB2312" w:hAnsi="仿宋" w:eastAsia="仿宋_GB2312" w:cs="宋体"/>
          <w:sz w:val="24"/>
          <w:szCs w:val="24"/>
        </w:rPr>
      </w:pPr>
      <w:r>
        <w:rPr>
          <w:rFonts w:hint="eastAsia" w:ascii="仿宋_GB2312" w:hAnsi="仿宋" w:eastAsia="仿宋_GB2312" w:cs="宋体"/>
          <w:sz w:val="24"/>
          <w:szCs w:val="24"/>
        </w:rPr>
        <w:t>各种比对、分析等复杂事务处理≤120秒；</w:t>
      </w:r>
    </w:p>
    <w:p>
      <w:pPr>
        <w:pStyle w:val="3"/>
        <w:ind w:firstLine="480"/>
        <w:rPr>
          <w:rFonts w:hint="eastAsia" w:ascii="仿宋_GB2312" w:hAnsi="仿宋" w:eastAsia="仿宋_GB2312" w:cs="宋体"/>
          <w:sz w:val="24"/>
          <w:szCs w:val="24"/>
        </w:rPr>
      </w:pPr>
      <w:r>
        <w:rPr>
          <w:rFonts w:hint="eastAsia" w:ascii="仿宋_GB2312" w:hAnsi="仿宋" w:eastAsia="仿宋_GB2312" w:cs="宋体"/>
          <w:sz w:val="24"/>
          <w:szCs w:val="24"/>
        </w:rPr>
        <w:t>系统故障平均间隔时间≥30天；</w:t>
      </w:r>
    </w:p>
    <w:p>
      <w:pPr>
        <w:pStyle w:val="3"/>
        <w:ind w:firstLine="480"/>
        <w:rPr>
          <w:rFonts w:hint="eastAsia" w:ascii="仿宋_GB2312" w:hAnsi="仿宋" w:eastAsia="仿宋_GB2312" w:cs="宋体"/>
          <w:sz w:val="24"/>
          <w:szCs w:val="24"/>
        </w:rPr>
      </w:pPr>
      <w:r>
        <w:rPr>
          <w:rFonts w:hint="eastAsia" w:ascii="仿宋_GB2312" w:hAnsi="仿宋" w:eastAsia="仿宋_GB2312" w:cs="宋体"/>
          <w:sz w:val="24"/>
          <w:szCs w:val="24"/>
        </w:rPr>
        <w:t>在整体性能上，满足提供7×24小时不间断服务、满足高服务质量(QoS)要求。</w:t>
      </w:r>
    </w:p>
    <w:p>
      <w:pPr>
        <w:pStyle w:val="24"/>
        <w:numPr>
          <w:ilvl w:val="1"/>
          <w:numId w:val="2"/>
        </w:numPr>
        <w:spacing w:before="156" w:after="156"/>
        <w:rPr>
          <w:rFonts w:hint="eastAsia" w:ascii="仿宋_GB2312" w:hAnsi="仿宋" w:eastAsia="仿宋_GB2312" w:cs="Times New Roman"/>
          <w:color w:val="000000"/>
          <w:sz w:val="24"/>
          <w:szCs w:val="24"/>
        </w:rPr>
      </w:pPr>
      <w:r>
        <w:rPr>
          <w:rFonts w:hint="eastAsia" w:ascii="仿宋_GB2312" w:hAnsi="仿宋" w:eastAsia="仿宋_GB2312"/>
          <w:color w:val="000000"/>
          <w:sz w:val="24"/>
          <w:szCs w:val="24"/>
        </w:rPr>
        <w:t>项目实施要求</w:t>
      </w:r>
    </w:p>
    <w:p>
      <w:pPr>
        <w:pStyle w:val="3"/>
        <w:ind w:firstLine="480"/>
        <w:rPr>
          <w:rFonts w:hint="eastAsia" w:ascii="仿宋_GB2312" w:hAnsi="仿宋" w:eastAsia="仿宋_GB2312" w:cs="宋体"/>
          <w:sz w:val="24"/>
          <w:szCs w:val="24"/>
        </w:rPr>
      </w:pPr>
      <w:r>
        <w:rPr>
          <w:rFonts w:hint="eastAsia" w:ascii="仿宋_GB2312" w:hAnsi="仿宋" w:eastAsia="仿宋_GB2312" w:cs="宋体"/>
          <w:sz w:val="24"/>
          <w:szCs w:val="24"/>
        </w:rPr>
        <w:t>总工期为4个月，其中建设工期为3个月，试运行1个月。</w:t>
      </w:r>
    </w:p>
    <w:p>
      <w:pPr>
        <w:pStyle w:val="3"/>
        <w:ind w:firstLine="480"/>
        <w:rPr>
          <w:rFonts w:hint="eastAsia" w:ascii="仿宋_GB2312" w:hAnsi="仿宋" w:eastAsia="仿宋_GB2312" w:cs="宋体"/>
          <w:sz w:val="24"/>
          <w:szCs w:val="24"/>
        </w:rPr>
      </w:pPr>
      <w:r>
        <w:rPr>
          <w:rFonts w:hint="eastAsia" w:ascii="仿宋_GB2312" w:hAnsi="仿宋" w:eastAsia="仿宋_GB2312" w:cs="宋体"/>
          <w:sz w:val="24"/>
          <w:szCs w:val="24"/>
        </w:rPr>
        <w:t>详细实施进度要求如下：</w:t>
      </w:r>
    </w:p>
    <w:p>
      <w:pPr>
        <w:pStyle w:val="3"/>
        <w:ind w:firstLine="480"/>
        <w:rPr>
          <w:rFonts w:hint="eastAsia" w:ascii="仿宋_GB2312" w:hAnsi="仿宋" w:eastAsia="仿宋_GB2312" w:cs="宋体"/>
          <w:sz w:val="24"/>
          <w:szCs w:val="24"/>
        </w:rPr>
      </w:pPr>
      <w:r>
        <w:rPr>
          <w:rFonts w:hint="eastAsia" w:ascii="仿宋_GB2312" w:hAnsi="仿宋" w:eastAsia="仿宋_GB2312" w:cs="宋体"/>
          <w:sz w:val="24"/>
          <w:szCs w:val="24"/>
        </w:rPr>
        <w:t>1) 合同签订后10个工作日内完成项目需求分析、概要设计、详细设计，细化系统建设计划和测试验收方案，并报采购人审查通过。</w:t>
      </w:r>
    </w:p>
    <w:p>
      <w:pPr>
        <w:pStyle w:val="3"/>
        <w:ind w:firstLine="480"/>
        <w:rPr>
          <w:rFonts w:hint="eastAsia" w:ascii="仿宋_GB2312" w:hAnsi="仿宋" w:eastAsia="仿宋_GB2312" w:cs="宋体"/>
          <w:sz w:val="24"/>
          <w:szCs w:val="24"/>
        </w:rPr>
      </w:pPr>
      <w:r>
        <w:rPr>
          <w:rFonts w:hint="eastAsia" w:ascii="仿宋_GB2312" w:hAnsi="仿宋" w:eastAsia="仿宋_GB2312" w:cs="宋体"/>
          <w:sz w:val="24"/>
          <w:szCs w:val="24"/>
        </w:rPr>
        <w:t>2) 合同签订后3个月内，完成项目开发、编码，测试，实现系统全部功能，完成调试、集成等，通过初步验收，进入试运行；</w:t>
      </w:r>
    </w:p>
    <w:p>
      <w:pPr>
        <w:pStyle w:val="3"/>
        <w:ind w:firstLine="480"/>
        <w:rPr>
          <w:rFonts w:hint="eastAsia" w:ascii="仿宋_GB2312" w:hAnsi="仿宋" w:eastAsia="仿宋_GB2312" w:cs="宋体"/>
          <w:sz w:val="24"/>
          <w:szCs w:val="24"/>
        </w:rPr>
      </w:pPr>
      <w:r>
        <w:rPr>
          <w:rFonts w:hint="eastAsia" w:ascii="仿宋_GB2312" w:hAnsi="仿宋" w:eastAsia="仿宋_GB2312" w:cs="宋体"/>
          <w:sz w:val="24"/>
          <w:szCs w:val="24"/>
        </w:rPr>
        <w:t>3）项目通过初验后1个月内完成培训、试运行，系统修改完善后正常、稳定运行，经峻工验收，进入维护期。</w:t>
      </w:r>
      <w:r>
        <w:rPr>
          <w:rFonts w:hint="eastAsia" w:ascii="仿宋_GB2312" w:hAnsi="仿宋" w:eastAsia="仿宋_GB2312" w:cs="宋体"/>
          <w:sz w:val="24"/>
          <w:szCs w:val="24"/>
        </w:rPr>
        <w:tab/>
      </w:r>
      <w:r>
        <w:rPr>
          <w:rFonts w:hint="eastAsia" w:ascii="仿宋_GB2312" w:hAnsi="仿宋" w:eastAsia="仿宋_GB2312" w:cs="宋体"/>
          <w:sz w:val="24"/>
          <w:szCs w:val="24"/>
        </w:rPr>
        <w:tab/>
      </w:r>
    </w:p>
    <w:p>
      <w:pPr>
        <w:pStyle w:val="3"/>
        <w:ind w:firstLine="480"/>
        <w:rPr>
          <w:rFonts w:hint="eastAsia" w:ascii="仿宋_GB2312" w:hAnsi="仿宋" w:eastAsia="仿宋_GB2312" w:cs="宋体"/>
          <w:sz w:val="24"/>
          <w:szCs w:val="24"/>
        </w:rPr>
      </w:pPr>
      <w:r>
        <w:rPr>
          <w:rFonts w:hint="eastAsia" w:ascii="仿宋_GB2312" w:hAnsi="仿宋" w:eastAsia="仿宋_GB2312" w:cs="宋体"/>
          <w:sz w:val="24"/>
          <w:szCs w:val="24"/>
        </w:rPr>
        <w:t xml:space="preserve"> 5.2 实施地点：绍兴市公安局及其指定地点。</w:t>
      </w:r>
    </w:p>
    <w:p>
      <w:pPr>
        <w:pStyle w:val="24"/>
        <w:numPr>
          <w:ilvl w:val="1"/>
          <w:numId w:val="2"/>
        </w:numPr>
        <w:spacing w:before="156" w:after="156"/>
        <w:rPr>
          <w:rFonts w:hint="eastAsia" w:ascii="仿宋_GB2312" w:hAnsi="仿宋" w:eastAsia="仿宋_GB2312" w:cs="Times New Roman"/>
          <w:color w:val="000000"/>
          <w:sz w:val="24"/>
          <w:szCs w:val="24"/>
        </w:rPr>
      </w:pPr>
      <w:r>
        <w:rPr>
          <w:rFonts w:hint="eastAsia" w:ascii="仿宋_GB2312" w:hAnsi="仿宋" w:eastAsia="仿宋_GB2312"/>
          <w:color w:val="000000"/>
          <w:sz w:val="24"/>
          <w:szCs w:val="24"/>
        </w:rPr>
        <w:t>质量保证</w:t>
      </w:r>
    </w:p>
    <w:p>
      <w:pPr>
        <w:spacing w:line="360" w:lineRule="auto"/>
        <w:ind w:left="105" w:firstLine="470"/>
        <w:rPr>
          <w:rFonts w:hint="eastAsia" w:ascii="仿宋_GB2312" w:hAnsi="仿宋" w:eastAsia="仿宋_GB2312"/>
          <w:color w:val="000000"/>
          <w:sz w:val="24"/>
        </w:rPr>
      </w:pPr>
      <w:r>
        <w:rPr>
          <w:rFonts w:hint="eastAsia" w:ascii="仿宋_GB2312" w:hAnsi="仿宋" w:eastAsia="仿宋_GB2312"/>
          <w:color w:val="000000"/>
          <w:sz w:val="24"/>
        </w:rPr>
        <w:t>1、投标人须保证所提供产品符合国家有关规定。投标人须保证所提供产品具有合法的版权或使用权，本项目采购的产品，如在本项目范围内使用过程中出现版权或使用权纠纷，应由投标人负责，采购人不承担责任。</w:t>
      </w:r>
    </w:p>
    <w:p>
      <w:pPr>
        <w:spacing w:line="360" w:lineRule="auto"/>
        <w:ind w:left="105" w:firstLine="470"/>
        <w:rPr>
          <w:rFonts w:hint="eastAsia" w:ascii="仿宋_GB2312" w:hAnsi="仿宋" w:eastAsia="仿宋_GB2312"/>
          <w:color w:val="000000"/>
          <w:sz w:val="24"/>
        </w:rPr>
      </w:pPr>
      <w:r>
        <w:rPr>
          <w:rFonts w:hint="eastAsia" w:ascii="仿宋_GB2312" w:hAnsi="仿宋" w:eastAsia="仿宋_GB2312"/>
          <w:color w:val="000000"/>
          <w:sz w:val="24"/>
        </w:rPr>
        <w:t>2、投标人必须保证解决项目所涉及的技术问题，如因技术原因无法满足采购人需求，由此产生的风险由投标人承担。</w:t>
      </w:r>
    </w:p>
    <w:p>
      <w:pPr>
        <w:spacing w:line="360" w:lineRule="auto"/>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3、投标人在质保期内，如遇软件产品升级、改版，应免费提供更新、升级服务。</w:t>
      </w:r>
    </w:p>
    <w:p>
      <w:pPr>
        <w:pStyle w:val="24"/>
        <w:numPr>
          <w:ilvl w:val="1"/>
          <w:numId w:val="2"/>
        </w:numPr>
        <w:spacing w:before="156" w:after="156"/>
        <w:rPr>
          <w:rFonts w:hint="eastAsia" w:ascii="仿宋_GB2312" w:hAnsi="仿宋" w:eastAsia="仿宋_GB2312"/>
          <w:color w:val="000000"/>
          <w:sz w:val="24"/>
          <w:szCs w:val="24"/>
        </w:rPr>
      </w:pPr>
      <w:r>
        <w:rPr>
          <w:rFonts w:hint="eastAsia" w:ascii="仿宋_GB2312" w:hAnsi="仿宋" w:eastAsia="仿宋_GB2312"/>
          <w:color w:val="000000"/>
          <w:sz w:val="24"/>
          <w:szCs w:val="24"/>
        </w:rPr>
        <w:t>项目培训和售后服务要求</w:t>
      </w:r>
    </w:p>
    <w:p>
      <w:pPr>
        <w:tabs>
          <w:tab w:val="left" w:pos="840"/>
        </w:tabs>
        <w:spacing w:line="360" w:lineRule="auto"/>
        <w:ind w:left="105" w:firstLine="470"/>
        <w:rPr>
          <w:rFonts w:hint="eastAsia" w:ascii="仿宋_GB2312" w:hAnsi="仿宋" w:eastAsia="仿宋_GB2312"/>
          <w:color w:val="000000"/>
          <w:sz w:val="24"/>
        </w:rPr>
      </w:pPr>
      <w:r>
        <w:rPr>
          <w:rFonts w:hint="eastAsia" w:ascii="仿宋_GB2312" w:hAnsi="仿宋" w:eastAsia="仿宋_GB2312"/>
          <w:color w:val="000000"/>
          <w:sz w:val="24"/>
        </w:rPr>
        <w:t>1、技术力量和人员配置</w:t>
      </w:r>
    </w:p>
    <w:p>
      <w:pPr>
        <w:tabs>
          <w:tab w:val="left" w:pos="840"/>
        </w:tabs>
        <w:spacing w:line="360" w:lineRule="auto"/>
        <w:ind w:left="105" w:firstLine="470"/>
        <w:rPr>
          <w:rFonts w:hint="eastAsia" w:ascii="仿宋_GB2312" w:hAnsi="仿宋" w:eastAsia="仿宋_GB2312"/>
          <w:color w:val="000000"/>
          <w:sz w:val="24"/>
        </w:rPr>
      </w:pPr>
      <w:r>
        <w:rPr>
          <w:rFonts w:hint="eastAsia" w:ascii="仿宋_GB2312" w:hAnsi="仿宋" w:eastAsia="仿宋_GB2312"/>
          <w:color w:val="000000"/>
          <w:sz w:val="24"/>
        </w:rPr>
        <w:t>要求项目中标单位选派具有深厚应用软件开发、系统集成与实施经验的项目经理和精深专业技术的工程师，结合其在应用软件开发、系统集成与实施方面的积累经验，提出较详细的项目实施计划，确定软件系统需求调研、系统分析和开发、实施、试运行、正式运行、验收等的各项规范；提出项目完善的售后服务体系，为该项目在服务保证期内和将来提供统一技术服务界面，融合系统软件集成商、应用软件开发商的售后服务；制定详细的培训计划，保证系统各级用户正常系统使用和运行维护管理。</w:t>
      </w:r>
    </w:p>
    <w:p>
      <w:pPr>
        <w:tabs>
          <w:tab w:val="left" w:pos="840"/>
        </w:tabs>
        <w:spacing w:line="360" w:lineRule="auto"/>
        <w:ind w:left="575"/>
        <w:rPr>
          <w:rFonts w:hint="eastAsia" w:ascii="仿宋_GB2312" w:hAnsi="仿宋" w:eastAsia="仿宋_GB2312"/>
          <w:color w:val="000000"/>
          <w:sz w:val="24"/>
        </w:rPr>
      </w:pPr>
      <w:r>
        <w:rPr>
          <w:rFonts w:hint="eastAsia" w:ascii="仿宋_GB2312" w:hAnsi="仿宋" w:eastAsia="仿宋_GB2312"/>
          <w:color w:val="000000"/>
          <w:sz w:val="24"/>
        </w:rPr>
        <w:t>2、售后服务要求</w:t>
      </w:r>
    </w:p>
    <w:p>
      <w:pPr>
        <w:tabs>
          <w:tab w:val="left" w:pos="840"/>
        </w:tabs>
        <w:spacing w:line="360" w:lineRule="auto"/>
        <w:ind w:left="105" w:firstLine="470"/>
        <w:rPr>
          <w:rFonts w:hint="eastAsia" w:ascii="仿宋_GB2312" w:hAnsi="仿宋" w:eastAsia="仿宋_GB2312"/>
          <w:color w:val="000000"/>
          <w:sz w:val="24"/>
        </w:rPr>
      </w:pPr>
      <w:r>
        <w:rPr>
          <w:rFonts w:hint="eastAsia" w:ascii="仿宋_GB2312" w:hAnsi="仿宋" w:eastAsia="仿宋_GB2312"/>
          <w:color w:val="000000"/>
          <w:sz w:val="24"/>
        </w:rPr>
        <w:t>为了保证本次项目顺利成功，要求投标人承诺项目验收后提供三年驻场维保服务。包括系统的免费升级、功能完善、故障排除、性能调优、技术咨询，以及模型的迭代更新等，并负责系统的开发、集成，处理、协调与各系统软件等供应商的关系。</w:t>
      </w:r>
    </w:p>
    <w:p>
      <w:pPr>
        <w:tabs>
          <w:tab w:val="left" w:pos="840"/>
        </w:tabs>
        <w:spacing w:line="360" w:lineRule="auto"/>
        <w:ind w:left="105" w:firstLine="470"/>
        <w:rPr>
          <w:rFonts w:hint="eastAsia" w:ascii="仿宋_GB2312" w:hAnsi="仿宋" w:eastAsia="仿宋_GB2312"/>
          <w:color w:val="000000"/>
          <w:sz w:val="24"/>
        </w:rPr>
      </w:pPr>
      <w:r>
        <w:rPr>
          <w:rFonts w:hint="eastAsia" w:ascii="仿宋_GB2312" w:hAnsi="仿宋" w:eastAsia="仿宋_GB2312"/>
          <w:color w:val="000000"/>
          <w:sz w:val="24"/>
        </w:rPr>
        <w:t>3、人员培训</w:t>
      </w:r>
    </w:p>
    <w:p>
      <w:pPr>
        <w:tabs>
          <w:tab w:val="left" w:pos="840"/>
        </w:tabs>
        <w:spacing w:line="360" w:lineRule="auto"/>
        <w:ind w:left="105" w:firstLine="470"/>
        <w:rPr>
          <w:rFonts w:hint="eastAsia" w:ascii="仿宋_GB2312" w:hAnsi="仿宋" w:eastAsia="仿宋_GB2312"/>
          <w:color w:val="000000"/>
          <w:sz w:val="24"/>
        </w:rPr>
      </w:pPr>
      <w:r>
        <w:rPr>
          <w:rFonts w:hint="eastAsia" w:ascii="仿宋_GB2312" w:hAnsi="仿宋" w:eastAsia="仿宋_GB2312"/>
          <w:color w:val="000000"/>
          <w:sz w:val="24"/>
        </w:rPr>
        <w:t>要求在项目交付前提供不少于两次在绍兴市公安局内免费集中培训；每次培训规模不低于30人，时间不少于两天。</w:t>
      </w:r>
    </w:p>
    <w:p>
      <w:pPr>
        <w:spacing w:line="360" w:lineRule="auto"/>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对应公安系统信息化建设的过程，应针对不同类型使用人员定制课程、进度、教学计划进行基础培训服务。力求信息系统的使用人员能在尽可能短的时间之内达到熟悉系统的软硬件环境并能够熟练掌握应用系统的操作目的。</w:t>
      </w:r>
    </w:p>
    <w:p>
      <w:pPr>
        <w:pStyle w:val="24"/>
        <w:numPr>
          <w:ilvl w:val="1"/>
          <w:numId w:val="2"/>
        </w:numPr>
        <w:spacing w:before="156" w:after="156"/>
        <w:rPr>
          <w:rFonts w:hint="eastAsia" w:ascii="仿宋_GB2312" w:hAnsi="仿宋" w:eastAsia="仿宋_GB2312"/>
          <w:color w:val="000000"/>
          <w:sz w:val="24"/>
          <w:szCs w:val="24"/>
        </w:rPr>
      </w:pPr>
      <w:r>
        <w:rPr>
          <w:rFonts w:hint="eastAsia" w:ascii="仿宋_GB2312" w:hAnsi="仿宋" w:eastAsia="仿宋_GB2312"/>
          <w:color w:val="000000"/>
          <w:sz w:val="24"/>
          <w:szCs w:val="24"/>
        </w:rPr>
        <w:t>技术服务要求</w:t>
      </w:r>
    </w:p>
    <w:p>
      <w:pPr>
        <w:spacing w:line="360" w:lineRule="auto"/>
        <w:ind w:left="105" w:firstLine="480"/>
        <w:rPr>
          <w:rFonts w:hint="eastAsia" w:ascii="仿宋_GB2312" w:hAnsi="仿宋" w:eastAsia="仿宋_GB2312"/>
          <w:color w:val="000000"/>
          <w:sz w:val="24"/>
        </w:rPr>
      </w:pPr>
      <w:r>
        <w:rPr>
          <w:rFonts w:hint="eastAsia" w:ascii="仿宋_GB2312" w:hAnsi="仿宋" w:eastAsia="仿宋_GB2312"/>
          <w:color w:val="000000"/>
          <w:sz w:val="24"/>
        </w:rPr>
        <w:t>1、投标人应确保其技术建议以及所提供的设备的完整性、实用性，保证全部系统及时投入正常运行。否则若出现因投标人提供的设备不满足要求、不合理，或者其所提供的技术支持和服务不全面，而导致系统无法实现或不能完全实现的状况，投标人负全部责任。</w:t>
      </w:r>
    </w:p>
    <w:p>
      <w:pPr>
        <w:spacing w:line="360" w:lineRule="auto"/>
        <w:ind w:left="105" w:firstLine="480"/>
        <w:rPr>
          <w:rFonts w:hint="eastAsia" w:ascii="仿宋_GB2312" w:hAnsi="仿宋" w:eastAsia="仿宋_GB2312"/>
          <w:color w:val="000000"/>
          <w:sz w:val="24"/>
        </w:rPr>
      </w:pPr>
      <w:r>
        <w:rPr>
          <w:rFonts w:hint="eastAsia" w:ascii="仿宋_GB2312" w:hAnsi="仿宋" w:eastAsia="仿宋_GB2312"/>
          <w:color w:val="000000"/>
          <w:sz w:val="24"/>
        </w:rPr>
        <w:t>2、特别提示：采购人需求在开发期和试运行期内，仍有可能不断完善，投标人须承诺在采购需求或政策法规范围内，随着采购人需求的变动随时做出响应，修改应用软件。正式验收通过后，若有需求变动，在免费维护期内，投标人须承诺在采购需求和政策法规范围内，仍应免费按采购人需求对整个系统做出相应修改，以满足采购人的需求软件。版权归绍兴市公安局所有。</w:t>
      </w:r>
    </w:p>
    <w:p>
      <w:pPr>
        <w:pStyle w:val="24"/>
        <w:numPr>
          <w:ilvl w:val="1"/>
          <w:numId w:val="2"/>
        </w:numPr>
        <w:spacing w:before="156" w:after="156"/>
        <w:rPr>
          <w:rFonts w:hint="eastAsia" w:ascii="仿宋_GB2312" w:hAnsi="仿宋" w:eastAsia="仿宋_GB2312"/>
          <w:color w:val="000000"/>
          <w:sz w:val="24"/>
          <w:szCs w:val="24"/>
        </w:rPr>
      </w:pPr>
      <w:r>
        <w:rPr>
          <w:rFonts w:hint="eastAsia" w:ascii="仿宋_GB2312" w:hAnsi="仿宋" w:eastAsia="仿宋_GB2312"/>
          <w:color w:val="000000"/>
          <w:sz w:val="24"/>
          <w:szCs w:val="24"/>
        </w:rPr>
        <w:t>验收要求</w:t>
      </w:r>
    </w:p>
    <w:p>
      <w:pPr>
        <w:spacing w:line="360" w:lineRule="auto"/>
        <w:ind w:left="105" w:firstLine="470"/>
        <w:rPr>
          <w:rFonts w:hint="eastAsia" w:ascii="仿宋_GB2312" w:hAnsi="仿宋" w:eastAsia="仿宋_GB2312"/>
          <w:color w:val="000000"/>
          <w:sz w:val="24"/>
        </w:rPr>
      </w:pPr>
      <w:r>
        <w:rPr>
          <w:rFonts w:hint="eastAsia" w:ascii="仿宋_GB2312" w:hAnsi="仿宋" w:eastAsia="仿宋_GB2312"/>
          <w:color w:val="000000"/>
          <w:sz w:val="24"/>
        </w:rPr>
        <w:t>项目的工作内容及成果文档的提交应覆盖以下内容，电子文档是成果不可分割的部分。</w:t>
      </w:r>
    </w:p>
    <w:p>
      <w:pPr>
        <w:spacing w:line="360" w:lineRule="auto"/>
        <w:ind w:left="105" w:firstLine="470"/>
        <w:rPr>
          <w:rFonts w:hint="eastAsia" w:ascii="仿宋_GB2312" w:hAnsi="仿宋" w:eastAsia="仿宋_GB2312"/>
          <w:color w:val="000000"/>
          <w:sz w:val="24"/>
        </w:rPr>
      </w:pPr>
      <w:r>
        <w:rPr>
          <w:rFonts w:hint="eastAsia" w:ascii="仿宋_GB2312" w:hAnsi="仿宋" w:eastAsia="仿宋_GB2312"/>
          <w:color w:val="000000"/>
          <w:sz w:val="24"/>
        </w:rPr>
        <w:t>1、应用软件的源程序及可执行代码。</w:t>
      </w:r>
    </w:p>
    <w:p>
      <w:pPr>
        <w:spacing w:line="360" w:lineRule="auto"/>
        <w:ind w:left="105" w:firstLine="470"/>
        <w:rPr>
          <w:rFonts w:hint="eastAsia" w:ascii="仿宋_GB2312" w:hAnsi="仿宋" w:eastAsia="仿宋_GB2312"/>
          <w:color w:val="000000"/>
          <w:sz w:val="24"/>
        </w:rPr>
      </w:pPr>
      <w:r>
        <w:rPr>
          <w:rFonts w:hint="eastAsia" w:ascii="仿宋_GB2312" w:hAnsi="仿宋" w:eastAsia="仿宋_GB2312"/>
          <w:color w:val="000000"/>
          <w:sz w:val="24"/>
        </w:rPr>
        <w:t>2、数据库的设计以及数据实体模型、相互关系的描述；</w:t>
      </w:r>
    </w:p>
    <w:p>
      <w:pPr>
        <w:spacing w:line="360" w:lineRule="auto"/>
        <w:ind w:left="105" w:firstLine="470"/>
        <w:rPr>
          <w:rFonts w:hint="eastAsia" w:ascii="仿宋_GB2312" w:hAnsi="仿宋" w:eastAsia="仿宋_GB2312"/>
          <w:color w:val="000000"/>
          <w:sz w:val="24"/>
        </w:rPr>
      </w:pPr>
      <w:r>
        <w:rPr>
          <w:rFonts w:hint="eastAsia" w:ascii="仿宋_GB2312" w:hAnsi="仿宋" w:eastAsia="仿宋_GB2312"/>
          <w:color w:val="000000"/>
          <w:sz w:val="24"/>
        </w:rPr>
        <w:t>3、网络系统的拓扑结构以及相关设备的配置；</w:t>
      </w:r>
    </w:p>
    <w:p>
      <w:pPr>
        <w:spacing w:line="360" w:lineRule="auto"/>
        <w:ind w:left="105" w:firstLine="470"/>
        <w:rPr>
          <w:rFonts w:hint="eastAsia" w:ascii="仿宋_GB2312" w:hAnsi="仿宋" w:eastAsia="仿宋_GB2312"/>
          <w:color w:val="000000"/>
          <w:sz w:val="24"/>
        </w:rPr>
      </w:pPr>
      <w:r>
        <w:rPr>
          <w:rFonts w:hint="eastAsia" w:ascii="仿宋_GB2312" w:hAnsi="仿宋" w:eastAsia="仿宋_GB2312"/>
          <w:color w:val="000000"/>
          <w:sz w:val="24"/>
        </w:rPr>
        <w:t>4、系统的体系架构及描述；</w:t>
      </w:r>
    </w:p>
    <w:p>
      <w:pPr>
        <w:spacing w:line="360" w:lineRule="auto"/>
        <w:ind w:left="105" w:firstLine="470"/>
        <w:rPr>
          <w:rFonts w:hint="eastAsia" w:ascii="仿宋_GB2312" w:hAnsi="仿宋" w:eastAsia="仿宋_GB2312"/>
          <w:color w:val="000000"/>
          <w:sz w:val="24"/>
        </w:rPr>
      </w:pPr>
      <w:r>
        <w:rPr>
          <w:rFonts w:hint="eastAsia" w:ascii="仿宋_GB2312" w:hAnsi="仿宋" w:eastAsia="仿宋_GB2312"/>
          <w:color w:val="000000"/>
          <w:sz w:val="24"/>
        </w:rPr>
        <w:t>5、提供的其它技术手册，包括：</w:t>
      </w:r>
    </w:p>
    <w:p>
      <w:pPr>
        <w:spacing w:line="360" w:lineRule="auto"/>
        <w:ind w:left="575"/>
        <w:rPr>
          <w:rFonts w:hint="eastAsia" w:ascii="仿宋_GB2312" w:hAnsi="仿宋" w:eastAsia="仿宋_GB2312"/>
          <w:color w:val="000000"/>
          <w:sz w:val="24"/>
        </w:rPr>
      </w:pPr>
      <w:r>
        <w:rPr>
          <w:rFonts w:hint="eastAsia" w:ascii="仿宋_GB2312" w:hAnsi="仿宋" w:eastAsia="仿宋_GB2312"/>
          <w:color w:val="000000"/>
          <w:sz w:val="24"/>
        </w:rPr>
        <w:t>需求分析报告（含软件功能需求与数据要求）；</w:t>
      </w:r>
    </w:p>
    <w:p>
      <w:pPr>
        <w:spacing w:line="360" w:lineRule="auto"/>
        <w:ind w:left="575"/>
        <w:rPr>
          <w:rFonts w:hint="eastAsia" w:ascii="仿宋_GB2312" w:hAnsi="仿宋" w:eastAsia="仿宋_GB2312"/>
          <w:color w:val="000000"/>
          <w:sz w:val="24"/>
        </w:rPr>
      </w:pPr>
      <w:r>
        <w:rPr>
          <w:rFonts w:hint="eastAsia" w:ascii="仿宋_GB2312" w:hAnsi="仿宋" w:eastAsia="仿宋_GB2312"/>
          <w:color w:val="000000"/>
          <w:sz w:val="24"/>
        </w:rPr>
        <w:t>系统概要设计说明书；</w:t>
      </w:r>
    </w:p>
    <w:p>
      <w:pPr>
        <w:spacing w:line="360" w:lineRule="auto"/>
        <w:ind w:left="575"/>
        <w:rPr>
          <w:rFonts w:hint="eastAsia" w:ascii="仿宋_GB2312" w:hAnsi="仿宋" w:eastAsia="仿宋_GB2312"/>
          <w:color w:val="000000"/>
          <w:sz w:val="24"/>
        </w:rPr>
      </w:pPr>
      <w:r>
        <w:rPr>
          <w:rFonts w:hint="eastAsia" w:ascii="仿宋_GB2312" w:hAnsi="仿宋" w:eastAsia="仿宋_GB2312"/>
          <w:color w:val="000000"/>
          <w:sz w:val="24"/>
        </w:rPr>
        <w:t>系统详细设计方案及系统测试方案设计；</w:t>
      </w:r>
    </w:p>
    <w:p>
      <w:pPr>
        <w:spacing w:line="360" w:lineRule="auto"/>
        <w:ind w:left="575"/>
        <w:rPr>
          <w:rFonts w:hint="eastAsia" w:ascii="仿宋_GB2312" w:hAnsi="仿宋" w:eastAsia="仿宋_GB2312"/>
          <w:color w:val="000000"/>
          <w:sz w:val="24"/>
        </w:rPr>
      </w:pPr>
      <w:r>
        <w:rPr>
          <w:rFonts w:hint="eastAsia" w:ascii="仿宋_GB2312" w:hAnsi="仿宋" w:eastAsia="仿宋_GB2312"/>
          <w:color w:val="000000"/>
          <w:sz w:val="24"/>
        </w:rPr>
        <w:t>软件培训资料（含系统演示光盘）；</w:t>
      </w:r>
    </w:p>
    <w:p>
      <w:pPr>
        <w:spacing w:line="360" w:lineRule="auto"/>
        <w:ind w:left="575"/>
        <w:rPr>
          <w:rFonts w:hint="eastAsia" w:ascii="仿宋_GB2312" w:hAnsi="仿宋" w:eastAsia="仿宋_GB2312"/>
          <w:color w:val="000000"/>
          <w:sz w:val="24"/>
        </w:rPr>
      </w:pPr>
      <w:r>
        <w:rPr>
          <w:rFonts w:hint="eastAsia" w:ascii="仿宋_GB2312" w:hAnsi="仿宋" w:eastAsia="仿宋_GB2312"/>
          <w:color w:val="000000"/>
          <w:sz w:val="24"/>
        </w:rPr>
        <w:t>数据库设计方案；</w:t>
      </w:r>
    </w:p>
    <w:p>
      <w:pPr>
        <w:spacing w:line="360" w:lineRule="auto"/>
        <w:ind w:left="575"/>
        <w:rPr>
          <w:rFonts w:hint="eastAsia" w:ascii="仿宋_GB2312" w:hAnsi="仿宋" w:eastAsia="仿宋_GB2312"/>
          <w:color w:val="000000"/>
          <w:sz w:val="24"/>
        </w:rPr>
      </w:pPr>
      <w:r>
        <w:rPr>
          <w:rFonts w:hint="eastAsia" w:ascii="仿宋_GB2312" w:hAnsi="仿宋" w:eastAsia="仿宋_GB2312"/>
          <w:color w:val="000000"/>
          <w:sz w:val="24"/>
        </w:rPr>
        <w:t>程序安装维护手册；</w:t>
      </w:r>
    </w:p>
    <w:p>
      <w:pPr>
        <w:spacing w:line="360" w:lineRule="auto"/>
        <w:ind w:left="575"/>
        <w:rPr>
          <w:rFonts w:hint="eastAsia" w:ascii="仿宋_GB2312" w:hAnsi="仿宋" w:eastAsia="仿宋_GB2312"/>
          <w:color w:val="000000"/>
          <w:sz w:val="24"/>
        </w:rPr>
      </w:pPr>
      <w:r>
        <w:rPr>
          <w:rFonts w:hint="eastAsia" w:ascii="仿宋_GB2312" w:hAnsi="仿宋" w:eastAsia="仿宋_GB2312"/>
          <w:color w:val="000000"/>
          <w:sz w:val="24"/>
        </w:rPr>
        <w:t>软件使用操作手册；</w:t>
      </w:r>
    </w:p>
    <w:p>
      <w:pPr>
        <w:spacing w:line="360" w:lineRule="auto"/>
        <w:ind w:left="575"/>
        <w:rPr>
          <w:rFonts w:hint="eastAsia" w:ascii="仿宋_GB2312" w:hAnsi="仿宋" w:eastAsia="仿宋_GB2312"/>
          <w:color w:val="000000"/>
          <w:sz w:val="24"/>
        </w:rPr>
      </w:pPr>
      <w:r>
        <w:rPr>
          <w:rFonts w:hint="eastAsia" w:ascii="仿宋_GB2312" w:hAnsi="仿宋" w:eastAsia="仿宋_GB2312"/>
          <w:color w:val="000000"/>
          <w:sz w:val="24"/>
        </w:rPr>
        <w:t>系统的测试分析报告；</w:t>
      </w:r>
    </w:p>
    <w:p>
      <w:pPr>
        <w:spacing w:line="360" w:lineRule="auto"/>
        <w:ind w:left="575"/>
        <w:rPr>
          <w:rFonts w:hint="eastAsia" w:ascii="仿宋_GB2312" w:hAnsi="仿宋" w:eastAsia="仿宋_GB2312"/>
          <w:color w:val="000000"/>
          <w:sz w:val="24"/>
        </w:rPr>
      </w:pPr>
      <w:r>
        <w:rPr>
          <w:rFonts w:hint="eastAsia" w:ascii="仿宋_GB2312" w:hAnsi="仿宋" w:eastAsia="仿宋_GB2312"/>
          <w:color w:val="000000"/>
          <w:sz w:val="24"/>
        </w:rPr>
        <w:t>系统第三方检测报告。</w:t>
      </w:r>
    </w:p>
    <w:p>
      <w:pPr>
        <w:pStyle w:val="24"/>
        <w:numPr>
          <w:ilvl w:val="0"/>
          <w:numId w:val="0"/>
        </w:numPr>
        <w:spacing w:before="156" w:after="156"/>
        <w:rPr>
          <w:rFonts w:hint="eastAsia" w:ascii="仿宋_GB2312" w:hAnsi="仿宋" w:eastAsia="仿宋_GB2312"/>
          <w:color w:val="000000"/>
          <w:sz w:val="24"/>
          <w:szCs w:val="24"/>
        </w:rPr>
      </w:pPr>
      <w:r>
        <w:rPr>
          <w:rFonts w:hint="eastAsia" w:ascii="仿宋_GB2312" w:hAnsi="仿宋" w:eastAsia="仿宋_GB2312"/>
          <w:color w:val="000000"/>
          <w:sz w:val="24"/>
          <w:szCs w:val="24"/>
        </w:rPr>
        <w:t>1.10 产权要求</w:t>
      </w:r>
    </w:p>
    <w:p>
      <w:pPr>
        <w:snapToGrid w:val="0"/>
        <w:spacing w:line="360" w:lineRule="auto"/>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1.本项目的所有权和知识产权归采购人所有。</w:t>
      </w:r>
    </w:p>
    <w:p>
      <w:pPr>
        <w:snapToGrid w:val="0"/>
        <w:spacing w:line="360" w:lineRule="auto"/>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2.涉及的源代码（含质保期内的后续升级版本）必须遵循相关标准和规范,并无条件提交给采购人。</w:t>
      </w:r>
    </w:p>
    <w:p>
      <w:pPr>
        <w:snapToGrid w:val="0"/>
        <w:spacing w:line="360" w:lineRule="auto"/>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3.涉及接口的必须遵循相关标准和规范，向下部署的，必须无条件开放所有接口且满足国家共享相关规定要求，项目承建单位（施工单位、实施单位）有义务配合采购人做好有关信息共享工作。</w:t>
      </w:r>
    </w:p>
    <w:p>
      <w:pPr>
        <w:snapToGrid w:val="0"/>
        <w:spacing w:line="360" w:lineRule="auto"/>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4.本项目在开发、使用和维护过程中接触到的采购人的所有资料，未经采购人授权代表书面许可，不得留存，私自查阅及向任何第三方泄露。</w:t>
      </w:r>
    </w:p>
    <w:p>
      <w:pPr>
        <w:snapToGrid w:val="0"/>
        <w:spacing w:line="360" w:lineRule="auto"/>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5.本项目的设计开发专利申请权、技术秘密的使用权和转让权归采购人所有。</w:t>
      </w:r>
    </w:p>
    <w:p>
      <w:pPr>
        <w:pStyle w:val="24"/>
        <w:numPr>
          <w:ilvl w:val="0"/>
          <w:numId w:val="0"/>
        </w:numPr>
        <w:spacing w:before="156" w:after="156"/>
        <w:rPr>
          <w:rFonts w:hint="eastAsia" w:ascii="仿宋_GB2312" w:hAnsi="仿宋" w:eastAsia="仿宋_GB2312"/>
          <w:color w:val="000000"/>
          <w:sz w:val="24"/>
          <w:szCs w:val="24"/>
        </w:rPr>
      </w:pPr>
      <w:r>
        <w:rPr>
          <w:rFonts w:hint="eastAsia" w:ascii="仿宋_GB2312" w:hAnsi="仿宋" w:eastAsia="仿宋_GB2312"/>
          <w:color w:val="000000"/>
          <w:sz w:val="24"/>
          <w:szCs w:val="24"/>
        </w:rPr>
        <w:t>1.11付款方式</w:t>
      </w:r>
    </w:p>
    <w:p>
      <w:pPr>
        <w:spacing w:line="40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合同签订后15天内，支付合同金额的40%，验收合格后15天内，中标人向招标人指定账户打入合同金额5%，作为履约保证金，招标人支付合同金额的60%，合同履约完成后退还履约保证金（不计息）。</w:t>
      </w:r>
    </w:p>
    <w:p>
      <w:pPr>
        <w:rPr>
          <w:rFonts w:hint="eastAsia" w:ascii="仿宋_GB2312" w:hAnsi="宋体" w:eastAsia="仿宋_GB2312"/>
          <w:b/>
          <w:color w:val="000000"/>
          <w:sz w:val="24"/>
        </w:rPr>
      </w:pPr>
      <w:bookmarkStart w:id="1" w:name="_Toc84325981"/>
      <w:bookmarkStart w:id="2" w:name="_Toc81372787"/>
      <w:bookmarkStart w:id="3" w:name="_Toc81372964"/>
      <w:bookmarkStart w:id="4" w:name="_Toc80157775"/>
      <w:r>
        <w:rPr>
          <w:rFonts w:hint="eastAsia" w:ascii="仿宋_GB2312" w:eastAsia="仿宋_GB2312"/>
          <w:b/>
          <w:color w:val="000000"/>
          <w:sz w:val="24"/>
          <w:bdr w:val="single" w:color="auto" w:sz="4" w:space="0"/>
        </w:rPr>
        <w:t>02标</w:t>
      </w:r>
      <w:r>
        <w:rPr>
          <w:rFonts w:hint="eastAsia" w:ascii="仿宋_GB2312" w:hAnsi="宋体" w:eastAsia="仿宋_GB2312"/>
          <w:b/>
          <w:color w:val="000000"/>
          <w:sz w:val="24"/>
        </w:rPr>
        <w:t>钉钉端及办公平台升级维护项目</w:t>
      </w:r>
    </w:p>
    <w:p>
      <w:pPr>
        <w:snapToGrid w:val="0"/>
        <w:spacing w:line="440" w:lineRule="exact"/>
        <w:jc w:val="left"/>
        <w:rPr>
          <w:rFonts w:hint="eastAsia" w:ascii="仿宋_GB2312" w:hAnsi="宋体" w:eastAsia="仿宋_GB2312"/>
          <w:color w:val="000000"/>
          <w:sz w:val="24"/>
        </w:rPr>
      </w:pPr>
      <w:r>
        <w:rPr>
          <w:rFonts w:hint="eastAsia" w:ascii="仿宋_GB2312" w:hAnsi="宋体" w:eastAsia="仿宋_GB2312"/>
          <w:color w:val="000000"/>
          <w:sz w:val="24"/>
        </w:rPr>
        <w:t>一、招标内容：</w:t>
      </w:r>
    </w:p>
    <w:p>
      <w:pPr>
        <w:spacing w:line="360" w:lineRule="auto"/>
        <w:rPr>
          <w:rFonts w:hint="eastAsia" w:ascii="仿宋_GB2312" w:hAnsi="宋体" w:eastAsia="仿宋_GB2312"/>
          <w:b/>
          <w:bCs/>
          <w:color w:val="000000"/>
          <w:sz w:val="24"/>
        </w:rPr>
      </w:pPr>
      <w:r>
        <w:rPr>
          <w:rFonts w:hint="eastAsia" w:ascii="仿宋_GB2312" w:hAnsi="宋体" w:eastAsia="仿宋_GB2312"/>
          <w:b/>
          <w:bCs/>
          <w:color w:val="000000"/>
          <w:sz w:val="24"/>
        </w:rPr>
        <w:t>1、建设目标和内容要求</w:t>
      </w:r>
    </w:p>
    <w:p>
      <w:pPr>
        <w:spacing w:line="360" w:lineRule="auto"/>
        <w:ind w:firstLine="424" w:firstLineChars="177"/>
        <w:rPr>
          <w:rFonts w:hint="eastAsia" w:ascii="仿宋_GB2312" w:hAnsi="宋体" w:eastAsia="仿宋_GB2312"/>
          <w:color w:val="000000"/>
          <w:sz w:val="24"/>
        </w:rPr>
      </w:pPr>
      <w:r>
        <w:rPr>
          <w:rFonts w:hint="eastAsia" w:ascii="仿宋_GB2312" w:hAnsi="宋体" w:eastAsia="仿宋_GB2312"/>
          <w:color w:val="000000"/>
          <w:sz w:val="24"/>
        </w:rPr>
        <w:t>针对民警的日常工作需求在钉钉平台建设各类微应用，建设民警巡逻、民警走访、走千村访万户、清风行动、问卷调查等应用模块，并支持各类业务数据导出，需要将现有绍兴公安工作台迁移到浙政钉上。主要功能需求建设包括：</w:t>
      </w:r>
    </w:p>
    <w:p>
      <w:pPr>
        <w:spacing w:line="360" w:lineRule="auto"/>
        <w:ind w:firstLine="424" w:firstLineChars="177"/>
        <w:rPr>
          <w:rFonts w:hint="eastAsia" w:ascii="仿宋_GB2312" w:hAnsi="宋体" w:eastAsia="仿宋_GB2312"/>
          <w:color w:val="000000"/>
          <w:sz w:val="24"/>
        </w:rPr>
      </w:pPr>
      <w:r>
        <w:rPr>
          <w:rFonts w:hint="eastAsia" w:ascii="仿宋_GB2312" w:hAnsi="宋体" w:eastAsia="仿宋_GB2312"/>
          <w:color w:val="000000"/>
          <w:sz w:val="24"/>
        </w:rPr>
        <w:t>民警巡逻：民警在巡逻时，可以通过钉钉实现巡逻签到、巡逻签退、巡逻笔记等功能；</w:t>
      </w:r>
    </w:p>
    <w:p>
      <w:pPr>
        <w:spacing w:line="360" w:lineRule="auto"/>
        <w:ind w:firstLine="424" w:firstLineChars="177"/>
        <w:rPr>
          <w:rFonts w:hint="eastAsia" w:ascii="仿宋_GB2312" w:hAnsi="宋体" w:eastAsia="仿宋_GB2312"/>
          <w:color w:val="000000"/>
          <w:sz w:val="24"/>
        </w:rPr>
      </w:pPr>
      <w:r>
        <w:rPr>
          <w:rFonts w:hint="eastAsia" w:ascii="仿宋_GB2312" w:hAnsi="宋体" w:eastAsia="仿宋_GB2312"/>
          <w:color w:val="000000"/>
          <w:sz w:val="24"/>
        </w:rPr>
        <w:t>民警走访：民警在对老百姓走访时，能够记录群众的相关信息，包括：姓名、地址、手机号、建议等；</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专项行动：为民警在钉钉端提供记录所有相关场所信息的功能；</w:t>
      </w:r>
    </w:p>
    <w:p>
      <w:pPr>
        <w:spacing w:line="360" w:lineRule="auto"/>
        <w:ind w:firstLine="424" w:firstLineChars="177"/>
        <w:rPr>
          <w:rFonts w:hint="eastAsia" w:ascii="仿宋_GB2312" w:hAnsi="宋体" w:eastAsia="仿宋_GB2312"/>
          <w:color w:val="000000"/>
          <w:sz w:val="24"/>
        </w:rPr>
      </w:pPr>
      <w:r>
        <w:rPr>
          <w:rFonts w:hint="eastAsia" w:ascii="仿宋_GB2312" w:hAnsi="宋体" w:eastAsia="仿宋_GB2312"/>
          <w:color w:val="000000"/>
          <w:sz w:val="24"/>
        </w:rPr>
        <w:t>问卷调查：在钉钉端可以实现问卷及调查。</w:t>
      </w:r>
    </w:p>
    <w:p>
      <w:pPr>
        <w:spacing w:line="360" w:lineRule="auto"/>
        <w:ind w:firstLine="424" w:firstLineChars="177"/>
        <w:rPr>
          <w:rFonts w:hint="eastAsia" w:ascii="仿宋_GB2312" w:hAnsi="宋体" w:eastAsia="仿宋_GB2312"/>
          <w:color w:val="000000"/>
          <w:sz w:val="24"/>
        </w:rPr>
      </w:pPr>
      <w:r>
        <w:rPr>
          <w:rFonts w:hint="eastAsia" w:ascii="仿宋_GB2312" w:hAnsi="宋体" w:eastAsia="仿宋_GB2312"/>
          <w:color w:val="000000"/>
          <w:sz w:val="24"/>
        </w:rPr>
        <w:t>全员消息推送：实现即时消息发布功能，可编辑消息并推送到钉钉移动端，民警接收消息提醒后可查看消息详情。</w:t>
      </w:r>
    </w:p>
    <w:p>
      <w:pPr>
        <w:spacing w:line="360" w:lineRule="auto"/>
        <w:ind w:firstLine="424" w:firstLineChars="177"/>
        <w:rPr>
          <w:rFonts w:hint="eastAsia" w:ascii="仿宋_GB2312" w:hAnsi="宋体" w:eastAsia="仿宋_GB2312"/>
          <w:color w:val="000000"/>
          <w:sz w:val="24"/>
        </w:rPr>
      </w:pPr>
      <w:r>
        <w:rPr>
          <w:rFonts w:hint="eastAsia" w:ascii="仿宋_GB2312" w:hAnsi="宋体" w:eastAsia="仿宋_GB2312"/>
          <w:color w:val="000000"/>
          <w:sz w:val="24"/>
        </w:rPr>
        <w:t>应酬、饮酒报备：民警、部门领导需要饮酒时，需要向上级领导报备。</w:t>
      </w:r>
    </w:p>
    <w:p>
      <w:pPr>
        <w:spacing w:line="360" w:lineRule="auto"/>
        <w:ind w:firstLine="424" w:firstLineChars="177"/>
        <w:rPr>
          <w:rFonts w:hint="eastAsia" w:ascii="仿宋_GB2312" w:hAnsi="宋体" w:eastAsia="仿宋_GB2312"/>
          <w:color w:val="000000"/>
          <w:sz w:val="24"/>
        </w:rPr>
      </w:pPr>
      <w:r>
        <w:rPr>
          <w:rFonts w:hint="eastAsia" w:ascii="仿宋_GB2312" w:hAnsi="宋体" w:eastAsia="仿宋_GB2312"/>
          <w:color w:val="000000"/>
          <w:sz w:val="24"/>
        </w:rPr>
        <w:t>会议申请：包括管理会议室，申请会议，会议审批，会议报名、会议保障等功能。</w:t>
      </w:r>
    </w:p>
    <w:p>
      <w:pPr>
        <w:spacing w:line="360" w:lineRule="auto"/>
        <w:ind w:firstLine="424" w:firstLineChars="177"/>
        <w:rPr>
          <w:rFonts w:hint="eastAsia" w:ascii="仿宋_GB2312" w:hAnsi="宋体" w:eastAsia="仿宋_GB2312"/>
          <w:color w:val="000000"/>
          <w:sz w:val="24"/>
        </w:rPr>
      </w:pPr>
      <w:r>
        <w:rPr>
          <w:rFonts w:hint="eastAsia" w:ascii="仿宋_GB2312" w:hAnsi="宋体" w:eastAsia="仿宋_GB2312"/>
          <w:color w:val="000000"/>
          <w:sz w:val="24"/>
        </w:rPr>
        <w:t>数据导出：实现对民警巡逻、民警走访等功能的数据导出。</w:t>
      </w:r>
    </w:p>
    <w:p>
      <w:pPr>
        <w:spacing w:line="360" w:lineRule="auto"/>
        <w:ind w:firstLine="424" w:firstLineChars="177"/>
        <w:rPr>
          <w:rFonts w:hint="eastAsia" w:ascii="仿宋_GB2312" w:hAnsi="宋体" w:eastAsia="仿宋_GB2312"/>
          <w:color w:val="000000"/>
          <w:sz w:val="24"/>
        </w:rPr>
      </w:pPr>
      <w:r>
        <w:rPr>
          <w:rFonts w:hint="eastAsia" w:ascii="仿宋_GB2312" w:hAnsi="宋体" w:eastAsia="仿宋_GB2312"/>
          <w:color w:val="000000"/>
          <w:sz w:val="24"/>
        </w:rPr>
        <w:t>公文流转：对接公安网上的协同办公系统，实现在钉钉上公文的查看、办理、传阅、转发功能；</w:t>
      </w:r>
    </w:p>
    <w:p>
      <w:pPr>
        <w:spacing w:line="360" w:lineRule="auto"/>
        <w:ind w:firstLine="424" w:firstLineChars="177"/>
        <w:rPr>
          <w:rFonts w:hint="eastAsia" w:ascii="仿宋_GB2312" w:hAnsi="宋体" w:eastAsia="仿宋_GB2312"/>
          <w:color w:val="000000"/>
          <w:sz w:val="24"/>
        </w:rPr>
      </w:pPr>
      <w:r>
        <w:rPr>
          <w:rFonts w:hint="eastAsia" w:ascii="仿宋_GB2312" w:hAnsi="宋体" w:eastAsia="仿宋_GB2312"/>
          <w:color w:val="000000"/>
          <w:sz w:val="24"/>
        </w:rPr>
        <w:t>OA办公平台改造：包括发文流程改造,办公首页页面调整、办文单页面调整、收文办文单领导意见显示调整；</w:t>
      </w:r>
    </w:p>
    <w:p>
      <w:pPr>
        <w:spacing w:line="360" w:lineRule="auto"/>
        <w:ind w:firstLine="424" w:firstLineChars="177"/>
        <w:rPr>
          <w:rFonts w:hint="eastAsia" w:ascii="仿宋_GB2312" w:hAnsi="宋体" w:eastAsia="仿宋_GB2312"/>
          <w:color w:val="000000"/>
          <w:sz w:val="24"/>
        </w:rPr>
      </w:pPr>
      <w:r>
        <w:rPr>
          <w:rFonts w:hint="eastAsia" w:ascii="仿宋_GB2312" w:hAnsi="宋体" w:eastAsia="仿宋_GB2312"/>
          <w:color w:val="000000"/>
          <w:sz w:val="24"/>
        </w:rPr>
        <w:t>钉钉工作台迁移：将现有绍兴市公安局钉钉工作台上功能迁移到浙政钉工作台，迁移的功能包括：会议管理、会议活动请假、负责人外出报备、局介绍信开具、公章使用审批、调休、请假、维修申报、物品领用、一卡通申领、车辆出入申请、公务接待审批、固话装移机申请、虚拟网申请、交通安全设施应急维修，信息化项目启动报告审批，市局机关经费预算（采购方式）事前审批，市局机关招标文件会审审批，市局机关合同会审审批。</w:t>
      </w:r>
    </w:p>
    <w:p>
      <w:pPr>
        <w:spacing w:line="360" w:lineRule="auto"/>
        <w:rPr>
          <w:rFonts w:hint="eastAsia" w:ascii="仿宋_GB2312" w:hAnsi="宋体" w:eastAsia="仿宋_GB2312"/>
          <w:b/>
          <w:bCs/>
          <w:color w:val="000000"/>
          <w:sz w:val="24"/>
        </w:rPr>
      </w:pPr>
      <w:r>
        <w:rPr>
          <w:rFonts w:hint="eastAsia" w:ascii="仿宋_GB2312" w:hAnsi="宋体" w:eastAsia="仿宋_GB2312"/>
          <w:b/>
          <w:bCs/>
          <w:color w:val="000000"/>
          <w:sz w:val="24"/>
        </w:rPr>
        <w:t>2、技术要求</w:t>
      </w:r>
    </w:p>
    <w:p>
      <w:pPr>
        <w:spacing w:line="360" w:lineRule="auto"/>
        <w:rPr>
          <w:rFonts w:hint="eastAsia" w:ascii="仿宋_GB2312" w:hAnsi="宋体" w:eastAsia="仿宋_GB2312"/>
          <w:b/>
          <w:bCs/>
          <w:color w:val="000000"/>
          <w:sz w:val="24"/>
        </w:rPr>
      </w:pPr>
      <w:r>
        <w:rPr>
          <w:rFonts w:hint="eastAsia" w:ascii="仿宋_GB2312" w:hAnsi="宋体" w:eastAsia="仿宋_GB2312"/>
          <w:b/>
          <w:bCs/>
          <w:color w:val="000000"/>
          <w:sz w:val="24"/>
        </w:rPr>
        <w:t>2.1 需求理解</w:t>
      </w:r>
    </w:p>
    <w:p>
      <w:pPr>
        <w:spacing w:line="360" w:lineRule="auto"/>
        <w:ind w:firstLine="480" w:firstLineChars="200"/>
        <w:rPr>
          <w:rFonts w:hint="eastAsia" w:ascii="仿宋_GB2312" w:hAnsi="宋体" w:eastAsia="仿宋_GB2312"/>
          <w:color w:val="000000"/>
          <w:sz w:val="24"/>
        </w:rPr>
      </w:pPr>
      <w:r>
        <w:rPr>
          <w:rFonts w:hint="eastAsia" w:ascii="仿宋_GB2312" w:hAnsi="等线" w:eastAsia="仿宋_GB2312" w:cs="Arial"/>
          <w:color w:val="000000"/>
          <w:sz w:val="24"/>
        </w:rPr>
        <w:t>对钉钉移动办公角度整体理解深刻，</w:t>
      </w:r>
      <w:r>
        <w:rPr>
          <w:rFonts w:hint="eastAsia" w:ascii="仿宋_GB2312" w:hAnsi="宋体" w:eastAsia="仿宋_GB2312"/>
          <w:color w:val="000000"/>
          <w:sz w:val="24"/>
        </w:rPr>
        <w:t>需对公安办公需求有一定了解，并</w:t>
      </w:r>
      <w:r>
        <w:rPr>
          <w:rFonts w:hint="eastAsia" w:ascii="仿宋_GB2312" w:hAnsi="等线" w:eastAsia="仿宋_GB2312" w:cs="Arial"/>
          <w:color w:val="000000"/>
          <w:sz w:val="24"/>
        </w:rPr>
        <w:t>形成整体建设框架，</w:t>
      </w:r>
      <w:r>
        <w:rPr>
          <w:rFonts w:hint="eastAsia" w:ascii="仿宋_GB2312" w:hAnsi="宋体" w:eastAsia="仿宋_GB2312"/>
          <w:color w:val="000000"/>
          <w:sz w:val="24"/>
        </w:rPr>
        <w:t xml:space="preserve">能把握各个模块功能要点。 </w:t>
      </w:r>
    </w:p>
    <w:p>
      <w:pPr>
        <w:spacing w:line="360" w:lineRule="auto"/>
        <w:rPr>
          <w:rFonts w:hint="eastAsia" w:ascii="仿宋_GB2312" w:hAnsi="宋体" w:eastAsia="仿宋_GB2312"/>
          <w:color w:val="000000"/>
          <w:sz w:val="24"/>
        </w:rPr>
      </w:pPr>
      <w:r>
        <w:rPr>
          <w:rFonts w:hint="eastAsia" w:ascii="仿宋_GB2312" w:hAnsi="宋体" w:eastAsia="仿宋_GB2312"/>
          <w:color w:val="000000"/>
          <w:sz w:val="24"/>
        </w:rPr>
        <w:t>2.2 服务端技术要求</w:t>
      </w:r>
    </w:p>
    <w:p>
      <w:pPr>
        <w:spacing w:line="360" w:lineRule="auto"/>
        <w:rPr>
          <w:rFonts w:hint="eastAsia" w:ascii="仿宋_GB2312" w:hAnsi="宋体" w:eastAsia="仿宋_GB2312"/>
          <w:color w:val="000000"/>
          <w:sz w:val="24"/>
        </w:rPr>
      </w:pPr>
      <w:r>
        <w:rPr>
          <w:rFonts w:hint="eastAsia" w:ascii="仿宋_GB2312" w:hAnsi="宋体" w:eastAsia="仿宋_GB2312"/>
          <w:color w:val="000000"/>
          <w:sz w:val="24"/>
        </w:rPr>
        <w:t>（1）系统整体上以阿里云为支撑平台，投标人可以采用平台免费提供的硬件网络环境、数据库（Mysql、Oracl）和中间件Tomcat（版本7.0/8.0/9.0）,如投标人采用其它产品需自行采购。</w:t>
      </w:r>
    </w:p>
    <w:p>
      <w:pPr>
        <w:spacing w:line="360" w:lineRule="auto"/>
        <w:ind w:firstLine="424" w:firstLineChars="177"/>
        <w:rPr>
          <w:rFonts w:hint="eastAsia" w:ascii="仿宋_GB2312" w:hAnsi="宋体" w:eastAsia="仿宋_GB2312"/>
          <w:color w:val="000000"/>
          <w:sz w:val="24"/>
        </w:rPr>
      </w:pPr>
      <w:r>
        <w:rPr>
          <w:rFonts w:hint="eastAsia" w:ascii="仿宋_GB2312" w:hAnsi="宋体" w:eastAsia="仿宋_GB2312"/>
          <w:color w:val="000000"/>
          <w:sz w:val="24"/>
        </w:rPr>
        <w:t>（2）系统应采用成熟、先进的设计思想和设计方法，同时应充分、高效地利用现有相关的硬件和网络资源，实现先进性和实用性的相统一。</w:t>
      </w:r>
    </w:p>
    <w:p>
      <w:pPr>
        <w:spacing w:line="360" w:lineRule="auto"/>
        <w:ind w:firstLine="424" w:firstLineChars="177"/>
        <w:rPr>
          <w:rFonts w:hint="eastAsia" w:ascii="仿宋_GB2312" w:hAnsi="宋体" w:eastAsia="仿宋_GB2312"/>
          <w:color w:val="000000"/>
          <w:sz w:val="24"/>
        </w:rPr>
      </w:pPr>
      <w:r>
        <w:rPr>
          <w:rFonts w:hint="eastAsia" w:ascii="仿宋_GB2312" w:hAnsi="宋体" w:eastAsia="仿宋_GB2312"/>
          <w:color w:val="000000"/>
          <w:sz w:val="24"/>
        </w:rPr>
        <w:t>（3）系统具有良好的易用性，交互操作简单。</w:t>
      </w:r>
    </w:p>
    <w:p>
      <w:pPr>
        <w:spacing w:line="360" w:lineRule="auto"/>
        <w:ind w:firstLine="424" w:firstLineChars="177"/>
        <w:rPr>
          <w:rFonts w:hint="eastAsia" w:ascii="仿宋_GB2312" w:hAnsi="宋体" w:eastAsia="仿宋_GB2312"/>
          <w:color w:val="000000"/>
          <w:sz w:val="24"/>
        </w:rPr>
      </w:pPr>
      <w:r>
        <w:rPr>
          <w:rFonts w:hint="eastAsia" w:ascii="仿宋_GB2312" w:hAnsi="宋体" w:eastAsia="仿宋_GB2312"/>
          <w:color w:val="000000"/>
          <w:sz w:val="24"/>
        </w:rPr>
        <w:t>（4）软件架构要求具备开放性，提供完整规范的开发接口，能够满足主流平台和跨平台快速应用开发的需求；</w:t>
      </w:r>
    </w:p>
    <w:p>
      <w:pPr>
        <w:spacing w:line="360" w:lineRule="auto"/>
        <w:ind w:firstLine="424" w:firstLineChars="177"/>
        <w:rPr>
          <w:rFonts w:hint="eastAsia" w:ascii="仿宋_GB2312" w:hAnsi="宋体" w:eastAsia="仿宋_GB2312"/>
          <w:color w:val="000000"/>
          <w:sz w:val="24"/>
        </w:rPr>
      </w:pPr>
      <w:r>
        <w:rPr>
          <w:rFonts w:hint="eastAsia" w:ascii="仿宋_GB2312" w:hAnsi="宋体" w:eastAsia="仿宋_GB2312"/>
          <w:color w:val="000000"/>
          <w:sz w:val="24"/>
        </w:rPr>
        <w:t>（5）基于主流技术平台，使用主流开发框架；</w:t>
      </w:r>
    </w:p>
    <w:p>
      <w:pPr>
        <w:spacing w:line="360" w:lineRule="auto"/>
        <w:ind w:firstLine="424" w:firstLineChars="177"/>
        <w:rPr>
          <w:rFonts w:hint="eastAsia" w:ascii="仿宋_GB2312" w:hAnsi="宋体" w:eastAsia="仿宋_GB2312"/>
          <w:color w:val="000000"/>
          <w:sz w:val="24"/>
        </w:rPr>
      </w:pPr>
      <w:r>
        <w:rPr>
          <w:rFonts w:hint="eastAsia" w:ascii="仿宋_GB2312" w:hAnsi="宋体" w:eastAsia="仿宋_GB2312"/>
          <w:color w:val="000000"/>
          <w:sz w:val="24"/>
        </w:rPr>
        <w:t>（6）数据结构严谨，技术体系稳定、高效、灵活，便于进行功能扩展。</w:t>
      </w:r>
    </w:p>
    <w:p>
      <w:pPr>
        <w:spacing w:line="360" w:lineRule="auto"/>
        <w:ind w:firstLine="424" w:firstLineChars="177"/>
        <w:rPr>
          <w:rFonts w:hint="eastAsia" w:ascii="仿宋_GB2312" w:hAnsi="宋体" w:eastAsia="仿宋_GB2312"/>
          <w:color w:val="000000"/>
          <w:sz w:val="24"/>
        </w:rPr>
      </w:pPr>
      <w:r>
        <w:rPr>
          <w:rFonts w:hint="eastAsia" w:ascii="仿宋_GB2312" w:hAnsi="宋体" w:eastAsia="仿宋_GB2312"/>
          <w:color w:val="000000"/>
          <w:sz w:val="24"/>
        </w:rPr>
        <w:t>（7）支持数据、流程（业务逻辑）、展现三个层次的分离。</w:t>
      </w:r>
    </w:p>
    <w:p>
      <w:pPr>
        <w:spacing w:line="360" w:lineRule="auto"/>
        <w:rPr>
          <w:rFonts w:hint="eastAsia" w:ascii="仿宋_GB2312" w:hAnsi="宋体" w:eastAsia="仿宋_GB2312"/>
          <w:color w:val="000000"/>
          <w:sz w:val="24"/>
        </w:rPr>
      </w:pPr>
      <w:r>
        <w:rPr>
          <w:rFonts w:hint="eastAsia" w:ascii="仿宋_GB2312" w:hAnsi="宋体" w:eastAsia="仿宋_GB2312"/>
          <w:color w:val="000000"/>
          <w:sz w:val="24"/>
        </w:rPr>
        <w:t>2.2客户端技术要求：</w:t>
      </w:r>
    </w:p>
    <w:p>
      <w:pPr>
        <w:spacing w:line="360" w:lineRule="auto"/>
        <w:ind w:firstLine="424" w:firstLineChars="177"/>
        <w:rPr>
          <w:rFonts w:hint="eastAsia" w:ascii="仿宋_GB2312" w:hAnsi="宋体" w:eastAsia="仿宋_GB2312"/>
          <w:color w:val="000000"/>
          <w:sz w:val="24"/>
        </w:rPr>
      </w:pPr>
      <w:r>
        <w:rPr>
          <w:rFonts w:hint="eastAsia" w:ascii="仿宋_GB2312" w:hAnsi="宋体" w:eastAsia="仿宋_GB2312"/>
          <w:color w:val="000000"/>
          <w:sz w:val="24"/>
        </w:rPr>
        <w:t>（1）移动端要求采用阿里钉钉为基础平台，支持H5混合应用模式，兼容安卓和苹果操作系统。</w:t>
      </w:r>
    </w:p>
    <w:p>
      <w:pPr>
        <w:spacing w:line="360" w:lineRule="auto"/>
        <w:ind w:firstLine="424" w:firstLineChars="177"/>
        <w:rPr>
          <w:rFonts w:hint="eastAsia" w:ascii="仿宋_GB2312" w:hAnsi="宋体" w:eastAsia="仿宋_GB2312"/>
          <w:color w:val="000000"/>
          <w:sz w:val="24"/>
        </w:rPr>
      </w:pPr>
      <w:r>
        <w:rPr>
          <w:rFonts w:hint="eastAsia" w:ascii="仿宋_GB2312" w:hAnsi="宋体" w:eastAsia="仿宋_GB2312"/>
          <w:color w:val="000000"/>
          <w:sz w:val="24"/>
        </w:rPr>
        <w:t>（2）PC端兼容多种常用浏览器访问。</w:t>
      </w:r>
    </w:p>
    <w:p>
      <w:pPr>
        <w:spacing w:line="360" w:lineRule="auto"/>
        <w:rPr>
          <w:rFonts w:hint="eastAsia" w:ascii="仿宋_GB2312" w:hAnsi="宋体" w:eastAsia="仿宋_GB2312"/>
          <w:color w:val="000000"/>
          <w:sz w:val="24"/>
        </w:rPr>
      </w:pPr>
      <w:r>
        <w:rPr>
          <w:rFonts w:hint="eastAsia" w:ascii="仿宋_GB2312" w:hAnsi="宋体" w:eastAsia="仿宋_GB2312"/>
          <w:color w:val="000000"/>
          <w:sz w:val="24"/>
        </w:rPr>
        <w:t>2.4性能要求</w:t>
      </w:r>
    </w:p>
    <w:p>
      <w:pPr>
        <w:spacing w:line="360" w:lineRule="auto"/>
        <w:ind w:firstLine="424" w:firstLineChars="177"/>
        <w:rPr>
          <w:rFonts w:hint="eastAsia" w:ascii="仿宋_GB2312" w:hAnsi="宋体" w:eastAsia="仿宋_GB2312"/>
          <w:color w:val="000000"/>
          <w:sz w:val="24"/>
        </w:rPr>
      </w:pPr>
      <w:r>
        <w:rPr>
          <w:rFonts w:hint="eastAsia" w:ascii="仿宋_GB2312" w:hAnsi="宋体" w:eastAsia="仿宋_GB2312"/>
          <w:color w:val="000000"/>
          <w:sz w:val="24"/>
        </w:rPr>
        <w:t>（1）系统应能够满足500个并发访问，支持云平台灵活扩展来支持更大并发访问；</w:t>
      </w:r>
    </w:p>
    <w:p>
      <w:pPr>
        <w:spacing w:line="360" w:lineRule="auto"/>
        <w:ind w:firstLine="424" w:firstLineChars="177"/>
        <w:rPr>
          <w:rFonts w:hint="eastAsia" w:ascii="仿宋_GB2312" w:hAnsi="宋体" w:eastAsia="仿宋_GB2312"/>
          <w:color w:val="000000"/>
          <w:sz w:val="24"/>
        </w:rPr>
      </w:pPr>
      <w:r>
        <w:rPr>
          <w:rFonts w:hint="eastAsia" w:ascii="仿宋_GB2312" w:hAnsi="宋体" w:eastAsia="仿宋_GB2312"/>
          <w:color w:val="000000"/>
          <w:sz w:val="24"/>
        </w:rPr>
        <w:t>（2）页面访问响应时间&lt;3秒，查询响应时间&lt;5秒；</w:t>
      </w:r>
    </w:p>
    <w:p>
      <w:pPr>
        <w:spacing w:line="360" w:lineRule="auto"/>
        <w:ind w:firstLine="424" w:firstLineChars="177"/>
        <w:rPr>
          <w:rFonts w:hint="eastAsia" w:ascii="仿宋_GB2312" w:hAnsi="宋体" w:eastAsia="仿宋_GB2312"/>
          <w:color w:val="000000"/>
          <w:sz w:val="24"/>
        </w:rPr>
      </w:pPr>
      <w:r>
        <w:rPr>
          <w:rFonts w:hint="eastAsia" w:ascii="仿宋_GB2312" w:hAnsi="宋体" w:eastAsia="仿宋_GB2312"/>
          <w:color w:val="000000"/>
          <w:sz w:val="24"/>
        </w:rPr>
        <w:t>（3）能提供7*24小时不间断稳定运行。</w:t>
      </w:r>
    </w:p>
    <w:p>
      <w:pPr>
        <w:spacing w:line="360" w:lineRule="auto"/>
        <w:rPr>
          <w:rFonts w:hint="eastAsia" w:ascii="仿宋_GB2312" w:hAnsi="宋体" w:eastAsia="仿宋_GB2312"/>
          <w:color w:val="000000"/>
          <w:sz w:val="24"/>
        </w:rPr>
      </w:pPr>
      <w:bookmarkStart w:id="5" w:name="_Toc29474267"/>
      <w:r>
        <w:rPr>
          <w:rFonts w:hint="eastAsia" w:ascii="仿宋_GB2312" w:hAnsi="宋体" w:eastAsia="仿宋_GB2312"/>
          <w:color w:val="000000"/>
          <w:sz w:val="24"/>
        </w:rPr>
        <w:t>2.5系统设计</w:t>
      </w:r>
      <w:bookmarkEnd w:id="5"/>
      <w:r>
        <w:rPr>
          <w:rFonts w:hint="eastAsia" w:ascii="仿宋_GB2312" w:hAnsi="宋体" w:eastAsia="仿宋_GB2312"/>
          <w:color w:val="000000"/>
          <w:sz w:val="24"/>
        </w:rPr>
        <w:t>要求</w:t>
      </w:r>
    </w:p>
    <w:p>
      <w:pPr>
        <w:spacing w:line="360" w:lineRule="auto"/>
        <w:ind w:firstLine="480"/>
        <w:rPr>
          <w:rFonts w:hint="eastAsia" w:ascii="仿宋_GB2312" w:hAnsi="宋体" w:eastAsia="仿宋_GB2312"/>
          <w:color w:val="000000"/>
          <w:sz w:val="24"/>
        </w:rPr>
      </w:pPr>
      <w:r>
        <w:rPr>
          <w:rFonts w:hint="eastAsia" w:ascii="仿宋_GB2312" w:hAnsi="宋体" w:eastAsia="仿宋_GB2312"/>
          <w:color w:val="000000"/>
          <w:sz w:val="24"/>
        </w:rPr>
        <w:t>（1）平台开放性和集成性：平台要具备高度的开放性和集成性，。</w:t>
      </w:r>
    </w:p>
    <w:p>
      <w:pPr>
        <w:spacing w:line="360" w:lineRule="auto"/>
        <w:ind w:firstLine="480"/>
        <w:rPr>
          <w:rFonts w:hint="eastAsia" w:ascii="仿宋_GB2312" w:hAnsi="宋体" w:eastAsia="仿宋_GB2312"/>
          <w:color w:val="000000"/>
          <w:sz w:val="24"/>
        </w:rPr>
      </w:pPr>
      <w:r>
        <w:rPr>
          <w:rFonts w:hint="eastAsia" w:ascii="仿宋_GB2312" w:hAnsi="宋体" w:eastAsia="仿宋_GB2312"/>
          <w:color w:val="000000"/>
          <w:sz w:val="24"/>
        </w:rPr>
        <w:t>（2）平台易用性：界面简洁、清晰、柔和、美观、大方，操作简单方便。</w:t>
      </w:r>
    </w:p>
    <w:p>
      <w:pPr>
        <w:spacing w:line="360" w:lineRule="auto"/>
        <w:ind w:firstLine="480"/>
        <w:rPr>
          <w:rFonts w:hint="eastAsia" w:ascii="仿宋_GB2312" w:hAnsi="宋体" w:eastAsia="仿宋_GB2312"/>
          <w:color w:val="000000"/>
          <w:sz w:val="24"/>
        </w:rPr>
      </w:pPr>
      <w:r>
        <w:rPr>
          <w:rFonts w:hint="eastAsia" w:ascii="仿宋_GB2312" w:hAnsi="宋体" w:eastAsia="仿宋_GB2312"/>
          <w:color w:val="000000"/>
          <w:sz w:val="24"/>
        </w:rPr>
        <w:t>（3）平台可扩展性：充分考虑未来业务量及业务种类增长的需求，同时也要考虑与行政管理体制的配合和协调。</w:t>
      </w:r>
    </w:p>
    <w:p>
      <w:pPr>
        <w:spacing w:line="360" w:lineRule="auto"/>
        <w:ind w:firstLine="480"/>
        <w:rPr>
          <w:rFonts w:hint="eastAsia" w:ascii="仿宋_GB2312" w:hAnsi="宋体" w:eastAsia="仿宋_GB2312"/>
          <w:color w:val="000000"/>
          <w:sz w:val="24"/>
        </w:rPr>
      </w:pPr>
      <w:r>
        <w:rPr>
          <w:rFonts w:hint="eastAsia" w:ascii="仿宋_GB2312" w:hAnsi="宋体" w:eastAsia="仿宋_GB2312"/>
          <w:color w:val="000000"/>
          <w:sz w:val="24"/>
        </w:rPr>
        <w:t>（4）软件规模具有可调性；新的软件模块即插即用，新功能、新业务的增加能够在不影响平台运行的情况下实现；</w:t>
      </w:r>
    </w:p>
    <w:p>
      <w:pPr>
        <w:spacing w:line="360" w:lineRule="auto"/>
        <w:ind w:firstLine="480"/>
        <w:rPr>
          <w:rFonts w:hint="eastAsia" w:ascii="仿宋_GB2312" w:hAnsi="宋体" w:eastAsia="仿宋_GB2312"/>
          <w:color w:val="000000"/>
          <w:sz w:val="24"/>
        </w:rPr>
      </w:pPr>
      <w:r>
        <w:rPr>
          <w:rFonts w:hint="eastAsia" w:ascii="仿宋_GB2312" w:hAnsi="宋体" w:eastAsia="仿宋_GB2312"/>
          <w:color w:val="000000"/>
          <w:sz w:val="24"/>
        </w:rPr>
        <w:t>（5）系统要具备逐步升级能力的结构采用模块化设计；可动态增加服务器，增加处理能力，能够实现负载平衡。</w:t>
      </w:r>
    </w:p>
    <w:p>
      <w:pPr>
        <w:spacing w:line="360" w:lineRule="auto"/>
        <w:rPr>
          <w:rFonts w:hint="eastAsia" w:ascii="仿宋_GB2312" w:hAnsi="宋体" w:eastAsia="仿宋_GB2312"/>
          <w:color w:val="000000"/>
          <w:sz w:val="24"/>
        </w:rPr>
      </w:pPr>
      <w:r>
        <w:rPr>
          <w:rFonts w:hint="eastAsia" w:ascii="仿宋_GB2312" w:hAnsi="宋体" w:eastAsia="仿宋_GB2312"/>
          <w:color w:val="000000"/>
          <w:sz w:val="24"/>
        </w:rPr>
        <w:t>2.6系统安全保障要求</w:t>
      </w:r>
    </w:p>
    <w:p>
      <w:pPr>
        <w:spacing w:line="360" w:lineRule="auto"/>
        <w:ind w:firstLine="424" w:firstLineChars="177"/>
        <w:rPr>
          <w:rFonts w:hint="eastAsia" w:ascii="仿宋_GB2312" w:hAnsi="宋体" w:eastAsia="仿宋_GB2312"/>
          <w:color w:val="000000"/>
          <w:sz w:val="24"/>
        </w:rPr>
      </w:pPr>
      <w:r>
        <w:rPr>
          <w:rFonts w:hint="eastAsia" w:ascii="仿宋_GB2312" w:hAnsi="宋体" w:eastAsia="仿宋_GB2312"/>
          <w:color w:val="000000"/>
          <w:sz w:val="24"/>
        </w:rPr>
        <w:t>根据电子政务信息安全等级保护要求，针对可能遇到的各种安全威胁和风险。本项目将针对政务外网采取相应等级的安全措施，形成技术先进、功能全面的信息安全保障体系，保障信息系统业务服务的连续性、可靠性以及信息资源的完整性、可用性，确保系统能够安全、稳定、可靠地运行。针对云计算虚拟化技术，结合国家及地方相关安全保障标准的研究，以及云计算安全测评国家标准的试点工作，进行充分的验证和评测；针对网站安全，通过建设网站监测公共服务平台，对门户网站及政务外网WEB应用进行网站漏洞检测、网页木马监测、网页防篡改监测、敏感关键字监测、网站可用性监测等。</w:t>
      </w:r>
    </w:p>
    <w:p>
      <w:pPr>
        <w:spacing w:line="360" w:lineRule="auto"/>
        <w:rPr>
          <w:rFonts w:hint="eastAsia" w:ascii="仿宋_GB2312" w:hAnsi="宋体" w:eastAsia="仿宋_GB2312"/>
          <w:b/>
          <w:bCs/>
          <w:color w:val="000000"/>
          <w:sz w:val="24"/>
        </w:rPr>
      </w:pPr>
      <w:r>
        <w:rPr>
          <w:rFonts w:hint="eastAsia" w:ascii="仿宋_GB2312" w:hAnsi="宋体" w:eastAsia="仿宋_GB2312"/>
          <w:b/>
          <w:bCs/>
          <w:color w:val="000000"/>
          <w:sz w:val="24"/>
        </w:rPr>
        <w:t>3、到货期要求</w:t>
      </w:r>
    </w:p>
    <w:p>
      <w:pPr>
        <w:spacing w:line="360" w:lineRule="auto"/>
        <w:ind w:firstLine="424" w:firstLineChars="177"/>
        <w:rPr>
          <w:rFonts w:hint="eastAsia" w:ascii="仿宋_GB2312" w:hAnsi="宋体" w:eastAsia="仿宋_GB2312"/>
          <w:color w:val="000000"/>
          <w:sz w:val="24"/>
        </w:rPr>
      </w:pPr>
      <w:r>
        <w:rPr>
          <w:rFonts w:hint="eastAsia" w:ascii="仿宋_GB2312" w:hAnsi="宋体" w:eastAsia="仿宋_GB2312"/>
          <w:color w:val="000000"/>
          <w:sz w:val="24"/>
        </w:rPr>
        <w:t>供应商收到中标通知书之日起90个日历日内完成功能开发和安装部署，通过初步验收，投入试运行。</w:t>
      </w:r>
    </w:p>
    <w:p>
      <w:pPr>
        <w:spacing w:line="360" w:lineRule="auto"/>
        <w:rPr>
          <w:rFonts w:hint="eastAsia" w:ascii="仿宋_GB2312" w:hAnsi="宋体" w:eastAsia="仿宋_GB2312"/>
          <w:b/>
          <w:bCs/>
          <w:color w:val="000000"/>
          <w:sz w:val="24"/>
        </w:rPr>
      </w:pPr>
      <w:r>
        <w:rPr>
          <w:rFonts w:hint="eastAsia" w:ascii="仿宋_GB2312" w:hAnsi="宋体" w:eastAsia="仿宋_GB2312"/>
          <w:b/>
          <w:bCs/>
          <w:color w:val="000000"/>
          <w:sz w:val="24"/>
        </w:rPr>
        <w:t>4、付款方式要求</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签订合同后15天内，支付合同金额的50%，中标方向采购人指定账户打入合同金额5%作为履约保证金，验收合格后15天内采购人支付合同金额50%，合同履约完成后退还履约保证金（不计息）。</w:t>
      </w:r>
    </w:p>
    <w:p>
      <w:pPr>
        <w:pStyle w:val="31"/>
        <w:numPr>
          <w:ilvl w:val="0"/>
          <w:numId w:val="3"/>
        </w:numPr>
        <w:snapToGrid w:val="0"/>
        <w:spacing w:before="156" w:after="156" w:line="44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相关服务要求</w:t>
      </w:r>
    </w:p>
    <w:p>
      <w:pPr>
        <w:spacing w:line="360" w:lineRule="auto"/>
        <w:rPr>
          <w:rFonts w:hint="eastAsia" w:ascii="仿宋_GB2312" w:hAnsi="宋体" w:eastAsia="仿宋_GB2312"/>
          <w:color w:val="000000"/>
          <w:sz w:val="24"/>
        </w:rPr>
      </w:pPr>
      <w:r>
        <w:rPr>
          <w:rFonts w:hint="eastAsia" w:ascii="仿宋_GB2312" w:hAnsi="宋体" w:eastAsia="仿宋_GB2312"/>
          <w:color w:val="000000"/>
          <w:sz w:val="24"/>
        </w:rPr>
        <w:t>1、问题响应及解决服务</w:t>
      </w:r>
    </w:p>
    <w:p>
      <w:pPr>
        <w:pStyle w:val="32"/>
        <w:widowControl/>
        <w:shd w:val="clear" w:color="auto" w:fill="FFFFFF"/>
        <w:spacing w:before="156" w:after="156" w:line="360" w:lineRule="auto"/>
        <w:ind w:firstLine="0" w:firstLineChars="0"/>
        <w:jc w:val="left"/>
        <w:rPr>
          <w:rFonts w:hint="eastAsia" w:ascii="仿宋_GB2312" w:hAnsi="宋体" w:eastAsia="仿宋_GB2312" w:cs="Arial"/>
          <w:color w:val="000000"/>
          <w:sz w:val="24"/>
          <w:szCs w:val="24"/>
        </w:rPr>
      </w:pPr>
      <w:r>
        <w:rPr>
          <w:rFonts w:hint="eastAsia" w:ascii="仿宋_GB2312" w:hAnsi="宋体" w:eastAsia="仿宋_GB2312" w:cs="Arial"/>
          <w:color w:val="000000"/>
          <w:sz w:val="24"/>
          <w:szCs w:val="24"/>
        </w:rPr>
        <w:t>1.1故障处理服务</w:t>
      </w:r>
    </w:p>
    <w:p>
      <w:pPr>
        <w:pStyle w:val="32"/>
        <w:widowControl/>
        <w:shd w:val="clear" w:color="auto" w:fill="FFFFFF"/>
        <w:spacing w:before="156" w:after="156" w:line="360" w:lineRule="auto"/>
        <w:ind w:firstLine="0" w:firstLineChars="0"/>
        <w:jc w:val="left"/>
        <w:rPr>
          <w:rFonts w:hint="eastAsia" w:ascii="仿宋_GB2312" w:hAnsi="宋体" w:eastAsia="仿宋_GB2312" w:cs="Arial"/>
          <w:color w:val="000000"/>
          <w:sz w:val="24"/>
          <w:szCs w:val="24"/>
        </w:rPr>
      </w:pPr>
      <w:r>
        <w:rPr>
          <w:rFonts w:hint="eastAsia" w:ascii="仿宋_GB2312" w:hAnsi="宋体" w:eastAsia="仿宋_GB2312" w:cs="Arial"/>
          <w:color w:val="000000"/>
          <w:sz w:val="24"/>
          <w:szCs w:val="24"/>
        </w:rPr>
        <w:t>1.1.1故障处理服务定义</w:t>
      </w:r>
    </w:p>
    <w:p>
      <w:pPr>
        <w:pStyle w:val="32"/>
        <w:widowControl/>
        <w:shd w:val="clear" w:color="auto" w:fill="FFFFFF"/>
        <w:spacing w:before="156" w:after="156" w:line="360" w:lineRule="auto"/>
        <w:ind w:firstLineChars="0"/>
        <w:jc w:val="left"/>
        <w:rPr>
          <w:rFonts w:hint="eastAsia" w:ascii="仿宋_GB2312" w:hAnsi="宋体" w:eastAsia="仿宋_GB2312" w:cs="Arial"/>
          <w:color w:val="000000"/>
          <w:sz w:val="24"/>
          <w:szCs w:val="24"/>
        </w:rPr>
      </w:pPr>
      <w:r>
        <w:rPr>
          <w:rFonts w:hint="eastAsia" w:ascii="仿宋_GB2312" w:hAnsi="宋体" w:eastAsia="仿宋_GB2312" w:cs="Arial"/>
          <w:color w:val="000000"/>
          <w:sz w:val="24"/>
          <w:szCs w:val="24"/>
        </w:rPr>
        <w:t>服务响应：7×24小时响应。</w:t>
      </w:r>
    </w:p>
    <w:p>
      <w:pPr>
        <w:pStyle w:val="32"/>
        <w:widowControl/>
        <w:shd w:val="clear" w:color="auto" w:fill="FFFFFF"/>
        <w:spacing w:before="156" w:after="156" w:line="360" w:lineRule="auto"/>
        <w:ind w:firstLine="0" w:firstLineChars="0"/>
        <w:jc w:val="left"/>
        <w:rPr>
          <w:rFonts w:hint="eastAsia" w:ascii="仿宋_GB2312" w:hAnsi="宋体" w:eastAsia="仿宋_GB2312" w:cs="Arial"/>
          <w:color w:val="000000"/>
          <w:sz w:val="24"/>
          <w:szCs w:val="24"/>
        </w:rPr>
      </w:pPr>
      <w:r>
        <w:rPr>
          <w:rFonts w:hint="eastAsia" w:ascii="仿宋_GB2312" w:hAnsi="宋体" w:eastAsia="仿宋_GB2312" w:cs="Arial"/>
          <w:color w:val="000000"/>
          <w:sz w:val="24"/>
          <w:szCs w:val="24"/>
        </w:rPr>
        <w:t>1.1.2故障处理服务规定</w:t>
      </w:r>
    </w:p>
    <w:p>
      <w:pPr>
        <w:pStyle w:val="32"/>
        <w:widowControl/>
        <w:shd w:val="clear" w:color="auto" w:fill="FFFFFF"/>
        <w:spacing w:before="156" w:after="156" w:line="360" w:lineRule="auto"/>
        <w:ind w:firstLineChars="0"/>
        <w:jc w:val="left"/>
        <w:rPr>
          <w:rFonts w:hint="eastAsia" w:ascii="仿宋_GB2312" w:hAnsi="宋体" w:eastAsia="仿宋_GB2312" w:cs="Arial"/>
          <w:color w:val="000000"/>
          <w:sz w:val="24"/>
          <w:szCs w:val="24"/>
        </w:rPr>
      </w:pPr>
      <w:r>
        <w:rPr>
          <w:rFonts w:hint="eastAsia" w:ascii="仿宋_GB2312" w:hAnsi="宋体" w:eastAsia="仿宋_GB2312" w:cs="Arial"/>
          <w:color w:val="000000"/>
          <w:sz w:val="24"/>
          <w:szCs w:val="24"/>
        </w:rPr>
        <w:t>当采购人系统发生故障时，</w:t>
      </w:r>
      <w:r>
        <w:rPr>
          <w:rFonts w:hint="eastAsia" w:ascii="仿宋_GB2312" w:hAnsi="宋体" w:eastAsia="仿宋_GB2312" w:cs="Arial"/>
          <w:color w:val="000000"/>
          <w:sz w:val="24"/>
          <w:szCs w:val="24"/>
          <w:lang w:eastAsia="zh-CN"/>
        </w:rPr>
        <w:t>投标人</w:t>
      </w:r>
      <w:r>
        <w:rPr>
          <w:rFonts w:hint="eastAsia" w:ascii="仿宋_GB2312" w:hAnsi="宋体" w:eastAsia="仿宋_GB2312" w:cs="Arial"/>
          <w:color w:val="000000"/>
          <w:sz w:val="24"/>
          <w:szCs w:val="24"/>
        </w:rPr>
        <w:t>应及时响应并进行故障处理。</w:t>
      </w:r>
    </w:p>
    <w:p>
      <w:pPr>
        <w:pStyle w:val="32"/>
        <w:widowControl/>
        <w:shd w:val="clear" w:color="auto" w:fill="FFFFFF"/>
        <w:spacing w:before="156" w:after="156" w:line="360" w:lineRule="auto"/>
        <w:ind w:firstLine="0" w:firstLineChars="0"/>
        <w:jc w:val="left"/>
        <w:rPr>
          <w:rFonts w:hint="eastAsia" w:ascii="仿宋_GB2312" w:hAnsi="宋体" w:eastAsia="仿宋_GB2312" w:cs="Arial"/>
          <w:color w:val="000000"/>
          <w:sz w:val="24"/>
          <w:szCs w:val="24"/>
        </w:rPr>
      </w:pPr>
      <w:r>
        <w:rPr>
          <w:rFonts w:hint="eastAsia" w:ascii="仿宋_GB2312" w:hAnsi="宋体" w:eastAsia="仿宋_GB2312" w:cs="Arial"/>
          <w:color w:val="000000"/>
          <w:sz w:val="24"/>
          <w:szCs w:val="24"/>
        </w:rPr>
        <w:t>1.1.2.1服务响应</w:t>
      </w:r>
    </w:p>
    <w:p>
      <w:pPr>
        <w:pStyle w:val="32"/>
        <w:widowControl/>
        <w:shd w:val="clear" w:color="auto" w:fill="FFFFFF"/>
        <w:spacing w:before="156" w:after="156" w:line="360" w:lineRule="auto"/>
        <w:ind w:firstLineChars="0"/>
        <w:jc w:val="left"/>
        <w:rPr>
          <w:rFonts w:hint="eastAsia" w:ascii="仿宋_GB2312" w:hAnsi="宋体" w:eastAsia="仿宋_GB2312" w:cs="Arial"/>
          <w:color w:val="000000"/>
          <w:sz w:val="24"/>
          <w:szCs w:val="24"/>
        </w:rPr>
      </w:pPr>
      <w:r>
        <w:rPr>
          <w:rFonts w:hint="eastAsia" w:ascii="仿宋_GB2312" w:hAnsi="宋体" w:eastAsia="仿宋_GB2312" w:cs="Arial"/>
          <w:color w:val="000000"/>
          <w:sz w:val="24"/>
          <w:szCs w:val="24"/>
        </w:rPr>
        <w:t>对于系统故障，采购人可通过</w:t>
      </w:r>
      <w:r>
        <w:rPr>
          <w:rFonts w:hint="eastAsia" w:ascii="仿宋_GB2312" w:hAnsi="宋体" w:eastAsia="仿宋_GB2312" w:cs="Arial"/>
          <w:color w:val="000000"/>
          <w:sz w:val="24"/>
          <w:szCs w:val="24"/>
          <w:lang w:eastAsia="zh-CN"/>
        </w:rPr>
        <w:t>投标人</w:t>
      </w:r>
      <w:r>
        <w:rPr>
          <w:rFonts w:hint="eastAsia" w:ascii="仿宋_GB2312" w:hAnsi="宋体" w:eastAsia="仿宋_GB2312" w:cs="Arial"/>
          <w:color w:val="000000"/>
          <w:sz w:val="24"/>
          <w:szCs w:val="24"/>
        </w:rPr>
        <w:t>所提供热线电话取得技术支持服务。</w:t>
      </w:r>
      <w:r>
        <w:rPr>
          <w:rFonts w:hint="eastAsia" w:ascii="仿宋_GB2312" w:hAnsi="宋体" w:eastAsia="仿宋_GB2312" w:cs="Arial"/>
          <w:color w:val="000000"/>
          <w:sz w:val="24"/>
          <w:szCs w:val="24"/>
          <w:lang w:eastAsia="zh-CN"/>
        </w:rPr>
        <w:t>投标人</w:t>
      </w:r>
      <w:r>
        <w:rPr>
          <w:rFonts w:hint="eastAsia" w:ascii="仿宋_GB2312" w:hAnsi="宋体" w:eastAsia="仿宋_GB2312" w:cs="Arial"/>
          <w:color w:val="000000"/>
          <w:sz w:val="24"/>
          <w:szCs w:val="24"/>
        </w:rPr>
        <w:t>在接到采购人故障申告电话后应于10分钟内响应，如故障未能在1小时内通过远程支持得到解决，</w:t>
      </w:r>
      <w:r>
        <w:rPr>
          <w:rFonts w:hint="eastAsia" w:ascii="仿宋_GB2312" w:hAnsi="宋体" w:eastAsia="仿宋_GB2312" w:cs="Arial"/>
          <w:color w:val="000000"/>
          <w:sz w:val="24"/>
          <w:szCs w:val="24"/>
          <w:lang w:eastAsia="zh-CN"/>
        </w:rPr>
        <w:t>投标人</w:t>
      </w:r>
      <w:r>
        <w:rPr>
          <w:rFonts w:hint="eastAsia" w:ascii="仿宋_GB2312" w:hAnsi="宋体" w:eastAsia="仿宋_GB2312" w:cs="Arial"/>
          <w:color w:val="000000"/>
          <w:sz w:val="24"/>
          <w:szCs w:val="24"/>
        </w:rPr>
        <w:t>应将根据采购人要求派指定服务工程师以最快方式赶往采购人现场，提供不间断故障处理服务。</w:t>
      </w:r>
    </w:p>
    <w:p>
      <w:pPr>
        <w:pStyle w:val="32"/>
        <w:widowControl/>
        <w:shd w:val="clear" w:color="auto" w:fill="FFFFFF"/>
        <w:spacing w:before="156" w:after="156" w:line="360" w:lineRule="auto"/>
        <w:ind w:firstLine="0" w:firstLineChars="0"/>
        <w:jc w:val="left"/>
        <w:rPr>
          <w:rFonts w:hint="eastAsia" w:ascii="仿宋_GB2312" w:hAnsi="宋体" w:eastAsia="仿宋_GB2312" w:cs="Arial"/>
          <w:color w:val="000000"/>
          <w:sz w:val="24"/>
          <w:szCs w:val="24"/>
        </w:rPr>
      </w:pPr>
      <w:r>
        <w:rPr>
          <w:rFonts w:hint="eastAsia" w:ascii="仿宋_GB2312" w:hAnsi="宋体" w:eastAsia="仿宋_GB2312" w:cs="Arial"/>
          <w:color w:val="000000"/>
          <w:sz w:val="24"/>
          <w:szCs w:val="24"/>
        </w:rPr>
        <w:t>1.1.2.1.1响应时间</w:t>
      </w:r>
    </w:p>
    <w:p>
      <w:pPr>
        <w:pStyle w:val="32"/>
        <w:widowControl/>
        <w:shd w:val="clear" w:color="auto" w:fill="FFFFFF"/>
        <w:spacing w:before="156" w:after="156" w:line="360" w:lineRule="auto"/>
        <w:ind w:firstLineChars="0"/>
        <w:jc w:val="left"/>
        <w:rPr>
          <w:rFonts w:hint="eastAsia" w:ascii="仿宋_GB2312" w:hAnsi="宋体" w:eastAsia="仿宋_GB2312" w:cs="Arial"/>
          <w:color w:val="000000"/>
          <w:sz w:val="24"/>
          <w:szCs w:val="24"/>
        </w:rPr>
      </w:pPr>
      <w:r>
        <w:rPr>
          <w:rFonts w:hint="eastAsia" w:ascii="仿宋_GB2312" w:hAnsi="宋体" w:eastAsia="仿宋_GB2312" w:cs="Arial"/>
          <w:color w:val="000000"/>
          <w:sz w:val="24"/>
          <w:szCs w:val="24"/>
        </w:rPr>
        <w:t>疑难问题（不危及运行）在24小时内答复用户。</w:t>
      </w:r>
    </w:p>
    <w:p>
      <w:pPr>
        <w:pStyle w:val="32"/>
        <w:widowControl/>
        <w:shd w:val="clear" w:color="auto" w:fill="FFFFFF"/>
        <w:spacing w:before="156" w:after="156" w:line="360" w:lineRule="auto"/>
        <w:ind w:firstLineChars="0"/>
        <w:jc w:val="left"/>
        <w:rPr>
          <w:rFonts w:hint="eastAsia" w:ascii="仿宋_GB2312" w:hAnsi="宋体" w:eastAsia="仿宋_GB2312" w:cs="Arial"/>
          <w:color w:val="000000"/>
          <w:sz w:val="24"/>
          <w:szCs w:val="24"/>
        </w:rPr>
      </w:pPr>
      <w:r>
        <w:rPr>
          <w:rFonts w:hint="eastAsia" w:ascii="仿宋_GB2312" w:hAnsi="宋体" w:eastAsia="仿宋_GB2312" w:cs="Arial"/>
          <w:color w:val="000000"/>
          <w:sz w:val="24"/>
          <w:szCs w:val="24"/>
        </w:rPr>
        <w:t>重大问题（危及运行）在2小时内到现场处理或通过网络远程处理。</w:t>
      </w:r>
    </w:p>
    <w:p>
      <w:pPr>
        <w:pStyle w:val="32"/>
        <w:widowControl/>
        <w:shd w:val="clear" w:color="auto" w:fill="FFFFFF"/>
        <w:spacing w:before="156" w:after="156" w:line="360" w:lineRule="auto"/>
        <w:ind w:firstLineChars="0"/>
        <w:jc w:val="left"/>
        <w:rPr>
          <w:rFonts w:hint="eastAsia" w:ascii="仿宋_GB2312" w:hAnsi="宋体" w:eastAsia="仿宋_GB2312" w:cs="Arial"/>
          <w:color w:val="000000"/>
          <w:sz w:val="24"/>
          <w:szCs w:val="24"/>
        </w:rPr>
      </w:pPr>
      <w:r>
        <w:rPr>
          <w:rFonts w:hint="eastAsia" w:ascii="仿宋_GB2312" w:hAnsi="宋体" w:eastAsia="仿宋_GB2312" w:cs="Arial"/>
          <w:color w:val="000000"/>
          <w:sz w:val="24"/>
          <w:szCs w:val="24"/>
        </w:rPr>
        <w:t>特大问题（系统不能正常运行）在2小时内恢复系统运行，并在24小时内派技术人员到现场解决。</w:t>
      </w:r>
    </w:p>
    <w:p>
      <w:pPr>
        <w:pStyle w:val="32"/>
        <w:widowControl/>
        <w:shd w:val="clear" w:color="auto" w:fill="FFFFFF"/>
        <w:spacing w:before="156" w:after="156" w:line="360" w:lineRule="auto"/>
        <w:ind w:firstLine="0" w:firstLineChars="0"/>
        <w:jc w:val="left"/>
        <w:rPr>
          <w:rFonts w:hint="eastAsia" w:ascii="仿宋_GB2312" w:hAnsi="宋体" w:eastAsia="仿宋_GB2312" w:cs="Arial"/>
          <w:color w:val="000000"/>
          <w:sz w:val="24"/>
          <w:szCs w:val="24"/>
        </w:rPr>
      </w:pPr>
      <w:r>
        <w:rPr>
          <w:rFonts w:hint="eastAsia" w:ascii="仿宋_GB2312" w:hAnsi="宋体" w:eastAsia="仿宋_GB2312" w:cs="Arial"/>
          <w:color w:val="000000"/>
          <w:sz w:val="24"/>
          <w:szCs w:val="24"/>
        </w:rPr>
        <w:t>1.1.2.1.2系统恢复时间</w:t>
      </w:r>
    </w:p>
    <w:p>
      <w:pPr>
        <w:pStyle w:val="32"/>
        <w:widowControl/>
        <w:shd w:val="clear" w:color="auto" w:fill="FFFFFF"/>
        <w:spacing w:before="156" w:after="156" w:line="360" w:lineRule="auto"/>
        <w:ind w:firstLineChars="0"/>
        <w:jc w:val="left"/>
        <w:rPr>
          <w:rFonts w:hint="eastAsia" w:ascii="仿宋_GB2312" w:hAnsi="宋体" w:eastAsia="仿宋_GB2312" w:cs="Arial"/>
          <w:color w:val="000000"/>
          <w:sz w:val="24"/>
          <w:szCs w:val="24"/>
        </w:rPr>
      </w:pPr>
      <w:r>
        <w:rPr>
          <w:rFonts w:hint="eastAsia" w:ascii="仿宋_GB2312" w:hAnsi="宋体" w:eastAsia="仿宋_GB2312" w:cs="Arial"/>
          <w:color w:val="000000"/>
          <w:sz w:val="24"/>
          <w:szCs w:val="24"/>
          <w:lang w:eastAsia="zh-CN"/>
        </w:rPr>
        <w:t>投标人</w:t>
      </w:r>
      <w:r>
        <w:rPr>
          <w:rFonts w:hint="eastAsia" w:ascii="仿宋_GB2312" w:hAnsi="宋体" w:eastAsia="仿宋_GB2312" w:cs="Arial"/>
          <w:color w:val="000000"/>
          <w:sz w:val="24"/>
          <w:szCs w:val="24"/>
        </w:rPr>
        <w:t>服务工程师到达采购人现场后，应于2小时内恢复系统的正常运行，并收集现场信息以便完成故障分析。</w:t>
      </w:r>
    </w:p>
    <w:p>
      <w:pPr>
        <w:pStyle w:val="32"/>
        <w:widowControl/>
        <w:shd w:val="clear" w:color="auto" w:fill="FFFFFF"/>
        <w:spacing w:before="156" w:after="156" w:line="360" w:lineRule="auto"/>
        <w:ind w:firstLine="0" w:firstLineChars="0"/>
        <w:jc w:val="left"/>
        <w:rPr>
          <w:rFonts w:hint="eastAsia" w:ascii="仿宋_GB2312" w:hAnsi="宋体" w:eastAsia="仿宋_GB2312" w:cs="Arial"/>
          <w:color w:val="000000"/>
          <w:sz w:val="24"/>
          <w:szCs w:val="24"/>
        </w:rPr>
      </w:pPr>
      <w:r>
        <w:rPr>
          <w:rFonts w:hint="eastAsia" w:ascii="仿宋_GB2312" w:hAnsi="宋体" w:eastAsia="仿宋_GB2312" w:cs="Arial"/>
          <w:color w:val="000000"/>
          <w:sz w:val="24"/>
          <w:szCs w:val="24"/>
        </w:rPr>
        <w:t>1.1.2.1.3故障分析时间</w:t>
      </w:r>
    </w:p>
    <w:p>
      <w:pPr>
        <w:pStyle w:val="32"/>
        <w:widowControl/>
        <w:shd w:val="clear" w:color="auto" w:fill="FFFFFF"/>
        <w:spacing w:before="156" w:after="156" w:line="360" w:lineRule="auto"/>
        <w:ind w:firstLineChars="0"/>
        <w:jc w:val="left"/>
        <w:rPr>
          <w:rFonts w:hint="eastAsia" w:ascii="仿宋_GB2312" w:hAnsi="宋体" w:eastAsia="仿宋_GB2312" w:cs="Arial"/>
          <w:color w:val="000000"/>
          <w:sz w:val="24"/>
          <w:szCs w:val="24"/>
        </w:rPr>
      </w:pPr>
      <w:r>
        <w:rPr>
          <w:rFonts w:hint="eastAsia" w:ascii="仿宋_GB2312" w:hAnsi="宋体" w:eastAsia="仿宋_GB2312" w:cs="Arial"/>
          <w:color w:val="000000"/>
          <w:sz w:val="24"/>
          <w:szCs w:val="24"/>
          <w:lang w:eastAsia="zh-CN"/>
        </w:rPr>
        <w:t>投标人</w:t>
      </w:r>
      <w:r>
        <w:rPr>
          <w:rFonts w:hint="eastAsia" w:ascii="仿宋_GB2312" w:hAnsi="宋体" w:eastAsia="仿宋_GB2312" w:cs="Arial"/>
          <w:color w:val="000000"/>
          <w:sz w:val="24"/>
          <w:szCs w:val="24"/>
        </w:rPr>
        <w:t>在系统恢复正常运行后，应对系统运行情况进行跟踪，并结合故障现场信息对故障产生原因进行分析，3日内提交故障分析报告及解决方案。</w:t>
      </w:r>
    </w:p>
    <w:p>
      <w:pPr>
        <w:pStyle w:val="32"/>
        <w:widowControl/>
        <w:shd w:val="clear" w:color="auto" w:fill="FFFFFF"/>
        <w:spacing w:before="156" w:after="156" w:line="360" w:lineRule="auto"/>
        <w:ind w:firstLine="0" w:firstLineChars="0"/>
        <w:jc w:val="left"/>
        <w:rPr>
          <w:rFonts w:hint="eastAsia" w:ascii="仿宋_GB2312" w:hAnsi="宋体" w:eastAsia="仿宋_GB2312" w:cs="Arial"/>
          <w:color w:val="000000"/>
          <w:sz w:val="24"/>
          <w:szCs w:val="24"/>
        </w:rPr>
      </w:pPr>
      <w:r>
        <w:rPr>
          <w:rFonts w:hint="eastAsia" w:ascii="仿宋_GB2312" w:hAnsi="宋体" w:eastAsia="仿宋_GB2312" w:cs="Arial"/>
          <w:color w:val="000000"/>
          <w:sz w:val="24"/>
          <w:szCs w:val="24"/>
        </w:rPr>
        <w:t>1.1.2.1.4不间断故障处理</w:t>
      </w:r>
    </w:p>
    <w:p>
      <w:pPr>
        <w:pStyle w:val="32"/>
        <w:widowControl/>
        <w:shd w:val="clear" w:color="auto" w:fill="FFFFFF"/>
        <w:spacing w:before="156" w:after="156" w:line="360" w:lineRule="auto"/>
        <w:ind w:firstLineChars="0"/>
        <w:jc w:val="left"/>
        <w:rPr>
          <w:rFonts w:hint="eastAsia" w:ascii="仿宋_GB2312" w:hAnsi="宋体" w:eastAsia="仿宋_GB2312" w:cs="Arial"/>
          <w:color w:val="000000"/>
          <w:sz w:val="24"/>
          <w:szCs w:val="24"/>
        </w:rPr>
      </w:pPr>
      <w:r>
        <w:rPr>
          <w:rFonts w:hint="eastAsia" w:ascii="仿宋_GB2312" w:hAnsi="宋体" w:eastAsia="仿宋_GB2312" w:cs="Arial"/>
          <w:color w:val="000000"/>
          <w:sz w:val="24"/>
          <w:szCs w:val="24"/>
          <w:lang w:eastAsia="zh-CN"/>
        </w:rPr>
        <w:t>投标人</w:t>
      </w:r>
      <w:r>
        <w:rPr>
          <w:rFonts w:hint="eastAsia" w:ascii="仿宋_GB2312" w:hAnsi="宋体" w:eastAsia="仿宋_GB2312" w:cs="Arial"/>
          <w:color w:val="000000"/>
          <w:sz w:val="24"/>
          <w:szCs w:val="24"/>
        </w:rPr>
        <w:t>服务工程师在到达采购人现场后，应开始进行不间断服务直至系统恢复正常运行，得到采购人确认后方可离开。</w:t>
      </w:r>
    </w:p>
    <w:p>
      <w:pPr>
        <w:pStyle w:val="32"/>
        <w:widowControl/>
        <w:shd w:val="clear" w:color="auto" w:fill="FFFFFF"/>
        <w:spacing w:before="156" w:after="156" w:line="360" w:lineRule="auto"/>
        <w:ind w:firstLine="0" w:firstLineChars="0"/>
        <w:jc w:val="left"/>
        <w:rPr>
          <w:rFonts w:hint="eastAsia" w:ascii="仿宋_GB2312" w:hAnsi="宋体" w:eastAsia="仿宋_GB2312" w:cs="Arial"/>
          <w:color w:val="000000"/>
          <w:sz w:val="24"/>
          <w:szCs w:val="24"/>
        </w:rPr>
      </w:pPr>
      <w:r>
        <w:rPr>
          <w:rFonts w:hint="eastAsia" w:ascii="仿宋_GB2312" w:hAnsi="宋体" w:eastAsia="仿宋_GB2312" w:cs="Arial"/>
          <w:color w:val="000000"/>
          <w:sz w:val="24"/>
          <w:szCs w:val="24"/>
        </w:rPr>
        <w:t>1.2技术支持服务</w:t>
      </w:r>
    </w:p>
    <w:p>
      <w:pPr>
        <w:pStyle w:val="32"/>
        <w:widowControl/>
        <w:shd w:val="clear" w:color="auto" w:fill="FFFFFF"/>
        <w:spacing w:before="156" w:after="156" w:line="360" w:lineRule="auto"/>
        <w:ind w:firstLineChars="0"/>
        <w:jc w:val="left"/>
        <w:rPr>
          <w:rFonts w:hint="eastAsia" w:ascii="仿宋_GB2312" w:hAnsi="宋体" w:eastAsia="仿宋_GB2312" w:cs="Arial"/>
          <w:color w:val="000000"/>
          <w:sz w:val="24"/>
          <w:szCs w:val="24"/>
        </w:rPr>
      </w:pPr>
      <w:r>
        <w:rPr>
          <w:rFonts w:hint="eastAsia" w:ascii="仿宋_GB2312" w:hAnsi="宋体" w:eastAsia="仿宋_GB2312" w:cs="Arial"/>
          <w:color w:val="000000"/>
          <w:sz w:val="24"/>
          <w:szCs w:val="24"/>
        </w:rPr>
        <w:t>应标人应提供一整套规范的技术支持服务运作体系和流程，指定稳定的技术服务队伍，提供故障诊断、技术咨询等全方位的技术支持服务。同时，</w:t>
      </w:r>
      <w:r>
        <w:rPr>
          <w:rFonts w:hint="eastAsia" w:ascii="仿宋_GB2312" w:hAnsi="宋体" w:eastAsia="仿宋_GB2312" w:cs="Arial"/>
          <w:color w:val="000000"/>
          <w:sz w:val="24"/>
          <w:szCs w:val="24"/>
          <w:lang w:eastAsia="zh-CN"/>
        </w:rPr>
        <w:t>投标人</w:t>
      </w:r>
      <w:r>
        <w:rPr>
          <w:rFonts w:hint="eastAsia" w:ascii="仿宋_GB2312" w:hAnsi="宋体" w:eastAsia="仿宋_GB2312" w:cs="Arial"/>
          <w:color w:val="000000"/>
          <w:sz w:val="24"/>
          <w:szCs w:val="24"/>
        </w:rPr>
        <w:t>应建立相应的采购人档案库，便于及时获得系统运行报告、采购人随访意见反馈、常见故障及处理方案等重要技术资料，采购人资料由客户服务经理管理。</w:t>
      </w:r>
    </w:p>
    <w:p>
      <w:pPr>
        <w:pStyle w:val="32"/>
        <w:widowControl/>
        <w:shd w:val="clear" w:color="auto" w:fill="FFFFFF"/>
        <w:spacing w:before="156" w:after="156" w:line="360" w:lineRule="auto"/>
        <w:ind w:firstLineChars="0"/>
        <w:jc w:val="left"/>
        <w:rPr>
          <w:rFonts w:hint="eastAsia" w:ascii="仿宋_GB2312" w:hAnsi="宋体" w:eastAsia="仿宋_GB2312" w:cs="Arial"/>
          <w:color w:val="000000"/>
          <w:sz w:val="24"/>
          <w:szCs w:val="24"/>
        </w:rPr>
      </w:pPr>
      <w:r>
        <w:rPr>
          <w:rFonts w:hint="eastAsia" w:ascii="仿宋_GB2312" w:hAnsi="宋体" w:eastAsia="仿宋_GB2312" w:cs="Arial"/>
          <w:color w:val="000000"/>
          <w:sz w:val="24"/>
          <w:szCs w:val="24"/>
          <w:lang w:eastAsia="zh-CN"/>
        </w:rPr>
        <w:t>投标人</w:t>
      </w:r>
      <w:r>
        <w:rPr>
          <w:rFonts w:hint="eastAsia" w:ascii="仿宋_GB2312" w:hAnsi="宋体" w:eastAsia="仿宋_GB2312" w:cs="Arial"/>
          <w:color w:val="000000"/>
          <w:sz w:val="24"/>
          <w:szCs w:val="24"/>
        </w:rPr>
        <w:t>应为采购人提供多种技术支持方式，并对采购人所提交问题指派固定服务队伍进行解答并提供相关建议，对未能彻底解决的问题应进行跟踪、反馈并及时处理。</w:t>
      </w:r>
    </w:p>
    <w:p>
      <w:pPr>
        <w:spacing w:line="360" w:lineRule="auto"/>
        <w:rPr>
          <w:rFonts w:hint="eastAsia" w:ascii="仿宋_GB2312" w:hAnsi="宋体" w:eastAsia="仿宋_GB2312"/>
          <w:color w:val="000000"/>
          <w:sz w:val="24"/>
        </w:rPr>
      </w:pPr>
      <w:r>
        <w:rPr>
          <w:rFonts w:hint="eastAsia" w:ascii="仿宋_GB2312" w:hAnsi="宋体" w:eastAsia="仿宋_GB2312"/>
          <w:color w:val="000000"/>
          <w:sz w:val="24"/>
        </w:rPr>
        <w:t>2、培训</w:t>
      </w:r>
    </w:p>
    <w:p>
      <w:pPr>
        <w:pStyle w:val="32"/>
        <w:widowControl/>
        <w:shd w:val="clear" w:color="auto" w:fill="FFFFFF"/>
        <w:spacing w:before="156" w:after="156" w:line="360" w:lineRule="auto"/>
        <w:ind w:firstLineChars="0"/>
        <w:jc w:val="left"/>
        <w:rPr>
          <w:rFonts w:hint="eastAsia" w:ascii="仿宋_GB2312" w:hAnsi="宋体" w:eastAsia="仿宋_GB2312" w:cs="Arial"/>
          <w:color w:val="000000"/>
          <w:sz w:val="24"/>
          <w:szCs w:val="24"/>
        </w:rPr>
      </w:pPr>
      <w:r>
        <w:rPr>
          <w:rFonts w:hint="eastAsia" w:ascii="仿宋_GB2312" w:hAnsi="宋体" w:eastAsia="仿宋_GB2312" w:cs="Arial"/>
          <w:color w:val="000000"/>
          <w:sz w:val="24"/>
          <w:szCs w:val="24"/>
          <w:lang w:eastAsia="zh-CN"/>
        </w:rPr>
        <w:t>投标人</w:t>
      </w:r>
      <w:r>
        <w:rPr>
          <w:rFonts w:hint="eastAsia" w:ascii="仿宋_GB2312" w:hAnsi="宋体" w:eastAsia="仿宋_GB2312" w:cs="Arial"/>
          <w:color w:val="000000"/>
          <w:sz w:val="24"/>
          <w:szCs w:val="24"/>
        </w:rPr>
        <w:t>应该提供丰富的培训内容给予采购人充分的选择。</w:t>
      </w:r>
    </w:p>
    <w:p>
      <w:pPr>
        <w:pStyle w:val="32"/>
        <w:widowControl/>
        <w:shd w:val="clear" w:color="auto" w:fill="FFFFFF"/>
        <w:spacing w:before="156" w:after="156" w:line="360" w:lineRule="auto"/>
        <w:ind w:firstLineChars="0"/>
        <w:jc w:val="left"/>
        <w:rPr>
          <w:rFonts w:hint="eastAsia" w:ascii="仿宋_GB2312" w:hAnsi="宋体" w:eastAsia="仿宋_GB2312" w:cs="Arial"/>
          <w:color w:val="000000"/>
          <w:sz w:val="24"/>
          <w:szCs w:val="24"/>
        </w:rPr>
      </w:pPr>
      <w:r>
        <w:rPr>
          <w:rFonts w:hint="eastAsia" w:ascii="仿宋_GB2312" w:hAnsi="宋体" w:eastAsia="仿宋_GB2312" w:cs="Arial"/>
          <w:color w:val="000000"/>
          <w:sz w:val="24"/>
          <w:szCs w:val="24"/>
        </w:rPr>
        <w:t>对于专题团体培训，采购人提供培训工程师到达</w:t>
      </w:r>
      <w:r>
        <w:rPr>
          <w:rFonts w:hint="eastAsia" w:ascii="仿宋_GB2312" w:hAnsi="宋体" w:eastAsia="仿宋_GB2312" w:cs="Arial"/>
          <w:color w:val="000000"/>
          <w:sz w:val="24"/>
          <w:szCs w:val="24"/>
          <w:lang w:eastAsia="zh-CN"/>
        </w:rPr>
        <w:t>投标人</w:t>
      </w:r>
      <w:r>
        <w:rPr>
          <w:rFonts w:hint="eastAsia" w:ascii="仿宋_GB2312" w:hAnsi="宋体" w:eastAsia="仿宋_GB2312" w:cs="Arial"/>
          <w:color w:val="000000"/>
          <w:sz w:val="24"/>
          <w:szCs w:val="24"/>
        </w:rPr>
        <w:t>现场进行指定专题的培训，受培训人数不限。</w:t>
      </w:r>
      <w:r>
        <w:rPr>
          <w:rFonts w:hint="eastAsia" w:ascii="仿宋_GB2312" w:hAnsi="宋体" w:eastAsia="仿宋_GB2312" w:cs="Arial"/>
          <w:color w:val="000000"/>
          <w:sz w:val="24"/>
          <w:szCs w:val="24"/>
          <w:lang w:eastAsia="zh-CN"/>
        </w:rPr>
        <w:t>投标人</w:t>
      </w:r>
      <w:r>
        <w:rPr>
          <w:rFonts w:hint="eastAsia" w:ascii="仿宋_GB2312" w:hAnsi="宋体" w:eastAsia="仿宋_GB2312" w:cs="Arial"/>
          <w:color w:val="000000"/>
          <w:sz w:val="24"/>
          <w:szCs w:val="24"/>
        </w:rPr>
        <w:t>应该针对采购人实际情况提供一年培训时间和课程的分布建议，并且有义务为采购人编写特定专题的教材。</w:t>
      </w:r>
    </w:p>
    <w:p>
      <w:pPr>
        <w:spacing w:line="360" w:lineRule="auto"/>
        <w:rPr>
          <w:rFonts w:hint="eastAsia" w:ascii="仿宋_GB2312" w:hAnsi="宋体" w:eastAsia="仿宋_GB2312"/>
          <w:color w:val="000000"/>
          <w:sz w:val="24"/>
        </w:rPr>
      </w:pPr>
      <w:r>
        <w:rPr>
          <w:rFonts w:hint="eastAsia" w:ascii="仿宋_GB2312" w:hAnsi="宋体" w:eastAsia="仿宋_GB2312"/>
          <w:color w:val="000000"/>
          <w:sz w:val="24"/>
        </w:rPr>
        <w:t>3.定期回顾</w:t>
      </w:r>
    </w:p>
    <w:p>
      <w:pPr>
        <w:pStyle w:val="32"/>
        <w:widowControl/>
        <w:shd w:val="clear" w:color="auto" w:fill="FFFFFF"/>
        <w:tabs>
          <w:tab w:val="left" w:pos="567"/>
        </w:tabs>
        <w:spacing w:before="156" w:after="156" w:line="360" w:lineRule="auto"/>
        <w:ind w:firstLine="284" w:firstLineChars="0"/>
        <w:jc w:val="left"/>
        <w:rPr>
          <w:rFonts w:hint="eastAsia" w:ascii="仿宋_GB2312" w:hAnsi="宋体" w:eastAsia="仿宋_GB2312" w:cs="Arial"/>
          <w:color w:val="000000"/>
          <w:sz w:val="24"/>
          <w:szCs w:val="24"/>
        </w:rPr>
      </w:pPr>
      <w:r>
        <w:rPr>
          <w:rFonts w:hint="eastAsia" w:ascii="仿宋_GB2312" w:hAnsi="宋体" w:eastAsia="仿宋_GB2312" w:cs="Arial"/>
          <w:color w:val="000000"/>
          <w:sz w:val="24"/>
          <w:szCs w:val="24"/>
          <w:lang w:eastAsia="zh-CN"/>
        </w:rPr>
        <w:t>投标人</w:t>
      </w:r>
      <w:r>
        <w:rPr>
          <w:rFonts w:hint="eastAsia" w:ascii="仿宋_GB2312" w:hAnsi="宋体" w:eastAsia="仿宋_GB2312" w:cs="Arial"/>
          <w:color w:val="000000"/>
          <w:sz w:val="24"/>
          <w:szCs w:val="24"/>
        </w:rPr>
        <w:t>与采购人应至少每季度召开一次服务例会进行该阶段应标人所提供技术服务的回顾，同时由采购人对该阶段的服务执行情况及服务质量进行考核。在采购人的要求下，</w:t>
      </w:r>
      <w:r>
        <w:rPr>
          <w:rFonts w:hint="eastAsia" w:ascii="仿宋_GB2312" w:hAnsi="宋体" w:eastAsia="仿宋_GB2312" w:cs="Arial"/>
          <w:color w:val="000000"/>
          <w:sz w:val="24"/>
          <w:szCs w:val="24"/>
          <w:lang w:eastAsia="zh-CN"/>
        </w:rPr>
        <w:t>投标人</w:t>
      </w:r>
      <w:r>
        <w:rPr>
          <w:rFonts w:hint="eastAsia" w:ascii="仿宋_GB2312" w:hAnsi="宋体" w:eastAsia="仿宋_GB2312" w:cs="Arial"/>
          <w:color w:val="000000"/>
          <w:sz w:val="24"/>
          <w:szCs w:val="24"/>
        </w:rPr>
        <w:t>有义务随时配合召开其他时间的例会。例会结束之后应由</w:t>
      </w:r>
      <w:r>
        <w:rPr>
          <w:rFonts w:hint="eastAsia" w:ascii="仿宋_GB2312" w:hAnsi="宋体" w:eastAsia="仿宋_GB2312" w:cs="Arial"/>
          <w:color w:val="000000"/>
          <w:sz w:val="24"/>
          <w:szCs w:val="24"/>
          <w:lang w:eastAsia="zh-CN"/>
        </w:rPr>
        <w:t>投标人</w:t>
      </w:r>
      <w:r>
        <w:rPr>
          <w:rFonts w:hint="eastAsia" w:ascii="仿宋_GB2312" w:hAnsi="宋体" w:eastAsia="仿宋_GB2312" w:cs="Arial"/>
          <w:color w:val="000000"/>
          <w:sz w:val="24"/>
          <w:szCs w:val="24"/>
        </w:rPr>
        <w:t>客户服务经理提供会议纪要交采购人确认，并对会议纪要中采购人意见与建议部分于7日内进行反馈并跟踪落实。</w:t>
      </w:r>
    </w:p>
    <w:p>
      <w:pPr>
        <w:pStyle w:val="32"/>
        <w:widowControl/>
        <w:shd w:val="clear" w:color="auto" w:fill="FFFFFF"/>
        <w:spacing w:before="156" w:after="156" w:line="360" w:lineRule="auto"/>
        <w:ind w:firstLineChars="0"/>
        <w:jc w:val="left"/>
        <w:rPr>
          <w:rFonts w:hint="eastAsia" w:ascii="仿宋_GB2312" w:hAnsi="宋体" w:eastAsia="仿宋_GB2312" w:cs="Arial"/>
          <w:color w:val="000000"/>
          <w:sz w:val="24"/>
          <w:szCs w:val="24"/>
        </w:rPr>
      </w:pPr>
      <w:r>
        <w:rPr>
          <w:rFonts w:hint="eastAsia" w:ascii="仿宋_GB2312" w:hAnsi="宋体" w:eastAsia="仿宋_GB2312" w:cs="Arial"/>
          <w:color w:val="000000"/>
          <w:sz w:val="24"/>
          <w:szCs w:val="24"/>
        </w:rPr>
        <w:t>会议内容将涉及以下事项：</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（1）投标人客户服务经理对该阶段所执行服务进行介绍，提交阶段性服务情况汇总报告。报告内容应包括该阶段所发生全部服务内容的的执行及采购人满意度情况。</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（2）采购人对投标人客户服务经理所提供阶段性服务情况汇总报告进行确认。确认完成后由采购人对该阶段服务执行情况及服务质量进行考核，并依据考核标准评测打分。</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（3）投标人客户服务经理听取并记录采购人针对该阶段服务执行情况及服务质量的意见及建议，全部内容应通过会议纪要形式确认。</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（4）投标人客户服务经理应根据采购人需求制定下一阶段的客户服务计划。客户服务计划指应标人应根据采购人所购买服务及其所服务的系统具体情况所定义的服务流程、服务内容、及服务质量。</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（5）讨论本阶段服务过程中的重大事件对采购人系统运行的影响及应对措施，如系统升级、搬迁、系统管理人员变动、管理流程及制度变更等。</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（6）针对本阶段服务过程中的重大技术问题，探讨有何预防措施及系统优化措施，寻求问题解决更为合理、有效的途径，改进针对此类问题的服务流程。</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（7）投标人介绍该阶段所推出的补丁程序信息、软件版本发放信息。</w:t>
      </w:r>
    </w:p>
    <w:p>
      <w:pPr>
        <w:snapToGrid w:val="0"/>
        <w:spacing w:line="440" w:lineRule="exact"/>
        <w:jc w:val="left"/>
        <w:rPr>
          <w:rFonts w:hint="eastAsia" w:ascii="仿宋_GB2312" w:hAnsi="宋体" w:eastAsia="仿宋_GB2312"/>
          <w:b/>
          <w:color w:val="000000"/>
          <w:sz w:val="24"/>
        </w:rPr>
      </w:pPr>
      <w:r>
        <w:rPr>
          <w:rFonts w:hint="eastAsia" w:ascii="仿宋_GB2312" w:hAnsi="宋体" w:eastAsia="仿宋_GB2312"/>
          <w:b/>
          <w:color w:val="000000"/>
          <w:sz w:val="24"/>
        </w:rPr>
        <w:t>三．版权要求</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1.本项目的所有权和知识产权归采购人所有。</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2.涉及的源代码（含质保期内的后续升级版本）必须遵循相关标准和规范,并无条件提交给采购人。</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3.涉及接口的必须遵循相关标准和规范，向下部署的，必须无条件开放所有接口且满足国家共享相关规定要求，投标人有义务配合采购人做好有关信息共享工作。</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4.本项目在开发、使用和维护过程中接触到的采购人的所有资料，未经采购人授权代表书面许可，不得留存，私自查阅及向任何第三方泄露。</w:t>
      </w:r>
    </w:p>
    <w:p>
      <w:pPr>
        <w:snapToGrid w:val="0"/>
        <w:spacing w:line="44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5.本项目的设计开发专利申请权、技术秘密的使用权和转让权归采购人所有。</w:t>
      </w:r>
    </w:p>
    <w:p>
      <w:pPr>
        <w:snapToGrid w:val="0"/>
        <w:spacing w:line="440" w:lineRule="exact"/>
        <w:ind w:firstLine="480" w:firstLineChars="200"/>
        <w:jc w:val="left"/>
        <w:rPr>
          <w:rFonts w:hint="eastAsia" w:ascii="仿宋_GB2312" w:hAnsi="宋体" w:eastAsia="仿宋_GB2312"/>
          <w:color w:val="000000"/>
          <w:sz w:val="24"/>
        </w:rPr>
      </w:pPr>
    </w:p>
    <w:p>
      <w:pPr>
        <w:pageBreakBefore/>
        <w:spacing w:line="800" w:lineRule="exact"/>
        <w:rPr>
          <w:rFonts w:ascii="仿宋_GB2312" w:hAnsi="宋体" w:eastAsia="仿宋_GB2312"/>
          <w:b/>
          <w:color w:val="000000"/>
          <w:sz w:val="24"/>
        </w:rPr>
      </w:pPr>
      <w:r>
        <w:rPr>
          <w:rFonts w:hint="eastAsia" w:ascii="仿宋_GB2312" w:hAnsi="宋体" w:eastAsia="仿宋_GB2312"/>
          <w:b/>
          <w:color w:val="000000"/>
          <w:sz w:val="24"/>
        </w:rPr>
        <w:t>七、评标方法及标准</w:t>
      </w:r>
    </w:p>
    <w:p>
      <w:pPr>
        <w:spacing w:line="440" w:lineRule="exact"/>
        <w:jc w:val="left"/>
        <w:rPr>
          <w:rFonts w:ascii="仿宋_GB2312" w:hAnsi="宋体" w:eastAsia="仿宋_GB2312"/>
          <w:b/>
          <w:color w:val="000000"/>
          <w:sz w:val="24"/>
        </w:rPr>
      </w:pPr>
      <w:r>
        <w:rPr>
          <w:rFonts w:hint="eastAsia" w:ascii="仿宋_GB2312" w:hAnsi="宋体" w:eastAsia="仿宋_GB2312"/>
          <w:b/>
          <w:color w:val="000000"/>
          <w:sz w:val="24"/>
        </w:rPr>
        <w:t>1、评标方法：</w:t>
      </w:r>
    </w:p>
    <w:p>
      <w:pPr>
        <w:spacing w:line="440" w:lineRule="exact"/>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_GB2312" w:hAnsi="宋体" w:eastAsia="仿宋_GB2312"/>
          <w:b/>
          <w:color w:val="000000"/>
          <w:sz w:val="24"/>
        </w:rPr>
      </w:pPr>
      <w:r>
        <w:rPr>
          <w:rFonts w:hint="eastAsia" w:ascii="仿宋_GB2312" w:hAnsi="宋体" w:eastAsia="仿宋_GB2312"/>
          <w:b/>
          <w:color w:val="000000"/>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_GB2312" w:hAnsi="宋体" w:eastAsia="仿宋_GB2312"/>
          <w:color w:val="000000"/>
          <w:sz w:val="24"/>
        </w:rPr>
      </w:pPr>
      <w:r>
        <w:rPr>
          <w:rFonts w:hint="eastAsia" w:ascii="仿宋_GB2312" w:hAnsi="宋体" w:eastAsia="仿宋_GB2312"/>
          <w:b/>
          <w:color w:val="000000"/>
          <w:sz w:val="24"/>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_GB2312" w:hAnsi="宋体" w:eastAsia="仿宋_GB2312"/>
          <w:color w:val="000000"/>
          <w:sz w:val="24"/>
        </w:rPr>
      </w:pPr>
      <w:r>
        <w:rPr>
          <w:rFonts w:hint="eastAsia" w:ascii="仿宋_GB2312" w:hAnsi="宋体" w:eastAsia="仿宋_GB2312"/>
          <w:b/>
          <w:color w:val="000000"/>
          <w:sz w:val="24"/>
        </w:rPr>
        <w:t>2.评分标准：</w:t>
      </w:r>
      <w:r>
        <w:rPr>
          <w:rFonts w:hint="eastAsia" w:ascii="仿宋_GB2312" w:hAnsi="宋体" w:eastAsia="仿宋_GB2312"/>
          <w:color w:val="000000"/>
          <w:sz w:val="24"/>
        </w:rPr>
        <w:t>共100分，其中商务技术分70分，价格分30分。评分依下述所列为评标打分依据，分值如下（计算分值时，按其算术平均值保留小数2位）。</w:t>
      </w:r>
    </w:p>
    <w:p>
      <w:pPr>
        <w:spacing w:line="440" w:lineRule="exact"/>
        <w:rPr>
          <w:rFonts w:hint="eastAsia" w:ascii="仿宋_GB2312" w:hAnsi="宋体" w:eastAsia="仿宋_GB2312"/>
          <w:b/>
          <w:bCs/>
          <w:iCs/>
          <w:color w:val="000000"/>
          <w:sz w:val="24"/>
        </w:rPr>
      </w:pPr>
      <w:r>
        <w:rPr>
          <w:rFonts w:hint="eastAsia" w:ascii="仿宋_GB2312" w:hAnsi="宋体" w:eastAsia="仿宋_GB2312"/>
          <w:b/>
          <w:bCs/>
          <w:iCs/>
          <w:color w:val="000000"/>
          <w:sz w:val="24"/>
        </w:rPr>
        <w:t>2.1.商务技术分（70分）</w:t>
      </w:r>
    </w:p>
    <w:p>
      <w:pPr>
        <w:spacing w:line="440" w:lineRule="exact"/>
        <w:rPr>
          <w:rFonts w:hint="eastAsia" w:ascii="仿宋_GB2312" w:eastAsia="仿宋_GB2312"/>
          <w:b/>
          <w:color w:val="000000"/>
          <w:sz w:val="24"/>
          <w:bdr w:val="single" w:color="auto" w:sz="4" w:space="0"/>
        </w:rPr>
      </w:pPr>
      <w:r>
        <w:rPr>
          <w:rFonts w:hint="eastAsia" w:ascii="仿宋_GB2312" w:eastAsia="仿宋_GB2312"/>
          <w:b/>
          <w:color w:val="000000"/>
          <w:sz w:val="24"/>
          <w:bdr w:val="single" w:color="auto" w:sz="4" w:space="0"/>
        </w:rPr>
        <w:t>01标</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277"/>
        <w:gridCol w:w="5386"/>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序号</w:t>
            </w:r>
          </w:p>
        </w:tc>
        <w:tc>
          <w:tcPr>
            <w:tcW w:w="749" w:type="pc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评分要素</w:t>
            </w:r>
          </w:p>
        </w:tc>
        <w:tc>
          <w:tcPr>
            <w:tcW w:w="3160" w:type="pct"/>
            <w:tcBorders>
              <w:top w:val="single" w:color="auto" w:sz="4" w:space="0"/>
              <w:left w:val="single" w:color="auto" w:sz="4" w:space="0"/>
              <w:bottom w:val="single" w:color="auto" w:sz="4" w:space="0"/>
              <w:right w:val="single" w:color="auto" w:sz="4" w:space="0"/>
            </w:tcBorders>
            <w:noWrap w:val="0"/>
            <w:vAlign w:val="top"/>
          </w:tcPr>
          <w:p>
            <w:pPr>
              <w:adjustRightInd/>
              <w:spacing w:line="360" w:lineRule="auto"/>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评分细则</w:t>
            </w:r>
          </w:p>
        </w:tc>
        <w:tc>
          <w:tcPr>
            <w:tcW w:w="612" w:type="pc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1</w:t>
            </w:r>
          </w:p>
        </w:tc>
        <w:tc>
          <w:tcPr>
            <w:tcW w:w="749"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投标方案的科学性和完整性（10分）</w:t>
            </w:r>
          </w:p>
        </w:tc>
        <w:tc>
          <w:tcPr>
            <w:tcW w:w="3160" w:type="pct"/>
            <w:tcBorders>
              <w:top w:val="single" w:color="auto" w:sz="4" w:space="0"/>
              <w:left w:val="single" w:color="auto" w:sz="4" w:space="0"/>
              <w:bottom w:val="single" w:color="auto" w:sz="4" w:space="0"/>
              <w:right w:val="single" w:color="auto" w:sz="4" w:space="0"/>
            </w:tcBorders>
            <w:noWrap w:val="0"/>
            <w:vAlign w:val="top"/>
          </w:tcPr>
          <w:p>
            <w:pPr>
              <w:adjustRightInd/>
              <w:spacing w:line="360" w:lineRule="auto"/>
              <w:jc w:val="left"/>
              <w:rPr>
                <w:rFonts w:hint="eastAsia" w:ascii="仿宋_GB2312" w:hAnsi="仿宋" w:eastAsia="仿宋_GB2312" w:cs="宋体"/>
                <w:color w:val="000000"/>
                <w:sz w:val="24"/>
              </w:rPr>
            </w:pPr>
            <w:r>
              <w:rPr>
                <w:rFonts w:hint="eastAsia" w:ascii="仿宋_GB2312" w:hAnsi="仿宋" w:eastAsia="仿宋_GB2312" w:cs="宋体"/>
                <w:color w:val="000000"/>
                <w:sz w:val="24"/>
              </w:rPr>
              <w:t>按其提供的投标方案总体设计、建设方案（详细阐述业务系统的体系架构、功能模块，技术解决方案中体现包括“模型算子”、“模型推演室”）等方面进行打分，</w:t>
            </w:r>
            <w:r>
              <w:rPr>
                <w:rFonts w:hint="eastAsia" w:ascii="仿宋_GB2312" w:hAnsi="仿宋_GB2312" w:eastAsia="仿宋_GB2312" w:cs="仿宋_GB2312"/>
                <w:color w:val="000000"/>
                <w:sz w:val="24"/>
              </w:rPr>
              <w:t>优于项目需求的4.0.0-3.0分，符合项目需求</w:t>
            </w:r>
            <w:r>
              <w:rPr>
                <w:rFonts w:hint="eastAsia" w:ascii="仿宋_GB2312" w:hAnsi="仿宋" w:eastAsia="仿宋_GB2312" w:cs="宋体"/>
                <w:color w:val="000000"/>
                <w:sz w:val="24"/>
              </w:rPr>
              <w:t>的得2.9-1.0分，部分符合项目需求的得0.9-0.1分，不符合或不提供不得分。</w:t>
            </w:r>
          </w:p>
        </w:tc>
        <w:tc>
          <w:tcPr>
            <w:tcW w:w="612" w:type="pc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2</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仿宋_GB2312" w:hAnsi="仿宋" w:eastAsia="仿宋_GB2312" w:cs="宋体"/>
                <w:color w:val="000000"/>
                <w:sz w:val="24"/>
              </w:rPr>
            </w:pPr>
          </w:p>
        </w:tc>
        <w:tc>
          <w:tcPr>
            <w:tcW w:w="3160" w:type="pct"/>
            <w:tcBorders>
              <w:top w:val="single" w:color="auto" w:sz="4" w:space="0"/>
              <w:left w:val="single" w:color="auto" w:sz="4" w:space="0"/>
              <w:bottom w:val="single" w:color="auto" w:sz="4" w:space="0"/>
              <w:right w:val="single" w:color="auto" w:sz="4" w:space="0"/>
            </w:tcBorders>
            <w:noWrap w:val="0"/>
            <w:vAlign w:val="top"/>
          </w:tcPr>
          <w:p>
            <w:pPr>
              <w:adjustRightInd/>
              <w:spacing w:line="360" w:lineRule="auto"/>
              <w:jc w:val="left"/>
              <w:rPr>
                <w:rFonts w:ascii="仿宋_GB2312" w:hAnsi="仿宋" w:eastAsia="仿宋_GB2312" w:cs="宋体"/>
                <w:color w:val="000000"/>
                <w:sz w:val="24"/>
              </w:rPr>
            </w:pPr>
            <w:r>
              <w:rPr>
                <w:rFonts w:hint="eastAsia" w:ascii="仿宋_GB2312" w:hAnsi="仿宋" w:eastAsia="仿宋_GB2312" w:cs="宋体"/>
                <w:color w:val="000000"/>
                <w:sz w:val="24"/>
              </w:rPr>
              <w:t>1、按其提供的投标方案中对系统提出整合建议和措施完整性、有效性、符合性等方面进行打分，</w:t>
            </w:r>
            <w:r>
              <w:rPr>
                <w:rFonts w:hint="eastAsia" w:ascii="仿宋_GB2312" w:hAnsi="仿宋" w:eastAsia="仿宋_GB2312" w:cs="仿宋_GB2312"/>
                <w:color w:val="000000"/>
                <w:sz w:val="24"/>
              </w:rPr>
              <w:t>优于项目需求的得2.0-1.5分，符合项目需求的得1.4-0.6分，部分符合项目需求的得0.5-0.1分，不符合或不提供不得分；</w:t>
            </w:r>
          </w:p>
          <w:p>
            <w:pPr>
              <w:adjustRightInd/>
              <w:spacing w:line="360" w:lineRule="auto"/>
              <w:jc w:val="left"/>
              <w:rPr>
                <w:rFonts w:ascii="仿宋_GB2312" w:hAnsi="仿宋" w:eastAsia="仿宋_GB2312" w:cs="宋体"/>
                <w:color w:val="000000"/>
                <w:sz w:val="24"/>
              </w:rPr>
            </w:pPr>
            <w:r>
              <w:rPr>
                <w:rFonts w:hint="eastAsia" w:ascii="仿宋_GB2312" w:hAnsi="仿宋" w:eastAsia="仿宋_GB2312" w:cs="宋体"/>
                <w:color w:val="000000"/>
                <w:sz w:val="24"/>
              </w:rPr>
              <w:t>2、按其详细阐述对系统建设目标、功能模块、重难点、实现思路完整性、有效性、符合性等方面进行打分，</w:t>
            </w:r>
            <w:r>
              <w:rPr>
                <w:rFonts w:hint="eastAsia" w:ascii="仿宋_GB2312" w:hAnsi="仿宋" w:eastAsia="仿宋_GB2312" w:cs="仿宋_GB2312"/>
                <w:color w:val="000000"/>
                <w:sz w:val="24"/>
              </w:rPr>
              <w:t>优于项目需求的得2.0-1.5分，符合项目需求的得1.4-0.6分，部分符合项目需求的得0.5-0.1分，不符合或不提供不得分</w:t>
            </w:r>
            <w:r>
              <w:rPr>
                <w:rFonts w:hint="eastAsia" w:ascii="仿宋_GB2312" w:hAnsi="仿宋" w:eastAsia="仿宋_GB2312" w:cs="宋体"/>
                <w:color w:val="000000"/>
                <w:sz w:val="24"/>
              </w:rPr>
              <w:t>;</w:t>
            </w:r>
          </w:p>
          <w:p>
            <w:pPr>
              <w:adjustRightInd/>
              <w:spacing w:line="360" w:lineRule="auto"/>
              <w:jc w:val="left"/>
              <w:rPr>
                <w:rFonts w:hint="eastAsia" w:ascii="仿宋_GB2312" w:hAnsi="仿宋" w:eastAsia="仿宋_GB2312" w:cs="宋体"/>
                <w:color w:val="000000"/>
                <w:sz w:val="24"/>
              </w:rPr>
            </w:pPr>
            <w:r>
              <w:rPr>
                <w:rFonts w:hint="eastAsia" w:ascii="仿宋_GB2312" w:hAnsi="仿宋" w:eastAsia="仿宋_GB2312" w:cs="宋体"/>
                <w:color w:val="000000"/>
                <w:sz w:val="24"/>
              </w:rPr>
              <w:t>3、按其提供的关键技术的理解等方面进行打分，</w:t>
            </w:r>
            <w:r>
              <w:rPr>
                <w:rFonts w:hint="eastAsia" w:ascii="仿宋_GB2312" w:hAnsi="仿宋" w:eastAsia="仿宋_GB2312" w:cs="仿宋_GB2312"/>
                <w:color w:val="000000"/>
                <w:sz w:val="24"/>
              </w:rPr>
              <w:t>优于项目需求的得2.0-1.5分，符合项目需求的得1.4-0.6分，部分符合项目需求的得0.5-0.1分，不符合或不提供不得分</w:t>
            </w:r>
            <w:r>
              <w:rPr>
                <w:rFonts w:hint="eastAsia" w:ascii="仿宋_GB2312" w:hAnsi="仿宋" w:eastAsia="仿宋_GB2312" w:cs="宋体"/>
                <w:color w:val="000000"/>
                <w:sz w:val="24"/>
              </w:rPr>
              <w:t>;</w:t>
            </w:r>
          </w:p>
        </w:tc>
        <w:tc>
          <w:tcPr>
            <w:tcW w:w="612" w:type="pc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479" w:type="pct"/>
            <w:vMerge w:val="restart"/>
            <w:tcBorders>
              <w:top w:val="single" w:color="auto" w:sz="4" w:space="0"/>
              <w:left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3</w:t>
            </w:r>
          </w:p>
        </w:tc>
        <w:tc>
          <w:tcPr>
            <w:tcW w:w="749"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平台衔接（4分）</w:t>
            </w:r>
          </w:p>
        </w:tc>
        <w:tc>
          <w:tcPr>
            <w:tcW w:w="3160" w:type="pct"/>
            <w:tcBorders>
              <w:top w:val="single" w:color="auto" w:sz="4" w:space="0"/>
              <w:left w:val="single" w:color="auto" w:sz="4" w:space="0"/>
              <w:bottom w:val="single" w:color="auto" w:sz="4" w:space="0"/>
              <w:right w:val="single" w:color="auto" w:sz="4" w:space="0"/>
            </w:tcBorders>
            <w:noWrap w:val="0"/>
            <w:vAlign w:val="top"/>
          </w:tcPr>
          <w:p>
            <w:pPr>
              <w:adjustRightInd/>
              <w:spacing w:line="360" w:lineRule="auto"/>
              <w:jc w:val="left"/>
              <w:rPr>
                <w:rFonts w:hint="eastAsia" w:ascii="仿宋_GB2312" w:hAnsi="仿宋" w:eastAsia="仿宋_GB2312" w:cs="宋体"/>
                <w:color w:val="000000"/>
                <w:sz w:val="24"/>
              </w:rPr>
            </w:pPr>
            <w:r>
              <w:rPr>
                <w:rFonts w:hint="eastAsia" w:ascii="仿宋_GB2312" w:hAnsi="仿宋" w:eastAsia="仿宋_GB2312" w:cs="宋体"/>
                <w:color w:val="000000"/>
                <w:sz w:val="24"/>
              </w:rPr>
              <w:t>提供承诺，承诺本次项目能与现有实战平台系统无缝对接，满足得2分，否则不得分（2分）</w:t>
            </w:r>
          </w:p>
        </w:tc>
        <w:tc>
          <w:tcPr>
            <w:tcW w:w="612" w:type="pc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479" w:type="pct"/>
            <w:vMerge w:val="continue"/>
            <w:tcBorders>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仿宋_GB2312" w:hAnsi="仿宋" w:eastAsia="仿宋_GB2312" w:cs="宋体"/>
                <w:color w:val="000000"/>
                <w:sz w:val="24"/>
              </w:rPr>
            </w:pPr>
          </w:p>
        </w:tc>
        <w:tc>
          <w:tcPr>
            <w:tcW w:w="3160" w:type="pct"/>
            <w:tcBorders>
              <w:top w:val="single" w:color="auto" w:sz="4" w:space="0"/>
              <w:left w:val="single" w:color="auto" w:sz="4" w:space="0"/>
              <w:bottom w:val="single" w:color="auto" w:sz="4" w:space="0"/>
              <w:right w:val="single" w:color="auto" w:sz="4" w:space="0"/>
            </w:tcBorders>
            <w:noWrap w:val="0"/>
            <w:vAlign w:val="top"/>
          </w:tcPr>
          <w:p>
            <w:pPr>
              <w:adjustRightInd/>
              <w:spacing w:line="360" w:lineRule="auto"/>
              <w:jc w:val="left"/>
              <w:rPr>
                <w:rFonts w:hint="eastAsia" w:ascii="仿宋_GB2312" w:hAnsi="仿宋" w:eastAsia="仿宋_GB2312" w:cs="宋体"/>
                <w:color w:val="000000"/>
                <w:sz w:val="24"/>
              </w:rPr>
            </w:pPr>
            <w:r>
              <w:rPr>
                <w:rFonts w:hint="eastAsia" w:ascii="仿宋_GB2312" w:hAnsi="仿宋" w:eastAsia="仿宋_GB2312" w:cs="宋体"/>
                <w:color w:val="000000"/>
                <w:sz w:val="24"/>
              </w:rPr>
              <w:t>提供承诺，承诺本次项目能与“云上公安”的无缝对接，满足得2分，否则不得分（2分）</w:t>
            </w:r>
          </w:p>
        </w:tc>
        <w:tc>
          <w:tcPr>
            <w:tcW w:w="612" w:type="pc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r>
              <w:rPr>
                <w:rFonts w:ascii="仿宋_GB2312" w:hAnsi="仿宋" w:eastAsia="仿宋_GB2312" w:cs="宋体"/>
                <w:color w:val="000000"/>
                <w:sz w:val="24"/>
              </w:rPr>
              <w:t>4</w:t>
            </w:r>
          </w:p>
        </w:tc>
        <w:tc>
          <w:tcPr>
            <w:tcW w:w="749" w:type="pc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现场演示（24分）</w:t>
            </w:r>
          </w:p>
        </w:tc>
        <w:tc>
          <w:tcPr>
            <w:tcW w:w="3160" w:type="pct"/>
            <w:tcBorders>
              <w:top w:val="single" w:color="auto" w:sz="4" w:space="0"/>
              <w:left w:val="single" w:color="auto" w:sz="4" w:space="0"/>
              <w:bottom w:val="single" w:color="auto" w:sz="4" w:space="0"/>
              <w:right w:val="single" w:color="auto" w:sz="4" w:space="0"/>
            </w:tcBorders>
            <w:noWrap w:val="0"/>
            <w:vAlign w:val="top"/>
          </w:tcPr>
          <w:p>
            <w:pPr>
              <w:adjustRightInd/>
              <w:spacing w:line="360" w:lineRule="auto"/>
              <w:jc w:val="left"/>
              <w:rPr>
                <w:rFonts w:ascii="仿宋_GB2312" w:hAnsi="仿宋" w:eastAsia="仿宋_GB2312" w:cs="宋体"/>
                <w:b/>
                <w:bCs/>
                <w:color w:val="000000"/>
                <w:sz w:val="24"/>
              </w:rPr>
            </w:pPr>
            <w:r>
              <w:rPr>
                <w:rFonts w:hint="eastAsia" w:ascii="仿宋_GB2312" w:hAnsi="仿宋" w:eastAsia="仿宋_GB2312" w:cs="宋体"/>
                <w:b/>
                <w:bCs/>
                <w:color w:val="000000"/>
                <w:sz w:val="24"/>
              </w:rPr>
              <w:t>演示内容：</w:t>
            </w:r>
          </w:p>
          <w:p>
            <w:pPr>
              <w:adjustRightInd/>
              <w:spacing w:line="360" w:lineRule="auto"/>
              <w:jc w:val="left"/>
              <w:rPr>
                <w:rFonts w:ascii="仿宋_GB2312" w:hAnsi="仿宋" w:eastAsia="仿宋_GB2312" w:cs="宋体"/>
                <w:color w:val="000000"/>
                <w:sz w:val="24"/>
              </w:rPr>
            </w:pPr>
            <w:r>
              <w:rPr>
                <w:rFonts w:hint="eastAsia" w:ascii="仿宋_GB2312" w:hAnsi="仿宋" w:eastAsia="仿宋_GB2312" w:cs="宋体"/>
                <w:color w:val="000000"/>
                <w:sz w:val="24"/>
              </w:rPr>
              <w:t>1）模型推演室：演示功能内容包括常用模型算子总览得2分、线下数据源上传得2分、数据表字段筛选得2分、常用画布工具（保存、清除等）得2分、自定义交差并集拖拽组合计算得2分，不演示不得分（10分）；</w:t>
            </w:r>
          </w:p>
          <w:p>
            <w:pPr>
              <w:adjustRightInd/>
              <w:spacing w:line="360" w:lineRule="auto"/>
              <w:jc w:val="left"/>
              <w:rPr>
                <w:rFonts w:ascii="仿宋_GB2312" w:hAnsi="仿宋" w:eastAsia="仿宋_GB2312" w:cs="宋体"/>
                <w:color w:val="000000"/>
                <w:sz w:val="24"/>
              </w:rPr>
            </w:pPr>
            <w:r>
              <w:rPr>
                <w:rFonts w:hint="eastAsia" w:ascii="仿宋_GB2312" w:hAnsi="仿宋" w:eastAsia="仿宋_GB2312" w:cs="宋体"/>
                <w:color w:val="000000"/>
                <w:sz w:val="24"/>
              </w:rPr>
              <w:t>2）模型商城：演示功能内容包括自建模型发布展示得2分、商城模型直接用于自定义模型推演得2分、模型详情查看得2分、模型查询及热度排行得2分，不演示不得分（8分）；</w:t>
            </w:r>
          </w:p>
          <w:p>
            <w:pPr>
              <w:adjustRightInd/>
              <w:spacing w:line="360" w:lineRule="auto"/>
              <w:jc w:val="left"/>
              <w:rPr>
                <w:rFonts w:ascii="仿宋_GB2312" w:hAnsi="仿宋" w:eastAsia="仿宋_GB2312" w:cs="宋体"/>
                <w:color w:val="000000"/>
                <w:sz w:val="24"/>
              </w:rPr>
            </w:pPr>
            <w:r>
              <w:rPr>
                <w:rFonts w:hint="eastAsia" w:ascii="仿宋_GB2312" w:hAnsi="仿宋" w:eastAsia="仿宋_GB2312" w:cs="宋体"/>
                <w:color w:val="000000"/>
                <w:sz w:val="24"/>
              </w:rPr>
              <w:t>3）我的算子：演示功能内容包括自定义构建我的算子得2分、我的算子直接用于模型推演得2分、查询及管理我的算子得2分，不演示不得分（6分）。</w:t>
            </w:r>
          </w:p>
          <w:p>
            <w:pPr>
              <w:adjustRightInd/>
              <w:spacing w:line="360" w:lineRule="auto"/>
              <w:jc w:val="left"/>
              <w:rPr>
                <w:rFonts w:ascii="仿宋_GB2312" w:hAnsi="仿宋" w:eastAsia="仿宋_GB2312" w:cs="宋体"/>
                <w:color w:val="000000"/>
                <w:sz w:val="24"/>
              </w:rPr>
            </w:pPr>
            <w:r>
              <w:rPr>
                <w:rFonts w:hint="eastAsia" w:ascii="仿宋_GB2312" w:hAnsi="仿宋" w:eastAsia="仿宋_GB2312" w:cs="宋体"/>
                <w:b/>
                <w:bCs/>
                <w:color w:val="000000"/>
                <w:sz w:val="24"/>
              </w:rPr>
              <w:t>说明：</w:t>
            </w:r>
            <w:r>
              <w:rPr>
                <w:rFonts w:hint="eastAsia" w:ascii="仿宋_GB2312" w:hAnsi="仿宋" w:eastAsia="仿宋_GB2312" w:cs="宋体"/>
                <w:color w:val="000000"/>
                <w:sz w:val="24"/>
              </w:rPr>
              <w:t>1、采用图片、PPT、Axure等高保真演示的上述演示不得分；</w:t>
            </w:r>
          </w:p>
          <w:p>
            <w:pPr>
              <w:adjustRightInd/>
              <w:spacing w:line="360" w:lineRule="auto"/>
              <w:jc w:val="left"/>
              <w:rPr>
                <w:rFonts w:hint="eastAsia" w:ascii="仿宋_GB2312" w:hAnsi="仿宋" w:eastAsia="仿宋_GB2312" w:cs="宋体"/>
                <w:dstrike/>
                <w:color w:val="000000"/>
                <w:sz w:val="24"/>
              </w:rPr>
            </w:pPr>
            <w:r>
              <w:rPr>
                <w:rFonts w:hint="eastAsia" w:ascii="仿宋_GB2312" w:hAnsi="仿宋" w:eastAsia="仿宋_GB2312" w:cs="宋体"/>
                <w:color w:val="000000"/>
                <w:sz w:val="24"/>
              </w:rPr>
              <w:t>2、演示其它要求详见前附表。</w:t>
            </w:r>
          </w:p>
        </w:tc>
        <w:tc>
          <w:tcPr>
            <w:tcW w:w="612" w:type="pc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2</w:t>
            </w:r>
            <w:r>
              <w:rPr>
                <w:rFonts w:ascii="仿宋_GB2312" w:hAnsi="仿宋" w:eastAsia="仿宋_GB2312" w:cs="宋体"/>
                <w:color w:val="000000"/>
                <w:sz w:val="24"/>
              </w:rPr>
              <w:t>4</w:t>
            </w:r>
            <w:r>
              <w:rPr>
                <w:rFonts w:hint="eastAsia" w:ascii="仿宋_GB2312" w:hAnsi="仿宋" w:eastAsia="仿宋_GB2312" w:cs="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479" w:type="pct"/>
            <w:vMerge w:val="restart"/>
            <w:tcBorders>
              <w:top w:val="single" w:color="auto" w:sz="4" w:space="0"/>
              <w:left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5</w:t>
            </w:r>
          </w:p>
        </w:tc>
        <w:tc>
          <w:tcPr>
            <w:tcW w:w="749"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质量保证措施和建设工期情况（2分）</w:t>
            </w:r>
          </w:p>
        </w:tc>
        <w:tc>
          <w:tcPr>
            <w:tcW w:w="3160" w:type="pct"/>
            <w:tcBorders>
              <w:top w:val="single" w:color="auto" w:sz="4" w:space="0"/>
              <w:left w:val="single" w:color="auto" w:sz="4" w:space="0"/>
              <w:bottom w:val="single" w:color="auto" w:sz="4" w:space="0"/>
              <w:right w:val="single" w:color="auto" w:sz="4" w:space="0"/>
            </w:tcBorders>
            <w:noWrap w:val="0"/>
            <w:vAlign w:val="top"/>
          </w:tcPr>
          <w:p>
            <w:pPr>
              <w:adjustRightInd/>
              <w:spacing w:line="360" w:lineRule="auto"/>
              <w:jc w:val="left"/>
              <w:rPr>
                <w:rFonts w:hint="eastAsia" w:ascii="仿宋_GB2312" w:hAnsi="仿宋" w:eastAsia="仿宋_GB2312" w:cs="宋体"/>
                <w:color w:val="000000"/>
                <w:sz w:val="24"/>
              </w:rPr>
            </w:pPr>
            <w:r>
              <w:rPr>
                <w:rFonts w:hint="eastAsia" w:ascii="仿宋_GB2312" w:hAnsi="仿宋" w:eastAsia="仿宋_GB2312" w:cs="宋体"/>
                <w:color w:val="000000"/>
                <w:sz w:val="24"/>
              </w:rPr>
              <w:t>按其提供的明确的建设质量目标、质量保证措施、详细可行的实施内容及工期保证等方面进行打分，</w:t>
            </w:r>
            <w:r>
              <w:rPr>
                <w:rFonts w:hint="eastAsia" w:ascii="仿宋_GB2312" w:hAnsi="仿宋" w:eastAsia="仿宋_GB2312" w:cs="仿宋_GB2312"/>
                <w:color w:val="000000"/>
                <w:sz w:val="24"/>
              </w:rPr>
              <w:t>优于项目需求的得</w:t>
            </w:r>
            <w:r>
              <w:rPr>
                <w:rFonts w:ascii="仿宋_GB2312" w:hAnsi="仿宋" w:eastAsia="仿宋_GB2312" w:cs="仿宋_GB2312"/>
                <w:color w:val="000000"/>
                <w:sz w:val="24"/>
              </w:rPr>
              <w:t>1</w:t>
            </w:r>
            <w:r>
              <w:rPr>
                <w:rFonts w:hint="eastAsia" w:ascii="仿宋_GB2312" w:hAnsi="仿宋" w:eastAsia="仿宋_GB2312" w:cs="仿宋_GB2312"/>
                <w:color w:val="000000"/>
                <w:sz w:val="24"/>
              </w:rPr>
              <w:t>.0-</w:t>
            </w:r>
            <w:r>
              <w:rPr>
                <w:rFonts w:ascii="仿宋_GB2312" w:hAnsi="仿宋" w:eastAsia="仿宋_GB2312" w:cs="仿宋_GB2312"/>
                <w:color w:val="000000"/>
                <w:sz w:val="24"/>
              </w:rPr>
              <w:t>0</w:t>
            </w:r>
            <w:r>
              <w:rPr>
                <w:rFonts w:hint="eastAsia" w:ascii="仿宋_GB2312" w:hAnsi="仿宋" w:eastAsia="仿宋_GB2312" w:cs="仿宋_GB2312"/>
                <w:color w:val="000000"/>
                <w:sz w:val="24"/>
              </w:rPr>
              <w:t>.</w:t>
            </w:r>
            <w:r>
              <w:rPr>
                <w:rFonts w:ascii="仿宋_GB2312" w:hAnsi="仿宋" w:eastAsia="仿宋_GB2312" w:cs="仿宋_GB2312"/>
                <w:color w:val="000000"/>
                <w:sz w:val="24"/>
              </w:rPr>
              <w:t>8</w:t>
            </w:r>
            <w:r>
              <w:rPr>
                <w:rFonts w:hint="eastAsia" w:ascii="仿宋_GB2312" w:hAnsi="仿宋" w:eastAsia="仿宋_GB2312" w:cs="仿宋_GB2312"/>
                <w:color w:val="000000"/>
                <w:sz w:val="24"/>
              </w:rPr>
              <w:t>分，符合项目需求的得</w:t>
            </w:r>
            <w:r>
              <w:rPr>
                <w:rFonts w:ascii="仿宋_GB2312" w:hAnsi="仿宋" w:eastAsia="仿宋_GB2312" w:cs="仿宋_GB2312"/>
                <w:color w:val="000000"/>
                <w:sz w:val="24"/>
              </w:rPr>
              <w:t>0.7</w:t>
            </w:r>
            <w:r>
              <w:rPr>
                <w:rFonts w:hint="eastAsia" w:ascii="仿宋_GB2312" w:hAnsi="仿宋" w:eastAsia="仿宋_GB2312" w:cs="仿宋_GB2312"/>
                <w:color w:val="000000"/>
                <w:sz w:val="24"/>
              </w:rPr>
              <w:t>-0.</w:t>
            </w:r>
            <w:r>
              <w:rPr>
                <w:rFonts w:ascii="仿宋_GB2312" w:hAnsi="仿宋" w:eastAsia="仿宋_GB2312" w:cs="仿宋_GB2312"/>
                <w:color w:val="000000"/>
                <w:sz w:val="24"/>
              </w:rPr>
              <w:t>4</w:t>
            </w:r>
            <w:r>
              <w:rPr>
                <w:rFonts w:hint="eastAsia" w:ascii="仿宋_GB2312" w:hAnsi="仿宋" w:eastAsia="仿宋_GB2312" w:cs="仿宋_GB2312"/>
                <w:color w:val="000000"/>
                <w:sz w:val="24"/>
              </w:rPr>
              <w:t>分，部分符合项目需求的得0.</w:t>
            </w:r>
            <w:r>
              <w:rPr>
                <w:rFonts w:ascii="仿宋_GB2312" w:hAnsi="仿宋" w:eastAsia="仿宋_GB2312" w:cs="仿宋_GB2312"/>
                <w:color w:val="000000"/>
                <w:sz w:val="24"/>
              </w:rPr>
              <w:t>3</w:t>
            </w:r>
            <w:r>
              <w:rPr>
                <w:rFonts w:hint="eastAsia" w:ascii="仿宋_GB2312" w:hAnsi="仿宋" w:eastAsia="仿宋_GB2312" w:cs="仿宋_GB2312"/>
                <w:color w:val="000000"/>
                <w:sz w:val="24"/>
              </w:rPr>
              <w:t>-0.1分，不符合或不提供不得分。</w:t>
            </w:r>
          </w:p>
        </w:tc>
        <w:tc>
          <w:tcPr>
            <w:tcW w:w="612" w:type="pc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479" w:type="pct"/>
            <w:vMerge w:val="continue"/>
            <w:tcBorders>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仿宋_GB2312" w:hAnsi="仿宋" w:eastAsia="仿宋_GB2312" w:cs="宋体"/>
                <w:color w:val="000000"/>
                <w:sz w:val="24"/>
              </w:rPr>
            </w:pPr>
          </w:p>
        </w:tc>
        <w:tc>
          <w:tcPr>
            <w:tcW w:w="3160" w:type="pct"/>
            <w:tcBorders>
              <w:top w:val="single" w:color="auto" w:sz="4" w:space="0"/>
              <w:left w:val="single" w:color="auto" w:sz="4" w:space="0"/>
              <w:bottom w:val="single" w:color="auto" w:sz="4" w:space="0"/>
              <w:right w:val="single" w:color="auto" w:sz="4" w:space="0"/>
            </w:tcBorders>
            <w:noWrap w:val="0"/>
            <w:vAlign w:val="top"/>
          </w:tcPr>
          <w:p>
            <w:pPr>
              <w:adjustRightInd/>
              <w:spacing w:line="360" w:lineRule="auto"/>
              <w:jc w:val="left"/>
              <w:rPr>
                <w:rFonts w:hint="eastAsia" w:ascii="仿宋_GB2312" w:hAnsi="仿宋" w:eastAsia="仿宋_GB2312" w:cs="宋体"/>
                <w:color w:val="000000"/>
                <w:sz w:val="24"/>
              </w:rPr>
            </w:pPr>
            <w:r>
              <w:rPr>
                <w:rFonts w:hint="eastAsia" w:ascii="仿宋_GB2312" w:hAnsi="仿宋" w:eastAsia="仿宋_GB2312" w:cs="宋体"/>
                <w:color w:val="000000"/>
                <w:sz w:val="24"/>
              </w:rPr>
              <w:t>按其按期完成上线运行、验收等措施等方面进行打分，</w:t>
            </w:r>
            <w:r>
              <w:rPr>
                <w:rFonts w:hint="eastAsia" w:ascii="仿宋_GB2312" w:hAnsi="仿宋" w:eastAsia="仿宋_GB2312" w:cs="仿宋_GB2312"/>
                <w:color w:val="000000"/>
                <w:sz w:val="24"/>
              </w:rPr>
              <w:t>优于项目需求的得</w:t>
            </w:r>
            <w:r>
              <w:rPr>
                <w:rFonts w:ascii="仿宋_GB2312" w:hAnsi="仿宋" w:eastAsia="仿宋_GB2312" w:cs="仿宋_GB2312"/>
                <w:color w:val="000000"/>
                <w:sz w:val="24"/>
              </w:rPr>
              <w:t>1</w:t>
            </w:r>
            <w:r>
              <w:rPr>
                <w:rFonts w:hint="eastAsia" w:ascii="仿宋_GB2312" w:hAnsi="仿宋" w:eastAsia="仿宋_GB2312" w:cs="仿宋_GB2312"/>
                <w:color w:val="000000"/>
                <w:sz w:val="24"/>
              </w:rPr>
              <w:t>.0-</w:t>
            </w:r>
            <w:r>
              <w:rPr>
                <w:rFonts w:ascii="仿宋_GB2312" w:hAnsi="仿宋" w:eastAsia="仿宋_GB2312" w:cs="仿宋_GB2312"/>
                <w:color w:val="000000"/>
                <w:sz w:val="24"/>
              </w:rPr>
              <w:t>0</w:t>
            </w:r>
            <w:r>
              <w:rPr>
                <w:rFonts w:hint="eastAsia" w:ascii="仿宋_GB2312" w:hAnsi="仿宋" w:eastAsia="仿宋_GB2312" w:cs="仿宋_GB2312"/>
                <w:color w:val="000000"/>
                <w:sz w:val="24"/>
              </w:rPr>
              <w:t>.</w:t>
            </w:r>
            <w:r>
              <w:rPr>
                <w:rFonts w:ascii="仿宋_GB2312" w:hAnsi="仿宋" w:eastAsia="仿宋_GB2312" w:cs="仿宋_GB2312"/>
                <w:color w:val="000000"/>
                <w:sz w:val="24"/>
              </w:rPr>
              <w:t>8</w:t>
            </w:r>
            <w:r>
              <w:rPr>
                <w:rFonts w:hint="eastAsia" w:ascii="仿宋_GB2312" w:hAnsi="仿宋" w:eastAsia="仿宋_GB2312" w:cs="仿宋_GB2312"/>
                <w:color w:val="000000"/>
                <w:sz w:val="24"/>
              </w:rPr>
              <w:t>分，符合项目需求的得</w:t>
            </w:r>
            <w:r>
              <w:rPr>
                <w:rFonts w:ascii="仿宋_GB2312" w:hAnsi="仿宋" w:eastAsia="仿宋_GB2312" w:cs="仿宋_GB2312"/>
                <w:color w:val="000000"/>
                <w:sz w:val="24"/>
              </w:rPr>
              <w:t>0.7</w:t>
            </w:r>
            <w:r>
              <w:rPr>
                <w:rFonts w:hint="eastAsia" w:ascii="仿宋_GB2312" w:hAnsi="仿宋" w:eastAsia="仿宋_GB2312" w:cs="仿宋_GB2312"/>
                <w:color w:val="000000"/>
                <w:sz w:val="24"/>
              </w:rPr>
              <w:t>-0.</w:t>
            </w:r>
            <w:r>
              <w:rPr>
                <w:rFonts w:ascii="仿宋_GB2312" w:hAnsi="仿宋" w:eastAsia="仿宋_GB2312" w:cs="仿宋_GB2312"/>
                <w:color w:val="000000"/>
                <w:sz w:val="24"/>
              </w:rPr>
              <w:t>4</w:t>
            </w:r>
            <w:r>
              <w:rPr>
                <w:rFonts w:hint="eastAsia" w:ascii="仿宋_GB2312" w:hAnsi="仿宋" w:eastAsia="仿宋_GB2312" w:cs="仿宋_GB2312"/>
                <w:color w:val="000000"/>
                <w:sz w:val="24"/>
              </w:rPr>
              <w:t>分，部分符合项目需求的得0.</w:t>
            </w:r>
            <w:r>
              <w:rPr>
                <w:rFonts w:ascii="仿宋_GB2312" w:hAnsi="仿宋" w:eastAsia="仿宋_GB2312" w:cs="仿宋_GB2312"/>
                <w:color w:val="000000"/>
                <w:sz w:val="24"/>
              </w:rPr>
              <w:t>3</w:t>
            </w:r>
            <w:r>
              <w:rPr>
                <w:rFonts w:hint="eastAsia" w:ascii="仿宋_GB2312" w:hAnsi="仿宋" w:eastAsia="仿宋_GB2312" w:cs="仿宋_GB2312"/>
                <w:color w:val="000000"/>
                <w:sz w:val="24"/>
              </w:rPr>
              <w:t>-0.1分，不符合或不提供不得分。</w:t>
            </w:r>
          </w:p>
        </w:tc>
        <w:tc>
          <w:tcPr>
            <w:tcW w:w="612" w:type="pc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jc w:val="center"/>
        </w:trPr>
        <w:tc>
          <w:tcPr>
            <w:tcW w:w="479" w:type="pct"/>
            <w:vMerge w:val="restart"/>
            <w:tcBorders>
              <w:top w:val="single" w:color="auto" w:sz="4" w:space="0"/>
              <w:left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6</w:t>
            </w:r>
          </w:p>
        </w:tc>
        <w:tc>
          <w:tcPr>
            <w:tcW w:w="749"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rPr>
                <w:rFonts w:hint="eastAsia" w:ascii="仿宋_GB2312" w:hAnsi="仿宋" w:eastAsia="仿宋_GB2312" w:cs="宋体"/>
                <w:color w:val="000000"/>
                <w:sz w:val="24"/>
              </w:rPr>
            </w:pPr>
            <w:r>
              <w:rPr>
                <w:rFonts w:hint="eastAsia" w:ascii="仿宋_GB2312" w:hAnsi="仿宋" w:eastAsia="仿宋_GB2312" w:cs="宋体"/>
                <w:color w:val="000000"/>
                <w:sz w:val="24"/>
              </w:rPr>
              <w:t>培训、测试、试运行和验收（4分）</w:t>
            </w:r>
          </w:p>
        </w:tc>
        <w:tc>
          <w:tcPr>
            <w:tcW w:w="3160" w:type="pct"/>
            <w:tcBorders>
              <w:top w:val="single" w:color="auto" w:sz="4" w:space="0"/>
              <w:left w:val="single" w:color="auto" w:sz="4" w:space="0"/>
              <w:bottom w:val="single" w:color="auto" w:sz="4" w:space="0"/>
              <w:right w:val="single" w:color="auto" w:sz="4" w:space="0"/>
            </w:tcBorders>
            <w:noWrap w:val="0"/>
            <w:vAlign w:val="top"/>
          </w:tcPr>
          <w:p>
            <w:pPr>
              <w:adjustRightInd/>
              <w:spacing w:line="360" w:lineRule="auto"/>
              <w:jc w:val="left"/>
              <w:rPr>
                <w:rFonts w:ascii="仿宋_GB2312" w:hAnsi="仿宋" w:eastAsia="仿宋_GB2312" w:cs="仿宋_GB2312"/>
                <w:color w:val="000000"/>
                <w:sz w:val="24"/>
              </w:rPr>
            </w:pPr>
            <w:r>
              <w:rPr>
                <w:rFonts w:hint="eastAsia" w:ascii="仿宋_GB2312" w:hAnsi="仿宋" w:eastAsia="仿宋_GB2312" w:cs="仿宋_GB2312"/>
                <w:color w:val="000000"/>
                <w:sz w:val="24"/>
              </w:rPr>
              <w:t>1、按其提供的功能测试及试运行的合理性、可行性情况等方面进行打分，优于项目需求的得</w:t>
            </w:r>
            <w:r>
              <w:rPr>
                <w:rFonts w:ascii="仿宋_GB2312" w:hAnsi="仿宋" w:eastAsia="仿宋_GB2312" w:cs="仿宋_GB2312"/>
                <w:color w:val="000000"/>
                <w:sz w:val="24"/>
              </w:rPr>
              <w:t>1</w:t>
            </w:r>
            <w:r>
              <w:rPr>
                <w:rFonts w:hint="eastAsia" w:ascii="仿宋_GB2312" w:hAnsi="仿宋" w:eastAsia="仿宋_GB2312" w:cs="仿宋_GB2312"/>
                <w:color w:val="000000"/>
                <w:sz w:val="24"/>
              </w:rPr>
              <w:t>.0-</w:t>
            </w:r>
            <w:r>
              <w:rPr>
                <w:rFonts w:ascii="仿宋_GB2312" w:hAnsi="仿宋" w:eastAsia="仿宋_GB2312" w:cs="仿宋_GB2312"/>
                <w:color w:val="000000"/>
                <w:sz w:val="24"/>
              </w:rPr>
              <w:t>0</w:t>
            </w:r>
            <w:r>
              <w:rPr>
                <w:rFonts w:hint="eastAsia" w:ascii="仿宋_GB2312" w:hAnsi="仿宋" w:eastAsia="仿宋_GB2312" w:cs="仿宋_GB2312"/>
                <w:color w:val="000000"/>
                <w:sz w:val="24"/>
              </w:rPr>
              <w:t>.</w:t>
            </w:r>
            <w:r>
              <w:rPr>
                <w:rFonts w:ascii="仿宋_GB2312" w:hAnsi="仿宋" w:eastAsia="仿宋_GB2312" w:cs="仿宋_GB2312"/>
                <w:color w:val="000000"/>
                <w:sz w:val="24"/>
              </w:rPr>
              <w:t>8</w:t>
            </w:r>
            <w:r>
              <w:rPr>
                <w:rFonts w:hint="eastAsia" w:ascii="仿宋_GB2312" w:hAnsi="仿宋" w:eastAsia="仿宋_GB2312" w:cs="仿宋_GB2312"/>
                <w:color w:val="000000"/>
                <w:sz w:val="24"/>
              </w:rPr>
              <w:t>分，符合项目需求的得</w:t>
            </w:r>
            <w:r>
              <w:rPr>
                <w:rFonts w:ascii="仿宋_GB2312" w:hAnsi="仿宋" w:eastAsia="仿宋_GB2312" w:cs="仿宋_GB2312"/>
                <w:color w:val="000000"/>
                <w:sz w:val="24"/>
              </w:rPr>
              <w:t>0.7</w:t>
            </w:r>
            <w:r>
              <w:rPr>
                <w:rFonts w:hint="eastAsia" w:ascii="仿宋_GB2312" w:hAnsi="仿宋" w:eastAsia="仿宋_GB2312" w:cs="仿宋_GB2312"/>
                <w:color w:val="000000"/>
                <w:sz w:val="24"/>
              </w:rPr>
              <w:t>-0.</w:t>
            </w:r>
            <w:r>
              <w:rPr>
                <w:rFonts w:ascii="仿宋_GB2312" w:hAnsi="仿宋" w:eastAsia="仿宋_GB2312" w:cs="仿宋_GB2312"/>
                <w:color w:val="000000"/>
                <w:sz w:val="24"/>
              </w:rPr>
              <w:t>4</w:t>
            </w:r>
            <w:r>
              <w:rPr>
                <w:rFonts w:hint="eastAsia" w:ascii="仿宋_GB2312" w:hAnsi="仿宋" w:eastAsia="仿宋_GB2312" w:cs="仿宋_GB2312"/>
                <w:color w:val="000000"/>
                <w:sz w:val="24"/>
              </w:rPr>
              <w:t>分，部分符合项目需求的得0.</w:t>
            </w:r>
            <w:r>
              <w:rPr>
                <w:rFonts w:ascii="仿宋_GB2312" w:hAnsi="仿宋" w:eastAsia="仿宋_GB2312" w:cs="仿宋_GB2312"/>
                <w:color w:val="000000"/>
                <w:sz w:val="24"/>
              </w:rPr>
              <w:t>3</w:t>
            </w:r>
            <w:r>
              <w:rPr>
                <w:rFonts w:hint="eastAsia" w:ascii="仿宋_GB2312" w:hAnsi="仿宋" w:eastAsia="仿宋_GB2312" w:cs="仿宋_GB2312"/>
                <w:color w:val="000000"/>
                <w:sz w:val="24"/>
              </w:rPr>
              <w:t>-0.1分，不符合或不提供不得分。</w:t>
            </w:r>
          </w:p>
          <w:p>
            <w:pPr>
              <w:adjustRightInd/>
              <w:spacing w:line="360" w:lineRule="auto"/>
              <w:jc w:val="left"/>
              <w:rPr>
                <w:rFonts w:hint="eastAsia" w:ascii="仿宋_GB2312" w:hAnsi="仿宋" w:eastAsia="仿宋_GB2312" w:cs="仿宋_GB2312"/>
                <w:color w:val="000000"/>
                <w:sz w:val="24"/>
              </w:rPr>
            </w:pPr>
            <w:r>
              <w:rPr>
                <w:rFonts w:hint="eastAsia" w:ascii="仿宋_GB2312" w:hAnsi="仿宋" w:eastAsia="仿宋_GB2312" w:cs="仿宋_GB2312"/>
                <w:color w:val="000000"/>
                <w:sz w:val="24"/>
              </w:rPr>
              <w:t>2、按其验收方案的合理性、可行性情况等方面进行打分，优于项目需求的得</w:t>
            </w:r>
            <w:r>
              <w:rPr>
                <w:rFonts w:ascii="仿宋_GB2312" w:hAnsi="仿宋" w:eastAsia="仿宋_GB2312" w:cs="仿宋_GB2312"/>
                <w:color w:val="000000"/>
                <w:sz w:val="24"/>
              </w:rPr>
              <w:t>1</w:t>
            </w:r>
            <w:r>
              <w:rPr>
                <w:rFonts w:hint="eastAsia" w:ascii="仿宋_GB2312" w:hAnsi="仿宋" w:eastAsia="仿宋_GB2312" w:cs="仿宋_GB2312"/>
                <w:color w:val="000000"/>
                <w:sz w:val="24"/>
              </w:rPr>
              <w:t>.0-</w:t>
            </w:r>
            <w:r>
              <w:rPr>
                <w:rFonts w:ascii="仿宋_GB2312" w:hAnsi="仿宋" w:eastAsia="仿宋_GB2312" w:cs="仿宋_GB2312"/>
                <w:color w:val="000000"/>
                <w:sz w:val="24"/>
              </w:rPr>
              <w:t>0</w:t>
            </w:r>
            <w:r>
              <w:rPr>
                <w:rFonts w:hint="eastAsia" w:ascii="仿宋_GB2312" w:hAnsi="仿宋" w:eastAsia="仿宋_GB2312" w:cs="仿宋_GB2312"/>
                <w:color w:val="000000"/>
                <w:sz w:val="24"/>
              </w:rPr>
              <w:t>.</w:t>
            </w:r>
            <w:r>
              <w:rPr>
                <w:rFonts w:ascii="仿宋_GB2312" w:hAnsi="仿宋" w:eastAsia="仿宋_GB2312" w:cs="仿宋_GB2312"/>
                <w:color w:val="000000"/>
                <w:sz w:val="24"/>
              </w:rPr>
              <w:t>8</w:t>
            </w:r>
            <w:r>
              <w:rPr>
                <w:rFonts w:hint="eastAsia" w:ascii="仿宋_GB2312" w:hAnsi="仿宋" w:eastAsia="仿宋_GB2312" w:cs="仿宋_GB2312"/>
                <w:color w:val="000000"/>
                <w:sz w:val="24"/>
              </w:rPr>
              <w:t>分，符合项目需求的得</w:t>
            </w:r>
            <w:r>
              <w:rPr>
                <w:rFonts w:ascii="仿宋_GB2312" w:hAnsi="仿宋" w:eastAsia="仿宋_GB2312" w:cs="仿宋_GB2312"/>
                <w:color w:val="000000"/>
                <w:sz w:val="24"/>
              </w:rPr>
              <w:t>0.7</w:t>
            </w:r>
            <w:r>
              <w:rPr>
                <w:rFonts w:hint="eastAsia" w:ascii="仿宋_GB2312" w:hAnsi="仿宋" w:eastAsia="仿宋_GB2312" w:cs="仿宋_GB2312"/>
                <w:color w:val="000000"/>
                <w:sz w:val="24"/>
              </w:rPr>
              <w:t>-0.</w:t>
            </w:r>
            <w:r>
              <w:rPr>
                <w:rFonts w:ascii="仿宋_GB2312" w:hAnsi="仿宋" w:eastAsia="仿宋_GB2312" w:cs="仿宋_GB2312"/>
                <w:color w:val="000000"/>
                <w:sz w:val="24"/>
              </w:rPr>
              <w:t>4</w:t>
            </w:r>
            <w:r>
              <w:rPr>
                <w:rFonts w:hint="eastAsia" w:ascii="仿宋_GB2312" w:hAnsi="仿宋" w:eastAsia="仿宋_GB2312" w:cs="仿宋_GB2312"/>
                <w:color w:val="000000"/>
                <w:sz w:val="24"/>
              </w:rPr>
              <w:t>分，部分符合项目需求的得0.</w:t>
            </w:r>
            <w:r>
              <w:rPr>
                <w:rFonts w:ascii="仿宋_GB2312" w:hAnsi="仿宋" w:eastAsia="仿宋_GB2312" w:cs="仿宋_GB2312"/>
                <w:color w:val="000000"/>
                <w:sz w:val="24"/>
              </w:rPr>
              <w:t>3</w:t>
            </w:r>
            <w:r>
              <w:rPr>
                <w:rFonts w:hint="eastAsia" w:ascii="仿宋_GB2312" w:hAnsi="仿宋" w:eastAsia="仿宋_GB2312" w:cs="仿宋_GB2312"/>
                <w:color w:val="000000"/>
                <w:sz w:val="24"/>
              </w:rPr>
              <w:t>-0.1分，不符合或不提供不得分。</w:t>
            </w:r>
          </w:p>
        </w:tc>
        <w:tc>
          <w:tcPr>
            <w:tcW w:w="612" w:type="pc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48" w:hRule="atLeast"/>
          <w:jc w:val="center"/>
        </w:trPr>
        <w:tc>
          <w:tcPr>
            <w:tcW w:w="479" w:type="pct"/>
            <w:vMerge w:val="continue"/>
            <w:tcBorders>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仿宋_GB2312" w:hAnsi="仿宋" w:eastAsia="仿宋_GB2312" w:cs="宋体"/>
                <w:color w:val="000000"/>
                <w:sz w:val="24"/>
              </w:rPr>
            </w:pPr>
          </w:p>
        </w:tc>
        <w:tc>
          <w:tcPr>
            <w:tcW w:w="3160" w:type="pct"/>
            <w:tcBorders>
              <w:top w:val="single" w:color="auto" w:sz="4" w:space="0"/>
              <w:left w:val="single" w:color="auto" w:sz="4" w:space="0"/>
              <w:bottom w:val="single" w:color="auto" w:sz="4" w:space="0"/>
              <w:right w:val="single" w:color="auto" w:sz="4" w:space="0"/>
            </w:tcBorders>
            <w:noWrap w:val="0"/>
            <w:vAlign w:val="top"/>
          </w:tcPr>
          <w:p>
            <w:pPr>
              <w:adjustRightInd/>
              <w:spacing w:line="360" w:lineRule="auto"/>
              <w:jc w:val="left"/>
              <w:rPr>
                <w:rFonts w:hint="eastAsia" w:ascii="仿宋_GB2312" w:hAnsi="仿宋" w:eastAsia="仿宋_GB2312" w:cs="仿宋_GB2312"/>
                <w:color w:val="000000"/>
                <w:sz w:val="24"/>
              </w:rPr>
            </w:pPr>
            <w:r>
              <w:rPr>
                <w:rFonts w:hint="eastAsia" w:ascii="仿宋_GB2312" w:hAnsi="仿宋" w:eastAsia="仿宋_GB2312" w:cs="仿宋_GB2312"/>
                <w:color w:val="000000"/>
                <w:sz w:val="24"/>
              </w:rPr>
              <w:t>按其投标方案中描述培训内容、培训师资力量等方面进行打分，优于项目需求的得2.0-1.5分，符合项目需求的得1.4-0.6分，部分符合项目需求的得0.5-0.1分，不符合或不提供不得分。</w:t>
            </w:r>
          </w:p>
        </w:tc>
        <w:tc>
          <w:tcPr>
            <w:tcW w:w="612" w:type="pc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仿宋_GB2312"/>
                <w:color w:val="000000"/>
                <w:sz w:val="24"/>
              </w:rPr>
            </w:pPr>
            <w:r>
              <w:rPr>
                <w:rFonts w:hint="eastAsia" w:ascii="仿宋_GB2312" w:hAnsi="仿宋" w:eastAsia="仿宋_GB2312" w:cs="仿宋_GB2312"/>
                <w:color w:val="000000"/>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_GB2312" w:hAnsi="仿宋" w:eastAsia="仿宋_GB2312" w:cs="仿宋"/>
                <w:color w:val="000000"/>
                <w:sz w:val="24"/>
              </w:rPr>
            </w:pPr>
            <w:r>
              <w:rPr>
                <w:rFonts w:ascii="仿宋_GB2312" w:hAnsi="仿宋" w:eastAsia="仿宋_GB2312" w:cs="仿宋"/>
                <w:color w:val="000000"/>
                <w:sz w:val="24"/>
              </w:rPr>
              <w:t>7</w:t>
            </w:r>
          </w:p>
        </w:tc>
        <w:tc>
          <w:tcPr>
            <w:tcW w:w="749" w:type="pct"/>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项目组人员情况</w:t>
            </w:r>
          </w:p>
          <w:p>
            <w:pPr>
              <w:adjustRightInd/>
              <w:spacing w:line="360" w:lineRule="auto"/>
              <w:jc w:val="center"/>
              <w:rPr>
                <w:rFonts w:hint="eastAsia" w:ascii="仿宋_GB2312" w:hAnsi="仿宋" w:eastAsia="仿宋_GB2312" w:cs="宋体"/>
                <w:color w:val="000000"/>
                <w:sz w:val="24"/>
              </w:rPr>
            </w:pPr>
            <w:r>
              <w:rPr>
                <w:rFonts w:hint="eastAsia" w:ascii="仿宋_GB2312" w:hAnsi="仿宋" w:eastAsia="仿宋_GB2312" w:cs="仿宋"/>
                <w:color w:val="000000"/>
                <w:sz w:val="24"/>
              </w:rPr>
              <w:t>（10分）</w:t>
            </w:r>
          </w:p>
        </w:tc>
        <w:tc>
          <w:tcPr>
            <w:tcW w:w="3160" w:type="pct"/>
            <w:tcBorders>
              <w:top w:val="single" w:color="auto" w:sz="4" w:space="0"/>
              <w:left w:val="single" w:color="auto" w:sz="4" w:space="0"/>
              <w:bottom w:val="single" w:color="auto" w:sz="4" w:space="0"/>
              <w:right w:val="single" w:color="auto" w:sz="4" w:space="0"/>
            </w:tcBorders>
            <w:noWrap w:val="0"/>
            <w:vAlign w:val="top"/>
          </w:tcPr>
          <w:p>
            <w:pPr>
              <w:adjustRightInd/>
              <w:spacing w:line="360" w:lineRule="auto"/>
              <w:jc w:val="left"/>
              <w:rPr>
                <w:rFonts w:hint="eastAsia" w:ascii="仿宋_GB2312" w:hAnsi="仿宋" w:eastAsia="仿宋_GB2312" w:cs="仿宋"/>
                <w:color w:val="000000"/>
                <w:sz w:val="24"/>
              </w:rPr>
            </w:pPr>
            <w:r>
              <w:rPr>
                <w:rFonts w:hint="eastAsia" w:ascii="仿宋_GB2312" w:hAnsi="仿宋" w:eastAsia="仿宋_GB2312" w:cs="仿宋"/>
                <w:color w:val="000000"/>
                <w:sz w:val="24"/>
              </w:rPr>
              <w:t>项目经理具备PMP证书，并在本公司任职满1年（以社保缴纳证明为准）的得4分（4分）</w:t>
            </w:r>
          </w:p>
          <w:p>
            <w:pPr>
              <w:adjustRightInd/>
              <w:spacing w:line="360" w:lineRule="auto"/>
              <w:jc w:val="left"/>
              <w:rPr>
                <w:rFonts w:hint="eastAsia" w:ascii="仿宋_GB2312" w:hAnsi="仿宋" w:eastAsia="仿宋_GB2312" w:cs="仿宋"/>
                <w:color w:val="000000"/>
                <w:sz w:val="24"/>
              </w:rPr>
            </w:pPr>
            <w:r>
              <w:rPr>
                <w:rFonts w:hint="eastAsia" w:ascii="仿宋_GB2312" w:hAnsi="仿宋" w:eastAsia="仿宋_GB2312" w:cs="仿宋"/>
                <w:color w:val="000000"/>
                <w:sz w:val="24"/>
              </w:rPr>
              <w:t>项目组实施人员专业人员素质、技术能力、专业分布等情况。需具有类似项目实施经历；项目组人员具备中级及以上信息系统项目管理师证书的情况（一个证书得1分，最高得2分）；项目组人员具有PMP认证资质情况（一个证书得1分，最高得2分）；项目组人员具有数据库工程师（OCP）、Hadoop数据库工程师资质情况（每个证书得1分，最高得2分）（6分）。</w:t>
            </w:r>
          </w:p>
          <w:p>
            <w:pPr>
              <w:adjustRightInd/>
              <w:spacing w:line="360" w:lineRule="auto"/>
              <w:jc w:val="left"/>
              <w:rPr>
                <w:rFonts w:hint="eastAsia" w:ascii="仿宋_GB2312" w:hAnsi="仿宋" w:eastAsia="仿宋_GB2312" w:cs="仿宋"/>
                <w:color w:val="000000"/>
                <w:sz w:val="24"/>
              </w:rPr>
            </w:pPr>
            <w:r>
              <w:rPr>
                <w:rFonts w:hint="eastAsia" w:ascii="仿宋_GB2312" w:hAnsi="仿宋" w:eastAsia="仿宋_GB2312" w:cs="仿宋"/>
                <w:color w:val="000000"/>
                <w:sz w:val="24"/>
              </w:rPr>
              <w:t>要求提供项目经理近1年、其余人员近3个月的社保缴纳清单原件扫描件和上述人员身份证扫描件及证书原件扫描件，以上涉及到的证书均需相关政府部门颁发，培训等机构颁发的无效。</w:t>
            </w:r>
          </w:p>
        </w:tc>
        <w:tc>
          <w:tcPr>
            <w:tcW w:w="612" w:type="pc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479" w:type="pct"/>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仿宋" w:eastAsia="仿宋_GB2312" w:cs="宋体"/>
                <w:color w:val="000000"/>
                <w:sz w:val="24"/>
              </w:rPr>
            </w:pPr>
            <w:r>
              <w:rPr>
                <w:rFonts w:ascii="仿宋_GB2312" w:hAnsi="仿宋" w:eastAsia="仿宋_GB2312" w:cs="宋体"/>
                <w:color w:val="000000"/>
                <w:sz w:val="24"/>
              </w:rPr>
              <w:t>8</w:t>
            </w:r>
          </w:p>
        </w:tc>
        <w:tc>
          <w:tcPr>
            <w:tcW w:w="749"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售后服务（3分）</w:t>
            </w:r>
          </w:p>
        </w:tc>
        <w:tc>
          <w:tcPr>
            <w:tcW w:w="3160" w:type="pct"/>
            <w:tcBorders>
              <w:top w:val="single" w:color="auto" w:sz="4" w:space="0"/>
              <w:left w:val="single" w:color="auto" w:sz="4" w:space="0"/>
              <w:bottom w:val="single" w:color="auto" w:sz="4" w:space="0"/>
              <w:right w:val="single" w:color="auto" w:sz="4" w:space="0"/>
            </w:tcBorders>
            <w:noWrap w:val="0"/>
            <w:vAlign w:val="top"/>
          </w:tcPr>
          <w:p>
            <w:pPr>
              <w:adjustRightInd/>
              <w:spacing w:line="360" w:lineRule="auto"/>
              <w:jc w:val="left"/>
              <w:rPr>
                <w:rFonts w:hint="eastAsia" w:ascii="仿宋_GB2312" w:hAnsi="仿宋" w:eastAsia="仿宋_GB2312" w:cs="宋体"/>
                <w:color w:val="000000"/>
                <w:sz w:val="24"/>
              </w:rPr>
            </w:pPr>
            <w:r>
              <w:rPr>
                <w:rFonts w:hint="eastAsia" w:ascii="仿宋_GB2312" w:hAnsi="仿宋" w:eastAsia="仿宋_GB2312" w:cs="宋体"/>
                <w:color w:val="000000"/>
                <w:sz w:val="24"/>
              </w:rPr>
              <w:t>在项目实施地区有售后服务机构或承诺中标后设立的得1分。</w:t>
            </w:r>
          </w:p>
        </w:tc>
        <w:tc>
          <w:tcPr>
            <w:tcW w:w="612" w:type="pc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479" w:type="pct"/>
            <w:vMerge w:val="continue"/>
            <w:tcBorders>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仿宋_GB2312" w:hAnsi="仿宋" w:eastAsia="仿宋_GB2312" w:cs="宋体"/>
                <w:color w:val="000000"/>
                <w:sz w:val="24"/>
              </w:rPr>
            </w:pPr>
          </w:p>
        </w:tc>
        <w:tc>
          <w:tcPr>
            <w:tcW w:w="3160" w:type="pct"/>
            <w:tcBorders>
              <w:top w:val="single" w:color="auto" w:sz="4" w:space="0"/>
              <w:left w:val="single" w:color="auto" w:sz="4" w:space="0"/>
              <w:bottom w:val="single" w:color="auto" w:sz="4" w:space="0"/>
              <w:right w:val="single" w:color="auto" w:sz="4" w:space="0"/>
            </w:tcBorders>
            <w:noWrap w:val="0"/>
            <w:vAlign w:val="top"/>
          </w:tcPr>
          <w:p>
            <w:pPr>
              <w:adjustRightInd/>
              <w:spacing w:line="360" w:lineRule="auto"/>
              <w:jc w:val="left"/>
              <w:rPr>
                <w:rFonts w:ascii="仿宋_GB2312" w:hAnsi="仿宋" w:eastAsia="仿宋_GB2312" w:cs="宋体"/>
                <w:color w:val="000000"/>
                <w:sz w:val="24"/>
              </w:rPr>
            </w:pPr>
            <w:r>
              <w:rPr>
                <w:rFonts w:hint="eastAsia" w:ascii="仿宋_GB2312" w:hAnsi="仿宋" w:eastAsia="仿宋_GB2312" w:cs="宋体"/>
                <w:color w:val="000000"/>
                <w:sz w:val="24"/>
              </w:rPr>
              <w:t>1、按其提供的售后服务方案、售后服务承诺的可行性、完整性以及服务承诺落实的保障措施，维护期内外的后续技术支持和维护能力情况等方面进行打分，</w:t>
            </w:r>
            <w:r>
              <w:rPr>
                <w:rFonts w:hint="eastAsia" w:ascii="仿宋_GB2312" w:hAnsi="仿宋" w:eastAsia="仿宋_GB2312" w:cs="仿宋_GB2312"/>
                <w:color w:val="000000"/>
                <w:sz w:val="24"/>
              </w:rPr>
              <w:t>优于项目需求的得</w:t>
            </w:r>
            <w:r>
              <w:rPr>
                <w:rFonts w:ascii="仿宋_GB2312" w:hAnsi="仿宋" w:eastAsia="仿宋_GB2312" w:cs="仿宋_GB2312"/>
                <w:color w:val="000000"/>
                <w:sz w:val="24"/>
              </w:rPr>
              <w:t>1</w:t>
            </w:r>
            <w:r>
              <w:rPr>
                <w:rFonts w:hint="eastAsia" w:ascii="仿宋_GB2312" w:hAnsi="仿宋" w:eastAsia="仿宋_GB2312" w:cs="仿宋_GB2312"/>
                <w:color w:val="000000"/>
                <w:sz w:val="24"/>
              </w:rPr>
              <w:t>.0-</w:t>
            </w:r>
            <w:r>
              <w:rPr>
                <w:rFonts w:ascii="仿宋_GB2312" w:hAnsi="仿宋" w:eastAsia="仿宋_GB2312" w:cs="仿宋_GB2312"/>
                <w:color w:val="000000"/>
                <w:sz w:val="24"/>
              </w:rPr>
              <w:t>0</w:t>
            </w:r>
            <w:r>
              <w:rPr>
                <w:rFonts w:hint="eastAsia" w:ascii="仿宋_GB2312" w:hAnsi="仿宋" w:eastAsia="仿宋_GB2312" w:cs="仿宋_GB2312"/>
                <w:color w:val="000000"/>
                <w:sz w:val="24"/>
              </w:rPr>
              <w:t>.</w:t>
            </w:r>
            <w:r>
              <w:rPr>
                <w:rFonts w:ascii="仿宋_GB2312" w:hAnsi="仿宋" w:eastAsia="仿宋_GB2312" w:cs="仿宋_GB2312"/>
                <w:color w:val="000000"/>
                <w:sz w:val="24"/>
              </w:rPr>
              <w:t>8</w:t>
            </w:r>
            <w:r>
              <w:rPr>
                <w:rFonts w:hint="eastAsia" w:ascii="仿宋_GB2312" w:hAnsi="仿宋" w:eastAsia="仿宋_GB2312" w:cs="仿宋_GB2312"/>
                <w:color w:val="000000"/>
                <w:sz w:val="24"/>
              </w:rPr>
              <w:t>分，符合项目需求的得</w:t>
            </w:r>
            <w:r>
              <w:rPr>
                <w:rFonts w:ascii="仿宋_GB2312" w:hAnsi="仿宋" w:eastAsia="仿宋_GB2312" w:cs="仿宋_GB2312"/>
                <w:color w:val="000000"/>
                <w:sz w:val="24"/>
              </w:rPr>
              <w:t>0.7</w:t>
            </w:r>
            <w:r>
              <w:rPr>
                <w:rFonts w:hint="eastAsia" w:ascii="仿宋_GB2312" w:hAnsi="仿宋" w:eastAsia="仿宋_GB2312" w:cs="仿宋_GB2312"/>
                <w:color w:val="000000"/>
                <w:sz w:val="24"/>
              </w:rPr>
              <w:t>-0.</w:t>
            </w:r>
            <w:r>
              <w:rPr>
                <w:rFonts w:ascii="仿宋_GB2312" w:hAnsi="仿宋" w:eastAsia="仿宋_GB2312" w:cs="仿宋_GB2312"/>
                <w:color w:val="000000"/>
                <w:sz w:val="24"/>
              </w:rPr>
              <w:t>4</w:t>
            </w:r>
            <w:r>
              <w:rPr>
                <w:rFonts w:hint="eastAsia" w:ascii="仿宋_GB2312" w:hAnsi="仿宋" w:eastAsia="仿宋_GB2312" w:cs="仿宋_GB2312"/>
                <w:color w:val="000000"/>
                <w:sz w:val="24"/>
              </w:rPr>
              <w:t>分，部分符合项目需求的得0.</w:t>
            </w:r>
            <w:r>
              <w:rPr>
                <w:rFonts w:ascii="仿宋_GB2312" w:hAnsi="仿宋" w:eastAsia="仿宋_GB2312" w:cs="仿宋_GB2312"/>
                <w:color w:val="000000"/>
                <w:sz w:val="24"/>
              </w:rPr>
              <w:t>3</w:t>
            </w:r>
            <w:r>
              <w:rPr>
                <w:rFonts w:hint="eastAsia" w:ascii="仿宋_GB2312" w:hAnsi="仿宋" w:eastAsia="仿宋_GB2312" w:cs="仿宋_GB2312"/>
                <w:color w:val="000000"/>
                <w:sz w:val="24"/>
              </w:rPr>
              <w:t>-0.1分，不符合或不提供不得分。</w:t>
            </w:r>
          </w:p>
          <w:p>
            <w:pPr>
              <w:adjustRightInd/>
              <w:spacing w:line="360" w:lineRule="auto"/>
              <w:jc w:val="left"/>
              <w:rPr>
                <w:rFonts w:hint="eastAsia" w:ascii="仿宋_GB2312" w:hAnsi="仿宋" w:eastAsia="仿宋_GB2312" w:cs="宋体"/>
                <w:color w:val="000000"/>
                <w:sz w:val="24"/>
              </w:rPr>
            </w:pPr>
            <w:r>
              <w:rPr>
                <w:rFonts w:ascii="仿宋_GB2312" w:hAnsi="仿宋" w:eastAsia="仿宋_GB2312" w:cs="宋体"/>
                <w:color w:val="000000"/>
                <w:sz w:val="24"/>
              </w:rPr>
              <w:t>2</w:t>
            </w:r>
            <w:r>
              <w:rPr>
                <w:rFonts w:hint="eastAsia" w:ascii="仿宋_GB2312" w:hAnsi="仿宋" w:eastAsia="仿宋_GB2312" w:cs="宋体"/>
                <w:color w:val="000000"/>
                <w:sz w:val="24"/>
              </w:rPr>
              <w:t>、按其对服务承诺的保障措施、尤其是在系统维护期内的承诺情况、是否满足采购人的要求等方面进行打分，</w:t>
            </w:r>
            <w:r>
              <w:rPr>
                <w:rFonts w:hint="eastAsia" w:ascii="仿宋_GB2312" w:hAnsi="仿宋" w:eastAsia="仿宋_GB2312" w:cs="仿宋_GB2312"/>
                <w:color w:val="000000"/>
                <w:sz w:val="24"/>
              </w:rPr>
              <w:t>优于项目需求的得</w:t>
            </w:r>
            <w:r>
              <w:rPr>
                <w:rFonts w:ascii="仿宋_GB2312" w:hAnsi="仿宋" w:eastAsia="仿宋_GB2312" w:cs="仿宋_GB2312"/>
                <w:color w:val="000000"/>
                <w:sz w:val="24"/>
              </w:rPr>
              <w:t>1</w:t>
            </w:r>
            <w:r>
              <w:rPr>
                <w:rFonts w:hint="eastAsia" w:ascii="仿宋_GB2312" w:hAnsi="仿宋" w:eastAsia="仿宋_GB2312" w:cs="仿宋_GB2312"/>
                <w:color w:val="000000"/>
                <w:sz w:val="24"/>
              </w:rPr>
              <w:t>.0-</w:t>
            </w:r>
            <w:r>
              <w:rPr>
                <w:rFonts w:ascii="仿宋_GB2312" w:hAnsi="仿宋" w:eastAsia="仿宋_GB2312" w:cs="仿宋_GB2312"/>
                <w:color w:val="000000"/>
                <w:sz w:val="24"/>
              </w:rPr>
              <w:t>0</w:t>
            </w:r>
            <w:r>
              <w:rPr>
                <w:rFonts w:hint="eastAsia" w:ascii="仿宋_GB2312" w:hAnsi="仿宋" w:eastAsia="仿宋_GB2312" w:cs="仿宋_GB2312"/>
                <w:color w:val="000000"/>
                <w:sz w:val="24"/>
              </w:rPr>
              <w:t>.</w:t>
            </w:r>
            <w:r>
              <w:rPr>
                <w:rFonts w:ascii="仿宋_GB2312" w:hAnsi="仿宋" w:eastAsia="仿宋_GB2312" w:cs="仿宋_GB2312"/>
                <w:color w:val="000000"/>
                <w:sz w:val="24"/>
              </w:rPr>
              <w:t>8</w:t>
            </w:r>
            <w:r>
              <w:rPr>
                <w:rFonts w:hint="eastAsia" w:ascii="仿宋_GB2312" w:hAnsi="仿宋" w:eastAsia="仿宋_GB2312" w:cs="仿宋_GB2312"/>
                <w:color w:val="000000"/>
                <w:sz w:val="24"/>
              </w:rPr>
              <w:t>分，符合项目需求的得</w:t>
            </w:r>
            <w:r>
              <w:rPr>
                <w:rFonts w:ascii="仿宋_GB2312" w:hAnsi="仿宋" w:eastAsia="仿宋_GB2312" w:cs="仿宋_GB2312"/>
                <w:color w:val="000000"/>
                <w:sz w:val="24"/>
              </w:rPr>
              <w:t>0.7</w:t>
            </w:r>
            <w:r>
              <w:rPr>
                <w:rFonts w:hint="eastAsia" w:ascii="仿宋_GB2312" w:hAnsi="仿宋" w:eastAsia="仿宋_GB2312" w:cs="仿宋_GB2312"/>
                <w:color w:val="000000"/>
                <w:sz w:val="24"/>
              </w:rPr>
              <w:t>-0.</w:t>
            </w:r>
            <w:r>
              <w:rPr>
                <w:rFonts w:ascii="仿宋_GB2312" w:hAnsi="仿宋" w:eastAsia="仿宋_GB2312" w:cs="仿宋_GB2312"/>
                <w:color w:val="000000"/>
                <w:sz w:val="24"/>
              </w:rPr>
              <w:t>4</w:t>
            </w:r>
            <w:r>
              <w:rPr>
                <w:rFonts w:hint="eastAsia" w:ascii="仿宋_GB2312" w:hAnsi="仿宋" w:eastAsia="仿宋_GB2312" w:cs="仿宋_GB2312"/>
                <w:color w:val="000000"/>
                <w:sz w:val="24"/>
              </w:rPr>
              <w:t>分，部分符合项目需求的得0.</w:t>
            </w:r>
            <w:r>
              <w:rPr>
                <w:rFonts w:ascii="仿宋_GB2312" w:hAnsi="仿宋" w:eastAsia="仿宋_GB2312" w:cs="仿宋_GB2312"/>
                <w:color w:val="000000"/>
                <w:sz w:val="24"/>
              </w:rPr>
              <w:t>3</w:t>
            </w:r>
            <w:r>
              <w:rPr>
                <w:rFonts w:hint="eastAsia" w:ascii="仿宋_GB2312" w:hAnsi="仿宋" w:eastAsia="仿宋_GB2312" w:cs="仿宋_GB2312"/>
                <w:color w:val="000000"/>
                <w:sz w:val="24"/>
              </w:rPr>
              <w:t>-0.1分，不符合或不提供不得分。</w:t>
            </w:r>
          </w:p>
        </w:tc>
        <w:tc>
          <w:tcPr>
            <w:tcW w:w="612" w:type="pc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r>
              <w:rPr>
                <w:rFonts w:ascii="仿宋_GB2312" w:hAnsi="仿宋" w:eastAsia="仿宋_GB2312" w:cs="宋体"/>
                <w:color w:val="000000"/>
                <w:sz w:val="24"/>
              </w:rPr>
              <w:t>9</w:t>
            </w:r>
          </w:p>
        </w:tc>
        <w:tc>
          <w:tcPr>
            <w:tcW w:w="749" w:type="pc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投标人资质情况</w:t>
            </w:r>
          </w:p>
          <w:p>
            <w:pPr>
              <w:adjustRightInd/>
              <w:spacing w:line="360" w:lineRule="auto"/>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（7分）</w:t>
            </w:r>
          </w:p>
        </w:tc>
        <w:tc>
          <w:tcPr>
            <w:tcW w:w="3160" w:type="pct"/>
            <w:tcBorders>
              <w:top w:val="single" w:color="auto" w:sz="4" w:space="0"/>
              <w:left w:val="single" w:color="auto" w:sz="4" w:space="0"/>
              <w:bottom w:val="single" w:color="auto" w:sz="4" w:space="0"/>
              <w:right w:val="single" w:color="auto" w:sz="4" w:space="0"/>
            </w:tcBorders>
            <w:noWrap w:val="0"/>
            <w:vAlign w:val="top"/>
          </w:tcPr>
          <w:p>
            <w:pPr>
              <w:adjustRightInd/>
              <w:spacing w:line="360" w:lineRule="auto"/>
              <w:jc w:val="left"/>
              <w:rPr>
                <w:rFonts w:ascii="仿宋_GB2312" w:hAnsi="仿宋" w:eastAsia="仿宋_GB2312" w:cs="宋体"/>
                <w:color w:val="000000"/>
                <w:sz w:val="24"/>
              </w:rPr>
            </w:pPr>
            <w:r>
              <w:rPr>
                <w:rFonts w:hint="eastAsia" w:ascii="仿宋_GB2312" w:hAnsi="仿宋" w:eastAsia="仿宋_GB2312" w:cs="宋体"/>
                <w:color w:val="000000"/>
                <w:sz w:val="24"/>
              </w:rPr>
              <w:t>具有CMMI3级及以上证书的得3分。</w:t>
            </w:r>
          </w:p>
          <w:p>
            <w:pPr>
              <w:adjustRightInd/>
              <w:spacing w:line="360" w:lineRule="auto"/>
              <w:jc w:val="left"/>
              <w:rPr>
                <w:rFonts w:hint="eastAsia" w:ascii="仿宋_GB2312" w:hAnsi="仿宋" w:eastAsia="仿宋_GB2312" w:cs="宋体"/>
                <w:color w:val="000000"/>
                <w:sz w:val="24"/>
              </w:rPr>
            </w:pPr>
            <w:r>
              <w:rPr>
                <w:rFonts w:hint="eastAsia" w:ascii="仿宋_GB2312" w:hAnsi="仿宋" w:eastAsia="仿宋_GB2312" w:cs="宋体"/>
                <w:color w:val="000000"/>
                <w:sz w:val="24"/>
              </w:rPr>
              <w:t>投标人具有（认证范围含行业应用软件开发、应用服务等）质量管理体系认证证书ISO9001、环境管理体系认证证书ISO14001、信息安全管理体系认证证书ISO27001 ，OHSAS18001职业健康安全管理体系认证证书，每个证书得1分，最高得4分。</w:t>
            </w:r>
          </w:p>
        </w:tc>
        <w:tc>
          <w:tcPr>
            <w:tcW w:w="612" w:type="pc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r>
              <w:rPr>
                <w:rFonts w:ascii="仿宋_GB2312" w:hAnsi="仿宋" w:eastAsia="仿宋_GB2312" w:cs="宋体"/>
                <w:color w:val="000000"/>
                <w:sz w:val="24"/>
              </w:rPr>
              <w:t>10</w:t>
            </w:r>
          </w:p>
        </w:tc>
        <w:tc>
          <w:tcPr>
            <w:tcW w:w="749" w:type="pc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rPr>
                <w:rFonts w:hint="eastAsia" w:ascii="仿宋_GB2312" w:hAnsi="仿宋" w:eastAsia="仿宋_GB2312" w:cs="宋体"/>
                <w:color w:val="000000"/>
                <w:sz w:val="24"/>
              </w:rPr>
            </w:pPr>
            <w:r>
              <w:rPr>
                <w:rFonts w:hint="eastAsia" w:ascii="仿宋_GB2312" w:hAnsi="仿宋" w:eastAsia="仿宋_GB2312" w:cs="宋体"/>
                <w:color w:val="000000"/>
                <w:sz w:val="24"/>
              </w:rPr>
              <w:t>投标人经验（</w:t>
            </w:r>
            <w:r>
              <w:rPr>
                <w:rFonts w:ascii="仿宋_GB2312" w:hAnsi="仿宋" w:eastAsia="仿宋_GB2312" w:cs="宋体"/>
                <w:color w:val="000000"/>
                <w:sz w:val="24"/>
              </w:rPr>
              <w:t>4</w:t>
            </w:r>
            <w:r>
              <w:rPr>
                <w:rFonts w:hint="eastAsia" w:ascii="仿宋_GB2312" w:hAnsi="仿宋" w:eastAsia="仿宋_GB2312" w:cs="宋体"/>
                <w:color w:val="000000"/>
                <w:sz w:val="24"/>
              </w:rPr>
              <w:t>分）</w:t>
            </w:r>
          </w:p>
        </w:tc>
        <w:tc>
          <w:tcPr>
            <w:tcW w:w="3160" w:type="pct"/>
            <w:tcBorders>
              <w:top w:val="single" w:color="auto" w:sz="4" w:space="0"/>
              <w:left w:val="single" w:color="auto" w:sz="4" w:space="0"/>
              <w:bottom w:val="single" w:color="auto" w:sz="4" w:space="0"/>
              <w:right w:val="single" w:color="auto" w:sz="4" w:space="0"/>
            </w:tcBorders>
            <w:noWrap w:val="0"/>
            <w:vAlign w:val="top"/>
          </w:tcPr>
          <w:p>
            <w:pPr>
              <w:adjustRightInd/>
              <w:snapToGrid w:val="0"/>
              <w:spacing w:line="360" w:lineRule="auto"/>
              <w:jc w:val="left"/>
              <w:rPr>
                <w:rFonts w:hint="eastAsia" w:ascii="仿宋_GB2312" w:hAnsi="仿宋" w:eastAsia="仿宋_GB2312" w:cs="宋体"/>
                <w:color w:val="000000"/>
                <w:sz w:val="24"/>
              </w:rPr>
            </w:pPr>
            <w:r>
              <w:rPr>
                <w:rFonts w:hint="eastAsia" w:ascii="仿宋_GB2312" w:hAnsi="仿宋" w:eastAsia="仿宋_GB2312" w:cs="仿宋"/>
                <w:color w:val="000000"/>
                <w:sz w:val="24"/>
              </w:rPr>
              <w:t>2017年1月1日以</w:t>
            </w:r>
            <w:r>
              <w:rPr>
                <w:rFonts w:hint="eastAsia" w:ascii="仿宋_GB2312" w:hAnsi="仿宋" w:eastAsia="仿宋_GB2312" w:cs="宋体"/>
                <w:color w:val="000000"/>
                <w:sz w:val="24"/>
              </w:rPr>
              <w:t>同等规模同类案例</w:t>
            </w:r>
            <w:r>
              <w:rPr>
                <w:rFonts w:hint="eastAsia" w:ascii="仿宋_GB2312" w:hAnsi="仿宋" w:eastAsia="仿宋_GB2312" w:cs="仿宋"/>
                <w:color w:val="000000"/>
                <w:sz w:val="24"/>
              </w:rPr>
              <w:t>（提供合同复印件），</w:t>
            </w:r>
            <w:r>
              <w:rPr>
                <w:rFonts w:hint="eastAsia" w:ascii="仿宋_GB2312" w:hAnsi="仿宋" w:eastAsia="仿宋_GB2312" w:cs="宋体"/>
                <w:color w:val="000000"/>
                <w:sz w:val="24"/>
              </w:rPr>
              <w:t>每提供1个得1分，最高得4分。</w:t>
            </w:r>
            <w:r>
              <w:rPr>
                <w:rFonts w:hint="eastAsia" w:ascii="仿宋_GB2312" w:hAnsi="仿宋" w:eastAsia="仿宋_GB2312" w:cs="宋体"/>
                <w:color w:val="000000"/>
                <w:sz w:val="24"/>
                <w:lang w:val="zh-CN"/>
              </w:rPr>
              <w:t>（</w:t>
            </w:r>
            <w:r>
              <w:rPr>
                <w:rFonts w:hint="eastAsia" w:ascii="仿宋_GB2312" w:hAnsi="仿宋" w:eastAsia="仿宋_GB2312" w:cs="宋体"/>
                <w:color w:val="000000"/>
                <w:sz w:val="24"/>
              </w:rPr>
              <w:t>4分</w:t>
            </w:r>
            <w:r>
              <w:rPr>
                <w:rFonts w:hint="eastAsia" w:ascii="仿宋_GB2312" w:hAnsi="仿宋" w:eastAsia="仿宋_GB2312" w:cs="宋体"/>
                <w:color w:val="000000"/>
                <w:sz w:val="24"/>
                <w:lang w:val="zh-CN"/>
              </w:rPr>
              <w:t>）</w:t>
            </w:r>
          </w:p>
        </w:tc>
        <w:tc>
          <w:tcPr>
            <w:tcW w:w="612" w:type="pc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1</w:t>
            </w:r>
            <w:r>
              <w:rPr>
                <w:rFonts w:ascii="仿宋_GB2312" w:hAnsi="仿宋" w:eastAsia="仿宋_GB2312" w:cs="宋体"/>
                <w:color w:val="000000"/>
                <w:sz w:val="24"/>
              </w:rPr>
              <w:t>1</w:t>
            </w:r>
          </w:p>
        </w:tc>
        <w:tc>
          <w:tcPr>
            <w:tcW w:w="749" w:type="pc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投标文件编制质量（2分）</w:t>
            </w:r>
          </w:p>
        </w:tc>
        <w:tc>
          <w:tcPr>
            <w:tcW w:w="3160" w:type="pct"/>
            <w:tcBorders>
              <w:top w:val="single" w:color="auto" w:sz="4" w:space="0"/>
              <w:left w:val="single" w:color="auto" w:sz="4" w:space="0"/>
              <w:bottom w:val="single" w:color="auto" w:sz="4" w:space="0"/>
              <w:right w:val="single" w:color="auto" w:sz="4" w:space="0"/>
            </w:tcBorders>
            <w:noWrap w:val="0"/>
            <w:vAlign w:val="top"/>
          </w:tcPr>
          <w:p>
            <w:pPr>
              <w:adjustRightInd/>
              <w:spacing w:line="360" w:lineRule="auto"/>
              <w:jc w:val="left"/>
              <w:rPr>
                <w:rFonts w:hint="eastAsia" w:ascii="仿宋_GB2312" w:hAnsi="仿宋" w:eastAsia="仿宋_GB2312" w:cs="宋体"/>
                <w:color w:val="000000"/>
                <w:sz w:val="24"/>
              </w:rPr>
            </w:pPr>
            <w:r>
              <w:rPr>
                <w:rFonts w:hint="eastAsia" w:ascii="仿宋_GB2312" w:hAnsi="仿宋" w:eastAsia="仿宋_GB2312" w:cs="宋体"/>
                <w:color w:val="000000"/>
                <w:sz w:val="24"/>
              </w:rPr>
              <w:t>根据投标文件内容是否完整、编排是否合理、资料提供是否齐全、文字综合表述是否清楚合理等进行打分， 2.0-0.1分。</w:t>
            </w:r>
          </w:p>
        </w:tc>
        <w:tc>
          <w:tcPr>
            <w:tcW w:w="612" w:type="pc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2分</w:t>
            </w:r>
          </w:p>
        </w:tc>
      </w:tr>
    </w:tbl>
    <w:p>
      <w:pPr>
        <w:spacing w:line="440" w:lineRule="exact"/>
        <w:rPr>
          <w:rFonts w:ascii="仿宋_GB2312" w:hAnsi="宋体" w:eastAsia="仿宋_GB2312"/>
          <w:b/>
          <w:bCs/>
          <w:iCs/>
          <w:color w:val="000000"/>
          <w:sz w:val="24"/>
        </w:rPr>
      </w:pPr>
      <w:r>
        <w:rPr>
          <w:rFonts w:hint="eastAsia" w:ascii="仿宋_GB2312" w:eastAsia="仿宋_GB2312"/>
          <w:b/>
          <w:color w:val="000000"/>
          <w:sz w:val="24"/>
          <w:bdr w:val="single" w:color="auto" w:sz="4" w:space="0"/>
        </w:rPr>
        <w:t>02标</w:t>
      </w:r>
    </w:p>
    <w:tbl>
      <w:tblPr>
        <w:tblStyle w:val="11"/>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417"/>
        <w:gridCol w:w="709"/>
        <w:gridCol w:w="5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jc w:val="center"/>
        </w:trPr>
        <w:tc>
          <w:tcPr>
            <w:tcW w:w="538" w:type="pct"/>
            <w:noWrap w:val="0"/>
            <w:vAlign w:val="center"/>
          </w:tcPr>
          <w:p>
            <w:pPr>
              <w:pStyle w:val="6"/>
              <w:snapToGrid w:val="0"/>
              <w:jc w:val="center"/>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序号</w:t>
            </w:r>
          </w:p>
        </w:tc>
        <w:tc>
          <w:tcPr>
            <w:tcW w:w="842" w:type="pct"/>
            <w:noWrap w:val="0"/>
            <w:vAlign w:val="center"/>
          </w:tcPr>
          <w:p>
            <w:pPr>
              <w:pStyle w:val="6"/>
              <w:snapToGrid w:val="0"/>
              <w:jc w:val="center"/>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评审因素</w:t>
            </w:r>
          </w:p>
        </w:tc>
        <w:tc>
          <w:tcPr>
            <w:tcW w:w="421" w:type="pct"/>
            <w:noWrap w:val="0"/>
            <w:vAlign w:val="center"/>
          </w:tcPr>
          <w:p>
            <w:pPr>
              <w:pStyle w:val="6"/>
              <w:snapToGrid w:val="0"/>
              <w:jc w:val="center"/>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分值</w:t>
            </w:r>
          </w:p>
        </w:tc>
        <w:tc>
          <w:tcPr>
            <w:tcW w:w="3199" w:type="pct"/>
            <w:noWrap w:val="0"/>
            <w:vAlign w:val="center"/>
          </w:tcPr>
          <w:p>
            <w:pPr>
              <w:pStyle w:val="6"/>
              <w:snapToGrid w:val="0"/>
              <w:jc w:val="center"/>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8"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1</w:t>
            </w:r>
          </w:p>
        </w:tc>
        <w:tc>
          <w:tcPr>
            <w:tcW w:w="842"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组织管理</w:t>
            </w:r>
          </w:p>
        </w:tc>
        <w:tc>
          <w:tcPr>
            <w:tcW w:w="421"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6</w:t>
            </w:r>
          </w:p>
        </w:tc>
        <w:tc>
          <w:tcPr>
            <w:tcW w:w="3199" w:type="pct"/>
            <w:noWrap w:val="0"/>
            <w:vAlign w:val="top"/>
          </w:tcPr>
          <w:p>
            <w:pPr>
              <w:pStyle w:val="6"/>
              <w:snapToGrid w:val="0"/>
              <w:spacing w:line="300" w:lineRule="auto"/>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投标人的项目团队中，项目经理具备信息系统项目管理师证书或系统分析师证书的，每个证书得1分，最高得2分；技术负责人具备系统分析师证书，得1分；其他成员中，具备PMP或信息系统项目管理师，每个得0.5分，最多得3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8"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2</w:t>
            </w:r>
          </w:p>
        </w:tc>
        <w:tc>
          <w:tcPr>
            <w:tcW w:w="842"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履约合同</w:t>
            </w:r>
          </w:p>
        </w:tc>
        <w:tc>
          <w:tcPr>
            <w:tcW w:w="421"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ascii="仿宋_GB2312" w:hAnsi="等线" w:eastAsia="仿宋_GB2312" w:cs="Arial"/>
                <w:color w:val="000000"/>
                <w:kern w:val="2"/>
                <w:sz w:val="24"/>
                <w:szCs w:val="24"/>
                <w:lang w:val="en-US" w:eastAsia="zh-CN"/>
              </w:rPr>
              <w:t>4</w:t>
            </w:r>
          </w:p>
        </w:tc>
        <w:tc>
          <w:tcPr>
            <w:tcW w:w="3199" w:type="pct"/>
            <w:noWrap w:val="0"/>
            <w:vAlign w:val="top"/>
          </w:tcPr>
          <w:p>
            <w:pPr>
              <w:pStyle w:val="6"/>
              <w:snapToGrid w:val="0"/>
              <w:spacing w:line="300" w:lineRule="auto"/>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2017年7月1日以来同类项目合同案例（提供合同复印件），每个案例得2分，最高得4分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6" w:hRule="atLeast"/>
          <w:jc w:val="center"/>
        </w:trPr>
        <w:tc>
          <w:tcPr>
            <w:tcW w:w="538"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3</w:t>
            </w:r>
          </w:p>
        </w:tc>
        <w:tc>
          <w:tcPr>
            <w:tcW w:w="842"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体系认证</w:t>
            </w:r>
          </w:p>
        </w:tc>
        <w:tc>
          <w:tcPr>
            <w:tcW w:w="421"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ascii="仿宋_GB2312" w:hAnsi="等线" w:eastAsia="仿宋_GB2312" w:cs="Arial"/>
                <w:color w:val="000000"/>
                <w:kern w:val="2"/>
                <w:sz w:val="24"/>
                <w:szCs w:val="24"/>
                <w:lang w:val="en-US" w:eastAsia="zh-CN"/>
              </w:rPr>
              <w:t>4</w:t>
            </w:r>
          </w:p>
        </w:tc>
        <w:tc>
          <w:tcPr>
            <w:tcW w:w="3199" w:type="pct"/>
            <w:noWrap w:val="0"/>
            <w:vAlign w:val="top"/>
          </w:tcPr>
          <w:p>
            <w:pPr>
              <w:pStyle w:val="6"/>
              <w:snapToGrid w:val="0"/>
              <w:spacing w:line="300" w:lineRule="auto"/>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投标人提供ISO27001信息安全管理体系认证、ISO20000信息技术服务管理体系认证证书，每提供1个得2分，最多4分，没有不得分。</w:t>
            </w:r>
          </w:p>
          <w:p>
            <w:pPr>
              <w:pStyle w:val="6"/>
              <w:snapToGrid w:val="0"/>
              <w:spacing w:line="300" w:lineRule="auto"/>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（提供有效证书复印件加盖投标人公章）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8"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4</w:t>
            </w:r>
          </w:p>
        </w:tc>
        <w:tc>
          <w:tcPr>
            <w:tcW w:w="842"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其他认证</w:t>
            </w:r>
          </w:p>
        </w:tc>
        <w:tc>
          <w:tcPr>
            <w:tcW w:w="421"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4</w:t>
            </w:r>
          </w:p>
        </w:tc>
        <w:tc>
          <w:tcPr>
            <w:tcW w:w="3199" w:type="pct"/>
            <w:noWrap w:val="0"/>
            <w:vAlign w:val="top"/>
          </w:tcPr>
          <w:p>
            <w:pPr>
              <w:pStyle w:val="6"/>
              <w:snapToGrid w:val="0"/>
              <w:spacing w:line="300" w:lineRule="auto"/>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投标人提供有效期内CMMI3级及以上、ITSS叁级及以上资质证书，每个证书得2分，最高得4分，没有不得分；</w:t>
            </w:r>
          </w:p>
          <w:p>
            <w:pPr>
              <w:pStyle w:val="6"/>
              <w:snapToGrid w:val="0"/>
              <w:spacing w:line="300" w:lineRule="auto"/>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（提供有效证书复印件加盖投标人公章）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8"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5</w:t>
            </w:r>
          </w:p>
        </w:tc>
        <w:tc>
          <w:tcPr>
            <w:tcW w:w="842"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整体框架</w:t>
            </w:r>
          </w:p>
        </w:tc>
        <w:tc>
          <w:tcPr>
            <w:tcW w:w="421"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ascii="仿宋_GB2312" w:hAnsi="等线" w:eastAsia="仿宋_GB2312" w:cs="Arial"/>
                <w:color w:val="000000"/>
                <w:kern w:val="2"/>
                <w:sz w:val="24"/>
                <w:szCs w:val="24"/>
                <w:lang w:val="en-US" w:eastAsia="zh-CN"/>
              </w:rPr>
              <w:t>5</w:t>
            </w:r>
          </w:p>
        </w:tc>
        <w:tc>
          <w:tcPr>
            <w:tcW w:w="3199" w:type="pct"/>
            <w:noWrap w:val="0"/>
            <w:vAlign w:val="center"/>
          </w:tcPr>
          <w:p>
            <w:pPr>
              <w:pStyle w:val="6"/>
              <w:snapToGrid w:val="0"/>
              <w:spacing w:line="300" w:lineRule="auto"/>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按其对本期系统的需求和功能理解等方面进行打分，优于项目需求的5.0.0-4.0分，符合项目需求的得3.9-2.0分，部分符合项目需求的得1.9-0.1分，不符合或不提供不得分。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8"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6</w:t>
            </w:r>
          </w:p>
        </w:tc>
        <w:tc>
          <w:tcPr>
            <w:tcW w:w="842"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需求理解</w:t>
            </w:r>
          </w:p>
        </w:tc>
        <w:tc>
          <w:tcPr>
            <w:tcW w:w="421"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4</w:t>
            </w:r>
          </w:p>
        </w:tc>
        <w:tc>
          <w:tcPr>
            <w:tcW w:w="3199" w:type="pct"/>
            <w:noWrap w:val="0"/>
            <w:vAlign w:val="center"/>
          </w:tcPr>
          <w:p>
            <w:pPr>
              <w:pStyle w:val="6"/>
              <w:snapToGrid w:val="0"/>
              <w:spacing w:line="300" w:lineRule="auto"/>
              <w:rPr>
                <w:rFonts w:hint="eastAsia" w:ascii="仿宋_GB2312" w:hAnsi="等线" w:eastAsia="仿宋_GB2312" w:cs="Arial"/>
                <w:color w:val="000000"/>
                <w:kern w:val="2"/>
                <w:sz w:val="24"/>
                <w:szCs w:val="24"/>
                <w:lang w:val="en-US" w:eastAsia="zh-CN"/>
              </w:rPr>
            </w:pPr>
            <w:r>
              <w:rPr>
                <w:rFonts w:hint="eastAsia" w:ascii="仿宋_GB2312" w:hAnsi="仿宋_GB2312" w:eastAsia="仿宋_GB2312" w:cs="仿宋_GB2312"/>
                <w:color w:val="000000"/>
                <w:kern w:val="2"/>
                <w:sz w:val="24"/>
                <w:szCs w:val="24"/>
                <w:lang w:val="en-US" w:eastAsia="zh-CN"/>
              </w:rPr>
              <w:t>按其对本期系统的需求和功能理解等方面进行打分，优于项目需求的4.0.0-3.0分，符合项目需求的得2.9-1.0分，部分符合项目需求的得0.9-0.1分，不符合或不提供不得分。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8"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7</w:t>
            </w:r>
          </w:p>
        </w:tc>
        <w:tc>
          <w:tcPr>
            <w:tcW w:w="842"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建设方案</w:t>
            </w:r>
          </w:p>
        </w:tc>
        <w:tc>
          <w:tcPr>
            <w:tcW w:w="421"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ascii="仿宋_GB2312" w:hAnsi="等线" w:eastAsia="仿宋_GB2312" w:cs="Arial"/>
                <w:color w:val="000000"/>
                <w:kern w:val="2"/>
                <w:sz w:val="24"/>
                <w:szCs w:val="24"/>
                <w:lang w:val="en-US" w:eastAsia="zh-CN"/>
              </w:rPr>
              <w:t>5</w:t>
            </w:r>
          </w:p>
        </w:tc>
        <w:tc>
          <w:tcPr>
            <w:tcW w:w="3199" w:type="pct"/>
            <w:noWrap w:val="0"/>
            <w:vAlign w:val="center"/>
          </w:tcPr>
          <w:p>
            <w:pPr>
              <w:pStyle w:val="6"/>
              <w:snapToGrid w:val="0"/>
              <w:spacing w:line="300" w:lineRule="auto"/>
              <w:rPr>
                <w:rFonts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2"/>
                <w:sz w:val="24"/>
                <w:szCs w:val="24"/>
                <w:lang w:val="en-US" w:eastAsia="zh-CN"/>
              </w:rPr>
              <w:t>按其对本期系统的建设方案、集成方案、安全方案、运维方案等方面进行打分，优于项目需求的5.0.0-4.0分，符合项目需求的得3.9-2.0分，部分符合项目需求的得1.9-0.1分，不符合或不提供不得分。</w:t>
            </w:r>
          </w:p>
          <w:p>
            <w:pPr>
              <w:pStyle w:val="6"/>
              <w:snapToGrid w:val="0"/>
              <w:spacing w:line="300" w:lineRule="auto"/>
              <w:rPr>
                <w:rFonts w:hint="eastAsia" w:ascii="仿宋_GB2312" w:hAnsi="等线" w:eastAsia="仿宋_GB2312" w:cs="Arial"/>
                <w:color w:val="00000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78" w:hRule="atLeast"/>
          <w:jc w:val="center"/>
        </w:trPr>
        <w:tc>
          <w:tcPr>
            <w:tcW w:w="538"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8</w:t>
            </w:r>
          </w:p>
        </w:tc>
        <w:tc>
          <w:tcPr>
            <w:tcW w:w="842"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系统演示</w:t>
            </w:r>
          </w:p>
        </w:tc>
        <w:tc>
          <w:tcPr>
            <w:tcW w:w="421"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ascii="仿宋_GB2312" w:hAnsi="等线" w:eastAsia="仿宋_GB2312" w:cs="Arial"/>
                <w:color w:val="000000"/>
                <w:kern w:val="2"/>
                <w:sz w:val="24"/>
                <w:szCs w:val="24"/>
                <w:lang w:val="en-US" w:eastAsia="zh-CN"/>
              </w:rPr>
              <w:t>27</w:t>
            </w:r>
          </w:p>
        </w:tc>
        <w:tc>
          <w:tcPr>
            <w:tcW w:w="3199" w:type="pct"/>
            <w:noWrap w:val="0"/>
            <w:vAlign w:val="center"/>
          </w:tcPr>
          <w:p>
            <w:pPr>
              <w:pStyle w:val="6"/>
              <w:snapToGrid w:val="0"/>
              <w:spacing w:line="300" w:lineRule="auto"/>
              <w:rPr>
                <w:rFonts w:hint="eastAsia" w:ascii="仿宋_GB2312" w:hAnsi="等线" w:eastAsia="仿宋_GB2312" w:cs="Arial"/>
                <w:b/>
                <w:bCs/>
                <w:color w:val="000000"/>
                <w:kern w:val="2"/>
                <w:sz w:val="24"/>
                <w:szCs w:val="24"/>
                <w:lang w:val="en-US" w:eastAsia="zh-CN"/>
              </w:rPr>
            </w:pPr>
            <w:r>
              <w:rPr>
                <w:rFonts w:hint="eastAsia" w:ascii="仿宋_GB2312" w:hAnsi="等线" w:eastAsia="仿宋_GB2312" w:cs="Arial"/>
                <w:b/>
                <w:bCs/>
                <w:color w:val="000000"/>
                <w:kern w:val="2"/>
                <w:sz w:val="24"/>
                <w:szCs w:val="24"/>
                <w:lang w:val="en-US" w:eastAsia="zh-CN"/>
              </w:rPr>
              <w:t>演示内容：</w:t>
            </w:r>
          </w:p>
          <w:p>
            <w:pPr>
              <w:pStyle w:val="6"/>
              <w:snapToGrid w:val="0"/>
              <w:spacing w:line="300" w:lineRule="auto"/>
              <w:rPr>
                <w:rFonts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1、</w:t>
            </w:r>
            <w:r>
              <w:rPr>
                <w:rFonts w:hint="eastAsia" w:ascii="仿宋_GB2312" w:hAnsi="等线" w:eastAsia="仿宋_GB2312" w:cs="Arial"/>
                <w:color w:val="000000"/>
                <w:sz w:val="24"/>
              </w:rPr>
              <w:t>演示迁移到浙政钉的功能</w:t>
            </w:r>
            <w:r>
              <w:rPr>
                <w:rFonts w:hint="eastAsia" w:ascii="仿宋_GB2312" w:hAnsi="等线" w:eastAsia="仿宋_GB2312" w:cs="Arial"/>
                <w:color w:val="000000"/>
                <w:sz w:val="24"/>
                <w:lang w:eastAsia="zh-CN"/>
              </w:rPr>
              <w:t>：</w:t>
            </w:r>
          </w:p>
          <w:p>
            <w:pPr>
              <w:pStyle w:val="6"/>
              <w:snapToGrid w:val="0"/>
              <w:spacing w:line="300" w:lineRule="auto"/>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会议活动请假：实现对需要参加的会议活动请假，并将该请假抄送给办公室（1分）；</w:t>
            </w:r>
            <w:r>
              <w:rPr>
                <w:rFonts w:hint="eastAsia" w:ascii="仿宋_GB2312" w:hAnsi="等线" w:eastAsia="仿宋_GB2312" w:cs="Arial"/>
                <w:color w:val="000000"/>
                <w:kern w:val="2"/>
                <w:sz w:val="24"/>
                <w:szCs w:val="24"/>
                <w:lang w:val="en-US" w:eastAsia="zh-CN"/>
              </w:rPr>
              <w:br w:type="textWrapping"/>
            </w:r>
            <w:r>
              <w:rPr>
                <w:rFonts w:hint="eastAsia" w:ascii="仿宋_GB2312" w:hAnsi="等线" w:eastAsia="仿宋_GB2312" w:cs="Arial"/>
                <w:color w:val="000000"/>
                <w:kern w:val="2"/>
                <w:sz w:val="24"/>
                <w:szCs w:val="24"/>
                <w:lang w:val="en-US" w:eastAsia="zh-CN"/>
              </w:rPr>
              <w:t>负责人外出报备：实现各部门负责人外出时，向局长领导添加报备信息，并且抄送给办公室（1分）；</w:t>
            </w:r>
            <w:r>
              <w:rPr>
                <w:rFonts w:hint="eastAsia" w:ascii="仿宋_GB2312" w:hAnsi="等线" w:eastAsia="仿宋_GB2312" w:cs="Arial"/>
                <w:color w:val="000000"/>
                <w:kern w:val="2"/>
                <w:sz w:val="24"/>
                <w:szCs w:val="24"/>
                <w:lang w:val="en-US" w:eastAsia="zh-CN"/>
              </w:rPr>
              <w:br w:type="textWrapping"/>
            </w:r>
            <w:r>
              <w:rPr>
                <w:rFonts w:hint="eastAsia" w:ascii="仿宋_GB2312" w:hAnsi="等线" w:eastAsia="仿宋_GB2312" w:cs="Arial"/>
                <w:color w:val="000000"/>
                <w:kern w:val="2"/>
                <w:sz w:val="24"/>
                <w:szCs w:val="24"/>
                <w:lang w:val="en-US" w:eastAsia="zh-CN"/>
              </w:rPr>
              <w:t>公章使用审批：实现向办公室借用公章的审批流程（1分）；</w:t>
            </w:r>
          </w:p>
          <w:p>
            <w:pPr>
              <w:pStyle w:val="6"/>
              <w:snapToGrid w:val="0"/>
              <w:spacing w:line="300" w:lineRule="auto"/>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调休：实现调休流程审批 （1分）；</w:t>
            </w:r>
          </w:p>
          <w:p>
            <w:pPr>
              <w:pStyle w:val="6"/>
              <w:snapToGrid w:val="0"/>
              <w:spacing w:line="300" w:lineRule="auto"/>
              <w:rPr>
                <w:rFonts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请假：实现请假流程审批 （1分）；</w:t>
            </w:r>
          </w:p>
          <w:p>
            <w:pPr>
              <w:adjustRightInd/>
              <w:snapToGrid w:val="0"/>
              <w:spacing w:line="300" w:lineRule="auto"/>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szCs w:val="32"/>
              </w:rPr>
              <w:t>维修申报</w:t>
            </w:r>
            <w:r>
              <w:rPr>
                <w:rFonts w:hint="eastAsia" w:ascii="仿宋_GB2312" w:hAnsi="仿宋_GB2312" w:eastAsia="仿宋_GB2312" w:cs="仿宋_GB2312"/>
                <w:color w:val="000000"/>
                <w:sz w:val="24"/>
              </w:rPr>
              <w:t>：实现向警保中心对设备、设施维修申请及审批 （1分）；</w:t>
            </w:r>
          </w:p>
          <w:p>
            <w:pPr>
              <w:adjustRightInd/>
              <w:snapToGrid w:val="0"/>
              <w:spacing w:line="300" w:lineRule="auto"/>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szCs w:val="32"/>
              </w:rPr>
              <w:t>物品领用</w:t>
            </w:r>
            <w:r>
              <w:rPr>
                <w:rFonts w:hint="eastAsia" w:ascii="仿宋_GB2312" w:hAnsi="仿宋_GB2312" w:eastAsia="仿宋_GB2312" w:cs="仿宋_GB2312"/>
                <w:color w:val="000000"/>
                <w:sz w:val="24"/>
              </w:rPr>
              <w:t>：实现向警保中心对办公用品的申请及审批  （1分）；</w:t>
            </w:r>
          </w:p>
          <w:p>
            <w:pPr>
              <w:adjustRightInd/>
              <w:snapToGrid w:val="0"/>
              <w:spacing w:line="300" w:lineRule="auto"/>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szCs w:val="32"/>
              </w:rPr>
              <w:t>一卡通申领</w:t>
            </w:r>
            <w:r>
              <w:rPr>
                <w:rFonts w:hint="eastAsia" w:ascii="仿宋_GB2312" w:hAnsi="仿宋_GB2312" w:eastAsia="仿宋_GB2312" w:cs="仿宋_GB2312"/>
                <w:color w:val="000000"/>
                <w:sz w:val="24"/>
              </w:rPr>
              <w:t>：实现向警保中心对一卡通的申请及审批  （1分）；</w:t>
            </w:r>
          </w:p>
          <w:p>
            <w:pPr>
              <w:pStyle w:val="6"/>
              <w:snapToGrid w:val="0"/>
              <w:spacing w:line="300" w:lineRule="auto"/>
              <w:rPr>
                <w:rFonts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2"/>
                <w:sz w:val="24"/>
                <w:szCs w:val="32"/>
                <w:lang w:val="en-US" w:eastAsia="zh-CN"/>
              </w:rPr>
              <w:t>车辆出入申请</w:t>
            </w:r>
            <w:r>
              <w:rPr>
                <w:rFonts w:hint="eastAsia" w:ascii="仿宋_GB2312" w:hAnsi="仿宋_GB2312" w:eastAsia="仿宋_GB2312" w:cs="仿宋_GB2312"/>
                <w:color w:val="000000"/>
                <w:kern w:val="2"/>
                <w:sz w:val="24"/>
                <w:szCs w:val="24"/>
                <w:lang w:val="en-US" w:eastAsia="zh-CN"/>
              </w:rPr>
              <w:t>：实现向警保中心对车辆出去申请及审批 （1分）；</w:t>
            </w:r>
          </w:p>
          <w:p>
            <w:pPr>
              <w:pStyle w:val="6"/>
              <w:snapToGrid w:val="0"/>
              <w:spacing w:line="300" w:lineRule="auto"/>
              <w:rPr>
                <w:rFonts w:ascii="仿宋_GB2312" w:hAnsi="仿宋" w:eastAsia="仿宋_GB2312" w:cs="仿宋_GB2312"/>
                <w:color w:val="000000"/>
                <w:sz w:val="24"/>
                <w:szCs w:val="24"/>
                <w:lang w:val="en-US" w:eastAsia="zh-CN"/>
              </w:rPr>
            </w:pPr>
            <w:r>
              <w:rPr>
                <w:rFonts w:hint="eastAsia" w:ascii="仿宋_GB2312" w:hAnsi="等线" w:eastAsia="仿宋_GB2312" w:cs="Arial"/>
                <w:color w:val="000000"/>
                <w:kern w:val="2"/>
                <w:sz w:val="24"/>
                <w:szCs w:val="24"/>
                <w:lang w:val="en-US" w:eastAsia="zh-CN"/>
              </w:rPr>
              <w:t>2、演示基于钉钉的日常工作功能：</w:t>
            </w:r>
            <w:r>
              <w:rPr>
                <w:rFonts w:hint="eastAsia" w:ascii="仿宋_GB2312" w:hAnsi="等线" w:eastAsia="仿宋_GB2312" w:cs="Arial"/>
                <w:color w:val="000000"/>
                <w:kern w:val="2"/>
                <w:sz w:val="24"/>
                <w:szCs w:val="24"/>
                <w:lang w:val="en-US" w:eastAsia="zh-CN"/>
              </w:rPr>
              <w:br w:type="textWrapping"/>
            </w:r>
            <w:r>
              <w:rPr>
                <w:rFonts w:hint="eastAsia" w:ascii="仿宋_GB2312" w:hAnsi="等线" w:eastAsia="仿宋_GB2312" w:cs="Arial"/>
                <w:color w:val="000000"/>
                <w:kern w:val="2"/>
                <w:sz w:val="24"/>
                <w:szCs w:val="24"/>
                <w:lang w:val="en-US" w:eastAsia="zh-CN"/>
              </w:rPr>
              <w:t>民警在对老百姓走访时，能够记录群众的相关信息，包括：姓名、地址、手机号、建议等（</w:t>
            </w:r>
            <w:r>
              <w:rPr>
                <w:rFonts w:ascii="仿宋_GB2312" w:hAnsi="等线" w:eastAsia="仿宋_GB2312" w:cs="Arial"/>
                <w:color w:val="000000"/>
                <w:kern w:val="2"/>
                <w:sz w:val="24"/>
                <w:szCs w:val="24"/>
                <w:lang w:val="en-US" w:eastAsia="zh-CN"/>
              </w:rPr>
              <w:t>3</w:t>
            </w:r>
            <w:r>
              <w:rPr>
                <w:rFonts w:hint="eastAsia" w:ascii="仿宋_GB2312" w:hAnsi="等线" w:eastAsia="仿宋_GB2312" w:cs="Arial"/>
                <w:color w:val="000000"/>
                <w:kern w:val="2"/>
                <w:sz w:val="24"/>
                <w:szCs w:val="24"/>
                <w:lang w:val="en-US" w:eastAsia="zh-CN"/>
              </w:rPr>
              <w:t>分）</w:t>
            </w:r>
            <w:r>
              <w:rPr>
                <w:rFonts w:hint="eastAsia" w:ascii="仿宋_GB2312" w:hAnsi="等线" w:eastAsia="仿宋_GB2312" w:cs="Arial"/>
                <w:color w:val="000000"/>
                <w:kern w:val="2"/>
                <w:sz w:val="24"/>
                <w:szCs w:val="24"/>
                <w:lang w:val="en-US" w:eastAsia="zh-CN"/>
              </w:rPr>
              <w:br w:type="textWrapping"/>
            </w:r>
            <w:r>
              <w:rPr>
                <w:rFonts w:hint="eastAsia" w:ascii="仿宋_GB2312" w:hAnsi="等线" w:eastAsia="仿宋_GB2312" w:cs="Arial"/>
                <w:color w:val="000000"/>
                <w:kern w:val="2"/>
                <w:sz w:val="24"/>
                <w:szCs w:val="24"/>
                <w:lang w:val="en-US" w:eastAsia="zh-CN"/>
              </w:rPr>
              <w:t>基于钉钉发起饮酒报备功能，当民警、领导需要饮酒时，向上级领导进行报备（</w:t>
            </w:r>
            <w:r>
              <w:rPr>
                <w:rFonts w:ascii="仿宋_GB2312" w:hAnsi="等线" w:eastAsia="仿宋_GB2312" w:cs="Arial"/>
                <w:color w:val="000000"/>
                <w:kern w:val="2"/>
                <w:sz w:val="24"/>
                <w:szCs w:val="24"/>
                <w:lang w:val="en-US" w:eastAsia="zh-CN"/>
              </w:rPr>
              <w:t>3</w:t>
            </w:r>
            <w:r>
              <w:rPr>
                <w:rFonts w:hint="eastAsia" w:ascii="仿宋_GB2312" w:hAnsi="等线" w:eastAsia="仿宋_GB2312" w:cs="Arial"/>
                <w:color w:val="000000"/>
                <w:kern w:val="2"/>
                <w:sz w:val="24"/>
                <w:szCs w:val="24"/>
                <w:lang w:val="en-US" w:eastAsia="zh-CN"/>
              </w:rPr>
              <w:t>分）</w:t>
            </w:r>
            <w:r>
              <w:rPr>
                <w:rFonts w:hint="eastAsia" w:ascii="仿宋_GB2312" w:hAnsi="等线" w:eastAsia="仿宋_GB2312" w:cs="Arial"/>
                <w:color w:val="000000"/>
                <w:kern w:val="2"/>
                <w:sz w:val="24"/>
                <w:szCs w:val="24"/>
                <w:lang w:val="en-US" w:eastAsia="zh-CN"/>
              </w:rPr>
              <w:br w:type="textWrapping"/>
            </w:r>
            <w:r>
              <w:rPr>
                <w:rFonts w:hint="eastAsia" w:ascii="仿宋_GB2312" w:hAnsi="等线" w:eastAsia="仿宋_GB2312" w:cs="Arial"/>
                <w:color w:val="000000"/>
                <w:kern w:val="2"/>
                <w:sz w:val="24"/>
                <w:szCs w:val="24"/>
                <w:lang w:val="en-US" w:eastAsia="zh-CN"/>
              </w:rPr>
              <w:t>对民警巡逻、民警走访等功能的数据导出（</w:t>
            </w:r>
            <w:r>
              <w:rPr>
                <w:rFonts w:ascii="仿宋_GB2312" w:hAnsi="等线" w:eastAsia="仿宋_GB2312" w:cs="Arial"/>
                <w:color w:val="000000"/>
                <w:kern w:val="2"/>
                <w:sz w:val="24"/>
                <w:szCs w:val="24"/>
                <w:lang w:val="en-US" w:eastAsia="zh-CN"/>
              </w:rPr>
              <w:t>3</w:t>
            </w:r>
            <w:r>
              <w:rPr>
                <w:rFonts w:hint="eastAsia" w:ascii="仿宋_GB2312" w:hAnsi="等线" w:eastAsia="仿宋_GB2312" w:cs="Arial"/>
                <w:color w:val="000000"/>
                <w:kern w:val="2"/>
                <w:sz w:val="24"/>
                <w:szCs w:val="24"/>
                <w:lang w:val="en-US" w:eastAsia="zh-CN"/>
              </w:rPr>
              <w:t>分）</w:t>
            </w:r>
          </w:p>
          <w:p>
            <w:pPr>
              <w:pStyle w:val="6"/>
              <w:snapToGrid w:val="0"/>
              <w:spacing w:line="300" w:lineRule="auto"/>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3、演示基于钉钉的会议申请功能：</w:t>
            </w:r>
            <w:r>
              <w:rPr>
                <w:rFonts w:hint="eastAsia" w:ascii="仿宋_GB2312" w:hAnsi="等线" w:eastAsia="仿宋_GB2312" w:cs="Arial"/>
                <w:color w:val="000000"/>
                <w:kern w:val="2"/>
                <w:sz w:val="24"/>
                <w:szCs w:val="24"/>
                <w:lang w:val="en-US" w:eastAsia="zh-CN"/>
              </w:rPr>
              <w:br w:type="textWrapping"/>
            </w:r>
            <w:r>
              <w:rPr>
                <w:rFonts w:hint="eastAsia" w:ascii="仿宋_GB2312" w:hAnsi="等线" w:eastAsia="仿宋_GB2312" w:cs="Arial"/>
                <w:color w:val="000000"/>
                <w:kern w:val="2"/>
                <w:sz w:val="24"/>
                <w:szCs w:val="24"/>
                <w:lang w:val="en-US" w:eastAsia="zh-CN"/>
              </w:rPr>
              <w:t>会议申请，实现在钉钉端新增会议（2分）</w:t>
            </w:r>
            <w:r>
              <w:rPr>
                <w:rFonts w:hint="eastAsia" w:ascii="仿宋_GB2312" w:hAnsi="等线" w:eastAsia="仿宋_GB2312" w:cs="Arial"/>
                <w:color w:val="000000"/>
                <w:kern w:val="2"/>
                <w:sz w:val="24"/>
                <w:szCs w:val="24"/>
                <w:lang w:val="en-US" w:eastAsia="zh-CN"/>
              </w:rPr>
              <w:br w:type="textWrapping"/>
            </w:r>
            <w:r>
              <w:rPr>
                <w:rFonts w:hint="eastAsia" w:ascii="仿宋_GB2312" w:hAnsi="等线" w:eastAsia="仿宋_GB2312" w:cs="Arial"/>
                <w:color w:val="000000"/>
                <w:kern w:val="2"/>
                <w:sz w:val="24"/>
                <w:szCs w:val="24"/>
                <w:lang w:val="en-US" w:eastAsia="zh-CN"/>
              </w:rPr>
              <w:t>会议审批，实现在钉钉上对申请的会议进行审批（</w:t>
            </w:r>
            <w:r>
              <w:rPr>
                <w:rFonts w:ascii="仿宋_GB2312" w:hAnsi="等线" w:eastAsia="仿宋_GB2312" w:cs="Arial"/>
                <w:color w:val="000000"/>
                <w:kern w:val="2"/>
                <w:sz w:val="24"/>
                <w:szCs w:val="24"/>
                <w:lang w:val="en-US" w:eastAsia="zh-CN"/>
              </w:rPr>
              <w:t>3</w:t>
            </w:r>
            <w:r>
              <w:rPr>
                <w:rFonts w:hint="eastAsia" w:ascii="仿宋_GB2312" w:hAnsi="等线" w:eastAsia="仿宋_GB2312" w:cs="Arial"/>
                <w:color w:val="000000"/>
                <w:kern w:val="2"/>
                <w:sz w:val="24"/>
                <w:szCs w:val="24"/>
                <w:lang w:val="en-US" w:eastAsia="zh-CN"/>
              </w:rPr>
              <w:t>分）</w:t>
            </w:r>
            <w:r>
              <w:rPr>
                <w:rFonts w:hint="eastAsia" w:ascii="仿宋_GB2312" w:hAnsi="等线" w:eastAsia="仿宋_GB2312" w:cs="Arial"/>
                <w:color w:val="000000"/>
                <w:kern w:val="2"/>
                <w:sz w:val="24"/>
                <w:szCs w:val="24"/>
                <w:lang w:val="en-US" w:eastAsia="zh-CN"/>
              </w:rPr>
              <w:br w:type="textWrapping"/>
            </w:r>
            <w:r>
              <w:rPr>
                <w:rFonts w:hint="eastAsia" w:ascii="仿宋_GB2312" w:hAnsi="等线" w:eastAsia="仿宋_GB2312" w:cs="Arial"/>
                <w:color w:val="000000"/>
                <w:kern w:val="2"/>
                <w:sz w:val="24"/>
                <w:szCs w:val="24"/>
                <w:lang w:val="en-US" w:eastAsia="zh-CN"/>
              </w:rPr>
              <w:t>会议保障，保障人员可以查看需要保障的会议详情（2分）</w:t>
            </w:r>
            <w:r>
              <w:rPr>
                <w:rFonts w:hint="eastAsia" w:ascii="仿宋_GB2312" w:hAnsi="等线" w:eastAsia="仿宋_GB2312" w:cs="Arial"/>
                <w:color w:val="000000"/>
                <w:kern w:val="2"/>
                <w:sz w:val="24"/>
                <w:szCs w:val="24"/>
                <w:lang w:val="en-US" w:eastAsia="zh-CN"/>
              </w:rPr>
              <w:br w:type="textWrapping"/>
            </w:r>
            <w:r>
              <w:rPr>
                <w:rFonts w:hint="eastAsia" w:ascii="仿宋_GB2312" w:hAnsi="等线" w:eastAsia="仿宋_GB2312" w:cs="Arial"/>
                <w:color w:val="000000"/>
                <w:kern w:val="2"/>
                <w:sz w:val="24"/>
                <w:szCs w:val="24"/>
                <w:lang w:val="en-US" w:eastAsia="zh-CN"/>
              </w:rPr>
              <w:t>会议报名，实现给部门参加领导的报名功能（2分）</w:t>
            </w:r>
          </w:p>
          <w:p>
            <w:pPr>
              <w:pStyle w:val="6"/>
              <w:snapToGrid w:val="0"/>
              <w:spacing w:line="300" w:lineRule="auto"/>
              <w:rPr>
                <w:rFonts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上述演示仅以PPT形式讲解或没有演示的不得分。</w:t>
            </w:r>
          </w:p>
          <w:p>
            <w:pPr>
              <w:spacing w:line="440" w:lineRule="exact"/>
              <w:rPr>
                <w:rFonts w:hint="eastAsia" w:ascii="仿宋_GB2312" w:hAnsi="仿宋" w:eastAsia="仿宋_GB2312" w:cs="仿宋_GB2312"/>
                <w:color w:val="000000"/>
                <w:kern w:val="0"/>
                <w:sz w:val="24"/>
                <w:lang w:val="zh-CN"/>
              </w:rPr>
            </w:pPr>
            <w:r>
              <w:rPr>
                <w:rFonts w:hint="eastAsia" w:ascii="仿宋_GB2312" w:hAnsi="仿宋" w:eastAsia="仿宋_GB2312" w:cs="仿宋_GB2312"/>
                <w:color w:val="000000"/>
                <w:kern w:val="0"/>
                <w:sz w:val="24"/>
                <w:lang w:val="zh-CN"/>
              </w:rPr>
              <w:t>说明：演示其它要求详见前附表。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8"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ascii="仿宋_GB2312" w:hAnsi="等线" w:eastAsia="仿宋_GB2312" w:cs="Arial"/>
                <w:color w:val="000000"/>
                <w:kern w:val="2"/>
                <w:sz w:val="24"/>
                <w:szCs w:val="24"/>
                <w:lang w:val="en-US" w:eastAsia="zh-CN"/>
              </w:rPr>
              <w:t>9</w:t>
            </w:r>
          </w:p>
        </w:tc>
        <w:tc>
          <w:tcPr>
            <w:tcW w:w="842"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项目实施和培训方案</w:t>
            </w:r>
          </w:p>
        </w:tc>
        <w:tc>
          <w:tcPr>
            <w:tcW w:w="421"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ascii="仿宋_GB2312" w:hAnsi="等线" w:eastAsia="仿宋_GB2312" w:cs="Arial"/>
                <w:color w:val="000000"/>
                <w:kern w:val="2"/>
                <w:sz w:val="24"/>
                <w:szCs w:val="24"/>
                <w:lang w:val="en-US" w:eastAsia="zh-CN"/>
              </w:rPr>
              <w:t>4</w:t>
            </w:r>
          </w:p>
        </w:tc>
        <w:tc>
          <w:tcPr>
            <w:tcW w:w="3199" w:type="pct"/>
            <w:noWrap w:val="0"/>
            <w:vAlign w:val="center"/>
          </w:tcPr>
          <w:p>
            <w:pPr>
              <w:pStyle w:val="6"/>
              <w:snapToGrid w:val="0"/>
              <w:spacing w:line="300" w:lineRule="auto"/>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按其项目实施和培训方案完整性、合理性等方面进行打分。优于项目需求的得4.0-3.0分，符合项目需求的得2.9-2.0分，部分符合项目需求的得1.9-0.1分，不符合或不提供不得分。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8"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ascii="仿宋_GB2312" w:hAnsi="等线" w:eastAsia="仿宋_GB2312" w:cs="Arial"/>
                <w:color w:val="000000"/>
                <w:kern w:val="2"/>
                <w:sz w:val="24"/>
                <w:szCs w:val="24"/>
                <w:lang w:val="en-US" w:eastAsia="zh-CN"/>
              </w:rPr>
              <w:t>10</w:t>
            </w:r>
          </w:p>
        </w:tc>
        <w:tc>
          <w:tcPr>
            <w:tcW w:w="842"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服务响应</w:t>
            </w:r>
          </w:p>
        </w:tc>
        <w:tc>
          <w:tcPr>
            <w:tcW w:w="421"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2</w:t>
            </w:r>
          </w:p>
        </w:tc>
        <w:tc>
          <w:tcPr>
            <w:tcW w:w="3199" w:type="pct"/>
            <w:noWrap w:val="0"/>
            <w:vAlign w:val="center"/>
          </w:tcPr>
          <w:p>
            <w:pPr>
              <w:pStyle w:val="32"/>
              <w:widowControl/>
              <w:shd w:val="clear" w:color="auto" w:fill="FFFFFF"/>
              <w:spacing w:before="156" w:after="156" w:line="360" w:lineRule="auto"/>
              <w:ind w:firstLineChars="0"/>
              <w:jc w:val="left"/>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响应时间：</w:t>
            </w:r>
            <w:r>
              <w:rPr>
                <w:rFonts w:hint="eastAsia" w:ascii="仿宋_GB2312" w:hAnsi="宋体" w:eastAsia="仿宋_GB2312" w:cs="Arial"/>
                <w:color w:val="000000"/>
                <w:sz w:val="24"/>
                <w:szCs w:val="24"/>
                <w:lang w:val="en-US" w:eastAsia="zh-CN"/>
              </w:rPr>
              <w:t>疑难问题（不危及运行）在24小时内答复用户。重大问题（危及运行）在2小时内到现场处理或通过网络远程处理。特大问题（系统不能正常运行）在2小时内恢复系统运行，并在24小时内派技术人员到现场解决。</w:t>
            </w:r>
            <w:r>
              <w:rPr>
                <w:rFonts w:hint="eastAsia" w:ascii="仿宋_GB2312" w:hAnsi="等线" w:eastAsia="仿宋_GB2312" w:cs="Arial"/>
                <w:color w:val="000000"/>
                <w:kern w:val="2"/>
                <w:sz w:val="24"/>
                <w:szCs w:val="24"/>
                <w:lang w:val="en-US" w:eastAsia="zh-CN"/>
              </w:rPr>
              <w:t>不能达到则不得分。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8"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ascii="仿宋_GB2312" w:hAnsi="等线" w:eastAsia="仿宋_GB2312" w:cs="Arial"/>
                <w:color w:val="000000"/>
                <w:kern w:val="2"/>
                <w:sz w:val="24"/>
                <w:szCs w:val="24"/>
                <w:lang w:val="en-US" w:eastAsia="zh-CN"/>
              </w:rPr>
              <w:t>11</w:t>
            </w:r>
          </w:p>
        </w:tc>
        <w:tc>
          <w:tcPr>
            <w:tcW w:w="842"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售后服务（3分）</w:t>
            </w:r>
          </w:p>
        </w:tc>
        <w:tc>
          <w:tcPr>
            <w:tcW w:w="421"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3</w:t>
            </w:r>
          </w:p>
        </w:tc>
        <w:tc>
          <w:tcPr>
            <w:tcW w:w="3199" w:type="pct"/>
            <w:noWrap w:val="0"/>
            <w:vAlign w:val="center"/>
          </w:tcPr>
          <w:p>
            <w:pPr>
              <w:pStyle w:val="32"/>
              <w:widowControl/>
              <w:shd w:val="clear" w:color="auto" w:fill="FFFFFF"/>
              <w:spacing w:before="156" w:after="156" w:line="360" w:lineRule="auto"/>
              <w:ind w:firstLine="0" w:firstLineChars="0"/>
              <w:jc w:val="left"/>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按其对本项目的售后方案的完整性、合理性等方面进行打分,优于项目需求的得3.0-2.0分，符合项目需求的得1.9-1.0分，部分符合项目需求的得0.9-0.1分，不符合或不提供不得分。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8"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ascii="仿宋_GB2312" w:hAnsi="等线" w:eastAsia="仿宋_GB2312" w:cs="Arial"/>
                <w:color w:val="000000"/>
                <w:kern w:val="2"/>
                <w:sz w:val="24"/>
                <w:szCs w:val="24"/>
                <w:lang w:val="en-US" w:eastAsia="zh-CN"/>
              </w:rPr>
              <w:t>12</w:t>
            </w:r>
          </w:p>
        </w:tc>
        <w:tc>
          <w:tcPr>
            <w:tcW w:w="842"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标书制作（2分）</w:t>
            </w:r>
          </w:p>
        </w:tc>
        <w:tc>
          <w:tcPr>
            <w:tcW w:w="421" w:type="pct"/>
            <w:noWrap w:val="0"/>
            <w:vAlign w:val="center"/>
          </w:tcPr>
          <w:p>
            <w:pPr>
              <w:pStyle w:val="6"/>
              <w:snapToGrid w:val="0"/>
              <w:spacing w:line="300" w:lineRule="auto"/>
              <w:jc w:val="center"/>
              <w:rPr>
                <w:rFonts w:hint="eastAsia" w:ascii="仿宋_GB2312" w:hAnsi="等线" w:eastAsia="仿宋_GB2312" w:cs="Arial"/>
                <w:color w:val="000000"/>
                <w:kern w:val="2"/>
                <w:sz w:val="24"/>
                <w:szCs w:val="24"/>
                <w:lang w:val="en-US" w:eastAsia="zh-CN"/>
              </w:rPr>
            </w:pPr>
            <w:r>
              <w:rPr>
                <w:rFonts w:hint="eastAsia" w:ascii="仿宋_GB2312" w:hAnsi="等线" w:eastAsia="仿宋_GB2312" w:cs="Arial"/>
                <w:color w:val="000000"/>
                <w:kern w:val="2"/>
                <w:sz w:val="24"/>
                <w:szCs w:val="24"/>
                <w:lang w:val="en-US" w:eastAsia="zh-CN"/>
              </w:rPr>
              <w:t>2</w:t>
            </w:r>
          </w:p>
        </w:tc>
        <w:tc>
          <w:tcPr>
            <w:tcW w:w="3199" w:type="pct"/>
            <w:noWrap w:val="0"/>
            <w:vAlign w:val="center"/>
          </w:tcPr>
          <w:p>
            <w:pPr>
              <w:pStyle w:val="32"/>
              <w:widowControl/>
              <w:shd w:val="clear" w:color="auto" w:fill="FFFFFF"/>
              <w:spacing w:before="156" w:after="156" w:line="360" w:lineRule="auto"/>
              <w:ind w:firstLineChars="0"/>
              <w:jc w:val="left"/>
              <w:rPr>
                <w:rFonts w:hint="eastAsia" w:ascii="仿宋_GB2312" w:hAnsi="等线" w:eastAsia="仿宋_GB2312" w:cs="Arial"/>
                <w:color w:val="000000"/>
                <w:kern w:val="2"/>
                <w:sz w:val="24"/>
                <w:szCs w:val="24"/>
                <w:lang w:eastAsia="zh-CN"/>
              </w:rPr>
            </w:pPr>
            <w:r>
              <w:rPr>
                <w:rFonts w:hint="eastAsia" w:ascii="仿宋_GB2312" w:hAnsi="等线" w:eastAsia="仿宋_GB2312" w:cs="Arial"/>
                <w:color w:val="000000"/>
                <w:kern w:val="2"/>
                <w:sz w:val="24"/>
                <w:szCs w:val="24"/>
                <w:lang w:val="en-US" w:eastAsia="zh-CN"/>
              </w:rPr>
              <w:t>根据投标文件内容是否完整、编排是否合理、资料提供是否齐全、文字综合表述是否清楚合理等进行打分， 2.0-0.1分。</w:t>
            </w:r>
          </w:p>
        </w:tc>
      </w:tr>
      <w:bookmarkEnd w:id="1"/>
      <w:bookmarkEnd w:id="2"/>
      <w:bookmarkEnd w:id="3"/>
      <w:bookmarkEnd w:id="4"/>
    </w:tbl>
    <w:p>
      <w:pPr>
        <w:spacing w:line="440" w:lineRule="exact"/>
        <w:rPr>
          <w:rFonts w:ascii="仿宋_GB2312" w:hAnsi="宋体" w:eastAsia="仿宋_GB2312"/>
          <w:b/>
          <w:bCs/>
          <w:iCs/>
          <w:color w:val="000000"/>
          <w:sz w:val="24"/>
        </w:rPr>
      </w:pPr>
      <w:r>
        <w:rPr>
          <w:rFonts w:hint="eastAsia" w:ascii="仿宋_GB2312" w:hAnsi="宋体" w:eastAsia="仿宋_GB2312"/>
          <w:b/>
          <w:bCs/>
          <w:iCs/>
          <w:color w:val="000000"/>
          <w:sz w:val="24"/>
        </w:rPr>
        <w:t>2.2价格分（30分）</w:t>
      </w:r>
    </w:p>
    <w:p>
      <w:pPr>
        <w:spacing w:line="440" w:lineRule="exact"/>
        <w:rPr>
          <w:rFonts w:ascii="仿宋_GB2312" w:hAnsi="宋体" w:eastAsia="仿宋_GB2312"/>
          <w:bCs/>
          <w:iCs/>
          <w:color w:val="000000"/>
          <w:sz w:val="24"/>
        </w:rPr>
      </w:pPr>
      <w:r>
        <w:rPr>
          <w:rFonts w:hint="eastAsia" w:ascii="仿宋_GB2312" w:hAnsi="宋体" w:eastAsia="仿宋_GB2312"/>
          <w:bCs/>
          <w:iCs/>
          <w:color w:val="000000"/>
          <w:sz w:val="24"/>
        </w:rPr>
        <w:t>2.2.1评标基准价：即满足招标文件要求且投标价格最低的投标报价为评标基准价，其价格分为满分。</w:t>
      </w:r>
    </w:p>
    <w:p>
      <w:pPr>
        <w:spacing w:line="440" w:lineRule="exact"/>
        <w:rPr>
          <w:rFonts w:ascii="仿宋_GB2312" w:hAnsi="宋体" w:eastAsia="仿宋_GB2312"/>
          <w:bCs/>
          <w:iCs/>
          <w:color w:val="000000"/>
          <w:sz w:val="24"/>
        </w:rPr>
      </w:pPr>
      <w:r>
        <w:rPr>
          <w:rFonts w:hint="eastAsia" w:ascii="仿宋_GB2312" w:hAnsi="宋体" w:eastAsia="仿宋_GB2312"/>
          <w:bCs/>
          <w:iCs/>
          <w:color w:val="000000"/>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hAnsi="宋体" w:eastAsia="仿宋_GB2312"/>
          <w:bCs/>
          <w:iCs/>
          <w:color w:val="000000"/>
          <w:sz w:val="24"/>
        </w:rPr>
      </w:pPr>
      <w:r>
        <w:rPr>
          <w:rFonts w:hint="eastAsia" w:ascii="仿宋_GB2312" w:hAnsi="宋体" w:eastAsia="仿宋_GB2312"/>
          <w:bCs/>
          <w:iCs/>
          <w:color w:val="000000"/>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hAnsi="宋体" w:eastAsia="仿宋_GB2312"/>
          <w:bCs/>
          <w:iCs/>
          <w:color w:val="000000"/>
          <w:sz w:val="24"/>
        </w:rPr>
      </w:pPr>
      <w:r>
        <w:rPr>
          <w:rFonts w:hint="eastAsia" w:ascii="仿宋_GB2312" w:hAnsi="宋体" w:eastAsia="仿宋_GB2312"/>
          <w:bCs/>
          <w:iCs/>
          <w:color w:val="000000"/>
          <w:sz w:val="24"/>
        </w:rPr>
        <w:t>即：投标报价得分=(评标基准价／投标报价)×30</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Cs w:val="21"/>
      </w:rPr>
      <w:t xml:space="preserve">- </w:t>
    </w:r>
    <w:r>
      <w:rPr>
        <w:szCs w:val="21"/>
      </w:rPr>
      <w:fldChar w:fldCharType="begin"/>
    </w:r>
    <w:r>
      <w:rPr>
        <w:szCs w:val="21"/>
      </w:rPr>
      <w:instrText xml:space="preserve"> PAGE </w:instrText>
    </w:r>
    <w:r>
      <w:rPr>
        <w:szCs w:val="21"/>
      </w:rPr>
      <w:fldChar w:fldCharType="separate"/>
    </w:r>
    <w:r>
      <w:rPr>
        <w:szCs w:val="21"/>
        <w:lang/>
      </w:rPr>
      <w:t>20</w:t>
    </w:r>
    <w:r>
      <w:rPr>
        <w:szCs w:val="21"/>
      </w:rPr>
      <w:fldChar w:fldCharType="end"/>
    </w:r>
    <w:r>
      <w:rPr>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4159AB"/>
    <w:multiLevelType w:val="multilevel"/>
    <w:tmpl w:val="0C4159AB"/>
    <w:lvl w:ilvl="0" w:tentative="0">
      <w:start w:val="1"/>
      <w:numFmt w:val="bullet"/>
      <w:lvlText w:val=""/>
      <w:lvlJc w:val="left"/>
      <w:pPr>
        <w:ind w:left="995" w:hanging="420"/>
      </w:pPr>
      <w:rPr>
        <w:rFonts w:hint="default" w:ascii="Wingdings" w:hAnsi="Wingdings"/>
      </w:rPr>
    </w:lvl>
    <w:lvl w:ilvl="1" w:tentative="0">
      <w:start w:val="1"/>
      <w:numFmt w:val="bullet"/>
      <w:lvlText w:val=""/>
      <w:lvlJc w:val="left"/>
      <w:pPr>
        <w:ind w:left="1415" w:hanging="420"/>
      </w:pPr>
      <w:rPr>
        <w:rFonts w:hint="default" w:ascii="Wingdings" w:hAnsi="Wingdings"/>
      </w:rPr>
    </w:lvl>
    <w:lvl w:ilvl="2" w:tentative="0">
      <w:start w:val="1"/>
      <w:numFmt w:val="bullet"/>
      <w:pStyle w:val="2"/>
      <w:lvlText w:val=""/>
      <w:lvlJc w:val="left"/>
      <w:pPr>
        <w:ind w:left="1835" w:hanging="420"/>
      </w:pPr>
      <w:rPr>
        <w:rFonts w:hint="default" w:ascii="Wingdings" w:hAnsi="Wingdings"/>
      </w:rPr>
    </w:lvl>
    <w:lvl w:ilvl="3" w:tentative="0">
      <w:start w:val="1"/>
      <w:numFmt w:val="bullet"/>
      <w:lvlText w:val=""/>
      <w:lvlJc w:val="left"/>
      <w:pPr>
        <w:ind w:left="2255" w:hanging="420"/>
      </w:pPr>
      <w:rPr>
        <w:rFonts w:hint="default" w:ascii="Wingdings" w:hAnsi="Wingdings"/>
      </w:rPr>
    </w:lvl>
    <w:lvl w:ilvl="4" w:tentative="0">
      <w:start w:val="1"/>
      <w:numFmt w:val="bullet"/>
      <w:lvlText w:val=""/>
      <w:lvlJc w:val="left"/>
      <w:pPr>
        <w:ind w:left="2675" w:hanging="420"/>
      </w:pPr>
      <w:rPr>
        <w:rFonts w:hint="default" w:ascii="Wingdings" w:hAnsi="Wingdings"/>
      </w:rPr>
    </w:lvl>
    <w:lvl w:ilvl="5" w:tentative="0">
      <w:start w:val="1"/>
      <w:numFmt w:val="bullet"/>
      <w:lvlText w:val=""/>
      <w:lvlJc w:val="left"/>
      <w:pPr>
        <w:ind w:left="3095" w:hanging="420"/>
      </w:pPr>
      <w:rPr>
        <w:rFonts w:hint="default" w:ascii="Wingdings" w:hAnsi="Wingdings"/>
      </w:rPr>
    </w:lvl>
    <w:lvl w:ilvl="6" w:tentative="0">
      <w:start w:val="1"/>
      <w:numFmt w:val="bullet"/>
      <w:lvlText w:val=""/>
      <w:lvlJc w:val="left"/>
      <w:pPr>
        <w:ind w:left="3515" w:hanging="420"/>
      </w:pPr>
      <w:rPr>
        <w:rFonts w:hint="default" w:ascii="Wingdings" w:hAnsi="Wingdings"/>
      </w:rPr>
    </w:lvl>
    <w:lvl w:ilvl="7" w:tentative="0">
      <w:start w:val="1"/>
      <w:numFmt w:val="bullet"/>
      <w:lvlText w:val=""/>
      <w:lvlJc w:val="left"/>
      <w:pPr>
        <w:ind w:left="3935" w:hanging="420"/>
      </w:pPr>
      <w:rPr>
        <w:rFonts w:hint="default" w:ascii="Wingdings" w:hAnsi="Wingdings"/>
      </w:rPr>
    </w:lvl>
    <w:lvl w:ilvl="8" w:tentative="0">
      <w:start w:val="1"/>
      <w:numFmt w:val="bullet"/>
      <w:lvlText w:val=""/>
      <w:lvlJc w:val="left"/>
      <w:pPr>
        <w:ind w:left="4355" w:hanging="420"/>
      </w:pPr>
      <w:rPr>
        <w:rFonts w:hint="default" w:ascii="Wingdings" w:hAnsi="Wingdings"/>
      </w:rPr>
    </w:lvl>
  </w:abstractNum>
  <w:abstractNum w:abstractNumId="1">
    <w:nsid w:val="43740B8A"/>
    <w:multiLevelType w:val="multilevel"/>
    <w:tmpl w:val="43740B8A"/>
    <w:lvl w:ilvl="0" w:tentative="0">
      <w:start w:val="1"/>
      <w:numFmt w:val="chineseCountingThousand"/>
      <w:suff w:val="space"/>
      <w:lvlText w:val="第%1章"/>
      <w:lvlJc w:val="left"/>
      <w:pPr>
        <w:ind w:left="0" w:firstLine="0"/>
      </w:pPr>
      <w:rPr>
        <w:rFonts w:hint="default" w:ascii="Times New Roman" w:hAnsi="Times New Roman" w:eastAsia="宋体" w:cs="Times New Roman"/>
        <w:b/>
        <w:i w:val="0"/>
        <w:sz w:val="36"/>
      </w:rPr>
    </w:lvl>
    <w:lvl w:ilvl="1" w:tentative="0">
      <w:start w:val="1"/>
      <w:numFmt w:val="decimal"/>
      <w:isLgl/>
      <w:suff w:val="space"/>
      <w:lvlText w:val="%1.%2."/>
      <w:lvlJc w:val="left"/>
      <w:pPr>
        <w:ind w:left="0" w:firstLine="0"/>
      </w:pPr>
      <w:rPr>
        <w:rFonts w:hint="default" w:ascii="Times New Roman" w:hAnsi="Times New Roman" w:eastAsia="宋体" w:cs="Times New Roman"/>
        <w:b/>
        <w:i w:val="0"/>
        <w:sz w:val="28"/>
      </w:rPr>
    </w:lvl>
    <w:lvl w:ilvl="2" w:tentative="0">
      <w:start w:val="1"/>
      <w:numFmt w:val="decimal"/>
      <w:isLgl/>
      <w:suff w:val="space"/>
      <w:lvlText w:val="%1.%2.%3."/>
      <w:lvlJc w:val="left"/>
      <w:pPr>
        <w:ind w:left="0" w:firstLine="0"/>
      </w:pPr>
      <w:rPr>
        <w:rFonts w:hint="default" w:ascii="Times New Roman" w:hAnsi="Times New Roman" w:eastAsia="宋体" w:cs="Times New Roman"/>
        <w:b/>
        <w:i w:val="0"/>
        <w:sz w:val="28"/>
      </w:rPr>
    </w:lvl>
    <w:lvl w:ilvl="3" w:tentative="0">
      <w:start w:val="1"/>
      <w:numFmt w:val="decimal"/>
      <w:isLgl/>
      <w:suff w:val="space"/>
      <w:lvlText w:val="%1.%2.%3.%4."/>
      <w:lvlJc w:val="left"/>
      <w:pPr>
        <w:ind w:left="0" w:firstLine="0"/>
      </w:pPr>
      <w:rPr>
        <w:rFonts w:hint="default" w:ascii="Times New Roman" w:hAnsi="Times New Roman" w:eastAsia="宋体" w:cs="Times New Roman"/>
        <w:b/>
        <w:i w:val="0"/>
        <w:sz w:val="24"/>
      </w:rPr>
    </w:lvl>
    <w:lvl w:ilvl="4" w:tentative="0">
      <w:start w:val="1"/>
      <w:numFmt w:val="decimal"/>
      <w:isLgl/>
      <w:suff w:val="space"/>
      <w:lvlText w:val="%1.%2.%3.%4.%5."/>
      <w:lvlJc w:val="left"/>
      <w:pPr>
        <w:ind w:left="0" w:firstLine="0"/>
      </w:pPr>
      <w:rPr>
        <w:rFonts w:hint="default" w:ascii="Times New Roman" w:hAnsi="Times New Roman" w:eastAsia="宋体" w:cs="Times New Roman"/>
        <w:b/>
        <w:i w:val="0"/>
        <w:sz w:val="24"/>
      </w:rPr>
    </w:lvl>
    <w:lvl w:ilvl="5" w:tentative="0">
      <w:start w:val="1"/>
      <w:numFmt w:val="decimal"/>
      <w:isLgl/>
      <w:suff w:val="space"/>
      <w:lvlText w:val="%1.%2.%3.%4.%5.%6."/>
      <w:lvlJc w:val="left"/>
      <w:pPr>
        <w:ind w:left="0" w:firstLine="0"/>
      </w:pPr>
      <w:rPr>
        <w:rFonts w:hint="default" w:ascii="Times New Roman" w:hAnsi="Times New Roman" w:eastAsia="宋体" w:cs="Times New Roman"/>
        <w:b/>
        <w:i w:val="0"/>
        <w:sz w:val="24"/>
      </w:rPr>
    </w:lvl>
    <w:lvl w:ilvl="6" w:tentative="0">
      <w:start w:val="1"/>
      <w:numFmt w:val="decimal"/>
      <w:isLgl/>
      <w:suff w:val="space"/>
      <w:lvlText w:val="%1.%2.%3.%4.%5.%6.%7."/>
      <w:lvlJc w:val="left"/>
      <w:pPr>
        <w:ind w:left="0" w:firstLine="0"/>
      </w:pPr>
      <w:rPr>
        <w:rFonts w:hint="default" w:ascii="Times New Roman" w:hAnsi="Times New Roman" w:eastAsia="宋体" w:cs="Times New Roman"/>
        <w:b/>
        <w:i w:val="0"/>
        <w:sz w:val="24"/>
      </w:rPr>
    </w:lvl>
    <w:lvl w:ilvl="7" w:tentative="0">
      <w:start w:val="1"/>
      <w:numFmt w:val="decimal"/>
      <w:isLgl/>
      <w:suff w:val="space"/>
      <w:lvlText w:val="%1.%2.%3.%4.%5.%6.%7.%8."/>
      <w:lvlJc w:val="left"/>
      <w:pPr>
        <w:ind w:left="0" w:firstLine="0"/>
      </w:pPr>
      <w:rPr>
        <w:rFonts w:hint="default" w:ascii="Times New Roman" w:hAnsi="Times New Roman" w:eastAsia="宋体" w:cs="Times New Roman"/>
        <w:b/>
        <w:i w:val="0"/>
        <w:sz w:val="24"/>
      </w:rPr>
    </w:lvl>
    <w:lvl w:ilvl="8" w:tentative="0">
      <w:start w:val="1"/>
      <w:numFmt w:val="decimal"/>
      <w:isLgl/>
      <w:suff w:val="space"/>
      <w:lvlText w:val="%1.%2.%3.%4.%5.%6.%7.%8.%9."/>
      <w:lvlJc w:val="left"/>
      <w:pPr>
        <w:ind w:left="0" w:firstLine="0"/>
      </w:pPr>
      <w:rPr>
        <w:rFonts w:hint="default" w:ascii="Times New Roman" w:hAnsi="Times New Roman" w:eastAsia="宋体" w:cs="Times New Roman"/>
        <w:b/>
        <w:i w:val="0"/>
        <w:sz w:val="24"/>
      </w:rPr>
    </w:lvl>
  </w:abstractNum>
  <w:abstractNum w:abstractNumId="2">
    <w:nsid w:val="4F647A53"/>
    <w:multiLevelType w:val="multilevel"/>
    <w:tmpl w:val="4F647A53"/>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lvlOverride w:ilvl="0">
      <w:lvl w:ilvl="0" w:tentative="1">
        <w:start w:val="1"/>
        <w:numFmt w:val="decimal"/>
        <w:suff w:val="space"/>
        <w:lvlText w:val="第%1章"/>
        <w:lvlJc w:val="left"/>
        <w:pPr>
          <w:ind w:left="0" w:firstLine="0"/>
        </w:pPr>
        <w:rPr>
          <w:rFonts w:hint="default" w:ascii="Times New Roman" w:hAnsi="Times New Roman" w:eastAsia="黑体" w:cs="Times New Roman"/>
          <w:b/>
          <w:i w:val="0"/>
          <w:sz w:val="44"/>
          <w:lang w:val="en-US"/>
        </w:rPr>
      </w:lvl>
    </w:lvlOverride>
    <w:lvlOverride w:ilvl="1">
      <w:lvl w:ilvl="1" w:tentative="1">
        <w:start w:val="1"/>
        <w:numFmt w:val="decimal"/>
        <w:isLgl/>
        <w:suff w:val="space"/>
        <w:lvlText w:val="%1.%2."/>
        <w:lvlJc w:val="left"/>
        <w:pPr>
          <w:ind w:left="0" w:firstLine="0"/>
        </w:pPr>
        <w:rPr>
          <w:rFonts w:hint="default" w:ascii="Times New Roman" w:hAnsi="Times New Roman" w:eastAsia="宋体" w:cs="Times New Roman"/>
          <w:b/>
          <w:i w:val="0"/>
          <w:sz w:val="36"/>
        </w:rPr>
      </w:lvl>
    </w:lvlOverride>
    <w:lvlOverride w:ilvl="2">
      <w:lvl w:ilvl="2" w:tentative="1">
        <w:start w:val="1"/>
        <w:numFmt w:val="decimal"/>
        <w:pStyle w:val="20"/>
        <w:isLgl/>
        <w:suff w:val="space"/>
        <w:lvlText w:val="%1.%2.%3."/>
        <w:lvlJc w:val="left"/>
        <w:pPr>
          <w:ind w:left="0" w:firstLine="0"/>
        </w:pPr>
        <w:rPr>
          <w:rFonts w:hint="default" w:ascii="Times New Roman" w:hAnsi="Times New Roman" w:eastAsia="宋体" w:cs="Times New Roman"/>
          <w:b/>
          <w:i w:val="0"/>
          <w:sz w:val="32"/>
        </w:rPr>
      </w:lvl>
    </w:lvlOverride>
    <w:lvlOverride w:ilvl="3">
      <w:lvl w:ilvl="3" w:tentative="1">
        <w:start w:val="1"/>
        <w:numFmt w:val="decimal"/>
        <w:isLgl/>
        <w:suff w:val="space"/>
        <w:lvlText w:val="%1.%2.%3.%4."/>
        <w:lvlJc w:val="left"/>
        <w:pPr>
          <w:ind w:left="0" w:firstLine="0"/>
        </w:pPr>
        <w:rPr>
          <w:rFonts w:hint="default" w:ascii="Times New Roman" w:hAnsi="Times New Roman" w:eastAsia="宋体" w:cs="Times New Roman"/>
          <w:b/>
          <w:i w:val="0"/>
          <w:sz w:val="30"/>
        </w:rPr>
      </w:lvl>
    </w:lvlOverride>
    <w:lvlOverride w:ilvl="4">
      <w:lvl w:ilvl="4" w:tentative="1">
        <w:start w:val="1"/>
        <w:numFmt w:val="decimal"/>
        <w:pStyle w:val="19"/>
        <w:isLgl/>
        <w:suff w:val="space"/>
        <w:lvlText w:val="%1.%2.%3.%4.%5."/>
        <w:lvlJc w:val="left"/>
        <w:pPr>
          <w:ind w:left="0" w:firstLine="0"/>
        </w:pPr>
        <w:rPr>
          <w:rFonts w:hint="default" w:ascii="Times New Roman" w:hAnsi="Times New Roman" w:eastAsia="宋体" w:cs="Times New Roman"/>
          <w:b/>
          <w:i w:val="0"/>
          <w:sz w:val="28"/>
        </w:rPr>
      </w:lvl>
    </w:lvlOverride>
    <w:lvlOverride w:ilvl="5">
      <w:lvl w:ilvl="5" w:tentative="1">
        <w:start w:val="1"/>
        <w:numFmt w:val="decimal"/>
        <w:isLgl/>
        <w:suff w:val="space"/>
        <w:lvlText w:val="%1.%2.%3.%4.%5.%6."/>
        <w:lvlJc w:val="left"/>
        <w:pPr>
          <w:ind w:left="0" w:firstLine="0"/>
        </w:pPr>
        <w:rPr>
          <w:rFonts w:hint="default" w:ascii="Times New Roman" w:hAnsi="Times New Roman" w:eastAsia="宋体" w:cs="Times New Roman"/>
          <w:b/>
          <w:i w:val="0"/>
          <w:sz w:val="24"/>
        </w:rPr>
      </w:lvl>
    </w:lvlOverride>
    <w:lvlOverride w:ilvl="6">
      <w:lvl w:ilvl="6" w:tentative="1">
        <w:start w:val="1"/>
        <w:numFmt w:val="decimal"/>
        <w:isLgl/>
        <w:suff w:val="space"/>
        <w:lvlText w:val="%1.%2.%3.%4.%5.%6.%7."/>
        <w:lvlJc w:val="left"/>
        <w:pPr>
          <w:ind w:left="0" w:firstLine="0"/>
        </w:pPr>
        <w:rPr>
          <w:rFonts w:hint="default" w:ascii="Times New Roman" w:hAnsi="Times New Roman" w:eastAsia="宋体" w:cs="Times New Roman"/>
          <w:b/>
          <w:i w:val="0"/>
          <w:sz w:val="24"/>
        </w:rPr>
      </w:lvl>
    </w:lvlOverride>
    <w:lvlOverride w:ilvl="7">
      <w:lvl w:ilvl="7" w:tentative="1">
        <w:start w:val="1"/>
        <w:numFmt w:val="decimal"/>
        <w:isLgl/>
        <w:suff w:val="space"/>
        <w:lvlText w:val="%1.%2.%3.%4.%5.%6.%7.%8."/>
        <w:lvlJc w:val="left"/>
        <w:pPr>
          <w:ind w:left="0" w:firstLine="0"/>
        </w:pPr>
        <w:rPr>
          <w:rFonts w:hint="default" w:ascii="Times New Roman" w:hAnsi="Times New Roman" w:eastAsia="宋体" w:cs="Times New Roman"/>
          <w:b/>
          <w:i w:val="0"/>
          <w:sz w:val="24"/>
        </w:rPr>
      </w:lvl>
    </w:lvlOverride>
    <w:lvlOverride w:ilvl="8">
      <w:lvl w:ilvl="8" w:tentative="1">
        <w:start w:val="1"/>
        <w:numFmt w:val="decimal"/>
        <w:isLgl/>
        <w:suff w:val="space"/>
        <w:lvlText w:val="%1.%2.%3.%4.%5.%6.%7.%8.%9."/>
        <w:lvlJc w:val="left"/>
        <w:pPr>
          <w:ind w:left="0" w:firstLine="0"/>
        </w:pPr>
        <w:rPr>
          <w:rFonts w:hint="default" w:ascii="Times New Roman" w:hAnsi="Times New Roman" w:eastAsia="宋体" w:cs="Times New Roman"/>
          <w:b/>
          <w:i w:val="0"/>
          <w:sz w:val="24"/>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B09"/>
    <w:rsid w:val="000620C3"/>
    <w:rsid w:val="00115FDE"/>
    <w:rsid w:val="00180538"/>
    <w:rsid w:val="001940BE"/>
    <w:rsid w:val="001A40BB"/>
    <w:rsid w:val="001C776C"/>
    <w:rsid w:val="00243868"/>
    <w:rsid w:val="00317B09"/>
    <w:rsid w:val="00365106"/>
    <w:rsid w:val="003C5F96"/>
    <w:rsid w:val="00440373"/>
    <w:rsid w:val="0053712C"/>
    <w:rsid w:val="005C481F"/>
    <w:rsid w:val="005E3B7D"/>
    <w:rsid w:val="006212C1"/>
    <w:rsid w:val="006359EA"/>
    <w:rsid w:val="006773EF"/>
    <w:rsid w:val="006D5DCD"/>
    <w:rsid w:val="00716CC5"/>
    <w:rsid w:val="00807791"/>
    <w:rsid w:val="00887D4E"/>
    <w:rsid w:val="008B6C9F"/>
    <w:rsid w:val="00967CFA"/>
    <w:rsid w:val="009D4A47"/>
    <w:rsid w:val="00A44F6E"/>
    <w:rsid w:val="00BE1544"/>
    <w:rsid w:val="00C23B06"/>
    <w:rsid w:val="00C345EF"/>
    <w:rsid w:val="00C37890"/>
    <w:rsid w:val="00C87279"/>
    <w:rsid w:val="00D349B9"/>
    <w:rsid w:val="00D50FA1"/>
    <w:rsid w:val="00E9560F"/>
    <w:rsid w:val="00F120EF"/>
    <w:rsid w:val="10D95299"/>
    <w:rsid w:val="1CA915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adjustRightInd w:val="0"/>
      <w:jc w:val="both"/>
    </w:pPr>
    <w:rPr>
      <w:rFonts w:ascii="Times New Roman" w:hAnsi="Times New Roman" w:eastAsia="宋体"/>
      <w:kern w:val="2"/>
      <w:sz w:val="21"/>
      <w:szCs w:val="24"/>
      <w:lang w:val="en-US" w:eastAsia="zh-CN" w:bidi="ar-SA"/>
    </w:rPr>
  </w:style>
  <w:style w:type="paragraph" w:styleId="2">
    <w:name w:val="heading 3"/>
    <w:basedOn w:val="1"/>
    <w:next w:val="1"/>
    <w:link w:val="15"/>
    <w:semiHidden/>
    <w:unhideWhenUsed/>
    <w:qFormat/>
    <w:uiPriority w:val="0"/>
    <w:pPr>
      <w:keepNext/>
      <w:keepLines/>
      <w:numPr>
        <w:ilvl w:val="2"/>
        <w:numId w:val="1"/>
      </w:numPr>
      <w:tabs>
        <w:tab w:val="left" w:pos="900"/>
      </w:tabs>
      <w:spacing w:before="260" w:after="260" w:line="415" w:lineRule="auto"/>
      <w:outlineLvl w:val="2"/>
    </w:pPr>
    <w:rPr>
      <w:b/>
      <w:bCs/>
      <w:kern w:val="0"/>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Style w:val="11"/>
      <w:tblCellMar>
        <w:top w:w="0" w:type="dxa"/>
        <w:left w:w="108" w:type="dxa"/>
        <w:bottom w:w="0" w:type="dxa"/>
        <w:right w:w="108" w:type="dxa"/>
      </w:tblCellMar>
    </w:tblPr>
    <w:trPr>
      <w:wBefore w:w="0" w:type="dxa"/>
    </w:trPr>
  </w:style>
  <w:style w:type="paragraph" w:styleId="3">
    <w:name w:val="Normal Indent"/>
    <w:basedOn w:val="1"/>
    <w:semiHidden/>
    <w:unhideWhenUsed/>
    <w:qFormat/>
    <w:uiPriority w:val="0"/>
    <w:pPr>
      <w:widowControl/>
      <w:snapToGrid w:val="0"/>
      <w:spacing w:line="480" w:lineRule="exact"/>
      <w:ind w:firstLine="567"/>
    </w:pPr>
    <w:rPr>
      <w:rFonts w:ascii="宋体"/>
      <w:color w:val="000000"/>
      <w:kern w:val="28"/>
      <w:sz w:val="28"/>
      <w:szCs w:val="20"/>
    </w:rPr>
  </w:style>
  <w:style w:type="paragraph" w:styleId="4">
    <w:name w:val="annotation text"/>
    <w:basedOn w:val="1"/>
    <w:link w:val="34"/>
    <w:semiHidden/>
    <w:unhideWhenUsed/>
    <w:uiPriority w:val="99"/>
    <w:pPr>
      <w:jc w:val="left"/>
    </w:pPr>
  </w:style>
  <w:style w:type="paragraph" w:styleId="5">
    <w:name w:val="Body Text Indent"/>
    <w:basedOn w:val="1"/>
    <w:link w:val="28"/>
    <w:qFormat/>
    <w:uiPriority w:val="0"/>
    <w:pPr>
      <w:adjustRightInd/>
      <w:spacing w:after="120"/>
      <w:ind w:left="420" w:leftChars="200"/>
    </w:pPr>
    <w:rPr>
      <w:kern w:val="0"/>
      <w:sz w:val="20"/>
    </w:rPr>
  </w:style>
  <w:style w:type="paragraph" w:styleId="6">
    <w:name w:val="Plain Text"/>
    <w:basedOn w:val="1"/>
    <w:link w:val="30"/>
    <w:qFormat/>
    <w:uiPriority w:val="0"/>
    <w:pPr>
      <w:adjustRightInd/>
    </w:pPr>
    <w:rPr>
      <w:rFonts w:ascii="宋体" w:hAnsi="Courier New"/>
      <w:kern w:val="0"/>
      <w:sz w:val="20"/>
      <w:szCs w:val="20"/>
    </w:rPr>
  </w:style>
  <w:style w:type="paragraph" w:styleId="7">
    <w:name w:val="Balloon Text"/>
    <w:basedOn w:val="1"/>
    <w:link w:val="36"/>
    <w:semiHidden/>
    <w:unhideWhenUsed/>
    <w:uiPriority w:val="99"/>
    <w:rPr>
      <w:sz w:val="18"/>
      <w:szCs w:val="18"/>
    </w:rPr>
  </w:style>
  <w:style w:type="paragraph" w:styleId="8">
    <w:name w:val="footer"/>
    <w:basedOn w:val="1"/>
    <w:link w:val="27"/>
    <w:unhideWhenUsed/>
    <w:qFormat/>
    <w:uiPriority w:val="0"/>
    <w:pPr>
      <w:tabs>
        <w:tab w:val="center" w:pos="4153"/>
        <w:tab w:val="right" w:pos="8306"/>
      </w:tabs>
      <w:snapToGrid w:val="0"/>
      <w:jc w:val="left"/>
    </w:pPr>
    <w:rPr>
      <w:kern w:val="0"/>
      <w:sz w:val="18"/>
      <w:szCs w:val="18"/>
    </w:rPr>
  </w:style>
  <w:style w:type="paragraph" w:styleId="9">
    <w:name w:val="header"/>
    <w:basedOn w:val="1"/>
    <w:link w:val="2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annotation subject"/>
    <w:basedOn w:val="4"/>
    <w:next w:val="4"/>
    <w:link w:val="35"/>
    <w:semiHidden/>
    <w:unhideWhenUsed/>
    <w:uiPriority w:val="99"/>
    <w:rPr>
      <w:b/>
      <w:bCs/>
    </w:rPr>
  </w:style>
  <w:style w:type="character" w:styleId="13">
    <w:name w:val="page number"/>
    <w:basedOn w:val="12"/>
    <w:qFormat/>
    <w:uiPriority w:val="0"/>
  </w:style>
  <w:style w:type="character" w:styleId="14">
    <w:name w:val="annotation reference"/>
    <w:semiHidden/>
    <w:unhideWhenUsed/>
    <w:uiPriority w:val="99"/>
    <w:rPr>
      <w:sz w:val="21"/>
      <w:szCs w:val="21"/>
    </w:rPr>
  </w:style>
  <w:style w:type="character" w:customStyle="1" w:styleId="15">
    <w:name w:val="标题 3 字符"/>
    <w:link w:val="2"/>
    <w:semiHidden/>
    <w:uiPriority w:val="0"/>
    <w:rPr>
      <w:rFonts w:ascii="Times New Roman" w:hAnsi="Times New Roman" w:eastAsia="宋体" w:cs="Times New Roman"/>
      <w:b/>
      <w:bCs/>
      <w:sz w:val="32"/>
      <w:szCs w:val="32"/>
    </w:rPr>
  </w:style>
  <w:style w:type="character" w:customStyle="1" w:styleId="16">
    <w:name w:val="__正文 Char"/>
    <w:link w:val="17"/>
    <w:locked/>
    <w:uiPriority w:val="0"/>
    <w:rPr>
      <w:rFonts w:ascii="Calibri" w:hAnsi="Calibri" w:cs="Calibri"/>
      <w:kern w:val="2"/>
      <w:sz w:val="24"/>
      <w:szCs w:val="21"/>
      <w:lang w:val="en-US" w:eastAsia="zh-CN" w:bidi="ar-SA"/>
    </w:rPr>
  </w:style>
  <w:style w:type="paragraph" w:customStyle="1" w:styleId="17">
    <w:name w:val="__正文"/>
    <w:link w:val="16"/>
    <w:qFormat/>
    <w:uiPriority w:val="0"/>
    <w:pPr>
      <w:spacing w:line="360" w:lineRule="auto"/>
      <w:ind w:firstLine="200" w:firstLineChars="200"/>
    </w:pPr>
    <w:rPr>
      <w:rFonts w:ascii="Calibri" w:hAnsi="Calibri" w:cs="Calibri"/>
      <w:kern w:val="2"/>
      <w:sz w:val="24"/>
      <w:szCs w:val="21"/>
      <w:lang w:val="en-US" w:eastAsia="zh-CN" w:bidi="ar-SA"/>
    </w:rPr>
  </w:style>
  <w:style w:type="character" w:customStyle="1" w:styleId="18">
    <w:name w:val="_标题5 Char"/>
    <w:link w:val="19"/>
    <w:locked/>
    <w:uiPriority w:val="0"/>
    <w:rPr>
      <w:rFonts w:ascii="Calibri" w:hAnsi="Calibri" w:cs="Calibri"/>
      <w:b/>
      <w:sz w:val="28"/>
      <w:szCs w:val="21"/>
    </w:rPr>
  </w:style>
  <w:style w:type="paragraph" w:customStyle="1" w:styleId="19">
    <w:name w:val="_标题5"/>
    <w:basedOn w:val="17"/>
    <w:next w:val="17"/>
    <w:link w:val="18"/>
    <w:qFormat/>
    <w:uiPriority w:val="0"/>
    <w:pPr>
      <w:numPr>
        <w:ilvl w:val="4"/>
        <w:numId w:val="2"/>
      </w:numPr>
      <w:spacing w:beforeLines="50" w:afterLines="50"/>
      <w:ind w:firstLineChars="0"/>
      <w:outlineLvl w:val="4"/>
    </w:pPr>
    <w:rPr>
      <w:rFonts w:cs="Times New Roman"/>
      <w:b/>
      <w:kern w:val="0"/>
      <w:sz w:val="28"/>
    </w:rPr>
  </w:style>
  <w:style w:type="paragraph" w:customStyle="1" w:styleId="20">
    <w:name w:val="_标题3"/>
    <w:basedOn w:val="17"/>
    <w:next w:val="17"/>
    <w:link w:val="21"/>
    <w:qFormat/>
    <w:uiPriority w:val="0"/>
    <w:pPr>
      <w:widowControl w:val="0"/>
      <w:numPr>
        <w:ilvl w:val="2"/>
        <w:numId w:val="2"/>
      </w:numPr>
      <w:spacing w:beforeLines="50" w:afterLines="50"/>
      <w:ind w:firstLineChars="0"/>
      <w:outlineLvl w:val="2"/>
    </w:pPr>
    <w:rPr>
      <w:rFonts w:cs="Times New Roman"/>
      <w:b/>
      <w:kern w:val="0"/>
      <w:sz w:val="32"/>
    </w:rPr>
  </w:style>
  <w:style w:type="character" w:customStyle="1" w:styleId="21">
    <w:name w:val="_标题3 Char"/>
    <w:link w:val="20"/>
    <w:locked/>
    <w:uiPriority w:val="0"/>
    <w:rPr>
      <w:rFonts w:ascii="Calibri" w:hAnsi="Calibri" w:cs="Calibri"/>
      <w:b/>
      <w:sz w:val="32"/>
      <w:szCs w:val="21"/>
    </w:rPr>
  </w:style>
  <w:style w:type="paragraph" w:customStyle="1" w:styleId="22">
    <w:name w:val="_标题4"/>
    <w:basedOn w:val="17"/>
    <w:next w:val="17"/>
    <w:link w:val="23"/>
    <w:qFormat/>
    <w:uiPriority w:val="0"/>
    <w:pPr>
      <w:widowControl w:val="0"/>
      <w:spacing w:beforeLines="50" w:afterLines="50"/>
      <w:ind w:left="150" w:leftChars="150" w:firstLineChars="0"/>
      <w:outlineLvl w:val="3"/>
    </w:pPr>
    <w:rPr>
      <w:rFonts w:cs="Times New Roman"/>
      <w:b/>
      <w:kern w:val="0"/>
      <w:sz w:val="30"/>
    </w:rPr>
  </w:style>
  <w:style w:type="character" w:customStyle="1" w:styleId="23">
    <w:name w:val="_标题4 Char"/>
    <w:link w:val="22"/>
    <w:locked/>
    <w:uiPriority w:val="0"/>
    <w:rPr>
      <w:rFonts w:ascii="Calibri" w:hAnsi="Calibri" w:cs="Calibri"/>
      <w:b/>
      <w:sz w:val="30"/>
      <w:szCs w:val="21"/>
    </w:rPr>
  </w:style>
  <w:style w:type="paragraph" w:customStyle="1" w:styleId="24">
    <w:name w:val="_标题2"/>
    <w:basedOn w:val="17"/>
    <w:next w:val="17"/>
    <w:qFormat/>
    <w:uiPriority w:val="0"/>
    <w:pPr>
      <w:widowControl w:val="0"/>
      <w:spacing w:beforeLines="50" w:afterLines="50"/>
      <w:ind w:firstLineChars="0"/>
      <w:outlineLvl w:val="1"/>
    </w:pPr>
    <w:rPr>
      <w:b/>
      <w:sz w:val="36"/>
    </w:rPr>
  </w:style>
  <w:style w:type="paragraph" w:customStyle="1" w:styleId="25">
    <w:name w:val="_标题1"/>
    <w:basedOn w:val="17"/>
    <w:next w:val="17"/>
    <w:qFormat/>
    <w:uiPriority w:val="0"/>
    <w:pPr>
      <w:widowControl w:val="0"/>
      <w:spacing w:beforeLines="50" w:afterLines="50"/>
      <w:ind w:left="425" w:hanging="425" w:firstLineChars="0"/>
      <w:outlineLvl w:val="0"/>
    </w:pPr>
    <w:rPr>
      <w:rFonts w:eastAsia="黑体"/>
      <w:b/>
      <w:sz w:val="44"/>
    </w:rPr>
  </w:style>
  <w:style w:type="character" w:customStyle="1" w:styleId="26">
    <w:name w:val="页眉 字符"/>
    <w:link w:val="9"/>
    <w:qFormat/>
    <w:uiPriority w:val="0"/>
    <w:rPr>
      <w:rFonts w:ascii="Times New Roman" w:hAnsi="Times New Roman" w:eastAsia="宋体" w:cs="Times New Roman"/>
      <w:sz w:val="18"/>
      <w:szCs w:val="18"/>
    </w:rPr>
  </w:style>
  <w:style w:type="character" w:customStyle="1" w:styleId="27">
    <w:name w:val="页脚 字符"/>
    <w:link w:val="8"/>
    <w:uiPriority w:val="0"/>
    <w:rPr>
      <w:rFonts w:ascii="Times New Roman" w:hAnsi="Times New Roman" w:eastAsia="宋体" w:cs="Times New Roman"/>
      <w:sz w:val="18"/>
      <w:szCs w:val="18"/>
    </w:rPr>
  </w:style>
  <w:style w:type="character" w:customStyle="1" w:styleId="28">
    <w:name w:val="正文文本缩进 字符"/>
    <w:link w:val="5"/>
    <w:qFormat/>
    <w:uiPriority w:val="0"/>
    <w:rPr>
      <w:rFonts w:ascii="Times New Roman" w:hAnsi="Times New Roman" w:eastAsia="宋体" w:cs="Times New Roman"/>
      <w:szCs w:val="24"/>
    </w:rPr>
  </w:style>
  <w:style w:type="character" w:customStyle="1" w:styleId="29">
    <w:name w:val="纯文本 字符"/>
    <w:semiHidden/>
    <w:uiPriority w:val="99"/>
    <w:rPr>
      <w:rFonts w:ascii="等线" w:hAnsi="Courier New" w:cs="Courier New"/>
      <w:szCs w:val="24"/>
    </w:rPr>
  </w:style>
  <w:style w:type="character" w:customStyle="1" w:styleId="30">
    <w:name w:val="纯文本 字符1"/>
    <w:link w:val="6"/>
    <w:qFormat/>
    <w:uiPriority w:val="0"/>
    <w:rPr>
      <w:rFonts w:ascii="宋体" w:hAnsi="Courier New" w:eastAsia="宋体" w:cs="Times New Roman"/>
      <w:szCs w:val="20"/>
    </w:rPr>
  </w:style>
  <w:style w:type="paragraph" w:styleId="31">
    <w:name w:val="List Paragraph"/>
    <w:basedOn w:val="1"/>
    <w:qFormat/>
    <w:uiPriority w:val="34"/>
    <w:pPr>
      <w:widowControl/>
      <w:adjustRightInd/>
      <w:spacing w:after="200" w:line="276" w:lineRule="auto"/>
      <w:ind w:left="720"/>
      <w:contextualSpacing/>
      <w:jc w:val="left"/>
    </w:pPr>
    <w:rPr>
      <w:rFonts w:ascii="Calibri" w:hAnsi="Calibri"/>
      <w:kern w:val="0"/>
      <w:sz w:val="22"/>
      <w:szCs w:val="22"/>
    </w:rPr>
  </w:style>
  <w:style w:type="paragraph" w:customStyle="1" w:styleId="32">
    <w:name w:val="lp1"/>
    <w:basedOn w:val="1"/>
    <w:next w:val="31"/>
    <w:link w:val="33"/>
    <w:qFormat/>
    <w:uiPriority w:val="0"/>
    <w:pPr>
      <w:adjustRightInd/>
      <w:ind w:firstLine="420" w:firstLineChars="200"/>
    </w:pPr>
    <w:rPr>
      <w:rFonts w:ascii="Calibri" w:hAnsi="Calibri"/>
      <w:kern w:val="0"/>
      <w:sz w:val="20"/>
      <w:szCs w:val="20"/>
    </w:rPr>
  </w:style>
  <w:style w:type="character" w:customStyle="1" w:styleId="33">
    <w:name w:val="列出段落 字符"/>
    <w:link w:val="32"/>
    <w:qFormat/>
    <w:locked/>
    <w:uiPriority w:val="0"/>
    <w:rPr>
      <w:rFonts w:ascii="Calibri" w:hAnsi="Calibri" w:eastAsia="宋体" w:cs="Times New Roman"/>
    </w:rPr>
  </w:style>
  <w:style w:type="character" w:customStyle="1" w:styleId="34">
    <w:name w:val="批注文字 字符"/>
    <w:link w:val="4"/>
    <w:semiHidden/>
    <w:uiPriority w:val="99"/>
    <w:rPr>
      <w:rFonts w:ascii="Times New Roman" w:hAnsi="Times New Roman" w:eastAsia="宋体"/>
      <w:kern w:val="2"/>
      <w:sz w:val="21"/>
      <w:szCs w:val="24"/>
    </w:rPr>
  </w:style>
  <w:style w:type="character" w:customStyle="1" w:styleId="35">
    <w:name w:val="批注主题 字符"/>
    <w:link w:val="10"/>
    <w:semiHidden/>
    <w:uiPriority w:val="99"/>
    <w:rPr>
      <w:rFonts w:ascii="Times New Roman" w:hAnsi="Times New Roman" w:eastAsia="宋体"/>
      <w:b/>
      <w:bCs/>
      <w:kern w:val="2"/>
      <w:sz w:val="21"/>
      <w:szCs w:val="24"/>
    </w:rPr>
  </w:style>
  <w:style w:type="character" w:customStyle="1" w:styleId="36">
    <w:name w:val="批注框文本 字符"/>
    <w:link w:val="7"/>
    <w:semiHidden/>
    <w:uiPriority w:val="99"/>
    <w:rPr>
      <w:rFonts w:ascii="Times New Roman" w:hAnsi="Times New Roman" w:eastAsia="宋体"/>
      <w:kern w:val="2"/>
      <w:sz w:val="18"/>
      <w:szCs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numbering.xml" Type="http://schemas.openxmlformats.org/officeDocument/2006/relationships/numbering"/><Relationship Id="rId7"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2386</Words>
  <Characters>13602</Characters>
  <Lines>113</Lines>
  <Paragraphs>31</Paragraphs>
  <TotalTime>0</TotalTime>
  <ScaleCrop>false</ScaleCrop>
  <LinksUpToDate>false</LinksUpToDate>
  <CharactersWithSpaces>15957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2020-10-19T08:13:00Z</dcterms:created>
  <dc:creator>dreamsummit</dc:creator>
  <cp:lastModifiedBy>WPS_1701756769</cp:lastModifiedBy>
  <dcterms:modified xsi:type="dcterms:W3CDTF">2024-02-26T03:31:47Z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18C3D20E63224CE3AA55C0A3264589FC_13</vt:lpwstr>
  </property>
</Properties>
</file>