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insoku w:val="0"/>
        <w:overflowPunct w:val="0"/>
        <w:rPr>
          <w:color w:val="auto"/>
          <w:sz w:val="20"/>
        </w:rPr>
      </w:pPr>
      <w:bookmarkStart w:id="0" w:name="_Toc217446030"/>
      <w:bookmarkStart w:id="1" w:name="_Toc183682338"/>
    </w:p>
    <w:p>
      <w:pPr>
        <w:tabs>
          <w:tab w:val="left" w:pos="1710"/>
        </w:tabs>
        <w:rPr>
          <w:color w:val="auto"/>
        </w:rPr>
      </w:pPr>
    </w:p>
    <w:p>
      <w:pPr>
        <w:tabs>
          <w:tab w:val="left" w:pos="1710"/>
        </w:tabs>
        <w:rPr>
          <w:color w:val="auto"/>
        </w:rPr>
      </w:pPr>
    </w:p>
    <w:p>
      <w:pPr>
        <w:tabs>
          <w:tab w:val="left" w:pos="1710"/>
        </w:tabs>
        <w:rPr>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pPr>
              <w:snapToGrid w:val="0"/>
              <w:spacing w:line="240" w:lineRule="atLeast"/>
              <w:jc w:val="center"/>
              <w:rPr>
                <w:b/>
                <w:color w:val="auto"/>
                <w:sz w:val="60"/>
                <w:szCs w:val="60"/>
              </w:rPr>
            </w:pPr>
            <w:r>
              <w:rPr>
                <w:b/>
                <w:color w:val="auto"/>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color w:val="auto"/>
                <w:sz w:val="32"/>
                <w:szCs w:val="32"/>
              </w:rPr>
            </w:pPr>
            <w:r>
              <w:rPr>
                <w:b/>
                <w:color w:val="auto"/>
                <w:sz w:val="32"/>
                <w:szCs w:val="32"/>
              </w:rPr>
              <w:t>项目名称：</w:t>
            </w:r>
          </w:p>
        </w:tc>
        <w:tc>
          <w:tcPr>
            <w:tcW w:w="5433" w:type="dxa"/>
            <w:vAlign w:val="center"/>
          </w:tcPr>
          <w:p>
            <w:pPr>
              <w:rPr>
                <w:b/>
                <w:color w:val="auto"/>
                <w:sz w:val="32"/>
                <w:szCs w:val="32"/>
              </w:rPr>
            </w:pPr>
            <w:r>
              <w:rPr>
                <w:rFonts w:hint="eastAsia"/>
                <w:b/>
                <w:color w:val="auto"/>
                <w:sz w:val="32"/>
                <w:szCs w:val="32"/>
              </w:rPr>
              <w:t>南宁师范大学2021年中文纸质图书采购项目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color w:val="auto"/>
                <w:sz w:val="32"/>
                <w:szCs w:val="32"/>
              </w:rPr>
            </w:pPr>
            <w:r>
              <w:rPr>
                <w:b/>
                <w:color w:val="auto"/>
                <w:sz w:val="32"/>
                <w:szCs w:val="32"/>
              </w:rPr>
              <w:t>项目编号：</w:t>
            </w:r>
          </w:p>
        </w:tc>
        <w:tc>
          <w:tcPr>
            <w:tcW w:w="5433" w:type="dxa"/>
            <w:vAlign w:val="center"/>
          </w:tcPr>
          <w:p>
            <w:pPr>
              <w:rPr>
                <w:b/>
                <w:color w:val="auto"/>
                <w:sz w:val="32"/>
                <w:szCs w:val="32"/>
              </w:rPr>
            </w:pPr>
            <w:r>
              <w:rPr>
                <w:rFonts w:hint="eastAsia"/>
                <w:b/>
                <w:color w:val="auto"/>
                <w:sz w:val="32"/>
                <w:szCs w:val="32"/>
              </w:rPr>
              <w:t>GXZC2021-G1-000389-HYJS</w:t>
            </w:r>
          </w:p>
        </w:tc>
      </w:tr>
    </w:tbl>
    <w:p>
      <w:pPr>
        <w:tabs>
          <w:tab w:val="left" w:pos="1710"/>
        </w:tabs>
        <w:rPr>
          <w:color w:val="auto"/>
        </w:rPr>
      </w:pPr>
    </w:p>
    <w:p>
      <w:pPr>
        <w:rPr>
          <w:color w:val="auto"/>
        </w:rPr>
      </w:pPr>
    </w:p>
    <w:p>
      <w:pPr>
        <w:rPr>
          <w:color w:val="auto"/>
        </w:rPr>
      </w:pPr>
    </w:p>
    <w:p>
      <w:pPr>
        <w:rPr>
          <w:color w:val="auto"/>
        </w:rPr>
      </w:pPr>
      <w:bookmarkStart w:id="72" w:name="_GoBack"/>
      <w:bookmarkEnd w:id="7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pPr>
              <w:autoSpaceDE w:val="0"/>
              <w:autoSpaceDN w:val="0"/>
              <w:adjustRightInd w:val="0"/>
              <w:jc w:val="left"/>
              <w:rPr>
                <w:b/>
                <w:color w:val="auto"/>
                <w:sz w:val="32"/>
                <w:szCs w:val="32"/>
              </w:rPr>
            </w:pPr>
            <w:r>
              <w:rPr>
                <w:b/>
                <w:color w:val="auto"/>
                <w:sz w:val="32"/>
                <w:szCs w:val="32"/>
              </w:rPr>
              <w:t>南宁师范大学</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b/>
                <w:color w:val="auto"/>
                <w:sz w:val="32"/>
                <w:szCs w:val="32"/>
              </w:rPr>
            </w:pPr>
            <w:r>
              <w:rPr>
                <w:b/>
                <w:color w:val="auto"/>
                <w:sz w:val="32"/>
                <w:szCs w:val="32"/>
              </w:rPr>
              <w:t>采购代理机构：</w:t>
            </w:r>
          </w:p>
        </w:tc>
        <w:tc>
          <w:tcPr>
            <w:tcW w:w="5571" w:type="dxa"/>
          </w:tcPr>
          <w:p>
            <w:pPr>
              <w:autoSpaceDE w:val="0"/>
              <w:autoSpaceDN w:val="0"/>
              <w:adjustRightInd w:val="0"/>
              <w:rPr>
                <w:b/>
                <w:color w:val="auto"/>
                <w:sz w:val="32"/>
                <w:szCs w:val="32"/>
                <w:u w:val="single"/>
              </w:rPr>
            </w:pPr>
            <w:r>
              <w:rPr>
                <w:rFonts w:hint="eastAsia"/>
                <w:b/>
                <w:color w:val="auto"/>
                <w:sz w:val="32"/>
                <w:szCs w:val="32"/>
              </w:rPr>
              <w:t>广西北部湾宏亚建设管理有限公司</w:t>
            </w:r>
          </w:p>
        </w:tc>
      </w:tr>
    </w:tbl>
    <w:p>
      <w:pPr>
        <w:rPr>
          <w:color w:val="auto"/>
        </w:rPr>
      </w:pPr>
    </w:p>
    <w:p>
      <w:pPr>
        <w:ind w:firstLine="321" w:firstLineChars="100"/>
        <w:jc w:val="center"/>
        <w:rPr>
          <w:b/>
          <w:color w:val="auto"/>
          <w:sz w:val="32"/>
          <w:szCs w:val="32"/>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b/>
          <w:color w:val="auto"/>
          <w:sz w:val="32"/>
          <w:szCs w:val="32"/>
        </w:rPr>
        <w:t>202</w:t>
      </w:r>
      <w:r>
        <w:rPr>
          <w:rFonts w:hint="eastAsia"/>
          <w:b/>
          <w:color w:val="auto"/>
          <w:sz w:val="32"/>
          <w:szCs w:val="32"/>
        </w:rPr>
        <w:t>1</w:t>
      </w:r>
      <w:r>
        <w:rPr>
          <w:b/>
          <w:color w:val="auto"/>
          <w:sz w:val="32"/>
          <w:szCs w:val="32"/>
        </w:rPr>
        <w:t>年</w:t>
      </w:r>
      <w:r>
        <w:rPr>
          <w:rFonts w:hint="eastAsia"/>
          <w:b/>
          <w:color w:val="auto"/>
          <w:sz w:val="32"/>
          <w:szCs w:val="32"/>
          <w:lang w:val="en-US" w:eastAsia="zh-CN"/>
        </w:rPr>
        <w:t>4</w:t>
      </w:r>
      <w:r>
        <w:rPr>
          <w:b/>
          <w:color w:val="auto"/>
          <w:sz w:val="32"/>
          <w:szCs w:val="32"/>
        </w:rPr>
        <w:t>月</w:t>
      </w:r>
    </w:p>
    <w:p>
      <w:pPr>
        <w:pStyle w:val="26"/>
        <w:snapToGrid w:val="0"/>
        <w:spacing w:before="120" w:after="120" w:line="320" w:lineRule="exact"/>
        <w:jc w:val="center"/>
        <w:outlineLvl w:val="0"/>
        <w:rPr>
          <w:rFonts w:ascii="Times New Roman" w:hAnsi="Times New Roman" w:cs="Times New Roman"/>
          <w:color w:val="auto"/>
          <w:sz w:val="32"/>
          <w:szCs w:val="32"/>
        </w:rPr>
      </w:pPr>
      <w:bookmarkStart w:id="3" w:name="_Toc13407"/>
      <w:bookmarkStart w:id="4" w:name="_Toc12752"/>
      <w:bookmarkStart w:id="5" w:name="_Toc14283"/>
      <w:bookmarkStart w:id="6" w:name="_Toc28096"/>
      <w:bookmarkStart w:id="7" w:name="_Toc29010"/>
      <w:r>
        <w:rPr>
          <w:rFonts w:ascii="Times New Roman" w:hAnsi="Times New Roman" w:cs="Times New Roman"/>
          <w:color w:val="auto"/>
          <w:sz w:val="32"/>
          <w:szCs w:val="32"/>
        </w:rPr>
        <w:t>目    录</w:t>
      </w:r>
      <w:bookmarkEnd w:id="2"/>
      <w:bookmarkEnd w:id="3"/>
      <w:bookmarkEnd w:id="4"/>
      <w:bookmarkEnd w:id="5"/>
      <w:bookmarkEnd w:id="6"/>
      <w:bookmarkEnd w:id="7"/>
    </w:p>
    <w:p>
      <w:pPr>
        <w:pStyle w:val="33"/>
        <w:tabs>
          <w:tab w:val="right" w:leader="dot" w:pos="9070"/>
          <w:tab w:val="clear" w:pos="8398"/>
        </w:tabs>
        <w:ind w:firstLine="241"/>
        <w:rPr>
          <w:color w:val="auto"/>
        </w:rPr>
      </w:pPr>
      <w:r>
        <w:rPr>
          <w:rFonts w:ascii="Times New Roman" w:hAnsi="Times New Roman"/>
          <w:color w:val="auto"/>
        </w:rPr>
        <w:fldChar w:fldCharType="begin"/>
      </w:r>
      <w:r>
        <w:rPr>
          <w:rStyle w:val="57"/>
          <w:rFonts w:ascii="Times New Roman" w:hAnsi="Times New Roman"/>
          <w:color w:val="auto"/>
        </w:rPr>
        <w:instrText xml:space="preserve"> TOC \o "1-1" \h \z \u </w:instrText>
      </w:r>
      <w:r>
        <w:rPr>
          <w:rFonts w:ascii="Times New Roman" w:hAnsi="Times New Roman"/>
          <w:color w:val="auto"/>
        </w:rPr>
        <w:fldChar w:fldCharType="separate"/>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"_Toc18620" </w:instrText>
      </w:r>
      <w:r>
        <w:rPr>
          <w:color w:val="auto"/>
        </w:rPr>
        <w:fldChar w:fldCharType="separate"/>
      </w:r>
      <w:r>
        <w:rPr>
          <w:rFonts w:ascii="Times New Roman" w:hAnsi="Times New Roman"/>
          <w:color w:val="auto"/>
          <w:szCs w:val="32"/>
        </w:rPr>
        <w:t>第一章  招标公告</w:t>
      </w:r>
      <w:r>
        <w:rPr>
          <w:color w:val="auto"/>
        </w:rPr>
        <w:tab/>
      </w:r>
      <w:r>
        <w:rPr>
          <w:color w:val="auto"/>
        </w:rPr>
        <w:fldChar w:fldCharType="begin"/>
      </w:r>
      <w:r>
        <w:rPr>
          <w:color w:val="auto"/>
        </w:rPr>
        <w:instrText xml:space="preserve"> PAGEREF _Toc18620 </w:instrText>
      </w:r>
      <w:r>
        <w:rPr>
          <w:color w:val="auto"/>
        </w:rPr>
        <w:fldChar w:fldCharType="separate"/>
      </w:r>
      <w:r>
        <w:rPr>
          <w:color w:val="auto"/>
        </w:rPr>
        <w:t>1</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"_Toc13586" </w:instrText>
      </w:r>
      <w:r>
        <w:rPr>
          <w:color w:val="auto"/>
        </w:rPr>
        <w:fldChar w:fldCharType="separate"/>
      </w:r>
      <w:r>
        <w:rPr>
          <w:rFonts w:hint="eastAsia" w:ascii="Times New Roman" w:hAnsi="Times New Roman"/>
          <w:color w:val="auto"/>
          <w:szCs w:val="32"/>
        </w:rPr>
        <w:t xml:space="preserve">第二章 </w:t>
      </w:r>
      <w:r>
        <w:rPr>
          <w:rFonts w:ascii="Times New Roman" w:hAnsi="Times New Roman"/>
          <w:color w:val="auto"/>
          <w:szCs w:val="32"/>
        </w:rPr>
        <w:t>项目采购需求</w:t>
      </w:r>
      <w:r>
        <w:rPr>
          <w:color w:val="auto"/>
        </w:rPr>
        <w:tab/>
      </w:r>
      <w:r>
        <w:rPr>
          <w:color w:val="auto"/>
        </w:rPr>
        <w:fldChar w:fldCharType="begin"/>
      </w:r>
      <w:r>
        <w:rPr>
          <w:color w:val="auto"/>
        </w:rPr>
        <w:instrText xml:space="preserve"> PAGEREF _Toc13586 </w:instrText>
      </w:r>
      <w:r>
        <w:rPr>
          <w:color w:val="auto"/>
        </w:rPr>
        <w:fldChar w:fldCharType="separate"/>
      </w:r>
      <w:r>
        <w:rPr>
          <w:color w:val="auto"/>
        </w:rPr>
        <w:t>4</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"_Toc14979" </w:instrText>
      </w:r>
      <w:r>
        <w:rPr>
          <w:color w:val="auto"/>
        </w:rPr>
        <w:fldChar w:fldCharType="separate"/>
      </w:r>
      <w:r>
        <w:rPr>
          <w:rFonts w:ascii="Times New Roman" w:hAnsi="Times New Roman"/>
          <w:color w:val="auto"/>
          <w:szCs w:val="32"/>
        </w:rPr>
        <w:t>第三章  供应商须知</w:t>
      </w:r>
      <w:r>
        <w:rPr>
          <w:color w:val="auto"/>
        </w:rPr>
        <w:tab/>
      </w:r>
      <w:r>
        <w:rPr>
          <w:color w:val="auto"/>
        </w:rPr>
        <w:fldChar w:fldCharType="begin"/>
      </w:r>
      <w:r>
        <w:rPr>
          <w:color w:val="auto"/>
        </w:rPr>
        <w:instrText xml:space="preserve"> PAGEREF _Toc14979 </w:instrText>
      </w:r>
      <w:r>
        <w:rPr>
          <w:color w:val="auto"/>
        </w:rPr>
        <w:fldChar w:fldCharType="separate"/>
      </w:r>
      <w:r>
        <w:rPr>
          <w:color w:val="auto"/>
        </w:rPr>
        <w:t>14</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"_Toc4868" </w:instrText>
      </w:r>
      <w:r>
        <w:rPr>
          <w:color w:val="auto"/>
        </w:rPr>
        <w:fldChar w:fldCharType="separate"/>
      </w:r>
      <w:r>
        <w:rPr>
          <w:rFonts w:ascii="Times New Roman" w:hAnsi="Times New Roman"/>
          <w:color w:val="auto"/>
          <w:szCs w:val="32"/>
        </w:rPr>
        <w:t>第四章  评标方法及评标标准</w:t>
      </w:r>
      <w:r>
        <w:rPr>
          <w:color w:val="auto"/>
        </w:rPr>
        <w:tab/>
      </w:r>
      <w:r>
        <w:rPr>
          <w:color w:val="auto"/>
        </w:rPr>
        <w:fldChar w:fldCharType="begin"/>
      </w:r>
      <w:r>
        <w:rPr>
          <w:color w:val="auto"/>
        </w:rPr>
        <w:instrText xml:space="preserve"> PAGEREF _Toc4868 </w:instrText>
      </w:r>
      <w:r>
        <w:rPr>
          <w:color w:val="auto"/>
        </w:rPr>
        <w:fldChar w:fldCharType="separate"/>
      </w:r>
      <w:r>
        <w:rPr>
          <w:color w:val="auto"/>
        </w:rPr>
        <w:t>18</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"_Toc13942" </w:instrText>
      </w:r>
      <w:r>
        <w:rPr>
          <w:color w:val="auto"/>
        </w:rPr>
        <w:fldChar w:fldCharType="separate"/>
      </w:r>
      <w:r>
        <w:rPr>
          <w:rFonts w:ascii="Times New Roman" w:hAnsi="Times New Roman"/>
          <w:color w:val="auto"/>
          <w:szCs w:val="32"/>
        </w:rPr>
        <w:t>第五章  合同主要条款格式</w:t>
      </w:r>
      <w:r>
        <w:rPr>
          <w:color w:val="auto"/>
        </w:rPr>
        <w:tab/>
      </w:r>
      <w:r>
        <w:rPr>
          <w:color w:val="auto"/>
        </w:rPr>
        <w:fldChar w:fldCharType="begin"/>
      </w:r>
      <w:r>
        <w:rPr>
          <w:color w:val="auto"/>
        </w:rPr>
        <w:instrText xml:space="preserve"> PAGEREF _Toc13942 </w:instrText>
      </w:r>
      <w:r>
        <w:rPr>
          <w:color w:val="auto"/>
        </w:rPr>
        <w:fldChar w:fldCharType="separate"/>
      </w:r>
      <w:r>
        <w:rPr>
          <w:color w:val="auto"/>
        </w:rPr>
        <w:t>29</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"_Toc20204" </w:instrText>
      </w:r>
      <w:r>
        <w:rPr>
          <w:color w:val="auto"/>
        </w:rPr>
        <w:fldChar w:fldCharType="separate"/>
      </w:r>
      <w:r>
        <w:rPr>
          <w:rFonts w:ascii="Times New Roman" w:hAnsi="Times New Roman"/>
          <w:color w:val="auto"/>
          <w:szCs w:val="32"/>
        </w:rPr>
        <w:t>第六章  投标文件格式</w:t>
      </w:r>
      <w:r>
        <w:rPr>
          <w:color w:val="auto"/>
        </w:rPr>
        <w:tab/>
      </w:r>
      <w:r>
        <w:rPr>
          <w:color w:val="auto"/>
        </w:rPr>
        <w:fldChar w:fldCharType="begin"/>
      </w:r>
      <w:r>
        <w:rPr>
          <w:color w:val="auto"/>
        </w:rPr>
        <w:instrText xml:space="preserve"> PAGEREF _Toc20204 </w:instrText>
      </w:r>
      <w:r>
        <w:rPr>
          <w:color w:val="auto"/>
        </w:rPr>
        <w:fldChar w:fldCharType="separate"/>
      </w:r>
      <w:r>
        <w:rPr>
          <w:color w:val="auto"/>
        </w:rPr>
        <w:t>38</w:t>
      </w:r>
      <w:r>
        <w:rPr>
          <w:color w:val="auto"/>
        </w:rPr>
        <w:fldChar w:fldCharType="end"/>
      </w:r>
      <w:r>
        <w:rPr>
          <w:color w:val="auto"/>
        </w:rPr>
        <w:fldChar w:fldCharType="end"/>
      </w:r>
    </w:p>
    <w:p>
      <w:pPr>
        <w:pStyle w:val="33"/>
        <w:ind w:firstLine="241"/>
        <w:rPr>
          <w:rFonts w:ascii="Times New Roman" w:hAnsi="Times New Roman"/>
          <w:color w:val="auto"/>
          <w:sz w:val="28"/>
          <w:szCs w:val="28"/>
        </w:rPr>
      </w:pPr>
      <w:r>
        <w:rPr>
          <w:rFonts w:ascii="Times New Roman" w:hAnsi="Times New Roman"/>
          <w:color w:val="auto"/>
          <w:szCs w:val="28"/>
        </w:rPr>
        <w:fldChar w:fldCharType="end"/>
      </w:r>
    </w:p>
    <w:p>
      <w:pPr>
        <w:spacing w:before="120" w:beforeLines="50" w:line="480" w:lineRule="exact"/>
        <w:rPr>
          <w:color w:val="auto"/>
          <w:sz w:val="28"/>
          <w:szCs w:val="28"/>
        </w:rPr>
      </w:pPr>
    </w:p>
    <w:p>
      <w:pPr>
        <w:spacing w:before="120" w:beforeLines="50" w:line="480" w:lineRule="exact"/>
        <w:rPr>
          <w:color w:val="auto"/>
          <w:sz w:val="30"/>
        </w:rPr>
        <w:sectPr>
          <w:headerReference r:id="rId6" w:type="first"/>
          <w:pgSz w:w="11906" w:h="16838"/>
          <w:pgMar w:top="1418" w:right="1418" w:bottom="1246" w:left="1418" w:header="851" w:footer="992" w:gutter="0"/>
          <w:pgNumType w:start="0"/>
          <w:cols w:space="720" w:num="1"/>
          <w:titlePg/>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8" w:name="_Toc254970630"/>
      <w:bookmarkStart w:id="9" w:name="_Toc254970489"/>
      <w:bookmarkStart w:id="10" w:name="_Toc18620"/>
      <w:r>
        <w:rPr>
          <w:rFonts w:ascii="Times New Roman" w:hAnsi="Times New Roman" w:cs="Times New Roman"/>
          <w:color w:val="auto"/>
          <w:sz w:val="32"/>
          <w:szCs w:val="32"/>
        </w:rPr>
        <w:t xml:space="preserve">第一章  </w:t>
      </w:r>
      <w:bookmarkEnd w:id="8"/>
      <w:bookmarkEnd w:id="9"/>
      <w:r>
        <w:rPr>
          <w:rFonts w:ascii="Times New Roman" w:hAnsi="Times New Roman" w:cs="Times New Roman"/>
          <w:color w:val="auto"/>
          <w:sz w:val="32"/>
          <w:szCs w:val="32"/>
        </w:rPr>
        <w:t>招标公告</w:t>
      </w:r>
      <w:bookmarkEnd w:id="10"/>
    </w:p>
    <w:p>
      <w:pPr>
        <w:spacing w:line="312" w:lineRule="auto"/>
        <w:ind w:firstLine="420" w:firstLineChars="200"/>
        <w:jc w:val="left"/>
        <w:rPr>
          <w:color w:val="auto"/>
          <w:kern w:val="0"/>
          <w:szCs w:val="21"/>
        </w:rPr>
      </w:pPr>
      <w:r>
        <w:rPr>
          <w:color w:val="auto"/>
          <w:kern w:val="0"/>
          <w:szCs w:val="21"/>
        </w:rPr>
        <w:pict>
          <v:shape id="_x0000_s1026" o:spid="_x0000_s1026" o:spt="202" type="#_x0000_t202" style="position:absolute;left:0pt;margin-left:15.35pt;margin-top:7.85pt;height:86.4pt;width:448.75pt;mso-wrap-distance-bottom:3.6pt;mso-wrap-distance-left:9pt;mso-wrap-distance-right:9pt;mso-wrap-distance-top: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rJAgIAAPcDAAAOAAAAZHJzL2Uyb0RvYy54bWysU0uOEzEQ3SNxB8t70p1IGSatdEaCEDYI&#10;kAYOUPGn25J/2E66cwG4ASs27DlXzjFlJ2RmgAVC9MJdtsuv3ntlL29Go8lehKicbel0UlMiLHNc&#10;2a6lHz9snl1TEhNYDtpZ0dKDiPRm9fTJcvCNmLneaS4CQRAbm8G3tE/JN1UVWS8MxInzwuKmdMFA&#10;wmnoKh5gQHSjq1ldX1WDC9wHx0SMuLo+bdJVwZdSsPROyigS0S1FbqmMoYzbPFarJTRdAN8rdqYB&#10;/8DCgLJY9AK1hgRkF9RvUEax4KKTacKcqZyUiomiAdVM61/U3PbgRdGC5kR/sSn+P1j2dv8+EMWx&#10;d5RYMNii49cvx28/jt8/k1m2Z/Cxwaxbj3lpfOHGnHpej7iYVY8ymPxHPQT30ejDxVwxJsJwcX61&#10;WExnc0oY7k3rxfPZdbG/uj/uQ0yvhTMkBy0N2L1iKuzfxIQlMfVnSq4WnVZ8o7Quk9BtX+pA9oCd&#10;3pQvs8Qjj9K0JUNLF/NCBPDCSQ0JORmPFkTblXqPTsSHwHX5/gScia0h9icCBSGnQWNUEqFEvQD+&#10;ynKSDh5ttvgeaCZjBKdEC3w+OSqZCZT+m0xUpy2KzD069SJHadyOCJPDreMH7NuAFxzlfdpBwJo7&#10;H1TXo8Glj+Uw3q7i1fkl5Ov7cF5K3L/X1R0AAAD//wMAUEsDBBQABgAIAAAAIQA7HvFp3wAAAAkB&#10;AAAPAAAAZHJzL2Rvd25yZXYueG1sTI9BT8MwDIXvSPyHyEhcEEvp2NaVphNCAsENBoJr1nhtReKU&#10;JOvKv8ec4GT5vafnz9VmclaMGGLvScHVLAOB1HjTU6vg7fX+sgARkyajrSdU8I0RNvXpSaVL44/0&#10;guM2tYJLKJZaQZfSUEoZmw6djjM/ILG398HpxGtopQn6yOXOyjzLltLpnvhCpwe867D53B6cguL6&#10;cfyIT/Pn92a5t+t0sRofvoJS52fT7Q2IhFP6C8MvPqNDzUw7fyAThVUwz1acZH3Bk/11XuQgdiwU&#10;xQJkXcn/H9Q/AAAA//8DAFBLAQItABQABgAIAAAAIQC2gziS/gAAAOEBAAATAAAAAAAAAAAAAAAA&#10;AAAAAABbQ29udGVudF9UeXBlc10ueG1sUEsBAi0AFAAGAAgAAAAhADj9If/WAAAAlAEAAAsAAAAA&#10;AAAAAAAAAAAALwEAAF9yZWxzLy5yZWxzUEsBAi0AFAAGAAgAAAAhALQhGskCAgAA9wMAAA4AAAAA&#10;AAAAAAAAAAAALgIAAGRycy9lMm9Eb2MueG1sUEsBAi0AFAAGAAgAAAAhADse8WnfAAAACQEAAA8A&#10;AAAAAAAAAAAAAAAAXAQAAGRycy9kb3ducmV2LnhtbFBLBQYAAAAABAAEAPMAAABoBQAAAAA=&#10;">
            <v:path/>
            <v:fill focussize="0,0"/>
            <v:stroke joinstyle="miter"/>
            <v:imagedata o:title=""/>
            <o:lock v:ext="edit"/>
            <v:textbox>
              <w:txbxContent>
                <w:p>
                  <w:pPr>
                    <w:spacing w:line="312" w:lineRule="auto"/>
                    <w:ind w:firstLine="420" w:firstLineChars="200"/>
                    <w:jc w:val="left"/>
                    <w:rPr>
                      <w:szCs w:val="21"/>
                    </w:rPr>
                  </w:pPr>
                  <w:r>
                    <w:rPr>
                      <w:rFonts w:hint="eastAsia"/>
                      <w:szCs w:val="21"/>
                    </w:rPr>
                    <w:t>项目概况</w:t>
                  </w:r>
                </w:p>
                <w:p>
                  <w:pPr>
                    <w:spacing w:line="312" w:lineRule="auto"/>
                    <w:jc w:val="left"/>
                    <w:rPr>
                      <w:color w:val="4472C4"/>
                      <w:kern w:val="0"/>
                      <w:szCs w:val="21"/>
                    </w:rPr>
                  </w:pPr>
                  <w:r>
                    <w:rPr>
                      <w:rFonts w:hint="eastAsia"/>
                      <w:kern w:val="0"/>
                      <w:szCs w:val="21"/>
                    </w:rPr>
                    <w:t>南宁师范大学2021年中文纸质图书采购项目（GXZC2021-G1-000389-HYJS）</w:t>
                  </w:r>
                  <w:r>
                    <w:rPr>
                      <w:rFonts w:hint="eastAsia"/>
                      <w:szCs w:val="21"/>
                    </w:rPr>
                    <w:t>招标项目的潜在投标人应在</w:t>
                  </w:r>
                  <w:r>
                    <w:rPr>
                      <w:rFonts w:hint="eastAsia"/>
                      <w:kern w:val="0"/>
                      <w:szCs w:val="21"/>
                    </w:rPr>
                    <w:t>广西北部湾宏亚建设管理有限公司</w:t>
                  </w:r>
                  <w:r>
                    <w:rPr>
                      <w:rFonts w:hint="eastAsia"/>
                      <w:szCs w:val="21"/>
                    </w:rPr>
                    <w:t xml:space="preserve">获取招标文件，并于2021年  月  日    点   </w:t>
                  </w:r>
                  <w:r>
                    <w:rPr>
                      <w:rFonts w:hint="eastAsia"/>
                      <w:color w:val="4F81BD"/>
                      <w:szCs w:val="21"/>
                    </w:rPr>
                    <w:t xml:space="preserve"> </w:t>
                  </w:r>
                  <w:r>
                    <w:rPr>
                      <w:rFonts w:hint="eastAsia"/>
                      <w:szCs w:val="21"/>
                    </w:rPr>
                    <w:t>分（北京时间）前递交投标</w:t>
                  </w:r>
                  <w:r>
                    <w:rPr>
                      <w:szCs w:val="21"/>
                    </w:rPr>
                    <w:t>文件</w:t>
                  </w:r>
                  <w:r>
                    <w:rPr>
                      <w:rFonts w:hint="eastAsia"/>
                      <w:szCs w:val="21"/>
                    </w:rPr>
                    <w:t>。</w:t>
                  </w:r>
                </w:p>
              </w:txbxContent>
            </v:textbox>
            <w10:wrap type="square"/>
          </v:shape>
        </w:pict>
      </w:r>
    </w:p>
    <w:p>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pPr>
        <w:spacing w:line="312" w:lineRule="auto"/>
        <w:ind w:firstLine="420" w:firstLineChars="200"/>
        <w:jc w:val="left"/>
        <w:rPr>
          <w:color w:val="auto"/>
          <w:kern w:val="0"/>
          <w:szCs w:val="21"/>
        </w:rPr>
      </w:pPr>
      <w:r>
        <w:rPr>
          <w:rFonts w:hint="eastAsia"/>
          <w:color w:val="auto"/>
          <w:kern w:val="0"/>
          <w:szCs w:val="21"/>
        </w:rPr>
        <w:t>1、</w:t>
      </w:r>
      <w:r>
        <w:rPr>
          <w:color w:val="auto"/>
          <w:kern w:val="0"/>
          <w:szCs w:val="21"/>
        </w:rPr>
        <w:t>项目编号：</w:t>
      </w:r>
      <w:r>
        <w:rPr>
          <w:rFonts w:hint="eastAsia"/>
          <w:color w:val="auto"/>
          <w:kern w:val="0"/>
          <w:szCs w:val="21"/>
        </w:rPr>
        <w:t>南宁师范大学2021年中文纸质图书采购项目</w:t>
      </w:r>
    </w:p>
    <w:p>
      <w:pPr>
        <w:spacing w:line="312" w:lineRule="auto"/>
        <w:ind w:firstLine="420" w:firstLineChars="200"/>
        <w:jc w:val="left"/>
        <w:rPr>
          <w:rFonts w:eastAsia="微软雅黑"/>
          <w:color w:val="auto"/>
          <w:kern w:val="0"/>
          <w:szCs w:val="21"/>
        </w:rPr>
      </w:pPr>
      <w:r>
        <w:rPr>
          <w:rFonts w:hint="eastAsia"/>
          <w:color w:val="auto"/>
          <w:szCs w:val="21"/>
        </w:rPr>
        <w:t>2、</w:t>
      </w:r>
      <w:r>
        <w:rPr>
          <w:color w:val="auto"/>
          <w:szCs w:val="21"/>
        </w:rPr>
        <w:t>采购计划号：</w:t>
      </w:r>
      <w:r>
        <w:rPr>
          <w:color w:val="auto"/>
        </w:rPr>
        <w:fldChar w:fldCharType="begin"/>
      </w:r>
      <w:r>
        <w:rPr>
          <w:color w:val="auto"/>
        </w:rPr>
        <w:instrText xml:space="preserve"> HYPERLINK "https://pay.zcygov.cn/purchaseplan_front/" \l "/plan/list/detail?id=1000000000004514562&amp;encrypt=7375caca25ed5a3daccace7f163ceef8" \t "https://www.zcygov.cn/proj-procurement/project-result-detail/blank" </w:instrText>
      </w:r>
      <w:r>
        <w:rPr>
          <w:color w:val="auto"/>
        </w:rPr>
        <w:fldChar w:fldCharType="separate"/>
      </w:r>
      <w:r>
        <w:rPr>
          <w:rStyle w:val="57"/>
          <w:rFonts w:hint="eastAsia" w:ascii="微软雅黑" w:hAnsi="微软雅黑" w:eastAsia="微软雅黑" w:cs="微软雅黑"/>
          <w:color w:val="auto"/>
          <w:szCs w:val="21"/>
          <w:u w:val="none"/>
          <w:shd w:val="clear" w:color="auto" w:fill="FFFFFF"/>
        </w:rPr>
        <w:t>广西政采[2021]60号-001-001</w:t>
      </w:r>
      <w:r>
        <w:rPr>
          <w:rStyle w:val="57"/>
          <w:rFonts w:hint="eastAsia" w:ascii="微软雅黑" w:hAnsi="微软雅黑" w:eastAsia="微软雅黑" w:cs="微软雅黑"/>
          <w:color w:val="auto"/>
          <w:szCs w:val="21"/>
          <w:u w:val="none"/>
          <w:shd w:val="clear" w:color="auto" w:fill="FFFFFF"/>
        </w:rPr>
        <w:fldChar w:fldCharType="end"/>
      </w:r>
      <w:r>
        <w:rPr>
          <w:rFonts w:hint="eastAsia" w:ascii="微软雅黑" w:hAnsi="微软雅黑" w:eastAsia="微软雅黑" w:cs="微软雅黑"/>
          <w:color w:val="auto"/>
          <w:szCs w:val="21"/>
          <w:shd w:val="clear" w:color="auto" w:fill="FFFFFF"/>
        </w:rPr>
        <w:t>、002、003、004</w:t>
      </w:r>
    </w:p>
    <w:p>
      <w:pPr>
        <w:spacing w:line="312" w:lineRule="auto"/>
        <w:ind w:firstLine="420" w:firstLineChars="200"/>
        <w:jc w:val="left"/>
        <w:rPr>
          <w:color w:val="auto"/>
          <w:kern w:val="0"/>
          <w:szCs w:val="21"/>
        </w:rPr>
      </w:pPr>
      <w:r>
        <w:rPr>
          <w:rFonts w:hint="eastAsia"/>
          <w:color w:val="auto"/>
          <w:kern w:val="0"/>
          <w:szCs w:val="21"/>
        </w:rPr>
        <w:t>3、</w:t>
      </w:r>
      <w:r>
        <w:rPr>
          <w:color w:val="auto"/>
          <w:kern w:val="0"/>
          <w:szCs w:val="21"/>
        </w:rPr>
        <w:t>项目名称：</w:t>
      </w:r>
      <w:r>
        <w:rPr>
          <w:rFonts w:hint="eastAsia"/>
          <w:color w:val="auto"/>
          <w:kern w:val="0"/>
          <w:szCs w:val="21"/>
        </w:rPr>
        <w:t>GXZC2021-G1-000389-HYJS</w:t>
      </w:r>
    </w:p>
    <w:p>
      <w:pPr>
        <w:spacing w:line="312" w:lineRule="auto"/>
        <w:ind w:firstLine="420" w:firstLineChars="200"/>
        <w:jc w:val="left"/>
        <w:rPr>
          <w:color w:val="auto"/>
          <w:kern w:val="0"/>
          <w:szCs w:val="21"/>
        </w:rPr>
      </w:pPr>
      <w:r>
        <w:rPr>
          <w:rFonts w:hint="eastAsia"/>
          <w:color w:val="auto"/>
          <w:kern w:val="0"/>
          <w:szCs w:val="21"/>
        </w:rPr>
        <w:t>4、</w:t>
      </w:r>
      <w:r>
        <w:rPr>
          <w:color w:val="auto"/>
          <w:kern w:val="0"/>
          <w:szCs w:val="21"/>
        </w:rPr>
        <w:t>预算金额：</w:t>
      </w:r>
      <w:r>
        <w:rPr>
          <w:rFonts w:hint="eastAsia"/>
          <w:color w:val="auto"/>
          <w:kern w:val="0"/>
          <w:szCs w:val="21"/>
        </w:rPr>
        <w:t>A分标</w:t>
      </w:r>
      <w:r>
        <w:rPr>
          <w:color w:val="auto"/>
          <w:kern w:val="0"/>
          <w:szCs w:val="21"/>
        </w:rPr>
        <w:t>人民币柒</w:t>
      </w:r>
      <w:r>
        <w:rPr>
          <w:rFonts w:hint="eastAsia"/>
          <w:color w:val="auto"/>
          <w:kern w:val="0"/>
          <w:szCs w:val="21"/>
        </w:rPr>
        <w:t>拾万</w:t>
      </w:r>
      <w:r>
        <w:rPr>
          <w:color w:val="auto"/>
          <w:kern w:val="0"/>
          <w:szCs w:val="21"/>
        </w:rPr>
        <w:t>元整（¥</w:t>
      </w:r>
      <w:r>
        <w:rPr>
          <w:rFonts w:hint="eastAsia"/>
          <w:color w:val="auto"/>
          <w:kern w:val="0"/>
          <w:szCs w:val="21"/>
        </w:rPr>
        <w:t>7</w:t>
      </w:r>
      <w:r>
        <w:rPr>
          <w:color w:val="auto"/>
          <w:kern w:val="0"/>
          <w:szCs w:val="21"/>
        </w:rPr>
        <w:t>00,000</w:t>
      </w:r>
      <w:r>
        <w:rPr>
          <w:rFonts w:hint="eastAsia"/>
          <w:color w:val="auto"/>
          <w:kern w:val="0"/>
          <w:szCs w:val="21"/>
        </w:rPr>
        <w:t>.00</w:t>
      </w:r>
      <w:r>
        <w:rPr>
          <w:color w:val="auto"/>
          <w:kern w:val="0"/>
          <w:szCs w:val="21"/>
        </w:rPr>
        <w:t>）</w:t>
      </w:r>
      <w:r>
        <w:rPr>
          <w:rFonts w:hint="eastAsia"/>
          <w:color w:val="auto"/>
          <w:kern w:val="0"/>
          <w:szCs w:val="21"/>
        </w:rPr>
        <w:t>；</w:t>
      </w:r>
      <w:r>
        <w:rPr>
          <w:color w:val="auto"/>
          <w:kern w:val="0"/>
          <w:szCs w:val="21"/>
        </w:rPr>
        <w:t>B</w:t>
      </w:r>
      <w:r>
        <w:rPr>
          <w:rFonts w:hint="eastAsia"/>
          <w:color w:val="auto"/>
          <w:kern w:val="0"/>
          <w:szCs w:val="21"/>
        </w:rPr>
        <w:t>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r>
        <w:rPr>
          <w:rFonts w:hint="eastAsia"/>
          <w:color w:val="auto"/>
          <w:kern w:val="0"/>
          <w:szCs w:val="21"/>
        </w:rPr>
        <w:t>；</w:t>
      </w:r>
      <w:r>
        <w:rPr>
          <w:color w:val="auto"/>
          <w:kern w:val="0"/>
          <w:szCs w:val="21"/>
        </w:rPr>
        <w:t>C</w:t>
      </w:r>
      <w:r>
        <w:rPr>
          <w:rFonts w:hint="eastAsia"/>
          <w:color w:val="auto"/>
          <w:kern w:val="0"/>
          <w:szCs w:val="21"/>
        </w:rPr>
        <w:t>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r>
        <w:rPr>
          <w:rFonts w:hint="eastAsia"/>
          <w:color w:val="auto"/>
          <w:kern w:val="0"/>
          <w:szCs w:val="21"/>
        </w:rPr>
        <w:t>；D分标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p>
    <w:p>
      <w:pPr>
        <w:spacing w:line="312" w:lineRule="auto"/>
        <w:ind w:firstLine="420" w:firstLineChars="200"/>
        <w:jc w:val="left"/>
        <w:rPr>
          <w:color w:val="auto"/>
          <w:kern w:val="0"/>
          <w:szCs w:val="21"/>
        </w:rPr>
      </w:pPr>
      <w:r>
        <w:rPr>
          <w:rFonts w:hint="eastAsia"/>
          <w:color w:val="auto"/>
          <w:kern w:val="0"/>
          <w:szCs w:val="21"/>
        </w:rPr>
        <w:t>5、</w:t>
      </w:r>
      <w:r>
        <w:rPr>
          <w:color w:val="auto"/>
          <w:kern w:val="0"/>
          <w:szCs w:val="21"/>
        </w:rPr>
        <w:t>最高限价：</w:t>
      </w:r>
      <w:r>
        <w:rPr>
          <w:rFonts w:hint="eastAsia"/>
          <w:color w:val="auto"/>
          <w:szCs w:val="21"/>
        </w:rPr>
        <w:t>与预算金额一致</w:t>
      </w:r>
    </w:p>
    <w:p>
      <w:pPr>
        <w:spacing w:line="312" w:lineRule="auto"/>
        <w:ind w:firstLine="420" w:firstLineChars="200"/>
        <w:jc w:val="left"/>
        <w:rPr>
          <w:color w:val="auto"/>
          <w:kern w:val="0"/>
          <w:szCs w:val="21"/>
        </w:rPr>
      </w:pPr>
      <w:r>
        <w:rPr>
          <w:rFonts w:hint="eastAsia"/>
          <w:color w:val="auto"/>
          <w:kern w:val="0"/>
          <w:szCs w:val="21"/>
        </w:rPr>
        <w:t>6、采购项目的数量、简要规格描述或项目基本概况介绍</w:t>
      </w:r>
      <w:r>
        <w:rPr>
          <w:color w:val="auto"/>
          <w:kern w:val="0"/>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550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分标号</w:t>
            </w:r>
          </w:p>
        </w:tc>
        <w:tc>
          <w:tcPr>
            <w:tcW w:w="5504" w:type="dxa"/>
            <w:vAlign w:val="center"/>
          </w:tcPr>
          <w:p>
            <w:pPr>
              <w:snapToGrid w:val="0"/>
              <w:spacing w:line="400" w:lineRule="exact"/>
              <w:jc w:val="center"/>
              <w:rPr>
                <w:rFonts w:ascii="Arial" w:hAnsi="Arial" w:cs="Arial"/>
                <w:color w:val="auto"/>
                <w:szCs w:val="21"/>
              </w:rPr>
            </w:pPr>
            <w:r>
              <w:rPr>
                <w:rFonts w:ascii="Arial" w:hAnsi="Arial" w:cs="Arial"/>
                <w:color w:val="auto"/>
                <w:szCs w:val="21"/>
              </w:rPr>
              <w:t>货物名称</w:t>
            </w:r>
          </w:p>
        </w:tc>
        <w:tc>
          <w:tcPr>
            <w:tcW w:w="1045" w:type="dxa"/>
            <w:vAlign w:val="center"/>
          </w:tcPr>
          <w:p>
            <w:pPr>
              <w:snapToGrid w:val="0"/>
              <w:spacing w:line="400" w:lineRule="exact"/>
              <w:jc w:val="center"/>
              <w:rPr>
                <w:rFonts w:ascii="Arial" w:hAnsi="Arial" w:cs="Arial"/>
                <w:color w:val="auto"/>
                <w:szCs w:val="21"/>
              </w:rPr>
            </w:pPr>
            <w:r>
              <w:rPr>
                <w:rFonts w:ascii="Arial" w:hAnsi="Arial" w:cs="Arial"/>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A分标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2021年中文纸质图书（一）</w:t>
            </w:r>
          </w:p>
        </w:tc>
        <w:tc>
          <w:tcPr>
            <w:tcW w:w="1045" w:type="dxa"/>
            <w:vAlign w:val="center"/>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B分标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2021年中文纸质图书（二）</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C分标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2021年中文纸质图书（三）</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71" w:type="dxa"/>
            <w:vAlign w:val="center"/>
          </w:tcPr>
          <w:p>
            <w:pPr>
              <w:snapToGrid w:val="0"/>
              <w:spacing w:line="400" w:lineRule="exact"/>
              <w:jc w:val="center"/>
              <w:rPr>
                <w:rFonts w:ascii="Arial" w:hAnsi="Arial" w:cs="Arial"/>
                <w:color w:val="auto"/>
                <w:szCs w:val="21"/>
              </w:rPr>
            </w:pPr>
            <w:r>
              <w:rPr>
                <w:rFonts w:hint="eastAsia" w:ascii="Arial" w:hAnsi="Arial" w:cs="Arial"/>
                <w:color w:val="auto"/>
                <w:szCs w:val="21"/>
              </w:rPr>
              <w:t>D</w:t>
            </w:r>
            <w:r>
              <w:rPr>
                <w:rFonts w:ascii="Arial" w:hAnsi="Arial" w:cs="Arial"/>
                <w:color w:val="auto"/>
                <w:szCs w:val="21"/>
              </w:rPr>
              <w:t>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2021年中文纸质图书（四）</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bl>
    <w:p>
      <w:pPr>
        <w:spacing w:line="312" w:lineRule="auto"/>
        <w:ind w:firstLine="420" w:firstLineChars="200"/>
        <w:jc w:val="left"/>
        <w:rPr>
          <w:color w:val="auto"/>
          <w:kern w:val="0"/>
          <w:szCs w:val="21"/>
        </w:rPr>
      </w:pPr>
    </w:p>
    <w:p>
      <w:pPr>
        <w:spacing w:line="312" w:lineRule="auto"/>
        <w:ind w:firstLine="420" w:firstLineChars="200"/>
        <w:jc w:val="left"/>
        <w:rPr>
          <w:color w:val="auto"/>
          <w:kern w:val="0"/>
          <w:szCs w:val="21"/>
        </w:rPr>
      </w:pPr>
      <w:r>
        <w:rPr>
          <w:color w:val="auto"/>
          <w:kern w:val="0"/>
          <w:szCs w:val="21"/>
        </w:rPr>
        <w:t>如需进一步了解详细内容，详见招标文件。</w:t>
      </w:r>
    </w:p>
    <w:p>
      <w:pPr>
        <w:numPr>
          <w:ilvl w:val="0"/>
          <w:numId w:val="1"/>
        </w:numPr>
        <w:spacing w:line="312" w:lineRule="auto"/>
        <w:ind w:firstLine="420" w:firstLineChars="200"/>
        <w:jc w:val="left"/>
        <w:rPr>
          <w:color w:val="auto"/>
          <w:kern w:val="0"/>
          <w:szCs w:val="21"/>
        </w:rPr>
      </w:pPr>
      <w:r>
        <w:rPr>
          <w:rFonts w:hint="eastAsia"/>
          <w:color w:val="auto"/>
          <w:kern w:val="0"/>
          <w:szCs w:val="21"/>
        </w:rPr>
        <w:t xml:space="preserve">合同履行期限： </w:t>
      </w:r>
      <w:r>
        <w:rPr>
          <w:rFonts w:hint="eastAsia"/>
          <w:color w:val="auto"/>
          <w:szCs w:val="21"/>
          <w:u w:val="single" w:color="FFFFFF"/>
        </w:rPr>
        <w:t>自签订合同之日起</w:t>
      </w:r>
      <w:r>
        <w:rPr>
          <w:color w:val="auto"/>
          <w:szCs w:val="21"/>
          <w:u w:val="single" w:color="FFFFFF"/>
        </w:rPr>
        <w:t>240</w:t>
      </w:r>
      <w:r>
        <w:rPr>
          <w:rFonts w:hint="eastAsia"/>
          <w:color w:val="auto"/>
          <w:szCs w:val="21"/>
          <w:u w:val="single" w:color="FFFFFF"/>
        </w:rPr>
        <w:t>日内。</w:t>
      </w:r>
      <w:r>
        <w:rPr>
          <w:color w:val="auto"/>
          <w:kern w:val="0"/>
          <w:szCs w:val="21"/>
        </w:rPr>
        <w:t xml:space="preserve">     </w:t>
      </w:r>
    </w:p>
    <w:p>
      <w:pPr>
        <w:spacing w:line="312" w:lineRule="auto"/>
        <w:ind w:firstLine="420" w:firstLineChars="200"/>
        <w:jc w:val="left"/>
        <w:rPr>
          <w:color w:val="auto"/>
          <w:kern w:val="0"/>
          <w:szCs w:val="21"/>
        </w:rPr>
      </w:pPr>
      <w:r>
        <w:rPr>
          <w:rFonts w:hint="eastAsia"/>
          <w:color w:val="auto"/>
          <w:kern w:val="0"/>
          <w:szCs w:val="21"/>
        </w:rPr>
        <w:t>8、</w:t>
      </w:r>
      <w:r>
        <w:rPr>
          <w:color w:val="auto"/>
          <w:kern w:val="0"/>
          <w:szCs w:val="21"/>
        </w:rPr>
        <w:t>本项目不接受联合体投标。</w:t>
      </w:r>
    </w:p>
    <w:p>
      <w:pPr>
        <w:spacing w:line="312" w:lineRule="auto"/>
        <w:ind w:firstLine="442" w:firstLineChars="200"/>
        <w:jc w:val="left"/>
        <w:rPr>
          <w:b/>
          <w:bCs/>
          <w:color w:val="auto"/>
          <w:kern w:val="0"/>
          <w:sz w:val="22"/>
          <w:szCs w:val="22"/>
        </w:rPr>
      </w:pPr>
      <w:r>
        <w:rPr>
          <w:rFonts w:hint="eastAsia"/>
          <w:b/>
          <w:bCs/>
          <w:color w:val="auto"/>
          <w:kern w:val="0"/>
          <w:sz w:val="22"/>
          <w:szCs w:val="22"/>
        </w:rPr>
        <w:t xml:space="preserve">二、申请人的资格要求 </w:t>
      </w:r>
    </w:p>
    <w:p>
      <w:pPr>
        <w:spacing w:line="312" w:lineRule="auto"/>
        <w:ind w:firstLine="420" w:firstLineChars="200"/>
        <w:jc w:val="left"/>
        <w:rPr>
          <w:color w:val="auto"/>
          <w:szCs w:val="21"/>
        </w:rPr>
      </w:pPr>
      <w:r>
        <w:rPr>
          <w:color w:val="auto"/>
          <w:kern w:val="0"/>
          <w:szCs w:val="21"/>
        </w:rPr>
        <w:t>1</w:t>
      </w:r>
      <w:r>
        <w:rPr>
          <w:rFonts w:hint="eastAsia"/>
          <w:color w:val="auto"/>
          <w:kern w:val="0"/>
          <w:szCs w:val="21"/>
        </w:rPr>
        <w:t>、</w:t>
      </w:r>
      <w:r>
        <w:rPr>
          <w:color w:val="auto"/>
          <w:kern w:val="0"/>
          <w:szCs w:val="21"/>
        </w:rPr>
        <w:t>基本资格条件：</w:t>
      </w:r>
      <w:r>
        <w:rPr>
          <w:rFonts w:hint="eastAsia"/>
          <w:color w:val="auto"/>
          <w:kern w:val="0"/>
          <w:szCs w:val="21"/>
        </w:rPr>
        <w:t>满足</w:t>
      </w:r>
      <w:r>
        <w:rPr>
          <w:color w:val="auto"/>
          <w:kern w:val="0"/>
          <w:szCs w:val="21"/>
        </w:rPr>
        <w:t>《中华人民共和国政府采购法》第二十二条规定；未被列入失信被执行人、重大税收违法案件当事人名单、政府采购严重违法失信行为记录名单。</w:t>
      </w:r>
    </w:p>
    <w:p>
      <w:pPr>
        <w:spacing w:line="312" w:lineRule="auto"/>
        <w:ind w:firstLine="420" w:firstLineChars="200"/>
        <w:jc w:val="left"/>
        <w:rPr>
          <w:color w:val="auto"/>
          <w:kern w:val="0"/>
          <w:szCs w:val="21"/>
        </w:rPr>
      </w:pPr>
      <w:r>
        <w:rPr>
          <w:rFonts w:hint="eastAsia"/>
          <w:color w:val="auto"/>
          <w:szCs w:val="21"/>
        </w:rPr>
        <w:t>2、落实政府采购政采需满足的资格要求：</w:t>
      </w:r>
      <w:r>
        <w:rPr>
          <w:color w:val="auto"/>
          <w:kern w:val="0"/>
          <w:szCs w:val="21"/>
        </w:rPr>
        <w:t>本项目适用政府采购促进中小企业、监狱企业发展、促进残疾人就业等有关政策，具体详见招标文件。</w:t>
      </w:r>
    </w:p>
    <w:p>
      <w:pPr>
        <w:spacing w:line="312" w:lineRule="auto"/>
        <w:ind w:firstLine="420" w:firstLineChars="200"/>
        <w:jc w:val="left"/>
        <w:rPr>
          <w:color w:val="auto"/>
          <w:kern w:val="0"/>
          <w:szCs w:val="21"/>
        </w:rPr>
      </w:pPr>
      <w:r>
        <w:rPr>
          <w:color w:val="auto"/>
          <w:kern w:val="0"/>
          <w:szCs w:val="21"/>
        </w:rPr>
        <w:t>3．特定资格条件：</w:t>
      </w:r>
      <w:r>
        <w:rPr>
          <w:rFonts w:hint="eastAsia"/>
          <w:color w:val="auto"/>
          <w:kern w:val="0"/>
          <w:szCs w:val="21"/>
        </w:rPr>
        <w:t>供应商具有有效的《中华人民共和国出版物经营许可证》且具备图书经营资格</w:t>
      </w:r>
      <w:r>
        <w:rPr>
          <w:color w:val="auto"/>
          <w:kern w:val="0"/>
          <w:szCs w:val="21"/>
        </w:rPr>
        <w:t>。</w:t>
      </w:r>
    </w:p>
    <w:p>
      <w:pPr>
        <w:spacing w:line="312" w:lineRule="auto"/>
        <w:ind w:firstLine="420" w:firstLineChars="200"/>
        <w:jc w:val="left"/>
        <w:rPr>
          <w:color w:val="auto"/>
          <w:kern w:val="0"/>
          <w:szCs w:val="21"/>
        </w:rPr>
      </w:pPr>
      <w:r>
        <w:rPr>
          <w:color w:val="auto"/>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pPr>
        <w:spacing w:line="312" w:lineRule="auto"/>
        <w:ind w:firstLine="420" w:firstLineChars="200"/>
        <w:jc w:val="left"/>
        <w:rPr>
          <w:color w:val="auto"/>
          <w:kern w:val="0"/>
          <w:szCs w:val="21"/>
        </w:rPr>
      </w:pPr>
      <w:r>
        <w:rPr>
          <w:color w:val="auto"/>
          <w:kern w:val="0"/>
          <w:szCs w:val="21"/>
        </w:rPr>
        <w:t>5．</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keepNext/>
        <w:keepLines/>
        <w:spacing w:before="260" w:after="260" w:line="360" w:lineRule="auto"/>
        <w:outlineLvl w:val="1"/>
        <w:rPr>
          <w:rFonts w:ascii="宋体" w:hAnsi="宋体" w:cs="宋体"/>
          <w:b/>
          <w:bCs/>
          <w:color w:val="auto"/>
          <w:szCs w:val="21"/>
        </w:rPr>
      </w:pPr>
      <w:bookmarkStart w:id="11" w:name="_Toc35393623"/>
      <w:bookmarkStart w:id="12" w:name="_Toc35393792"/>
      <w:r>
        <w:rPr>
          <w:rFonts w:hint="eastAsia" w:ascii="宋体" w:hAnsi="宋体" w:cs="宋体"/>
          <w:b/>
          <w:bCs/>
          <w:color w:val="auto"/>
          <w:szCs w:val="21"/>
        </w:rPr>
        <w:t>三、获取招标文件</w:t>
      </w:r>
      <w:bookmarkEnd w:id="11"/>
      <w:bookmarkEnd w:id="12"/>
      <w:r>
        <w:rPr>
          <w:rFonts w:hint="eastAsia" w:ascii="宋体" w:hAnsi="宋体" w:cs="宋体"/>
          <w:b/>
          <w:bCs/>
          <w:color w:val="auto"/>
          <w:szCs w:val="21"/>
        </w:rPr>
        <w:t>：</w:t>
      </w:r>
    </w:p>
    <w:p>
      <w:pPr>
        <w:spacing w:line="360" w:lineRule="auto"/>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2021</w:t>
      </w:r>
      <w:r>
        <w:rPr>
          <w:rFonts w:ascii="宋体" w:hAnsi="宋体" w:cs="宋体"/>
          <w:color w:val="auto"/>
          <w:szCs w:val="21"/>
          <w:u w:val="single"/>
        </w:rPr>
        <w:t xml:space="preserve"> </w:t>
      </w:r>
      <w:r>
        <w:rPr>
          <w:rFonts w:hint="eastAsia" w:ascii="宋体" w:hAnsi="宋体" w:cs="宋体"/>
          <w:color w:val="auto"/>
          <w:szCs w:val="21"/>
          <w:u w:val="single"/>
        </w:rPr>
        <w:t>年   月   日</w:t>
      </w:r>
      <w:r>
        <w:rPr>
          <w:rFonts w:hint="eastAsia" w:ascii="宋体" w:hAnsi="宋体" w:cs="宋体"/>
          <w:color w:val="auto"/>
          <w:szCs w:val="21"/>
        </w:rPr>
        <w:t>至</w:t>
      </w:r>
      <w:r>
        <w:rPr>
          <w:rFonts w:hint="eastAsia" w:ascii="宋体" w:hAnsi="宋体" w:cs="宋体"/>
          <w:color w:val="auto"/>
          <w:szCs w:val="21"/>
          <w:u w:val="single"/>
        </w:rPr>
        <w:t>2021年   月   日</w:t>
      </w:r>
      <w:r>
        <w:rPr>
          <w:rFonts w:hint="eastAsia" w:ascii="宋体" w:hAnsi="宋体"/>
          <w:color w:val="auto"/>
          <w:szCs w:val="21"/>
        </w:rPr>
        <w:t>，</w:t>
      </w:r>
      <w:r>
        <w:rPr>
          <w:rFonts w:hint="eastAsia" w:ascii="宋体" w:hAnsi="宋体" w:cs="宋体"/>
          <w:color w:val="auto"/>
          <w:szCs w:val="21"/>
        </w:rPr>
        <w:t>每天上午</w:t>
      </w:r>
      <w:r>
        <w:rPr>
          <w:rFonts w:hint="eastAsia" w:ascii="宋体" w:hAnsi="宋体" w:cs="宋体"/>
          <w:color w:val="auto"/>
          <w:szCs w:val="21"/>
          <w:u w:val="single"/>
        </w:rPr>
        <w:t>08:30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15:00</w:t>
      </w:r>
      <w:r>
        <w:rPr>
          <w:rFonts w:hint="eastAsia" w:ascii="宋体" w:hAnsi="宋体" w:cs="宋体"/>
          <w:color w:val="auto"/>
          <w:szCs w:val="21"/>
        </w:rPr>
        <w:t>至</w:t>
      </w:r>
      <w:r>
        <w:rPr>
          <w:rFonts w:hint="eastAsia" w:ascii="宋体" w:hAnsi="宋体" w:cs="宋体"/>
          <w:color w:val="auto"/>
          <w:szCs w:val="21"/>
          <w:u w:val="single"/>
        </w:rPr>
        <w:t>17:30</w:t>
      </w:r>
      <w:r>
        <w:rPr>
          <w:rFonts w:hint="eastAsia" w:ascii="宋体" w:hAnsi="宋体" w:cs="宋体"/>
          <w:color w:val="auto"/>
          <w:szCs w:val="21"/>
        </w:rPr>
        <w:t>（北京时间，</w:t>
      </w:r>
      <w:r>
        <w:rPr>
          <w:rFonts w:ascii="宋体" w:hAnsi="宋体" w:cs="宋体"/>
          <w:color w:val="auto"/>
          <w:szCs w:val="21"/>
        </w:rPr>
        <w:t>法定节假日</w:t>
      </w:r>
      <w:r>
        <w:rPr>
          <w:rFonts w:hint="eastAsia" w:ascii="宋体" w:hAnsi="宋体" w:cs="宋体"/>
          <w:color w:val="auto"/>
          <w:szCs w:val="21"/>
        </w:rPr>
        <w:t>除外）</w:t>
      </w:r>
    </w:p>
    <w:p>
      <w:pPr>
        <w:spacing w:line="360" w:lineRule="auto"/>
        <w:ind w:firstLine="540"/>
        <w:rPr>
          <w:rFonts w:ascii="宋体" w:hAnsi="宋体" w:cs="宋体"/>
          <w:color w:val="auto"/>
          <w:szCs w:val="21"/>
          <w:u w:val="single"/>
        </w:rPr>
      </w:pPr>
      <w:r>
        <w:rPr>
          <w:rFonts w:hint="eastAsia" w:ascii="宋体" w:hAnsi="宋体" w:cs="宋体"/>
          <w:color w:val="auto"/>
          <w:szCs w:val="21"/>
        </w:rPr>
        <w:t>地点：广西北部湾宏亚建设管理有限公司（南宁市高新区科园大道东四路7号远信光电产业大楼25层2517号）</w:t>
      </w:r>
    </w:p>
    <w:p>
      <w:pPr>
        <w:spacing w:line="360" w:lineRule="auto"/>
        <w:ind w:firstLine="540"/>
        <w:rPr>
          <w:rFonts w:ascii="宋体" w:hAnsi="宋体" w:cs="宋体"/>
          <w:color w:val="auto"/>
          <w:szCs w:val="21"/>
          <w:u w:val="single"/>
        </w:rPr>
      </w:pPr>
      <w:r>
        <w:rPr>
          <w:rFonts w:hint="eastAsia" w:ascii="宋体" w:hAnsi="宋体" w:cs="宋体"/>
          <w:color w:val="auto"/>
          <w:szCs w:val="21"/>
        </w:rPr>
        <w:t>方式：购买招标文件时，须由供应商的法定代表人（负责人）携带法人身份证明及身份证原件购买或授权代理人携带法定代表人（负责人）授权书原件（法定代表人（负责人）授权书必须有法定代表人（负责人）签字，必须注明项目名称及编号，并明确委托权限）及身份证原件购买，材料齐全且合格后方可购买招标文件,</w:t>
      </w:r>
      <w:r>
        <w:rPr>
          <w:rFonts w:hint="eastAsia" w:ascii="宋体" w:hAnsi="宋体" w:cs="Arial"/>
          <w:color w:val="auto"/>
          <w:szCs w:val="21"/>
        </w:rPr>
        <w:t xml:space="preserve"> （</w:t>
      </w:r>
      <w:r>
        <w:rPr>
          <w:rFonts w:hint="eastAsia" w:ascii="宋体" w:hAnsi="宋体" w:cs="Arial"/>
          <w:b/>
          <w:color w:val="auto"/>
          <w:szCs w:val="21"/>
        </w:rPr>
        <w:t>注：为了</w:t>
      </w:r>
      <w:r>
        <w:rPr>
          <w:rFonts w:hint="eastAsia" w:cs="Arial"/>
          <w:b/>
          <w:bCs/>
          <w:color w:val="auto"/>
          <w:sz w:val="20"/>
        </w:rPr>
        <w:t>配合采购单位政府采购项目执行和备案，未在政采云注册的供应商可在获取招标文件后登录政采云进行注册，如在操作过程中遇到问题或者需要技术支持，请致电政采云客服热线：400-881-7190</w:t>
      </w:r>
      <w:r>
        <w:rPr>
          <w:rFonts w:hint="eastAsia" w:ascii="宋体" w:hAnsi="宋体" w:cs="Arial"/>
          <w:color w:val="auto"/>
          <w:szCs w:val="21"/>
        </w:rPr>
        <w:t>）</w:t>
      </w:r>
      <w:r>
        <w:rPr>
          <w:rFonts w:hint="eastAsia" w:ascii="宋体" w:hAnsi="宋体" w:cs="宋体"/>
          <w:color w:val="auto"/>
          <w:szCs w:val="21"/>
        </w:rPr>
        <w:t>。</w:t>
      </w:r>
    </w:p>
    <w:p>
      <w:pPr>
        <w:spacing w:line="360" w:lineRule="auto"/>
        <w:ind w:firstLine="540"/>
        <w:rPr>
          <w:rFonts w:ascii="宋体" w:hAnsi="宋体" w:cs="宋体"/>
          <w:color w:val="auto"/>
          <w:szCs w:val="21"/>
        </w:rPr>
      </w:pPr>
      <w:r>
        <w:rPr>
          <w:rFonts w:hint="eastAsia" w:ascii="宋体" w:hAnsi="宋体" w:cs="宋体"/>
          <w:color w:val="auto"/>
          <w:szCs w:val="21"/>
        </w:rPr>
        <w:t>售价：招标文件工本费每套250元，招标文件售后不退。</w:t>
      </w:r>
    </w:p>
    <w:p>
      <w:pPr>
        <w:keepNext/>
        <w:keepLines/>
        <w:spacing w:before="260" w:after="260" w:line="360" w:lineRule="auto"/>
        <w:outlineLvl w:val="1"/>
        <w:rPr>
          <w:rFonts w:ascii="宋体" w:hAnsi="宋体" w:cs="宋体"/>
          <w:b/>
          <w:bCs/>
          <w:color w:val="auto"/>
          <w:szCs w:val="21"/>
        </w:rPr>
      </w:pPr>
      <w:bookmarkStart w:id="13" w:name="_Toc28359005"/>
      <w:bookmarkStart w:id="14" w:name="_Toc28359082"/>
      <w:bookmarkStart w:id="15" w:name="_Toc35393793"/>
      <w:bookmarkStart w:id="16" w:name="_Toc35393624"/>
      <w:r>
        <w:rPr>
          <w:rFonts w:hint="eastAsia" w:ascii="宋体" w:hAnsi="宋体" w:cs="宋体"/>
          <w:b/>
          <w:bCs/>
          <w:color w:val="auto"/>
          <w:szCs w:val="21"/>
        </w:rPr>
        <w:t>四、提交投标文件</w:t>
      </w:r>
      <w:bookmarkEnd w:id="13"/>
      <w:bookmarkEnd w:id="14"/>
      <w:r>
        <w:rPr>
          <w:rFonts w:hint="eastAsia" w:ascii="宋体" w:hAnsi="宋体" w:cs="宋体"/>
          <w:b/>
          <w:bCs/>
          <w:color w:val="auto"/>
          <w:szCs w:val="21"/>
        </w:rPr>
        <w:t>截止时间、开标时间和地点</w:t>
      </w:r>
      <w:bookmarkEnd w:id="15"/>
      <w:bookmarkEnd w:id="16"/>
      <w:r>
        <w:rPr>
          <w:rFonts w:hint="eastAsia" w:ascii="宋体" w:hAnsi="宋体" w:cs="宋体"/>
          <w:b/>
          <w:bCs/>
          <w:color w:val="auto"/>
          <w:szCs w:val="21"/>
        </w:rPr>
        <w:t>：</w:t>
      </w:r>
    </w:p>
    <w:p>
      <w:pPr>
        <w:spacing w:line="360" w:lineRule="auto"/>
        <w:ind w:firstLine="420" w:firstLineChars="200"/>
        <w:rPr>
          <w:rFonts w:ascii="宋体" w:hAnsi="宋体"/>
          <w:color w:val="auto"/>
          <w:szCs w:val="21"/>
        </w:rPr>
      </w:pPr>
      <w:r>
        <w:rPr>
          <w:rFonts w:hint="eastAsia" w:ascii="宋体" w:hAnsi="宋体"/>
          <w:bCs/>
          <w:color w:val="auto"/>
          <w:szCs w:val="21"/>
          <w:u w:val="single"/>
        </w:rPr>
        <w:t>2021年   月   日   点    分</w:t>
      </w:r>
      <w:r>
        <w:rPr>
          <w:rFonts w:hint="eastAsia" w:ascii="宋体" w:hAnsi="宋体"/>
          <w:bCs/>
          <w:color w:val="auto"/>
          <w:szCs w:val="21"/>
        </w:rPr>
        <w:t>（北京时间）</w:t>
      </w:r>
      <w:r>
        <w:rPr>
          <w:rFonts w:hint="eastAsia" w:ascii="宋体" w:hAnsi="宋体"/>
          <w:color w:val="auto"/>
          <w:szCs w:val="21"/>
        </w:rPr>
        <w:t>地点：广西壮族自治区公共资源交易中心（广西南宁市青秀区怡宾路6号自治区政务服务中心4楼）（具体开标室根据电子屏幕显示的安排）</w:t>
      </w:r>
    </w:p>
    <w:p>
      <w:pPr>
        <w:spacing w:line="360" w:lineRule="auto"/>
        <w:ind w:firstLine="420" w:firstLineChars="200"/>
        <w:rPr>
          <w:rFonts w:ascii="宋体" w:hAnsi="宋体"/>
          <w:bCs/>
          <w:color w:val="auto"/>
          <w:szCs w:val="21"/>
        </w:rPr>
      </w:pPr>
      <w:r>
        <w:rPr>
          <w:rFonts w:hint="eastAsia" w:ascii="宋体" w:hAnsi="宋体"/>
          <w:bCs/>
          <w:color w:val="auto"/>
          <w:szCs w:val="21"/>
        </w:rPr>
        <w:t>1、因疫情防控需要，投标人可根据自身实际情况在以下两种送达方式中选择其中一种：</w:t>
      </w:r>
    </w:p>
    <w:p>
      <w:pPr>
        <w:spacing w:line="360" w:lineRule="auto"/>
        <w:ind w:firstLine="420" w:firstLineChars="200"/>
        <w:rPr>
          <w:rFonts w:ascii="宋体" w:hAnsi="宋体"/>
          <w:bCs/>
          <w:color w:val="auto"/>
          <w:szCs w:val="21"/>
        </w:rPr>
      </w:pPr>
      <w:r>
        <w:rPr>
          <w:rFonts w:hint="eastAsia" w:ascii="宋体" w:hAnsi="宋体"/>
          <w:bCs/>
          <w:color w:val="auto"/>
          <w:szCs w:val="21"/>
        </w:rPr>
        <w:t>1.1、投标人应于</w:t>
      </w:r>
      <w:r>
        <w:rPr>
          <w:rFonts w:hint="eastAsia" w:ascii="宋体" w:hAnsi="宋体"/>
          <w:bCs/>
          <w:color w:val="auto"/>
          <w:szCs w:val="21"/>
          <w:u w:val="single"/>
        </w:rPr>
        <w:t>2021年   月   日   点  分</w:t>
      </w:r>
      <w:r>
        <w:rPr>
          <w:rFonts w:hint="eastAsia" w:ascii="宋体" w:hAnsi="宋体"/>
          <w:bCs/>
          <w:color w:val="auto"/>
          <w:szCs w:val="21"/>
        </w:rPr>
        <w:t>前亲自将投标文件密封送交到广西壮族自治区公共资源交易中心（广西南宁市青秀区怡宾路6号自治区政务服务中心4楼）（具体开标室根据电子屏幕显示的安排），逾期送达或未按规定密封的投标文件将被拒绝；没有购买招标文件的供应商的投标文件将被拒绝。</w:t>
      </w:r>
    </w:p>
    <w:p>
      <w:pPr>
        <w:spacing w:line="360" w:lineRule="auto"/>
        <w:ind w:firstLine="420" w:firstLineChars="200"/>
        <w:rPr>
          <w:rFonts w:ascii="宋体" w:hAnsi="宋体"/>
          <w:bCs/>
          <w:color w:val="auto"/>
          <w:szCs w:val="21"/>
        </w:rPr>
      </w:pPr>
      <w:r>
        <w:rPr>
          <w:rFonts w:hint="eastAsia" w:ascii="宋体" w:hAnsi="宋体"/>
          <w:bCs/>
          <w:color w:val="auto"/>
          <w:szCs w:val="21"/>
        </w:rPr>
        <w:t>1.2投标人自本公告发布之时至</w:t>
      </w:r>
      <w:r>
        <w:rPr>
          <w:rFonts w:hint="eastAsia" w:ascii="宋体" w:hAnsi="宋体"/>
          <w:bCs/>
          <w:color w:val="auto"/>
          <w:szCs w:val="21"/>
          <w:u w:val="single"/>
        </w:rPr>
        <w:t>2021年   月   日   点   分</w:t>
      </w:r>
      <w:r>
        <w:rPr>
          <w:rFonts w:hint="eastAsia" w:ascii="宋体" w:hAnsi="宋体"/>
          <w:bCs/>
          <w:color w:val="auto"/>
          <w:szCs w:val="21"/>
        </w:rPr>
        <w:t>00秒前通过邮寄方式送达，送达时间以交易中心签收时间为准，在投标截止时间前邮寄送达的投标文件视为投标人现场递交。如未按投标截止时间（开标时间）前寄达的投标文件将予以拒收。通过邮寄方式送达的投标人请将投标文件于投标截止时间前寄达：广西南宁市怡宾路6号四楼广西壮族自治区公共资源交易中心。收件人：农进师，电话</w:t>
      </w:r>
      <w:r>
        <w:rPr>
          <w:rFonts w:ascii="宋体" w:hAnsi="宋体"/>
          <w:bCs/>
          <w:color w:val="auto"/>
          <w:szCs w:val="21"/>
        </w:rPr>
        <w:t>18077772581</w:t>
      </w:r>
      <w:r>
        <w:rPr>
          <w:rFonts w:hint="eastAsia" w:ascii="宋体" w:hAnsi="宋体"/>
          <w:bCs/>
          <w:color w:val="auto"/>
          <w:szCs w:val="21"/>
        </w:rPr>
        <w:t>.请寄件人在邮件外包装写清楚是***项目投标文件，并留真实姓名和联系电话。邮寄可能产生的风险，投标人自行承担。</w:t>
      </w:r>
    </w:p>
    <w:p>
      <w:pPr>
        <w:spacing w:line="360" w:lineRule="auto"/>
        <w:ind w:firstLine="420" w:firstLineChars="200"/>
        <w:rPr>
          <w:rFonts w:ascii="宋体" w:hAnsi="宋体"/>
          <w:bCs/>
          <w:color w:val="auto"/>
          <w:szCs w:val="21"/>
        </w:rPr>
      </w:pPr>
      <w:r>
        <w:rPr>
          <w:rFonts w:hint="eastAsia" w:ascii="宋体" w:hAnsi="宋体"/>
          <w:bCs/>
          <w:color w:val="auto"/>
          <w:szCs w:val="21"/>
        </w:rPr>
        <w:t>选择邮寄的投标人视为对本项目的唱标记录直接确认，其签到时间为投标文件送达时间，具体时间以采购代理机构工作人员签收时间为准，签到表和唱标记录表中对投标人标注为“邮寄”字样。</w:t>
      </w:r>
    </w:p>
    <w:p>
      <w:pPr>
        <w:keepNext/>
        <w:keepLines/>
        <w:spacing w:before="260" w:after="260" w:line="360" w:lineRule="auto"/>
        <w:outlineLvl w:val="1"/>
        <w:rPr>
          <w:rFonts w:ascii="宋体" w:hAnsi="宋体" w:cs="宋体"/>
          <w:b/>
          <w:bCs/>
          <w:color w:val="auto"/>
          <w:szCs w:val="21"/>
        </w:rPr>
      </w:pPr>
      <w:bookmarkStart w:id="17" w:name="_Toc28359007"/>
      <w:bookmarkStart w:id="18" w:name="_Toc35393794"/>
      <w:bookmarkStart w:id="19" w:name="_Toc28359084"/>
      <w:bookmarkStart w:id="20" w:name="_Toc35393625"/>
      <w:r>
        <w:rPr>
          <w:rFonts w:hint="eastAsia" w:ascii="宋体" w:hAnsi="宋体" w:cs="宋体"/>
          <w:b/>
          <w:bCs/>
          <w:color w:val="auto"/>
          <w:szCs w:val="21"/>
        </w:rPr>
        <w:t>五、公告期限</w:t>
      </w:r>
      <w:bookmarkEnd w:id="17"/>
      <w:bookmarkEnd w:id="18"/>
      <w:bookmarkEnd w:id="19"/>
      <w:bookmarkEnd w:id="20"/>
      <w:r>
        <w:rPr>
          <w:rFonts w:hint="eastAsia" w:ascii="宋体" w:hAnsi="宋体" w:cs="宋体"/>
          <w:b/>
          <w:bCs/>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keepNext/>
        <w:keepLines/>
        <w:spacing w:before="260" w:after="260" w:line="360" w:lineRule="auto"/>
        <w:outlineLvl w:val="1"/>
        <w:rPr>
          <w:rFonts w:ascii="宋体" w:hAnsi="宋体" w:cs="宋体"/>
          <w:b/>
          <w:bCs/>
          <w:color w:val="auto"/>
          <w:szCs w:val="21"/>
        </w:rPr>
      </w:pPr>
      <w:bookmarkStart w:id="21" w:name="_Toc35393626"/>
      <w:bookmarkStart w:id="22" w:name="_Toc35393795"/>
      <w:r>
        <w:rPr>
          <w:rFonts w:hint="eastAsia" w:ascii="宋体" w:hAnsi="宋体" w:cs="宋体"/>
          <w:b/>
          <w:bCs/>
          <w:color w:val="auto"/>
          <w:szCs w:val="21"/>
        </w:rPr>
        <w:t>六、其他补充事宜</w:t>
      </w:r>
      <w:bookmarkEnd w:id="21"/>
      <w:bookmarkEnd w:id="22"/>
      <w:r>
        <w:rPr>
          <w:rFonts w:hint="eastAsia" w:ascii="宋体" w:hAnsi="宋体" w:cs="宋体"/>
          <w:b/>
          <w:bCs/>
          <w:color w:val="auto"/>
          <w:szCs w:val="21"/>
        </w:rPr>
        <w:t>：</w:t>
      </w:r>
    </w:p>
    <w:p>
      <w:pPr>
        <w:pStyle w:val="31"/>
        <w:spacing w:line="360" w:lineRule="auto"/>
        <w:rPr>
          <w:rFonts w:ascii="宋体" w:hAnsi="宋体" w:cs="宋体"/>
          <w:bCs/>
          <w:color w:val="auto"/>
          <w:sz w:val="21"/>
          <w:szCs w:val="21"/>
        </w:rPr>
      </w:pPr>
      <w:r>
        <w:rPr>
          <w:rFonts w:hint="eastAsia"/>
          <w:color w:val="auto"/>
        </w:rPr>
        <w:t xml:space="preserve">   </w:t>
      </w:r>
      <w:r>
        <w:rPr>
          <w:rFonts w:hint="eastAsia" w:ascii="宋体" w:hAnsi="宋体" w:cs="宋体"/>
          <w:bCs/>
          <w:color w:val="auto"/>
          <w:sz w:val="21"/>
          <w:szCs w:val="21"/>
        </w:rPr>
        <w:t xml:space="preserve">  1. 投标保证金：</w:t>
      </w:r>
    </w:p>
    <w:p>
      <w:pPr>
        <w:pStyle w:val="31"/>
        <w:spacing w:line="360" w:lineRule="auto"/>
        <w:rPr>
          <w:rFonts w:ascii="宋体" w:hAnsi="宋体" w:cs="宋体"/>
          <w:bCs/>
          <w:color w:val="auto"/>
          <w:sz w:val="21"/>
          <w:szCs w:val="21"/>
        </w:rPr>
      </w:pPr>
      <w:r>
        <w:rPr>
          <w:rFonts w:hint="eastAsia" w:ascii="宋体" w:hAnsi="宋体" w:cs="宋体"/>
          <w:bCs/>
          <w:color w:val="auto"/>
          <w:sz w:val="21"/>
          <w:szCs w:val="21"/>
        </w:rPr>
        <w:t>投标保证金（人民币）：A分标：人民币壹万伍仟元整（¥15,000）；B分标人民币壹万元整（¥10,000）；C分标人民币壹万元整（¥10,000）；D分标人民币壹万元整（¥10,000）。投标保证金必须足额交纳。</w:t>
      </w:r>
    </w:p>
    <w:p>
      <w:pPr>
        <w:pStyle w:val="31"/>
        <w:spacing w:line="360" w:lineRule="auto"/>
        <w:rPr>
          <w:rFonts w:ascii="宋体" w:hAnsi="宋体" w:cs="宋体"/>
          <w:bCs/>
          <w:color w:val="auto"/>
          <w:sz w:val="21"/>
          <w:szCs w:val="21"/>
        </w:rPr>
      </w:pPr>
      <w:r>
        <w:rPr>
          <w:rFonts w:hint="eastAsia" w:ascii="宋体" w:hAnsi="宋体" w:cs="宋体"/>
          <w:bCs/>
          <w:color w:val="auto"/>
          <w:sz w:val="21"/>
          <w:szCs w:val="21"/>
        </w:rPr>
        <w:t>投标人应于投标截止时间前将投标保证金以电汇、转账、汇票等非现金形式交至广西北部湾宏亚建设管理有限公司账户，并确保到账（递交投标保证金请选择资金类型为保证金，并备注项目名称或项目编号及分标）。开户名称：广西北部湾宏亚建设管理有限公司，开户银行：广西北部湾银行南宁市秀灵支行，银行账号：805012025200001。</w:t>
      </w:r>
    </w:p>
    <w:p>
      <w:pPr>
        <w:spacing w:line="360" w:lineRule="auto"/>
        <w:ind w:firstLine="420" w:firstLineChars="200"/>
        <w:rPr>
          <w:rFonts w:ascii="宋体" w:hAnsi="宋体"/>
          <w:color w:val="auto"/>
          <w:szCs w:val="21"/>
        </w:rPr>
      </w:pPr>
      <w:r>
        <w:rPr>
          <w:rFonts w:hint="eastAsia" w:ascii="宋体" w:hAnsi="宋体" w:cs="宋体"/>
          <w:bCs/>
          <w:color w:val="auto"/>
          <w:szCs w:val="21"/>
        </w:rPr>
        <w:t>2. 本项目需要落实的政府采购政策：《政府采购促进中小企业发展暂行办法》（财库[2011]181号）、《关于政府采购支持监狱企业发展有关问题的通知》（财库[201</w:t>
      </w:r>
      <w:r>
        <w:rPr>
          <w:rFonts w:hint="eastAsia" w:ascii="宋体" w:hAnsi="宋体"/>
          <w:color w:val="auto"/>
          <w:szCs w:val="21"/>
        </w:rPr>
        <w:t>4]68号）、《关于我区政府采购支持监狱企业发展有关问题的通知》（桂财采[2015]24号）、《三部门联合发布关于促进残疾人就业政府采购政策的通知》（财库[2017]141号）、强制采购、优先采购节能产品、环境标志产品、政府采购扶持不发达地区和少数民族地区政策、《招标采购促进广西工业产品产销对接实施细则》（桂政办发[2015]78号）等政府采购相关政策。</w:t>
      </w:r>
    </w:p>
    <w:p>
      <w:pPr>
        <w:pStyle w:val="31"/>
        <w:spacing w:line="360" w:lineRule="auto"/>
        <w:rPr>
          <w:rFonts w:ascii="宋体" w:hAnsi="宋体"/>
          <w:color w:val="auto"/>
          <w:sz w:val="21"/>
          <w:szCs w:val="21"/>
        </w:rPr>
      </w:pPr>
      <w:r>
        <w:rPr>
          <w:rFonts w:hint="eastAsia"/>
          <w:color w:val="auto"/>
        </w:rPr>
        <w:t xml:space="preserve">   </w:t>
      </w:r>
      <w:r>
        <w:rPr>
          <w:rFonts w:hint="eastAsia" w:ascii="宋体" w:hAnsi="宋体"/>
          <w:color w:val="auto"/>
          <w:sz w:val="21"/>
          <w:szCs w:val="21"/>
        </w:rPr>
        <w:t xml:space="preserve"> 3. 网上查询地址：</w:t>
      </w:r>
    </w:p>
    <w:p>
      <w:pPr>
        <w:pStyle w:val="31"/>
        <w:spacing w:line="360" w:lineRule="auto"/>
        <w:rPr>
          <w:rFonts w:ascii="宋体" w:hAnsi="宋体"/>
          <w:color w:val="auto"/>
          <w:sz w:val="21"/>
          <w:szCs w:val="21"/>
        </w:rPr>
      </w:pPr>
      <w:r>
        <w:rPr>
          <w:rFonts w:hint="eastAsia" w:ascii="宋体" w:hAnsi="宋体"/>
          <w:color w:val="auto"/>
          <w:sz w:val="21"/>
          <w:szCs w:val="21"/>
        </w:rPr>
        <w:t>中国政府采购网（www.ccgp.gov.cn）、广西政府采购网（zfcg.gxzf.gov.cn）、广西壮族自治区公共资源交易中心网站（www.gxzbtb.cn）。</w:t>
      </w:r>
    </w:p>
    <w:p>
      <w:pPr>
        <w:keepNext/>
        <w:keepLines/>
        <w:spacing w:before="260" w:after="260" w:line="360" w:lineRule="auto"/>
        <w:outlineLvl w:val="1"/>
        <w:rPr>
          <w:rFonts w:ascii="宋体" w:hAnsi="宋体" w:cs="宋体"/>
          <w:b/>
          <w:bCs/>
          <w:color w:val="auto"/>
          <w:szCs w:val="21"/>
        </w:rPr>
      </w:pPr>
      <w:bookmarkStart w:id="23" w:name="_Toc35393796"/>
      <w:bookmarkStart w:id="24" w:name="_Toc28359085"/>
      <w:bookmarkStart w:id="25" w:name="_Toc28359008"/>
      <w:bookmarkStart w:id="26" w:name="_Toc35393627"/>
      <w:r>
        <w:rPr>
          <w:rFonts w:hint="eastAsia" w:ascii="宋体" w:hAnsi="宋体" w:cs="宋体"/>
          <w:b/>
          <w:bCs/>
          <w:color w:val="auto"/>
          <w:szCs w:val="21"/>
        </w:rPr>
        <w:t>七、对本次招标提出询问，请按</w:t>
      </w:r>
      <w:r>
        <w:rPr>
          <w:rFonts w:ascii="宋体" w:hAnsi="宋体" w:cs="宋体"/>
          <w:b/>
          <w:bCs/>
          <w:color w:val="auto"/>
          <w:szCs w:val="21"/>
        </w:rPr>
        <w:t>以下方式</w:t>
      </w:r>
      <w:r>
        <w:rPr>
          <w:rFonts w:hint="eastAsia" w:ascii="宋体" w:hAnsi="宋体" w:cs="宋体"/>
          <w:b/>
          <w:bCs/>
          <w:color w:val="auto"/>
          <w:szCs w:val="21"/>
        </w:rPr>
        <w:t>联系。</w:t>
      </w:r>
      <w:bookmarkEnd w:id="23"/>
      <w:bookmarkEnd w:id="24"/>
      <w:bookmarkEnd w:id="25"/>
      <w:bookmarkEnd w:id="26"/>
    </w:p>
    <w:p>
      <w:pPr>
        <w:widowControl/>
        <w:spacing w:line="360" w:lineRule="auto"/>
        <w:ind w:firstLine="630" w:firstLineChars="300"/>
        <w:jc w:val="left"/>
        <w:rPr>
          <w:rFonts w:ascii="宋体" w:hAnsi="宋体"/>
          <w:color w:val="auto"/>
          <w:szCs w:val="21"/>
        </w:rPr>
      </w:pPr>
      <w:r>
        <w:rPr>
          <w:rFonts w:hint="eastAsia" w:ascii="宋体" w:hAnsi="宋体" w:cs="宋体"/>
          <w:color w:val="auto"/>
          <w:szCs w:val="21"/>
        </w:rPr>
        <w:t>1.采购人信息</w:t>
      </w:r>
    </w:p>
    <w:p>
      <w:pPr>
        <w:spacing w:line="360" w:lineRule="auto"/>
        <w:ind w:left="1041" w:leftChars="371" w:hanging="262" w:hangingChars="125"/>
        <w:jc w:val="left"/>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南宁师范大学</w:t>
      </w:r>
    </w:p>
    <w:p>
      <w:pPr>
        <w:spacing w:line="360" w:lineRule="auto"/>
        <w:ind w:left="1041" w:leftChars="371" w:hanging="262" w:hangingChars="125"/>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广西壮族自治区南宁市明秀东路175号</w:t>
      </w:r>
    </w:p>
    <w:p>
      <w:pPr>
        <w:spacing w:line="360" w:lineRule="auto"/>
        <w:ind w:left="1041" w:leftChars="371" w:hanging="262" w:hangingChars="125"/>
        <w:jc w:val="left"/>
        <w:rPr>
          <w:rFonts w:ascii="宋体" w:hAnsi="宋体"/>
          <w:color w:val="auto"/>
          <w:szCs w:val="21"/>
          <w:u w:val="single"/>
        </w:rPr>
      </w:pPr>
      <w:r>
        <w:rPr>
          <w:rFonts w:hint="eastAsia" w:ascii="宋体" w:hAnsi="宋体"/>
          <w:color w:val="auto"/>
          <w:szCs w:val="21"/>
        </w:rPr>
        <w:t>联系方式：</w:t>
      </w:r>
      <w:bookmarkStart w:id="27" w:name="_Toc28359009"/>
      <w:bookmarkStart w:id="28" w:name="_Toc28359086"/>
      <w:r>
        <w:rPr>
          <w:rFonts w:ascii="宋体" w:hAnsi="宋体"/>
          <w:color w:val="auto"/>
          <w:szCs w:val="21"/>
          <w:u w:val="single"/>
        </w:rPr>
        <w:t>0771-3908051</w:t>
      </w:r>
    </w:p>
    <w:p>
      <w:pPr>
        <w:spacing w:line="360" w:lineRule="auto"/>
        <w:ind w:firstLine="630" w:firstLineChars="300"/>
        <w:jc w:val="left"/>
        <w:rPr>
          <w:rFonts w:ascii="宋体" w:hAnsi="宋体"/>
          <w:color w:val="auto"/>
          <w:szCs w:val="21"/>
        </w:rPr>
      </w:pPr>
      <w:r>
        <w:rPr>
          <w:rFonts w:hint="eastAsia" w:ascii="宋体" w:hAnsi="宋体" w:cs="宋体"/>
          <w:color w:val="auto"/>
          <w:szCs w:val="21"/>
        </w:rPr>
        <w:t>2.采购代理机构信息</w:t>
      </w:r>
      <w:bookmarkEnd w:id="27"/>
      <w:bookmarkEnd w:id="28"/>
    </w:p>
    <w:p>
      <w:pPr>
        <w:spacing w:line="360" w:lineRule="auto"/>
        <w:ind w:firstLine="630" w:firstLineChars="300"/>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广西北部湾宏亚建设管理有限公司</w:t>
      </w:r>
    </w:p>
    <w:p>
      <w:pPr>
        <w:spacing w:line="360" w:lineRule="auto"/>
        <w:ind w:firstLine="630" w:firstLineChars="3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南宁市高新区科园大道东四路7号远信光电产业大楼25层2517号</w:t>
      </w:r>
    </w:p>
    <w:p>
      <w:pPr>
        <w:spacing w:line="360" w:lineRule="auto"/>
        <w:ind w:firstLine="630" w:firstLineChars="300"/>
        <w:rPr>
          <w:rFonts w:ascii="宋体" w:hAnsi="宋体"/>
          <w:color w:val="auto"/>
          <w:szCs w:val="21"/>
        </w:rPr>
      </w:pPr>
      <w:r>
        <w:rPr>
          <w:rFonts w:hint="eastAsia" w:ascii="宋体" w:hAnsi="宋体"/>
          <w:color w:val="auto"/>
          <w:szCs w:val="21"/>
        </w:rPr>
        <w:t>联系方式：</w:t>
      </w:r>
      <w:bookmarkStart w:id="29" w:name="_Toc28359087"/>
      <w:bookmarkStart w:id="30" w:name="_Toc28359010"/>
      <w:r>
        <w:rPr>
          <w:rFonts w:hint="eastAsia" w:ascii="宋体" w:hAnsi="宋体"/>
          <w:color w:val="auto"/>
          <w:szCs w:val="21"/>
          <w:u w:val="single"/>
        </w:rPr>
        <w:t>　</w:t>
      </w:r>
      <w:r>
        <w:rPr>
          <w:rFonts w:ascii="宋体" w:hAnsi="宋体"/>
          <w:color w:val="auto"/>
          <w:szCs w:val="21"/>
          <w:u w:val="single"/>
        </w:rPr>
        <w:t>0771-5670712</w:t>
      </w:r>
    </w:p>
    <w:p>
      <w:pPr>
        <w:spacing w:line="360" w:lineRule="auto"/>
        <w:ind w:firstLine="630" w:firstLineChars="300"/>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29"/>
      <w:bookmarkEnd w:id="30"/>
    </w:p>
    <w:p>
      <w:pPr>
        <w:spacing w:line="360" w:lineRule="auto"/>
        <w:ind w:firstLine="630" w:firstLineChars="3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卢小玲</w:t>
      </w:r>
    </w:p>
    <w:p>
      <w:pPr>
        <w:spacing w:line="360" w:lineRule="auto"/>
        <w:ind w:firstLine="630" w:firstLineChars="30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w:t>
      </w:r>
      <w:r>
        <w:rPr>
          <w:rFonts w:ascii="宋体" w:hAnsi="宋体"/>
          <w:color w:val="auto"/>
          <w:szCs w:val="21"/>
          <w:u w:val="single"/>
        </w:rPr>
        <w:t>0771-5670712</w:t>
      </w:r>
      <w:r>
        <w:rPr>
          <w:rFonts w:hint="eastAsia" w:ascii="宋体" w:hAnsi="宋体"/>
          <w:color w:val="auto"/>
          <w:szCs w:val="21"/>
          <w:u w:val="single"/>
        </w:rPr>
        <w:t>　</w:t>
      </w:r>
    </w:p>
    <w:p>
      <w:pPr>
        <w:pStyle w:val="2"/>
        <w:rPr>
          <w:color w:val="auto"/>
        </w:rPr>
      </w:pPr>
    </w:p>
    <w:p>
      <w:pPr>
        <w:widowControl/>
        <w:spacing w:line="360" w:lineRule="auto"/>
        <w:jc w:val="left"/>
        <w:rPr>
          <w:rFonts w:ascii="宋体" w:hAnsi="宋体"/>
          <w:color w:val="auto"/>
          <w:szCs w:val="21"/>
        </w:rPr>
      </w:pPr>
      <w:r>
        <w:rPr>
          <w:rFonts w:hint="eastAsia" w:ascii="仿宋" w:hAnsi="仿宋"/>
          <w:color w:val="auto"/>
          <w:sz w:val="28"/>
          <w:szCs w:val="28"/>
        </w:rPr>
        <w:t xml:space="preserve">    </w:t>
      </w:r>
    </w:p>
    <w:p>
      <w:pPr>
        <w:spacing w:line="360" w:lineRule="auto"/>
        <w:ind w:firstLine="630" w:firstLineChars="300"/>
        <w:rPr>
          <w:rFonts w:ascii="宋体" w:hAnsi="宋体"/>
          <w:color w:val="auto"/>
          <w:szCs w:val="21"/>
        </w:rPr>
      </w:pPr>
      <w:r>
        <w:rPr>
          <w:rFonts w:hint="eastAsia" w:ascii="宋体" w:hAnsi="宋体"/>
          <w:color w:val="auto"/>
          <w:szCs w:val="21"/>
        </w:rPr>
        <w:t xml:space="preserve">                                                   广西北部湾宏亚建设管理有限公司</w:t>
      </w:r>
    </w:p>
    <w:p>
      <w:pPr>
        <w:spacing w:line="360" w:lineRule="auto"/>
        <w:ind w:firstLine="630" w:firstLineChars="300"/>
        <w:rPr>
          <w:rFonts w:ascii="宋体" w:hAnsi="宋体"/>
          <w:color w:val="auto"/>
          <w:szCs w:val="21"/>
        </w:rPr>
      </w:pPr>
      <w:r>
        <w:rPr>
          <w:rFonts w:hint="eastAsia" w:ascii="宋体" w:hAnsi="宋体"/>
          <w:color w:val="auto"/>
          <w:szCs w:val="21"/>
        </w:rPr>
        <w:t xml:space="preserve">                                                          2021年   月   日</w:t>
      </w:r>
    </w:p>
    <w:p>
      <w:pPr>
        <w:pStyle w:val="26"/>
        <w:snapToGrid w:val="0"/>
        <w:spacing w:before="120" w:after="120" w:line="320" w:lineRule="exact"/>
        <w:outlineLvl w:val="0"/>
        <w:rPr>
          <w:rFonts w:ascii="Times New Roman" w:hAnsi="Times New Roman" w:cs="Times New Roman"/>
          <w:color w:val="auto"/>
        </w:rPr>
        <w:sectPr>
          <w:headerReference r:id="rId8" w:type="first"/>
          <w:footerReference r:id="rId10" w:type="first"/>
          <w:headerReference r:id="rId7" w:type="default"/>
          <w:footerReference r:id="rId9" w:type="default"/>
          <w:pgSz w:w="11906" w:h="16838"/>
          <w:pgMar w:top="1135" w:right="1133" w:bottom="1246" w:left="1418" w:header="851" w:footer="903" w:gutter="0"/>
          <w:pgNumType w:start="1"/>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31" w:name="_Toc13586"/>
      <w:r>
        <w:rPr>
          <w:rFonts w:hint="eastAsia" w:ascii="Times New Roman" w:hAnsi="Times New Roman" w:cs="Times New Roman"/>
          <w:color w:val="auto"/>
          <w:sz w:val="32"/>
          <w:szCs w:val="32"/>
        </w:rPr>
        <w:t xml:space="preserve">第二章 </w:t>
      </w:r>
      <w:r>
        <w:rPr>
          <w:rFonts w:ascii="Times New Roman" w:hAnsi="Times New Roman" w:cs="Times New Roman"/>
          <w:color w:val="auto"/>
          <w:sz w:val="32"/>
          <w:szCs w:val="32"/>
        </w:rPr>
        <w:t>项目采购需求</w:t>
      </w:r>
      <w:bookmarkEnd w:id="31"/>
    </w:p>
    <w:p>
      <w:pPr>
        <w:pStyle w:val="82"/>
        <w:rPr>
          <w:color w:val="auto"/>
        </w:rPr>
      </w:pPr>
      <w:r>
        <w:rPr>
          <w:rFonts w:hint="eastAsia"/>
          <w:color w:val="auto"/>
        </w:rPr>
        <w:t>同一投标人可同时对</w:t>
      </w:r>
      <w:r>
        <w:rPr>
          <w:color w:val="auto"/>
        </w:rPr>
        <w:t>A</w:t>
      </w:r>
      <w:r>
        <w:rPr>
          <w:rFonts w:hint="eastAsia"/>
          <w:color w:val="auto"/>
        </w:rPr>
        <w:t>、</w:t>
      </w:r>
      <w:r>
        <w:rPr>
          <w:color w:val="auto"/>
        </w:rPr>
        <w:t>B</w:t>
      </w:r>
      <w:r>
        <w:rPr>
          <w:rFonts w:hint="eastAsia"/>
          <w:color w:val="auto"/>
        </w:rPr>
        <w:t>、</w:t>
      </w:r>
      <w:r>
        <w:rPr>
          <w:color w:val="auto"/>
        </w:rPr>
        <w:t>C</w:t>
      </w:r>
      <w:r>
        <w:rPr>
          <w:rFonts w:hint="eastAsia"/>
          <w:color w:val="auto"/>
        </w:rPr>
        <w:t>、D四个分标进行投标，但最多只能成为其中一个分标的中标人，按</w:t>
      </w:r>
      <w:r>
        <w:rPr>
          <w:color w:val="auto"/>
        </w:rPr>
        <w:t>A</w:t>
      </w:r>
      <w:r>
        <w:rPr>
          <w:rFonts w:hint="eastAsia"/>
          <w:color w:val="auto"/>
        </w:rPr>
        <w:t>→</w:t>
      </w:r>
      <w:r>
        <w:rPr>
          <w:color w:val="auto"/>
        </w:rPr>
        <w:t>B</w:t>
      </w:r>
      <w:r>
        <w:rPr>
          <w:rFonts w:hint="eastAsia"/>
          <w:color w:val="auto"/>
        </w:rPr>
        <w:t>→</w:t>
      </w:r>
      <w:r>
        <w:rPr>
          <w:color w:val="auto"/>
        </w:rPr>
        <w:t>C</w:t>
      </w:r>
      <w:r>
        <w:rPr>
          <w:rFonts w:hint="eastAsia"/>
          <w:color w:val="auto"/>
        </w:rPr>
        <w:t>→D分标的顺序确定中标人。若某投标人在其中一个分标中被确定为第一中标候选人，则不在后续的其他分标中被确定为中标候选人。</w:t>
      </w:r>
    </w:p>
    <w:p>
      <w:pPr>
        <w:pStyle w:val="82"/>
        <w:rPr>
          <w:rFonts w:ascii="Times New Roman" w:hAnsi="Times New Roman"/>
          <w:color w:val="auto"/>
          <w:sz w:val="32"/>
          <w:szCs w:val="32"/>
        </w:rPr>
      </w:pPr>
      <w:r>
        <w:rPr>
          <w:rFonts w:hint="eastAsia"/>
          <w:color w:val="auto"/>
        </w:rPr>
        <w:t>评标委员会按A→</w:t>
      </w:r>
      <w:r>
        <w:rPr>
          <w:color w:val="auto"/>
        </w:rPr>
        <w:t>B</w:t>
      </w:r>
      <w:r>
        <w:rPr>
          <w:rFonts w:hint="eastAsia"/>
          <w:color w:val="auto"/>
        </w:rPr>
        <w:t>→</w:t>
      </w:r>
      <w:r>
        <w:rPr>
          <w:color w:val="auto"/>
        </w:rPr>
        <w:t>C</w:t>
      </w:r>
      <w:r>
        <w:rPr>
          <w:rFonts w:hint="eastAsia"/>
          <w:color w:val="auto"/>
        </w:rPr>
        <w:t>→D分标的顺序并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380" w:lineRule="exact"/>
        <w:rPr>
          <w:b/>
          <w:color w:val="auto"/>
          <w:szCs w:val="21"/>
        </w:rPr>
      </w:pPr>
      <w:bookmarkStart w:id="32" w:name="_Toc254970490"/>
      <w:bookmarkStart w:id="33" w:name="_Toc254970631"/>
      <w:r>
        <w:rPr>
          <w:rFonts w:ascii="Arial" w:hAnsi="Arial" w:cs="Arial"/>
          <w:color w:val="auto"/>
          <w:szCs w:val="21"/>
        </w:rPr>
        <w:t>A</w:t>
      </w:r>
      <w:r>
        <w:rPr>
          <w:rFonts w:hint="eastAsia" w:ascii="Arial" w:hAnsi="Arial" w:cs="Arial"/>
          <w:color w:val="auto"/>
          <w:szCs w:val="21"/>
        </w:rPr>
        <w:t>、B、C、D</w:t>
      </w:r>
      <w:r>
        <w:rPr>
          <w:rFonts w:ascii="Arial" w:hAnsi="Arial" w:cs="Arial"/>
          <w:color w:val="auto"/>
          <w:szCs w:val="21"/>
        </w:rPr>
        <w:t>分标</w:t>
      </w:r>
      <w:r>
        <w:rPr>
          <w:rFonts w:hint="eastAsia" w:ascii="Arial" w:hAnsi="Arial" w:cs="Arial"/>
          <w:color w:val="auto"/>
          <w:szCs w:val="21"/>
        </w:rPr>
        <w:t>：2021年中文纸质图书（一、二、三、四）（4个分标相同）</w:t>
      </w:r>
    </w:p>
    <w:tbl>
      <w:tblPr>
        <w:tblStyle w:val="5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1107"/>
        <w:gridCol w:w="6407"/>
        <w:gridCol w:w="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Cs/>
                <w:color w:val="auto"/>
                <w:kern w:val="0"/>
                <w:szCs w:val="21"/>
              </w:rPr>
            </w:pPr>
            <w:r>
              <w:rPr>
                <w:rFonts w:hint="eastAsia"/>
                <w:b/>
                <w:color w:val="auto"/>
                <w:kern w:val="0"/>
                <w:szCs w:val="21"/>
              </w:rPr>
              <w:t>一</w:t>
            </w:r>
            <w:r>
              <w:rPr>
                <w:b/>
                <w:color w:val="auto"/>
                <w:kern w:val="0"/>
                <w:szCs w:val="21"/>
              </w:rPr>
              <w:t>、本项目需实现的功能或者目标，以及</w:t>
            </w:r>
            <w:r>
              <w:rPr>
                <w:rFonts w:hint="eastAsia"/>
                <w:b/>
                <w:color w:val="auto"/>
                <w:kern w:val="0"/>
                <w:szCs w:val="21"/>
              </w:rPr>
              <w:t>政府</w:t>
            </w:r>
            <w:r>
              <w:rPr>
                <w:b/>
                <w:color w:val="auto"/>
                <w:kern w:val="0"/>
                <w:szCs w:val="21"/>
              </w:rPr>
              <w:t>采购政策的应用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序号</w:t>
            </w:r>
          </w:p>
        </w:tc>
        <w:tc>
          <w:tcPr>
            <w:tcW w:w="1417" w:type="dxa"/>
            <w:vAlign w:val="center"/>
          </w:tcPr>
          <w:p>
            <w:pPr>
              <w:spacing w:line="300" w:lineRule="exact"/>
              <w:jc w:val="center"/>
              <w:rPr>
                <w:b/>
                <w:color w:val="auto"/>
                <w:kern w:val="0"/>
                <w:szCs w:val="21"/>
              </w:rPr>
            </w:pPr>
            <w:r>
              <w:rPr>
                <w:b/>
                <w:color w:val="auto"/>
                <w:kern w:val="0"/>
                <w:szCs w:val="21"/>
              </w:rPr>
              <w:t>采购需求</w:t>
            </w:r>
          </w:p>
          <w:p>
            <w:pPr>
              <w:spacing w:line="300" w:lineRule="exact"/>
              <w:jc w:val="center"/>
              <w:rPr>
                <w:b/>
                <w:color w:val="auto"/>
                <w:kern w:val="0"/>
                <w:szCs w:val="21"/>
              </w:rPr>
            </w:pPr>
            <w:r>
              <w:rPr>
                <w:b/>
                <w:color w:val="auto"/>
                <w:kern w:val="0"/>
                <w:szCs w:val="21"/>
              </w:rPr>
              <w:t>要点</w:t>
            </w:r>
          </w:p>
        </w:tc>
        <w:tc>
          <w:tcPr>
            <w:tcW w:w="7655" w:type="dxa"/>
            <w:gridSpan w:val="3"/>
            <w:vAlign w:val="center"/>
          </w:tcPr>
          <w:p>
            <w:pPr>
              <w:spacing w:line="300" w:lineRule="exact"/>
              <w:jc w:val="center"/>
              <w:rPr>
                <w:b/>
                <w:color w:val="auto"/>
                <w:kern w:val="0"/>
                <w:szCs w:val="21"/>
              </w:rPr>
            </w:pPr>
            <w:r>
              <w:rPr>
                <w:b/>
                <w:color w:val="auto"/>
                <w:kern w:val="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1</w:t>
            </w:r>
          </w:p>
        </w:tc>
        <w:tc>
          <w:tcPr>
            <w:tcW w:w="1417" w:type="dxa"/>
            <w:vAlign w:val="center"/>
          </w:tcPr>
          <w:p>
            <w:pPr>
              <w:spacing w:line="300" w:lineRule="exact"/>
              <w:jc w:val="center"/>
              <w:rPr>
                <w:color w:val="auto"/>
                <w:szCs w:val="21"/>
              </w:rPr>
            </w:pPr>
            <w:r>
              <w:rPr>
                <w:color w:val="auto"/>
                <w:szCs w:val="21"/>
              </w:rPr>
              <w:t>需实现的功能或者目标</w:t>
            </w:r>
          </w:p>
        </w:tc>
        <w:tc>
          <w:tcPr>
            <w:tcW w:w="7655" w:type="dxa"/>
            <w:gridSpan w:val="3"/>
            <w:vAlign w:val="center"/>
          </w:tcPr>
          <w:p>
            <w:pPr>
              <w:spacing w:line="300" w:lineRule="exact"/>
              <w:rPr>
                <w:color w:val="auto"/>
                <w:kern w:val="0"/>
                <w:szCs w:val="21"/>
              </w:rPr>
            </w:pPr>
            <w:r>
              <w:rPr>
                <w:rFonts w:hint="eastAsia"/>
                <w:color w:val="auto"/>
                <w:szCs w:val="22"/>
              </w:rPr>
              <w:t>满足招标文件采购</w:t>
            </w:r>
            <w:r>
              <w:rPr>
                <w:color w:val="auto"/>
                <w:szCs w:val="22"/>
              </w:rPr>
              <w:t>需求</w:t>
            </w:r>
            <w:r>
              <w:rPr>
                <w:rFonts w:hint="eastAsia"/>
                <w:color w:val="auto"/>
                <w:szCs w:val="22"/>
              </w:rPr>
              <w:t>及采购合同约定需求，经验收达到合格标准。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2</w:t>
            </w:r>
          </w:p>
        </w:tc>
        <w:tc>
          <w:tcPr>
            <w:tcW w:w="1417" w:type="dxa"/>
            <w:vAlign w:val="center"/>
          </w:tcPr>
          <w:p>
            <w:pPr>
              <w:spacing w:line="300" w:lineRule="exact"/>
              <w:jc w:val="center"/>
              <w:rPr>
                <w:b/>
                <w:color w:val="auto"/>
                <w:kern w:val="0"/>
                <w:szCs w:val="21"/>
              </w:rPr>
            </w:pPr>
            <w:r>
              <w:rPr>
                <w:rFonts w:hint="eastAsia"/>
                <w:color w:val="auto"/>
                <w:kern w:val="0"/>
                <w:szCs w:val="21"/>
              </w:rPr>
              <w:t>政府</w:t>
            </w:r>
            <w:r>
              <w:rPr>
                <w:color w:val="auto"/>
                <w:kern w:val="0"/>
                <w:szCs w:val="21"/>
              </w:rPr>
              <w:t>采购政策的应用</w:t>
            </w:r>
          </w:p>
        </w:tc>
        <w:tc>
          <w:tcPr>
            <w:tcW w:w="7655" w:type="dxa"/>
            <w:gridSpan w:val="3"/>
            <w:vAlign w:val="center"/>
          </w:tcPr>
          <w:p>
            <w:pPr>
              <w:spacing w:line="300" w:lineRule="exact"/>
              <w:rPr>
                <w:color w:val="auto"/>
                <w:kern w:val="0"/>
                <w:szCs w:val="21"/>
              </w:rPr>
            </w:pPr>
            <w:r>
              <w:rPr>
                <w:rFonts w:hint="eastAsia"/>
                <w:color w:val="auto"/>
                <w:szCs w:val="21"/>
              </w:rPr>
              <w:t>详见</w:t>
            </w:r>
            <w:r>
              <w:rPr>
                <w:rFonts w:hint="eastAsia"/>
                <w:color w:val="auto"/>
                <w:kern w:val="0"/>
                <w:szCs w:val="21"/>
              </w:rPr>
              <w:t>第四章“评标</w:t>
            </w:r>
            <w:r>
              <w:rPr>
                <w:color w:val="auto"/>
                <w:kern w:val="0"/>
                <w:szCs w:val="21"/>
              </w:rPr>
              <w:t>方法及</w:t>
            </w:r>
            <w:r>
              <w:rPr>
                <w:rFonts w:hint="eastAsia"/>
                <w:color w:val="auto"/>
                <w:kern w:val="0"/>
                <w:szCs w:val="21"/>
              </w:rPr>
              <w:t>评标</w:t>
            </w:r>
            <w:r>
              <w:rPr>
                <w:color w:val="auto"/>
                <w:kern w:val="0"/>
                <w:szCs w:val="21"/>
              </w:rPr>
              <w:t>标准</w:t>
            </w:r>
            <w:r>
              <w:rPr>
                <w:rFonts w:hint="eastAsia"/>
                <w:color w:val="auto"/>
                <w:kern w:val="0"/>
                <w:szCs w:val="21"/>
              </w:rPr>
              <w:t>/</w:t>
            </w:r>
            <w:r>
              <w:rPr>
                <w:color w:val="auto"/>
                <w:kern w:val="0"/>
                <w:szCs w:val="21"/>
              </w:rPr>
              <w:t>政府采购政策应用说明</w:t>
            </w:r>
            <w:r>
              <w:rPr>
                <w:rFonts w:hint="eastAsia"/>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Cs/>
                <w:color w:val="auto"/>
                <w:kern w:val="0"/>
                <w:szCs w:val="21"/>
              </w:rPr>
            </w:pPr>
            <w:r>
              <w:rPr>
                <w:b/>
                <w:color w:val="auto"/>
                <w:kern w:val="0"/>
                <w:szCs w:val="21"/>
              </w:rPr>
              <w:t>二、本项目需执行的国家相关标准、行业标准、地方标准或者其他标准、规范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6" w:type="dxa"/>
            <w:gridSpan w:val="5"/>
            <w:vAlign w:val="center"/>
          </w:tcPr>
          <w:p>
            <w:pPr>
              <w:widowControl/>
              <w:jc w:val="left"/>
              <w:rPr>
                <w:b/>
                <w:color w:val="auto"/>
                <w:szCs w:val="21"/>
              </w:rPr>
            </w:pPr>
            <w:r>
              <w:rPr>
                <w:color w:val="auto"/>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
                <w:color w:val="auto"/>
                <w:kern w:val="0"/>
                <w:szCs w:val="21"/>
              </w:rPr>
            </w:pPr>
            <w:r>
              <w:rPr>
                <w:rFonts w:hint="eastAsia"/>
                <w:b/>
                <w:color w:val="auto"/>
                <w:kern w:val="0"/>
                <w:szCs w:val="21"/>
              </w:rPr>
              <w:t>三</w:t>
            </w:r>
            <w:r>
              <w:rPr>
                <w:b/>
                <w:color w:val="auto"/>
                <w:kern w:val="0"/>
                <w:szCs w:val="21"/>
              </w:rPr>
              <w:t>、本项目服务要求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58" w:type="dxa"/>
            <w:gridSpan w:val="3"/>
            <w:tcBorders>
              <w:bottom w:val="single" w:color="auto" w:sz="4" w:space="0"/>
              <w:right w:val="single" w:color="auto" w:sz="4" w:space="0"/>
            </w:tcBorders>
            <w:vAlign w:val="center"/>
          </w:tcPr>
          <w:p>
            <w:pPr>
              <w:widowControl/>
              <w:jc w:val="center"/>
              <w:rPr>
                <w:b/>
                <w:color w:val="auto"/>
                <w:szCs w:val="21"/>
              </w:rPr>
            </w:pPr>
            <w:r>
              <w:rPr>
                <w:rFonts w:hint="eastAsia"/>
                <w:bCs/>
                <w:color w:val="auto"/>
                <w:kern w:val="0"/>
                <w:szCs w:val="21"/>
              </w:rPr>
              <w:t>采购内容</w:t>
            </w:r>
          </w:p>
        </w:tc>
        <w:tc>
          <w:tcPr>
            <w:tcW w:w="6548" w:type="dxa"/>
            <w:gridSpan w:val="2"/>
            <w:tcBorders>
              <w:left w:val="single" w:color="auto" w:sz="4" w:space="0"/>
              <w:bottom w:val="single" w:color="auto" w:sz="4" w:space="0"/>
            </w:tcBorders>
            <w:vAlign w:val="center"/>
          </w:tcPr>
          <w:p>
            <w:pPr>
              <w:widowControl/>
              <w:jc w:val="center"/>
              <w:rPr>
                <w:b/>
                <w:color w:val="auto"/>
                <w:szCs w:val="21"/>
              </w:rPr>
            </w:pPr>
            <w:r>
              <w:rPr>
                <w:bCs/>
                <w:color w:val="auto"/>
                <w:kern w:val="0"/>
                <w:szCs w:val="21"/>
              </w:rPr>
              <w:t>具体</w:t>
            </w:r>
            <w:r>
              <w:rPr>
                <w:rFonts w:hint="eastAsia"/>
                <w:bCs/>
                <w:color w:val="auto"/>
                <w:kern w:val="0"/>
                <w:szCs w:val="21"/>
              </w:rPr>
              <w:t>参数</w:t>
            </w:r>
            <w:r>
              <w:rPr>
                <w:bCs/>
                <w:color w:val="auto"/>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3058" w:type="dxa"/>
            <w:gridSpan w:val="3"/>
            <w:tcBorders>
              <w:top w:val="single" w:color="auto" w:sz="4" w:space="0"/>
              <w:right w:val="single" w:color="auto" w:sz="4" w:space="0"/>
            </w:tcBorders>
            <w:vAlign w:val="center"/>
          </w:tcPr>
          <w:p>
            <w:pPr>
              <w:widowControl/>
              <w:jc w:val="center"/>
              <w:rPr>
                <w:b/>
                <w:color w:val="auto"/>
                <w:szCs w:val="21"/>
              </w:rPr>
            </w:pPr>
            <w:r>
              <w:rPr>
                <w:rFonts w:hint="eastAsia"/>
                <w:color w:val="auto"/>
                <w:szCs w:val="21"/>
              </w:rPr>
              <w:t>中文纸质图书</w:t>
            </w:r>
          </w:p>
        </w:tc>
        <w:tc>
          <w:tcPr>
            <w:tcW w:w="6548" w:type="dxa"/>
            <w:gridSpan w:val="2"/>
            <w:tcBorders>
              <w:top w:val="single" w:color="auto" w:sz="4" w:space="0"/>
              <w:left w:val="single" w:color="auto" w:sz="4" w:space="0"/>
            </w:tcBorders>
          </w:tcPr>
          <w:p>
            <w:pPr>
              <w:spacing w:line="400" w:lineRule="exact"/>
              <w:rPr>
                <w:rFonts w:ascii="宋体" w:hAnsi="宋体"/>
                <w:color w:val="auto"/>
                <w:szCs w:val="21"/>
              </w:rPr>
            </w:pPr>
            <w:r>
              <w:rPr>
                <w:rFonts w:hint="eastAsia" w:ascii="宋体" w:hAnsi="宋体"/>
                <w:color w:val="auto"/>
                <w:szCs w:val="21"/>
              </w:rPr>
              <w:t>一、图书符合南宁师范大学专业及学科设置；在层次类别上以重点学科、本科教学为主，兼顾一般性读物。每种图书的复本量一般为 1-4册。</w:t>
            </w:r>
          </w:p>
          <w:p>
            <w:pPr>
              <w:spacing w:line="400" w:lineRule="exact"/>
              <w:rPr>
                <w:rFonts w:ascii="宋体" w:hAnsi="宋体"/>
                <w:color w:val="auto"/>
                <w:szCs w:val="21"/>
              </w:rPr>
            </w:pPr>
            <w:r>
              <w:rPr>
                <w:rFonts w:hint="eastAsia" w:ascii="宋体" w:hAnsi="宋体"/>
                <w:color w:val="auto"/>
                <w:szCs w:val="21"/>
              </w:rPr>
              <w:t>二、提供三目书目（《社科新书目》、《科技新书目》、《全国新书目》）、出版社自编书目及中标人自备书目。</w:t>
            </w:r>
          </w:p>
          <w:p>
            <w:pPr>
              <w:spacing w:line="400" w:lineRule="exact"/>
              <w:rPr>
                <w:rFonts w:ascii="宋体" w:hAnsi="宋体"/>
                <w:color w:val="auto"/>
                <w:szCs w:val="21"/>
              </w:rPr>
            </w:pPr>
            <w:r>
              <w:rPr>
                <w:rFonts w:hint="eastAsia" w:ascii="宋体" w:hAnsi="宋体"/>
                <w:color w:val="auto"/>
                <w:szCs w:val="21"/>
              </w:rPr>
              <w:t>三、其他要求详见以下具体要求。</w:t>
            </w:r>
          </w:p>
          <w:p>
            <w:pPr>
              <w:spacing w:line="400" w:lineRule="exact"/>
              <w:rPr>
                <w:rFonts w:ascii="宋体" w:hAnsi="宋体"/>
                <w:color w:val="auto"/>
                <w:szCs w:val="21"/>
              </w:rPr>
            </w:pPr>
            <w:r>
              <w:rPr>
                <w:rFonts w:hint="eastAsia" w:ascii="宋体" w:hAnsi="宋体"/>
                <w:color w:val="auto"/>
                <w:szCs w:val="21"/>
              </w:rPr>
              <w:t>1.服务要求</w:t>
            </w:r>
          </w:p>
          <w:p>
            <w:pPr>
              <w:spacing w:line="400" w:lineRule="exact"/>
              <w:rPr>
                <w:rFonts w:ascii="宋体" w:hAnsi="宋体"/>
                <w:color w:val="auto"/>
                <w:szCs w:val="21"/>
              </w:rPr>
            </w:pPr>
            <w:r>
              <w:rPr>
                <w:rFonts w:hint="eastAsia" w:ascii="宋体" w:hAnsi="宋体"/>
                <w:color w:val="auto"/>
                <w:szCs w:val="21"/>
              </w:rPr>
              <w:t>1.1中标人确保提供采购人的订购书目是正版图书。盗版图书一经发现，除假一赔十外，并按政府采购合同条款相关规定处罚，双方解除合同。</w:t>
            </w:r>
          </w:p>
          <w:p>
            <w:pPr>
              <w:spacing w:line="400" w:lineRule="exact"/>
              <w:rPr>
                <w:rFonts w:ascii="宋体" w:hAnsi="宋体"/>
                <w:color w:val="auto"/>
                <w:szCs w:val="21"/>
              </w:rPr>
            </w:pPr>
            <w:r>
              <w:rPr>
                <w:rFonts w:hint="eastAsia" w:ascii="宋体" w:hAnsi="宋体"/>
                <w:color w:val="auto"/>
                <w:szCs w:val="21"/>
              </w:rPr>
              <w:t>1.2中标人应提供规范、详实、准确的新书征订书目数据。要求每周更新1次，每次2000条左右，文理分类，每1000条左右一个数据包，科技专业图书品种数量不少于25％，年提供采访书目数据总量不少于8万条，数据来源要求100%覆盖核心出版社（见附表一：核心出版社目录）、全国500多家出版社及当年三目新书数据。及时提供全国性书展、书市的采访数据。根据采购人要求提供个性化采访数据，如专题书目。一年内按采购人要求提供二次按出版社编制的全年出版书目数据。书目采访数据应包括正书名、著者（译者、编者等）、ISBN号、版别（本）、出版地、出版者、出版时间、价格、类号、页码、开本、装帧、内容提要等字段项目。翻译的购权版图书除包括书名、著者中文译名外，还应提供英文书名、著者英文姓名。其数据应完全符合采购人图书集成管理系统（汇文系统，下同）的格式及运行要求，提供的所有数据都能在图书集成系统无障碍的使用。上述所产生的一切费用，都应包含在本项目报价中。中标人不论何种原因故意隐藏图书出版信息或不提供可获得的图书，后采购人直接从出版社获得相应的图书出版信息的，中标人须向采购人赔付图书价格五倍的书款，同时采购人有权终止与中标人签订的供货合同。</w:t>
            </w:r>
          </w:p>
          <w:p>
            <w:pPr>
              <w:spacing w:line="400" w:lineRule="exact"/>
              <w:rPr>
                <w:rFonts w:ascii="宋体" w:hAnsi="宋体"/>
                <w:color w:val="auto"/>
                <w:szCs w:val="21"/>
              </w:rPr>
            </w:pPr>
            <w:r>
              <w:rPr>
                <w:rFonts w:hint="eastAsia" w:ascii="宋体" w:hAnsi="宋体"/>
                <w:color w:val="auto"/>
                <w:szCs w:val="21"/>
              </w:rPr>
              <w:t>▲1.3采购师范专业认证图书：全品种教育类图书，涵盖学前教育、初等教育、中等教育、特殊教育的全科目课程标准、教学参考书、教学辅导书等。结算实洋价＝图书码洋价×中标折扣率。</w:t>
            </w:r>
          </w:p>
          <w:p>
            <w:pPr>
              <w:spacing w:line="400" w:lineRule="exact"/>
              <w:rPr>
                <w:rFonts w:ascii="宋体" w:hAnsi="宋体"/>
                <w:color w:val="auto"/>
                <w:szCs w:val="21"/>
              </w:rPr>
            </w:pPr>
            <w:r>
              <w:rPr>
                <w:rFonts w:hint="eastAsia" w:ascii="宋体" w:hAnsi="宋体"/>
                <w:color w:val="auto"/>
                <w:szCs w:val="21"/>
              </w:rPr>
              <w:t>1.4以下的图书不包含在本次采购范围中：散页、开本尺寸小于18CM，活页，乐谱，袋装书，试卷集、挂图、配磁带书、少于40页以下的书；纯光盘；不符合办学层次的要求的图书，如非国民教育的，如成教、自考等；以图画、类似记事本的图书；少数民族文字的图书。若采购人书目订单内包含上述范围内图书，属于采购人误下的书目订单，中标人应及时告知采购人，由采购人确认。</w:t>
            </w:r>
          </w:p>
          <w:p>
            <w:pPr>
              <w:spacing w:line="400" w:lineRule="exact"/>
              <w:rPr>
                <w:rFonts w:ascii="宋体" w:hAnsi="宋体"/>
                <w:color w:val="auto"/>
                <w:szCs w:val="21"/>
              </w:rPr>
            </w:pPr>
            <w:r>
              <w:rPr>
                <w:rFonts w:hint="eastAsia" w:ascii="宋体" w:hAnsi="宋体"/>
                <w:color w:val="auto"/>
                <w:szCs w:val="21"/>
              </w:rPr>
              <w:t>1.5订单处理方式。中标人收到采购人发送书目订单（包括发文、征订单、电子邮件等均视为订购合同）后的2个工作日内，应反馈给采购人进行订单确认。</w:t>
            </w:r>
          </w:p>
          <w:p>
            <w:pPr>
              <w:spacing w:line="400" w:lineRule="exact"/>
              <w:rPr>
                <w:rFonts w:ascii="宋体" w:hAnsi="宋体"/>
                <w:color w:val="auto"/>
                <w:szCs w:val="21"/>
              </w:rPr>
            </w:pPr>
            <w:r>
              <w:rPr>
                <w:rFonts w:hint="eastAsia" w:ascii="宋体" w:hAnsi="宋体"/>
                <w:color w:val="auto"/>
                <w:szCs w:val="21"/>
              </w:rPr>
              <w:t>1.6中标人必须保证按采购人订购的图书品种和数量及时供货，期货图书出版后两个月内到书率不低于85%，全年到书率达92%以上；现货书一个月内到书率不低于90%，两个月到书率达95%以上（能够提供出版社证明的不计入未到图书）。中标人应主动提供未到书清单，说明原因，尽快设法补订未到的图书。两月内如中标人超过订单总数85%不能供货（未出版图书、绝版书不计在内），采购人可视其为不具备供货能力，并可单方面提出终止供货合同，取消未到货订单。中标人应提供保证到书率的措施；为尽可能消除因中标人不能按合同规定要求供货所造成的影响，采购人有权采取相应的补救措施（如向其他中标人补订），由此给采购人造成的各项损失或增加的各项费用（如折让损失、邮费、数据费、加工费）等均由违约的中标人承担，从图书结算款中扣除。由于出版社原因造成图书不能按时交书的，应及时告知采购人。</w:t>
            </w:r>
          </w:p>
          <w:p>
            <w:pPr>
              <w:spacing w:line="400" w:lineRule="exact"/>
              <w:rPr>
                <w:rFonts w:ascii="宋体" w:hAnsi="宋体"/>
                <w:color w:val="auto"/>
                <w:szCs w:val="21"/>
              </w:rPr>
            </w:pPr>
            <w:r>
              <w:rPr>
                <w:rFonts w:hint="eastAsia" w:ascii="宋体" w:hAnsi="宋体"/>
                <w:color w:val="auto"/>
                <w:szCs w:val="21"/>
              </w:rPr>
              <w:t>1.7所有图书订购的品种、复本均由采购人决定。中标人严格按照采购人报送的订单及订数配送图书，不得自行搭配。如验收发现与订单不符（包括重发），中标人须无条件接受退货，由此造成的全部损失由中标人负责。</w:t>
            </w:r>
          </w:p>
          <w:p>
            <w:pPr>
              <w:spacing w:line="400" w:lineRule="exact"/>
              <w:rPr>
                <w:rFonts w:ascii="宋体" w:hAnsi="宋体"/>
                <w:color w:val="auto"/>
                <w:szCs w:val="21"/>
              </w:rPr>
            </w:pPr>
            <w:r>
              <w:rPr>
                <w:rFonts w:hint="eastAsia" w:ascii="宋体" w:hAnsi="宋体"/>
                <w:color w:val="auto"/>
                <w:szCs w:val="21"/>
              </w:rPr>
              <w:t>1.8实际到书与订单信息有变化的，如ISBN号、书名、著者、价格等，中标人应列表通知采购人图书馆采购人员，修改有关订单数据，重新确认订购需求。书价（码洋）变更差额大于30%的，采购人有权变更订购数量。</w:t>
            </w:r>
          </w:p>
          <w:p>
            <w:pPr>
              <w:spacing w:line="400" w:lineRule="exact"/>
              <w:rPr>
                <w:rFonts w:ascii="宋体" w:hAnsi="宋体"/>
                <w:color w:val="auto"/>
                <w:szCs w:val="21"/>
              </w:rPr>
            </w:pPr>
            <w:r>
              <w:rPr>
                <w:rFonts w:hint="eastAsia" w:ascii="宋体" w:hAnsi="宋体"/>
                <w:color w:val="auto"/>
                <w:szCs w:val="21"/>
              </w:rPr>
              <w:t>▲1.9对采购人加急购买图书，只要当当、京东、亚马逊网站有售，均可以网购并及时配送给采购人，或者由采购人自行在网上订购。结算</w:t>
            </w:r>
            <w:r>
              <w:rPr>
                <w:rFonts w:hint="eastAsia"/>
                <w:color w:val="auto"/>
                <w:szCs w:val="21"/>
              </w:rPr>
              <w:t>实洋价＝图书码洋价×中标折扣率。</w:t>
            </w:r>
            <w:r>
              <w:rPr>
                <w:rFonts w:hint="eastAsia" w:ascii="宋体" w:hAnsi="宋体"/>
                <w:color w:val="auto"/>
                <w:szCs w:val="21"/>
              </w:rPr>
              <w:t>。对于时效性较强容易过时的图书（如计算机、考试类等），中标人须制定有效的快捷措施，确保及时到书。</w:t>
            </w:r>
          </w:p>
          <w:p>
            <w:pPr>
              <w:spacing w:line="400" w:lineRule="exact"/>
              <w:rPr>
                <w:rFonts w:ascii="宋体" w:hAnsi="宋体"/>
                <w:color w:val="auto"/>
                <w:szCs w:val="21"/>
              </w:rPr>
            </w:pPr>
            <w:r>
              <w:rPr>
                <w:rFonts w:hint="eastAsia" w:ascii="宋体" w:hAnsi="宋体"/>
                <w:color w:val="auto"/>
                <w:szCs w:val="21"/>
              </w:rPr>
              <w:t>1.10凡不符合采购人采购内容、范围及装帧要求的图书；非采购人发出的订单的图书；存在印刷图文不清、装订、污损、缺附件、光盘破损等质量问题的图书；任何国家法规明令禁止出版发行的图书。无论图书是否加工，采购人有权无条件退货，由此造成的全部损失由中标人承担。</w:t>
            </w:r>
          </w:p>
          <w:p>
            <w:pPr>
              <w:spacing w:line="400" w:lineRule="exact"/>
              <w:rPr>
                <w:rFonts w:ascii="宋体" w:hAnsi="宋体"/>
                <w:color w:val="auto"/>
                <w:szCs w:val="21"/>
              </w:rPr>
            </w:pPr>
            <w:r>
              <w:rPr>
                <w:rFonts w:hint="eastAsia" w:ascii="宋体" w:hAnsi="宋体"/>
                <w:color w:val="auto"/>
                <w:szCs w:val="21"/>
              </w:rPr>
              <w:t>1.11图书加工服务</w:t>
            </w:r>
          </w:p>
          <w:p>
            <w:pPr>
              <w:spacing w:line="400" w:lineRule="exact"/>
              <w:rPr>
                <w:rFonts w:ascii="宋体" w:hAnsi="宋体"/>
                <w:color w:val="auto"/>
                <w:szCs w:val="21"/>
              </w:rPr>
            </w:pPr>
            <w:r>
              <w:rPr>
                <w:rFonts w:hint="eastAsia" w:ascii="宋体" w:hAnsi="宋体"/>
                <w:color w:val="auto"/>
                <w:szCs w:val="21"/>
              </w:rPr>
              <w:t>1.11.1中标人派出服务团队人员中须至少具有1名编目人员（编目人员须具有CALIS中文三级编目员资格，且接受培训后，合同期间原则上不予更换）到采购人指定地点进行数据著录；至少2名图书加工人员到采购人指定地点进行图书加工。</w:t>
            </w:r>
          </w:p>
          <w:p>
            <w:pPr>
              <w:spacing w:line="400" w:lineRule="exact"/>
              <w:rPr>
                <w:rFonts w:ascii="宋体" w:hAnsi="宋体"/>
                <w:color w:val="auto"/>
                <w:szCs w:val="21"/>
              </w:rPr>
            </w:pPr>
            <w:r>
              <w:rPr>
                <w:rFonts w:hint="eastAsia" w:ascii="宋体" w:hAnsi="宋体"/>
                <w:color w:val="auto"/>
                <w:szCs w:val="21"/>
              </w:rPr>
              <w:t>▲1.11.2中标人须提供盖章，钴基永久性磁条、RFID标签、条码、书标、色标、覆膜、数据转换、馆藏地址修改等服务，加工费和所有材料费由中标人承担。不按采购人加工要求进行图书加工的，采购人有权要求中标人重新加工或更换图书或退书，由此造成的全部损失由中标人承担。</w:t>
            </w:r>
          </w:p>
          <w:p>
            <w:pPr>
              <w:spacing w:line="400" w:lineRule="exact"/>
              <w:rPr>
                <w:rFonts w:ascii="宋体" w:hAnsi="宋体" w:eastAsia="仿宋"/>
                <w:color w:val="auto"/>
                <w:szCs w:val="21"/>
              </w:rPr>
            </w:pPr>
            <w:r>
              <w:rPr>
                <w:rFonts w:hint="eastAsia" w:ascii="宋体" w:hAnsi="宋体"/>
                <w:color w:val="auto"/>
                <w:szCs w:val="21"/>
              </w:rPr>
              <w:t>▲1.11.3中标人负责送到采购人指定场地加工图书，并将加工、分编、好的图书打包、运送到(明秀、长岗、五合、武鸣四个校区)指定位置定位、上架，全部费用由中标人承担。采购人保留合同期内调整加工场地权利。</w:t>
            </w:r>
          </w:p>
          <w:p>
            <w:pPr>
              <w:spacing w:line="400" w:lineRule="exact"/>
              <w:rPr>
                <w:rFonts w:ascii="宋体" w:hAnsi="宋体"/>
                <w:color w:val="auto"/>
                <w:szCs w:val="21"/>
              </w:rPr>
            </w:pPr>
            <w:r>
              <w:rPr>
                <w:rFonts w:hint="eastAsia" w:ascii="宋体" w:hAnsi="宋体"/>
                <w:color w:val="auto"/>
                <w:szCs w:val="21"/>
              </w:rPr>
              <w:t>1.11.4负责配送图书编目数据，配送率达100%，其中国家图书馆标准数据占95%以上（见附表二：中文图书编目MARC字段要求）。图书纸质清单一式两份及电子版，与图书同时配送到馆。编目数据须完全符合采购人的图书集成管理系统的格式及运行要求，能在采购人的图书集成管理系统无障碍地使用。</w:t>
            </w:r>
          </w:p>
          <w:p>
            <w:pPr>
              <w:spacing w:line="400" w:lineRule="exact"/>
              <w:rPr>
                <w:rFonts w:ascii="宋体" w:hAnsi="宋体"/>
                <w:color w:val="auto"/>
                <w:szCs w:val="21"/>
              </w:rPr>
            </w:pPr>
            <w:r>
              <w:rPr>
                <w:rFonts w:hint="eastAsia" w:ascii="宋体" w:hAnsi="宋体"/>
                <w:color w:val="auto"/>
                <w:szCs w:val="21"/>
              </w:rPr>
              <w:t>1.12中标人应在图书发运前对其进行满足于运输距离、防潮、防霉、防破损装卸要求以及按采购人要求包装，以保证送交到采购人的图书没有任何质量问题。图书安全到达采购人指定地点，现场验收。随书应提供该批图书数量、品种、价格相符的详细的送书清单。</w:t>
            </w:r>
          </w:p>
          <w:p>
            <w:pPr>
              <w:spacing w:line="400" w:lineRule="exact"/>
              <w:rPr>
                <w:rFonts w:ascii="宋体" w:hAnsi="宋体"/>
                <w:color w:val="auto"/>
                <w:szCs w:val="21"/>
              </w:rPr>
            </w:pPr>
            <w:r>
              <w:rPr>
                <w:rFonts w:hint="eastAsia" w:ascii="宋体" w:hAnsi="宋体"/>
                <w:color w:val="auto"/>
                <w:szCs w:val="21"/>
              </w:rPr>
              <w:t>1.13书款与发货单不相符时，采购人应及时通知中标人核算。本地中标人接到通知之日起2个工作日内，外地中标人接到通知之日起3个工作日内核对，如不能在此期间确认核算的，以采购人验收的实际数额结算书款。</w:t>
            </w:r>
          </w:p>
          <w:p>
            <w:pPr>
              <w:spacing w:line="400" w:lineRule="exact"/>
              <w:rPr>
                <w:rFonts w:ascii="宋体" w:hAnsi="宋体"/>
                <w:color w:val="auto"/>
                <w:szCs w:val="21"/>
              </w:rPr>
            </w:pPr>
            <w:r>
              <w:rPr>
                <w:rFonts w:hint="eastAsia" w:ascii="宋体" w:hAnsi="宋体"/>
                <w:color w:val="auto"/>
                <w:szCs w:val="21"/>
              </w:rPr>
              <w:t>1.14中标人应每个月主动提供准确的未到图书清单及未到图书原因说明。</w:t>
            </w:r>
          </w:p>
          <w:p>
            <w:pPr>
              <w:spacing w:line="400" w:lineRule="exact"/>
              <w:rPr>
                <w:rFonts w:ascii="宋体" w:hAnsi="宋体"/>
                <w:color w:val="auto"/>
                <w:szCs w:val="21"/>
              </w:rPr>
            </w:pPr>
            <w:r>
              <w:rPr>
                <w:rFonts w:hint="eastAsia" w:ascii="宋体" w:hAnsi="宋体"/>
                <w:color w:val="auto"/>
                <w:szCs w:val="21"/>
              </w:rPr>
              <w:t>1.15中标人应承诺每年组织采购人文献采访人员参加全国大型书市现采活动不少于一次；提供采集器及对馆藏数据的导入导出工作，配备协助人员，保证现采工作顺利进行。所产生的一切费用均包含在本项目总报价中。</w:t>
            </w:r>
          </w:p>
          <w:p>
            <w:pPr>
              <w:spacing w:line="400" w:lineRule="exact"/>
              <w:rPr>
                <w:rFonts w:ascii="宋体" w:hAnsi="宋体"/>
                <w:color w:val="auto"/>
                <w:szCs w:val="21"/>
              </w:rPr>
            </w:pPr>
            <w:r>
              <w:rPr>
                <w:rFonts w:hint="eastAsia" w:ascii="宋体" w:hAnsi="宋体"/>
                <w:color w:val="auto"/>
                <w:szCs w:val="21"/>
              </w:rPr>
              <w:t>▲1.16图书经采购人验收之日起一年内为保质期。保质期内，图书流通过程中（非人为因素）发现的质量问题、加工有误、编目数据有误等问题，中标人须负责及时补书或提供补书费用等其他一切相关费用。保质期外，中标人负责纠错。</w:t>
            </w:r>
          </w:p>
          <w:p>
            <w:pPr>
              <w:spacing w:line="400" w:lineRule="exact"/>
              <w:rPr>
                <w:rFonts w:ascii="宋体" w:hAnsi="宋体"/>
                <w:color w:val="auto"/>
                <w:szCs w:val="21"/>
              </w:rPr>
            </w:pPr>
            <w:r>
              <w:rPr>
                <w:rFonts w:hint="eastAsia" w:ascii="宋体" w:hAnsi="宋体"/>
                <w:color w:val="auto"/>
                <w:szCs w:val="21"/>
              </w:rPr>
              <w:t>1.17文明施工，做好加工场地的清洁卫生(中标人加工完图书后需要清洁电脑、桌子、地板，将垃圾拿到垃圾箱)。</w:t>
            </w:r>
          </w:p>
          <w:p>
            <w:pPr>
              <w:spacing w:line="400" w:lineRule="exact"/>
              <w:rPr>
                <w:rFonts w:ascii="宋体" w:hAnsi="宋体"/>
                <w:color w:val="auto"/>
                <w:szCs w:val="21"/>
              </w:rPr>
            </w:pPr>
            <w:r>
              <w:rPr>
                <w:rFonts w:hint="eastAsia" w:ascii="宋体" w:hAnsi="宋体"/>
                <w:color w:val="auto"/>
                <w:szCs w:val="21"/>
              </w:rPr>
              <w:t>1.18中标人被终止供货资格后，对已完成验收结算的图书仍承担相应的质量责任。</w:t>
            </w:r>
          </w:p>
          <w:p>
            <w:pPr>
              <w:spacing w:line="400" w:lineRule="exact"/>
              <w:rPr>
                <w:rFonts w:ascii="宋体" w:hAnsi="宋体"/>
                <w:color w:val="auto"/>
                <w:szCs w:val="21"/>
              </w:rPr>
            </w:pPr>
            <w:r>
              <w:rPr>
                <w:rFonts w:hint="eastAsia" w:ascii="宋体" w:hAnsi="宋体"/>
                <w:color w:val="auto"/>
                <w:szCs w:val="21"/>
              </w:rPr>
              <w:t>1.19 中标人有阅读推广的经验及能力。中标人</w:t>
            </w:r>
            <w:r>
              <w:rPr>
                <w:rFonts w:hint="eastAsia"/>
                <w:color w:val="auto"/>
              </w:rPr>
              <w:t>举办过线上图书采购会或馆配会。</w:t>
            </w:r>
          </w:p>
          <w:p>
            <w:pPr>
              <w:spacing w:line="400" w:lineRule="exact"/>
              <w:rPr>
                <w:rFonts w:ascii="宋体" w:hAnsi="宋体"/>
                <w:color w:val="auto"/>
                <w:szCs w:val="21"/>
              </w:rPr>
            </w:pPr>
            <w:r>
              <w:rPr>
                <w:rFonts w:hint="eastAsia" w:ascii="宋体" w:hAnsi="宋体"/>
                <w:color w:val="auto"/>
                <w:szCs w:val="21"/>
              </w:rPr>
              <w:t>2.技术要求</w:t>
            </w:r>
          </w:p>
          <w:p>
            <w:pPr>
              <w:spacing w:line="400" w:lineRule="exact"/>
              <w:rPr>
                <w:rFonts w:ascii="宋体" w:hAnsi="宋体"/>
                <w:color w:val="auto"/>
                <w:szCs w:val="21"/>
              </w:rPr>
            </w:pPr>
            <w:r>
              <w:rPr>
                <w:rFonts w:hint="eastAsia" w:ascii="宋体" w:hAnsi="宋体"/>
                <w:color w:val="auto"/>
                <w:szCs w:val="21"/>
              </w:rPr>
              <w:t>2.1图书采访数据要求：</w:t>
            </w:r>
          </w:p>
          <w:p>
            <w:pPr>
              <w:spacing w:line="400" w:lineRule="exact"/>
              <w:rPr>
                <w:rFonts w:ascii="宋体" w:hAnsi="宋体"/>
                <w:color w:val="auto"/>
                <w:szCs w:val="21"/>
              </w:rPr>
            </w:pPr>
            <w:r>
              <w:rPr>
                <w:rFonts w:hint="eastAsia" w:ascii="宋体" w:hAnsi="宋体"/>
                <w:color w:val="auto"/>
                <w:szCs w:val="21"/>
              </w:rPr>
              <w:t>2.1.1中标人通过互联网提供规范的新书征订书目数据和机读预编目数据（数据要求参见《中国机读目录格式使用手册》、《CALIS联机合作编目手册》），并且数据需完全符合采购人的图书集成管理系统的格式及运行需求，在采购人的图书集成管理系统能无障碍的使用。</w:t>
            </w:r>
          </w:p>
          <w:p>
            <w:pPr>
              <w:spacing w:line="400" w:lineRule="exact"/>
              <w:rPr>
                <w:rFonts w:ascii="宋体" w:hAnsi="宋体"/>
                <w:color w:val="auto"/>
                <w:szCs w:val="21"/>
              </w:rPr>
            </w:pPr>
            <w:r>
              <w:rPr>
                <w:rFonts w:hint="eastAsia" w:ascii="宋体" w:hAnsi="宋体"/>
                <w:color w:val="auto"/>
                <w:szCs w:val="21"/>
              </w:rPr>
              <w:t>2.1.2中标人承诺提供规范、详实、准确的新书征订书目数据。要求每周更新1次，每次2000条左右，文理分类，每1000条左右一个数据包，科技专业图书品种数量不少于25％，年提供采访书目数据总量不少于8万条，数据来源要求100%覆盖核心出版社（见附表一：核心出版社目录）、全国500多家出版社及当年三目新书数据。及时提供全国性书展、书市的采访数据。根据采购人要求提供个性化采访数据，如专题书目，一年内按采购人要求提供二次按出版社编制的全年出版书目数据。书目采访数据中的图书应是国内出版社2020、2021年公开正式出版、重印的图书为主。所产生的一切费用均包含在本项目总报价中。</w:t>
            </w:r>
          </w:p>
          <w:p>
            <w:pPr>
              <w:spacing w:line="400" w:lineRule="exact"/>
              <w:rPr>
                <w:rFonts w:ascii="宋体" w:hAnsi="宋体"/>
                <w:color w:val="auto"/>
                <w:szCs w:val="21"/>
              </w:rPr>
            </w:pPr>
            <w:r>
              <w:rPr>
                <w:rFonts w:hint="eastAsia" w:ascii="宋体" w:hAnsi="宋体"/>
                <w:color w:val="auto"/>
                <w:szCs w:val="21"/>
              </w:rPr>
              <w:t>2.2采购及反馈要求</w:t>
            </w:r>
          </w:p>
          <w:p>
            <w:pPr>
              <w:spacing w:line="400" w:lineRule="exact"/>
              <w:rPr>
                <w:rFonts w:ascii="宋体" w:hAnsi="宋体"/>
                <w:color w:val="auto"/>
                <w:szCs w:val="21"/>
              </w:rPr>
            </w:pPr>
            <w:r>
              <w:rPr>
                <w:rFonts w:hint="eastAsia" w:ascii="宋体" w:hAnsi="宋体"/>
                <w:color w:val="auto"/>
                <w:szCs w:val="21"/>
              </w:rPr>
              <w:t>2.2.1订单查重：提供本批订单与历史订单查重服务；本批订单互相查重服务。如发现有重，应及时与采购人确认。</w:t>
            </w:r>
          </w:p>
          <w:p>
            <w:pPr>
              <w:spacing w:line="400" w:lineRule="exact"/>
              <w:rPr>
                <w:rFonts w:ascii="宋体" w:hAnsi="宋体"/>
                <w:color w:val="auto"/>
                <w:szCs w:val="21"/>
              </w:rPr>
            </w:pPr>
            <w:r>
              <w:rPr>
                <w:rFonts w:hint="eastAsia" w:ascii="宋体" w:hAnsi="宋体"/>
                <w:color w:val="auto"/>
                <w:szCs w:val="21"/>
              </w:rPr>
              <w:t xml:space="preserve">2.2.2复本量：一般情况下采购人复本量为1—4册，如出现采购量异常，应及时与采购人确认。 </w:t>
            </w:r>
          </w:p>
          <w:p>
            <w:pPr>
              <w:spacing w:line="400" w:lineRule="exact"/>
              <w:rPr>
                <w:rFonts w:ascii="宋体" w:hAnsi="宋体"/>
                <w:color w:val="auto"/>
                <w:szCs w:val="21"/>
              </w:rPr>
            </w:pPr>
            <w:r>
              <w:rPr>
                <w:rFonts w:hint="eastAsia" w:ascii="宋体" w:hAnsi="宋体"/>
                <w:color w:val="auto"/>
                <w:szCs w:val="21"/>
              </w:rPr>
              <w:t>2.2.3大码洋图书：，采购人认定单册码洋超过150元的图书为大码洋图书，一般仅订1册。如订单超过1册，应及时与采购人确认。</w:t>
            </w:r>
          </w:p>
          <w:p>
            <w:pPr>
              <w:spacing w:line="400" w:lineRule="exact"/>
              <w:rPr>
                <w:rFonts w:ascii="宋体" w:hAnsi="宋体"/>
                <w:color w:val="auto"/>
                <w:szCs w:val="21"/>
              </w:rPr>
            </w:pPr>
            <w:r>
              <w:rPr>
                <w:rFonts w:hint="eastAsia" w:ascii="宋体" w:hAnsi="宋体"/>
                <w:color w:val="auto"/>
                <w:szCs w:val="21"/>
              </w:rPr>
              <w:t>2.2.4影印版的书籍一般订1册。如超过1册，应及时与采购人确认。</w:t>
            </w:r>
          </w:p>
          <w:p>
            <w:pPr>
              <w:spacing w:line="400" w:lineRule="exact"/>
              <w:rPr>
                <w:rFonts w:ascii="宋体" w:hAnsi="宋体"/>
                <w:color w:val="auto"/>
                <w:szCs w:val="21"/>
              </w:rPr>
            </w:pPr>
            <w:r>
              <w:rPr>
                <w:rFonts w:hint="eastAsia" w:ascii="宋体" w:hAnsi="宋体"/>
                <w:color w:val="auto"/>
                <w:szCs w:val="21"/>
              </w:rPr>
              <w:t>2.2.5纯粹的光盘（非图书配套光盘），应及时与采购人确认。</w:t>
            </w:r>
          </w:p>
          <w:p>
            <w:pPr>
              <w:spacing w:line="400" w:lineRule="exact"/>
              <w:rPr>
                <w:rFonts w:ascii="宋体" w:hAnsi="宋体"/>
                <w:color w:val="auto"/>
                <w:szCs w:val="21"/>
              </w:rPr>
            </w:pPr>
            <w:r>
              <w:rPr>
                <w:rFonts w:hint="eastAsia" w:ascii="宋体" w:hAnsi="宋体"/>
                <w:color w:val="auto"/>
                <w:szCs w:val="21"/>
              </w:rPr>
              <w:t>2.2.6不在采购人本次采购范围的图书，应及时与采购人确认。</w:t>
            </w:r>
          </w:p>
          <w:p>
            <w:pPr>
              <w:spacing w:line="400" w:lineRule="exact"/>
              <w:rPr>
                <w:rFonts w:ascii="宋体" w:hAnsi="宋体"/>
                <w:color w:val="auto"/>
                <w:szCs w:val="21"/>
              </w:rPr>
            </w:pPr>
            <w:r>
              <w:rPr>
                <w:rFonts w:hint="eastAsia" w:ascii="宋体" w:hAnsi="宋体"/>
                <w:color w:val="auto"/>
                <w:szCs w:val="21"/>
              </w:rPr>
              <w:t>2.2.7对订购不到的图书，要及时回告，以便采购人删除采购记录。</w:t>
            </w:r>
          </w:p>
          <w:p>
            <w:pPr>
              <w:spacing w:line="400" w:lineRule="exact"/>
              <w:rPr>
                <w:rFonts w:ascii="宋体" w:hAnsi="宋体"/>
                <w:color w:val="auto"/>
                <w:szCs w:val="21"/>
              </w:rPr>
            </w:pPr>
            <w:r>
              <w:rPr>
                <w:rFonts w:hint="eastAsia" w:ascii="宋体" w:hAnsi="宋体"/>
                <w:color w:val="auto"/>
                <w:szCs w:val="21"/>
              </w:rPr>
              <w:t>2.3加工要求</w:t>
            </w:r>
          </w:p>
          <w:p>
            <w:pPr>
              <w:spacing w:line="400" w:lineRule="exact"/>
              <w:rPr>
                <w:rFonts w:ascii="宋体" w:hAnsi="宋体"/>
                <w:color w:val="auto"/>
                <w:szCs w:val="21"/>
              </w:rPr>
            </w:pPr>
            <w:r>
              <w:rPr>
                <w:rFonts w:hint="eastAsia" w:ascii="宋体" w:hAnsi="宋体"/>
                <w:color w:val="auto"/>
                <w:szCs w:val="21"/>
              </w:rPr>
              <w:t>中标人需根据采购人要求进行图书的全部加工工作，承担全套加工服务及相应耗材。中标人至少派出2名图书加工人员到采购人指定地点进行图书加工。</w:t>
            </w:r>
          </w:p>
          <w:p>
            <w:pPr>
              <w:spacing w:line="400" w:lineRule="exact"/>
              <w:rPr>
                <w:rFonts w:ascii="宋体" w:hAnsi="宋体"/>
                <w:color w:val="auto"/>
                <w:szCs w:val="21"/>
              </w:rPr>
            </w:pPr>
            <w:r>
              <w:rPr>
                <w:rFonts w:hint="eastAsia" w:ascii="宋体" w:hAnsi="宋体"/>
                <w:color w:val="auto"/>
                <w:szCs w:val="21"/>
              </w:rPr>
              <w:t>2.3.1前期加工</w:t>
            </w:r>
          </w:p>
          <w:p>
            <w:pPr>
              <w:spacing w:line="400" w:lineRule="exact"/>
              <w:rPr>
                <w:rFonts w:ascii="宋体" w:hAnsi="宋体"/>
                <w:color w:val="auto"/>
                <w:szCs w:val="21"/>
              </w:rPr>
            </w:pPr>
            <w:r>
              <w:rPr>
                <w:rFonts w:hint="eastAsia" w:ascii="宋体" w:hAnsi="宋体"/>
                <w:color w:val="auto"/>
                <w:szCs w:val="21"/>
              </w:rPr>
              <w:t>2.3.1.1盖馆藏章：印油为红色。盖2处，一处在书名页（居中，不要挡文字）；另一处在书口中间（居中，字体朝向封面）。</w:t>
            </w:r>
          </w:p>
          <w:p>
            <w:pPr>
              <w:spacing w:line="400" w:lineRule="exact"/>
              <w:rPr>
                <w:rFonts w:ascii="宋体" w:hAnsi="宋体"/>
                <w:color w:val="auto"/>
                <w:szCs w:val="21"/>
              </w:rPr>
            </w:pPr>
            <w:r>
              <w:rPr>
                <w:rFonts w:hint="eastAsia" w:ascii="宋体" w:hAnsi="宋体"/>
                <w:color w:val="auto"/>
                <w:szCs w:val="21"/>
              </w:rPr>
              <w:t>2.3.1.2贴磁条：采用16CM的钴基永久性磁条。粘贴要求：粘贴以不易发现为要，粘贴在书本第一页为准后数第10页位置。如临时调整粘贴的具体要求，则另行通知。</w:t>
            </w:r>
          </w:p>
          <w:p>
            <w:pPr>
              <w:spacing w:line="400" w:lineRule="exact"/>
              <w:rPr>
                <w:rFonts w:ascii="宋体" w:hAnsi="宋体"/>
                <w:color w:val="auto"/>
                <w:szCs w:val="21"/>
              </w:rPr>
            </w:pPr>
            <w:r>
              <w:rPr>
                <w:rFonts w:hint="eastAsia" w:ascii="宋体" w:hAnsi="宋体"/>
                <w:color w:val="auto"/>
                <w:szCs w:val="21"/>
              </w:rPr>
              <w:t>2.3.1.3贴条形码：每本书贴4cm×2cm材质为PET纸张，碳带为全树脂打印的同一号条形码2张。1张贴在书名页（天头居中，不要挡文字），另1张贴在最后一页（天头居中，不要挡文字）。同一批书条形码必须连续。所有随书光盘按要求装牛皮纸袋，并在纸袋的左上角粘贴不干胶书标一枚及在光盘下部位置粘贴光盘条形码。</w:t>
            </w:r>
          </w:p>
          <w:p>
            <w:pPr>
              <w:spacing w:line="400" w:lineRule="exact"/>
              <w:rPr>
                <w:rFonts w:ascii="宋体" w:hAnsi="宋体"/>
                <w:color w:val="auto"/>
                <w:szCs w:val="21"/>
              </w:rPr>
            </w:pPr>
            <w:r>
              <w:rPr>
                <w:rFonts w:hint="eastAsia" w:ascii="宋体" w:hAnsi="宋体"/>
                <w:color w:val="auto"/>
                <w:szCs w:val="21"/>
              </w:rPr>
              <w:t>2.3.1.4 贴RFID标签。粘贴要求：将 RFID 电子标签粘贴在以书本最后一页为准倒数第10页位置。如临时调整粘贴的具体要求，则另行通知。（RFID标签见附表三）</w:t>
            </w:r>
          </w:p>
          <w:p>
            <w:pPr>
              <w:spacing w:line="400" w:lineRule="exact"/>
              <w:rPr>
                <w:rFonts w:ascii="宋体" w:hAnsi="宋体"/>
                <w:color w:val="auto"/>
                <w:szCs w:val="21"/>
              </w:rPr>
            </w:pPr>
            <w:r>
              <w:rPr>
                <w:rFonts w:hint="eastAsia" w:ascii="宋体" w:hAnsi="宋体"/>
                <w:color w:val="auto"/>
                <w:szCs w:val="21"/>
              </w:rPr>
              <w:t>2.3.2后期加工：加贴书标（贴在书脊的最下端）；色标；覆膜；更改馆藏地址、进行RFID标签数据转换。</w:t>
            </w:r>
          </w:p>
          <w:p>
            <w:pPr>
              <w:spacing w:line="400" w:lineRule="exact"/>
              <w:rPr>
                <w:rFonts w:ascii="宋体" w:hAnsi="宋体"/>
                <w:color w:val="auto"/>
                <w:szCs w:val="21"/>
              </w:rPr>
            </w:pPr>
            <w:r>
              <w:rPr>
                <w:rFonts w:hint="eastAsia" w:ascii="宋体" w:hAnsi="宋体"/>
                <w:color w:val="auto"/>
                <w:szCs w:val="21"/>
              </w:rPr>
              <w:t>2.3.3将加工好图书打包、运送到(明秀、长岗、五合、武鸣四个校区)指定位置定位、上架。</w:t>
            </w:r>
          </w:p>
          <w:p>
            <w:pPr>
              <w:spacing w:line="400" w:lineRule="exact"/>
              <w:rPr>
                <w:rFonts w:ascii="宋体" w:hAnsi="宋体"/>
                <w:color w:val="auto"/>
                <w:szCs w:val="21"/>
              </w:rPr>
            </w:pPr>
            <w:r>
              <w:rPr>
                <w:rFonts w:hint="eastAsia" w:ascii="宋体" w:hAnsi="宋体"/>
                <w:color w:val="auto"/>
                <w:szCs w:val="21"/>
              </w:rPr>
              <w:t>2.4图书分编要求：</w:t>
            </w:r>
          </w:p>
          <w:p>
            <w:pPr>
              <w:spacing w:line="400" w:lineRule="exact"/>
              <w:rPr>
                <w:rFonts w:ascii="宋体" w:hAnsi="宋体"/>
                <w:color w:val="auto"/>
                <w:szCs w:val="21"/>
              </w:rPr>
            </w:pPr>
            <w:r>
              <w:rPr>
                <w:rFonts w:hint="eastAsia" w:ascii="宋体" w:hAnsi="宋体"/>
                <w:color w:val="auto"/>
                <w:szCs w:val="21"/>
              </w:rPr>
              <w:t>2.4.1中标人派出服务团队人员中须至少具有1名编目人员（编目人员须具有CALIS中文三级编目员资格，且接受培训后，合同期间原则上不予更换）到采购人指定地点进行数据著录。</w:t>
            </w:r>
          </w:p>
          <w:p>
            <w:pPr>
              <w:spacing w:line="400" w:lineRule="exact"/>
              <w:rPr>
                <w:rFonts w:ascii="宋体" w:hAnsi="宋体"/>
                <w:color w:val="auto"/>
                <w:szCs w:val="21"/>
              </w:rPr>
            </w:pPr>
            <w:r>
              <w:rPr>
                <w:rFonts w:hint="eastAsia" w:ascii="宋体" w:hAnsi="宋体"/>
                <w:color w:val="auto"/>
                <w:szCs w:val="21"/>
              </w:rPr>
              <w:t>2.4.2中标人在送交每一批图书时，应随书提供规范的MARC机读编目数据（按《中国图书馆分类法》最新版进行分类标引）。中文图书及附件的 CNMARC数据格式符合《CALIS 联机合作编目手册》（上册）、《中国机读目录格式使用手册》的著录格式；影印版图书及附件的 USMARC 数据格式符合《CALIS 联机合作编目手册》（下册）、《西文文献著录条例》和《英美编目规则》的著录格式。每条编目数据的字段著录须标准规范，分类标引须尽量细化、准确。每一条机读目录数据应能准确、全面地揭示图书的内容特征及外形特征。编目数据须完全符合采购人的图书集成管理系统的格式及运行要求，能在采购人的图书集成管理系统无障碍地使用。所产生的一切费用均包含在本项目总报价中。</w:t>
            </w:r>
          </w:p>
          <w:p>
            <w:pPr>
              <w:spacing w:line="400" w:lineRule="exact"/>
              <w:rPr>
                <w:rFonts w:ascii="宋体" w:hAnsi="宋体"/>
                <w:color w:val="auto"/>
                <w:szCs w:val="21"/>
              </w:rPr>
            </w:pPr>
            <w:r>
              <w:rPr>
                <w:rFonts w:hint="eastAsia" w:ascii="宋体" w:hAnsi="宋体"/>
                <w:color w:val="auto"/>
                <w:szCs w:val="21"/>
              </w:rPr>
              <w:t>2.4.3依据《中国图书馆分类法》第五版及《南宁师范大学图书馆图书分编细则》对图书进行分类标引。</w:t>
            </w:r>
          </w:p>
          <w:p>
            <w:pPr>
              <w:spacing w:line="400" w:lineRule="exact"/>
              <w:rPr>
                <w:rFonts w:ascii="宋体" w:hAnsi="宋体"/>
                <w:color w:val="auto"/>
                <w:szCs w:val="21"/>
              </w:rPr>
            </w:pPr>
            <w:r>
              <w:rPr>
                <w:rFonts w:hint="eastAsia" w:ascii="宋体" w:hAnsi="宋体"/>
                <w:color w:val="auto"/>
                <w:szCs w:val="21"/>
              </w:rPr>
              <w:t>2.4.4中文图书纸质附件的编目加工要求：</w:t>
            </w:r>
          </w:p>
          <w:p>
            <w:pPr>
              <w:spacing w:line="400" w:lineRule="exact"/>
              <w:rPr>
                <w:rFonts w:ascii="宋体" w:hAnsi="宋体"/>
                <w:color w:val="auto"/>
                <w:szCs w:val="21"/>
              </w:rPr>
            </w:pPr>
            <w:r>
              <w:rPr>
                <w:rFonts w:hint="eastAsia" w:ascii="宋体" w:hAnsi="宋体"/>
                <w:color w:val="auto"/>
                <w:szCs w:val="21"/>
              </w:rPr>
              <w:t>图书附件如有自己的独立题名，内容较多且独立，总页数超过60页以上，应按普通图书分编加工处理，并在所属图书的机读目录数据中的附注项说明其附件的条形码和ISBN号，同时也在附件的编目数据中说明主件的条形码和ISBN号。如果主件和附件的题名不一致时，要求在各自的编目数据的附注项中进行相互链接说明；如果附件的总页数低于60页以下，无需加工，用双面胶和透明胶把附件双重加固在主件背面，同时在图书主件的机读编目数据的附注项进行附注说明；如果附件是空白笔记本、日历、明星图像等无实质加工意义的，无需加工，也无需贴在图书主件上，但须与图书主件一起发货送到采购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56" w:hRule="atLeast"/>
        </w:trPr>
        <w:tc>
          <w:tcPr>
            <w:tcW w:w="9606"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left"/>
              <w:rPr>
                <w:color w:val="auto"/>
                <w:szCs w:val="21"/>
              </w:rPr>
            </w:pPr>
            <w:r>
              <w:rPr>
                <w:rFonts w:hint="eastAsia"/>
                <w:b/>
                <w:color w:val="auto"/>
                <w:szCs w:val="21"/>
              </w:rPr>
              <w:t>四</w:t>
            </w:r>
            <w:r>
              <w:rPr>
                <w:b/>
                <w:color w:val="auto"/>
                <w:szCs w:val="21"/>
              </w:rPr>
              <w:t>、</w:t>
            </w:r>
            <w:r>
              <w:rPr>
                <w:rFonts w:hint="eastAsia"/>
                <w:b/>
                <w:color w:val="auto"/>
                <w:szCs w:val="21"/>
              </w:rPr>
              <w:t>本项目</w:t>
            </w:r>
            <w:r>
              <w:rPr>
                <w:b/>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商务条款</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▲报价要求</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w:t>
            </w:r>
            <w:r>
              <w:rPr>
                <w:rFonts w:hint="eastAsia"/>
                <w:color w:val="auto"/>
                <w:szCs w:val="21"/>
              </w:rPr>
              <w:t>每个分标</w:t>
            </w:r>
            <w:r>
              <w:rPr>
                <w:color w:val="auto"/>
                <w:szCs w:val="21"/>
              </w:rPr>
              <w:t>报价</w:t>
            </w:r>
            <w:r>
              <w:rPr>
                <w:rFonts w:hint="eastAsia"/>
                <w:color w:val="auto"/>
                <w:szCs w:val="21"/>
              </w:rPr>
              <w:t>采用折扣率进行</w:t>
            </w:r>
            <w:r>
              <w:rPr>
                <w:color w:val="auto"/>
                <w:szCs w:val="21"/>
              </w:rPr>
              <w:t>报价</w:t>
            </w:r>
            <w:r>
              <w:rPr>
                <w:rFonts w:hint="eastAsia"/>
                <w:color w:val="auto"/>
                <w:szCs w:val="21"/>
              </w:rPr>
              <w:t>。</w:t>
            </w:r>
          </w:p>
          <w:p>
            <w:pPr>
              <w:spacing w:line="300" w:lineRule="exact"/>
              <w:jc w:val="left"/>
              <w:rPr>
                <w:color w:val="auto"/>
                <w:szCs w:val="21"/>
              </w:rPr>
            </w:pPr>
            <w:r>
              <w:rPr>
                <w:rFonts w:hint="eastAsia"/>
                <w:color w:val="auto"/>
                <w:szCs w:val="21"/>
              </w:rPr>
              <w:t>2</w:t>
            </w:r>
            <w:r>
              <w:rPr>
                <w:color w:val="auto"/>
                <w:szCs w:val="21"/>
              </w:rPr>
              <w:t>.</w:t>
            </w:r>
            <w:r>
              <w:rPr>
                <w:rFonts w:hint="eastAsia"/>
                <w:color w:val="auto"/>
                <w:szCs w:val="21"/>
              </w:rPr>
              <w:t>投标人根据自身投标总成本（指图书成本、运抵指定交货地点的各种费用、售后服务、税金及其他所有成本费用的总和）的情况，报出本项目中文纸质图书的最终折扣率，采购时间内所有中文纸质图书采购均按实洋价付款，图书出版的标价为码洋价。实洋价合计值＝图书码洋价合计值×折扣率。</w:t>
            </w:r>
          </w:p>
          <w:p>
            <w:pPr>
              <w:spacing w:line="300" w:lineRule="exact"/>
              <w:jc w:val="left"/>
              <w:rPr>
                <w:color w:val="auto"/>
                <w:szCs w:val="21"/>
              </w:rPr>
            </w:pPr>
            <w:r>
              <w:rPr>
                <w:rFonts w:hint="eastAsia"/>
                <w:color w:val="auto"/>
                <w:szCs w:val="21"/>
              </w:rPr>
              <w:t>3</w:t>
            </w:r>
            <w:r>
              <w:rPr>
                <w:color w:val="auto"/>
                <w:szCs w:val="21"/>
              </w:rPr>
              <w:t>.</w:t>
            </w:r>
            <w:r>
              <w:rPr>
                <w:rFonts w:hint="eastAsia"/>
                <w:color w:val="auto"/>
                <w:szCs w:val="21"/>
              </w:rPr>
              <w:t>有效的折扣率为：折扣率＜80%，超出该有效折扣率范围的按投标无效处理。</w:t>
            </w:r>
          </w:p>
          <w:p>
            <w:pPr>
              <w:spacing w:line="300" w:lineRule="exact"/>
              <w:jc w:val="left"/>
              <w:rPr>
                <w:color w:val="auto"/>
                <w:szCs w:val="21"/>
              </w:rPr>
            </w:pPr>
            <w:r>
              <w:rPr>
                <w:color w:val="auto"/>
                <w:szCs w:val="21"/>
              </w:rPr>
              <w:t>4.</w:t>
            </w:r>
            <w:r>
              <w:rPr>
                <w:rFonts w:hint="eastAsia"/>
                <w:color w:val="auto"/>
                <w:szCs w:val="21"/>
              </w:rPr>
              <w:t>各分标实洋合计值即各分标采购预算金额，每名中标人的具体合同实洋金额以采购人的实际采购情况为准。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3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合同签订日期</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rPr>
            </w:pPr>
            <w:r>
              <w:rPr>
                <w:color w:val="auto"/>
                <w:szCs w:val="21"/>
              </w:rPr>
              <w:t>中标通知书发出后</w:t>
            </w:r>
            <w:r>
              <w:rPr>
                <w:rFonts w:hint="eastAsia"/>
                <w:color w:val="auto"/>
                <w:szCs w:val="21"/>
              </w:rPr>
              <w:t>25</w:t>
            </w:r>
            <w:r>
              <w:rPr>
                <w:color w:val="auto"/>
                <w:szCs w:val="21"/>
              </w:rPr>
              <w:t>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rPr>
              <w:t>交货时间</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rPr>
            </w:pPr>
            <w:bookmarkStart w:id="34" w:name="_Hlk27661358"/>
            <w:r>
              <w:rPr>
                <w:rFonts w:hint="eastAsia"/>
                <w:color w:val="auto"/>
                <w:szCs w:val="21"/>
                <w:u w:val="single" w:color="FFFFFF"/>
              </w:rPr>
              <w:t>自签订合同之日起</w:t>
            </w:r>
            <w:r>
              <w:rPr>
                <w:color w:val="auto"/>
                <w:szCs w:val="21"/>
                <w:u w:val="single" w:color="FFFFFF"/>
              </w:rPr>
              <w:t>240</w:t>
            </w:r>
            <w:r>
              <w:rPr>
                <w:rFonts w:hint="eastAsia"/>
                <w:color w:val="auto"/>
                <w:szCs w:val="21"/>
                <w:u w:val="single" w:color="FFFFFF"/>
              </w:rPr>
              <w:t>日内。</w:t>
            </w:r>
            <w:bookmarkEnd w:id="34"/>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交货</w:t>
            </w:r>
            <w:r>
              <w:rPr>
                <w:color w:val="auto"/>
                <w:szCs w:val="21"/>
              </w:rPr>
              <w:t>地点</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bookmarkStart w:id="35" w:name="_Hlk27661367"/>
            <w:r>
              <w:rPr>
                <w:rFonts w:hint="eastAsia"/>
                <w:color w:val="auto"/>
                <w:szCs w:val="21"/>
              </w:rPr>
              <w:t>采购人指定地点。</w:t>
            </w:r>
            <w:bookmarkEnd w:id="35"/>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服务期要求</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中标人在服务期内应当为采购人提供以下技术支持和咨询服务：</w:t>
            </w:r>
          </w:p>
          <w:p>
            <w:pPr>
              <w:spacing w:line="300" w:lineRule="exact"/>
              <w:jc w:val="left"/>
              <w:rPr>
                <w:color w:val="auto"/>
                <w:szCs w:val="21"/>
              </w:rPr>
            </w:pPr>
            <w:r>
              <w:rPr>
                <w:color w:val="auto"/>
                <w:szCs w:val="21"/>
              </w:rPr>
              <w:t>1.电话</w:t>
            </w:r>
            <w:r>
              <w:rPr>
                <w:rFonts w:hint="eastAsia"/>
                <w:color w:val="auto"/>
                <w:szCs w:val="21"/>
              </w:rPr>
              <w:t>、Q</w:t>
            </w:r>
            <w:r>
              <w:rPr>
                <w:color w:val="auto"/>
                <w:szCs w:val="21"/>
              </w:rPr>
              <w:t>Q咨询</w:t>
            </w:r>
          </w:p>
          <w:p>
            <w:pPr>
              <w:spacing w:line="300" w:lineRule="exact"/>
              <w:jc w:val="left"/>
              <w:rPr>
                <w:color w:val="auto"/>
                <w:szCs w:val="21"/>
              </w:rPr>
            </w:pPr>
            <w:r>
              <w:rPr>
                <w:color w:val="auto"/>
                <w:szCs w:val="21"/>
              </w:rPr>
              <w:t>中标人应当为采购人提供技术援助电话</w:t>
            </w:r>
            <w:r>
              <w:rPr>
                <w:rFonts w:hint="eastAsia"/>
                <w:color w:val="auto"/>
                <w:szCs w:val="21"/>
              </w:rPr>
              <w:t>及Q</w:t>
            </w:r>
            <w:r>
              <w:rPr>
                <w:color w:val="auto"/>
                <w:szCs w:val="21"/>
              </w:rPr>
              <w:t>Q，解答采购人在使用中遇到的问题，及时为采购人提出解决问题的建议。</w:t>
            </w:r>
          </w:p>
          <w:p>
            <w:pPr>
              <w:spacing w:line="300" w:lineRule="exact"/>
              <w:jc w:val="left"/>
              <w:rPr>
                <w:color w:val="auto"/>
                <w:szCs w:val="21"/>
              </w:rPr>
            </w:pPr>
            <w:r>
              <w:rPr>
                <w:color w:val="auto"/>
                <w:szCs w:val="21"/>
              </w:rPr>
              <w:t>2.现场响应</w:t>
            </w:r>
          </w:p>
          <w:p>
            <w:pPr>
              <w:spacing w:line="300" w:lineRule="exact"/>
              <w:jc w:val="left"/>
              <w:rPr>
                <w:color w:val="auto"/>
                <w:szCs w:val="21"/>
              </w:rPr>
            </w:pPr>
            <w:r>
              <w:rPr>
                <w:color w:val="auto"/>
                <w:szCs w:val="21"/>
              </w:rPr>
              <w:t>采购人遇到使用或技术问题，电话咨询不能解决的，中标人和服务供应商应</w:t>
            </w:r>
            <w:r>
              <w:rPr>
                <w:rFonts w:hint="eastAsia"/>
                <w:color w:val="auto"/>
                <w:szCs w:val="21"/>
              </w:rPr>
              <w:t>服务要求进行现场处理</w:t>
            </w:r>
            <w:r>
              <w:rPr>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验收方式</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1．检查服务范围</w:t>
            </w:r>
          </w:p>
          <w:p>
            <w:pPr>
              <w:spacing w:line="300" w:lineRule="exact"/>
              <w:jc w:val="left"/>
              <w:rPr>
                <w:color w:val="auto"/>
                <w:szCs w:val="21"/>
              </w:rPr>
            </w:pPr>
            <w:r>
              <w:rPr>
                <w:color w:val="auto"/>
                <w:szCs w:val="21"/>
              </w:rPr>
              <w:t>▲交付服务产品：服务产品交付现场，中标人应在采购人单位人员在场情况下当面交付，双方签字确认。中标人应保证交付服务产品到达采购人所在地完好无损，如有缺漏、损坏</w:t>
            </w:r>
            <w:r>
              <w:rPr>
                <w:rFonts w:hint="eastAsia"/>
                <w:color w:val="auto"/>
                <w:szCs w:val="21"/>
              </w:rPr>
              <w:t>或</w:t>
            </w:r>
            <w:r>
              <w:rPr>
                <w:color w:val="auto"/>
                <w:szCs w:val="21"/>
              </w:rPr>
              <w:t>其他不满足要求的缺陷，由中标人负责修正、调换、补齐或赔偿。</w:t>
            </w:r>
          </w:p>
          <w:p>
            <w:pPr>
              <w:spacing w:line="300" w:lineRule="exact"/>
              <w:jc w:val="left"/>
              <w:rPr>
                <w:color w:val="auto"/>
                <w:szCs w:val="21"/>
              </w:rPr>
            </w:pPr>
            <w:r>
              <w:rPr>
                <w:color w:val="auto"/>
                <w:szCs w:val="21"/>
              </w:rPr>
              <w:t>▲其他服务内容：根据招标文件检查服务内容是否满足要求。</w:t>
            </w:r>
          </w:p>
          <w:p>
            <w:pPr>
              <w:spacing w:line="300" w:lineRule="exact"/>
              <w:jc w:val="left"/>
              <w:rPr>
                <w:color w:val="auto"/>
                <w:szCs w:val="21"/>
              </w:rPr>
            </w:pPr>
            <w:r>
              <w:rPr>
                <w:color w:val="auto"/>
                <w:szCs w:val="21"/>
              </w:rPr>
              <w:t>2．中标人应提供完备的技术或服务资料、交付清单和合格证或检测报告（如有）等，并派遣专业人员进行现场安装调试（如需）。验收合格条件如下：</w:t>
            </w:r>
          </w:p>
          <w:p>
            <w:pPr>
              <w:spacing w:line="300" w:lineRule="exact"/>
              <w:jc w:val="left"/>
              <w:rPr>
                <w:color w:val="auto"/>
                <w:szCs w:val="21"/>
              </w:rPr>
            </w:pPr>
            <w:r>
              <w:rPr>
                <w:color w:val="auto"/>
                <w:szCs w:val="21"/>
              </w:rPr>
              <w:t>2.1服务内容应与采购合同一致，交付服务产品性能或指标达到规定的标准。</w:t>
            </w:r>
          </w:p>
          <w:p>
            <w:pPr>
              <w:spacing w:line="300" w:lineRule="exact"/>
              <w:jc w:val="left"/>
              <w:rPr>
                <w:color w:val="auto"/>
                <w:szCs w:val="21"/>
              </w:rPr>
            </w:pPr>
            <w:r>
              <w:rPr>
                <w:color w:val="auto"/>
                <w:szCs w:val="21"/>
              </w:rPr>
              <w:t>2.2技术或资料、交付清单、合格证或检测报告等资料齐全。</w:t>
            </w:r>
          </w:p>
          <w:p>
            <w:pPr>
              <w:spacing w:line="300" w:lineRule="exact"/>
              <w:jc w:val="left"/>
              <w:rPr>
                <w:color w:val="auto"/>
                <w:szCs w:val="21"/>
              </w:rPr>
            </w:pPr>
            <w:r>
              <w:rPr>
                <w:color w:val="auto"/>
                <w:szCs w:val="21"/>
              </w:rPr>
              <w:t>2.3在测试或试运行期间所出现的问题得到解决，并保证服务期及质保期内运行或工作正常。</w:t>
            </w:r>
          </w:p>
          <w:p>
            <w:pPr>
              <w:spacing w:line="300" w:lineRule="exact"/>
              <w:jc w:val="left"/>
              <w:rPr>
                <w:color w:val="auto"/>
                <w:szCs w:val="21"/>
              </w:rPr>
            </w:pPr>
            <w:r>
              <w:rPr>
                <w:color w:val="auto"/>
                <w:szCs w:val="21"/>
              </w:rPr>
              <w:t>2.4在规定时间内完成服务成果验收，并经采购人确认。产品或服务符合要求，才作为最终验收。</w:t>
            </w:r>
          </w:p>
          <w:p>
            <w:pPr>
              <w:spacing w:line="300" w:lineRule="exact"/>
              <w:jc w:val="left"/>
              <w:rPr>
                <w:color w:val="auto"/>
                <w:szCs w:val="21"/>
              </w:rPr>
            </w:pPr>
            <w:r>
              <w:rPr>
                <w:color w:val="auto"/>
                <w:szCs w:val="21"/>
              </w:rPr>
              <w:t>3．中标人提供的产品或服务未达到招标文件规定要求，且对采购人造成损失的，由中标人承担一切责任，并赔偿所造成的损失。</w:t>
            </w:r>
          </w:p>
          <w:p>
            <w:pPr>
              <w:spacing w:line="300" w:lineRule="exact"/>
              <w:jc w:val="left"/>
              <w:rPr>
                <w:color w:val="auto"/>
                <w:szCs w:val="21"/>
              </w:rPr>
            </w:pPr>
            <w:r>
              <w:rPr>
                <w:color w:val="auto"/>
                <w:szCs w:val="21"/>
              </w:rPr>
              <w:t>4．采购人需要制造商对中标人交付的产品或服务（包括质量、参数等）进行确认的，制造商应予以配合，并出具书面意见。</w:t>
            </w:r>
          </w:p>
          <w:p>
            <w:pPr>
              <w:spacing w:line="300" w:lineRule="exact"/>
              <w:jc w:val="left"/>
              <w:rPr>
                <w:color w:val="auto"/>
                <w:szCs w:val="21"/>
              </w:rPr>
            </w:pPr>
            <w:r>
              <w:rPr>
                <w:color w:val="auto"/>
                <w:szCs w:val="21"/>
              </w:rPr>
              <w:t>5．产品包装材料归采购人所有。</w:t>
            </w:r>
          </w:p>
          <w:p>
            <w:pPr>
              <w:spacing w:line="300" w:lineRule="exact"/>
              <w:jc w:val="left"/>
              <w:rPr>
                <w:color w:val="auto"/>
                <w:szCs w:val="21"/>
              </w:rPr>
            </w:pPr>
            <w:r>
              <w:rPr>
                <w:color w:val="auto"/>
                <w:szCs w:val="21"/>
              </w:rPr>
              <w:t>6．大型或者复杂的政府采购项目，采购人应当邀请具有相关资质的检测机构参加验收工作。</w:t>
            </w:r>
          </w:p>
          <w:p>
            <w:pPr>
              <w:spacing w:line="300" w:lineRule="exact"/>
              <w:jc w:val="left"/>
              <w:rPr>
                <w:color w:val="auto"/>
                <w:szCs w:val="21"/>
              </w:rPr>
            </w:pPr>
            <w:r>
              <w:rPr>
                <w:color w:val="auto"/>
                <w:szCs w:val="21"/>
              </w:rPr>
              <w:t>7．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培训</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供应商对其提供产品或服务的使用和操作应尽培训义务。供应商应提供对采购人的基本培训，使采购人使用人员熟练掌握所培训内容，熟练掌握全部功能</w:t>
            </w:r>
            <w:r>
              <w:rPr>
                <w:rFonts w:hint="eastAsia"/>
                <w:color w:val="auto"/>
                <w:szCs w:val="21"/>
              </w:rPr>
              <w:t>，</w:t>
            </w:r>
            <w:r>
              <w:rPr>
                <w:color w:val="auto"/>
                <w:szCs w:val="21"/>
              </w:rPr>
              <w:t>培训的相关费用包括在投标报价中</w:t>
            </w:r>
            <w:r>
              <w:rPr>
                <w:rFonts w:hint="eastAsia"/>
                <w:color w:val="auto"/>
                <w:szCs w:val="21"/>
              </w:rPr>
              <w:t>，</w:t>
            </w:r>
            <w:r>
              <w:rPr>
                <w:color w:val="auto"/>
                <w:szCs w:val="21"/>
              </w:rPr>
              <w:t>采购不再另行支付。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知识产权</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采购人在中华人民共和国境内使用供应商提供的产品及服务时免受第三方提出的侵犯其专利权或其它知识产权的起诉。如果第三方提出侵权指控，中标人应承担由此而引起的一切法律责任和费用。</w:t>
            </w:r>
            <w:r>
              <w:rPr>
                <w:rFonts w:hint="eastAsia"/>
                <w:color w:val="auto"/>
                <w:szCs w:val="21"/>
              </w:rPr>
              <w:t>供应商</w:t>
            </w:r>
            <w:r>
              <w:rPr>
                <w:color w:val="auto"/>
                <w:szCs w:val="21"/>
              </w:rPr>
              <w:t>在</w:t>
            </w:r>
            <w:r>
              <w:rPr>
                <w:rFonts w:hint="eastAsia"/>
                <w:color w:val="auto"/>
                <w:szCs w:val="21"/>
              </w:rPr>
              <w:t>投标文件</w:t>
            </w:r>
            <w:r>
              <w:rPr>
                <w:color w:val="auto"/>
                <w:szCs w:val="21"/>
              </w:rPr>
              <w:t>中提供承诺或证明材料</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付款方式、时间、条件</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1．供应商按采购合同</w:t>
            </w:r>
            <w:r>
              <w:rPr>
                <w:rFonts w:hint="eastAsia"/>
                <w:color w:val="auto"/>
                <w:szCs w:val="21"/>
              </w:rPr>
              <w:t>履行完</w:t>
            </w:r>
            <w:r>
              <w:rPr>
                <w:color w:val="auto"/>
                <w:szCs w:val="21"/>
              </w:rPr>
              <w:t>服务</w:t>
            </w:r>
            <w:r>
              <w:rPr>
                <w:rFonts w:hint="eastAsia"/>
                <w:color w:val="auto"/>
                <w:szCs w:val="21"/>
              </w:rPr>
              <w:t>任务</w:t>
            </w:r>
            <w:r>
              <w:rPr>
                <w:color w:val="auto"/>
                <w:szCs w:val="21"/>
              </w:rPr>
              <w:t>后，采购人签署项目验收书；</w:t>
            </w:r>
          </w:p>
          <w:p>
            <w:pPr>
              <w:spacing w:line="300" w:lineRule="exact"/>
              <w:jc w:val="left"/>
              <w:rPr>
                <w:color w:val="auto"/>
                <w:szCs w:val="21"/>
              </w:rPr>
            </w:pPr>
            <w:r>
              <w:rPr>
                <w:color w:val="auto"/>
                <w:szCs w:val="21"/>
              </w:rPr>
              <w:t>2．供应商向采购人开具全额发票和验收书向采购人提出付款申请；</w:t>
            </w:r>
          </w:p>
          <w:p>
            <w:pPr>
              <w:spacing w:line="300" w:lineRule="exact"/>
              <w:jc w:val="left"/>
              <w:rPr>
                <w:color w:val="auto"/>
                <w:szCs w:val="21"/>
              </w:rPr>
            </w:pPr>
            <w:r>
              <w:rPr>
                <w:color w:val="auto"/>
                <w:szCs w:val="21"/>
              </w:rPr>
              <w:t>3．票据要求：中标人必须按照采购人要求提供真实、有效、合法的正式发票。一旦发现中标人提供虚假发票，除须向采购人补开合法发票外，须赔偿采购人发票票面金额一倍的违约金，且采购人有权终止合同，供应商不得提出异议，因终止合同而产生的一切损失均由供应商承担。</w:t>
            </w:r>
          </w:p>
          <w:p>
            <w:pPr>
              <w:spacing w:line="300" w:lineRule="exact"/>
              <w:jc w:val="left"/>
              <w:rPr>
                <w:color w:val="auto"/>
                <w:szCs w:val="21"/>
              </w:rPr>
            </w:pPr>
            <w:r>
              <w:rPr>
                <w:rFonts w:hint="eastAsia"/>
                <w:color w:val="auto"/>
                <w:szCs w:val="21"/>
              </w:rPr>
              <w:t>4、采购人与供应商签订合同后，采购人应在合同生效以及具备实施条件后1</w:t>
            </w:r>
            <w:r>
              <w:rPr>
                <w:color w:val="auto"/>
                <w:szCs w:val="21"/>
              </w:rPr>
              <w:t>5</w:t>
            </w:r>
            <w:r>
              <w:rPr>
                <w:rFonts w:hint="eastAsia"/>
                <w:color w:val="auto"/>
                <w:szCs w:val="21"/>
              </w:rPr>
              <w:t>日内向供应商支付合同金额3</w:t>
            </w:r>
            <w:r>
              <w:rPr>
                <w:color w:val="auto"/>
                <w:szCs w:val="21"/>
              </w:rPr>
              <w:t>0%</w:t>
            </w:r>
            <w:r>
              <w:rPr>
                <w:rFonts w:hint="eastAsia"/>
                <w:color w:val="auto"/>
                <w:szCs w:val="21"/>
              </w:rPr>
              <w:t>的预付款。（在签订合同时，供应商明确表示无需预付款或者主动要求降低预付款比例的，采购人可不适用该条款。）</w:t>
            </w:r>
          </w:p>
          <w:p>
            <w:pPr>
              <w:spacing w:line="300" w:lineRule="exact"/>
              <w:jc w:val="left"/>
              <w:rPr>
                <w:color w:val="auto"/>
                <w:szCs w:val="21"/>
              </w:rPr>
            </w:pPr>
            <w:r>
              <w:rPr>
                <w:color w:val="auto"/>
                <w:szCs w:val="21"/>
              </w:rPr>
              <w:t>5．</w:t>
            </w:r>
            <w:r>
              <w:rPr>
                <w:rFonts w:hint="eastAsia"/>
                <w:color w:val="auto"/>
                <w:szCs w:val="21"/>
              </w:rPr>
              <w:t>中标人按采购合同履行完服务任务，并且办理妥差、错图书的退书手续后，按实际验收合格图书的实洋价合计值（实洋价合计值＝图书码洋价合计值×折扣率）结算，剩余货款一次性付清。双方核对金额无误后，采购人在 20 个工作日内办理好转账业务，中标人在5个工作日内开具发票给采购人。</w:t>
            </w:r>
          </w:p>
          <w:p>
            <w:pPr>
              <w:spacing w:line="300" w:lineRule="exact"/>
              <w:jc w:val="left"/>
              <w:rPr>
                <w:color w:val="auto"/>
                <w:szCs w:val="21"/>
              </w:rPr>
            </w:pPr>
            <w:r>
              <w:rPr>
                <w:rFonts w:hint="eastAsia"/>
                <w:color w:val="auto"/>
                <w:szCs w:val="21"/>
              </w:rPr>
              <w:t>6</w:t>
            </w:r>
            <w:r>
              <w:rPr>
                <w:color w:val="auto"/>
                <w:szCs w:val="21"/>
              </w:rPr>
              <w:t>．本合同使用货币币制如未作特别说明均为人民币。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履约保证金</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本项目履约保证金</w:t>
            </w:r>
            <w:r>
              <w:rPr>
                <w:color w:val="auto"/>
                <w:szCs w:val="21"/>
              </w:rPr>
              <w:sym w:font="Wingdings" w:char="00FE"/>
            </w:r>
            <w:r>
              <w:rPr>
                <w:color w:val="auto"/>
                <w:szCs w:val="21"/>
              </w:rPr>
              <w:t>无；</w:t>
            </w:r>
            <w:r>
              <w:rPr>
                <w:color w:val="auto"/>
                <w:szCs w:val="21"/>
              </w:rPr>
              <w:sym w:font="Wingdings" w:char="00A8"/>
            </w:r>
            <w:r>
              <w:rPr>
                <w:color w:val="auto"/>
                <w:szCs w:val="21"/>
              </w:rPr>
              <w:t>有</w:t>
            </w:r>
            <w:r>
              <w:rPr>
                <w:rFonts w:hint="eastAsia"/>
                <w:color w:val="auto"/>
                <w:szCs w:val="21"/>
              </w:rPr>
              <w:t>，</w:t>
            </w:r>
            <w:r>
              <w:rPr>
                <w:color w:val="auto"/>
                <w:szCs w:val="21"/>
              </w:rPr>
              <w:t>履约保证金的金额：</w:t>
            </w:r>
            <w:r>
              <w:rPr>
                <w:rFonts w:hint="eastAsia"/>
                <w:color w:val="auto"/>
                <w:kern w:val="0"/>
                <w:szCs w:val="21"/>
                <w:u w:val="single"/>
              </w:rPr>
              <w:t xml:space="preserve"> </w:t>
            </w:r>
            <w:r>
              <w:rPr>
                <w:color w:val="auto"/>
                <w:kern w:val="0"/>
                <w:szCs w:val="21"/>
                <w:u w:val="single"/>
              </w:rPr>
              <w:t xml:space="preserve">    </w:t>
            </w:r>
            <w:r>
              <w:rPr>
                <w:rFonts w:hint="eastAsia"/>
                <w:color w:val="auto"/>
                <w:szCs w:val="21"/>
                <w:u w:val="single"/>
              </w:rPr>
              <w:t>/</w:t>
            </w:r>
            <w:r>
              <w:rPr>
                <w:color w:val="auto"/>
                <w:kern w:val="0"/>
                <w:szCs w:val="21"/>
                <w:u w:val="singl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5" w:hRule="atLeast"/>
        </w:trPr>
        <w:tc>
          <w:tcPr>
            <w:tcW w:w="9606"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left"/>
              <w:rPr>
                <w:color w:val="auto"/>
                <w:szCs w:val="21"/>
              </w:rPr>
            </w:pPr>
            <w:r>
              <w:rPr>
                <w:rFonts w:hint="eastAsia"/>
                <w:b/>
                <w:color w:val="auto"/>
                <w:kern w:val="0"/>
                <w:szCs w:val="21"/>
              </w:rPr>
              <w:t>五</w:t>
            </w:r>
            <w:r>
              <w:rPr>
                <w:b/>
                <w:color w:val="auto"/>
                <w:kern w:val="0"/>
                <w:szCs w:val="21"/>
              </w:rPr>
              <w:t>、本项目其他要求及说明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yellow"/>
              </w:rPr>
            </w:pPr>
            <w:r>
              <w:rPr>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附表一：核心出版社目录</w:t>
            </w:r>
          </w:p>
          <w:p>
            <w:pPr>
              <w:spacing w:line="300" w:lineRule="exact"/>
              <w:jc w:val="center"/>
              <w:rPr>
                <w:color w:val="auto"/>
                <w:szCs w:val="21"/>
                <w:highlight w:val="green"/>
              </w:rPr>
            </w:pP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r>
              <w:rPr>
                <w:rFonts w:hint="eastAsia" w:ascii="宋体" w:hAnsi="宋体"/>
                <w:b/>
                <w:color w:val="auto"/>
                <w:szCs w:val="21"/>
              </w:rPr>
              <w:t>一、大学出版社</w:t>
            </w:r>
          </w:p>
          <w:p>
            <w:pPr>
              <w:rPr>
                <w:rFonts w:ascii="宋体" w:hAnsi="宋体"/>
                <w:color w:val="auto"/>
                <w:szCs w:val="21"/>
              </w:rPr>
            </w:pPr>
            <w:r>
              <w:rPr>
                <w:rFonts w:hint="eastAsia" w:ascii="宋体" w:hAnsi="宋体"/>
                <w:color w:val="auto"/>
                <w:szCs w:val="21"/>
              </w:rPr>
              <w:t xml:space="preserve">北京大学出版社             清华大学出版社           复旦大学出版社   </w:t>
            </w:r>
          </w:p>
          <w:p>
            <w:pPr>
              <w:rPr>
                <w:rFonts w:ascii="宋体" w:hAnsi="宋体"/>
                <w:color w:val="auto"/>
                <w:szCs w:val="21"/>
              </w:rPr>
            </w:pPr>
            <w:r>
              <w:rPr>
                <w:rFonts w:hint="eastAsia" w:ascii="宋体" w:hAnsi="宋体"/>
                <w:color w:val="auto"/>
                <w:szCs w:val="21"/>
              </w:rPr>
              <w:t xml:space="preserve">中国人民大学出版社         南京大学出版社           浙江大学出版社    </w:t>
            </w:r>
          </w:p>
          <w:p>
            <w:pPr>
              <w:rPr>
                <w:rFonts w:ascii="宋体" w:hAnsi="宋体"/>
                <w:color w:val="auto"/>
                <w:szCs w:val="21"/>
              </w:rPr>
            </w:pPr>
            <w:r>
              <w:rPr>
                <w:rFonts w:hint="eastAsia" w:ascii="宋体" w:hAnsi="宋体"/>
                <w:color w:val="auto"/>
                <w:szCs w:val="21"/>
              </w:rPr>
              <w:t>武汉大学出版社             中山大学出版社           厦门大学出版社</w:t>
            </w:r>
          </w:p>
          <w:p>
            <w:pPr>
              <w:rPr>
                <w:rFonts w:ascii="宋体" w:hAnsi="宋体"/>
                <w:color w:val="auto"/>
                <w:szCs w:val="21"/>
              </w:rPr>
            </w:pPr>
            <w:r>
              <w:rPr>
                <w:rFonts w:hint="eastAsia" w:ascii="宋体" w:hAnsi="宋体"/>
                <w:color w:val="auto"/>
                <w:szCs w:val="21"/>
              </w:rPr>
              <w:t>北京师范大学出版社         山东大学出版社           南开大学出版社</w:t>
            </w:r>
          </w:p>
          <w:p>
            <w:pPr>
              <w:jc w:val="left"/>
              <w:rPr>
                <w:rFonts w:ascii="宋体" w:hAnsi="宋体"/>
                <w:color w:val="auto"/>
                <w:szCs w:val="21"/>
              </w:rPr>
            </w:pPr>
            <w:r>
              <w:rPr>
                <w:rFonts w:hint="eastAsia" w:ascii="宋体" w:hAnsi="宋体"/>
                <w:color w:val="auto"/>
                <w:szCs w:val="21"/>
              </w:rPr>
              <w:t>中国传媒大学出版社         中国政法大学出版社       电子科技大学出版社</w:t>
            </w:r>
          </w:p>
          <w:p>
            <w:pPr>
              <w:jc w:val="left"/>
              <w:rPr>
                <w:rFonts w:ascii="宋体" w:hAnsi="宋体"/>
                <w:color w:val="auto"/>
                <w:szCs w:val="21"/>
              </w:rPr>
            </w:pPr>
            <w:r>
              <w:rPr>
                <w:rFonts w:hint="eastAsia" w:ascii="宋体" w:hAnsi="宋体"/>
                <w:color w:val="auto"/>
                <w:szCs w:val="21"/>
              </w:rPr>
              <w:t>北京航空航天大学出版社     北京理工大学出版社       武汉理工大学出版社</w:t>
            </w:r>
          </w:p>
          <w:p>
            <w:pPr>
              <w:jc w:val="left"/>
              <w:rPr>
                <w:rFonts w:ascii="宋体" w:hAnsi="宋体"/>
                <w:color w:val="auto"/>
                <w:szCs w:val="21"/>
              </w:rPr>
            </w:pPr>
            <w:r>
              <w:rPr>
                <w:rFonts w:hint="eastAsia" w:ascii="宋体" w:hAnsi="宋体"/>
                <w:color w:val="auto"/>
                <w:szCs w:val="21"/>
              </w:rPr>
              <w:t>大连理工大学出版社         上海交通大学出版         中国科技大学出版社</w:t>
            </w:r>
          </w:p>
          <w:p>
            <w:pPr>
              <w:jc w:val="left"/>
              <w:rPr>
                <w:rFonts w:ascii="宋体" w:hAnsi="宋体"/>
                <w:color w:val="auto"/>
                <w:szCs w:val="21"/>
              </w:rPr>
            </w:pPr>
            <w:r>
              <w:rPr>
                <w:rFonts w:hint="eastAsia" w:ascii="宋体" w:hAnsi="宋体"/>
                <w:color w:val="auto"/>
                <w:szCs w:val="21"/>
              </w:rPr>
              <w:t>北京邮电大学出版社         中国矿业大学出版社       中国农业大学出版社</w:t>
            </w:r>
          </w:p>
          <w:p>
            <w:pPr>
              <w:jc w:val="left"/>
              <w:rPr>
                <w:rFonts w:ascii="宋体" w:hAnsi="宋体"/>
                <w:color w:val="auto"/>
                <w:szCs w:val="21"/>
              </w:rPr>
            </w:pPr>
            <w:r>
              <w:rPr>
                <w:rFonts w:hint="eastAsia" w:ascii="宋体" w:hAnsi="宋体"/>
                <w:color w:val="auto"/>
                <w:szCs w:val="21"/>
              </w:rPr>
              <w:t>中国林业大学出版社         北京语言文化大学出版社   华中科技大学出版社</w:t>
            </w:r>
          </w:p>
          <w:p>
            <w:pPr>
              <w:jc w:val="left"/>
              <w:rPr>
                <w:rFonts w:ascii="宋体" w:hAnsi="宋体"/>
                <w:color w:val="auto"/>
                <w:szCs w:val="21"/>
              </w:rPr>
            </w:pPr>
            <w:r>
              <w:rPr>
                <w:rFonts w:hint="eastAsia" w:ascii="宋体" w:hAnsi="宋体"/>
                <w:color w:val="auto"/>
                <w:szCs w:val="21"/>
              </w:rPr>
              <w:t xml:space="preserve">四川大学出版社             重庆大学出版社           湖南大学出版社       </w:t>
            </w:r>
          </w:p>
          <w:p>
            <w:pPr>
              <w:jc w:val="left"/>
              <w:rPr>
                <w:rFonts w:ascii="宋体" w:hAnsi="宋体"/>
                <w:color w:val="auto"/>
                <w:szCs w:val="21"/>
              </w:rPr>
            </w:pPr>
            <w:r>
              <w:rPr>
                <w:rFonts w:hint="eastAsia" w:ascii="宋体" w:hAnsi="宋体"/>
                <w:color w:val="auto"/>
                <w:szCs w:val="21"/>
              </w:rPr>
              <w:t>华东师范大学出版社         华中师范大学出版社       华南师范大学出版社</w:t>
            </w:r>
          </w:p>
          <w:p>
            <w:pPr>
              <w:jc w:val="left"/>
              <w:rPr>
                <w:rFonts w:ascii="宋体" w:hAnsi="宋体"/>
                <w:color w:val="auto"/>
                <w:szCs w:val="21"/>
              </w:rPr>
            </w:pPr>
            <w:r>
              <w:rPr>
                <w:rFonts w:hint="eastAsia" w:ascii="宋体" w:hAnsi="宋体"/>
                <w:color w:val="auto"/>
                <w:szCs w:val="21"/>
              </w:rPr>
              <w:t xml:space="preserve">东北师范大学出版社         广西师范大学出版社       上海财经大学出版社       </w:t>
            </w:r>
          </w:p>
          <w:p>
            <w:pPr>
              <w:jc w:val="left"/>
              <w:rPr>
                <w:rFonts w:ascii="宋体" w:hAnsi="宋体"/>
                <w:color w:val="auto"/>
                <w:szCs w:val="21"/>
              </w:rPr>
            </w:pPr>
            <w:r>
              <w:rPr>
                <w:rFonts w:hint="eastAsia" w:ascii="宋体" w:hAnsi="宋体"/>
                <w:color w:val="auto"/>
                <w:szCs w:val="21"/>
              </w:rPr>
              <w:t xml:space="preserve">东北财经大学出版社         西南财经大学出版社   对外经济贸易大学出版社     </w:t>
            </w:r>
          </w:p>
          <w:p>
            <w:pPr>
              <w:jc w:val="left"/>
              <w:rPr>
                <w:rFonts w:ascii="宋体" w:hAnsi="宋体"/>
                <w:color w:val="auto"/>
                <w:szCs w:val="21"/>
              </w:rPr>
            </w:pPr>
            <w:r>
              <w:rPr>
                <w:rFonts w:hint="eastAsia" w:ascii="宋体" w:hAnsi="宋体"/>
                <w:color w:val="auto"/>
                <w:szCs w:val="21"/>
              </w:rPr>
              <w:t>华南理工大学出版社         华东科技大学出版社       西安交通大学出版社</w:t>
            </w:r>
          </w:p>
          <w:p>
            <w:pPr>
              <w:rPr>
                <w:rFonts w:ascii="宋体" w:hAnsi="宋体"/>
                <w:color w:val="auto"/>
                <w:szCs w:val="21"/>
              </w:rPr>
            </w:pPr>
            <w:r>
              <w:rPr>
                <w:rFonts w:hint="eastAsia" w:ascii="宋体" w:hAnsi="宋体"/>
                <w:color w:val="auto"/>
                <w:szCs w:val="21"/>
              </w:rPr>
              <w:t>西南交通大学出版社         北方交通大学出版社     哈尔滨工业大学出版社</w:t>
            </w:r>
          </w:p>
          <w:p>
            <w:pPr>
              <w:jc w:val="left"/>
              <w:rPr>
                <w:rFonts w:ascii="宋体" w:hAnsi="宋体"/>
                <w:color w:val="auto"/>
                <w:szCs w:val="21"/>
              </w:rPr>
            </w:pPr>
            <w:r>
              <w:rPr>
                <w:rFonts w:hint="eastAsia" w:ascii="宋体" w:hAnsi="宋体"/>
                <w:color w:val="auto"/>
                <w:szCs w:val="21"/>
              </w:rPr>
              <w:t>西北工业大学出版社         同济大学出版社           东南大学出版社</w:t>
            </w:r>
          </w:p>
          <w:p>
            <w:pPr>
              <w:jc w:val="left"/>
              <w:rPr>
                <w:rFonts w:ascii="宋体" w:hAnsi="宋体"/>
                <w:color w:val="auto"/>
                <w:szCs w:val="21"/>
              </w:rPr>
            </w:pPr>
            <w:r>
              <w:rPr>
                <w:rFonts w:hint="eastAsia" w:ascii="宋体" w:hAnsi="宋体"/>
                <w:color w:val="auto"/>
                <w:szCs w:val="21"/>
              </w:rPr>
              <w:t xml:space="preserve">西安电子科技大学出版社     西安交通大学出版社       天津大学出版社           </w:t>
            </w:r>
          </w:p>
          <w:p>
            <w:pPr>
              <w:jc w:val="left"/>
              <w:rPr>
                <w:rFonts w:ascii="宋体" w:hAnsi="宋体"/>
                <w:color w:val="auto"/>
                <w:szCs w:val="21"/>
              </w:rPr>
            </w:pPr>
            <w:r>
              <w:rPr>
                <w:rFonts w:hint="eastAsia" w:ascii="宋体" w:hAnsi="宋体"/>
                <w:color w:val="auto"/>
                <w:szCs w:val="21"/>
              </w:rPr>
              <w:t xml:space="preserve">中南大学出版社             东北大学出版社           西北大学出版社     </w:t>
            </w:r>
          </w:p>
          <w:p>
            <w:pPr>
              <w:jc w:val="left"/>
              <w:rPr>
                <w:rFonts w:ascii="宋体" w:hAnsi="宋体"/>
                <w:color w:val="auto"/>
                <w:szCs w:val="21"/>
              </w:rPr>
            </w:pPr>
            <w:r>
              <w:rPr>
                <w:rFonts w:hint="eastAsia" w:ascii="宋体" w:hAnsi="宋体"/>
                <w:color w:val="auto"/>
                <w:szCs w:val="21"/>
              </w:rPr>
              <w:t>安徽大学出版社             江西高校出版社           西南师范大学出版社</w:t>
            </w:r>
          </w:p>
          <w:p>
            <w:pPr>
              <w:rPr>
                <w:rFonts w:ascii="宋体" w:hAnsi="宋体"/>
                <w:color w:val="auto"/>
                <w:szCs w:val="21"/>
              </w:rPr>
            </w:pPr>
            <w:r>
              <w:rPr>
                <w:rFonts w:hint="eastAsia" w:ascii="宋体" w:hAnsi="宋体"/>
                <w:color w:val="auto"/>
                <w:szCs w:val="21"/>
              </w:rPr>
              <w:t>中国美术学院出版社         北京体育大学出版社     中国人民公安大学出版社</w:t>
            </w:r>
          </w:p>
          <w:p>
            <w:pPr>
              <w:rPr>
                <w:rFonts w:ascii="宋体" w:hAnsi="宋体"/>
                <w:color w:val="auto"/>
                <w:szCs w:val="21"/>
              </w:rPr>
            </w:pPr>
            <w:r>
              <w:rPr>
                <w:rFonts w:hint="eastAsia" w:ascii="宋体" w:hAnsi="宋体"/>
                <w:color w:val="auto"/>
                <w:szCs w:val="21"/>
              </w:rPr>
              <w:t xml:space="preserve">北京邮电大学出版社   </w:t>
            </w:r>
          </w:p>
          <w:p>
            <w:pPr>
              <w:rPr>
                <w:rFonts w:ascii="宋体" w:hAnsi="宋体"/>
                <w:b/>
                <w:color w:val="auto"/>
                <w:szCs w:val="21"/>
              </w:rPr>
            </w:pPr>
            <w:r>
              <w:rPr>
                <w:rFonts w:hint="eastAsia" w:ascii="宋体" w:hAnsi="宋体"/>
                <w:b/>
                <w:color w:val="auto"/>
                <w:szCs w:val="21"/>
              </w:rPr>
              <w:t>二、中央专业出版社</w:t>
            </w:r>
          </w:p>
          <w:p>
            <w:pPr>
              <w:rPr>
                <w:rFonts w:ascii="宋体" w:hAnsi="宋体"/>
                <w:color w:val="auto"/>
                <w:szCs w:val="21"/>
              </w:rPr>
            </w:pPr>
            <w:r>
              <w:rPr>
                <w:rFonts w:hint="eastAsia" w:ascii="宋体" w:hAnsi="宋体"/>
                <w:color w:val="auto"/>
                <w:szCs w:val="21"/>
              </w:rPr>
              <w:t>高等教育出版社          人民教育出版社         教育科学出版社</w:t>
            </w:r>
          </w:p>
          <w:p>
            <w:pPr>
              <w:rPr>
                <w:rFonts w:ascii="宋体" w:hAnsi="宋体"/>
                <w:color w:val="auto"/>
                <w:szCs w:val="21"/>
              </w:rPr>
            </w:pPr>
            <w:r>
              <w:rPr>
                <w:rFonts w:hint="eastAsia" w:ascii="宋体" w:hAnsi="宋体"/>
                <w:color w:val="auto"/>
                <w:szCs w:val="21"/>
              </w:rPr>
              <w:t>商务印书馆              中华书局               生活.读书.新知三联出版社</w:t>
            </w:r>
          </w:p>
          <w:p>
            <w:pPr>
              <w:rPr>
                <w:rFonts w:ascii="宋体" w:hAnsi="宋体"/>
                <w:b/>
                <w:color w:val="auto"/>
                <w:szCs w:val="21"/>
              </w:rPr>
            </w:pPr>
            <w:r>
              <w:rPr>
                <w:rFonts w:hint="eastAsia" w:ascii="宋体" w:hAnsi="宋体"/>
                <w:color w:val="auto"/>
                <w:szCs w:val="21"/>
              </w:rPr>
              <w:t>中国社会科学出版社      中国经济出版社         科学出版社</w:t>
            </w:r>
          </w:p>
          <w:p>
            <w:pPr>
              <w:rPr>
                <w:rFonts w:ascii="宋体" w:hAnsi="宋体"/>
                <w:color w:val="auto"/>
                <w:szCs w:val="21"/>
              </w:rPr>
            </w:pPr>
            <w:r>
              <w:rPr>
                <w:rFonts w:hint="eastAsia" w:ascii="宋体" w:hAnsi="宋体"/>
                <w:color w:val="auto"/>
                <w:szCs w:val="21"/>
              </w:rPr>
              <w:t>化学工业出版社          人民美术出版社         人民音乐出版社</w:t>
            </w:r>
          </w:p>
          <w:p>
            <w:pPr>
              <w:rPr>
                <w:rFonts w:ascii="宋体" w:hAnsi="宋体"/>
                <w:color w:val="auto"/>
                <w:szCs w:val="21"/>
              </w:rPr>
            </w:pPr>
            <w:r>
              <w:rPr>
                <w:rFonts w:hint="eastAsia" w:ascii="宋体" w:hAnsi="宋体"/>
                <w:color w:val="auto"/>
                <w:szCs w:val="21"/>
              </w:rPr>
              <w:t>人民邮电出版社          外语教育与研究出版社   法律出版社</w:t>
            </w:r>
          </w:p>
          <w:p>
            <w:pPr>
              <w:rPr>
                <w:rFonts w:ascii="宋体" w:hAnsi="宋体"/>
                <w:color w:val="auto"/>
                <w:szCs w:val="21"/>
              </w:rPr>
            </w:pPr>
            <w:r>
              <w:rPr>
                <w:rFonts w:hint="eastAsia" w:ascii="宋体" w:hAnsi="宋体"/>
                <w:color w:val="auto"/>
                <w:szCs w:val="21"/>
              </w:rPr>
              <w:t xml:space="preserve">中国财政经济出版社      中国林业出版社         中国环境科学出版社   </w:t>
            </w:r>
          </w:p>
          <w:p>
            <w:pPr>
              <w:rPr>
                <w:rFonts w:ascii="宋体" w:hAnsi="宋体"/>
                <w:color w:val="auto"/>
                <w:szCs w:val="21"/>
              </w:rPr>
            </w:pPr>
            <w:r>
              <w:rPr>
                <w:rFonts w:hint="eastAsia" w:ascii="宋体" w:hAnsi="宋体"/>
                <w:color w:val="auto"/>
                <w:szCs w:val="21"/>
              </w:rPr>
              <w:t>电子工业出版社          中国金融出版社         中信出版社</w:t>
            </w:r>
          </w:p>
          <w:p>
            <w:pPr>
              <w:rPr>
                <w:rFonts w:ascii="宋体" w:hAnsi="宋体"/>
                <w:color w:val="auto"/>
                <w:szCs w:val="21"/>
              </w:rPr>
            </w:pPr>
            <w:r>
              <w:rPr>
                <w:rFonts w:hint="eastAsia" w:ascii="宋体" w:hAnsi="宋体"/>
                <w:color w:val="auto"/>
                <w:szCs w:val="21"/>
              </w:rPr>
              <w:t xml:space="preserve">中国电力出版社          中国旅游出版社         外文出版社 </w:t>
            </w:r>
          </w:p>
          <w:p>
            <w:pPr>
              <w:rPr>
                <w:rFonts w:ascii="宋体" w:hAnsi="宋体"/>
                <w:color w:val="auto"/>
                <w:szCs w:val="21"/>
              </w:rPr>
            </w:pPr>
            <w:r>
              <w:rPr>
                <w:rFonts w:hint="eastAsia" w:ascii="宋体" w:hAnsi="宋体"/>
                <w:color w:val="auto"/>
                <w:szCs w:val="21"/>
              </w:rPr>
              <w:t>人民文学出版社          作家出版社             人民出版社</w:t>
            </w:r>
          </w:p>
          <w:p>
            <w:pPr>
              <w:rPr>
                <w:rFonts w:ascii="宋体" w:hAnsi="宋体"/>
                <w:color w:val="auto"/>
                <w:szCs w:val="21"/>
              </w:rPr>
            </w:pPr>
            <w:r>
              <w:rPr>
                <w:rFonts w:hint="eastAsia" w:ascii="宋体" w:hAnsi="宋体"/>
                <w:color w:val="auto"/>
                <w:szCs w:val="21"/>
              </w:rPr>
              <w:t>中国铁道出版社          中国法制出版社         中国水利水电出版社</w:t>
            </w:r>
          </w:p>
          <w:p>
            <w:pPr>
              <w:rPr>
                <w:rFonts w:ascii="宋体" w:hAnsi="宋体"/>
                <w:color w:val="auto"/>
                <w:szCs w:val="21"/>
              </w:rPr>
            </w:pPr>
            <w:r>
              <w:rPr>
                <w:rFonts w:hint="eastAsia" w:ascii="宋体" w:hAnsi="宋体"/>
                <w:color w:val="auto"/>
                <w:szCs w:val="21"/>
              </w:rPr>
              <w:t xml:space="preserve">新华出版社              冶金工业出版社         机械工业出版社              </w:t>
            </w:r>
          </w:p>
          <w:p>
            <w:pPr>
              <w:rPr>
                <w:rFonts w:ascii="宋体" w:hAnsi="宋体"/>
                <w:color w:val="auto"/>
                <w:szCs w:val="21"/>
              </w:rPr>
            </w:pPr>
            <w:r>
              <w:rPr>
                <w:rFonts w:hint="eastAsia" w:ascii="宋体" w:hAnsi="宋体"/>
                <w:color w:val="auto"/>
                <w:szCs w:val="21"/>
              </w:rPr>
              <w:t xml:space="preserve">中国建筑工业出版社      人民交通出版社         世界图书出版公司                                       </w:t>
            </w:r>
          </w:p>
          <w:p>
            <w:pPr>
              <w:rPr>
                <w:rFonts w:ascii="宋体" w:hAnsi="宋体"/>
                <w:color w:val="auto"/>
                <w:szCs w:val="21"/>
              </w:rPr>
            </w:pPr>
            <w:r>
              <w:rPr>
                <w:rFonts w:hint="eastAsia" w:ascii="宋体" w:hAnsi="宋体"/>
                <w:color w:val="auto"/>
                <w:szCs w:val="21"/>
              </w:rPr>
              <w:t xml:space="preserve">中国轻工业出版社        中国农业出版社         光明日报出版社            </w:t>
            </w:r>
          </w:p>
          <w:p>
            <w:pPr>
              <w:rPr>
                <w:rFonts w:ascii="宋体" w:hAnsi="宋体"/>
                <w:color w:val="auto"/>
                <w:szCs w:val="21"/>
              </w:rPr>
            </w:pPr>
            <w:r>
              <w:rPr>
                <w:rFonts w:hint="eastAsia" w:ascii="宋体" w:hAnsi="宋体"/>
                <w:color w:val="auto"/>
                <w:szCs w:val="21"/>
              </w:rPr>
              <w:t>经济科学出版社          书目文献出版社         人民卫生出版社</w:t>
            </w:r>
          </w:p>
          <w:p>
            <w:pPr>
              <w:rPr>
                <w:rFonts w:ascii="宋体" w:hAnsi="宋体"/>
                <w:color w:val="auto"/>
                <w:szCs w:val="21"/>
              </w:rPr>
            </w:pPr>
            <w:r>
              <w:rPr>
                <w:rFonts w:hint="eastAsia" w:ascii="宋体" w:hAnsi="宋体"/>
                <w:color w:val="auto"/>
                <w:szCs w:val="21"/>
              </w:rPr>
              <w:t xml:space="preserve">兵器工业出版社          上海外语教育出版社    </w:t>
            </w:r>
          </w:p>
          <w:p>
            <w:pPr>
              <w:rPr>
                <w:rFonts w:ascii="宋体" w:hAnsi="宋体"/>
                <w:b/>
                <w:color w:val="auto"/>
                <w:szCs w:val="21"/>
              </w:rPr>
            </w:pPr>
            <w:r>
              <w:rPr>
                <w:rFonts w:hint="eastAsia" w:ascii="宋体" w:hAnsi="宋体"/>
                <w:b/>
                <w:color w:val="auto"/>
                <w:szCs w:val="21"/>
              </w:rPr>
              <w:t>三、地方出版社</w:t>
            </w:r>
          </w:p>
          <w:p>
            <w:pPr>
              <w:rPr>
                <w:rFonts w:ascii="宋体" w:hAnsi="宋体"/>
                <w:color w:val="auto"/>
                <w:szCs w:val="21"/>
              </w:rPr>
            </w:pPr>
            <w:r>
              <w:rPr>
                <w:rFonts w:hint="eastAsia" w:ascii="宋体" w:hAnsi="宋体"/>
                <w:color w:val="auto"/>
                <w:szCs w:val="21"/>
              </w:rPr>
              <w:t>上海世纪出版集团        上海音乐出版社         上海教育出版社</w:t>
            </w:r>
          </w:p>
          <w:p>
            <w:pPr>
              <w:rPr>
                <w:rFonts w:ascii="宋体" w:hAnsi="宋体"/>
                <w:color w:val="auto"/>
                <w:szCs w:val="21"/>
              </w:rPr>
            </w:pPr>
            <w:r>
              <w:rPr>
                <w:rFonts w:hint="eastAsia" w:ascii="宋体" w:hAnsi="宋体"/>
                <w:color w:val="auto"/>
                <w:szCs w:val="21"/>
              </w:rPr>
              <w:t>湖南科技出版社          湖北科技出版社         天津教育出版社</w:t>
            </w:r>
          </w:p>
          <w:p>
            <w:pPr>
              <w:rPr>
                <w:rFonts w:ascii="宋体" w:hAnsi="宋体"/>
                <w:color w:val="auto"/>
                <w:szCs w:val="21"/>
              </w:rPr>
            </w:pPr>
            <w:r>
              <w:rPr>
                <w:rFonts w:hint="eastAsia" w:ascii="宋体" w:hAnsi="宋体"/>
                <w:color w:val="auto"/>
                <w:szCs w:val="21"/>
              </w:rPr>
              <w:t>江苏教育出版社          江苏美术出版社         湖北教育出版社</w:t>
            </w:r>
          </w:p>
          <w:p>
            <w:pPr>
              <w:spacing w:line="300" w:lineRule="exact"/>
              <w:jc w:val="left"/>
              <w:rPr>
                <w:color w:val="auto"/>
                <w:szCs w:val="21"/>
                <w:highlight w:val="green"/>
              </w:rPr>
            </w:pPr>
            <w:r>
              <w:rPr>
                <w:rFonts w:hint="eastAsia" w:ascii="宋体" w:hAnsi="宋体"/>
                <w:color w:val="auto"/>
                <w:szCs w:val="21"/>
              </w:rPr>
              <w:t>湖北美术出版社          安徽教育出版社         河北教育出版社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yellow"/>
              </w:rPr>
            </w:pPr>
            <w:r>
              <w:rPr>
                <w:rFonts w:hint="eastAsia" w:ascii="宋体" w:hAnsi="宋体"/>
                <w:color w:val="auto"/>
                <w:szCs w:val="21"/>
              </w:rPr>
              <w:t>附表二：中文图书编目MARC字段要求</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001：记录标识号</w:t>
            </w:r>
          </w:p>
          <w:p>
            <w:pPr>
              <w:rPr>
                <w:rFonts w:ascii="宋体" w:hAnsi="宋体"/>
                <w:color w:val="auto"/>
                <w:szCs w:val="21"/>
              </w:rPr>
            </w:pPr>
            <w:r>
              <w:rPr>
                <w:rFonts w:hint="eastAsia" w:ascii="宋体" w:hAnsi="宋体"/>
                <w:color w:val="auto"/>
                <w:szCs w:val="21"/>
              </w:rPr>
              <w:t>005：记录处理时间标识</w:t>
            </w:r>
          </w:p>
          <w:p>
            <w:pPr>
              <w:rPr>
                <w:rFonts w:ascii="宋体" w:hAnsi="宋体"/>
                <w:color w:val="auto"/>
                <w:szCs w:val="21"/>
              </w:rPr>
            </w:pPr>
            <w:r>
              <w:rPr>
                <w:rFonts w:hint="eastAsia" w:ascii="宋体" w:hAnsi="宋体"/>
                <w:color w:val="auto"/>
                <w:szCs w:val="21"/>
              </w:rPr>
              <w:t>010：ISBN号</w:t>
            </w:r>
          </w:p>
          <w:p>
            <w:pPr>
              <w:rPr>
                <w:rFonts w:ascii="宋体" w:hAnsi="宋体"/>
                <w:color w:val="auto"/>
                <w:szCs w:val="21"/>
              </w:rPr>
            </w:pPr>
            <w:r>
              <w:rPr>
                <w:rFonts w:hint="eastAsia" w:ascii="宋体" w:hAnsi="宋体"/>
                <w:color w:val="auto"/>
                <w:szCs w:val="21"/>
              </w:rPr>
              <w:t>100：一般处理数据</w:t>
            </w:r>
          </w:p>
          <w:p>
            <w:pPr>
              <w:rPr>
                <w:rFonts w:ascii="宋体" w:hAnsi="宋体"/>
                <w:color w:val="auto"/>
                <w:szCs w:val="21"/>
              </w:rPr>
            </w:pPr>
            <w:r>
              <w:rPr>
                <w:rFonts w:hint="eastAsia" w:ascii="宋体" w:hAnsi="宋体"/>
                <w:color w:val="auto"/>
                <w:szCs w:val="21"/>
              </w:rPr>
              <w:t>101：语种代码</w:t>
            </w:r>
          </w:p>
          <w:p>
            <w:pPr>
              <w:rPr>
                <w:rFonts w:ascii="宋体" w:hAnsi="宋体"/>
                <w:color w:val="auto"/>
                <w:szCs w:val="21"/>
              </w:rPr>
            </w:pPr>
            <w:r>
              <w:rPr>
                <w:rFonts w:hint="eastAsia" w:ascii="宋体" w:hAnsi="宋体"/>
                <w:color w:val="auto"/>
                <w:szCs w:val="21"/>
              </w:rPr>
              <w:t>102：出版/制作国别代码</w:t>
            </w:r>
          </w:p>
          <w:p>
            <w:pPr>
              <w:rPr>
                <w:rFonts w:ascii="宋体" w:hAnsi="宋体"/>
                <w:color w:val="auto"/>
                <w:szCs w:val="21"/>
              </w:rPr>
            </w:pPr>
            <w:r>
              <w:rPr>
                <w:rFonts w:hint="eastAsia" w:ascii="宋体" w:hAnsi="宋体"/>
                <w:color w:val="auto"/>
                <w:szCs w:val="21"/>
              </w:rPr>
              <w:t>105：图书编码数据</w:t>
            </w:r>
          </w:p>
          <w:p>
            <w:pPr>
              <w:rPr>
                <w:rFonts w:ascii="宋体" w:hAnsi="宋体"/>
                <w:color w:val="auto"/>
                <w:szCs w:val="21"/>
              </w:rPr>
            </w:pPr>
            <w:r>
              <w:rPr>
                <w:rFonts w:hint="eastAsia" w:ascii="宋体" w:hAnsi="宋体"/>
                <w:color w:val="auto"/>
                <w:szCs w:val="21"/>
              </w:rPr>
              <w:t>106：形态特征编码</w:t>
            </w:r>
          </w:p>
          <w:p>
            <w:pPr>
              <w:rPr>
                <w:rFonts w:ascii="宋体" w:hAnsi="宋体"/>
                <w:color w:val="auto"/>
                <w:szCs w:val="21"/>
              </w:rPr>
            </w:pPr>
            <w:r>
              <w:rPr>
                <w:rFonts w:hint="eastAsia" w:ascii="宋体" w:hAnsi="宋体"/>
                <w:color w:val="auto"/>
                <w:szCs w:val="21"/>
              </w:rPr>
              <w:t>200：题名与责任者信息</w:t>
            </w:r>
          </w:p>
          <w:p>
            <w:pPr>
              <w:rPr>
                <w:rFonts w:ascii="宋体" w:hAnsi="宋体"/>
                <w:color w:val="auto"/>
                <w:szCs w:val="21"/>
              </w:rPr>
            </w:pPr>
            <w:r>
              <w:rPr>
                <w:rFonts w:hint="eastAsia" w:ascii="宋体" w:hAnsi="宋体"/>
                <w:color w:val="auto"/>
                <w:szCs w:val="21"/>
              </w:rPr>
              <w:t>205：版本说明</w:t>
            </w:r>
          </w:p>
          <w:p>
            <w:pPr>
              <w:rPr>
                <w:rFonts w:ascii="宋体" w:hAnsi="宋体"/>
                <w:color w:val="auto"/>
                <w:szCs w:val="21"/>
              </w:rPr>
            </w:pPr>
            <w:r>
              <w:rPr>
                <w:rFonts w:hint="eastAsia" w:ascii="宋体" w:hAnsi="宋体"/>
                <w:color w:val="auto"/>
                <w:szCs w:val="21"/>
              </w:rPr>
              <w:t>210：出版发行项</w:t>
            </w:r>
          </w:p>
          <w:p>
            <w:pPr>
              <w:rPr>
                <w:rFonts w:ascii="宋体" w:hAnsi="宋体"/>
                <w:color w:val="auto"/>
                <w:szCs w:val="21"/>
              </w:rPr>
            </w:pPr>
            <w:r>
              <w:rPr>
                <w:rFonts w:hint="eastAsia" w:ascii="宋体" w:hAnsi="宋体"/>
                <w:color w:val="auto"/>
                <w:szCs w:val="21"/>
              </w:rPr>
              <w:t>215：载体形态项</w:t>
            </w:r>
          </w:p>
          <w:p>
            <w:pPr>
              <w:rPr>
                <w:rFonts w:ascii="宋体" w:hAnsi="宋体"/>
                <w:color w:val="auto"/>
                <w:szCs w:val="21"/>
              </w:rPr>
            </w:pPr>
            <w:r>
              <w:rPr>
                <w:rFonts w:hint="eastAsia" w:ascii="宋体" w:hAnsi="宋体"/>
                <w:color w:val="auto"/>
                <w:szCs w:val="21"/>
              </w:rPr>
              <w:t>225：丛编项</w:t>
            </w:r>
          </w:p>
          <w:p>
            <w:pPr>
              <w:rPr>
                <w:rFonts w:ascii="宋体" w:hAnsi="宋体"/>
                <w:color w:val="auto"/>
                <w:szCs w:val="21"/>
              </w:rPr>
            </w:pPr>
            <w:r>
              <w:rPr>
                <w:rFonts w:hint="eastAsia" w:ascii="宋体" w:hAnsi="宋体"/>
                <w:color w:val="auto"/>
                <w:szCs w:val="21"/>
              </w:rPr>
              <w:t>230：资料特定细节项：</w:t>
            </w:r>
          </w:p>
          <w:p>
            <w:pPr>
              <w:rPr>
                <w:rFonts w:ascii="宋体" w:hAnsi="宋体"/>
                <w:color w:val="auto"/>
                <w:szCs w:val="21"/>
              </w:rPr>
            </w:pPr>
            <w:r>
              <w:rPr>
                <w:rFonts w:hint="eastAsia" w:ascii="宋体" w:hAnsi="宋体"/>
                <w:color w:val="auto"/>
                <w:szCs w:val="21"/>
              </w:rPr>
              <w:t>电子资源特征</w:t>
            </w:r>
          </w:p>
          <w:p>
            <w:pPr>
              <w:rPr>
                <w:rFonts w:ascii="宋体" w:hAnsi="宋体"/>
                <w:color w:val="auto"/>
                <w:szCs w:val="21"/>
              </w:rPr>
            </w:pPr>
            <w:r>
              <w:rPr>
                <w:rFonts w:hint="eastAsia" w:ascii="宋体" w:hAnsi="宋体"/>
                <w:color w:val="auto"/>
                <w:szCs w:val="21"/>
              </w:rPr>
              <w:t>300：一般附注项</w:t>
            </w:r>
          </w:p>
          <w:p>
            <w:pPr>
              <w:rPr>
                <w:rFonts w:ascii="宋体" w:hAnsi="宋体"/>
                <w:color w:val="auto"/>
                <w:szCs w:val="21"/>
              </w:rPr>
            </w:pPr>
            <w:r>
              <w:rPr>
                <w:rFonts w:hint="eastAsia" w:ascii="宋体" w:hAnsi="宋体"/>
                <w:color w:val="auto"/>
                <w:szCs w:val="21"/>
              </w:rPr>
              <w:t>303：著录信息的一般性附注</w:t>
            </w:r>
          </w:p>
          <w:p>
            <w:pPr>
              <w:rPr>
                <w:rFonts w:ascii="宋体" w:hAnsi="宋体"/>
                <w:color w:val="auto"/>
                <w:szCs w:val="21"/>
              </w:rPr>
            </w:pPr>
            <w:r>
              <w:rPr>
                <w:rFonts w:hint="eastAsia" w:ascii="宋体" w:hAnsi="宋体"/>
                <w:color w:val="auto"/>
                <w:szCs w:val="21"/>
              </w:rPr>
              <w:t>305：版本与书目沿革附注</w:t>
            </w:r>
          </w:p>
          <w:p>
            <w:pPr>
              <w:rPr>
                <w:rFonts w:ascii="宋体" w:hAnsi="宋体"/>
                <w:color w:val="auto"/>
                <w:szCs w:val="21"/>
              </w:rPr>
            </w:pPr>
            <w:r>
              <w:rPr>
                <w:rFonts w:hint="eastAsia" w:ascii="宋体" w:hAnsi="宋体"/>
                <w:color w:val="auto"/>
                <w:szCs w:val="21"/>
              </w:rPr>
              <w:t>306：出版发行附注</w:t>
            </w:r>
          </w:p>
          <w:p>
            <w:pPr>
              <w:rPr>
                <w:rFonts w:ascii="宋体" w:hAnsi="宋体"/>
                <w:color w:val="auto"/>
                <w:szCs w:val="21"/>
              </w:rPr>
            </w:pPr>
            <w:r>
              <w:rPr>
                <w:rFonts w:hint="eastAsia" w:ascii="宋体" w:hAnsi="宋体"/>
                <w:color w:val="auto"/>
                <w:szCs w:val="21"/>
              </w:rPr>
              <w:t>307：载体形态附注</w:t>
            </w:r>
          </w:p>
          <w:p>
            <w:pPr>
              <w:rPr>
                <w:rFonts w:ascii="宋体" w:hAnsi="宋体"/>
                <w:color w:val="auto"/>
                <w:szCs w:val="21"/>
              </w:rPr>
            </w:pPr>
            <w:r>
              <w:rPr>
                <w:rFonts w:hint="eastAsia" w:ascii="宋体" w:hAnsi="宋体"/>
                <w:color w:val="auto"/>
                <w:szCs w:val="21"/>
              </w:rPr>
              <w:t>320：书目/索引附注</w:t>
            </w:r>
          </w:p>
          <w:p>
            <w:pPr>
              <w:rPr>
                <w:rFonts w:ascii="宋体" w:hAnsi="宋体"/>
                <w:color w:val="auto"/>
                <w:szCs w:val="21"/>
              </w:rPr>
            </w:pPr>
            <w:r>
              <w:rPr>
                <w:rFonts w:hint="eastAsia" w:ascii="宋体" w:hAnsi="宋体"/>
                <w:color w:val="auto"/>
                <w:szCs w:val="21"/>
              </w:rPr>
              <w:t>327：内容附注</w:t>
            </w:r>
          </w:p>
          <w:p>
            <w:pPr>
              <w:rPr>
                <w:rFonts w:ascii="宋体" w:hAnsi="宋体"/>
                <w:color w:val="auto"/>
                <w:szCs w:val="21"/>
              </w:rPr>
            </w:pPr>
            <w:r>
              <w:rPr>
                <w:rFonts w:hint="eastAsia" w:ascii="宋体" w:hAnsi="宋体"/>
                <w:color w:val="auto"/>
                <w:szCs w:val="21"/>
              </w:rPr>
              <w:t>330：提要附注</w:t>
            </w:r>
          </w:p>
          <w:p>
            <w:pPr>
              <w:rPr>
                <w:rFonts w:ascii="宋体" w:hAnsi="宋体"/>
                <w:color w:val="auto"/>
                <w:szCs w:val="21"/>
              </w:rPr>
            </w:pPr>
            <w:r>
              <w:rPr>
                <w:rFonts w:hint="eastAsia" w:ascii="宋体" w:hAnsi="宋体"/>
                <w:color w:val="auto"/>
                <w:szCs w:val="21"/>
              </w:rPr>
              <w:t>333：使用对象附注</w:t>
            </w:r>
          </w:p>
          <w:p>
            <w:pPr>
              <w:rPr>
                <w:rFonts w:ascii="宋体" w:hAnsi="宋体"/>
                <w:color w:val="auto"/>
                <w:szCs w:val="21"/>
              </w:rPr>
            </w:pPr>
            <w:r>
              <w:rPr>
                <w:rFonts w:hint="eastAsia" w:ascii="宋体" w:hAnsi="宋体"/>
                <w:color w:val="auto"/>
                <w:szCs w:val="21"/>
              </w:rPr>
              <w:t>410：丛编连接项</w:t>
            </w:r>
          </w:p>
          <w:p>
            <w:pPr>
              <w:rPr>
                <w:rFonts w:ascii="宋体" w:hAnsi="宋体"/>
                <w:color w:val="auto"/>
                <w:szCs w:val="21"/>
              </w:rPr>
            </w:pPr>
            <w:r>
              <w:rPr>
                <w:rFonts w:hint="eastAsia" w:ascii="宋体" w:hAnsi="宋体"/>
                <w:color w:val="auto"/>
                <w:szCs w:val="21"/>
              </w:rPr>
              <w:t>423：合订题名</w:t>
            </w:r>
          </w:p>
          <w:p>
            <w:pPr>
              <w:rPr>
                <w:rFonts w:ascii="宋体" w:hAnsi="宋体"/>
                <w:color w:val="auto"/>
                <w:szCs w:val="21"/>
              </w:rPr>
            </w:pPr>
            <w:r>
              <w:rPr>
                <w:rFonts w:hint="eastAsia" w:ascii="宋体" w:hAnsi="宋体"/>
                <w:color w:val="auto"/>
                <w:szCs w:val="21"/>
              </w:rPr>
              <w:t>500：统一题名</w:t>
            </w:r>
          </w:p>
          <w:p>
            <w:pPr>
              <w:rPr>
                <w:rFonts w:ascii="宋体" w:hAnsi="宋体"/>
                <w:color w:val="auto"/>
                <w:szCs w:val="21"/>
              </w:rPr>
            </w:pPr>
            <w:r>
              <w:rPr>
                <w:rFonts w:hint="eastAsia" w:ascii="宋体" w:hAnsi="宋体"/>
                <w:color w:val="auto"/>
                <w:szCs w:val="21"/>
              </w:rPr>
              <w:t>510：并列正题名</w:t>
            </w:r>
          </w:p>
          <w:p>
            <w:pPr>
              <w:rPr>
                <w:rFonts w:ascii="宋体" w:hAnsi="宋体"/>
                <w:color w:val="auto"/>
                <w:szCs w:val="21"/>
              </w:rPr>
            </w:pPr>
            <w:r>
              <w:rPr>
                <w:rFonts w:hint="eastAsia" w:ascii="宋体" w:hAnsi="宋体"/>
                <w:color w:val="auto"/>
                <w:szCs w:val="21"/>
              </w:rPr>
              <w:t>512：封面题名</w:t>
            </w:r>
          </w:p>
          <w:p>
            <w:pPr>
              <w:rPr>
                <w:rFonts w:ascii="宋体" w:hAnsi="宋体"/>
                <w:color w:val="auto"/>
                <w:szCs w:val="21"/>
              </w:rPr>
            </w:pPr>
            <w:r>
              <w:rPr>
                <w:rFonts w:hint="eastAsia" w:ascii="宋体" w:hAnsi="宋体"/>
                <w:color w:val="auto"/>
                <w:szCs w:val="21"/>
              </w:rPr>
              <w:t>516：书脊题名</w:t>
            </w:r>
          </w:p>
          <w:p>
            <w:pPr>
              <w:rPr>
                <w:rFonts w:ascii="宋体" w:hAnsi="宋体"/>
                <w:color w:val="auto"/>
                <w:szCs w:val="21"/>
              </w:rPr>
            </w:pPr>
            <w:r>
              <w:rPr>
                <w:rFonts w:hint="eastAsia" w:ascii="宋体" w:hAnsi="宋体"/>
                <w:color w:val="auto"/>
                <w:szCs w:val="21"/>
              </w:rPr>
              <w:t>517：其它题名</w:t>
            </w:r>
          </w:p>
          <w:p>
            <w:pPr>
              <w:rPr>
                <w:rFonts w:ascii="宋体" w:hAnsi="宋体"/>
                <w:color w:val="auto"/>
                <w:szCs w:val="21"/>
              </w:rPr>
            </w:pPr>
            <w:r>
              <w:rPr>
                <w:rFonts w:hint="eastAsia" w:ascii="宋体" w:hAnsi="宋体"/>
                <w:color w:val="auto"/>
                <w:szCs w:val="21"/>
              </w:rPr>
              <w:t>600：个人名称主题</w:t>
            </w:r>
          </w:p>
          <w:p>
            <w:pPr>
              <w:rPr>
                <w:rFonts w:ascii="宋体" w:hAnsi="宋体"/>
                <w:color w:val="auto"/>
                <w:szCs w:val="21"/>
              </w:rPr>
            </w:pPr>
            <w:r>
              <w:rPr>
                <w:rFonts w:hint="eastAsia" w:ascii="宋体" w:hAnsi="宋体"/>
                <w:color w:val="auto"/>
                <w:szCs w:val="21"/>
              </w:rPr>
              <w:t>601：团体名称主题</w:t>
            </w:r>
          </w:p>
          <w:p>
            <w:pPr>
              <w:rPr>
                <w:rFonts w:ascii="宋体" w:hAnsi="宋体"/>
                <w:color w:val="auto"/>
                <w:szCs w:val="21"/>
              </w:rPr>
            </w:pPr>
            <w:r>
              <w:rPr>
                <w:rFonts w:hint="eastAsia" w:ascii="宋体" w:hAnsi="宋体"/>
                <w:color w:val="auto"/>
                <w:szCs w:val="21"/>
              </w:rPr>
              <w:t>605：题名主题</w:t>
            </w:r>
          </w:p>
          <w:p>
            <w:pPr>
              <w:rPr>
                <w:rFonts w:ascii="宋体" w:hAnsi="宋体"/>
                <w:color w:val="auto"/>
                <w:szCs w:val="21"/>
              </w:rPr>
            </w:pPr>
            <w:r>
              <w:rPr>
                <w:rFonts w:hint="eastAsia" w:ascii="宋体" w:hAnsi="宋体"/>
                <w:color w:val="auto"/>
                <w:szCs w:val="21"/>
              </w:rPr>
              <w:t>606：普通主题</w:t>
            </w:r>
          </w:p>
          <w:p>
            <w:pPr>
              <w:rPr>
                <w:rFonts w:ascii="宋体" w:hAnsi="宋体"/>
                <w:color w:val="auto"/>
                <w:szCs w:val="21"/>
              </w:rPr>
            </w:pPr>
            <w:r>
              <w:rPr>
                <w:rFonts w:hint="eastAsia" w:ascii="宋体" w:hAnsi="宋体"/>
                <w:color w:val="auto"/>
                <w:szCs w:val="21"/>
              </w:rPr>
              <w:t>610：非控主题词</w:t>
            </w:r>
          </w:p>
          <w:p>
            <w:pPr>
              <w:rPr>
                <w:rFonts w:ascii="宋体" w:hAnsi="宋体"/>
                <w:color w:val="auto"/>
                <w:szCs w:val="21"/>
              </w:rPr>
            </w:pPr>
            <w:r>
              <w:rPr>
                <w:rFonts w:hint="eastAsia" w:ascii="宋体" w:hAnsi="宋体"/>
                <w:color w:val="auto"/>
                <w:szCs w:val="21"/>
              </w:rPr>
              <w:t>690：中图号</w:t>
            </w:r>
          </w:p>
          <w:p>
            <w:pPr>
              <w:rPr>
                <w:rFonts w:ascii="宋体" w:hAnsi="宋体"/>
                <w:color w:val="auto"/>
                <w:szCs w:val="21"/>
              </w:rPr>
            </w:pPr>
            <w:r>
              <w:rPr>
                <w:rFonts w:hint="eastAsia" w:ascii="宋体" w:hAnsi="宋体"/>
                <w:color w:val="auto"/>
                <w:szCs w:val="21"/>
              </w:rPr>
              <w:t>701：个人主要责任者</w:t>
            </w:r>
          </w:p>
          <w:p>
            <w:pPr>
              <w:rPr>
                <w:rFonts w:ascii="宋体" w:hAnsi="宋体"/>
                <w:color w:val="auto"/>
                <w:szCs w:val="21"/>
              </w:rPr>
            </w:pPr>
            <w:r>
              <w:rPr>
                <w:rFonts w:hint="eastAsia" w:ascii="宋体" w:hAnsi="宋体"/>
                <w:color w:val="auto"/>
                <w:szCs w:val="21"/>
              </w:rPr>
              <w:t>702：个人次要责任者</w:t>
            </w:r>
          </w:p>
          <w:p>
            <w:pPr>
              <w:rPr>
                <w:rFonts w:ascii="宋体" w:hAnsi="宋体"/>
                <w:color w:val="auto"/>
                <w:szCs w:val="21"/>
              </w:rPr>
            </w:pPr>
            <w:r>
              <w:rPr>
                <w:rFonts w:hint="eastAsia" w:ascii="宋体" w:hAnsi="宋体"/>
                <w:color w:val="auto"/>
                <w:szCs w:val="21"/>
              </w:rPr>
              <w:t>711：团体主要责任者</w:t>
            </w:r>
          </w:p>
          <w:p>
            <w:pPr>
              <w:rPr>
                <w:rFonts w:ascii="宋体" w:hAnsi="宋体"/>
                <w:color w:val="auto"/>
                <w:szCs w:val="21"/>
              </w:rPr>
            </w:pPr>
            <w:r>
              <w:rPr>
                <w:rFonts w:hint="eastAsia" w:ascii="宋体" w:hAnsi="宋体"/>
                <w:color w:val="auto"/>
                <w:szCs w:val="21"/>
              </w:rPr>
              <w:t>712：团体次要责任者</w:t>
            </w:r>
          </w:p>
          <w:p>
            <w:pPr>
              <w:rPr>
                <w:rFonts w:ascii="宋体" w:hAnsi="宋体"/>
                <w:color w:val="auto"/>
                <w:szCs w:val="21"/>
              </w:rPr>
            </w:pPr>
            <w:r>
              <w:rPr>
                <w:rFonts w:hint="eastAsia" w:ascii="宋体" w:hAnsi="宋体"/>
                <w:color w:val="auto"/>
                <w:szCs w:val="21"/>
              </w:rPr>
              <w:t>801：记录来源</w:t>
            </w:r>
          </w:p>
          <w:p>
            <w:pPr>
              <w:rPr>
                <w:rFonts w:ascii="宋体" w:hAnsi="宋体"/>
                <w:color w:val="auto"/>
                <w:szCs w:val="21"/>
                <w:highlight w:val="yellow"/>
              </w:rPr>
            </w:pPr>
            <w:r>
              <w:rPr>
                <w:rFonts w:hint="eastAsia" w:ascii="宋体" w:hAnsi="宋体"/>
                <w:color w:val="auto"/>
                <w:szCs w:val="21"/>
              </w:rPr>
              <w:t>905：馆藏信息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附表三：RFID标签</w:t>
            </w:r>
          </w:p>
          <w:p>
            <w:pPr>
              <w:spacing w:line="400" w:lineRule="exact"/>
              <w:rPr>
                <w:rFonts w:ascii="宋体" w:hAnsi="宋体"/>
                <w:color w:val="auto"/>
                <w:szCs w:val="21"/>
              </w:rPr>
            </w:pP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1、提供与采购人现有规格、型号一致的RFID电子标签（宁波远望谷公司生产的RFID电子标签型号XC-TF8102-B-C43+FSI）</w:t>
            </w:r>
          </w:p>
          <w:p>
            <w:pPr>
              <w:rPr>
                <w:rFonts w:ascii="宋体" w:hAnsi="宋体"/>
                <w:color w:val="auto"/>
                <w:szCs w:val="21"/>
              </w:rPr>
            </w:pPr>
            <w:r>
              <w:rPr>
                <w:rFonts w:hint="eastAsia" w:ascii="宋体" w:hAnsi="宋体"/>
                <w:color w:val="auto"/>
                <w:szCs w:val="21"/>
              </w:rPr>
              <w:t>2、若远望谷公司无该型号标签生产，则需要购买该公司其他型号标签。所购标签型号需兼容采购人RFID系统，且需要经远望谷公司、采购人、中标人共同确认，方能使用。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其他</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（1）供应商应为专门从事图书经销单位或出版单位，具有从事图书经销和数据加工业务的专业人员。</w:t>
            </w:r>
          </w:p>
          <w:p>
            <w:pPr>
              <w:spacing w:line="300" w:lineRule="exact"/>
              <w:jc w:val="left"/>
              <w:rPr>
                <w:color w:val="auto"/>
                <w:szCs w:val="21"/>
              </w:rPr>
            </w:pPr>
            <w:r>
              <w:rPr>
                <w:rFonts w:hint="eastAsia"/>
                <w:color w:val="auto"/>
                <w:szCs w:val="21"/>
              </w:rPr>
              <w:t>（2）供应商应当建有功能较完善、性能稳定的专业化图书电子商务网站，定期发布征订书目等图书信息，开通网上服务，便于师生了解新书出版情况，向图书馆推荐教学、科研所需的新书。便于供需双方高效开展业务工作（供应商必须提供公司网址、用户名、密码）。</w:t>
            </w:r>
          </w:p>
          <w:p>
            <w:pPr>
              <w:spacing w:line="400" w:lineRule="exact"/>
              <w:jc w:val="left"/>
              <w:rPr>
                <w:rFonts w:ascii="宋体" w:hAnsi="宋体"/>
                <w:color w:val="auto"/>
                <w:szCs w:val="21"/>
              </w:rPr>
            </w:pPr>
            <w:r>
              <w:rPr>
                <w:rFonts w:hint="eastAsia"/>
                <w:color w:val="auto"/>
                <w:szCs w:val="21"/>
              </w:rPr>
              <w:t>（3）</w:t>
            </w:r>
            <w:r>
              <w:rPr>
                <w:rFonts w:hint="eastAsia" w:ascii="宋体" w:hAnsi="宋体"/>
                <w:color w:val="auto"/>
                <w:szCs w:val="21"/>
              </w:rPr>
              <w:t>供应商应当建有功能较完善、性能稳定的专业化图书电子商务网站。</w:t>
            </w:r>
          </w:p>
          <w:p>
            <w:pPr>
              <w:spacing w:line="300" w:lineRule="exact"/>
              <w:jc w:val="left"/>
              <w:rPr>
                <w:color w:val="auto"/>
                <w:szCs w:val="21"/>
              </w:rPr>
            </w:pPr>
            <w:r>
              <w:rPr>
                <w:rFonts w:hint="eastAsia"/>
                <w:color w:val="auto"/>
                <w:szCs w:val="21"/>
              </w:rPr>
              <w:t>（4）供应商图书来源渠道广，经营图书品种丰富，应能覆盖学校所有学科。</w:t>
            </w:r>
          </w:p>
          <w:p>
            <w:pPr>
              <w:spacing w:line="300" w:lineRule="exact"/>
              <w:jc w:val="left"/>
              <w:rPr>
                <w:color w:val="auto"/>
                <w:szCs w:val="21"/>
              </w:rPr>
            </w:pPr>
            <w:r>
              <w:rPr>
                <w:rFonts w:hint="eastAsia"/>
                <w:color w:val="auto"/>
                <w:szCs w:val="21"/>
              </w:rPr>
              <w:t>（5）供应商具有良好的图书配送服务系统，有稳定的供货渠道、仓储设施、固定的营业场所和图书配送工具。</w:t>
            </w:r>
          </w:p>
          <w:p>
            <w:pPr>
              <w:spacing w:line="300" w:lineRule="exact"/>
              <w:jc w:val="left"/>
              <w:rPr>
                <w:color w:val="auto"/>
                <w:szCs w:val="21"/>
              </w:rPr>
            </w:pPr>
            <w:r>
              <w:rPr>
                <w:rFonts w:hint="eastAsia"/>
                <w:color w:val="auto"/>
                <w:szCs w:val="21"/>
              </w:rPr>
              <w:t>（6）不得以任何形式和理由转包中标项目。</w:t>
            </w:r>
          </w:p>
          <w:p>
            <w:pPr>
              <w:spacing w:line="300" w:lineRule="exact"/>
              <w:jc w:val="left"/>
              <w:rPr>
                <w:color w:val="auto"/>
                <w:szCs w:val="21"/>
              </w:rPr>
            </w:pPr>
            <w:r>
              <w:rPr>
                <w:rFonts w:hint="eastAsia"/>
                <w:color w:val="auto"/>
                <w:szCs w:val="21"/>
              </w:rPr>
              <w:t>（7）</w:t>
            </w:r>
            <w:r>
              <w:rPr>
                <w:color w:val="auto"/>
                <w:szCs w:val="21"/>
              </w:rPr>
              <w:t>其他未尽事宜由供需双方在采购合同中详细约定。</w:t>
            </w:r>
          </w:p>
          <w:p>
            <w:pPr>
              <w:spacing w:line="300" w:lineRule="exact"/>
              <w:jc w:val="left"/>
              <w:rPr>
                <w:color w:val="auto"/>
                <w:szCs w:val="21"/>
              </w:rPr>
            </w:pPr>
            <w:r>
              <w:rPr>
                <w:rFonts w:hint="eastAsia"/>
                <w:color w:val="auto"/>
                <w:szCs w:val="21"/>
              </w:rPr>
              <w:t>（8）</w:t>
            </w:r>
            <w:r>
              <w:rPr>
                <w:color w:val="auto"/>
                <w:szCs w:val="21"/>
              </w:rPr>
              <w:t>标注“▲”的条款或要求系指实质性条款或实质性要求，必须满足，如存在负偏离将导致</w:t>
            </w:r>
            <w:r>
              <w:rPr>
                <w:rFonts w:hint="eastAsia"/>
                <w:color w:val="auto"/>
                <w:szCs w:val="21"/>
              </w:rPr>
              <w:t>投标</w:t>
            </w:r>
            <w:r>
              <w:rPr>
                <w:color w:val="auto"/>
                <w:szCs w:val="21"/>
              </w:rPr>
              <w:t>被否决。</w:t>
            </w:r>
          </w:p>
        </w:tc>
      </w:tr>
    </w:tbl>
    <w:p>
      <w:pPr>
        <w:rPr>
          <w:color w:val="auto"/>
          <w:sz w:val="2"/>
          <w:szCs w:val="2"/>
        </w:rPr>
      </w:pPr>
    </w:p>
    <w:p>
      <w:pPr>
        <w:pStyle w:val="26"/>
        <w:snapToGrid w:val="0"/>
        <w:rPr>
          <w:rFonts w:ascii="Times New Roman" w:hAnsi="Times New Roman" w:cs="Times New Roman"/>
          <w:b/>
          <w:color w:val="auto"/>
        </w:rPr>
      </w:pPr>
    </w:p>
    <w:bookmarkEnd w:id="32"/>
    <w:bookmarkEnd w:id="33"/>
    <w:p>
      <w:pPr>
        <w:rPr>
          <w:color w:val="auto"/>
          <w:szCs w:val="21"/>
        </w:rPr>
        <w:sectPr>
          <w:footerReference r:id="rId12" w:type="first"/>
          <w:headerReference r:id="rId11" w:type="default"/>
          <w:pgSz w:w="11906" w:h="16838"/>
          <w:pgMar w:top="851" w:right="1133" w:bottom="1246" w:left="1418" w:header="851" w:footer="797"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36" w:name="_Toc14979"/>
      <w:r>
        <w:rPr>
          <w:rFonts w:ascii="Times New Roman" w:hAnsi="Times New Roman" w:cs="Times New Roman"/>
          <w:color w:val="auto"/>
          <w:sz w:val="32"/>
          <w:szCs w:val="32"/>
        </w:rPr>
        <w:t>第三章  供应商须知</w:t>
      </w:r>
      <w:bookmarkEnd w:id="36"/>
      <w:bookmarkStart w:id="37" w:name="_Toc254970526"/>
      <w:bookmarkStart w:id="38" w:name="_Toc254970667"/>
    </w:p>
    <w:p>
      <w:pPr>
        <w:pStyle w:val="4"/>
        <w:spacing w:before="40" w:after="40"/>
        <w:jc w:val="center"/>
        <w:rPr>
          <w:rFonts w:ascii="Times New Roman" w:hAnsi="Times New Roman" w:eastAsia="宋体"/>
          <w:color w:val="auto"/>
          <w:sz w:val="24"/>
          <w:szCs w:val="24"/>
        </w:rPr>
      </w:pPr>
      <w:bookmarkStart w:id="39" w:name="_投标人须知前附表"/>
      <w:bookmarkEnd w:id="39"/>
      <w:r>
        <w:rPr>
          <w:rFonts w:ascii="Times New Roman" w:hAnsi="Times New Roman" w:eastAsia="宋体"/>
          <w:color w:val="auto"/>
          <w:sz w:val="24"/>
          <w:szCs w:val="24"/>
        </w:rPr>
        <w:t>供应商须知前附表</w:t>
      </w:r>
      <w:bookmarkEnd w:id="37"/>
      <w:bookmarkEnd w:id="38"/>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rFonts w:hint="eastAsia"/>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项目基本</w:t>
            </w:r>
          </w:p>
          <w:p>
            <w:pPr>
              <w:spacing w:line="300" w:lineRule="exact"/>
              <w:jc w:val="center"/>
              <w:rPr>
                <w:color w:val="auto"/>
                <w:szCs w:val="21"/>
              </w:rPr>
            </w:pPr>
            <w:r>
              <w:rPr>
                <w:color w:val="auto"/>
                <w:szCs w:val="21"/>
              </w:rPr>
              <w:t>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项目名称：</w:t>
            </w:r>
            <w:r>
              <w:rPr>
                <w:rFonts w:hint="eastAsia"/>
                <w:color w:val="auto"/>
                <w:szCs w:val="21"/>
              </w:rPr>
              <w:t>南宁师范大学2021年中文纸质图书采购项目</w:t>
            </w:r>
          </w:p>
          <w:p>
            <w:pPr>
              <w:spacing w:line="300" w:lineRule="exact"/>
              <w:jc w:val="left"/>
              <w:rPr>
                <w:color w:val="auto"/>
                <w:szCs w:val="21"/>
              </w:rPr>
            </w:pPr>
            <w:r>
              <w:rPr>
                <w:color w:val="auto"/>
                <w:szCs w:val="21"/>
              </w:rPr>
              <w:t>项目编号：</w:t>
            </w:r>
            <w:r>
              <w:rPr>
                <w:rFonts w:hint="eastAsia"/>
                <w:color w:val="auto"/>
                <w:szCs w:val="21"/>
              </w:rPr>
              <w:t>GXZC2021-G1-000389-HYJS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kern w:val="0"/>
                <w:szCs w:val="21"/>
              </w:rPr>
            </w:pPr>
            <w:r>
              <w:rPr>
                <w:rFonts w:hint="eastAsia"/>
                <w:color w:val="auto"/>
                <w:szCs w:val="21"/>
              </w:rPr>
              <w:t>详</w:t>
            </w:r>
            <w:r>
              <w:rPr>
                <w:color w:val="auto"/>
                <w:szCs w:val="21"/>
              </w:rPr>
              <w:t>见招标公告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现场踏勘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本项目不允许转包</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sym w:font="Wingdings" w:char="00FE"/>
            </w:r>
            <w:r>
              <w:rPr>
                <w:color w:val="auto"/>
                <w:szCs w:val="21"/>
              </w:rPr>
              <w:t>本项目不允许分包</w:t>
            </w:r>
            <w:r>
              <w:rPr>
                <w:rFonts w:hint="eastAsia"/>
                <w:color w:val="auto"/>
                <w:szCs w:val="21"/>
              </w:rPr>
              <w:t>。</w:t>
            </w:r>
          </w:p>
          <w:p>
            <w:pPr>
              <w:spacing w:line="300" w:lineRule="exact"/>
              <w:jc w:val="left"/>
              <w:rPr>
                <w:color w:val="auto"/>
                <w:szCs w:val="21"/>
              </w:rPr>
            </w:pPr>
            <w:r>
              <w:rPr>
                <w:color w:val="auto"/>
                <w:szCs w:val="21"/>
              </w:rPr>
              <w:sym w:font="Wingdings" w:char="00A8"/>
            </w:r>
            <w:r>
              <w:rPr>
                <w:color w:val="auto"/>
                <w:szCs w:val="21"/>
              </w:rPr>
              <w:t>本项目允许分包</w:t>
            </w:r>
            <w:r>
              <w:rPr>
                <w:rFonts w:hint="eastAsia"/>
                <w:color w:val="auto"/>
                <w:szCs w:val="21"/>
              </w:rPr>
              <w:t>，可以分包的内容</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300" w:lineRule="exact"/>
              <w:jc w:val="left"/>
              <w:rPr>
                <w:color w:val="auto"/>
                <w:szCs w:val="21"/>
              </w:rPr>
            </w:pPr>
            <w:r>
              <w:rPr>
                <w:rFonts w:hint="eastAsia"/>
                <w:color w:val="auto"/>
                <w:szCs w:val="21"/>
              </w:rPr>
              <w:t>可以分包的</w:t>
            </w:r>
            <w:r>
              <w:rPr>
                <w:color w:val="auto"/>
                <w:szCs w:val="21"/>
              </w:rPr>
              <w:t>金额或者比例</w:t>
            </w:r>
            <w:r>
              <w:rPr>
                <w:rFonts w:hint="eastAsia"/>
                <w:color w:val="auto"/>
                <w:szCs w:val="21"/>
              </w:rPr>
              <w:t>：</w:t>
            </w:r>
            <w:r>
              <w:rPr>
                <w:color w:val="auto"/>
                <w:szCs w:val="21"/>
                <w:u w:val="single"/>
              </w:rPr>
              <w:t xml:space="preserve">                                  </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招标文件澄清、答复、修改、补充的内容为招标文件的组成部分。当招标文件与招标文件的答复、澄清、修改、补充通知就同一内容的表述不一致时，以最后发出的文件为准。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澄清、修改文件在</w:t>
            </w:r>
            <w:r>
              <w:rPr>
                <w:rFonts w:hint="eastAsia"/>
                <w:color w:val="auto"/>
                <w:szCs w:val="21"/>
              </w:rPr>
              <w:t>招标</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招标</w:t>
            </w:r>
            <w:r>
              <w:rPr>
                <w:color w:val="auto"/>
                <w:szCs w:val="21"/>
              </w:rPr>
              <w:t>公告发布媒</w:t>
            </w:r>
            <w:r>
              <w:rPr>
                <w:rFonts w:hint="eastAsia"/>
                <w:color w:val="auto"/>
                <w:szCs w:val="21"/>
              </w:rPr>
              <w:t>体</w:t>
            </w:r>
            <w:r>
              <w:rPr>
                <w:color w:val="auto"/>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投标截止之日起</w:t>
            </w:r>
            <w:r>
              <w:rPr>
                <w:rFonts w:hint="eastAsia"/>
                <w:color w:val="auto"/>
                <w:szCs w:val="21"/>
              </w:rPr>
              <w:t>90</w:t>
            </w:r>
            <w:r>
              <w:rPr>
                <w:color w:val="auto"/>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b/>
                <w:bCs/>
                <w:color w:val="auto"/>
                <w:szCs w:val="21"/>
              </w:rPr>
            </w:pPr>
            <w:r>
              <w:rPr>
                <w:rFonts w:hint="eastAsia" w:ascii="宋体" w:hAnsi="宋体"/>
                <w:color w:val="auto"/>
                <w:szCs w:val="21"/>
              </w:rPr>
              <w:t>按第一章《公开招标公告》第六条规定交纳。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shd w:val="pct10" w:color="auto" w:fill="FFFFFF"/>
              </w:rPr>
            </w:pPr>
            <w:r>
              <w:rPr>
                <w:color w:val="auto"/>
                <w:szCs w:val="21"/>
              </w:rPr>
              <w:t>不予退还投标保证金的情形</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供应商有下列情形之一的，投标保证金将不予退还：</w:t>
            </w:r>
          </w:p>
          <w:p>
            <w:pPr>
              <w:spacing w:line="300" w:lineRule="exact"/>
              <w:jc w:val="left"/>
              <w:rPr>
                <w:color w:val="auto"/>
                <w:szCs w:val="21"/>
              </w:rPr>
            </w:pPr>
            <w:r>
              <w:rPr>
                <w:rFonts w:hint="eastAsia"/>
                <w:color w:val="auto"/>
                <w:szCs w:val="21"/>
              </w:rPr>
              <w:t>（1）</w:t>
            </w:r>
            <w:r>
              <w:rPr>
                <w:color w:val="auto"/>
                <w:szCs w:val="21"/>
              </w:rPr>
              <w:t>供应商在投标有效期内撤销投标文件的；</w:t>
            </w:r>
          </w:p>
          <w:p>
            <w:pPr>
              <w:spacing w:line="300" w:lineRule="exact"/>
              <w:jc w:val="left"/>
              <w:rPr>
                <w:color w:val="auto"/>
                <w:szCs w:val="21"/>
              </w:rPr>
            </w:pPr>
            <w:r>
              <w:rPr>
                <w:rFonts w:hint="eastAsia"/>
                <w:color w:val="auto"/>
                <w:szCs w:val="21"/>
              </w:rPr>
              <w:t>（2）</w:t>
            </w:r>
            <w:r>
              <w:rPr>
                <w:color w:val="auto"/>
                <w:szCs w:val="21"/>
              </w:rPr>
              <w:t>供应商在投标过程中弄虚作假，提供虚假材料的；</w:t>
            </w:r>
          </w:p>
          <w:p>
            <w:pPr>
              <w:spacing w:line="300" w:lineRule="exact"/>
              <w:jc w:val="left"/>
              <w:rPr>
                <w:color w:val="auto"/>
                <w:szCs w:val="21"/>
              </w:rPr>
            </w:pPr>
            <w:r>
              <w:rPr>
                <w:rFonts w:hint="eastAsia"/>
                <w:color w:val="auto"/>
                <w:szCs w:val="21"/>
              </w:rPr>
              <w:t>（3）</w:t>
            </w:r>
            <w:r>
              <w:rPr>
                <w:color w:val="auto"/>
                <w:szCs w:val="21"/>
              </w:rPr>
              <w:t>中标人无正当理由不与采购人签订合同的</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投标文件编制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投标文件共需5份，其中正本1份，副本4份。</w:t>
            </w:r>
          </w:p>
          <w:p>
            <w:pPr>
              <w:spacing w:line="300" w:lineRule="exact"/>
              <w:jc w:val="left"/>
              <w:rPr>
                <w:color w:val="auto"/>
                <w:szCs w:val="21"/>
              </w:rPr>
            </w:pPr>
            <w:r>
              <w:rPr>
                <w:rFonts w:hint="eastAsia"/>
                <w:color w:val="auto"/>
                <w:szCs w:val="21"/>
              </w:rPr>
              <w:t>（1）分册要求：投标文件分为两册。第一册为资格审查部分，第二册为商务技术报价部分（详见第六章投标文件格式）。</w:t>
            </w:r>
          </w:p>
          <w:p>
            <w:pPr>
              <w:autoSpaceDE w:val="0"/>
              <w:autoSpaceDN w:val="0"/>
              <w:jc w:val="left"/>
              <w:textAlignment w:val="bottom"/>
              <w:rPr>
                <w:color w:val="auto"/>
                <w:szCs w:val="21"/>
              </w:rPr>
            </w:pPr>
            <w:r>
              <w:rPr>
                <w:rFonts w:hint="eastAsia"/>
                <w:color w:val="auto"/>
                <w:szCs w:val="21"/>
              </w:rPr>
              <w:t>（</w:t>
            </w:r>
            <w:r>
              <w:rPr>
                <w:color w:val="auto"/>
                <w:szCs w:val="21"/>
              </w:rPr>
              <w:t>2</w:t>
            </w:r>
            <w:r>
              <w:rPr>
                <w:rFonts w:hint="eastAsia"/>
                <w:color w:val="auto"/>
                <w:szCs w:val="21"/>
              </w:rPr>
              <w:t>）编制要求：</w:t>
            </w:r>
          </w:p>
          <w:p>
            <w:pPr>
              <w:autoSpaceDE w:val="0"/>
              <w:autoSpaceDN w:val="0"/>
              <w:jc w:val="left"/>
              <w:textAlignment w:val="bottom"/>
              <w:rPr>
                <w:color w:val="auto"/>
                <w:szCs w:val="21"/>
              </w:rPr>
            </w:pPr>
            <w:r>
              <w:rPr>
                <w:rFonts w:hint="eastAsia"/>
                <w:color w:val="auto"/>
                <w:szCs w:val="21"/>
              </w:rPr>
              <w:t>①投标文件应按第六章投标文件格式规定的目录及顺序编制，内容应完整。</w:t>
            </w:r>
          </w:p>
          <w:p>
            <w:pPr>
              <w:autoSpaceDE w:val="0"/>
              <w:autoSpaceDN w:val="0"/>
              <w:jc w:val="left"/>
              <w:textAlignment w:val="bottom"/>
              <w:rPr>
                <w:color w:val="auto"/>
                <w:szCs w:val="21"/>
              </w:rPr>
            </w:pPr>
            <w:r>
              <w:rPr>
                <w:rFonts w:hint="eastAsia"/>
                <w:color w:val="auto"/>
                <w:szCs w:val="21"/>
              </w:rPr>
              <w:t>②投标文件正本需采用打印或用不褪色的墨水填写方式，副本可以使用正本复印件。</w:t>
            </w:r>
          </w:p>
          <w:p>
            <w:pPr>
              <w:autoSpaceDE w:val="0"/>
              <w:autoSpaceDN w:val="0"/>
              <w:jc w:val="left"/>
              <w:textAlignment w:val="bottom"/>
              <w:rPr>
                <w:color w:val="auto"/>
                <w:szCs w:val="21"/>
              </w:rPr>
            </w:pPr>
            <w:r>
              <w:rPr>
                <w:rFonts w:hint="eastAsia"/>
                <w:color w:val="auto"/>
                <w:szCs w:val="21"/>
              </w:rPr>
              <w:t>③正本与副本不一致时，以正本为准。不同语言的内容不一致的，以中文文本为准。</w:t>
            </w:r>
          </w:p>
          <w:p>
            <w:pPr>
              <w:autoSpaceDE w:val="0"/>
              <w:autoSpaceDN w:val="0"/>
              <w:jc w:val="left"/>
              <w:textAlignment w:val="bottom"/>
              <w:rPr>
                <w:color w:val="auto"/>
                <w:szCs w:val="21"/>
              </w:rPr>
            </w:pPr>
            <w:r>
              <w:rPr>
                <w:rFonts w:hint="eastAsia"/>
                <w:color w:val="auto"/>
                <w:szCs w:val="21"/>
              </w:rPr>
              <w:t>④投标文件须由供应商在规定位置盖章并由法定代表人或法定代表人的授权委托人签署，供应商应写全称。</w:t>
            </w:r>
          </w:p>
          <w:p>
            <w:pPr>
              <w:spacing w:line="300" w:lineRule="exact"/>
              <w:jc w:val="left"/>
              <w:rPr>
                <w:color w:val="auto"/>
                <w:szCs w:val="21"/>
              </w:rPr>
            </w:pPr>
            <w:r>
              <w:rPr>
                <w:rFonts w:hint="eastAsia"/>
                <w:color w:val="auto"/>
                <w:szCs w:val="21"/>
              </w:rPr>
              <w:t>⑤投标文件不得涂改，若有修改处，须加盖单位公章或者法定代表人或授权委托人签字或盖章。</w:t>
            </w:r>
          </w:p>
          <w:p>
            <w:pPr>
              <w:spacing w:line="300" w:lineRule="exact"/>
              <w:jc w:val="left"/>
              <w:rPr>
                <w:color w:val="auto"/>
                <w:szCs w:val="21"/>
              </w:rPr>
            </w:pPr>
            <w:r>
              <w:rPr>
                <w:rFonts w:hint="eastAsia"/>
                <w:color w:val="auto"/>
                <w:szCs w:val="21"/>
              </w:rPr>
              <w:t>⑥投标文件每册装订应牢固、不易拆散和换页，不得采用活页装订。</w:t>
            </w:r>
          </w:p>
          <w:p>
            <w:pPr>
              <w:spacing w:line="300" w:lineRule="exact"/>
              <w:jc w:val="left"/>
              <w:rPr>
                <w:color w:val="auto"/>
                <w:szCs w:val="21"/>
              </w:rPr>
            </w:pPr>
            <w:r>
              <w:rPr>
                <w:rFonts w:hint="eastAsia"/>
                <w:color w:val="auto"/>
                <w:szCs w:val="21"/>
              </w:rPr>
              <w:t>⑦只要求提交纸质响应文件的，应同时提交纸质响应文件的电子版。</w:t>
            </w:r>
          </w:p>
          <w:p>
            <w:pPr>
              <w:spacing w:line="300" w:lineRule="exact"/>
              <w:jc w:val="left"/>
              <w:rPr>
                <w:color w:val="auto"/>
                <w:szCs w:val="21"/>
              </w:rPr>
            </w:pPr>
            <w:r>
              <w:rPr>
                <w:rFonts w:hint="eastAsia"/>
                <w:color w:val="auto"/>
              </w:rPr>
              <w:t>（</w:t>
            </w:r>
            <w:r>
              <w:rPr>
                <w:color w:val="auto"/>
              </w:rPr>
              <w:t>3</w:t>
            </w:r>
            <w:r>
              <w:rPr>
                <w:rFonts w:hint="eastAsia"/>
                <w:color w:val="auto"/>
              </w:rPr>
              <w:t>）</w:t>
            </w:r>
            <w:r>
              <w:rPr>
                <w:rFonts w:hint="eastAsia"/>
                <w:color w:val="auto"/>
                <w:szCs w:val="21"/>
              </w:rPr>
              <w:t>包装要求：</w:t>
            </w:r>
          </w:p>
          <w:p>
            <w:pPr>
              <w:spacing w:line="300" w:lineRule="exact"/>
              <w:jc w:val="left"/>
              <w:rPr>
                <w:color w:val="auto"/>
              </w:rPr>
            </w:pPr>
            <w:r>
              <w:rPr>
                <w:rFonts w:hint="eastAsia"/>
                <w:color w:val="auto"/>
                <w:szCs w:val="21"/>
              </w:rPr>
              <w:t>①所有文件应包装为一个总密封袋，</w:t>
            </w:r>
            <w:r>
              <w:rPr>
                <w:color w:val="auto"/>
              </w:rPr>
              <w:t>包括投标文件第一册、投标文件第二册</w:t>
            </w:r>
            <w:r>
              <w:rPr>
                <w:rFonts w:hint="eastAsia"/>
                <w:color w:val="auto"/>
              </w:rPr>
              <w:t>，单独密封文件的密封袋。</w:t>
            </w:r>
          </w:p>
          <w:p>
            <w:pPr>
              <w:spacing w:line="300" w:lineRule="exact"/>
              <w:jc w:val="left"/>
              <w:rPr>
                <w:color w:val="auto"/>
                <w:szCs w:val="21"/>
              </w:rPr>
            </w:pPr>
            <w:r>
              <w:rPr>
                <w:rFonts w:hint="eastAsia"/>
                <w:color w:val="auto"/>
                <w:szCs w:val="21"/>
              </w:rPr>
              <w:t>②</w:t>
            </w:r>
            <w:r>
              <w:rPr>
                <w:rFonts w:hint="eastAsia"/>
                <w:color w:val="auto"/>
              </w:rPr>
              <w:t>需要单独密封的文件：电子投标文件U盘，单独密封要</w:t>
            </w:r>
            <w:r>
              <w:rPr>
                <w:color w:val="auto"/>
              </w:rPr>
              <w:t>放入一个单独的密封袋中，然后</w:t>
            </w:r>
            <w:r>
              <w:rPr>
                <w:rFonts w:hint="eastAsia"/>
                <w:color w:val="auto"/>
              </w:rPr>
              <w:t>再与其他文件一起</w:t>
            </w:r>
            <w:r>
              <w:rPr>
                <w:color w:val="auto"/>
              </w:rPr>
              <w:t>放入</w:t>
            </w:r>
            <w:r>
              <w:rPr>
                <w:rFonts w:hint="eastAsia"/>
                <w:color w:val="auto"/>
              </w:rPr>
              <w:t>总</w:t>
            </w:r>
            <w:r>
              <w:rPr>
                <w:color w:val="auto"/>
              </w:rPr>
              <w:t>密封袋。</w:t>
            </w:r>
          </w:p>
          <w:p>
            <w:pPr>
              <w:spacing w:line="300" w:lineRule="exact"/>
              <w:jc w:val="left"/>
              <w:rPr>
                <w:color w:val="auto"/>
                <w:szCs w:val="21"/>
              </w:rPr>
            </w:pPr>
            <w:r>
              <w:rPr>
                <w:rFonts w:hint="eastAsia"/>
                <w:color w:val="auto"/>
                <w:szCs w:val="21"/>
              </w:rPr>
              <w:t>③总密封袋密封后应保证投标文件内容不外露。同时需在密封袋外粘贴联系方式，包括授权代表姓名、手机号码、电子邮箱、微信号码或QQ号码。</w:t>
            </w:r>
          </w:p>
          <w:p>
            <w:pPr>
              <w:spacing w:line="300" w:lineRule="exact"/>
              <w:jc w:val="left"/>
              <w:rPr>
                <w:color w:val="auto"/>
                <w:szCs w:val="21"/>
              </w:rPr>
            </w:pPr>
            <w:r>
              <w:rPr>
                <w:rFonts w:hint="eastAsia"/>
                <w:color w:val="auto"/>
                <w:szCs w:val="21"/>
              </w:rPr>
              <w:t>④总密封袋及单独密封袋的封面标识详见第六章投标文件格式要求，并加盖供应商公章。封贴处须盖章（公章或密封章）或法定代表人或其授权代表签字。</w:t>
            </w:r>
          </w:p>
          <w:p>
            <w:pPr>
              <w:spacing w:line="300" w:lineRule="exact"/>
              <w:jc w:val="left"/>
              <w:rPr>
                <w:color w:val="auto"/>
                <w:szCs w:val="21"/>
              </w:rPr>
            </w:pPr>
            <w:r>
              <w:rPr>
                <w:rFonts w:hint="eastAsia"/>
                <w:color w:val="auto"/>
                <w:szCs w:val="21"/>
              </w:rPr>
              <w:t>未按上述要求编制或密封的投标文件，为无效投标文件。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w:t>
            </w:r>
            <w:r>
              <w:rPr>
                <w:rFonts w:hint="eastAsia"/>
                <w:b/>
                <w:bCs/>
                <w:color w:val="auto"/>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投标文件递交</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Arial"/>
                <w:b/>
                <w:color w:val="auto"/>
                <w:szCs w:val="21"/>
              </w:rPr>
            </w:pPr>
            <w:r>
              <w:rPr>
                <w:rFonts w:hint="eastAsia" w:ascii="宋体" w:hAnsi="宋体" w:cs="Arial"/>
                <w:b/>
                <w:color w:val="auto"/>
              </w:rPr>
              <w:t>投标截止时间</w:t>
            </w:r>
            <w:r>
              <w:rPr>
                <w:rFonts w:hint="eastAsia" w:ascii="宋体" w:hAnsi="宋体" w:cs="Arial"/>
                <w:b/>
                <w:color w:val="auto"/>
                <w:szCs w:val="21"/>
              </w:rPr>
              <w:t>、开标时间和地点：</w:t>
            </w:r>
          </w:p>
          <w:p>
            <w:pPr>
              <w:spacing w:line="380" w:lineRule="exact"/>
              <w:rPr>
                <w:rFonts w:ascii="宋体" w:hAnsi="宋体" w:cs="Arial"/>
                <w:color w:val="auto"/>
                <w:szCs w:val="21"/>
              </w:rPr>
            </w:pPr>
            <w:r>
              <w:rPr>
                <w:rFonts w:hint="eastAsia" w:ascii="宋体" w:hAnsi="宋体" w:cs="Arial"/>
                <w:b/>
                <w:color w:val="auto"/>
              </w:rPr>
              <w:t>投标截止时间及</w:t>
            </w:r>
            <w:r>
              <w:rPr>
                <w:rFonts w:hint="eastAsia" w:ascii="宋体" w:hAnsi="宋体" w:cs="Arial"/>
                <w:b/>
                <w:color w:val="auto"/>
                <w:szCs w:val="21"/>
              </w:rPr>
              <w:t>开标时间</w:t>
            </w:r>
            <w:r>
              <w:rPr>
                <w:rFonts w:hint="eastAsia" w:ascii="宋体" w:hAnsi="宋体" w:cs="Arial"/>
                <w:b/>
                <w:color w:val="auto"/>
              </w:rPr>
              <w:t>：</w:t>
            </w:r>
            <w:r>
              <w:rPr>
                <w:rFonts w:hint="eastAsia" w:ascii="宋体" w:hAnsi="宋体"/>
                <w:bCs/>
                <w:color w:val="auto"/>
                <w:szCs w:val="21"/>
                <w:u w:val="single"/>
              </w:rPr>
              <w:t>2021年   月   日   点   分</w:t>
            </w:r>
            <w:r>
              <w:rPr>
                <w:rFonts w:hint="eastAsia" w:ascii="宋体" w:hAnsi="宋体" w:cs="Arial"/>
                <w:color w:val="auto"/>
                <w:szCs w:val="21"/>
              </w:rPr>
              <w:t>（北京时间）</w:t>
            </w:r>
          </w:p>
          <w:p>
            <w:pPr>
              <w:spacing w:line="380" w:lineRule="exact"/>
              <w:rPr>
                <w:rFonts w:ascii="宋体" w:hAnsi="宋体" w:cs="Arial"/>
                <w:color w:val="auto"/>
                <w:szCs w:val="21"/>
              </w:rPr>
            </w:pPr>
            <w:r>
              <w:rPr>
                <w:rFonts w:hint="eastAsia" w:ascii="宋体" w:hAnsi="宋体" w:cs="Arial"/>
                <w:b/>
                <w:color w:val="auto"/>
                <w:szCs w:val="21"/>
              </w:rPr>
              <w:t>地点：</w:t>
            </w:r>
            <w:r>
              <w:rPr>
                <w:rFonts w:hint="eastAsia" w:ascii="宋体" w:hAnsi="宋体" w:cs="Arial"/>
                <w:color w:val="auto"/>
                <w:szCs w:val="21"/>
              </w:rPr>
              <w:t>广西壮族自治区公共资源交易中心（广西南宁市青秀区怡宾路6号自治区政务服务中心4楼）（具体开标室根据电子屏幕显示的安排）开标厅</w:t>
            </w:r>
          </w:p>
          <w:p>
            <w:pPr>
              <w:spacing w:line="380" w:lineRule="exact"/>
              <w:rPr>
                <w:rFonts w:ascii="Calibri" w:hAnsi="宋体"/>
                <w:bCs/>
                <w:color w:val="auto"/>
              </w:rPr>
            </w:pPr>
            <w:r>
              <w:rPr>
                <w:rFonts w:hint="eastAsia" w:ascii="宋体" w:hAnsi="宋体"/>
                <w:color w:val="auto"/>
                <w:szCs w:val="21"/>
              </w:rPr>
              <w:t>逾期送达或未按规定密封的投标文件将被拒绝；没有购买招标文件的供应商的投标文件将被拒绝。</w:t>
            </w:r>
            <w:r>
              <w:rPr>
                <w:rFonts w:hint="eastAsia" w:ascii="Calibri" w:hAnsi="宋体"/>
                <w:bCs/>
                <w:color w:val="auto"/>
              </w:rPr>
              <w:t>投标人的法定代表人（负责人）或其委托代理人应参加开标会并签到。投标人的法定代表人（负责人）或其委托代理人</w:t>
            </w:r>
            <w:r>
              <w:rPr>
                <w:rFonts w:ascii="Calibri" w:hAnsi="宋体"/>
                <w:bCs/>
                <w:color w:val="auto"/>
              </w:rPr>
              <w:t>未参加开标的，视同认可开标结果。</w:t>
            </w:r>
          </w:p>
          <w:p>
            <w:pPr>
              <w:spacing w:line="380" w:lineRule="exact"/>
              <w:ind w:firstLine="420" w:firstLineChars="200"/>
              <w:rPr>
                <w:rFonts w:ascii="宋体" w:hAnsi="宋体"/>
                <w:color w:val="auto"/>
                <w:szCs w:val="21"/>
              </w:rPr>
            </w:pPr>
            <w:r>
              <w:rPr>
                <w:rFonts w:hint="eastAsia" w:ascii="宋体" w:hAnsi="宋体"/>
                <w:color w:val="auto"/>
                <w:szCs w:val="21"/>
              </w:rPr>
              <w:t>疫情期间，投标文件可以接受邮寄。收件地址：广西南宁市怡宾路 6 号四楼广西壮族自治区公共</w:t>
            </w:r>
          </w:p>
          <w:p>
            <w:pPr>
              <w:spacing w:line="300" w:lineRule="exact"/>
              <w:jc w:val="left"/>
              <w:rPr>
                <w:color w:val="auto"/>
                <w:szCs w:val="21"/>
              </w:rPr>
            </w:pPr>
            <w:r>
              <w:rPr>
                <w:rFonts w:hint="eastAsia" w:ascii="宋体" w:hAnsi="宋体"/>
                <w:color w:val="auto"/>
                <w:szCs w:val="21"/>
              </w:rPr>
              <w:t>资源交易中心。收件人：</w:t>
            </w:r>
            <w:r>
              <w:rPr>
                <w:rFonts w:hint="eastAsia" w:ascii="宋体" w:hAnsi="宋体"/>
                <w:bCs/>
                <w:color w:val="auto"/>
                <w:szCs w:val="21"/>
              </w:rPr>
              <w:t>农进师</w:t>
            </w:r>
            <w:r>
              <w:rPr>
                <w:rFonts w:hint="eastAsia" w:ascii="宋体" w:hAnsi="宋体"/>
                <w:color w:val="auto"/>
                <w:szCs w:val="21"/>
              </w:rPr>
              <w:t>，电话：</w:t>
            </w:r>
            <w:r>
              <w:rPr>
                <w:rFonts w:ascii="宋体" w:hAnsi="宋体"/>
                <w:bCs/>
                <w:color w:val="auto"/>
                <w:szCs w:val="21"/>
              </w:rPr>
              <w:t>18077772581</w:t>
            </w:r>
            <w:r>
              <w:rPr>
                <w:rFonts w:hint="eastAsia" w:ascii="宋体" w:hAnsi="宋体"/>
                <w:color w:val="auto"/>
                <w:szCs w:val="21"/>
              </w:rPr>
              <w:t>。请寄件人在邮件外包装写明投标文件（同时必须注明项目名称：</w:t>
            </w:r>
            <w:r>
              <w:rPr>
                <w:rFonts w:hint="eastAsia"/>
                <w:color w:val="auto"/>
                <w:szCs w:val="21"/>
              </w:rPr>
              <w:t>南宁师范大学2021年中文纸质图书采购项目</w:t>
            </w:r>
            <w:r>
              <w:rPr>
                <w:rFonts w:hint="eastAsia" w:ascii="宋体" w:hAnsi="宋体"/>
                <w:color w:val="auto"/>
                <w:szCs w:val="21"/>
              </w:rPr>
              <w:t>，项目编号：GXZC2021-G1-000389-HYJS），并在外包装上留下真实姓名和联系电话。如有疑问请咨询区交易中心的开评标科：0771-2610595。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开标会议</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w:t>
            </w:r>
            <w:r>
              <w:rPr>
                <w:color w:val="auto"/>
                <w:szCs w:val="21"/>
              </w:rPr>
              <w:t>1</w:t>
            </w:r>
            <w:r>
              <w:rPr>
                <w:rFonts w:hint="eastAsia"/>
                <w:color w:val="auto"/>
                <w:szCs w:val="21"/>
              </w:rPr>
              <w:t>）参加方式：现场参加</w:t>
            </w:r>
          </w:p>
          <w:p>
            <w:pPr>
              <w:spacing w:line="300" w:lineRule="exact"/>
              <w:jc w:val="left"/>
              <w:rPr>
                <w:color w:val="auto"/>
                <w:kern w:val="0"/>
                <w:szCs w:val="21"/>
              </w:rPr>
            </w:pPr>
            <w:r>
              <w:rPr>
                <w:rFonts w:hint="eastAsia"/>
                <w:color w:val="auto"/>
                <w:kern w:val="0"/>
                <w:szCs w:val="21"/>
              </w:rPr>
              <w:t>①</w:t>
            </w:r>
            <w:r>
              <w:rPr>
                <w:rFonts w:hint="eastAsia"/>
                <w:color w:val="auto"/>
              </w:rPr>
              <w:t>为响应疫情防控工作有关部署，有效减少人员聚集，阻断疫情传播，</w:t>
            </w:r>
            <w:r>
              <w:rPr>
                <w:rFonts w:hint="eastAsia"/>
                <w:color w:val="auto"/>
                <w:kern w:val="0"/>
                <w:szCs w:val="21"/>
              </w:rPr>
              <w:t>按照不见面、少接触的原则，建议供应商不派授权代表到现场参加开标活动。</w:t>
            </w:r>
          </w:p>
          <w:p>
            <w:pPr>
              <w:spacing w:line="300" w:lineRule="exact"/>
              <w:jc w:val="left"/>
              <w:rPr>
                <w:color w:val="auto"/>
                <w:szCs w:val="21"/>
              </w:rPr>
            </w:pPr>
            <w:r>
              <w:rPr>
                <w:rFonts w:hint="eastAsia"/>
                <w:color w:val="auto"/>
                <w:szCs w:val="21"/>
              </w:rPr>
              <w:t>（2）参加人员要求：</w:t>
            </w:r>
          </w:p>
          <w:p>
            <w:pPr>
              <w:spacing w:line="300" w:lineRule="exact"/>
              <w:jc w:val="left"/>
              <w:rPr>
                <w:color w:val="auto"/>
                <w:szCs w:val="21"/>
              </w:rPr>
            </w:pPr>
            <w:r>
              <w:rPr>
                <w:rFonts w:hint="eastAsia"/>
                <w:color w:val="auto"/>
                <w:szCs w:val="21"/>
              </w:rPr>
              <w:t>①供应商确实需要到现场参加开标会议的，仅能选</w:t>
            </w:r>
            <w:r>
              <w:rPr>
                <w:color w:val="auto"/>
                <w:szCs w:val="21"/>
              </w:rPr>
              <w:t>派</w:t>
            </w:r>
            <w:r>
              <w:rPr>
                <w:rFonts w:hint="eastAsia"/>
                <w:color w:val="auto"/>
                <w:szCs w:val="21"/>
              </w:rPr>
              <w:t>一名</w:t>
            </w:r>
            <w:r>
              <w:rPr>
                <w:color w:val="auto"/>
                <w:szCs w:val="21"/>
              </w:rPr>
              <w:t>授权代表</w:t>
            </w:r>
            <w:r>
              <w:rPr>
                <w:rFonts w:hint="eastAsia"/>
                <w:color w:val="auto"/>
                <w:szCs w:val="21"/>
              </w:rPr>
              <w:t>（</w:t>
            </w:r>
            <w:r>
              <w:rPr>
                <w:color w:val="auto"/>
                <w:szCs w:val="21"/>
              </w:rPr>
              <w:t>或法定代表人</w:t>
            </w:r>
            <w:r>
              <w:rPr>
                <w:rFonts w:hint="eastAsia"/>
                <w:color w:val="auto"/>
                <w:szCs w:val="21"/>
              </w:rPr>
              <w:t>）</w:t>
            </w:r>
            <w:r>
              <w:rPr>
                <w:color w:val="auto"/>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w:t>
            </w:r>
            <w:r>
              <w:rPr>
                <w:rFonts w:hint="eastAsia"/>
                <w:color w:val="auto"/>
                <w:szCs w:val="21"/>
              </w:rPr>
              <w:t>纸质投标文件</w:t>
            </w:r>
            <w:r>
              <w:rPr>
                <w:color w:val="auto"/>
                <w:szCs w:val="21"/>
              </w:rPr>
              <w:t>符合</w:t>
            </w:r>
            <w:r>
              <w:rPr>
                <w:rFonts w:hint="eastAsia"/>
                <w:color w:val="auto"/>
                <w:szCs w:val="21"/>
              </w:rPr>
              <w:t>招标</w:t>
            </w:r>
            <w:r>
              <w:rPr>
                <w:color w:val="auto"/>
                <w:szCs w:val="21"/>
              </w:rPr>
              <w:t>文件要求的，</w:t>
            </w:r>
            <w:r>
              <w:rPr>
                <w:rFonts w:hint="eastAsia"/>
                <w:color w:val="auto"/>
                <w:szCs w:val="21"/>
              </w:rPr>
              <w:t>文件</w:t>
            </w:r>
            <w:r>
              <w:rPr>
                <w:color w:val="auto"/>
                <w:szCs w:val="21"/>
              </w:rPr>
              <w:t>予</w:t>
            </w:r>
            <w:r>
              <w:rPr>
                <w:rFonts w:hint="eastAsia"/>
                <w:color w:val="auto"/>
                <w:szCs w:val="21"/>
              </w:rPr>
              <w:t>以</w:t>
            </w:r>
            <w:r>
              <w:rPr>
                <w:color w:val="auto"/>
                <w:szCs w:val="21"/>
              </w:rPr>
              <w:t>接收。</w:t>
            </w:r>
          </w:p>
          <w:p>
            <w:pPr>
              <w:spacing w:line="300" w:lineRule="exact"/>
              <w:jc w:val="left"/>
              <w:rPr>
                <w:color w:val="auto"/>
                <w:kern w:val="0"/>
                <w:szCs w:val="21"/>
              </w:rPr>
            </w:pPr>
            <w:r>
              <w:rPr>
                <w:rFonts w:hint="eastAsia"/>
                <w:color w:val="auto"/>
                <w:kern w:val="0"/>
                <w:szCs w:val="21"/>
              </w:rPr>
              <w:t>②供应商到现场参加会议的，须携带个人专用的签字笔等文具，全程佩戴口罩。参加前应按采购代理机构疫情防控要求如实登记信息，如有不实信息，采购代理机构将报送有关防控部门。同时请参会人员注意执行开标会议地点有关隔离等疫情防控措施的规定，如因被隔离导致无法投标的责任自行负责。</w:t>
            </w:r>
          </w:p>
          <w:p>
            <w:pPr>
              <w:spacing w:line="300" w:lineRule="exact"/>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）开标程序：</w:t>
            </w:r>
          </w:p>
          <w:p>
            <w:pPr>
              <w:spacing w:line="300" w:lineRule="exact"/>
              <w:jc w:val="left"/>
              <w:rPr>
                <w:color w:val="auto"/>
                <w:kern w:val="0"/>
                <w:szCs w:val="21"/>
              </w:rPr>
            </w:pPr>
            <w:r>
              <w:rPr>
                <w:rFonts w:hint="eastAsia"/>
                <w:color w:val="auto"/>
                <w:kern w:val="0"/>
                <w:szCs w:val="21"/>
              </w:rPr>
              <w:t>①宣布开标；宣读开标纪律；宣布唱标人、记录人、监标人等有关人员名单；如有授权代表到现场参加开标会议，由采购人或采购代理机构检查授权代表的资格证件（包括身份证原件、授权委托书）。</w:t>
            </w:r>
          </w:p>
          <w:p>
            <w:pPr>
              <w:spacing w:line="300" w:lineRule="exact"/>
              <w:jc w:val="left"/>
              <w:rPr>
                <w:color w:val="auto"/>
                <w:kern w:val="0"/>
                <w:szCs w:val="21"/>
              </w:rPr>
            </w:pPr>
            <w:r>
              <w:rPr>
                <w:rFonts w:hint="eastAsia"/>
                <w:color w:val="auto"/>
                <w:kern w:val="0"/>
                <w:szCs w:val="21"/>
              </w:rPr>
              <w:t>②公布开标前递交投标文件的供应商名单。</w:t>
            </w:r>
          </w:p>
          <w:p>
            <w:pPr>
              <w:spacing w:line="300" w:lineRule="exact"/>
              <w:jc w:val="left"/>
              <w:rPr>
                <w:color w:val="auto"/>
                <w:szCs w:val="21"/>
              </w:rPr>
            </w:pPr>
            <w:r>
              <w:rPr>
                <w:rFonts w:hint="eastAsia"/>
                <w:color w:val="auto"/>
                <w:kern w:val="0"/>
                <w:szCs w:val="21"/>
              </w:rPr>
              <w:t>③开标时，由投标人或投标人的代表检查投标文件的密封情况，并签字确认。</w:t>
            </w:r>
          </w:p>
          <w:p>
            <w:pPr>
              <w:spacing w:line="300" w:lineRule="exact"/>
              <w:jc w:val="left"/>
              <w:rPr>
                <w:color w:val="auto"/>
                <w:kern w:val="0"/>
                <w:szCs w:val="21"/>
              </w:rPr>
            </w:pPr>
            <w:r>
              <w:rPr>
                <w:rFonts w:hint="eastAsia"/>
                <w:color w:val="auto"/>
                <w:kern w:val="0"/>
                <w:szCs w:val="21"/>
              </w:rPr>
              <w:t>④经确认无误后，由采购人或者采购代理机构工作人员当众拆封《开标一览表》，宣布投标人名称、投标价格和招标文件规定的需要宣布的其他内容。</w:t>
            </w:r>
          </w:p>
          <w:p>
            <w:pPr>
              <w:spacing w:line="300" w:lineRule="exact"/>
              <w:jc w:val="left"/>
              <w:rPr>
                <w:color w:val="auto"/>
                <w:kern w:val="0"/>
                <w:szCs w:val="21"/>
              </w:rPr>
            </w:pPr>
            <w:r>
              <w:rPr>
                <w:rFonts w:hint="eastAsia"/>
                <w:color w:val="auto"/>
                <w:kern w:val="0"/>
                <w:szCs w:val="21"/>
              </w:rPr>
              <w:t>⑤开标过程应当由采购人或者采购代理机构负责记录，由参加开标的各投标人代表和相关工作人员签字确认。</w:t>
            </w:r>
          </w:p>
          <w:p>
            <w:pPr>
              <w:spacing w:line="300" w:lineRule="exact"/>
              <w:jc w:val="left"/>
              <w:rPr>
                <w:color w:val="auto"/>
                <w:szCs w:val="21"/>
              </w:rPr>
            </w:pPr>
            <w:r>
              <w:rPr>
                <w:rFonts w:hint="eastAsia"/>
                <w:color w:val="auto"/>
                <w:kern w:val="0"/>
                <w:szCs w:val="21"/>
              </w:rPr>
              <w:t>⑥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w:t>
            </w:r>
            <w:r>
              <w:rPr>
                <w:rFonts w:hint="eastAsia"/>
                <w:b/>
                <w:bCs/>
                <w:color w:val="auto"/>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答疑与澄清</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hAnsi="宋体"/>
                <w:color w:val="auto"/>
                <w:szCs w:val="21"/>
              </w:rPr>
            </w:pPr>
            <w:r>
              <w:rPr>
                <w:rFonts w:hint="eastAsia" w:ascii="宋体" w:hAnsi="宋体"/>
                <w:color w:val="auto"/>
                <w:szCs w:val="21"/>
              </w:rPr>
              <w:t>投标人应认真阅读本招标文件，如认为招标文件表述不清晰、存在歧义、有误或有不合理要求的，投标人应当于购买招标文件后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可能影响投标文件编制的，采购代理机构将在投标截止时间至少15日前，以书面形式通知所有招标文件收受人；不足15日的，采购代理机构应当顺延提交投标文件的截止时间。</w:t>
            </w:r>
          </w:p>
          <w:p>
            <w:pPr>
              <w:spacing w:line="300" w:lineRule="exact"/>
              <w:jc w:val="left"/>
              <w:rPr>
                <w:color w:val="auto"/>
                <w:szCs w:val="21"/>
              </w:rPr>
            </w:pPr>
            <w:r>
              <w:rPr>
                <w:rFonts w:hint="eastAsia" w:ascii="宋体" w:hAnsi="宋体"/>
                <w:color w:val="auto"/>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不足3日的，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中标公告及中标通知书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采购代理机构在采购人依法确认中标人后2个工作日内在招标公告发布的媒体上发布中标公告</w:t>
            </w:r>
            <w:r>
              <w:rPr>
                <w:rFonts w:hint="eastAsia"/>
                <w:color w:val="auto"/>
                <w:szCs w:val="21"/>
              </w:rPr>
              <w:t>并发出</w:t>
            </w:r>
            <w:r>
              <w:rPr>
                <w:color w:val="auto"/>
                <w:szCs w:val="21"/>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合同签订及履行</w:t>
            </w:r>
          </w:p>
        </w:tc>
        <w:tc>
          <w:tcPr>
            <w:tcW w:w="7229"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（1）中标人拒绝与采购人签订合同的，采购人可以按照评审报告推荐的中标候选人名单排序，确定下一候选人为中标人，也可以重新开展政府采购活动。</w:t>
            </w:r>
          </w:p>
          <w:p>
            <w:pPr>
              <w:rPr>
                <w:color w:val="auto"/>
                <w:szCs w:val="21"/>
              </w:rPr>
            </w:pPr>
            <w:r>
              <w:rPr>
                <w:rFonts w:hint="eastAsia"/>
                <w:color w:val="auto"/>
                <w:szCs w:val="21"/>
              </w:rPr>
              <w:t>（2）采购人应当自中标通知书发出之日起25日内，按照招标文件和中标人投标文件的规定，与中标人签订书面合同。所签订的合同不得对招标文件确定的事项和中标人投标文件作实质性修改。</w:t>
            </w:r>
            <w:r>
              <w:rPr>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hint="eastAsia"/>
                <w:color w:val="auto"/>
                <w:szCs w:val="21"/>
              </w:rPr>
              <w:t>政府采购合同应当包括采购人与中标人的名称和住所、标的、数量、质量、价款或者报酬、履行期限及地点和方式、验收要求、违约责任、解决争议的方法等内容。</w:t>
            </w:r>
          </w:p>
          <w:p>
            <w:pPr>
              <w:rPr>
                <w:color w:val="auto"/>
                <w:szCs w:val="21"/>
              </w:rPr>
            </w:pPr>
            <w:r>
              <w:rPr>
                <w:rFonts w:hint="eastAsia"/>
                <w:color w:val="auto"/>
                <w:szCs w:val="21"/>
              </w:rPr>
              <w:t>（3）</w:t>
            </w:r>
            <w:r>
              <w:rPr>
                <w:color w:val="auto"/>
                <w:szCs w:val="21"/>
              </w:rPr>
              <w:t>采购人与中标人签订合同后，</w:t>
            </w:r>
            <w:r>
              <w:rPr>
                <w:rFonts w:hint="eastAsia"/>
                <w:color w:val="auto"/>
                <w:szCs w:val="21"/>
              </w:rPr>
              <w:t>政府采购合同的履行、违约责任和解决争议的方法等适用《中华人民共和国合同法》。</w:t>
            </w:r>
            <w:r>
              <w:rPr>
                <w:color w:val="auto"/>
                <w:szCs w:val="21"/>
              </w:rPr>
              <w:t>合同双方应严格执行合同条款，履行合同规定的义务，保证合同的顺利完成。</w:t>
            </w:r>
            <w:r>
              <w:rPr>
                <w:rFonts w:hint="eastAsia"/>
                <w:color w:val="auto"/>
                <w:szCs w:val="21"/>
              </w:rPr>
              <w:t>双方均不得擅自变更、中止或者终止政府采购合同。</w:t>
            </w:r>
          </w:p>
          <w:p>
            <w:pPr>
              <w:spacing w:line="300" w:lineRule="exact"/>
              <w:jc w:val="left"/>
              <w:rPr>
                <w:color w:val="auto"/>
                <w:szCs w:val="21"/>
              </w:rPr>
            </w:pPr>
            <w:r>
              <w:rPr>
                <w:rFonts w:hint="eastAsia"/>
                <w:color w:val="auto"/>
                <w:szCs w:val="21"/>
              </w:rPr>
              <w:t>（4）对于中标人履约验收不合格、双方解除合同的情况，应当按照合同法有关规定或者合同约定执行，原则上不得顺延确定中标或成交供应商。需要重新选定供应商的，应当重新开展采购活动。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供应商认为招标文件、招标过程、中标结果使自己的权益受到损害的，可以在知道或者应知其权益受到损害之日起7个工作日内，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向采购人、采购代理机构提出质疑。提出质疑的供应商必须是参与本项目采购活动的供应商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pPr>
              <w:spacing w:line="300" w:lineRule="exact"/>
              <w:jc w:val="left"/>
              <w:rPr>
                <w:color w:val="auto"/>
                <w:szCs w:val="21"/>
              </w:rPr>
            </w:pPr>
            <w:r>
              <w:rPr>
                <w:rFonts w:hint="eastAsia"/>
                <w:color w:val="auto"/>
                <w:szCs w:val="21"/>
              </w:rPr>
              <w:t>（2）疫情期间</w:t>
            </w:r>
            <w:r>
              <w:rPr>
                <w:color w:val="auto"/>
                <w:szCs w:val="21"/>
              </w:rPr>
              <w:t>本项目不接受以</w:t>
            </w:r>
            <w:r>
              <w:rPr>
                <w:rFonts w:hint="eastAsia"/>
                <w:color w:val="auto"/>
                <w:szCs w:val="21"/>
              </w:rPr>
              <w:t>现场递交、</w:t>
            </w:r>
            <w:r>
              <w:rPr>
                <w:color w:val="auto"/>
                <w:szCs w:val="21"/>
              </w:rPr>
              <w:t>传真、移动通信等</w:t>
            </w:r>
            <w:r>
              <w:rPr>
                <w:rFonts w:hint="eastAsia"/>
                <w:color w:val="auto"/>
                <w:szCs w:val="21"/>
              </w:rPr>
              <w:t>方式</w:t>
            </w:r>
            <w:r>
              <w:rPr>
                <w:color w:val="auto"/>
                <w:szCs w:val="21"/>
              </w:rPr>
              <w:t>送达的质疑材料</w:t>
            </w:r>
            <w:r>
              <w:rPr>
                <w:rFonts w:hint="eastAsia"/>
                <w:color w:val="auto"/>
                <w:szCs w:val="21"/>
              </w:rPr>
              <w:t>，供应商可通过以下方式递交质疑材料。</w:t>
            </w:r>
          </w:p>
          <w:p>
            <w:pPr>
              <w:spacing w:line="300" w:lineRule="exact"/>
              <w:ind w:firstLine="420" w:firstLineChars="200"/>
              <w:jc w:val="left"/>
              <w:rPr>
                <w:color w:val="auto"/>
                <w:szCs w:val="21"/>
              </w:rPr>
            </w:pPr>
            <w:r>
              <w:rPr>
                <w:rFonts w:hint="eastAsia"/>
                <w:color w:val="auto"/>
                <w:szCs w:val="21"/>
              </w:rPr>
              <w:t>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pPr>
              <w:spacing w:line="300" w:lineRule="exact"/>
              <w:ind w:firstLine="420" w:firstLineChars="200"/>
              <w:jc w:val="left"/>
              <w:rPr>
                <w:color w:val="auto"/>
                <w:szCs w:val="21"/>
              </w:rPr>
            </w:pPr>
            <w:r>
              <w:rPr>
                <w:rFonts w:hint="eastAsia"/>
                <w:color w:val="auto"/>
                <w:szCs w:val="21"/>
              </w:rPr>
              <w:t>质疑联系部门：广西北部湾宏亚建设管理有限公司</w:t>
            </w:r>
          </w:p>
          <w:p>
            <w:pPr>
              <w:spacing w:line="300" w:lineRule="exact"/>
              <w:ind w:firstLine="420" w:firstLineChars="200"/>
              <w:jc w:val="left"/>
              <w:rPr>
                <w:color w:val="auto"/>
                <w:szCs w:val="21"/>
              </w:rPr>
            </w:pPr>
            <w:r>
              <w:rPr>
                <w:rFonts w:hint="eastAsia"/>
                <w:color w:val="auto"/>
                <w:szCs w:val="21"/>
              </w:rPr>
              <w:t>质疑联系人：卢小玲     联系电话：0771-5670712</w:t>
            </w:r>
          </w:p>
          <w:p>
            <w:pPr>
              <w:spacing w:line="300" w:lineRule="exact"/>
              <w:ind w:firstLine="420" w:firstLineChars="200"/>
              <w:jc w:val="left"/>
              <w:rPr>
                <w:color w:val="auto"/>
                <w:szCs w:val="21"/>
              </w:rPr>
            </w:pPr>
            <w:r>
              <w:rPr>
                <w:rFonts w:hint="eastAsia"/>
                <w:color w:val="auto"/>
                <w:szCs w:val="21"/>
              </w:rPr>
              <w:t>通讯地址：南宁高新区科园大道东四路7号远信光电产业大楼25层2517号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词语定义或说明</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供应商”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pPr>
              <w:spacing w:line="300" w:lineRule="exact"/>
              <w:jc w:val="left"/>
              <w:rPr>
                <w:color w:val="auto"/>
                <w:szCs w:val="21"/>
              </w:rPr>
            </w:pPr>
            <w:r>
              <w:rPr>
                <w:rFonts w:hint="eastAsia"/>
                <w:color w:val="auto"/>
                <w:szCs w:val="21"/>
              </w:rPr>
              <w:t>（2）</w:t>
            </w:r>
            <w:r>
              <w:rPr>
                <w:color w:val="auto"/>
                <w:szCs w:val="21"/>
              </w:rPr>
              <w:t>本</w:t>
            </w:r>
            <w:r>
              <w:rPr>
                <w:rFonts w:hint="eastAsia"/>
                <w:color w:val="auto"/>
                <w:szCs w:val="21"/>
              </w:rPr>
              <w:t>文件</w:t>
            </w:r>
            <w:r>
              <w:rPr>
                <w:color w:val="auto"/>
                <w:szCs w:val="21"/>
              </w:rPr>
              <w:t>中的</w:t>
            </w:r>
            <w:r>
              <w:rPr>
                <w:rFonts w:hint="eastAsia"/>
                <w:color w:val="auto"/>
                <w:szCs w:val="21"/>
              </w:rPr>
              <w:t>“法定代表人”若无特别说明，当</w:t>
            </w:r>
            <w:r>
              <w:rPr>
                <w:color w:val="auto"/>
                <w:szCs w:val="21"/>
              </w:rPr>
              <w:t>供应商是</w:t>
            </w:r>
            <w:r>
              <w:rPr>
                <w:rFonts w:hint="eastAsia"/>
                <w:color w:val="auto"/>
                <w:szCs w:val="21"/>
              </w:rPr>
              <w:t>企业的，是指企业法人营业执照上的法定代表人；当</w:t>
            </w:r>
            <w:r>
              <w:rPr>
                <w:color w:val="auto"/>
                <w:szCs w:val="21"/>
              </w:rPr>
              <w:t>供应商是</w:t>
            </w:r>
            <w:r>
              <w:rPr>
                <w:rFonts w:hint="eastAsia"/>
                <w:color w:val="auto"/>
                <w:szCs w:val="21"/>
              </w:rPr>
              <w:t>事业单位的，是指事业单位法人证书上的法定代表人；当</w:t>
            </w:r>
            <w:r>
              <w:rPr>
                <w:color w:val="auto"/>
                <w:szCs w:val="21"/>
              </w:rPr>
              <w:t>供应商是</w:t>
            </w:r>
            <w:r>
              <w:rPr>
                <w:rFonts w:hint="eastAsia"/>
                <w:color w:val="auto"/>
                <w:szCs w:val="21"/>
              </w:rPr>
              <w:t>社会团体、民办非企业的，是指法人登记证书中的法定代表人；当</w:t>
            </w:r>
            <w:r>
              <w:rPr>
                <w:color w:val="auto"/>
                <w:szCs w:val="21"/>
              </w:rPr>
              <w:t>供应商是</w:t>
            </w:r>
            <w:r>
              <w:rPr>
                <w:rFonts w:hint="eastAsia"/>
                <w:color w:val="auto"/>
                <w:szCs w:val="21"/>
              </w:rPr>
              <w:t>个体工商户的，是指个体工商户营业执照上的经营者；</w:t>
            </w:r>
            <w:r>
              <w:rPr>
                <w:color w:val="auto"/>
                <w:szCs w:val="21"/>
              </w:rPr>
              <w:t>当供应商是自然人</w:t>
            </w:r>
            <w:r>
              <w:rPr>
                <w:rFonts w:hint="eastAsia"/>
                <w:color w:val="auto"/>
                <w:szCs w:val="21"/>
              </w:rPr>
              <w:t>的，是指参与本项目投标的自然人本人。</w:t>
            </w:r>
          </w:p>
          <w:p>
            <w:pPr>
              <w:spacing w:line="300" w:lineRule="exact"/>
              <w:jc w:val="left"/>
              <w:rPr>
                <w:color w:val="auto"/>
                <w:szCs w:val="21"/>
              </w:rPr>
            </w:pPr>
            <w:r>
              <w:rPr>
                <w:rFonts w:hint="eastAsia"/>
                <w:color w:val="auto"/>
                <w:szCs w:val="21"/>
              </w:rPr>
              <w:t>（3）</w:t>
            </w:r>
            <w:r>
              <w:rPr>
                <w:color w:val="auto"/>
                <w:szCs w:val="21"/>
              </w:rPr>
              <w:t xml:space="preserve">“书面形式”如无特殊规定，“书面形式”是指信函和数据电文（包括传真和电子邮件）等可以有形地表现所载内容的形式。招标文件如有特殊规定，以招标文件规定为准。 </w:t>
            </w:r>
          </w:p>
          <w:p>
            <w:pPr>
              <w:spacing w:line="300" w:lineRule="exact"/>
              <w:jc w:val="left"/>
              <w:rPr>
                <w:color w:val="auto"/>
                <w:szCs w:val="21"/>
              </w:rPr>
            </w:pPr>
            <w:r>
              <w:rPr>
                <w:rFonts w:hint="eastAsia"/>
                <w:color w:val="auto"/>
                <w:szCs w:val="21"/>
              </w:rPr>
              <w:t>（4）本项目的技术商务要求</w:t>
            </w:r>
            <w:r>
              <w:rPr>
                <w:rFonts w:hint="eastAsia" w:ascii="宋体" w:hAnsi="宋体"/>
                <w:color w:val="auto"/>
                <w:szCs w:val="21"/>
              </w:rPr>
              <w:t>重要性分为“▲”、“#”和一般无标识指标。▲代表实质性</w:t>
            </w:r>
            <w:r>
              <w:rPr>
                <w:rFonts w:ascii="宋体" w:hAnsi="宋体"/>
                <w:color w:val="auto"/>
                <w:szCs w:val="21"/>
              </w:rPr>
              <w:t>要求</w:t>
            </w:r>
            <w:r>
              <w:rPr>
                <w:rFonts w:hint="eastAsia" w:ascii="宋体" w:hAnsi="宋体"/>
                <w:color w:val="auto"/>
                <w:szCs w:val="21"/>
              </w:rPr>
              <w:t>指标，不满足该指标项将导致投标被否决，#代表重要指标，无标识则表示一般指标项。</w:t>
            </w:r>
          </w:p>
          <w:p>
            <w:pPr>
              <w:rPr>
                <w:color w:val="auto"/>
                <w:szCs w:val="21"/>
              </w:rPr>
            </w:pPr>
            <w:r>
              <w:rPr>
                <w:rFonts w:hint="eastAsia"/>
                <w:color w:val="auto"/>
                <w:szCs w:val="21"/>
              </w:rPr>
              <w:t>（5）本</w:t>
            </w:r>
            <w:r>
              <w:rPr>
                <w:color w:val="auto"/>
                <w:szCs w:val="21"/>
              </w:rPr>
              <w:t>招标文件</w:t>
            </w:r>
            <w:r>
              <w:rPr>
                <w:rFonts w:hint="eastAsia"/>
                <w:color w:val="auto"/>
                <w:szCs w:val="21"/>
              </w:rPr>
              <w:t>出现多种选项的地方，以“★”表示本项目所选择的方式。</w:t>
            </w:r>
          </w:p>
          <w:p>
            <w:pPr>
              <w:rPr>
                <w:color w:val="auto"/>
                <w:szCs w:val="21"/>
              </w:rPr>
            </w:pPr>
            <w:r>
              <w:rPr>
                <w:rFonts w:hint="eastAsia"/>
                <w:color w:val="auto"/>
                <w:szCs w:val="21"/>
              </w:rPr>
              <w:t>（6）</w:t>
            </w:r>
            <w:r>
              <w:rPr>
                <w:color w:val="auto"/>
                <w:szCs w:val="21"/>
              </w:rPr>
              <w:t>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pPr>
              <w:rPr>
                <w:color w:val="auto"/>
                <w:szCs w:val="21"/>
              </w:rPr>
            </w:pPr>
            <w:r>
              <w:rPr>
                <w:rFonts w:hint="eastAsia"/>
                <w:color w:val="auto"/>
                <w:szCs w:val="21"/>
              </w:rPr>
              <w:t>（7）</w:t>
            </w:r>
            <w:r>
              <w:rPr>
                <w:color w:val="auto"/>
                <w:szCs w:val="21"/>
              </w:rPr>
              <w:t>本项目所有投标文件均不予退还。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2</w:t>
            </w:r>
            <w:r>
              <w:rPr>
                <w:rFonts w:hint="eastAsia"/>
                <w:b/>
                <w:bCs/>
                <w:color w:val="auto"/>
                <w:szCs w:val="21"/>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kern w:val="0"/>
                <w:szCs w:val="21"/>
              </w:rPr>
            </w:pPr>
            <w:r>
              <w:rPr>
                <w:rFonts w:hint="eastAsia"/>
                <w:color w:val="auto"/>
                <w:kern w:val="0"/>
                <w:szCs w:val="21"/>
              </w:rPr>
              <w:t>招标代理服务费按国家发展计划委员会《招标代理服务费管理暂行办法》（计价格[2002]1980号）收费标准（货物类）向中标供应商收取，计算基数为预算价</w:t>
            </w:r>
            <w:r>
              <w:rPr>
                <w:rFonts w:ascii="Arial" w:hAnsi="Arial" w:cs="Arial"/>
                <w:color w:val="auto"/>
                <w:kern w:val="0"/>
                <w:szCs w:val="21"/>
              </w:rPr>
              <w:t>×</w:t>
            </w:r>
            <w:r>
              <w:rPr>
                <w:rFonts w:hint="eastAsia"/>
                <w:color w:val="auto"/>
                <w:kern w:val="0"/>
                <w:szCs w:val="21"/>
              </w:rPr>
              <w:t>折扣率。签订合同前，中标供应商应向采购代理机构一次付清中标服务费。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2</w:t>
            </w:r>
            <w:r>
              <w:rPr>
                <w:rFonts w:hint="eastAsia"/>
                <w:b/>
                <w:color w:val="auto"/>
                <w:szCs w:val="21"/>
              </w:rPr>
              <w:t>1</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kern w:val="0"/>
                <w:szCs w:val="21"/>
              </w:rPr>
              <w:t>其余未尽事宜按</w:t>
            </w:r>
            <w:r>
              <w:rPr>
                <w:color w:val="auto"/>
                <w:kern w:val="0"/>
                <w:szCs w:val="21"/>
              </w:rPr>
              <w:t>《中华人民共和国政府采购法》、《中华人民共和国政府采购法实施条例》、《政府采购货物和服务招标投标管理办法》</w:t>
            </w:r>
            <w:r>
              <w:rPr>
                <w:rFonts w:hint="eastAsia"/>
                <w:color w:val="auto"/>
                <w:kern w:val="0"/>
                <w:szCs w:val="21"/>
              </w:rPr>
              <w:t>的相关规定执行。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2</w:t>
            </w:r>
            <w:r>
              <w:rPr>
                <w:rFonts w:hint="eastAsia"/>
                <w:b/>
                <w:color w:val="auto"/>
                <w:szCs w:val="21"/>
              </w:rPr>
              <w:t>2</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rPr>
              <w:t>本招标文件是根据国家有关法律及有关政策、法规和参照国际惯例编制，解释权属采购代理机构。</w:t>
            </w:r>
          </w:p>
        </w:tc>
      </w:tr>
    </w:tbl>
    <w:p>
      <w:pPr>
        <w:spacing w:before="120" w:line="320" w:lineRule="atLeast"/>
        <w:outlineLvl w:val="1"/>
        <w:rPr>
          <w:bCs/>
          <w:color w:val="auto"/>
          <w:kern w:val="0"/>
          <w:sz w:val="28"/>
          <w:szCs w:val="28"/>
        </w:rPr>
        <w:sectPr>
          <w:headerReference r:id="rId14" w:type="first"/>
          <w:headerReference r:id="rId13" w:type="default"/>
          <w:pgSz w:w="11906" w:h="16838"/>
          <w:pgMar w:top="993" w:right="1133" w:bottom="1246" w:left="1418" w:header="851" w:footer="992" w:gutter="0"/>
          <w:cols w:space="720" w:num="1"/>
          <w:titlePg/>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40" w:name="_Toc4868"/>
      <w:bookmarkStart w:id="41" w:name="_Toc254970549"/>
      <w:bookmarkStart w:id="42" w:name="_Toc254970690"/>
      <w:r>
        <w:rPr>
          <w:rFonts w:ascii="Times New Roman" w:hAnsi="Times New Roman" w:cs="Times New Roman"/>
          <w:color w:val="auto"/>
          <w:sz w:val="32"/>
          <w:szCs w:val="32"/>
        </w:rPr>
        <w:t>第四章  评标方法及评标标准</w:t>
      </w:r>
      <w:bookmarkEnd w:id="40"/>
    </w:p>
    <w:p>
      <w:pPr>
        <w:spacing w:before="120" w:line="320" w:lineRule="atLeast"/>
        <w:ind w:firstLine="413" w:firstLineChars="196"/>
        <w:outlineLvl w:val="1"/>
        <w:rPr>
          <w:b/>
          <w:bCs/>
          <w:color w:val="auto"/>
          <w:kern w:val="0"/>
          <w:szCs w:val="21"/>
        </w:rPr>
      </w:pPr>
      <w:r>
        <w:rPr>
          <w:b/>
          <w:bCs/>
          <w:color w:val="auto"/>
          <w:kern w:val="0"/>
          <w:szCs w:val="21"/>
        </w:rPr>
        <w:t>一、评标方法</w:t>
      </w:r>
    </w:p>
    <w:p>
      <w:pPr>
        <w:spacing w:before="120" w:line="320" w:lineRule="atLeast"/>
        <w:ind w:firstLine="411" w:firstLineChars="196"/>
        <w:outlineLvl w:val="1"/>
        <w:rPr>
          <w:bCs/>
          <w:color w:val="auto"/>
          <w:kern w:val="0"/>
          <w:szCs w:val="21"/>
        </w:rPr>
      </w:pPr>
      <w:r>
        <w:rPr>
          <w:rFonts w:hint="eastAsia"/>
          <w:bCs/>
          <w:color w:val="auto"/>
          <w:kern w:val="0"/>
          <w:szCs w:val="21"/>
        </w:rPr>
        <w:t>1、</w:t>
      </w:r>
      <w:r>
        <w:rPr>
          <w:bCs/>
          <w:color w:val="auto"/>
          <w:kern w:val="0"/>
          <w:szCs w:val="21"/>
        </w:rPr>
        <w:t>评标方法</w:t>
      </w:r>
    </w:p>
    <w:p>
      <w:pPr>
        <w:suppressAutoHyphens/>
        <w:spacing w:before="120" w:line="320" w:lineRule="atLeast"/>
        <w:ind w:firstLine="420" w:firstLineChars="200"/>
        <w:rPr>
          <w:color w:val="auto"/>
        </w:rPr>
      </w:pPr>
      <w:r>
        <w:rPr>
          <w:color w:val="auto"/>
        </w:rPr>
        <w:t>本项目采用综合评分法进行评标。综合评分法，是指投标文件满足招标文件全部实质性要求且按照评标因素的量化指标评标得分最高的供应商为中标候选人的评标方法。</w:t>
      </w:r>
    </w:p>
    <w:p>
      <w:pPr>
        <w:spacing w:before="120" w:line="320" w:lineRule="atLeast"/>
        <w:ind w:firstLine="411" w:firstLineChars="196"/>
        <w:outlineLvl w:val="1"/>
        <w:rPr>
          <w:color w:val="auto"/>
          <w:szCs w:val="21"/>
        </w:rPr>
      </w:pPr>
      <w:r>
        <w:rPr>
          <w:rFonts w:hint="eastAsia"/>
          <w:color w:val="auto"/>
          <w:szCs w:val="21"/>
        </w:rPr>
        <w:t>2、评标依据</w:t>
      </w:r>
    </w:p>
    <w:p>
      <w:pPr>
        <w:suppressAutoHyphens/>
        <w:spacing w:before="120" w:line="320" w:lineRule="atLeast"/>
        <w:ind w:firstLine="420" w:firstLineChars="200"/>
        <w:rPr>
          <w:color w:val="auto"/>
        </w:rPr>
      </w:pPr>
      <w:r>
        <w:rPr>
          <w:rFonts w:hint="eastAsia"/>
          <w:color w:val="auto"/>
        </w:rPr>
        <w:t>评标委员会</w:t>
      </w:r>
      <w:r>
        <w:rPr>
          <w:color w:val="auto"/>
        </w:rPr>
        <w:t>以</w:t>
      </w:r>
      <w:r>
        <w:rPr>
          <w:rFonts w:hint="eastAsia"/>
          <w:color w:val="auto"/>
        </w:rPr>
        <w:t>招标</w:t>
      </w:r>
      <w:r>
        <w:rPr>
          <w:color w:val="auto"/>
        </w:rPr>
        <w:t>文件、补充文件、</w:t>
      </w:r>
      <w:r>
        <w:rPr>
          <w:rFonts w:hint="eastAsia"/>
          <w:color w:val="auto"/>
        </w:rPr>
        <w:t>投标</w:t>
      </w:r>
      <w:r>
        <w:rPr>
          <w:color w:val="auto"/>
        </w:rPr>
        <w:t>文件、澄清及答复为评</w:t>
      </w:r>
      <w:r>
        <w:rPr>
          <w:rFonts w:hint="eastAsia"/>
          <w:color w:val="auto"/>
        </w:rPr>
        <w:t>标</w:t>
      </w:r>
      <w:r>
        <w:rPr>
          <w:color w:val="auto"/>
        </w:rPr>
        <w:t>依据。</w:t>
      </w:r>
    </w:p>
    <w:p>
      <w:pPr>
        <w:spacing w:before="120" w:line="320" w:lineRule="atLeast"/>
        <w:ind w:firstLine="411" w:firstLineChars="196"/>
        <w:outlineLvl w:val="1"/>
        <w:rPr>
          <w:color w:val="auto"/>
          <w:szCs w:val="21"/>
        </w:rPr>
      </w:pPr>
      <w:r>
        <w:rPr>
          <w:color w:val="auto"/>
          <w:szCs w:val="21"/>
        </w:rPr>
        <w:t>3</w:t>
      </w:r>
      <w:r>
        <w:rPr>
          <w:rFonts w:hint="eastAsia"/>
          <w:color w:val="auto"/>
          <w:szCs w:val="21"/>
        </w:rPr>
        <w:t>、评标委员会</w:t>
      </w:r>
      <w:bookmarkStart w:id="43" w:name="_Hlk19051932"/>
    </w:p>
    <w:p>
      <w:pPr>
        <w:suppressAutoHyphens/>
        <w:spacing w:before="120" w:line="320" w:lineRule="atLeast"/>
        <w:ind w:firstLine="420" w:firstLineChars="200"/>
        <w:rPr>
          <w:color w:val="auto"/>
        </w:rPr>
      </w:pPr>
      <w:r>
        <w:rPr>
          <w:rFonts w:hint="eastAsia"/>
          <w:color w:val="auto"/>
        </w:rPr>
        <w:t>本项目评标委员会由政府采购评审专家和采购人代表组成。</w:t>
      </w:r>
      <w:bookmarkEnd w:id="43"/>
      <w:bookmarkStart w:id="44" w:name="_Hlk19051968"/>
      <w:r>
        <w:rPr>
          <w:rFonts w:hint="eastAsia"/>
          <w:color w:val="auto"/>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44"/>
    </w:p>
    <w:p>
      <w:pPr>
        <w:spacing w:before="120" w:line="320" w:lineRule="atLeast"/>
        <w:ind w:firstLine="413" w:firstLineChars="196"/>
        <w:outlineLvl w:val="1"/>
        <w:rPr>
          <w:b/>
          <w:bCs/>
          <w:color w:val="auto"/>
          <w:kern w:val="0"/>
          <w:szCs w:val="21"/>
        </w:rPr>
      </w:pPr>
      <w:r>
        <w:rPr>
          <w:rFonts w:hint="eastAsia"/>
          <w:b/>
          <w:bCs/>
          <w:color w:val="auto"/>
          <w:kern w:val="0"/>
          <w:szCs w:val="21"/>
        </w:rPr>
        <w:t>二、</w:t>
      </w:r>
      <w:r>
        <w:rPr>
          <w:b/>
          <w:bCs/>
          <w:color w:val="auto"/>
          <w:kern w:val="0"/>
          <w:szCs w:val="21"/>
        </w:rPr>
        <w:t>评标程序</w:t>
      </w:r>
    </w:p>
    <w:p>
      <w:pPr>
        <w:spacing w:before="120" w:line="320" w:lineRule="atLeast"/>
        <w:ind w:firstLine="420" w:firstLineChars="200"/>
        <w:rPr>
          <w:color w:val="auto"/>
          <w:szCs w:val="21"/>
        </w:rPr>
      </w:pPr>
      <w:r>
        <w:rPr>
          <w:rFonts w:hint="eastAsia"/>
          <w:color w:val="auto"/>
          <w:szCs w:val="21"/>
        </w:rPr>
        <w:t>1、</w:t>
      </w:r>
      <w:bookmarkStart w:id="45" w:name="_Hlk19175507"/>
      <w:r>
        <w:rPr>
          <w:color w:val="auto"/>
          <w:szCs w:val="21"/>
        </w:rPr>
        <w:t>初步评审：初步评审包括资格检查及符合性检查。</w:t>
      </w:r>
      <w:bookmarkEnd w:id="45"/>
    </w:p>
    <w:p>
      <w:pPr>
        <w:suppressAutoHyphens/>
        <w:spacing w:before="120" w:line="320" w:lineRule="atLeast"/>
        <w:ind w:firstLine="420" w:firstLineChars="200"/>
        <w:rPr>
          <w:bCs/>
          <w:color w:val="auto"/>
          <w:kern w:val="1"/>
          <w:szCs w:val="21"/>
        </w:rPr>
      </w:pPr>
      <w:r>
        <w:rPr>
          <w:rFonts w:hint="eastAsia"/>
          <w:bCs/>
          <w:color w:val="auto"/>
          <w:kern w:val="1"/>
          <w:szCs w:val="21"/>
        </w:rPr>
        <w:t>2、澄清（如需要）</w:t>
      </w:r>
      <w:r>
        <w:rPr>
          <w:bCs/>
          <w:color w:val="auto"/>
          <w:kern w:val="1"/>
          <w:szCs w:val="21"/>
        </w:rPr>
        <w:t>。</w:t>
      </w:r>
    </w:p>
    <w:p>
      <w:pPr>
        <w:suppressAutoHyphens/>
        <w:spacing w:before="120" w:line="320" w:lineRule="atLeast"/>
        <w:ind w:firstLine="420" w:firstLineChars="200"/>
        <w:rPr>
          <w:bCs/>
          <w:color w:val="auto"/>
          <w:kern w:val="1"/>
          <w:szCs w:val="21"/>
        </w:rPr>
      </w:pPr>
      <w:r>
        <w:rPr>
          <w:rFonts w:hint="eastAsia"/>
          <w:bCs/>
          <w:color w:val="auto"/>
          <w:kern w:val="1"/>
          <w:szCs w:val="21"/>
        </w:rPr>
        <w:t>3、</w:t>
      </w:r>
      <w:r>
        <w:rPr>
          <w:bCs/>
          <w:color w:val="auto"/>
          <w:kern w:val="1"/>
          <w:szCs w:val="21"/>
        </w:rPr>
        <w:t>详细评审。</w:t>
      </w:r>
    </w:p>
    <w:p>
      <w:pPr>
        <w:suppressAutoHyphens/>
        <w:spacing w:before="120" w:line="320" w:lineRule="atLeast"/>
        <w:ind w:firstLine="420" w:firstLineChars="200"/>
        <w:rPr>
          <w:color w:val="auto"/>
          <w:szCs w:val="21"/>
        </w:rPr>
      </w:pPr>
      <w:r>
        <w:rPr>
          <w:bCs/>
          <w:color w:val="auto"/>
          <w:kern w:val="1"/>
          <w:szCs w:val="21"/>
        </w:rPr>
        <w:t>4</w:t>
      </w:r>
      <w:r>
        <w:rPr>
          <w:rFonts w:hint="eastAsia"/>
          <w:bCs/>
          <w:color w:val="auto"/>
          <w:kern w:val="1"/>
          <w:szCs w:val="21"/>
        </w:rPr>
        <w:t>、</w:t>
      </w:r>
      <w:r>
        <w:rPr>
          <w:bCs/>
          <w:color w:val="auto"/>
          <w:kern w:val="1"/>
          <w:szCs w:val="21"/>
        </w:rPr>
        <w:t>推荐</w:t>
      </w:r>
      <w:r>
        <w:rPr>
          <w:rFonts w:hint="eastAsia"/>
          <w:bCs/>
          <w:color w:val="auto"/>
          <w:kern w:val="1"/>
          <w:szCs w:val="21"/>
        </w:rPr>
        <w:t>中标</w:t>
      </w:r>
      <w:r>
        <w:rPr>
          <w:bCs/>
          <w:color w:val="auto"/>
          <w:kern w:val="1"/>
          <w:szCs w:val="21"/>
        </w:rPr>
        <w:t>候选</w:t>
      </w:r>
      <w:r>
        <w:rPr>
          <w:rFonts w:hint="eastAsia"/>
          <w:bCs/>
          <w:color w:val="auto"/>
          <w:kern w:val="1"/>
          <w:szCs w:val="21"/>
        </w:rPr>
        <w:t>人</w:t>
      </w:r>
      <w:r>
        <w:rPr>
          <w:bCs/>
          <w:color w:val="auto"/>
          <w:kern w:val="1"/>
          <w:szCs w:val="21"/>
        </w:rPr>
        <w:t>。</w:t>
      </w:r>
    </w:p>
    <w:p>
      <w:pPr>
        <w:spacing w:before="120" w:line="320" w:lineRule="atLeast"/>
        <w:ind w:firstLine="413" w:firstLineChars="196"/>
        <w:outlineLvl w:val="1"/>
        <w:rPr>
          <w:b/>
          <w:bCs/>
          <w:color w:val="auto"/>
          <w:kern w:val="0"/>
          <w:szCs w:val="21"/>
        </w:rPr>
      </w:pPr>
      <w:r>
        <w:rPr>
          <w:rFonts w:hint="eastAsia"/>
          <w:b/>
          <w:bCs/>
          <w:color w:val="auto"/>
          <w:kern w:val="0"/>
          <w:szCs w:val="21"/>
        </w:rPr>
        <w:t>三、评标内容</w:t>
      </w:r>
    </w:p>
    <w:p>
      <w:pPr>
        <w:spacing w:before="120" w:line="320" w:lineRule="atLeast"/>
        <w:ind w:firstLine="413" w:firstLineChars="196"/>
        <w:outlineLvl w:val="1"/>
        <w:rPr>
          <w:b/>
          <w:bCs/>
          <w:color w:val="auto"/>
          <w:kern w:val="0"/>
          <w:szCs w:val="21"/>
        </w:rPr>
      </w:pPr>
      <w:r>
        <w:rPr>
          <w:b/>
          <w:bCs/>
          <w:color w:val="auto"/>
          <w:kern w:val="0"/>
          <w:szCs w:val="21"/>
        </w:rPr>
        <w:t>1、资格审查</w:t>
      </w:r>
    </w:p>
    <w:p>
      <w:pPr>
        <w:suppressAutoHyphens/>
        <w:spacing w:before="120" w:line="320" w:lineRule="atLeast"/>
        <w:ind w:firstLine="420" w:firstLineChars="200"/>
        <w:rPr>
          <w:color w:val="auto"/>
          <w:szCs w:val="21"/>
        </w:rPr>
      </w:pPr>
      <w:r>
        <w:rPr>
          <w:color w:val="auto"/>
        </w:rPr>
        <w:t>采购人</w:t>
      </w:r>
      <w:r>
        <w:rPr>
          <w:rFonts w:hint="eastAsia"/>
          <w:color w:val="auto"/>
        </w:rPr>
        <w:t>代表</w:t>
      </w:r>
      <w:r>
        <w:rPr>
          <w:color w:val="auto"/>
        </w:rPr>
        <w:t>对所有供应商的投标文件进行资格审查。</w:t>
      </w:r>
      <w:r>
        <w:rPr>
          <w:color w:val="auto"/>
          <w:szCs w:val="21"/>
        </w:rPr>
        <w:t>以确定供应商是否具备投标资格。资格审查表如下，缺少任何一项或有任何一项不合格者，其资格审查视为不合格。</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40" w:lineRule="exact"/>
              <w:jc w:val="center"/>
              <w:rPr>
                <w:b/>
                <w:color w:val="auto"/>
                <w:kern w:val="0"/>
                <w:szCs w:val="21"/>
              </w:rPr>
            </w:pPr>
            <w:r>
              <w:rPr>
                <w:b/>
                <w:color w:val="auto"/>
                <w:kern w:val="0"/>
                <w:szCs w:val="21"/>
              </w:rPr>
              <w:t>序号</w:t>
            </w:r>
          </w:p>
        </w:tc>
        <w:tc>
          <w:tcPr>
            <w:tcW w:w="2694" w:type="dxa"/>
            <w:gridSpan w:val="2"/>
            <w:vAlign w:val="center"/>
          </w:tcPr>
          <w:p>
            <w:pPr>
              <w:spacing w:line="240" w:lineRule="exact"/>
              <w:jc w:val="center"/>
              <w:rPr>
                <w:b/>
                <w:color w:val="auto"/>
                <w:kern w:val="0"/>
                <w:szCs w:val="21"/>
              </w:rPr>
            </w:pPr>
            <w:r>
              <w:rPr>
                <w:b/>
                <w:color w:val="auto"/>
                <w:kern w:val="0"/>
                <w:szCs w:val="21"/>
              </w:rPr>
              <w:t>评标因素</w:t>
            </w:r>
          </w:p>
        </w:tc>
        <w:tc>
          <w:tcPr>
            <w:tcW w:w="6237" w:type="dxa"/>
            <w:vAlign w:val="center"/>
          </w:tcPr>
          <w:p>
            <w:pPr>
              <w:spacing w:line="240" w:lineRule="exact"/>
              <w:jc w:val="center"/>
              <w:rPr>
                <w:b/>
                <w:color w:val="auto"/>
                <w:kern w:val="0"/>
                <w:szCs w:val="21"/>
              </w:rPr>
            </w:pPr>
            <w:r>
              <w:rPr>
                <w:b/>
                <w:color w:val="auto"/>
                <w:kern w:val="0"/>
                <w:szCs w:val="21"/>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75" w:type="dxa"/>
            <w:vMerge w:val="restart"/>
            <w:vAlign w:val="center"/>
          </w:tcPr>
          <w:p>
            <w:pPr>
              <w:spacing w:line="240" w:lineRule="exact"/>
              <w:jc w:val="center"/>
              <w:rPr>
                <w:color w:val="auto"/>
                <w:szCs w:val="21"/>
              </w:rPr>
            </w:pPr>
            <w:r>
              <w:rPr>
                <w:color w:val="auto"/>
                <w:szCs w:val="21"/>
              </w:rPr>
              <w:t>1</w:t>
            </w:r>
          </w:p>
        </w:tc>
        <w:tc>
          <w:tcPr>
            <w:tcW w:w="851" w:type="dxa"/>
            <w:vMerge w:val="restart"/>
            <w:vAlign w:val="center"/>
          </w:tcPr>
          <w:p>
            <w:pPr>
              <w:spacing w:line="240" w:lineRule="exact"/>
              <w:rPr>
                <w:color w:val="auto"/>
                <w:szCs w:val="21"/>
                <w:lang w:val="zh-CN"/>
              </w:rPr>
            </w:pPr>
            <w:r>
              <w:rPr>
                <w:color w:val="auto"/>
                <w:szCs w:val="21"/>
                <w:lang w:val="zh-CN"/>
              </w:rPr>
              <w:t>供应商应符合的基本资格条件</w:t>
            </w:r>
          </w:p>
        </w:tc>
        <w:tc>
          <w:tcPr>
            <w:tcW w:w="1843" w:type="dxa"/>
            <w:vAlign w:val="center"/>
          </w:tcPr>
          <w:p>
            <w:pPr>
              <w:spacing w:line="240" w:lineRule="exact"/>
              <w:rPr>
                <w:color w:val="auto"/>
                <w:szCs w:val="21"/>
              </w:rPr>
            </w:pPr>
            <w:r>
              <w:rPr>
                <w:color w:val="auto"/>
                <w:szCs w:val="21"/>
              </w:rPr>
              <w:t>（1）具有独立承担民事责任的能力</w:t>
            </w:r>
          </w:p>
        </w:tc>
        <w:tc>
          <w:tcPr>
            <w:tcW w:w="6237" w:type="dxa"/>
          </w:tcPr>
          <w:p>
            <w:pPr>
              <w:spacing w:line="240" w:lineRule="exact"/>
              <w:jc w:val="left"/>
              <w:rPr>
                <w:color w:val="auto"/>
                <w:szCs w:val="21"/>
              </w:rPr>
            </w:pPr>
            <w:r>
              <w:rPr>
                <w:color w:val="auto"/>
                <w:szCs w:val="21"/>
              </w:rPr>
              <w:t>审查法人或者其他组织的营业执照等证明文件、自然人的身份证明。须按以下要求提供，材料须有效。</w:t>
            </w:r>
          </w:p>
          <w:p>
            <w:pPr>
              <w:spacing w:line="240" w:lineRule="exact"/>
              <w:jc w:val="left"/>
              <w:rPr>
                <w:color w:val="auto"/>
                <w:szCs w:val="21"/>
              </w:rPr>
            </w:pPr>
            <w:r>
              <w:rPr>
                <w:color w:val="auto"/>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rPr>
            </w:pPr>
            <w:r>
              <w:rPr>
                <w:color w:val="auto"/>
                <w:szCs w:val="21"/>
                <w:lang w:val="zh-CN"/>
              </w:rPr>
              <w:t>（2）</w:t>
            </w:r>
            <w:r>
              <w:rPr>
                <w:color w:val="auto"/>
                <w:szCs w:val="21"/>
              </w:rPr>
              <w:t>具有良好的商业信誉和健全的财务会计制度</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pPr>
              <w:spacing w:line="240" w:lineRule="exact"/>
              <w:jc w:val="left"/>
              <w:rPr>
                <w:color w:val="auto"/>
                <w:szCs w:val="21"/>
              </w:rPr>
            </w:pPr>
            <w:r>
              <w:rPr>
                <w:rFonts w:hint="eastAsia" w:ascii="宋体" w:hAnsi="宋体" w:cs="宋体"/>
                <w:color w:val="auto"/>
                <w:szCs w:val="21"/>
              </w:rPr>
              <w:t>②</w:t>
            </w:r>
            <w:r>
              <w:rPr>
                <w:color w:val="auto"/>
                <w:szCs w:val="21"/>
              </w:rPr>
              <w:t>审查201</w:t>
            </w:r>
            <w:r>
              <w:rPr>
                <w:rFonts w:hint="eastAsia"/>
                <w:color w:val="auto"/>
                <w:szCs w:val="21"/>
              </w:rPr>
              <w:t>9</w:t>
            </w:r>
            <w:r>
              <w:rPr>
                <w:color w:val="auto"/>
                <w:szCs w:val="21"/>
              </w:rPr>
              <w:t>年度财务状况报告（表）复印件或银行出具的资信证明复印件，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lang w:val="zh-CN"/>
              </w:rPr>
              <w:t>（3）具有履行合同所必需的设备和专业技术能力</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lang w:val="zh-CN"/>
              </w:rPr>
              <w:t>（4）有依法缴纳税收和社会保障金的良好记录</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依法缴纳税费证明复印件加盖供应商公章。</w:t>
            </w:r>
          </w:p>
          <w:p>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的社保缴费证明记录复印件加盖供应商公章。</w:t>
            </w:r>
          </w:p>
          <w:p>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缴纳税费证明及社保缴费证明加盖供应商公章</w:t>
            </w:r>
            <w:r>
              <w:rPr>
                <w:rFonts w:hint="eastAsia"/>
                <w:color w:val="auto"/>
                <w:szCs w:val="21"/>
              </w:rPr>
              <w:t>。</w:t>
            </w:r>
          </w:p>
          <w:p>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rPr>
              <w:t>（5）参加政府采购活动前三年内，在经营活动中没有重大违法记录及不良信用记录</w:t>
            </w:r>
          </w:p>
        </w:tc>
        <w:tc>
          <w:tcPr>
            <w:tcW w:w="6237" w:type="dxa"/>
            <w:vAlign w:val="center"/>
          </w:tcPr>
          <w:p>
            <w:pPr>
              <w:spacing w:line="240" w:lineRule="exact"/>
              <w:jc w:val="left"/>
              <w:rPr>
                <w:color w:val="auto"/>
                <w:szCs w:val="21"/>
              </w:rPr>
            </w:pPr>
            <w:r>
              <w:rPr>
                <w:color w:val="auto"/>
                <w:szCs w:val="21"/>
              </w:rPr>
              <w:t>审查无重大违法记录声明。须提供，格式见第六章投标文件格式“投标声明书”。 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（6）诚信要求</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审核</w:t>
            </w:r>
            <w:r>
              <w:rPr>
                <w:rFonts w:hint="eastAsia"/>
                <w:color w:val="auto"/>
                <w:szCs w:val="21"/>
              </w:rPr>
              <w:t>标准</w:t>
            </w:r>
            <w:r>
              <w:rPr>
                <w:color w:val="auto"/>
                <w:szCs w:val="21"/>
              </w:rPr>
              <w:t>：供应商</w:t>
            </w:r>
            <w:r>
              <w:rPr>
                <w:rFonts w:hint="eastAsia"/>
                <w:color w:val="auto"/>
                <w:szCs w:val="21"/>
              </w:rPr>
              <w:t>如</w:t>
            </w:r>
            <w:r>
              <w:rPr>
                <w:color w:val="auto"/>
                <w:szCs w:val="21"/>
              </w:rPr>
              <w:t>被列入失信被执行人、重大税收违法案件当事人名单、政府采购严重违法失信行为记录名单</w:t>
            </w:r>
            <w:r>
              <w:rPr>
                <w:rFonts w:hint="eastAsia"/>
                <w:color w:val="auto"/>
                <w:szCs w:val="21"/>
              </w:rPr>
              <w:t>，</w:t>
            </w:r>
            <w:r>
              <w:rPr>
                <w:color w:val="auto"/>
                <w:szCs w:val="21"/>
              </w:rPr>
              <w:t>则资格审查不予通过，</w:t>
            </w:r>
            <w:r>
              <w:rPr>
                <w:rFonts w:hint="eastAsia"/>
                <w:color w:val="auto"/>
                <w:szCs w:val="21"/>
              </w:rPr>
              <w:t>其</w:t>
            </w:r>
            <w:r>
              <w:rPr>
                <w:color w:val="auto"/>
                <w:szCs w:val="21"/>
              </w:rPr>
              <w:t>投标被否决。</w:t>
            </w:r>
          </w:p>
          <w:p>
            <w:pPr>
              <w:spacing w:line="240" w:lineRule="exact"/>
              <w:jc w:val="left"/>
              <w:rPr>
                <w:color w:val="auto"/>
                <w:szCs w:val="21"/>
              </w:rPr>
            </w:pPr>
            <w:r>
              <w:rPr>
                <w:rFonts w:hint="eastAsia"/>
                <w:color w:val="auto"/>
                <w:szCs w:val="21"/>
              </w:rPr>
              <w:t>②</w:t>
            </w:r>
            <w:r>
              <w:rPr>
                <w:color w:val="auto"/>
                <w:szCs w:val="21"/>
              </w:rPr>
              <w:t>信用信息查询渠道：中国政府采购网 “政府采购严重违法失信行为记录名单” 信用中国网：“失信被执行人”</w:t>
            </w:r>
            <w:r>
              <w:rPr>
                <w:rFonts w:hint="eastAsia"/>
                <w:color w:val="auto"/>
                <w:szCs w:val="21"/>
              </w:rPr>
              <w:t>、</w:t>
            </w:r>
            <w:r>
              <w:rPr>
                <w:color w:val="auto"/>
                <w:szCs w:val="21"/>
              </w:rPr>
              <w:t>“</w:t>
            </w:r>
            <w:r>
              <w:rPr>
                <w:color w:val="auto"/>
                <w:kern w:val="0"/>
                <w:szCs w:val="21"/>
              </w:rPr>
              <w:t>重大税收违法案件当事人名单</w:t>
            </w:r>
            <w:r>
              <w:rPr>
                <w:color w:val="auto"/>
                <w:szCs w:val="21"/>
              </w:rPr>
              <w:t xml:space="preserve">”  </w:t>
            </w:r>
          </w:p>
          <w:p>
            <w:pPr>
              <w:spacing w:line="240" w:lineRule="exact"/>
              <w:jc w:val="left"/>
              <w:rPr>
                <w:color w:val="auto"/>
                <w:szCs w:val="21"/>
              </w:rPr>
            </w:pPr>
            <w:r>
              <w:rPr>
                <w:rFonts w:hint="eastAsia"/>
                <w:color w:val="auto"/>
                <w:szCs w:val="21"/>
              </w:rPr>
              <w:t>③查询方式：资格审查时，采购人或采购代理机构通过上述渠道查询供应商的信用记录供评委审核。</w:t>
            </w:r>
          </w:p>
          <w:p>
            <w:pPr>
              <w:spacing w:line="240" w:lineRule="exact"/>
              <w:jc w:val="left"/>
              <w:rPr>
                <w:rFonts w:ascii="宋体" w:hAnsi="宋体" w:cs="宋体"/>
                <w:color w:val="auto"/>
                <w:szCs w:val="21"/>
              </w:rPr>
            </w:pPr>
            <w:r>
              <w:rPr>
                <w:rFonts w:hint="eastAsia" w:ascii="宋体" w:hAnsi="宋体" w:cs="宋体"/>
                <w:color w:val="auto"/>
                <w:szCs w:val="21"/>
                <w:lang w:eastAsia="ja-JP"/>
              </w:rPr>
              <w:t>④</w:t>
            </w:r>
            <w:r>
              <w:rPr>
                <w:color w:val="auto"/>
                <w:szCs w:val="21"/>
              </w:rPr>
              <w:t>信用信息查询记录和证据留存的具体方式：</w:t>
            </w:r>
            <w:r>
              <w:rPr>
                <w:rFonts w:hint="eastAsia"/>
                <w:color w:val="auto"/>
                <w:szCs w:val="21"/>
              </w:rPr>
              <w:t>通过</w:t>
            </w:r>
            <w:r>
              <w:rPr>
                <w:color w:val="auto"/>
                <w:szCs w:val="21"/>
              </w:rPr>
              <w:t>上述查询渠道查询</w:t>
            </w:r>
            <w:r>
              <w:rPr>
                <w:rFonts w:hint="eastAsia"/>
                <w:color w:val="auto"/>
                <w:szCs w:val="21"/>
              </w:rPr>
              <w:t>的供应商信用记录查询结果</w:t>
            </w:r>
            <w:r>
              <w:rPr>
                <w:color w:val="auto"/>
                <w:szCs w:val="21"/>
              </w:rPr>
              <w:t>，将作为政府采购活动档案留存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（7）具备法律、行政法规规定的其他要求</w:t>
            </w:r>
          </w:p>
        </w:tc>
        <w:tc>
          <w:tcPr>
            <w:tcW w:w="6237" w:type="dxa"/>
            <w:vAlign w:val="center"/>
          </w:tcPr>
          <w:p>
            <w:pPr>
              <w:spacing w:line="240" w:lineRule="exact"/>
              <w:rPr>
                <w:color w:val="auto"/>
                <w:szCs w:val="21"/>
              </w:rPr>
            </w:pPr>
            <w:r>
              <w:rPr>
                <w:rFonts w:hint="eastAsia"/>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75" w:type="dxa"/>
            <w:vMerge w:val="restart"/>
            <w:vAlign w:val="center"/>
          </w:tcPr>
          <w:p>
            <w:pPr>
              <w:spacing w:line="240" w:lineRule="exact"/>
              <w:jc w:val="center"/>
              <w:rPr>
                <w:color w:val="auto"/>
                <w:szCs w:val="21"/>
              </w:rPr>
            </w:pPr>
            <w:r>
              <w:rPr>
                <w:color w:val="auto"/>
                <w:szCs w:val="21"/>
              </w:rPr>
              <w:t>2</w:t>
            </w:r>
          </w:p>
        </w:tc>
        <w:tc>
          <w:tcPr>
            <w:tcW w:w="851" w:type="dxa"/>
            <w:vMerge w:val="restart"/>
            <w:vAlign w:val="center"/>
          </w:tcPr>
          <w:p>
            <w:pPr>
              <w:spacing w:line="240" w:lineRule="exact"/>
              <w:rPr>
                <w:color w:val="auto"/>
                <w:szCs w:val="21"/>
              </w:rPr>
            </w:pPr>
            <w:r>
              <w:rPr>
                <w:color w:val="auto"/>
                <w:szCs w:val="21"/>
                <w:lang w:val="zh-CN"/>
              </w:rPr>
              <w:t>供应商应符合的</w:t>
            </w:r>
            <w:r>
              <w:rPr>
                <w:color w:val="auto"/>
                <w:szCs w:val="21"/>
              </w:rPr>
              <w:t>特定资格条件</w:t>
            </w:r>
          </w:p>
        </w:tc>
        <w:tc>
          <w:tcPr>
            <w:tcW w:w="1843" w:type="dxa"/>
            <w:vAlign w:val="center"/>
          </w:tcPr>
          <w:p>
            <w:pPr>
              <w:spacing w:line="240" w:lineRule="exact"/>
              <w:jc w:val="left"/>
              <w:rPr>
                <w:color w:val="auto"/>
                <w:szCs w:val="21"/>
              </w:rPr>
            </w:pPr>
            <w:r>
              <w:rPr>
                <w:color w:val="auto"/>
                <w:szCs w:val="21"/>
              </w:rPr>
              <w:t>（1）资质条件</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（2）业绩要求</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（3）其他要求</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“招标公告”的</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restart"/>
            <w:vAlign w:val="center"/>
          </w:tcPr>
          <w:p>
            <w:pPr>
              <w:spacing w:line="240" w:lineRule="exact"/>
              <w:jc w:val="center"/>
              <w:rPr>
                <w:color w:val="auto"/>
                <w:szCs w:val="21"/>
              </w:rPr>
            </w:pPr>
            <w:r>
              <w:rPr>
                <w:color w:val="auto"/>
                <w:szCs w:val="21"/>
              </w:rPr>
              <w:t>3</w:t>
            </w:r>
          </w:p>
        </w:tc>
        <w:tc>
          <w:tcPr>
            <w:tcW w:w="2694" w:type="dxa"/>
            <w:gridSpan w:val="2"/>
            <w:vMerge w:val="restart"/>
            <w:vAlign w:val="center"/>
          </w:tcPr>
          <w:p>
            <w:pPr>
              <w:spacing w:line="240" w:lineRule="exact"/>
              <w:jc w:val="left"/>
              <w:rPr>
                <w:color w:val="auto"/>
                <w:szCs w:val="21"/>
              </w:rPr>
            </w:pPr>
            <w:r>
              <w:rPr>
                <w:rFonts w:hint="eastAsia"/>
                <w:color w:val="auto"/>
                <w:kern w:val="0"/>
                <w:szCs w:val="21"/>
              </w:rPr>
              <w:t>供应商不得参加资格性审查的情形</w:t>
            </w:r>
          </w:p>
        </w:tc>
        <w:tc>
          <w:tcPr>
            <w:tcW w:w="6237" w:type="dxa"/>
            <w:vAlign w:val="center"/>
          </w:tcPr>
          <w:p>
            <w:pPr>
              <w:spacing w:line="240" w:lineRule="exact"/>
              <w:jc w:val="left"/>
              <w:rPr>
                <w:color w:val="auto"/>
                <w:szCs w:val="21"/>
              </w:rPr>
            </w:pPr>
            <w:r>
              <w:rPr>
                <w:color w:val="auto"/>
                <w:kern w:val="0"/>
                <w:szCs w:val="21"/>
              </w:rPr>
              <w:t>（1）单位负责人为同一人或者存在直接控股、管理关系的不同供应商，不得参加本项目同一合同项下的政府采购活动。为本项目提供整体设计、规范编制或者项目管理、监理、检测等服务的供应商，不得再参加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2694" w:type="dxa"/>
            <w:gridSpan w:val="2"/>
            <w:vMerge w:val="continue"/>
            <w:vAlign w:val="center"/>
          </w:tcPr>
          <w:p>
            <w:pPr>
              <w:spacing w:line="240" w:lineRule="exact"/>
              <w:jc w:val="left"/>
              <w:rPr>
                <w:color w:val="auto"/>
                <w:szCs w:val="21"/>
              </w:rPr>
            </w:pPr>
          </w:p>
        </w:tc>
        <w:tc>
          <w:tcPr>
            <w:tcW w:w="6237" w:type="dxa"/>
            <w:vAlign w:val="center"/>
          </w:tcPr>
          <w:p>
            <w:pPr>
              <w:spacing w:line="240" w:lineRule="exact"/>
              <w:jc w:val="left"/>
              <w:rPr>
                <w:color w:val="auto"/>
                <w:szCs w:val="21"/>
              </w:rPr>
            </w:pPr>
            <w:r>
              <w:rPr>
                <w:color w:val="auto"/>
                <w:kern w:val="0"/>
                <w:szCs w:val="21"/>
              </w:rPr>
              <w:t>（</w:t>
            </w:r>
            <w:r>
              <w:rPr>
                <w:rFonts w:hint="eastAsia"/>
                <w:color w:val="auto"/>
                <w:kern w:val="0"/>
                <w:szCs w:val="21"/>
              </w:rPr>
              <w:t>2</w:t>
            </w:r>
            <w:r>
              <w:rPr>
                <w:color w:val="auto"/>
                <w:kern w:val="0"/>
                <w:szCs w:val="21"/>
              </w:rPr>
              <w:t>）</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75" w:type="dxa"/>
            <w:vAlign w:val="center"/>
          </w:tcPr>
          <w:p>
            <w:pPr>
              <w:spacing w:line="240" w:lineRule="exact"/>
              <w:jc w:val="center"/>
              <w:rPr>
                <w:color w:val="auto"/>
                <w:szCs w:val="21"/>
              </w:rPr>
            </w:pPr>
            <w:r>
              <w:rPr>
                <w:rFonts w:hint="eastAsia"/>
                <w:color w:val="auto"/>
                <w:szCs w:val="21"/>
              </w:rPr>
              <w:t>4</w:t>
            </w:r>
          </w:p>
        </w:tc>
        <w:tc>
          <w:tcPr>
            <w:tcW w:w="2694" w:type="dxa"/>
            <w:gridSpan w:val="2"/>
            <w:vAlign w:val="center"/>
          </w:tcPr>
          <w:p>
            <w:pPr>
              <w:spacing w:line="240" w:lineRule="exact"/>
              <w:rPr>
                <w:color w:val="auto"/>
                <w:szCs w:val="21"/>
              </w:rPr>
            </w:pPr>
            <w:r>
              <w:rPr>
                <w:color w:val="auto"/>
                <w:szCs w:val="21"/>
              </w:rPr>
              <w:t>投标保证金</w:t>
            </w:r>
          </w:p>
        </w:tc>
        <w:tc>
          <w:tcPr>
            <w:tcW w:w="6237" w:type="dxa"/>
            <w:vAlign w:val="center"/>
          </w:tcPr>
          <w:p>
            <w:pPr>
              <w:spacing w:line="240" w:lineRule="exact"/>
              <w:rPr>
                <w:color w:val="auto"/>
                <w:szCs w:val="21"/>
              </w:rPr>
            </w:pPr>
            <w:r>
              <w:rPr>
                <w:color w:val="auto"/>
                <w:szCs w:val="21"/>
              </w:rPr>
              <w:t>足额、及时缴纳投标保证金</w:t>
            </w:r>
          </w:p>
        </w:tc>
      </w:tr>
    </w:tbl>
    <w:p>
      <w:pPr>
        <w:spacing w:before="120" w:line="320" w:lineRule="atLeast"/>
        <w:ind w:firstLine="413" w:firstLineChars="196"/>
        <w:outlineLvl w:val="1"/>
        <w:rPr>
          <w:b/>
          <w:bCs/>
          <w:color w:val="auto"/>
          <w:kern w:val="0"/>
          <w:szCs w:val="21"/>
        </w:rPr>
      </w:pPr>
      <w:r>
        <w:rPr>
          <w:b/>
          <w:bCs/>
          <w:color w:val="auto"/>
          <w:kern w:val="0"/>
          <w:szCs w:val="21"/>
        </w:rPr>
        <w:t>2、符合性检查</w:t>
      </w:r>
    </w:p>
    <w:p>
      <w:pPr>
        <w:spacing w:before="120" w:line="320" w:lineRule="atLeast"/>
        <w:ind w:firstLine="420" w:firstLineChars="200"/>
        <w:rPr>
          <w:color w:val="auto"/>
          <w:szCs w:val="21"/>
        </w:rPr>
      </w:pPr>
      <w:r>
        <w:rPr>
          <w:bCs/>
          <w:color w:val="auto"/>
          <w:kern w:val="1"/>
          <w:szCs w:val="21"/>
        </w:rPr>
        <w:t>资格审查结束后，由评标委员会对</w:t>
      </w:r>
      <w:r>
        <w:rPr>
          <w:color w:val="auto"/>
        </w:rPr>
        <w:t>通过资格审查的供应商的投标文件进行符合性审查，以确定其是否满足招标文件的实质性要求。</w:t>
      </w:r>
      <w:r>
        <w:rPr>
          <w:color w:val="auto"/>
          <w:szCs w:val="21"/>
        </w:rPr>
        <w:t>符合性检查表如下，缺少任何一项或有任何一项不合格者，其符合性检查视为不合格。</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b/>
                <w:color w:val="auto"/>
                <w:kern w:val="0"/>
                <w:szCs w:val="21"/>
              </w:rPr>
            </w:pPr>
            <w:r>
              <w:rPr>
                <w:b/>
                <w:color w:val="auto"/>
                <w:kern w:val="0"/>
                <w:szCs w:val="21"/>
              </w:rPr>
              <w:t>序号</w:t>
            </w:r>
          </w:p>
        </w:tc>
        <w:tc>
          <w:tcPr>
            <w:tcW w:w="3544" w:type="dxa"/>
            <w:gridSpan w:val="2"/>
            <w:vAlign w:val="center"/>
          </w:tcPr>
          <w:p>
            <w:pPr>
              <w:spacing w:line="240" w:lineRule="exact"/>
              <w:jc w:val="center"/>
              <w:rPr>
                <w:b/>
                <w:color w:val="auto"/>
                <w:kern w:val="0"/>
                <w:szCs w:val="21"/>
              </w:rPr>
            </w:pPr>
            <w:r>
              <w:rPr>
                <w:b/>
                <w:color w:val="auto"/>
                <w:kern w:val="0"/>
                <w:szCs w:val="21"/>
              </w:rPr>
              <w:t>评标因素</w:t>
            </w:r>
          </w:p>
        </w:tc>
        <w:tc>
          <w:tcPr>
            <w:tcW w:w="5409" w:type="dxa"/>
            <w:vAlign w:val="center"/>
          </w:tcPr>
          <w:p>
            <w:pPr>
              <w:spacing w:line="240" w:lineRule="exact"/>
              <w:jc w:val="center"/>
              <w:rPr>
                <w:b/>
                <w:color w:val="auto"/>
                <w:kern w:val="0"/>
                <w:szCs w:val="21"/>
              </w:rPr>
            </w:pPr>
            <w:r>
              <w:rPr>
                <w:b/>
                <w:color w:val="auto"/>
                <w:kern w:val="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240" w:lineRule="exact"/>
              <w:jc w:val="center"/>
              <w:rPr>
                <w:color w:val="auto"/>
                <w:szCs w:val="21"/>
              </w:rPr>
            </w:pPr>
            <w:r>
              <w:rPr>
                <w:color w:val="auto"/>
                <w:szCs w:val="21"/>
              </w:rPr>
              <w:t>（1）</w:t>
            </w:r>
          </w:p>
        </w:tc>
        <w:tc>
          <w:tcPr>
            <w:tcW w:w="1560" w:type="dxa"/>
            <w:vMerge w:val="restart"/>
            <w:vAlign w:val="center"/>
          </w:tcPr>
          <w:p>
            <w:pPr>
              <w:spacing w:line="240" w:lineRule="exact"/>
              <w:rPr>
                <w:color w:val="auto"/>
                <w:kern w:val="0"/>
                <w:szCs w:val="21"/>
              </w:rPr>
            </w:pPr>
            <w:r>
              <w:rPr>
                <w:color w:val="auto"/>
                <w:kern w:val="0"/>
                <w:szCs w:val="21"/>
              </w:rPr>
              <w:t>有效性审查</w:t>
            </w:r>
          </w:p>
        </w:tc>
        <w:tc>
          <w:tcPr>
            <w:tcW w:w="1984" w:type="dxa"/>
            <w:vAlign w:val="center"/>
          </w:tcPr>
          <w:p>
            <w:pPr>
              <w:spacing w:line="240" w:lineRule="exact"/>
              <w:rPr>
                <w:color w:val="auto"/>
                <w:kern w:val="0"/>
                <w:szCs w:val="21"/>
              </w:rPr>
            </w:pPr>
            <w:r>
              <w:rPr>
                <w:color w:val="auto"/>
                <w:szCs w:val="21"/>
              </w:rPr>
              <w:t>投标文件签署</w:t>
            </w:r>
          </w:p>
        </w:tc>
        <w:tc>
          <w:tcPr>
            <w:tcW w:w="5409" w:type="dxa"/>
            <w:vAlign w:val="center"/>
          </w:tcPr>
          <w:p>
            <w:pPr>
              <w:spacing w:line="240" w:lineRule="exact"/>
              <w:rPr>
                <w:color w:val="auto"/>
                <w:kern w:val="0"/>
                <w:szCs w:val="21"/>
              </w:rPr>
            </w:pPr>
            <w:r>
              <w:rPr>
                <w:color w:val="auto"/>
                <w:szCs w:val="21"/>
              </w:rPr>
              <w:t>投标文件上法定代表人或其授权代表人已按要求签字盖章。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rPr>
            </w:pPr>
            <w:r>
              <w:rPr>
                <w:color w:val="auto"/>
                <w:szCs w:val="21"/>
              </w:rPr>
              <w:t>法定代表人身份证明及授权委托书</w:t>
            </w:r>
          </w:p>
        </w:tc>
        <w:tc>
          <w:tcPr>
            <w:tcW w:w="5409" w:type="dxa"/>
            <w:vAlign w:val="center"/>
          </w:tcPr>
          <w:p>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参加投标</w:t>
            </w:r>
            <w:r>
              <w:rPr>
                <w:color w:val="auto"/>
                <w:szCs w:val="21"/>
              </w:rPr>
              <w:t>时审查</w:t>
            </w:r>
            <w:r>
              <w:rPr>
                <w:color w:val="auto"/>
              </w:rPr>
              <w:t>：</w:t>
            </w:r>
            <w:r>
              <w:rPr>
                <w:rFonts w:ascii="宋体" w:hAnsi="宋体"/>
                <w:color w:val="auto"/>
                <w:szCs w:val="21"/>
              </w:rPr>
              <w:t>法定代表人授权委托书及附件，格式及附件见第六章投标文件格式要求；</w:t>
            </w:r>
          </w:p>
          <w:p>
            <w:pPr>
              <w:spacing w:line="240" w:lineRule="exact"/>
              <w:rPr>
                <w:color w:val="auto"/>
                <w:szCs w:val="21"/>
              </w:rPr>
            </w:pPr>
            <w:r>
              <w:rPr>
                <w:rFonts w:hint="eastAsia"/>
                <w:color w:val="auto"/>
                <w:szCs w:val="21"/>
              </w:rPr>
              <w:t>法定代表人直接参加投标</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附件，格式及附件见第六章投标文件格式要求</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rFonts w:hint="eastAsia"/>
                <w:color w:val="auto"/>
              </w:rPr>
              <w:t>投标文件或者投标报价唯一性</w:t>
            </w:r>
          </w:p>
        </w:tc>
        <w:tc>
          <w:tcPr>
            <w:tcW w:w="5409" w:type="dxa"/>
            <w:vAlign w:val="center"/>
          </w:tcPr>
          <w:p>
            <w:pPr>
              <w:spacing w:line="240" w:lineRule="exact"/>
              <w:rPr>
                <w:color w:val="auto"/>
                <w:kern w:val="0"/>
                <w:szCs w:val="21"/>
              </w:rPr>
            </w:pPr>
            <w:r>
              <w:rPr>
                <w:rFonts w:hint="eastAsia"/>
                <w:color w:val="auto"/>
              </w:rPr>
              <w:t>同</w:t>
            </w:r>
            <w:r>
              <w:rPr>
                <w:rFonts w:hint="eastAsia"/>
                <w:color w:val="auto"/>
                <w:szCs w:val="21"/>
              </w:rPr>
              <w:t>一供应商不得提交两个以上不同的投标文件或者投标报价，但招标文件要求提交</w:t>
            </w:r>
            <w:r>
              <w:rPr>
                <w:color w:val="auto"/>
                <w:szCs w:val="21"/>
              </w:rPr>
              <w:t>备选</w:t>
            </w:r>
            <w:r>
              <w:rPr>
                <w:rFonts w:hint="eastAsia"/>
                <w:color w:val="auto"/>
                <w:szCs w:val="21"/>
              </w:rPr>
              <w:t>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color w:val="auto"/>
                <w:szCs w:val="21"/>
                <w:lang w:val="zh-CN"/>
              </w:rPr>
              <w:t>附</w:t>
            </w:r>
            <w:r>
              <w:rPr>
                <w:rFonts w:hint="eastAsia"/>
                <w:color w:val="auto"/>
                <w:szCs w:val="21"/>
                <w:lang w:val="zh-CN"/>
              </w:rPr>
              <w:t>加</w:t>
            </w:r>
            <w:r>
              <w:rPr>
                <w:color w:val="auto"/>
                <w:szCs w:val="21"/>
                <w:lang w:val="zh-CN"/>
              </w:rPr>
              <w:t>条件</w:t>
            </w:r>
          </w:p>
        </w:tc>
        <w:tc>
          <w:tcPr>
            <w:tcW w:w="5409" w:type="dxa"/>
            <w:vAlign w:val="center"/>
          </w:tcPr>
          <w:p>
            <w:pPr>
              <w:spacing w:line="240" w:lineRule="exact"/>
              <w:rPr>
                <w:color w:val="auto"/>
                <w:szCs w:val="21"/>
                <w:lang w:val="zh-CN"/>
              </w:rPr>
            </w:pPr>
            <w:r>
              <w:rPr>
                <w:color w:val="auto"/>
              </w:rPr>
              <w:t>投标文件不得含有</w:t>
            </w:r>
            <w:r>
              <w:rPr>
                <w:rFonts w:hint="eastAsia"/>
                <w:color w:val="auto"/>
              </w:rPr>
              <w:t>采购人</w:t>
            </w:r>
            <w:r>
              <w:rPr>
                <w:color w:val="auto"/>
              </w:rPr>
              <w:t>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rPr>
                <w:color w:val="auto"/>
              </w:rPr>
            </w:pPr>
            <w:r>
              <w:rPr>
                <w:color w:val="auto"/>
              </w:rPr>
              <w:t>投标报价</w:t>
            </w:r>
          </w:p>
        </w:tc>
        <w:tc>
          <w:tcPr>
            <w:tcW w:w="5409" w:type="dxa"/>
          </w:tcPr>
          <w:p>
            <w:pPr>
              <w:rPr>
                <w:color w:val="auto"/>
              </w:rPr>
            </w:pPr>
            <w:r>
              <w:rPr>
                <w:color w:val="auto"/>
                <w:szCs w:val="21"/>
              </w:rPr>
              <w:t>报价超出采购预算金额或最高限价（如有）的，否决其投标</w:t>
            </w:r>
            <w:r>
              <w:rPr>
                <w:color w:val="auto"/>
              </w:rPr>
              <w:t>。</w:t>
            </w:r>
            <w:r>
              <w:rPr>
                <w:color w:val="auto"/>
                <w:szCs w:val="21"/>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color w:val="auto"/>
                <w:szCs w:val="21"/>
                <w:lang w:val="zh-CN"/>
              </w:rPr>
              <w:t>联合体供应商</w:t>
            </w:r>
          </w:p>
        </w:tc>
        <w:tc>
          <w:tcPr>
            <w:tcW w:w="5409" w:type="dxa"/>
            <w:vAlign w:val="center"/>
          </w:tcPr>
          <w:p>
            <w:pPr>
              <w:spacing w:line="240" w:lineRule="exact"/>
              <w:rPr>
                <w:color w:val="auto"/>
                <w:kern w:val="0"/>
                <w:szCs w:val="21"/>
              </w:rPr>
            </w:pPr>
            <w:r>
              <w:rPr>
                <w:rFonts w:hint="eastAsia"/>
                <w:color w:val="auto"/>
                <w:szCs w:val="21"/>
                <w:lang w:val="zh-CN"/>
              </w:rPr>
              <w:t>不</w:t>
            </w:r>
            <w:r>
              <w:rPr>
                <w:color w:val="auto"/>
                <w:szCs w:val="21"/>
                <w:lang w:val="zh-CN"/>
              </w:rPr>
              <w:t>接受联合体</w:t>
            </w:r>
            <w:r>
              <w:rPr>
                <w:rFonts w:hint="eastAsia"/>
                <w:color w:val="auto"/>
                <w:szCs w:val="21"/>
                <w:lang w:val="zh-CN"/>
              </w:rPr>
              <w:t>。联合体投标的，作无效投标处理。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rPr>
                <w:color w:val="auto"/>
                <w:szCs w:val="21"/>
              </w:rPr>
            </w:pPr>
            <w:r>
              <w:rPr>
                <w:color w:val="auto"/>
                <w:szCs w:val="21"/>
              </w:rPr>
              <w:t>转包</w:t>
            </w:r>
            <w:r>
              <w:rPr>
                <w:rFonts w:hint="eastAsia"/>
                <w:color w:val="auto"/>
                <w:szCs w:val="21"/>
              </w:rPr>
              <w:t>及</w:t>
            </w:r>
            <w:r>
              <w:rPr>
                <w:color w:val="auto"/>
                <w:szCs w:val="21"/>
              </w:rPr>
              <w:t>分包</w:t>
            </w:r>
          </w:p>
        </w:tc>
        <w:tc>
          <w:tcPr>
            <w:tcW w:w="5409" w:type="dxa"/>
            <w:vAlign w:val="center"/>
          </w:tcPr>
          <w:p>
            <w:pPr>
              <w:rPr>
                <w:color w:val="auto"/>
                <w:szCs w:val="21"/>
              </w:rPr>
            </w:pPr>
            <w:r>
              <w:rPr>
                <w:color w:val="auto"/>
                <w:szCs w:val="21"/>
              </w:rPr>
              <w:t>满足招标文件规定</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240" w:lineRule="exact"/>
              <w:jc w:val="center"/>
              <w:rPr>
                <w:color w:val="auto"/>
                <w:szCs w:val="21"/>
              </w:rPr>
            </w:pPr>
            <w:r>
              <w:rPr>
                <w:color w:val="auto"/>
                <w:szCs w:val="21"/>
              </w:rPr>
              <w:t>（2）</w:t>
            </w:r>
          </w:p>
        </w:tc>
        <w:tc>
          <w:tcPr>
            <w:tcW w:w="1560" w:type="dxa"/>
            <w:vMerge w:val="restart"/>
            <w:vAlign w:val="center"/>
          </w:tcPr>
          <w:p>
            <w:pPr>
              <w:spacing w:line="240" w:lineRule="exact"/>
              <w:rPr>
                <w:color w:val="auto"/>
                <w:szCs w:val="21"/>
                <w:lang w:val="zh-CN"/>
              </w:rPr>
            </w:pPr>
            <w:r>
              <w:rPr>
                <w:color w:val="auto"/>
                <w:kern w:val="0"/>
                <w:szCs w:val="21"/>
              </w:rPr>
              <w:t>对招标文件的响应程度审查</w:t>
            </w:r>
          </w:p>
        </w:tc>
        <w:tc>
          <w:tcPr>
            <w:tcW w:w="1984" w:type="dxa"/>
            <w:vAlign w:val="center"/>
          </w:tcPr>
          <w:p>
            <w:pPr>
              <w:spacing w:line="240" w:lineRule="exact"/>
              <w:rPr>
                <w:color w:val="auto"/>
                <w:szCs w:val="21"/>
                <w:lang w:val="zh-CN"/>
              </w:rPr>
            </w:pPr>
            <w:r>
              <w:rPr>
                <w:color w:val="auto"/>
                <w:szCs w:val="21"/>
                <w:lang w:val="zh-CN"/>
              </w:rPr>
              <w:t>实质性条款响应</w:t>
            </w:r>
          </w:p>
        </w:tc>
        <w:tc>
          <w:tcPr>
            <w:tcW w:w="5409" w:type="dxa"/>
            <w:vAlign w:val="center"/>
          </w:tcPr>
          <w:p>
            <w:pPr>
              <w:spacing w:line="240" w:lineRule="exact"/>
              <w:rPr>
                <w:color w:val="auto"/>
                <w:szCs w:val="21"/>
                <w:lang w:val="zh-CN"/>
              </w:rPr>
            </w:pPr>
            <w:r>
              <w:rPr>
                <w:color w:val="auto"/>
                <w:szCs w:val="21"/>
                <w:lang w:val="zh-CN"/>
              </w:rPr>
              <w:t>对招标文件中所有标注▲号的实质性条款要求响应均无负偏离。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szCs w:val="21"/>
                <w:lang w:val="zh-CN"/>
              </w:rPr>
            </w:pPr>
          </w:p>
        </w:tc>
        <w:tc>
          <w:tcPr>
            <w:tcW w:w="1984" w:type="dxa"/>
            <w:vAlign w:val="center"/>
          </w:tcPr>
          <w:p>
            <w:pPr>
              <w:rPr>
                <w:color w:val="auto"/>
                <w:szCs w:val="21"/>
              </w:rPr>
            </w:pPr>
            <w:r>
              <w:rPr>
                <w:color w:val="auto"/>
                <w:szCs w:val="21"/>
              </w:rPr>
              <w:t>投标有效期</w:t>
            </w:r>
          </w:p>
        </w:tc>
        <w:tc>
          <w:tcPr>
            <w:tcW w:w="5409" w:type="dxa"/>
            <w:vAlign w:val="center"/>
          </w:tcPr>
          <w:p>
            <w:pPr>
              <w:rPr>
                <w:color w:val="auto"/>
                <w:szCs w:val="21"/>
              </w:rPr>
            </w:pPr>
            <w:r>
              <w:rPr>
                <w:color w:val="auto"/>
                <w:szCs w:val="21"/>
              </w:rPr>
              <w:t>满足招标文件规定。</w:t>
            </w:r>
          </w:p>
        </w:tc>
      </w:tr>
    </w:tbl>
    <w:p>
      <w:pPr>
        <w:spacing w:before="120" w:line="320" w:lineRule="atLeast"/>
        <w:ind w:firstLine="413" w:firstLineChars="196"/>
        <w:outlineLvl w:val="1"/>
        <w:rPr>
          <w:b/>
          <w:bCs/>
          <w:color w:val="auto"/>
          <w:kern w:val="0"/>
          <w:szCs w:val="21"/>
        </w:rPr>
      </w:pPr>
      <w:bookmarkStart w:id="46" w:name="_Hlk20388968"/>
      <w:r>
        <w:rPr>
          <w:b/>
          <w:bCs/>
          <w:color w:val="auto"/>
          <w:kern w:val="0"/>
          <w:szCs w:val="21"/>
        </w:rPr>
        <w:t>3</w:t>
      </w:r>
      <w:r>
        <w:rPr>
          <w:rFonts w:hint="eastAsia"/>
          <w:b/>
          <w:bCs/>
          <w:color w:val="auto"/>
          <w:kern w:val="0"/>
          <w:szCs w:val="21"/>
        </w:rPr>
        <w:t>、信息安全产品强制性采购要求：</w:t>
      </w:r>
    </w:p>
    <w:p>
      <w:pPr>
        <w:spacing w:before="120" w:line="276" w:lineRule="auto"/>
        <w:ind w:firstLine="420" w:firstLineChars="200"/>
        <w:rPr>
          <w:color w:val="auto"/>
          <w:szCs w:val="21"/>
        </w:rPr>
      </w:pPr>
      <w:r>
        <w:rPr>
          <w:color w:val="auto"/>
          <w:szCs w:val="21"/>
        </w:rPr>
        <w:t>本项目采购范围如果包括信息安全产品</w:t>
      </w:r>
      <w:r>
        <w:rPr>
          <w:rFonts w:hint="eastAsia"/>
          <w:color w:val="auto"/>
          <w:szCs w:val="21"/>
        </w:rPr>
        <w:t>，供应商提供的</w:t>
      </w:r>
      <w:r>
        <w:rPr>
          <w:color w:val="auto"/>
          <w:szCs w:val="21"/>
        </w:rPr>
        <w:t>信息安全产品应符合《关于信息安全产品实施政府采购的通知》（财库【2010】48号）要求。具体如下：</w:t>
      </w:r>
    </w:p>
    <w:p>
      <w:pPr>
        <w:spacing w:before="120" w:line="276" w:lineRule="auto"/>
        <w:ind w:firstLine="420" w:firstLineChars="200"/>
        <w:rPr>
          <w:color w:val="auto"/>
          <w:szCs w:val="21"/>
        </w:rPr>
      </w:pPr>
      <w:r>
        <w:rPr>
          <w:color w:val="auto"/>
          <w:szCs w:val="21"/>
        </w:rPr>
        <w:t>（1）使用财政性资金采购信息安全产品的，应当采购经国家认证的信息安全产品。</w:t>
      </w:r>
    </w:p>
    <w:p>
      <w:pPr>
        <w:spacing w:before="120" w:line="276" w:lineRule="auto"/>
        <w:ind w:firstLine="420" w:firstLineChars="200"/>
        <w:rPr>
          <w:color w:val="auto"/>
          <w:szCs w:val="21"/>
        </w:rPr>
      </w:pPr>
      <w:r>
        <w:rPr>
          <w:color w:val="auto"/>
          <w:szCs w:val="21"/>
        </w:rPr>
        <w:t>（2）中国网络安全审查技术与认证中心网站载明开展国家信息安全产品认证的产品范围共13种，包括：</w:t>
      </w:r>
      <w:r>
        <w:rPr>
          <w:color w:val="auto"/>
        </w:rPr>
        <w:fldChar w:fldCharType="begin"/>
      </w:r>
      <w:r>
        <w:rPr>
          <w:color w:val="auto"/>
        </w:rPr>
        <w:instrText xml:space="preserve"> HYPERLINK "http://www.isccc.gov.cn/zxyw/cprz/gjxxaqcprz/rzfw/11/341644.shtml" \t "_blank" </w:instrText>
      </w:r>
      <w:r>
        <w:rPr>
          <w:color w:val="auto"/>
        </w:rPr>
        <w:fldChar w:fldCharType="separate"/>
      </w:r>
      <w:r>
        <w:rPr>
          <w:color w:val="auto"/>
          <w:szCs w:val="21"/>
        </w:rPr>
        <w:t>防火墙</w:t>
      </w:r>
      <w:r>
        <w:rPr>
          <w:color w:val="auto"/>
          <w:szCs w:val="21"/>
        </w:rPr>
        <w:fldChar w:fldCharType="end"/>
      </w:r>
      <w:r>
        <w:rPr>
          <w:color w:val="auto"/>
          <w:szCs w:val="21"/>
        </w:rPr>
        <w:t>、网络安全隔离卡与线路选择器、</w:t>
      </w:r>
      <w:r>
        <w:rPr>
          <w:color w:val="auto"/>
        </w:rPr>
        <w:fldChar w:fldCharType="begin"/>
      </w:r>
      <w:r>
        <w:rPr>
          <w:color w:val="auto"/>
        </w:rPr>
        <w:instrText xml:space="preserve"> HYPERLINK "http://www.isccc.gov.cn/zxyw/cprz/gjxxaqcprz/rzfw/11/341642.shtml" \t "_blank" </w:instrText>
      </w:r>
      <w:r>
        <w:rPr>
          <w:color w:val="auto"/>
        </w:rPr>
        <w:fldChar w:fldCharType="separate"/>
      </w:r>
      <w:r>
        <w:rPr>
          <w:color w:val="auto"/>
          <w:szCs w:val="21"/>
        </w:rPr>
        <w:t>安全隔离与信息交换产品</w:t>
      </w:r>
      <w:r>
        <w:rPr>
          <w:color w:val="auto"/>
          <w:szCs w:val="21"/>
        </w:rPr>
        <w:fldChar w:fldCharType="end"/>
      </w:r>
      <w:r>
        <w:rPr>
          <w:color w:val="auto"/>
          <w:szCs w:val="21"/>
        </w:rPr>
        <w:t>、安全路由器、智能卡COS、数据备份与恢复产品、安全操作系统、安全数据库系统、反垃圾邮件产品、入侵检测系统（IDS）、网络脆弱扫描产品、安全审计产品、网站恢复产品。</w:t>
      </w:r>
    </w:p>
    <w:p>
      <w:pPr>
        <w:spacing w:before="120" w:line="276" w:lineRule="auto"/>
        <w:ind w:firstLine="420" w:firstLineChars="200"/>
        <w:rPr>
          <w:b/>
          <w:bCs/>
          <w:color w:val="auto"/>
        </w:rPr>
      </w:pPr>
      <w:r>
        <w:rPr>
          <w:color w:val="auto"/>
          <w:szCs w:val="21"/>
        </w:rPr>
        <w:t>（3）供应商所提供产品属于以上13种信息安全产品的，</w:t>
      </w:r>
      <w:r>
        <w:rPr>
          <w:rFonts w:hint="eastAsia"/>
          <w:color w:val="auto"/>
          <w:szCs w:val="21"/>
        </w:rPr>
        <w:t>供应商在投标文件中列明属于</w:t>
      </w:r>
      <w:r>
        <w:rPr>
          <w:color w:val="auto"/>
          <w:szCs w:val="21"/>
        </w:rPr>
        <w:t>信息安全产品</w:t>
      </w:r>
      <w:r>
        <w:rPr>
          <w:rFonts w:hint="eastAsia"/>
          <w:color w:val="auto"/>
          <w:szCs w:val="21"/>
        </w:rPr>
        <w:t>的投标产品。</w:t>
      </w:r>
      <w:r>
        <w:rPr>
          <w:color w:val="auto"/>
        </w:rPr>
        <w:t>采购人或采购代理机构通过“中国网络安全审查技术与认证中心”进行查询</w:t>
      </w:r>
      <w:r>
        <w:rPr>
          <w:rFonts w:hint="eastAsia"/>
          <w:color w:val="auto"/>
        </w:rPr>
        <w:t>其有效认证证书，无证书或证书无效的，投标无效。</w:t>
      </w:r>
      <w:bookmarkEnd w:id="46"/>
    </w:p>
    <w:p>
      <w:pPr>
        <w:spacing w:before="120" w:line="320" w:lineRule="atLeast"/>
        <w:ind w:firstLine="413" w:firstLineChars="196"/>
        <w:outlineLvl w:val="1"/>
        <w:rPr>
          <w:b/>
          <w:bCs/>
          <w:color w:val="auto"/>
          <w:kern w:val="0"/>
          <w:szCs w:val="21"/>
        </w:rPr>
      </w:pPr>
      <w:r>
        <w:rPr>
          <w:b/>
          <w:bCs/>
          <w:color w:val="auto"/>
          <w:kern w:val="0"/>
          <w:szCs w:val="21"/>
        </w:rPr>
        <w:t>4、串通投标的认定</w:t>
      </w:r>
    </w:p>
    <w:p>
      <w:pPr>
        <w:spacing w:before="120" w:line="320" w:lineRule="atLeast"/>
        <w:ind w:firstLine="420" w:firstLineChars="200"/>
        <w:rPr>
          <w:color w:val="auto"/>
        </w:rPr>
      </w:pPr>
      <w:r>
        <w:rPr>
          <w:color w:val="auto"/>
        </w:rPr>
        <w:t>评标委员会须根据</w:t>
      </w:r>
      <w:r>
        <w:rPr>
          <w:rFonts w:hint="eastAsia"/>
          <w:color w:val="auto"/>
        </w:rPr>
        <w:t>以下</w:t>
      </w:r>
      <w:r>
        <w:rPr>
          <w:color w:val="auto"/>
        </w:rPr>
        <w:t>规定评审</w:t>
      </w:r>
      <w:r>
        <w:rPr>
          <w:bCs/>
          <w:color w:val="auto"/>
          <w:kern w:val="0"/>
          <w:szCs w:val="21"/>
        </w:rPr>
        <w:t>供应商是否有串通投标的行为，并按规定判定投标是否有效</w:t>
      </w:r>
      <w:r>
        <w:rPr>
          <w:color w:val="auto"/>
        </w:rPr>
        <w:t>。</w:t>
      </w:r>
    </w:p>
    <w:p>
      <w:pPr>
        <w:spacing w:before="120" w:line="320" w:lineRule="atLeast"/>
        <w:ind w:firstLine="420" w:firstLineChars="200"/>
        <w:rPr>
          <w:color w:val="auto"/>
          <w:szCs w:val="21"/>
        </w:rPr>
      </w:pPr>
      <w:r>
        <w:rPr>
          <w:rFonts w:hint="eastAsia"/>
          <w:color w:val="auto"/>
          <w:szCs w:val="21"/>
        </w:rPr>
        <w:t>（1）</w:t>
      </w:r>
      <w:r>
        <w:rPr>
          <w:color w:val="auto"/>
          <w:szCs w:val="21"/>
        </w:rPr>
        <w:t>根据桂财采[2016]42号《关于防治政府采购招标中串通投标行为的通知》规定，出现下述情况的，相关供应商的投标作无效投标处理。</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p>
      <w:pPr>
        <w:spacing w:before="120" w:line="320" w:lineRule="atLeast"/>
        <w:ind w:firstLine="420" w:firstLineChars="200"/>
        <w:rPr>
          <w:color w:val="auto"/>
          <w:szCs w:val="21"/>
        </w:rPr>
      </w:pPr>
      <w:r>
        <w:rPr>
          <w:rFonts w:hint="eastAsia"/>
          <w:color w:val="auto"/>
          <w:szCs w:val="21"/>
        </w:rPr>
        <w:t>（2）</w:t>
      </w:r>
      <w:r>
        <w:rPr>
          <w:color w:val="auto"/>
          <w:szCs w:val="21"/>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不同供应商的投标文件由同一单位或者个人编制；或不同供应商报名的IP地址一致的；</w:t>
      </w:r>
    </w:p>
    <w:p>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p>
      <w:pPr>
        <w:spacing w:before="120" w:line="320" w:lineRule="atLeast"/>
        <w:ind w:firstLine="420" w:firstLineChars="200"/>
        <w:rPr>
          <w:color w:val="auto"/>
          <w:szCs w:val="21"/>
        </w:rPr>
      </w:pPr>
      <w:r>
        <w:rPr>
          <w:rFonts w:hint="eastAsia"/>
          <w:color w:val="auto"/>
          <w:szCs w:val="21"/>
        </w:rPr>
        <w:t>（3）</w:t>
      </w:r>
      <w:r>
        <w:rPr>
          <w:color w:val="auto"/>
          <w:szCs w:val="21"/>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color w:val="auto"/>
          <w:szCs w:val="21"/>
        </w:rPr>
      </w:pPr>
      <w:r>
        <w:rPr>
          <w:rFonts w:hint="eastAsia"/>
          <w:color w:val="auto"/>
          <w:szCs w:val="21"/>
        </w:rPr>
        <w:t>①</w:t>
      </w:r>
      <w:r>
        <w:rPr>
          <w:color w:val="auto"/>
          <w:szCs w:val="21"/>
        </w:rPr>
        <w:t>供应商直接或者间接从采购人或者采购代理机构处获得其他供应商的相关信息并修改其投标文件或者响应文件；</w:t>
      </w:r>
    </w:p>
    <w:p>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供应商按照采购人或者采购代理机构的授意撤换、修改投标文件或者响应文件;；</w:t>
      </w:r>
    </w:p>
    <w:p>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供应商之间协商报价、技术方案等投标文件或者响应文件的实质性内容；</w:t>
      </w:r>
    </w:p>
    <w:p>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pPr>
        <w:spacing w:before="120" w:line="320" w:lineRule="atLeast"/>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p>
      <w:pPr>
        <w:spacing w:before="120" w:line="320" w:lineRule="atLeast"/>
        <w:ind w:firstLine="413" w:firstLineChars="196"/>
        <w:outlineLvl w:val="1"/>
        <w:rPr>
          <w:b/>
          <w:bCs/>
          <w:color w:val="auto"/>
          <w:kern w:val="0"/>
          <w:szCs w:val="21"/>
        </w:rPr>
      </w:pPr>
      <w:r>
        <w:rPr>
          <w:b/>
          <w:bCs/>
          <w:color w:val="auto"/>
          <w:kern w:val="0"/>
          <w:szCs w:val="21"/>
        </w:rPr>
        <w:t>5、投标有效性的认定</w:t>
      </w:r>
    </w:p>
    <w:p>
      <w:pPr>
        <w:spacing w:before="120" w:line="320" w:lineRule="atLeast"/>
        <w:ind w:firstLine="420" w:firstLineChars="200"/>
        <w:rPr>
          <w:color w:val="auto"/>
          <w:szCs w:val="21"/>
        </w:rPr>
      </w:pPr>
      <w:r>
        <w:rPr>
          <w:rFonts w:hint="eastAsia"/>
          <w:color w:val="auto"/>
          <w:szCs w:val="21"/>
        </w:rPr>
        <w:t>（</w:t>
      </w:r>
      <w:r>
        <w:rPr>
          <w:color w:val="auto"/>
          <w:szCs w:val="21"/>
        </w:rPr>
        <w:t>1）资格审查时，如发现下列情形之一的，投标文件将被视为无效：</w:t>
      </w:r>
    </w:p>
    <w:p>
      <w:pPr>
        <w:spacing w:before="120" w:line="320" w:lineRule="atLeast"/>
        <w:ind w:firstLine="420" w:firstLineChars="200"/>
        <w:rPr>
          <w:rStyle w:val="132"/>
          <w:color w:val="auto"/>
        </w:rPr>
      </w:pPr>
      <w:r>
        <w:rPr>
          <w:rFonts w:hint="eastAsia"/>
          <w:color w:val="auto"/>
          <w:szCs w:val="21"/>
        </w:rPr>
        <w:t>①</w:t>
      </w:r>
      <w:r>
        <w:rPr>
          <w:color w:val="auto"/>
        </w:rPr>
        <w:t>未按照招标文件的规定提交投标保证金的；</w:t>
      </w:r>
    </w:p>
    <w:p>
      <w:pPr>
        <w:spacing w:before="120" w:line="320" w:lineRule="atLeast"/>
        <w:ind w:firstLine="420" w:firstLineChars="200"/>
        <w:rPr>
          <w:color w:val="auto"/>
        </w:rPr>
      </w:pPr>
      <w:r>
        <w:rPr>
          <w:rFonts w:hint="eastAsia"/>
          <w:color w:val="auto"/>
          <w:szCs w:val="21"/>
        </w:rPr>
        <w:t>②</w:t>
      </w:r>
      <w:r>
        <w:rPr>
          <w:color w:val="auto"/>
        </w:rPr>
        <w:t>不具备招标文件中规定的资格要求的；</w:t>
      </w:r>
    </w:p>
    <w:p>
      <w:pPr>
        <w:spacing w:before="120" w:line="320" w:lineRule="atLeast"/>
        <w:ind w:firstLine="420" w:firstLineChars="200"/>
        <w:rPr>
          <w:rStyle w:val="132"/>
          <w:color w:val="auto"/>
          <w:szCs w:val="21"/>
        </w:rPr>
      </w:pPr>
      <w:r>
        <w:rPr>
          <w:rFonts w:hint="eastAsia"/>
          <w:color w:val="auto"/>
          <w:szCs w:val="21"/>
        </w:rPr>
        <w:t>③</w:t>
      </w:r>
      <w:r>
        <w:rPr>
          <w:color w:val="auto"/>
          <w:szCs w:val="21"/>
        </w:rPr>
        <w:t>投标文件签</w:t>
      </w:r>
      <w:r>
        <w:rPr>
          <w:rFonts w:hint="eastAsia"/>
          <w:color w:val="auto"/>
          <w:szCs w:val="21"/>
        </w:rPr>
        <w:t>署（签</w:t>
      </w:r>
      <w:r>
        <w:rPr>
          <w:color w:val="auto"/>
          <w:szCs w:val="21"/>
        </w:rPr>
        <w:t>名</w:t>
      </w:r>
      <w:r>
        <w:rPr>
          <w:rFonts w:hint="eastAsia"/>
          <w:color w:val="auto"/>
          <w:szCs w:val="21"/>
        </w:rPr>
        <w:t>）</w:t>
      </w:r>
      <w:r>
        <w:rPr>
          <w:color w:val="auto"/>
          <w:szCs w:val="21"/>
        </w:rPr>
        <w:t>、盖章不符合招标文件要求的</w:t>
      </w:r>
      <w:r>
        <w:rPr>
          <w:rFonts w:hint="eastAsia"/>
          <w:color w:val="auto"/>
          <w:szCs w:val="21"/>
        </w:rPr>
        <w:t>；</w:t>
      </w:r>
    </w:p>
    <w:p>
      <w:pPr>
        <w:spacing w:before="120" w:line="320" w:lineRule="atLeast"/>
        <w:ind w:firstLine="420" w:firstLineChars="200"/>
        <w:rPr>
          <w:color w:val="auto"/>
          <w:szCs w:val="21"/>
        </w:rPr>
      </w:pPr>
      <w:r>
        <w:rPr>
          <w:rFonts w:hint="eastAsia"/>
          <w:color w:val="auto"/>
          <w:szCs w:val="21"/>
        </w:rPr>
        <w:t>（2</w:t>
      </w:r>
      <w:r>
        <w:rPr>
          <w:color w:val="auto"/>
          <w:szCs w:val="21"/>
        </w:rPr>
        <w:t>）在符合性审查、商务和技术评估时，如发现下列情形之一的，投标文件将被视为无效：</w:t>
      </w:r>
    </w:p>
    <w:p>
      <w:pPr>
        <w:spacing w:before="120" w:line="320" w:lineRule="atLeast"/>
        <w:ind w:firstLine="420" w:firstLineChars="200"/>
        <w:rPr>
          <w:color w:val="auto"/>
        </w:rPr>
      </w:pPr>
      <w:r>
        <w:rPr>
          <w:rFonts w:hint="eastAsia"/>
          <w:color w:val="auto"/>
          <w:szCs w:val="21"/>
        </w:rPr>
        <w:t>①</w:t>
      </w:r>
      <w:r>
        <w:rPr>
          <w:color w:val="auto"/>
        </w:rPr>
        <w:t>投标文件未按招标文件要求签署、盖章的；</w:t>
      </w:r>
    </w:p>
    <w:p>
      <w:pPr>
        <w:spacing w:before="120" w:line="320" w:lineRule="atLeast"/>
        <w:ind w:firstLine="420" w:firstLineChars="200"/>
        <w:rPr>
          <w:rStyle w:val="132"/>
          <w:color w:val="auto"/>
        </w:rPr>
      </w:pPr>
      <w:r>
        <w:rPr>
          <w:rFonts w:hint="eastAsia"/>
          <w:color w:val="auto"/>
          <w:szCs w:val="21"/>
        </w:rPr>
        <w:t>②</w:t>
      </w:r>
      <w:r>
        <w:rPr>
          <w:color w:val="auto"/>
        </w:rPr>
        <w:t>投标文件未按招标文件要求</w:t>
      </w:r>
      <w:r>
        <w:rPr>
          <w:rFonts w:hint="eastAsia"/>
          <w:color w:val="auto"/>
        </w:rPr>
        <w:t>提供第六章要求“必须提供”的内容</w:t>
      </w:r>
      <w:r>
        <w:rPr>
          <w:color w:val="auto"/>
        </w:rPr>
        <w:t>的；</w:t>
      </w:r>
    </w:p>
    <w:p>
      <w:pPr>
        <w:spacing w:before="120" w:line="320" w:lineRule="atLeast"/>
        <w:ind w:firstLine="420" w:firstLineChars="200"/>
        <w:rPr>
          <w:rStyle w:val="132"/>
          <w:color w:val="auto"/>
        </w:rPr>
      </w:pPr>
      <w:r>
        <w:rPr>
          <w:rFonts w:hint="eastAsia"/>
          <w:color w:val="auto"/>
          <w:szCs w:val="21"/>
        </w:rPr>
        <w:t>③</w:t>
      </w:r>
      <w:r>
        <w:rPr>
          <w:color w:val="auto"/>
        </w:rPr>
        <w:t>报价超过招标文件中规定的预算金额或者最高限价的；</w:t>
      </w:r>
    </w:p>
    <w:p>
      <w:pPr>
        <w:spacing w:before="120" w:line="320" w:lineRule="atLeast"/>
        <w:ind w:firstLine="420" w:firstLineChars="200"/>
        <w:rPr>
          <w:color w:val="auto"/>
        </w:rPr>
      </w:pPr>
      <w:r>
        <w:rPr>
          <w:rFonts w:hint="eastAsia"/>
          <w:color w:val="auto"/>
          <w:szCs w:val="21"/>
        </w:rPr>
        <w:t>④</w:t>
      </w:r>
      <w:r>
        <w:rPr>
          <w:color w:val="auto"/>
        </w:rPr>
        <w:t>投标文件含有采购人不能接受的附加条件的</w:t>
      </w:r>
      <w:r>
        <w:rPr>
          <w:rFonts w:hint="eastAsia"/>
          <w:color w:val="auto"/>
        </w:rPr>
        <w:t>；</w:t>
      </w:r>
    </w:p>
    <w:p>
      <w:pPr>
        <w:spacing w:before="120" w:line="320" w:lineRule="atLeast"/>
        <w:ind w:firstLine="420" w:firstLineChars="200"/>
        <w:rPr>
          <w:color w:val="auto"/>
          <w:szCs w:val="21"/>
        </w:rPr>
      </w:pPr>
      <w:r>
        <w:rPr>
          <w:rFonts w:hint="eastAsia"/>
          <w:color w:val="auto"/>
          <w:szCs w:val="21"/>
        </w:rPr>
        <w:t>⑤评审过程中发现投标文件中提供虚假材料的；</w:t>
      </w:r>
    </w:p>
    <w:p>
      <w:pPr>
        <w:spacing w:before="120" w:line="320" w:lineRule="atLeast"/>
        <w:ind w:firstLine="420" w:firstLineChars="200"/>
        <w:rPr>
          <w:color w:val="auto"/>
          <w:szCs w:val="21"/>
        </w:rPr>
      </w:pPr>
      <w:r>
        <w:rPr>
          <w:rFonts w:hint="eastAsia" w:ascii="宋体" w:hAnsi="宋体"/>
          <w:color w:val="auto"/>
          <w:szCs w:val="21"/>
        </w:rPr>
        <w:t>⑥</w:t>
      </w:r>
      <w:r>
        <w:rPr>
          <w:color w:val="auto"/>
          <w:szCs w:val="21"/>
        </w:rPr>
        <w:t>法律、法规和招标文件规定的其他无效情形。</w:t>
      </w:r>
    </w:p>
    <w:p>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）根据</w:t>
      </w:r>
      <w:r>
        <w:rPr>
          <w:color w:val="auto"/>
          <w:szCs w:val="21"/>
        </w:rPr>
        <w:t>财库〔2019〕38号</w:t>
      </w:r>
      <w:r>
        <w:rPr>
          <w:rFonts w:hint="eastAsia"/>
          <w:color w:val="auto"/>
          <w:szCs w:val="21"/>
        </w:rPr>
        <w:t>《</w:t>
      </w:r>
      <w:r>
        <w:rPr>
          <w:color w:val="auto"/>
          <w:szCs w:val="21"/>
        </w:rPr>
        <w:t>关于促进政府采购公平竞争优化营商环境的通知</w:t>
      </w:r>
      <w:r>
        <w:rPr>
          <w:rFonts w:hint="eastAsia"/>
          <w:color w:val="auto"/>
          <w:szCs w:val="21"/>
        </w:rPr>
        <w:t>》以及桂财采〔2019〕41号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pacing w:before="120" w:line="320" w:lineRule="atLeast"/>
        <w:ind w:firstLine="413" w:firstLineChars="196"/>
        <w:outlineLvl w:val="1"/>
        <w:rPr>
          <w:b/>
          <w:bCs/>
          <w:color w:val="auto"/>
          <w:kern w:val="0"/>
          <w:szCs w:val="21"/>
        </w:rPr>
      </w:pPr>
      <w:r>
        <w:rPr>
          <w:b/>
          <w:bCs/>
          <w:color w:val="auto"/>
          <w:kern w:val="0"/>
          <w:szCs w:val="21"/>
        </w:rPr>
        <w:t>6、澄清、说明或补正</w:t>
      </w:r>
    </w:p>
    <w:p>
      <w:pPr>
        <w:adjustRightInd w:val="0"/>
        <w:snapToGrid w:val="0"/>
        <w:spacing w:line="360" w:lineRule="auto"/>
        <w:ind w:firstLine="420" w:firstLineChars="200"/>
        <w:jc w:val="left"/>
        <w:rPr>
          <w:color w:val="auto"/>
          <w:szCs w:val="21"/>
        </w:rPr>
      </w:pPr>
      <w:r>
        <w:rPr>
          <w:color w:val="auto"/>
          <w:szCs w:val="21"/>
        </w:rPr>
        <w:t>对投标文件中含义不明确、同类问题表述不一致或者有明显文字和计算错误的内容，</w:t>
      </w:r>
      <w:r>
        <w:rPr>
          <w:rFonts w:hint="eastAsia"/>
          <w:color w:val="auto"/>
          <w:szCs w:val="21"/>
        </w:rPr>
        <w:t>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p>
      <w:pPr>
        <w:spacing w:before="120" w:line="320" w:lineRule="atLeast"/>
        <w:ind w:firstLine="422" w:firstLineChars="200"/>
        <w:rPr>
          <w:b/>
          <w:bCs/>
          <w:color w:val="auto"/>
          <w:kern w:val="0"/>
          <w:szCs w:val="21"/>
        </w:rPr>
      </w:pPr>
      <w:r>
        <w:rPr>
          <w:b/>
          <w:bCs/>
          <w:color w:val="auto"/>
          <w:kern w:val="0"/>
          <w:szCs w:val="21"/>
        </w:rPr>
        <w:t>7</w:t>
      </w:r>
      <w:r>
        <w:rPr>
          <w:rFonts w:hint="eastAsia"/>
          <w:b/>
          <w:bCs/>
          <w:color w:val="auto"/>
          <w:kern w:val="0"/>
          <w:szCs w:val="21"/>
        </w:rPr>
        <w:t>、报价</w:t>
      </w:r>
      <w:r>
        <w:rPr>
          <w:b/>
          <w:bCs/>
          <w:color w:val="auto"/>
          <w:kern w:val="0"/>
          <w:szCs w:val="21"/>
        </w:rPr>
        <w:t>修正</w:t>
      </w:r>
    </w:p>
    <w:p>
      <w:pPr>
        <w:spacing w:before="120" w:line="320" w:lineRule="atLeast"/>
        <w:ind w:firstLine="420" w:firstLineChars="200"/>
        <w:rPr>
          <w:color w:val="auto"/>
          <w:szCs w:val="21"/>
        </w:rPr>
      </w:pPr>
      <w:r>
        <w:rPr>
          <w:color w:val="auto"/>
          <w:szCs w:val="21"/>
        </w:rPr>
        <w:t>投标文件</w:t>
      </w:r>
      <w:r>
        <w:rPr>
          <w:rFonts w:hint="eastAsia"/>
          <w:color w:val="auto"/>
          <w:szCs w:val="21"/>
        </w:rPr>
        <w:t>报价</w:t>
      </w:r>
      <w:r>
        <w:rPr>
          <w:color w:val="auto"/>
          <w:szCs w:val="21"/>
        </w:rPr>
        <w:t>如果出现计算或表达上的错误，修正错误的原则如下：</w:t>
      </w:r>
    </w:p>
    <w:p>
      <w:pPr>
        <w:spacing w:before="120" w:line="320" w:lineRule="atLeast"/>
        <w:ind w:firstLine="420" w:firstLineChars="200"/>
        <w:rPr>
          <w:color w:val="auto"/>
          <w:szCs w:val="21"/>
        </w:rPr>
      </w:pPr>
      <w:r>
        <w:rPr>
          <w:color w:val="auto"/>
          <w:szCs w:val="21"/>
        </w:rPr>
        <w:t>（1）投标文件中开标一览表（报价表）内容与投标文件中相应内容不一致的，以开标一览表（报价表）为准；</w:t>
      </w:r>
    </w:p>
    <w:p>
      <w:pPr>
        <w:spacing w:before="120" w:line="320" w:lineRule="atLeast"/>
        <w:ind w:firstLine="420" w:firstLineChars="200"/>
        <w:rPr>
          <w:color w:val="auto"/>
          <w:szCs w:val="21"/>
        </w:rPr>
      </w:pPr>
      <w:r>
        <w:rPr>
          <w:color w:val="auto"/>
          <w:szCs w:val="21"/>
        </w:rPr>
        <w:t>（2）大写金额和小写金额不一致的，以大写金额为准；</w:t>
      </w:r>
    </w:p>
    <w:p>
      <w:pPr>
        <w:spacing w:before="120" w:line="320" w:lineRule="atLeast"/>
        <w:ind w:firstLine="420" w:firstLineChars="200"/>
        <w:rPr>
          <w:color w:val="auto"/>
          <w:szCs w:val="21"/>
        </w:rPr>
      </w:pPr>
      <w:r>
        <w:rPr>
          <w:color w:val="auto"/>
          <w:szCs w:val="21"/>
        </w:rPr>
        <w:t>（3）单价金额小数点或者百分比有明显错位的，以开标一览表的总价为准，并修改单价；</w:t>
      </w:r>
    </w:p>
    <w:p>
      <w:pPr>
        <w:spacing w:before="120" w:line="320" w:lineRule="atLeast"/>
        <w:ind w:firstLine="420" w:firstLineChars="200"/>
        <w:rPr>
          <w:color w:val="auto"/>
          <w:szCs w:val="21"/>
        </w:rPr>
      </w:pPr>
      <w:r>
        <w:rPr>
          <w:color w:val="auto"/>
          <w:szCs w:val="21"/>
        </w:rPr>
        <w:t>（4）总价金额与按单价汇总金额不一致的，以单价金额计算结果为准</w:t>
      </w:r>
      <w:r>
        <w:rPr>
          <w:rFonts w:hint="eastAsia"/>
          <w:color w:val="auto"/>
          <w:szCs w:val="21"/>
        </w:rPr>
        <w:t>。</w:t>
      </w:r>
    </w:p>
    <w:p>
      <w:pPr>
        <w:spacing w:before="120" w:line="320" w:lineRule="atLeast"/>
        <w:ind w:firstLine="420" w:firstLineChars="200"/>
        <w:rPr>
          <w:color w:val="auto"/>
          <w:szCs w:val="21"/>
        </w:rPr>
      </w:pPr>
      <w:r>
        <w:rPr>
          <w:rFonts w:hint="eastAsia"/>
          <w:color w:val="auto"/>
          <w:szCs w:val="21"/>
        </w:rPr>
        <w:t>同时出现两种以上不一致的，按照上述顺序修正。修正后的报价按照上述“</w:t>
      </w:r>
      <w:r>
        <w:rPr>
          <w:color w:val="auto"/>
          <w:szCs w:val="21"/>
        </w:rPr>
        <w:t>6</w:t>
      </w:r>
      <w:r>
        <w:rPr>
          <w:rFonts w:hint="eastAsia"/>
          <w:color w:val="auto"/>
          <w:szCs w:val="21"/>
        </w:rPr>
        <w:t>、澄清、说明或补正”的规定经供应商确认后产生约束力，供应商不确认的，其投标无效。</w:t>
      </w:r>
    </w:p>
    <w:p>
      <w:pPr>
        <w:spacing w:before="120" w:line="320" w:lineRule="atLeast"/>
        <w:ind w:firstLine="413" w:firstLineChars="196"/>
        <w:outlineLvl w:val="1"/>
        <w:rPr>
          <w:b/>
          <w:bCs/>
          <w:color w:val="auto"/>
          <w:kern w:val="0"/>
          <w:szCs w:val="21"/>
        </w:rPr>
      </w:pPr>
      <w:r>
        <w:rPr>
          <w:b/>
          <w:bCs/>
          <w:color w:val="auto"/>
          <w:kern w:val="0"/>
          <w:szCs w:val="21"/>
        </w:rPr>
        <w:t>8、过低报价合理性的审查</w:t>
      </w:r>
    </w:p>
    <w:p>
      <w:pPr>
        <w:spacing w:before="120" w:line="320" w:lineRule="atLeast"/>
        <w:ind w:firstLine="420" w:firstLineChars="200"/>
        <w:rPr>
          <w:color w:val="auto"/>
          <w:szCs w:val="21"/>
        </w:rPr>
      </w:pPr>
      <w:r>
        <w:rPr>
          <w:color w:val="auto"/>
          <w:szCs w:val="21"/>
        </w:rPr>
        <w:t>评标委员会认为供应商的报价明显低于其他通过符合性审查供应商的报价，有可能影响产品质量或者不能诚信履约的，应当要求其在合理的时间内提供书面说明并提交相关证明材料；</w:t>
      </w:r>
      <w:r>
        <w:rPr>
          <w:rFonts w:hint="eastAsia"/>
          <w:color w:val="auto"/>
          <w:szCs w:val="21"/>
        </w:rPr>
        <w:t>评标委员会可以要求</w:t>
      </w:r>
      <w:r>
        <w:rPr>
          <w:color w:val="auto"/>
          <w:szCs w:val="21"/>
        </w:rPr>
        <w:t>供应商就提供</w:t>
      </w:r>
      <w:r>
        <w:rPr>
          <w:rFonts w:hint="eastAsia"/>
          <w:color w:val="auto"/>
          <w:szCs w:val="21"/>
        </w:rPr>
        <w:t>服务</w:t>
      </w:r>
      <w:r>
        <w:rPr>
          <w:color w:val="auto"/>
          <w:szCs w:val="21"/>
        </w:rPr>
        <w:t>的主营业务成本、销售费用、管理费用、财务费用、履约费用、计划利润、税金及附加等成本构成事项</w:t>
      </w:r>
      <w:r>
        <w:rPr>
          <w:rFonts w:hint="eastAsia"/>
          <w:color w:val="auto"/>
          <w:szCs w:val="21"/>
        </w:rPr>
        <w:t>进行</w:t>
      </w:r>
      <w:r>
        <w:rPr>
          <w:color w:val="auto"/>
          <w:szCs w:val="21"/>
        </w:rPr>
        <w:t>详细陈述。</w:t>
      </w:r>
      <w:bookmarkStart w:id="47" w:name="_Hlk19193005"/>
      <w:r>
        <w:rPr>
          <w:color w:val="auto"/>
          <w:szCs w:val="21"/>
        </w:rPr>
        <w:t>书面说明应当</w:t>
      </w:r>
      <w:r>
        <w:rPr>
          <w:rFonts w:hint="eastAsia"/>
          <w:color w:val="auto"/>
          <w:szCs w:val="21"/>
        </w:rPr>
        <w:t>按照上述“</w:t>
      </w:r>
      <w:r>
        <w:rPr>
          <w:color w:val="auto"/>
          <w:szCs w:val="21"/>
        </w:rPr>
        <w:t>6</w:t>
      </w:r>
      <w:r>
        <w:rPr>
          <w:rFonts w:hint="eastAsia"/>
          <w:color w:val="auto"/>
          <w:szCs w:val="21"/>
        </w:rPr>
        <w:t>、澄清、说明或补正”的规定经供应商确认后提交给评标委员会。</w:t>
      </w:r>
      <w:bookmarkEnd w:id="47"/>
      <w:r>
        <w:rPr>
          <w:color w:val="auto"/>
          <w:szCs w:val="21"/>
        </w:rPr>
        <w:t>供应商</w:t>
      </w:r>
      <w:r>
        <w:rPr>
          <w:rFonts w:hint="eastAsia"/>
          <w:color w:val="auto"/>
          <w:szCs w:val="21"/>
        </w:rPr>
        <w:t>未按规定提供说明或</w:t>
      </w:r>
      <w:r>
        <w:rPr>
          <w:color w:val="auto"/>
          <w:szCs w:val="21"/>
        </w:rPr>
        <w:t>不能证明其报价合理性的，评标委员会应当将其作为无效投标处理。</w:t>
      </w:r>
    </w:p>
    <w:p>
      <w:pPr>
        <w:spacing w:before="120" w:line="320" w:lineRule="atLeast"/>
        <w:ind w:firstLine="420" w:firstLineChars="200"/>
        <w:rPr>
          <w:color w:val="auto"/>
          <w:szCs w:val="21"/>
        </w:rPr>
      </w:pPr>
      <w:r>
        <w:rPr>
          <w:color w:val="auto"/>
          <w:szCs w:val="21"/>
        </w:rPr>
        <w:t>报价合理性书面说明</w:t>
      </w:r>
      <w:r>
        <w:rPr>
          <w:rFonts w:hint="eastAsia"/>
          <w:color w:val="auto"/>
          <w:szCs w:val="21"/>
        </w:rPr>
        <w:t>应当有</w:t>
      </w:r>
      <w:r>
        <w:rPr>
          <w:color w:val="auto"/>
          <w:szCs w:val="21"/>
        </w:rP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13" w:firstLineChars="196"/>
        <w:outlineLvl w:val="1"/>
        <w:rPr>
          <w:b/>
          <w:bCs/>
          <w:color w:val="auto"/>
          <w:kern w:val="0"/>
          <w:szCs w:val="21"/>
        </w:rPr>
      </w:pPr>
      <w:r>
        <w:rPr>
          <w:b/>
          <w:bCs/>
          <w:color w:val="auto"/>
          <w:kern w:val="0"/>
          <w:szCs w:val="21"/>
        </w:rPr>
        <w:t>9、商务和技术评估、综合比较与评价</w:t>
      </w:r>
    </w:p>
    <w:p>
      <w:pPr>
        <w:spacing w:before="120" w:line="320" w:lineRule="atLeast"/>
        <w:ind w:firstLine="420" w:firstLineChars="200"/>
        <w:rPr>
          <w:color w:val="auto"/>
          <w:szCs w:val="21"/>
        </w:rPr>
      </w:pPr>
      <w:bookmarkStart w:id="48" w:name="_Hlk19093256"/>
      <w:r>
        <w:rPr>
          <w:rFonts w:hint="eastAsia"/>
          <w:color w:val="auto"/>
          <w:szCs w:val="21"/>
        </w:rPr>
        <w:t>评标委员会</w:t>
      </w:r>
      <w:r>
        <w:rPr>
          <w:color w:val="auto"/>
          <w:szCs w:val="21"/>
        </w:rPr>
        <w:t>按招标文件中规定的评标方法和标准，对资格审查和符合性审查合格的投标文件进行商务和技术评估，综合比较与评价。</w:t>
      </w:r>
      <w:r>
        <w:rPr>
          <w:rStyle w:val="132"/>
          <w:rFonts w:hint="eastAsia"/>
          <w:color w:val="auto"/>
        </w:rPr>
        <w:t>具体评标标准见《</w:t>
      </w:r>
      <w:r>
        <w:rPr>
          <w:bCs/>
          <w:color w:val="auto"/>
          <w:kern w:val="0"/>
          <w:szCs w:val="21"/>
        </w:rPr>
        <w:t>评分表</w:t>
      </w:r>
      <w:r>
        <w:rPr>
          <w:rStyle w:val="132"/>
          <w:rFonts w:hint="eastAsia"/>
          <w:color w:val="auto"/>
        </w:rPr>
        <w:t>》。</w:t>
      </w:r>
    </w:p>
    <w:p>
      <w:pPr>
        <w:spacing w:before="120" w:line="320" w:lineRule="atLeast"/>
        <w:ind w:firstLine="420" w:firstLineChars="200"/>
        <w:rPr>
          <w:color w:val="auto"/>
          <w:szCs w:val="21"/>
        </w:rPr>
      </w:pPr>
      <w:r>
        <w:rPr>
          <w:color w:val="auto"/>
          <w:szCs w:val="21"/>
        </w:rPr>
        <w:t>评标委员会各成员独立对每个有效供应商的投标文件进行评价、打分，然后由评标组长组织评标委员会对各成员打分情况进行核查及复核，</w:t>
      </w:r>
      <w:r>
        <w:rPr>
          <w:rFonts w:hint="eastAsia"/>
          <w:color w:val="auto"/>
          <w:szCs w:val="21"/>
        </w:rPr>
        <w:t>评</w:t>
      </w:r>
      <w:r>
        <w:rPr>
          <w:color w:val="auto"/>
          <w:szCs w:val="21"/>
        </w:rPr>
        <w:t>分有误的，应及时进行修正。评标标准如有主客观分定义，评标委员会所有成员的客观分打分分数应当一致。</w:t>
      </w:r>
    </w:p>
    <w:p>
      <w:pPr>
        <w:spacing w:before="120" w:line="320" w:lineRule="atLeast"/>
        <w:ind w:firstLine="420" w:firstLineChars="200"/>
        <w:rPr>
          <w:color w:val="auto"/>
        </w:rPr>
      </w:pPr>
      <w:r>
        <w:rPr>
          <w:color w:val="auto"/>
          <w:szCs w:val="21"/>
        </w:rPr>
        <w:t>复核后，评标委员会汇总每个供应商每项评分因素的得分。</w:t>
      </w:r>
      <w:r>
        <w:rPr>
          <w:color w:val="auto"/>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bookmarkEnd w:id="48"/>
    </w:p>
    <w:p>
      <w:pPr>
        <w:spacing w:before="120" w:line="320" w:lineRule="atLeast"/>
        <w:ind w:firstLine="413" w:firstLineChars="196"/>
        <w:outlineLvl w:val="1"/>
        <w:rPr>
          <w:b/>
          <w:bCs/>
          <w:color w:val="auto"/>
          <w:kern w:val="0"/>
          <w:szCs w:val="21"/>
        </w:rPr>
      </w:pPr>
      <w:r>
        <w:rPr>
          <w:b/>
          <w:bCs/>
          <w:color w:val="auto"/>
          <w:kern w:val="0"/>
          <w:szCs w:val="21"/>
        </w:rPr>
        <w:t>10、中标候选人推荐原则。</w:t>
      </w:r>
    </w:p>
    <w:p>
      <w:pPr>
        <w:spacing w:before="120" w:line="320" w:lineRule="atLeast"/>
        <w:ind w:firstLine="411" w:firstLineChars="196"/>
        <w:outlineLvl w:val="1"/>
        <w:rPr>
          <w:bCs/>
          <w:color w:val="auto"/>
          <w:kern w:val="0"/>
          <w:szCs w:val="21"/>
        </w:rPr>
      </w:pPr>
      <w:r>
        <w:rPr>
          <w:rFonts w:hint="eastAsia"/>
          <w:bCs/>
          <w:color w:val="auto"/>
          <w:kern w:val="0"/>
          <w:szCs w:val="21"/>
        </w:rPr>
        <w:t>同一投标人可同时对A、B、C、D四个分标进行投标，但最多只能成为其中一个分标的中标人，按A→B→C→D分标的顺序确定中标人。若某投标人在其中一个分标中被确定为第一中标候选人，则不在后续的其他分标中被确定为中标候选人。</w:t>
      </w:r>
    </w:p>
    <w:p>
      <w:pPr>
        <w:spacing w:before="120" w:line="320" w:lineRule="atLeast"/>
        <w:ind w:firstLine="411" w:firstLineChars="196"/>
        <w:outlineLvl w:val="1"/>
        <w:rPr>
          <w:color w:val="auto"/>
          <w:szCs w:val="21"/>
        </w:rPr>
      </w:pPr>
      <w:r>
        <w:rPr>
          <w:rFonts w:hint="eastAsia"/>
          <w:bCs/>
          <w:color w:val="auto"/>
          <w:kern w:val="0"/>
          <w:szCs w:val="21"/>
        </w:rPr>
        <w:t>评标委员会按A→B→C→D分标的顺序并</w:t>
      </w:r>
      <w:r>
        <w:rPr>
          <w:color w:val="auto"/>
          <w:szCs w:val="21"/>
        </w:rPr>
        <w:t>按评标后得分由高到低的排列顺序推荐综合得分排名第一的为第一中标候选人。若中标候选人综合得分相同的，按投标报价由低到高顺序排列；综合得分且投标报价相同的</w:t>
      </w:r>
      <w:r>
        <w:rPr>
          <w:color w:val="auto"/>
        </w:rPr>
        <w:t>并列</w:t>
      </w:r>
      <w:r>
        <w:rPr>
          <w:color w:val="auto"/>
          <w:szCs w:val="21"/>
        </w:rPr>
        <w:t>；中标候选人并列的，</w:t>
      </w:r>
      <w:r>
        <w:rPr>
          <w:color w:val="auto"/>
        </w:rPr>
        <w:t>由采购人</w:t>
      </w:r>
      <w:r>
        <w:rPr>
          <w:color w:val="auto"/>
          <w:szCs w:val="21"/>
        </w:rPr>
        <w:t>按技术部分得分由高到低顺序排列，若综合得分、投标报价、技术部分均相同的，按商务部分得分由高到低顺序排列。</w:t>
      </w:r>
    </w:p>
    <w:p>
      <w:pPr>
        <w:spacing w:before="120" w:line="320" w:lineRule="atLeast"/>
        <w:ind w:firstLine="413" w:firstLineChars="196"/>
        <w:outlineLvl w:val="1"/>
        <w:rPr>
          <w:b/>
          <w:bCs/>
          <w:color w:val="auto"/>
          <w:kern w:val="0"/>
          <w:szCs w:val="21"/>
        </w:rPr>
      </w:pPr>
      <w:r>
        <w:rPr>
          <w:b/>
          <w:bCs/>
          <w:color w:val="auto"/>
          <w:kern w:val="0"/>
          <w:szCs w:val="21"/>
        </w:rPr>
        <w:t>11、评标争议处理</w:t>
      </w:r>
    </w:p>
    <w:p>
      <w:pPr>
        <w:spacing w:before="120" w:line="320" w:lineRule="atLeast"/>
        <w:ind w:firstLine="420" w:firstLineChars="200"/>
        <w:rPr>
          <w:color w:val="auto"/>
        </w:rPr>
      </w:pPr>
      <w:r>
        <w:rPr>
          <w:color w:val="auto"/>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950"/>
        </w:tabs>
        <w:spacing w:before="120" w:line="320" w:lineRule="atLeast"/>
        <w:ind w:firstLine="413" w:firstLineChars="196"/>
        <w:jc w:val="left"/>
        <w:outlineLvl w:val="1"/>
        <w:rPr>
          <w:b/>
          <w:bCs/>
          <w:color w:val="auto"/>
          <w:kern w:val="0"/>
          <w:szCs w:val="21"/>
        </w:rPr>
      </w:pPr>
      <w:r>
        <w:rPr>
          <w:b/>
          <w:bCs/>
          <w:color w:val="auto"/>
          <w:kern w:val="0"/>
        </w:rPr>
        <w:br w:type="page"/>
      </w:r>
      <w:r>
        <w:rPr>
          <w:rFonts w:hint="eastAsia"/>
          <w:b/>
          <w:bCs/>
          <w:color w:val="auto"/>
          <w:kern w:val="0"/>
          <w:szCs w:val="21"/>
        </w:rPr>
        <w:t>四、评标标准</w:t>
      </w:r>
    </w:p>
    <w:p>
      <w:pPr>
        <w:spacing w:before="120" w:line="320" w:lineRule="atLeast"/>
        <w:outlineLvl w:val="1"/>
        <w:rPr>
          <w:rFonts w:eastAsia="楷体_GB2312"/>
          <w:b/>
          <w:color w:val="auto"/>
          <w:szCs w:val="21"/>
          <w:highlight w:val="green"/>
        </w:rPr>
      </w:pPr>
      <w:r>
        <w:rPr>
          <w:rFonts w:hint="eastAsia"/>
          <w:bCs/>
          <w:color w:val="auto"/>
          <w:kern w:val="0"/>
          <w:szCs w:val="21"/>
        </w:rPr>
        <w:t>ABCD</w:t>
      </w:r>
      <w:r>
        <w:rPr>
          <w:bCs/>
          <w:color w:val="auto"/>
          <w:kern w:val="0"/>
          <w:szCs w:val="21"/>
        </w:rPr>
        <w:t>（一）评分表</w:t>
      </w:r>
      <w:bookmarkStart w:id="49" w:name="_Hlk20389028"/>
    </w:p>
    <w:bookmarkEnd w:id="49"/>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5"/>
        <w:gridCol w:w="1009"/>
        <w:gridCol w:w="911"/>
        <w:gridCol w:w="460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6" w:type="dxa"/>
            <w:vAlign w:val="center"/>
          </w:tcPr>
          <w:p>
            <w:pPr>
              <w:jc w:val="center"/>
              <w:rPr>
                <w:b/>
                <w:color w:val="auto"/>
                <w:szCs w:val="21"/>
              </w:rPr>
            </w:pPr>
            <w:r>
              <w:rPr>
                <w:b/>
                <w:color w:val="auto"/>
                <w:szCs w:val="21"/>
              </w:rPr>
              <w:t>序号</w:t>
            </w:r>
          </w:p>
        </w:tc>
        <w:tc>
          <w:tcPr>
            <w:tcW w:w="1674" w:type="dxa"/>
            <w:gridSpan w:val="2"/>
            <w:vAlign w:val="center"/>
          </w:tcPr>
          <w:p>
            <w:pPr>
              <w:jc w:val="center"/>
              <w:rPr>
                <w:b/>
                <w:color w:val="auto"/>
                <w:szCs w:val="21"/>
              </w:rPr>
            </w:pPr>
            <w:r>
              <w:rPr>
                <w:b/>
                <w:color w:val="auto"/>
                <w:szCs w:val="21"/>
              </w:rPr>
              <w:t>评标因素及分值</w:t>
            </w:r>
          </w:p>
        </w:tc>
        <w:tc>
          <w:tcPr>
            <w:tcW w:w="911" w:type="dxa"/>
            <w:vAlign w:val="center"/>
          </w:tcPr>
          <w:p>
            <w:pPr>
              <w:jc w:val="center"/>
              <w:rPr>
                <w:b/>
                <w:color w:val="auto"/>
                <w:szCs w:val="21"/>
              </w:rPr>
            </w:pPr>
            <w:r>
              <w:rPr>
                <w:b/>
                <w:color w:val="auto"/>
                <w:szCs w:val="21"/>
              </w:rPr>
              <w:t>分值</w:t>
            </w:r>
          </w:p>
          <w:p>
            <w:pPr>
              <w:jc w:val="center"/>
              <w:rPr>
                <w:b/>
                <w:color w:val="auto"/>
                <w:szCs w:val="21"/>
              </w:rPr>
            </w:pPr>
            <w:r>
              <w:rPr>
                <w:b/>
                <w:color w:val="auto"/>
                <w:szCs w:val="21"/>
              </w:rPr>
              <w:t>属性</w:t>
            </w:r>
          </w:p>
        </w:tc>
        <w:tc>
          <w:tcPr>
            <w:tcW w:w="4600" w:type="dxa"/>
            <w:vAlign w:val="center"/>
          </w:tcPr>
          <w:p>
            <w:pPr>
              <w:jc w:val="center"/>
              <w:rPr>
                <w:b/>
                <w:color w:val="auto"/>
                <w:szCs w:val="21"/>
              </w:rPr>
            </w:pPr>
            <w:r>
              <w:rPr>
                <w:b/>
                <w:color w:val="auto"/>
                <w:szCs w:val="21"/>
              </w:rPr>
              <w:t>评标标准</w:t>
            </w:r>
          </w:p>
        </w:tc>
        <w:tc>
          <w:tcPr>
            <w:tcW w:w="2224" w:type="dxa"/>
            <w:vAlign w:val="center"/>
          </w:tcPr>
          <w:p>
            <w:pPr>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426" w:type="dxa"/>
            <w:vAlign w:val="center"/>
          </w:tcPr>
          <w:p>
            <w:pPr>
              <w:jc w:val="center"/>
              <w:rPr>
                <w:color w:val="auto"/>
                <w:szCs w:val="21"/>
              </w:rPr>
            </w:pPr>
            <w:r>
              <w:rPr>
                <w:color w:val="auto"/>
                <w:szCs w:val="21"/>
              </w:rPr>
              <w:t>1</w:t>
            </w:r>
          </w:p>
        </w:tc>
        <w:tc>
          <w:tcPr>
            <w:tcW w:w="665" w:type="dxa"/>
            <w:vAlign w:val="center"/>
          </w:tcPr>
          <w:p>
            <w:pPr>
              <w:jc w:val="center"/>
              <w:rPr>
                <w:color w:val="auto"/>
                <w:szCs w:val="21"/>
              </w:rPr>
            </w:pPr>
            <w:r>
              <w:rPr>
                <w:color w:val="auto"/>
                <w:szCs w:val="21"/>
              </w:rPr>
              <w:t>商务部分</w:t>
            </w:r>
          </w:p>
          <w:p>
            <w:pPr>
              <w:jc w:val="center"/>
              <w:rPr>
                <w:color w:val="auto"/>
                <w:szCs w:val="21"/>
              </w:rPr>
            </w:pPr>
            <w:r>
              <w:rPr>
                <w:color w:val="auto"/>
                <w:szCs w:val="21"/>
              </w:rPr>
              <w:t>（3</w:t>
            </w:r>
            <w:r>
              <w:rPr>
                <w:rFonts w:hint="eastAsia"/>
                <w:color w:val="auto"/>
                <w:szCs w:val="21"/>
              </w:rPr>
              <w:t>5</w:t>
            </w:r>
            <w:r>
              <w:rPr>
                <w:color w:val="auto"/>
                <w:szCs w:val="21"/>
              </w:rPr>
              <w:t>分）</w:t>
            </w:r>
          </w:p>
        </w:tc>
        <w:tc>
          <w:tcPr>
            <w:tcW w:w="1009" w:type="dxa"/>
            <w:vAlign w:val="center"/>
          </w:tcPr>
          <w:p>
            <w:pPr>
              <w:jc w:val="center"/>
              <w:rPr>
                <w:color w:val="auto"/>
                <w:szCs w:val="21"/>
                <w:highlight w:val="green"/>
              </w:rPr>
            </w:pPr>
            <w:r>
              <w:rPr>
                <w:color w:val="auto"/>
                <w:szCs w:val="21"/>
              </w:rPr>
              <w:t>信誉业绩（3</w:t>
            </w:r>
            <w:r>
              <w:rPr>
                <w:rFonts w:hint="eastAsia"/>
                <w:color w:val="auto"/>
                <w:szCs w:val="21"/>
              </w:rPr>
              <w:t>5</w:t>
            </w:r>
            <w:r>
              <w:rPr>
                <w:color w:val="auto"/>
                <w:szCs w:val="21"/>
              </w:rPr>
              <w:t>分）</w:t>
            </w:r>
          </w:p>
        </w:tc>
        <w:tc>
          <w:tcPr>
            <w:tcW w:w="911" w:type="dxa"/>
            <w:vAlign w:val="center"/>
          </w:tcPr>
          <w:p>
            <w:pPr>
              <w:jc w:val="center"/>
              <w:rPr>
                <w:color w:val="auto"/>
                <w:szCs w:val="21"/>
                <w:highlight w:val="green"/>
              </w:rPr>
            </w:pPr>
            <w:r>
              <w:rPr>
                <w:color w:val="auto"/>
                <w:szCs w:val="21"/>
              </w:rPr>
              <w:t>客观分</w:t>
            </w:r>
          </w:p>
        </w:tc>
        <w:tc>
          <w:tcPr>
            <w:tcW w:w="4600" w:type="dxa"/>
            <w:vAlign w:val="center"/>
          </w:tcPr>
          <w:p>
            <w:pPr>
              <w:numPr>
                <w:ilvl w:val="0"/>
                <w:numId w:val="2"/>
              </w:numPr>
              <w:jc w:val="left"/>
              <w:rPr>
                <w:color w:val="auto"/>
              </w:rPr>
            </w:pPr>
            <w:r>
              <w:rPr>
                <w:rFonts w:hint="eastAsia"/>
                <w:color w:val="auto"/>
              </w:rPr>
              <w:t>在本地设有工作站，或承诺中标后在签订合同之前设立工作站，提供本地化服务。提供有效证明材料或承诺函的得</w:t>
            </w:r>
            <w:r>
              <w:rPr>
                <w:color w:val="auto"/>
              </w:rPr>
              <w:t>1</w:t>
            </w:r>
            <w:r>
              <w:rPr>
                <w:rFonts w:hint="eastAsia"/>
                <w:color w:val="auto"/>
              </w:rPr>
              <w:t>分，不提供得0分。满分</w:t>
            </w:r>
            <w:r>
              <w:rPr>
                <w:color w:val="auto"/>
              </w:rPr>
              <w:t>1</w:t>
            </w:r>
            <w:r>
              <w:rPr>
                <w:rFonts w:hint="eastAsia"/>
                <w:color w:val="auto"/>
              </w:rPr>
              <w:t>分。</w:t>
            </w:r>
          </w:p>
          <w:p>
            <w:pPr>
              <w:numPr>
                <w:ilvl w:val="0"/>
                <w:numId w:val="2"/>
              </w:numPr>
              <w:jc w:val="left"/>
              <w:rPr>
                <w:color w:val="auto"/>
              </w:rPr>
            </w:pPr>
            <w:r>
              <w:rPr>
                <w:rFonts w:hint="eastAsia"/>
                <w:color w:val="auto"/>
              </w:rPr>
              <w:t>投标人通过ISO9001、ISO14001认证，投标文件中提供有效的认证证书复印件，每项得1分，不提供得0分。满分2分。</w:t>
            </w:r>
          </w:p>
          <w:p>
            <w:pPr>
              <w:numPr>
                <w:ilvl w:val="0"/>
                <w:numId w:val="2"/>
              </w:numPr>
              <w:jc w:val="left"/>
              <w:rPr>
                <w:color w:val="auto"/>
              </w:rPr>
            </w:pPr>
            <w:r>
              <w:rPr>
                <w:rFonts w:hint="eastAsia"/>
                <w:color w:val="auto"/>
              </w:rPr>
              <w:t>投标人承诺提供完整的MARC（机器可读目录）数据，数据必须符合国家图书馆数据标准及采购人图书集成管理系统（汇文系统）的格式及运行要求。分类以《中图法（第五版）》为准。提供承诺</w:t>
            </w:r>
            <w:r>
              <w:rPr>
                <w:color w:val="auto"/>
              </w:rPr>
              <w:t>1</w:t>
            </w:r>
            <w:r>
              <w:rPr>
                <w:rFonts w:hint="eastAsia"/>
                <w:color w:val="auto"/>
              </w:rPr>
              <w:t>分，不提供得0分。满分</w:t>
            </w:r>
            <w:r>
              <w:rPr>
                <w:color w:val="auto"/>
              </w:rPr>
              <w:t>1</w:t>
            </w:r>
            <w:r>
              <w:rPr>
                <w:rFonts w:hint="eastAsia"/>
                <w:color w:val="auto"/>
              </w:rPr>
              <w:t>分。</w:t>
            </w:r>
          </w:p>
          <w:p>
            <w:pPr>
              <w:numPr>
                <w:ilvl w:val="0"/>
                <w:numId w:val="2"/>
              </w:numPr>
              <w:jc w:val="left"/>
              <w:rPr>
                <w:rFonts w:ascii="宋体" w:hAnsi="宋体"/>
                <w:bCs/>
                <w:color w:val="auto"/>
                <w:kern w:val="0"/>
                <w:szCs w:val="21"/>
              </w:rPr>
            </w:pPr>
            <w:r>
              <w:rPr>
                <w:rFonts w:hint="eastAsia" w:ascii="宋体" w:hAnsi="宋体"/>
                <w:bCs/>
                <w:color w:val="auto"/>
                <w:kern w:val="0"/>
                <w:szCs w:val="21"/>
              </w:rPr>
              <w:t>投标人拟投入本项目中级（含中级以上：高级、技师）出版物发行员的数量。投标文件中须提供</w:t>
            </w:r>
            <w:r>
              <w:rPr>
                <w:color w:val="auto"/>
                <w:szCs w:val="21"/>
              </w:rPr>
              <w:t>投标截止时间前6个月内，</w:t>
            </w:r>
            <w:r>
              <w:rPr>
                <w:rFonts w:hint="eastAsia"/>
                <w:color w:val="auto"/>
                <w:szCs w:val="21"/>
              </w:rPr>
              <w:t>投标人</w:t>
            </w:r>
            <w:r>
              <w:rPr>
                <w:color w:val="auto"/>
              </w:rPr>
              <w:t>任意</w:t>
            </w:r>
            <w:r>
              <w:rPr>
                <w:rFonts w:hint="eastAsia"/>
                <w:color w:val="auto"/>
              </w:rPr>
              <w:t>1个月为其缴纳</w:t>
            </w:r>
            <w:r>
              <w:rPr>
                <w:color w:val="auto"/>
                <w:szCs w:val="21"/>
              </w:rPr>
              <w:t>的社保缴费证明记录复印件加盖</w:t>
            </w:r>
            <w:r>
              <w:rPr>
                <w:rFonts w:hint="eastAsia"/>
                <w:color w:val="auto"/>
                <w:szCs w:val="21"/>
              </w:rPr>
              <w:t>投标人</w:t>
            </w:r>
            <w:r>
              <w:rPr>
                <w:color w:val="auto"/>
                <w:szCs w:val="21"/>
              </w:rPr>
              <w:t>公章</w:t>
            </w:r>
            <w:r>
              <w:rPr>
                <w:rFonts w:hint="eastAsia" w:ascii="宋体" w:hAnsi="宋体"/>
                <w:bCs/>
                <w:color w:val="auto"/>
                <w:kern w:val="0"/>
                <w:szCs w:val="21"/>
              </w:rPr>
              <w:t>。每一份0.5分，不提供得0分。满分</w:t>
            </w:r>
            <w:r>
              <w:rPr>
                <w:color w:val="auto"/>
              </w:rPr>
              <w:t>2</w:t>
            </w:r>
            <w:r>
              <w:rPr>
                <w:rFonts w:hint="eastAsia"/>
                <w:color w:val="auto"/>
              </w:rPr>
              <w:t>分</w:t>
            </w:r>
            <w:r>
              <w:rPr>
                <w:rFonts w:hint="eastAsia" w:ascii="宋体" w:hAnsi="宋体"/>
                <w:bCs/>
                <w:color w:val="auto"/>
                <w:kern w:val="0"/>
                <w:szCs w:val="21"/>
              </w:rPr>
              <w:t>。</w:t>
            </w:r>
          </w:p>
          <w:p>
            <w:pPr>
              <w:numPr>
                <w:ilvl w:val="255"/>
                <w:numId w:val="0"/>
              </w:numPr>
              <w:jc w:val="left"/>
              <w:rPr>
                <w:color w:val="auto"/>
              </w:rPr>
            </w:pPr>
            <w:r>
              <w:rPr>
                <w:rFonts w:hint="eastAsia"/>
                <w:color w:val="auto"/>
              </w:rPr>
              <w:t>（5）投标人拟投入本项目具备CALIS中文三级或以上编目员资格证书（非结业证书、培训证书）的人员名单。投标文件中须提供相应编目人员的资格证书复印件及投标截止时间前6个月内，投标人任意1个月为其缴纳的社保缴费证明记录复印件加盖投标人公章。每一份得0.5分，不按要求提供得0分。满分2分。</w:t>
            </w:r>
          </w:p>
          <w:p>
            <w:pPr>
              <w:numPr>
                <w:ilvl w:val="255"/>
                <w:numId w:val="0"/>
              </w:numPr>
              <w:jc w:val="left"/>
              <w:rPr>
                <w:color w:val="auto"/>
              </w:rPr>
            </w:pPr>
            <w:r>
              <w:rPr>
                <w:rFonts w:hint="eastAsia"/>
                <w:color w:val="auto"/>
              </w:rPr>
              <w:t>（6）投标人2020年以来图书馆合作证明，且到书率≥92%。由合作图书馆出具证明材料并加盖公章，并附与图书馆的合作协议或合同复印件加盖投标人公章。每1份有效材料得</w:t>
            </w:r>
            <w:r>
              <w:rPr>
                <w:color w:val="auto"/>
              </w:rPr>
              <w:t>1</w:t>
            </w:r>
            <w:r>
              <w:rPr>
                <w:rFonts w:hint="eastAsia"/>
                <w:color w:val="auto"/>
              </w:rPr>
              <w:t>分；不按要求提供得0分。满分</w:t>
            </w:r>
            <w:r>
              <w:rPr>
                <w:color w:val="auto"/>
              </w:rPr>
              <w:t>10</w:t>
            </w:r>
            <w:r>
              <w:rPr>
                <w:rFonts w:hint="eastAsia"/>
                <w:color w:val="auto"/>
              </w:rPr>
              <w:t>分。</w:t>
            </w:r>
            <w:bookmarkStart w:id="50" w:name="_Hlk57023763"/>
          </w:p>
          <w:p>
            <w:pPr>
              <w:numPr>
                <w:ilvl w:val="255"/>
                <w:numId w:val="0"/>
              </w:numPr>
              <w:jc w:val="left"/>
              <w:rPr>
                <w:color w:val="auto"/>
              </w:rPr>
            </w:pPr>
            <w:r>
              <w:rPr>
                <w:rFonts w:hint="eastAsia"/>
                <w:color w:val="auto"/>
              </w:rPr>
              <w:t>（7）根据师范专业认证图书购书需求，投标文件中按如下所列出版社顺序号提供投标人与出版社合作关系证明。（提供出版社的图书销售授权书或供货合同复印件，有效期以投标时是否有效为准</w:t>
            </w:r>
            <w:bookmarkEnd w:id="50"/>
            <w:r>
              <w:rPr>
                <w:rFonts w:hint="eastAsia"/>
                <w:color w:val="auto"/>
              </w:rPr>
              <w:t>）。每提供其中一家有效材料得0.4分，不按要求提供得0分。满分16分。</w:t>
            </w:r>
          </w:p>
          <w:p>
            <w:pPr>
              <w:numPr>
                <w:ilvl w:val="0"/>
                <w:numId w:val="3"/>
              </w:numPr>
              <w:jc w:val="left"/>
              <w:rPr>
                <w:color w:val="auto"/>
              </w:rPr>
            </w:pPr>
            <w:r>
              <w:rPr>
                <w:color w:val="auto"/>
              </w:rPr>
              <w:t>北京大学出版社</w:t>
            </w:r>
            <w:r>
              <w:rPr>
                <w:rFonts w:hint="eastAsia"/>
                <w:color w:val="auto"/>
              </w:rPr>
              <w:t>，2、</w:t>
            </w:r>
            <w:r>
              <w:rPr>
                <w:color w:val="auto"/>
              </w:rPr>
              <w:t>清华大学出版社</w:t>
            </w:r>
            <w:r>
              <w:rPr>
                <w:rFonts w:hint="eastAsia"/>
                <w:color w:val="auto"/>
              </w:rPr>
              <w:t>，3、中国人民大学出版社，4、高等教育出版社，5、同济大学出版社，6、外语教学与研究出版社，7、复旦大学出版社，8、浙江大学出版社，9、华东师范大学出版社，1</w:t>
            </w:r>
            <w:r>
              <w:rPr>
                <w:color w:val="auto"/>
              </w:rPr>
              <w:t>0</w:t>
            </w:r>
            <w:r>
              <w:rPr>
                <w:rFonts w:hint="eastAsia"/>
                <w:color w:val="auto"/>
              </w:rPr>
              <w:t>、人民教育出版社，11、华中师范大学出版社，12、广西师范大学出版社，13、首都师范大学出版社 ，14、北京师范大学出版社，15、华中科技大学出版社，16、中国传媒大学出版社，17、中国政法大学出版社，18、教育科学出版社，19、</w:t>
            </w:r>
            <w:r>
              <w:rPr>
                <w:rFonts w:hint="eastAsia" w:ascii="宋体" w:hAnsi="宋体" w:cs="宋体"/>
                <w:color w:val="auto"/>
                <w:kern w:val="0"/>
                <w:szCs w:val="21"/>
              </w:rPr>
              <w:t>法律出版社</w:t>
            </w:r>
            <w:r>
              <w:rPr>
                <w:rFonts w:hint="eastAsia"/>
                <w:color w:val="auto"/>
              </w:rPr>
              <w:t>，20、</w:t>
            </w:r>
            <w:r>
              <w:rPr>
                <w:rFonts w:hint="eastAsia" w:ascii="宋体" w:hAnsi="宋体" w:cs="宋体"/>
                <w:color w:val="auto"/>
                <w:kern w:val="0"/>
                <w:szCs w:val="21"/>
              </w:rPr>
              <w:t>上海古籍出版社</w:t>
            </w:r>
            <w:r>
              <w:rPr>
                <w:rFonts w:hint="eastAsia"/>
                <w:color w:val="auto"/>
              </w:rPr>
              <w:t>，21、</w:t>
            </w:r>
            <w:r>
              <w:rPr>
                <w:color w:val="auto"/>
              </w:rPr>
              <w:t>商务印书馆</w:t>
            </w:r>
            <w:r>
              <w:rPr>
                <w:rFonts w:hint="eastAsia"/>
                <w:color w:val="auto"/>
              </w:rPr>
              <w:t>，22、</w:t>
            </w:r>
            <w:r>
              <w:rPr>
                <w:color w:val="auto"/>
              </w:rPr>
              <w:t>中国社会科学出版社</w:t>
            </w:r>
            <w:r>
              <w:rPr>
                <w:rFonts w:hint="eastAsia"/>
                <w:color w:val="auto"/>
              </w:rPr>
              <w:t>，23、</w:t>
            </w:r>
            <w:r>
              <w:rPr>
                <w:rFonts w:hint="eastAsia" w:ascii="宋体" w:hAnsi="宋体" w:cs="宋体"/>
                <w:color w:val="auto"/>
                <w:kern w:val="0"/>
                <w:szCs w:val="21"/>
              </w:rPr>
              <w:t>国家图书馆出版社</w:t>
            </w:r>
            <w:r>
              <w:rPr>
                <w:rFonts w:hint="eastAsia"/>
                <w:color w:val="auto"/>
              </w:rPr>
              <w:t>，24、</w:t>
            </w:r>
            <w:r>
              <w:rPr>
                <w:rFonts w:hint="eastAsia" w:ascii="宋体" w:hAnsi="宋体" w:cs="宋体"/>
                <w:color w:val="auto"/>
                <w:kern w:val="0"/>
                <w:szCs w:val="21"/>
              </w:rPr>
              <w:t>中央编译出版社</w:t>
            </w:r>
            <w:r>
              <w:rPr>
                <w:rFonts w:hint="eastAsia"/>
                <w:color w:val="auto"/>
              </w:rPr>
              <w:t>，25、中华书局，26、生活</w:t>
            </w:r>
            <w:r>
              <w:rPr>
                <w:color w:val="auto"/>
              </w:rPr>
              <w:t>.</w:t>
            </w:r>
            <w:r>
              <w:rPr>
                <w:rFonts w:hint="eastAsia"/>
                <w:color w:val="auto"/>
              </w:rPr>
              <w:t>读书</w:t>
            </w:r>
            <w:r>
              <w:rPr>
                <w:color w:val="auto"/>
              </w:rPr>
              <w:t>.</w:t>
            </w:r>
            <w:r>
              <w:rPr>
                <w:rFonts w:hint="eastAsia"/>
                <w:color w:val="auto"/>
              </w:rPr>
              <w:t>新知三联出版社，27、人民出版社，28、中信出版社，29、</w:t>
            </w:r>
            <w:r>
              <w:rPr>
                <w:rFonts w:hint="eastAsia" w:ascii="宋体" w:hAnsi="宋体" w:cs="宋体"/>
                <w:color w:val="auto"/>
                <w:kern w:val="0"/>
                <w:szCs w:val="21"/>
              </w:rPr>
              <w:t>社会科学文献出版社</w:t>
            </w:r>
            <w:r>
              <w:rPr>
                <w:rFonts w:hint="eastAsia"/>
                <w:color w:val="auto"/>
              </w:rPr>
              <w:t>，30、广西人民出版社，31、科学出版社32、</w:t>
            </w:r>
            <w:r>
              <w:rPr>
                <w:color w:val="auto"/>
              </w:rPr>
              <w:t>人民文学出版社</w:t>
            </w:r>
            <w:r>
              <w:rPr>
                <w:rFonts w:hint="eastAsia"/>
                <w:color w:val="auto"/>
              </w:rPr>
              <w:t>，33、作家出版社，34、</w:t>
            </w:r>
            <w:r>
              <w:rPr>
                <w:color w:val="auto"/>
              </w:rPr>
              <w:t>人民美术出版社</w:t>
            </w:r>
            <w:r>
              <w:rPr>
                <w:rFonts w:hint="eastAsia"/>
                <w:color w:val="auto"/>
              </w:rPr>
              <w:t>，35、</w:t>
            </w:r>
            <w:r>
              <w:rPr>
                <w:color w:val="auto"/>
              </w:rPr>
              <w:t>人民音乐出版社</w:t>
            </w:r>
            <w:r>
              <w:rPr>
                <w:rFonts w:hint="eastAsia"/>
                <w:color w:val="auto"/>
              </w:rPr>
              <w:t>，36、</w:t>
            </w:r>
            <w:r>
              <w:rPr>
                <w:color w:val="auto"/>
              </w:rPr>
              <w:t>机械工业出版社</w:t>
            </w:r>
            <w:r>
              <w:rPr>
                <w:rFonts w:hint="eastAsia"/>
                <w:color w:val="auto"/>
              </w:rPr>
              <w:t>，37、</w:t>
            </w:r>
            <w:r>
              <w:rPr>
                <w:color w:val="auto"/>
              </w:rPr>
              <w:t>化学工业出版社</w:t>
            </w:r>
            <w:r>
              <w:rPr>
                <w:rFonts w:hint="eastAsia"/>
                <w:color w:val="auto"/>
              </w:rPr>
              <w:t>，38、</w:t>
            </w:r>
            <w:r>
              <w:rPr>
                <w:color w:val="auto"/>
              </w:rPr>
              <w:t>电子工业出版社</w:t>
            </w:r>
            <w:r>
              <w:rPr>
                <w:rFonts w:hint="eastAsia"/>
                <w:color w:val="auto"/>
              </w:rPr>
              <w:t>，39、</w:t>
            </w:r>
            <w:r>
              <w:rPr>
                <w:color w:val="auto"/>
              </w:rPr>
              <w:t>人民邮电出版社</w:t>
            </w:r>
            <w:r>
              <w:rPr>
                <w:rFonts w:hint="eastAsia"/>
                <w:color w:val="auto"/>
              </w:rPr>
              <w:t>，40、中国环境科学出版社。</w:t>
            </w:r>
          </w:p>
          <w:p>
            <w:pPr>
              <w:jc w:val="left"/>
              <w:rPr>
                <w:color w:val="auto"/>
              </w:rPr>
            </w:pPr>
            <w:r>
              <w:rPr>
                <w:rFonts w:hint="eastAsia"/>
                <w:color w:val="auto"/>
              </w:rPr>
              <w:t>（8）供应商获得国家认可的认证机构出具的GB/T27922-2011（商品售后服务评价体系）五星级标准企业《服务认证证书》的（于投标文件中提供相关有效认证证明材料复印件）得</w:t>
            </w:r>
            <w:r>
              <w:rPr>
                <w:color w:val="auto"/>
              </w:rPr>
              <w:t>1</w:t>
            </w:r>
            <w:r>
              <w:rPr>
                <w:rFonts w:hint="eastAsia"/>
                <w:color w:val="auto"/>
              </w:rPr>
              <w:t>分，不提供得0分。满分</w:t>
            </w:r>
            <w:r>
              <w:rPr>
                <w:color w:val="auto"/>
              </w:rPr>
              <w:t>1</w:t>
            </w:r>
            <w:r>
              <w:rPr>
                <w:rFonts w:hint="eastAsia"/>
                <w:color w:val="auto"/>
              </w:rPr>
              <w:t>分。</w:t>
            </w:r>
          </w:p>
        </w:tc>
        <w:tc>
          <w:tcPr>
            <w:tcW w:w="2224" w:type="dxa"/>
            <w:vAlign w:val="center"/>
          </w:tcPr>
          <w:p>
            <w:pPr>
              <w:rPr>
                <w:color w:val="auto"/>
                <w:szCs w:val="21"/>
              </w:rPr>
            </w:pPr>
            <w:r>
              <w:rPr>
                <w:color w:val="auto"/>
                <w:szCs w:val="21"/>
              </w:rPr>
              <w:t>（1）必须提供证明材料。</w:t>
            </w:r>
          </w:p>
          <w:p>
            <w:pPr>
              <w:rPr>
                <w:color w:val="auto"/>
                <w:szCs w:val="21"/>
              </w:rPr>
            </w:pPr>
            <w:r>
              <w:rPr>
                <w:color w:val="auto"/>
                <w:szCs w:val="21"/>
              </w:rPr>
              <w:t>（2）以中标通知书或合同复印件为准。</w:t>
            </w:r>
          </w:p>
          <w:p>
            <w:pPr>
              <w:rPr>
                <w:strike/>
                <w:color w:val="auto"/>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restart"/>
            <w:vAlign w:val="center"/>
          </w:tcPr>
          <w:p>
            <w:pPr>
              <w:jc w:val="center"/>
              <w:rPr>
                <w:color w:val="auto"/>
                <w:szCs w:val="21"/>
              </w:rPr>
            </w:pPr>
            <w:r>
              <w:rPr>
                <w:color w:val="auto"/>
                <w:szCs w:val="21"/>
              </w:rPr>
              <w:t>2</w:t>
            </w:r>
          </w:p>
        </w:tc>
        <w:tc>
          <w:tcPr>
            <w:tcW w:w="1674" w:type="dxa"/>
            <w:gridSpan w:val="2"/>
            <w:vMerge w:val="restart"/>
            <w:vAlign w:val="center"/>
          </w:tcPr>
          <w:p>
            <w:pPr>
              <w:jc w:val="center"/>
              <w:rPr>
                <w:color w:val="auto"/>
                <w:szCs w:val="21"/>
                <w:highlight w:val="green"/>
              </w:rPr>
            </w:pPr>
            <w:r>
              <w:rPr>
                <w:rFonts w:hint="eastAsia"/>
                <w:color w:val="auto"/>
                <w:szCs w:val="21"/>
              </w:rPr>
              <w:t>技术部分</w:t>
            </w:r>
            <w:r>
              <w:rPr>
                <w:color w:val="auto"/>
                <w:szCs w:val="21"/>
              </w:rPr>
              <w:t>（</w:t>
            </w:r>
            <w:r>
              <w:rPr>
                <w:rFonts w:hint="eastAsia"/>
                <w:color w:val="auto"/>
                <w:szCs w:val="21"/>
              </w:rPr>
              <w:t>35</w:t>
            </w:r>
            <w:r>
              <w:rPr>
                <w:color w:val="auto"/>
                <w:szCs w:val="21"/>
              </w:rPr>
              <w:t>分）</w:t>
            </w:r>
          </w:p>
        </w:tc>
        <w:tc>
          <w:tcPr>
            <w:tcW w:w="911" w:type="dxa"/>
            <w:vAlign w:val="center"/>
          </w:tcPr>
          <w:p>
            <w:pPr>
              <w:rPr>
                <w:color w:val="auto"/>
              </w:rPr>
            </w:pPr>
            <w:r>
              <w:rPr>
                <w:rFonts w:hint="eastAsia"/>
                <w:color w:val="auto"/>
              </w:rPr>
              <w:t>客观分</w:t>
            </w:r>
          </w:p>
          <w:p>
            <w:pPr>
              <w:pStyle w:val="2"/>
              <w:rPr>
                <w:color w:val="auto"/>
              </w:rPr>
            </w:pPr>
            <w:r>
              <w:rPr>
                <w:rFonts w:hint="eastAsia"/>
                <w:color w:val="auto"/>
                <w:szCs w:val="21"/>
              </w:rPr>
              <w:t>（10分）</w:t>
            </w:r>
          </w:p>
        </w:tc>
        <w:tc>
          <w:tcPr>
            <w:tcW w:w="4600" w:type="dxa"/>
            <w:vAlign w:val="center"/>
          </w:tcPr>
          <w:p>
            <w:pPr>
              <w:rPr>
                <w:color w:val="auto"/>
              </w:rPr>
            </w:pPr>
            <w:r>
              <w:rPr>
                <w:rFonts w:hint="eastAsia"/>
                <w:color w:val="auto"/>
              </w:rPr>
              <w:t>（1）投标人有2020年以来为图书馆提供缺藏补漏采购的，每具有1份用户证明得1分，不提供得0分。满分2分。</w:t>
            </w:r>
          </w:p>
          <w:p>
            <w:pPr>
              <w:rPr>
                <w:color w:val="auto"/>
              </w:rPr>
            </w:pPr>
            <w:r>
              <w:rPr>
                <w:rFonts w:hint="eastAsia"/>
                <w:color w:val="auto"/>
              </w:rPr>
              <w:t>（2）投标人有为图书馆提供馆藏数据分析能力。提供20</w:t>
            </w:r>
            <w:r>
              <w:rPr>
                <w:color w:val="auto"/>
              </w:rPr>
              <w:t>19</w:t>
            </w:r>
            <w:r>
              <w:rPr>
                <w:rFonts w:hint="eastAsia"/>
                <w:color w:val="auto"/>
              </w:rPr>
              <w:t>年起图书馆馆藏数据分析报告。得1分。报告中馆藏数据分析详细，提出改进采购工作、优化馆藏结构的合理化建议的，得1分。不提供报告得0分，报告内容不具备可行性的得0分。满分</w:t>
            </w:r>
            <w:r>
              <w:rPr>
                <w:color w:val="auto"/>
              </w:rPr>
              <w:t>2</w:t>
            </w:r>
            <w:r>
              <w:rPr>
                <w:rFonts w:hint="eastAsia"/>
                <w:color w:val="auto"/>
              </w:rPr>
              <w:t>分。</w:t>
            </w:r>
          </w:p>
          <w:p>
            <w:pPr>
              <w:rPr>
                <w:color w:val="auto"/>
              </w:rPr>
            </w:pPr>
            <w:r>
              <w:rPr>
                <w:rFonts w:hint="eastAsia"/>
                <w:color w:val="auto"/>
              </w:rPr>
              <w:t>（3）投标人2019年以来为</w:t>
            </w:r>
            <w:r>
              <w:rPr>
                <w:color w:val="auto"/>
              </w:rPr>
              <w:fldChar w:fldCharType="begin"/>
            </w:r>
            <w:r>
              <w:rPr>
                <w:color w:val="auto"/>
              </w:rPr>
              <w:instrText xml:space="preserve"> HYPERLINK "https://baike.baidu.com/item/%E5%85%A8%E6%97%A5%E5%88%B6%E6%99%AE%E9%80%9A%E9%AB%98%E7%AD%89%E5%AD%A6%E6%A0%A1/24216848" \t "https://baike.baidu.com/item/%E5%85%A8%E6%97%A5%E5%88%B6%E6%99%AE%E9%80%9A%E9%AB%98%E6%A0%A1/_blank" </w:instrText>
            </w:r>
            <w:r>
              <w:rPr>
                <w:color w:val="auto"/>
              </w:rPr>
              <w:fldChar w:fldCharType="separate"/>
            </w:r>
            <w:r>
              <w:rPr>
                <w:color w:val="auto"/>
              </w:rPr>
              <w:fldChar w:fldCharType="end"/>
            </w:r>
            <w:r>
              <w:rPr>
                <w:rFonts w:hint="eastAsia"/>
                <w:color w:val="auto"/>
              </w:rPr>
              <w:t>图书馆举办推广阅读活动的相关经历。提供相关证明以及文字说明、现场图片。每份材料得1分，不提供得0分。满分2分。</w:t>
            </w:r>
          </w:p>
          <w:p>
            <w:pPr>
              <w:rPr>
                <w:color w:val="auto"/>
              </w:rPr>
            </w:pPr>
            <w:r>
              <w:rPr>
                <w:rFonts w:hint="eastAsia"/>
                <w:color w:val="auto"/>
              </w:rPr>
              <w:t>（4）投标人具有功能较完善、性能稳定的专业化图书电子商务网站的，自主运营须提供网站域名注册的相关证书文件复印件；第三方营运须提供合作证明复印件，得2分，不按要求提供证明材料的得0分。满分2分。</w:t>
            </w:r>
          </w:p>
          <w:p>
            <w:pPr>
              <w:rPr>
                <w:color w:val="auto"/>
              </w:rPr>
            </w:pPr>
            <w:r>
              <w:rPr>
                <w:rFonts w:hint="eastAsia"/>
                <w:color w:val="auto"/>
              </w:rPr>
              <w:t>（5）投标人网站具备线上图书采购能力，举办过线上图书采购会或馆配会，得1分。网站具备：展示单品图书详情（封面、著者、价格、出版社、出版时间、内容简介）功能，得0.5分。网站书目能做批量选购、荐购、以及按中图法分类等检索功能，得0.5分。未举办过线上图书采购会或馆配会的得0分，功能不完善的逐项减0.5分。满分2分。（投标文件中提供相关有效认证证明材料复印件）</w:t>
            </w:r>
          </w:p>
        </w:tc>
        <w:tc>
          <w:tcPr>
            <w:tcW w:w="2224" w:type="dxa"/>
            <w:vAlign w:val="center"/>
          </w:tcPr>
          <w:p>
            <w:pPr>
              <w:rPr>
                <w:color w:val="auto"/>
                <w:szCs w:val="21"/>
                <w:highlight w:val="green"/>
              </w:rPr>
            </w:pPr>
            <w:r>
              <w:rPr>
                <w:rFonts w:hint="eastAsia"/>
                <w:color w:val="auto"/>
                <w:szCs w:val="21"/>
              </w:rPr>
              <w:t>（1）必须提供证明材料，未提供证明材料的不得分。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26" w:type="dxa"/>
            <w:vMerge w:val="continue"/>
            <w:vAlign w:val="center"/>
          </w:tcPr>
          <w:p>
            <w:pPr>
              <w:jc w:val="center"/>
              <w:rPr>
                <w:color w:val="auto"/>
                <w:szCs w:val="21"/>
              </w:rPr>
            </w:pPr>
          </w:p>
        </w:tc>
        <w:tc>
          <w:tcPr>
            <w:tcW w:w="1674" w:type="dxa"/>
            <w:gridSpan w:val="2"/>
            <w:vMerge w:val="continue"/>
            <w:vAlign w:val="center"/>
          </w:tcPr>
          <w:p>
            <w:pPr>
              <w:jc w:val="center"/>
              <w:rPr>
                <w:color w:val="auto"/>
                <w:szCs w:val="21"/>
                <w:highlight w:val="green"/>
              </w:rPr>
            </w:pPr>
          </w:p>
        </w:tc>
        <w:tc>
          <w:tcPr>
            <w:tcW w:w="911" w:type="dxa"/>
            <w:vAlign w:val="center"/>
          </w:tcPr>
          <w:p>
            <w:pPr>
              <w:rPr>
                <w:color w:val="auto"/>
              </w:rPr>
            </w:pPr>
            <w:r>
              <w:rPr>
                <w:rFonts w:hint="eastAsia"/>
                <w:color w:val="auto"/>
              </w:rPr>
              <w:t>主观分</w:t>
            </w:r>
          </w:p>
          <w:p>
            <w:pPr>
              <w:pStyle w:val="2"/>
              <w:rPr>
                <w:color w:val="auto"/>
              </w:rPr>
            </w:pPr>
            <w:r>
              <w:rPr>
                <w:rFonts w:hint="eastAsia"/>
                <w:color w:val="auto"/>
                <w:szCs w:val="21"/>
              </w:rPr>
              <w:t>（25分）</w:t>
            </w:r>
          </w:p>
        </w:tc>
        <w:tc>
          <w:tcPr>
            <w:tcW w:w="4600" w:type="dxa"/>
            <w:vAlign w:val="center"/>
          </w:tcPr>
          <w:p>
            <w:pPr>
              <w:rPr>
                <w:color w:val="auto"/>
                <w:szCs w:val="21"/>
              </w:rPr>
            </w:pPr>
            <w:r>
              <w:rPr>
                <w:rFonts w:hint="eastAsia"/>
                <w:color w:val="auto"/>
                <w:szCs w:val="21"/>
              </w:rPr>
              <w:t>（6）</w:t>
            </w:r>
            <w:r>
              <w:rPr>
                <w:rFonts w:hint="eastAsia" w:ascii="宋体" w:hAnsi="宋体"/>
                <w:color w:val="auto"/>
                <w:szCs w:val="21"/>
              </w:rPr>
              <w:t>投标人制定</w:t>
            </w:r>
            <w:r>
              <w:rPr>
                <w:rFonts w:hint="eastAsia"/>
                <w:color w:val="auto"/>
                <w:szCs w:val="21"/>
              </w:rPr>
              <w:t>图书采购方案：（满分5分）</w:t>
            </w:r>
          </w:p>
          <w:p>
            <w:pPr>
              <w:rPr>
                <w:color w:val="auto"/>
                <w:szCs w:val="21"/>
              </w:rPr>
            </w:pPr>
            <w:r>
              <w:rPr>
                <w:rFonts w:hint="eastAsia"/>
                <w:color w:val="auto"/>
                <w:szCs w:val="21"/>
              </w:rPr>
              <w:t>一档（0 分）：没有提供相应的方案；</w:t>
            </w:r>
          </w:p>
          <w:p>
            <w:pPr>
              <w:rPr>
                <w:color w:val="auto"/>
                <w:szCs w:val="21"/>
              </w:rPr>
            </w:pPr>
            <w:r>
              <w:rPr>
                <w:rFonts w:hint="eastAsia"/>
                <w:color w:val="auto"/>
                <w:szCs w:val="21"/>
              </w:rPr>
              <w:t xml:space="preserve">二档（1分）：投标人提供的图书采购方案内容简单，可行性较低； </w:t>
            </w:r>
          </w:p>
          <w:p>
            <w:pPr>
              <w:rPr>
                <w:color w:val="auto"/>
                <w:szCs w:val="21"/>
              </w:rPr>
            </w:pPr>
            <w:r>
              <w:rPr>
                <w:rFonts w:hint="eastAsia"/>
                <w:color w:val="auto"/>
                <w:szCs w:val="21"/>
              </w:rPr>
              <w:t>三档（3分）：投标人提供的图书采购方案包含了全品种专业图书采购数据、组织现采承诺、供书计划等内容，内容完整，具有一定的可行性；</w:t>
            </w:r>
          </w:p>
          <w:p>
            <w:pPr>
              <w:rPr>
                <w:color w:val="auto"/>
                <w:szCs w:val="21"/>
              </w:rPr>
            </w:pPr>
            <w:r>
              <w:rPr>
                <w:rFonts w:hint="eastAsia"/>
                <w:color w:val="auto"/>
                <w:szCs w:val="21"/>
              </w:rPr>
              <w:t>四档（5分）：投标人提供的图书采购方案包含了全品种专业图书采购数据、组织现采承诺、供书计划等内容，且方案内容详细具体，科学合理，具有较强的可行性。</w:t>
            </w:r>
          </w:p>
          <w:p>
            <w:pPr>
              <w:rPr>
                <w:color w:val="auto"/>
                <w:szCs w:val="21"/>
              </w:rPr>
            </w:pPr>
            <w:r>
              <w:rPr>
                <w:rFonts w:hint="eastAsia"/>
                <w:color w:val="auto"/>
                <w:szCs w:val="21"/>
              </w:rPr>
              <w:t>（7）</w:t>
            </w:r>
            <w:r>
              <w:rPr>
                <w:rFonts w:hint="eastAsia" w:ascii="宋体" w:hAnsi="宋体"/>
                <w:color w:val="auto"/>
                <w:szCs w:val="21"/>
              </w:rPr>
              <w:t>投标人制定</w:t>
            </w:r>
            <w:r>
              <w:rPr>
                <w:rFonts w:hint="eastAsia"/>
                <w:color w:val="auto"/>
                <w:szCs w:val="21"/>
              </w:rPr>
              <w:t>图书加工及售后服务承诺：（满分</w:t>
            </w:r>
            <w:r>
              <w:rPr>
                <w:color w:val="auto"/>
                <w:szCs w:val="21"/>
              </w:rPr>
              <w:t>5</w:t>
            </w:r>
            <w:r>
              <w:rPr>
                <w:rFonts w:hint="eastAsia"/>
                <w:color w:val="auto"/>
                <w:szCs w:val="21"/>
              </w:rPr>
              <w:t>分）</w:t>
            </w:r>
          </w:p>
          <w:p>
            <w:pPr>
              <w:rPr>
                <w:color w:val="auto"/>
                <w:szCs w:val="21"/>
              </w:rPr>
            </w:pPr>
            <w:r>
              <w:rPr>
                <w:rFonts w:hint="eastAsia"/>
                <w:color w:val="auto"/>
                <w:szCs w:val="21"/>
              </w:rPr>
              <w:t>一档（0 分）：没有提供相应的承诺；</w:t>
            </w:r>
          </w:p>
          <w:p>
            <w:pPr>
              <w:rPr>
                <w:color w:val="auto"/>
                <w:szCs w:val="21"/>
              </w:rPr>
            </w:pPr>
            <w:r>
              <w:rPr>
                <w:rFonts w:hint="eastAsia"/>
                <w:color w:val="auto"/>
                <w:szCs w:val="21"/>
              </w:rPr>
              <w:t>二档（1 分）：图书加工及售后服务方案内容基本完整，包含但不限于图书加工、质保期、售后服务措施（如及时更换不合格产品、交货期提前、服务优质等），能够满足招标文件要求；</w:t>
            </w:r>
          </w:p>
          <w:p>
            <w:pPr>
              <w:rPr>
                <w:color w:val="auto"/>
                <w:szCs w:val="21"/>
              </w:rPr>
            </w:pPr>
            <w:r>
              <w:rPr>
                <w:rFonts w:hint="eastAsia"/>
                <w:color w:val="auto"/>
                <w:szCs w:val="21"/>
              </w:rPr>
              <w:t>三档（3 分）：图书加工及售后服务方案内容完整可行，包含但不限于图书加工、质保期、售后服务措施（如及时更换不合格产品、交货期提前、服务优质等），且有2项或以上优于招标文件要求。</w:t>
            </w:r>
          </w:p>
          <w:p>
            <w:pPr>
              <w:rPr>
                <w:color w:val="auto"/>
                <w:szCs w:val="21"/>
              </w:rPr>
            </w:pPr>
            <w:r>
              <w:rPr>
                <w:rFonts w:hint="eastAsia"/>
                <w:color w:val="auto"/>
                <w:szCs w:val="21"/>
              </w:rPr>
              <w:t>四档（</w:t>
            </w:r>
            <w:r>
              <w:rPr>
                <w:color w:val="auto"/>
                <w:szCs w:val="21"/>
              </w:rPr>
              <w:t>5</w:t>
            </w:r>
            <w:r>
              <w:rPr>
                <w:rFonts w:hint="eastAsia"/>
                <w:color w:val="auto"/>
                <w:szCs w:val="21"/>
              </w:rPr>
              <w:t>分）：图书加工及售后服务方案内容详细具体，科学合理，具有较强的可行性，包含但不限于图书加工、质保期、售后服务措施（如及时更换不合格产品、交货期提前、服务优质等），且有3项或以上优于招标文件要求。</w:t>
            </w:r>
          </w:p>
          <w:p>
            <w:pPr>
              <w:rPr>
                <w:color w:val="auto"/>
                <w:szCs w:val="21"/>
              </w:rPr>
            </w:pPr>
            <w:r>
              <w:rPr>
                <w:rFonts w:hint="eastAsia"/>
                <w:color w:val="auto"/>
                <w:szCs w:val="21"/>
              </w:rPr>
              <w:t>（8）</w:t>
            </w:r>
            <w:r>
              <w:rPr>
                <w:rFonts w:hint="eastAsia" w:ascii="宋体" w:hAnsi="宋体"/>
                <w:color w:val="auto"/>
                <w:szCs w:val="21"/>
              </w:rPr>
              <w:t>投标人根据图书分编要求，制定</w:t>
            </w:r>
            <w:r>
              <w:rPr>
                <w:rFonts w:hint="eastAsia"/>
                <w:color w:val="auto"/>
                <w:szCs w:val="21"/>
              </w:rPr>
              <w:t>图书分编质量具体措施：（满分</w:t>
            </w:r>
            <w:r>
              <w:rPr>
                <w:color w:val="auto"/>
                <w:szCs w:val="21"/>
              </w:rPr>
              <w:t>5</w:t>
            </w:r>
            <w:r>
              <w:rPr>
                <w:rFonts w:hint="eastAsia"/>
                <w:color w:val="auto"/>
                <w:szCs w:val="21"/>
              </w:rPr>
              <w:t>分）</w:t>
            </w:r>
          </w:p>
          <w:p>
            <w:pPr>
              <w:rPr>
                <w:color w:val="auto"/>
                <w:szCs w:val="21"/>
              </w:rPr>
            </w:pPr>
            <w:r>
              <w:rPr>
                <w:rFonts w:hint="eastAsia"/>
                <w:color w:val="auto"/>
                <w:szCs w:val="21"/>
              </w:rPr>
              <w:t>一档（0 分）：没有提供相应的措施；</w:t>
            </w:r>
          </w:p>
          <w:p>
            <w:pPr>
              <w:rPr>
                <w:color w:val="auto"/>
                <w:szCs w:val="21"/>
              </w:rPr>
            </w:pPr>
            <w:r>
              <w:rPr>
                <w:rFonts w:hint="eastAsia"/>
                <w:color w:val="auto"/>
                <w:szCs w:val="21"/>
              </w:rPr>
              <w:t>二档（1 分）：提供了相应的措施，并承诺按照招标文件规定的内容执行；</w:t>
            </w:r>
          </w:p>
          <w:p>
            <w:pPr>
              <w:rPr>
                <w:color w:val="auto"/>
                <w:szCs w:val="21"/>
              </w:rPr>
            </w:pPr>
            <w:r>
              <w:rPr>
                <w:rFonts w:hint="eastAsia"/>
                <w:color w:val="auto"/>
                <w:szCs w:val="21"/>
              </w:rPr>
              <w:t>三档（3 分）：提供了相应的措施，并承诺按照招标文件规定的内容执行，措施内容较好，有一定的可行性；</w:t>
            </w:r>
          </w:p>
          <w:p>
            <w:pPr>
              <w:rPr>
                <w:color w:val="auto"/>
                <w:szCs w:val="21"/>
              </w:rPr>
            </w:pPr>
            <w:r>
              <w:rPr>
                <w:rFonts w:hint="eastAsia"/>
                <w:color w:val="auto"/>
                <w:szCs w:val="21"/>
              </w:rPr>
              <w:t>四档（</w:t>
            </w:r>
            <w:r>
              <w:rPr>
                <w:color w:val="auto"/>
                <w:szCs w:val="21"/>
              </w:rPr>
              <w:t>5</w:t>
            </w:r>
            <w:r>
              <w:rPr>
                <w:rFonts w:hint="eastAsia"/>
                <w:color w:val="auto"/>
                <w:szCs w:val="21"/>
              </w:rPr>
              <w:t xml:space="preserve"> 分）：提供了相应的措施，并承诺按照招标文件规定的内容执行，措施内容具体，具有较强的可行性，能够满足采购人需求。</w:t>
            </w:r>
          </w:p>
          <w:p>
            <w:pPr>
              <w:rPr>
                <w:color w:val="auto"/>
                <w:szCs w:val="21"/>
              </w:rPr>
            </w:pPr>
            <w:r>
              <w:rPr>
                <w:rFonts w:hint="eastAsia"/>
                <w:color w:val="auto"/>
                <w:szCs w:val="21"/>
              </w:rPr>
              <w:t>（9）投标人根据采购人师范教育特点，保证师范认证图书书目覆盖面、到书率的具体措施保障措施：（满分5分）</w:t>
            </w:r>
          </w:p>
          <w:p>
            <w:pPr>
              <w:rPr>
                <w:color w:val="auto"/>
                <w:szCs w:val="21"/>
              </w:rPr>
            </w:pPr>
            <w:r>
              <w:rPr>
                <w:rFonts w:hint="eastAsia"/>
                <w:color w:val="auto"/>
                <w:szCs w:val="21"/>
              </w:rPr>
              <w:t>一档（0 分）：没有提供相应的措施；</w:t>
            </w:r>
          </w:p>
          <w:p>
            <w:pPr>
              <w:rPr>
                <w:color w:val="auto"/>
                <w:szCs w:val="21"/>
              </w:rPr>
            </w:pPr>
            <w:r>
              <w:rPr>
                <w:rFonts w:hint="eastAsia"/>
                <w:color w:val="auto"/>
                <w:szCs w:val="21"/>
              </w:rPr>
              <w:t>二档（1 分）：提供了相应的措施，但措施简单，合理性和可操作性一般；</w:t>
            </w:r>
          </w:p>
          <w:p>
            <w:pPr>
              <w:rPr>
                <w:color w:val="auto"/>
                <w:szCs w:val="21"/>
              </w:rPr>
            </w:pPr>
            <w:r>
              <w:rPr>
                <w:rFonts w:hint="eastAsia"/>
                <w:color w:val="auto"/>
                <w:szCs w:val="21"/>
              </w:rPr>
              <w:t>三档（3 分）：考虑全面，措施较为详细，合理性和可操作性较好，基本满足采购人需求；</w:t>
            </w:r>
          </w:p>
          <w:p>
            <w:pPr>
              <w:rPr>
                <w:color w:val="auto"/>
                <w:szCs w:val="21"/>
              </w:rPr>
            </w:pPr>
            <w:r>
              <w:rPr>
                <w:rFonts w:hint="eastAsia"/>
                <w:color w:val="auto"/>
                <w:szCs w:val="21"/>
              </w:rPr>
              <w:t>四档（5 分）：考虑全面，且提供了对应的保障措施，措施内容详细具体，具有较强的可行性，能够满足采购人需求。</w:t>
            </w:r>
          </w:p>
          <w:p>
            <w:pPr>
              <w:rPr>
                <w:color w:val="auto"/>
                <w:szCs w:val="21"/>
              </w:rPr>
            </w:pPr>
            <w:r>
              <w:rPr>
                <w:rFonts w:hint="eastAsia"/>
                <w:color w:val="auto"/>
                <w:szCs w:val="21"/>
              </w:rPr>
              <w:t>（</w:t>
            </w:r>
            <w:r>
              <w:rPr>
                <w:color w:val="auto"/>
                <w:szCs w:val="21"/>
              </w:rPr>
              <w:t>10</w:t>
            </w:r>
            <w:r>
              <w:rPr>
                <w:rFonts w:hint="eastAsia"/>
                <w:color w:val="auto"/>
                <w:szCs w:val="21"/>
              </w:rPr>
              <w:t>）投标人为采购人的文献资源建设提供个性化服务措施：（满分</w:t>
            </w:r>
            <w:r>
              <w:rPr>
                <w:color w:val="auto"/>
                <w:szCs w:val="21"/>
              </w:rPr>
              <w:t>5</w:t>
            </w:r>
            <w:r>
              <w:rPr>
                <w:rFonts w:hint="eastAsia"/>
                <w:color w:val="auto"/>
                <w:szCs w:val="21"/>
              </w:rPr>
              <w:t>分）</w:t>
            </w:r>
            <w:r>
              <w:rPr>
                <w:color w:val="auto"/>
                <w:szCs w:val="21"/>
              </w:rPr>
              <w:t xml:space="preserve"> </w:t>
            </w:r>
          </w:p>
          <w:p>
            <w:pPr>
              <w:rPr>
                <w:color w:val="auto"/>
                <w:szCs w:val="21"/>
              </w:rPr>
            </w:pPr>
            <w:r>
              <w:rPr>
                <w:rFonts w:hint="eastAsia"/>
                <w:color w:val="auto"/>
                <w:szCs w:val="21"/>
              </w:rPr>
              <w:t>一档（0 分）：未提供优化方案或优化方案与本项目不符；</w:t>
            </w:r>
          </w:p>
          <w:p>
            <w:pPr>
              <w:rPr>
                <w:color w:val="auto"/>
                <w:szCs w:val="21"/>
              </w:rPr>
            </w:pPr>
            <w:r>
              <w:rPr>
                <w:rFonts w:hint="eastAsia"/>
                <w:color w:val="auto"/>
                <w:szCs w:val="21"/>
              </w:rPr>
              <w:t>二档（1 分）：投标人在提供项目实施方案的基础上，为采购人的采购提供了至少1项个性化优质服务措施，但措施内容简单，可行性较低；</w:t>
            </w:r>
          </w:p>
          <w:p>
            <w:pPr>
              <w:rPr>
                <w:color w:val="auto"/>
                <w:szCs w:val="21"/>
              </w:rPr>
            </w:pPr>
            <w:r>
              <w:rPr>
                <w:rFonts w:hint="eastAsia"/>
                <w:color w:val="auto"/>
                <w:szCs w:val="21"/>
              </w:rPr>
              <w:t>三档（3 分）：投标人在提供项目实施方案的基础上，为采购人的采购提供了至少3项个性化优质服务措施，措施内容具体，有一定的可行性；</w:t>
            </w:r>
          </w:p>
          <w:p>
            <w:pPr>
              <w:rPr>
                <w:color w:val="auto"/>
                <w:szCs w:val="21"/>
              </w:rPr>
            </w:pPr>
            <w:r>
              <w:rPr>
                <w:rFonts w:hint="eastAsia"/>
                <w:color w:val="auto"/>
                <w:szCs w:val="21"/>
              </w:rPr>
              <w:t>四档（</w:t>
            </w:r>
            <w:r>
              <w:rPr>
                <w:color w:val="auto"/>
                <w:szCs w:val="21"/>
              </w:rPr>
              <w:t>5</w:t>
            </w:r>
            <w:r>
              <w:rPr>
                <w:rFonts w:hint="eastAsia"/>
                <w:color w:val="auto"/>
                <w:szCs w:val="21"/>
              </w:rPr>
              <w:t>分）：投标人在提供项目实施方案的基础上，为采购人的采购提供了至少5项性化优质服务措施，能够针对采购人实际需求情况，提供详细、全面、完善的个性化服务方案，具有较强的可行性。</w:t>
            </w:r>
          </w:p>
        </w:tc>
        <w:tc>
          <w:tcPr>
            <w:tcW w:w="2224" w:type="dxa"/>
            <w:vAlign w:val="center"/>
          </w:tcPr>
          <w:p>
            <w:pPr>
              <w:rPr>
                <w:color w:val="auto"/>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yellow"/>
              </w:rPr>
            </w:pPr>
            <w:r>
              <w:rPr>
                <w:color w:val="auto"/>
                <w:szCs w:val="21"/>
              </w:rPr>
              <w:t>3</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投标报价</w:t>
            </w:r>
          </w:p>
          <w:p>
            <w:pPr>
              <w:jc w:val="center"/>
              <w:rPr>
                <w:color w:val="auto"/>
                <w:szCs w:val="21"/>
              </w:rPr>
            </w:pPr>
            <w:r>
              <w:rPr>
                <w:color w:val="auto"/>
                <w:szCs w:val="21"/>
              </w:rPr>
              <w:t>（30分）</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tcBorders>
            <w:vAlign w:val="center"/>
          </w:tcPr>
          <w:p>
            <w:pPr>
              <w:rPr>
                <w:color w:val="auto"/>
                <w:szCs w:val="21"/>
              </w:rPr>
            </w:pPr>
            <w:r>
              <w:rPr>
                <w:color w:val="auto"/>
                <w:szCs w:val="21"/>
              </w:rPr>
              <w:t>以满足招标文件要求且投标价格最低的投标报价为评标基准价，其价格分为</w:t>
            </w:r>
            <w:r>
              <w:rPr>
                <w:rFonts w:hint="eastAsia"/>
                <w:color w:val="auto"/>
                <w:szCs w:val="21"/>
              </w:rPr>
              <w:t>满</w:t>
            </w:r>
            <w:r>
              <w:rPr>
                <w:color w:val="auto"/>
                <w:szCs w:val="21"/>
              </w:rPr>
              <w:t>分。其他供应商的价格分统一按照下列公式计算：投标报价得分=（评标基准价/投标报价）×</w:t>
            </w:r>
            <w:r>
              <w:rPr>
                <w:rFonts w:hint="eastAsia"/>
                <w:color w:val="auto"/>
                <w:szCs w:val="21"/>
              </w:rPr>
              <w:t>投标</w:t>
            </w:r>
            <w:r>
              <w:rPr>
                <w:color w:val="auto"/>
                <w:szCs w:val="21"/>
              </w:rPr>
              <w:t>报价分满分分</w:t>
            </w:r>
            <w:r>
              <w:rPr>
                <w:rFonts w:hint="eastAsia"/>
                <w:color w:val="auto"/>
                <w:szCs w:val="21"/>
              </w:rPr>
              <w:t>值</w:t>
            </w:r>
            <w:r>
              <w:rPr>
                <w:color w:val="auto"/>
                <w:szCs w:val="21"/>
              </w:rPr>
              <w:t>。</w:t>
            </w:r>
          </w:p>
        </w:tc>
        <w:tc>
          <w:tcPr>
            <w:tcW w:w="2224" w:type="dxa"/>
            <w:tcBorders>
              <w:top w:val="single" w:color="auto" w:sz="4" w:space="0"/>
              <w:left w:val="single" w:color="auto" w:sz="4" w:space="0"/>
              <w:bottom w:val="single" w:color="auto" w:sz="4" w:space="0"/>
            </w:tcBorders>
            <w:vAlign w:val="center"/>
          </w:tcPr>
          <w:p>
            <w:pPr>
              <w:rPr>
                <w:color w:val="auto"/>
                <w:szCs w:val="21"/>
              </w:rPr>
            </w:pPr>
            <w:r>
              <w:rPr>
                <w:color w:val="auto"/>
                <w:szCs w:val="21"/>
              </w:rPr>
              <w:t>投标报价计算时均为供应商的实际投标报价进行政策性扣除后的价格，最终中标金额＝投标报价。</w:t>
            </w:r>
            <w:r>
              <w:rPr>
                <w:bCs/>
                <w:color w:val="auto"/>
                <w:szCs w:val="21"/>
              </w:rPr>
              <w:t>政策性扣除计算方法见后</w:t>
            </w: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综合得分</w:t>
            </w:r>
          </w:p>
        </w:tc>
        <w:tc>
          <w:tcPr>
            <w:tcW w:w="7735" w:type="dxa"/>
            <w:gridSpan w:val="3"/>
            <w:tcBorders>
              <w:top w:val="single" w:color="auto" w:sz="4" w:space="0"/>
              <w:left w:val="single" w:color="auto" w:sz="4" w:space="0"/>
              <w:bottom w:val="single" w:color="auto" w:sz="4" w:space="0"/>
            </w:tcBorders>
            <w:vAlign w:val="center"/>
          </w:tcPr>
          <w:p>
            <w:pPr>
              <w:rPr>
                <w:color w:val="auto"/>
                <w:szCs w:val="21"/>
              </w:rPr>
            </w:pPr>
            <w:r>
              <w:rPr>
                <w:color w:val="auto"/>
                <w:szCs w:val="21"/>
              </w:rPr>
              <w:t>=1+2+3  （各项评分分值计算保留小数点后两位，小数点后第三位“四舍五入”）</w:t>
            </w:r>
          </w:p>
        </w:tc>
      </w:tr>
    </w:tbl>
    <w:p>
      <w:pPr>
        <w:rPr>
          <w:color w:val="auto"/>
        </w:rPr>
      </w:pPr>
    </w:p>
    <w:p>
      <w:pPr>
        <w:spacing w:before="120" w:line="320" w:lineRule="atLeast"/>
        <w:outlineLvl w:val="1"/>
        <w:rPr>
          <w:bCs/>
          <w:color w:val="auto"/>
          <w:kern w:val="0"/>
          <w:szCs w:val="21"/>
        </w:rPr>
      </w:pPr>
      <w:r>
        <w:rPr>
          <w:bCs/>
          <w:color w:val="auto"/>
          <w:kern w:val="0"/>
          <w:szCs w:val="21"/>
        </w:rPr>
        <w:t>（</w:t>
      </w:r>
      <w:r>
        <w:rPr>
          <w:rFonts w:hint="eastAsia"/>
          <w:bCs/>
          <w:color w:val="auto"/>
          <w:kern w:val="0"/>
          <w:szCs w:val="21"/>
        </w:rPr>
        <w:t>二</w:t>
      </w:r>
      <w:r>
        <w:rPr>
          <w:bCs/>
          <w:color w:val="auto"/>
          <w:kern w:val="0"/>
          <w:szCs w:val="21"/>
        </w:rPr>
        <w:t>）政府采购政策应用说明</w:t>
      </w:r>
    </w:p>
    <w:p>
      <w:pPr>
        <w:spacing w:before="120" w:line="320" w:lineRule="atLeast"/>
        <w:ind w:firstLine="422" w:firstLineChars="200"/>
        <w:rPr>
          <w:b/>
          <w:bCs/>
          <w:color w:val="auto"/>
          <w:kern w:val="0"/>
          <w:szCs w:val="21"/>
        </w:rPr>
      </w:pPr>
      <w:r>
        <w:rPr>
          <w:rFonts w:hint="eastAsia"/>
          <w:b/>
          <w:bCs/>
          <w:color w:val="auto"/>
          <w:kern w:val="0"/>
          <w:szCs w:val="21"/>
        </w:rPr>
        <w:t>1、</w:t>
      </w:r>
      <w:r>
        <w:rPr>
          <w:b/>
          <w:bCs/>
          <w:color w:val="auto"/>
          <w:kern w:val="0"/>
          <w:szCs w:val="21"/>
        </w:rPr>
        <w:t>政策性加分说明</w:t>
      </w:r>
    </w:p>
    <w:p>
      <w:pPr>
        <w:spacing w:before="120" w:line="320" w:lineRule="atLeast"/>
        <w:ind w:firstLine="422" w:firstLineChars="200"/>
        <w:rPr>
          <w:b/>
          <w:bCs/>
          <w:color w:val="auto"/>
          <w:kern w:val="0"/>
          <w:szCs w:val="21"/>
        </w:rPr>
      </w:pPr>
      <w:r>
        <w:rPr>
          <w:b/>
          <w:bCs/>
          <w:color w:val="auto"/>
          <w:kern w:val="0"/>
          <w:szCs w:val="21"/>
        </w:rPr>
        <w:t>2．政策性扣除计算方法</w:t>
      </w:r>
    </w:p>
    <w:p>
      <w:pPr>
        <w:spacing w:before="120" w:line="320" w:lineRule="atLeast"/>
        <w:ind w:firstLine="420" w:firstLineChars="200"/>
        <w:rPr>
          <w:color w:val="auto"/>
          <w:szCs w:val="21"/>
        </w:rPr>
      </w:pPr>
      <w:r>
        <w:rPr>
          <w:color w:val="auto"/>
          <w:szCs w:val="21"/>
        </w:rPr>
        <w:t>供应商符合小型、微型企业、监狱企业或残疾人福利性单位条件的，其</w:t>
      </w:r>
      <w:r>
        <w:rPr>
          <w:rFonts w:hint="eastAsia"/>
          <w:color w:val="auto"/>
          <w:szCs w:val="21"/>
        </w:rPr>
        <w:t>投标</w:t>
      </w:r>
      <w:r>
        <w:rPr>
          <w:color w:val="auto"/>
          <w:szCs w:val="21"/>
        </w:rPr>
        <w:t>报价将按相应比例进行扣除，用扣除后的价格参与评审（计算价格分）。</w:t>
      </w:r>
    </w:p>
    <w:p>
      <w:pPr>
        <w:spacing w:before="120" w:line="320" w:lineRule="atLeast"/>
        <w:ind w:firstLine="420" w:firstLineChars="200"/>
        <w:rPr>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供应商为非联合体的情况下</w:t>
      </w:r>
      <w:r>
        <w:rPr>
          <w:rFonts w:hint="eastAsia"/>
          <w:color w:val="auto"/>
          <w:szCs w:val="21"/>
        </w:rPr>
        <w:t>投标</w:t>
      </w:r>
      <w:r>
        <w:rPr>
          <w:color w:val="auto"/>
          <w:szCs w:val="21"/>
        </w:rPr>
        <w:t>报价扣除方式：对小型、微型企业</w:t>
      </w:r>
      <w:r>
        <w:rPr>
          <w:rFonts w:hint="eastAsia"/>
          <w:color w:val="auto"/>
          <w:szCs w:val="21"/>
        </w:rPr>
        <w:t>投标</w:t>
      </w:r>
      <w:r>
        <w:rPr>
          <w:color w:val="auto"/>
          <w:szCs w:val="21"/>
        </w:rPr>
        <w:t>报价给予</w:t>
      </w:r>
      <w:r>
        <w:rPr>
          <w:rFonts w:hint="eastAsia"/>
          <w:color w:val="auto"/>
          <w:szCs w:val="21"/>
        </w:rPr>
        <w:t>10</w:t>
      </w:r>
      <w:r>
        <w:rPr>
          <w:color w:val="auto"/>
          <w:szCs w:val="21"/>
        </w:rPr>
        <w:t>%的扣除，以扣除后的</w:t>
      </w:r>
      <w:r>
        <w:rPr>
          <w:rFonts w:hint="eastAsia"/>
          <w:color w:val="auto"/>
          <w:szCs w:val="21"/>
        </w:rPr>
        <w:t>投标</w:t>
      </w:r>
      <w:r>
        <w:rPr>
          <w:color w:val="auto"/>
          <w:szCs w:val="21"/>
        </w:rPr>
        <w:t>报价参与评审（计算价格分）。</w:t>
      </w:r>
    </w:p>
    <w:p>
      <w:pPr>
        <w:spacing w:before="120" w:line="320" w:lineRule="atLeast"/>
        <w:ind w:firstLine="420" w:firstLineChars="200"/>
        <w:rPr>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根据财政部、司法部关于政府采购支持监狱企业发展有关问题的通知（财库[2014]68号），监狱企业视同小型、微型企业，享受小型、微型企业评审时</w:t>
      </w:r>
      <w:r>
        <w:rPr>
          <w:rFonts w:hint="eastAsia"/>
          <w:bCs/>
          <w:color w:val="auto"/>
          <w:szCs w:val="21"/>
        </w:rPr>
        <w:t>投标</w:t>
      </w:r>
      <w:r>
        <w:rPr>
          <w:color w:val="auto"/>
          <w:szCs w:val="21"/>
        </w:rPr>
        <w:t>价格扣除</w:t>
      </w:r>
      <w:r>
        <w:rPr>
          <w:rFonts w:hint="eastAsia"/>
          <w:color w:val="auto"/>
          <w:szCs w:val="21"/>
        </w:rPr>
        <w:t>10</w:t>
      </w:r>
      <w:r>
        <w:rPr>
          <w:color w:val="auto"/>
          <w:szCs w:val="21"/>
        </w:rPr>
        <w:t>%的政府采购政策。</w:t>
      </w:r>
    </w:p>
    <w:p>
      <w:pPr>
        <w:spacing w:before="120" w:line="320" w:lineRule="atLeast"/>
        <w:ind w:firstLine="420" w:firstLineChars="200"/>
        <w:rPr>
          <w:color w:val="auto"/>
          <w:szCs w:val="21"/>
        </w:rPr>
      </w:pPr>
      <w:r>
        <w:rPr>
          <w:color w:val="auto"/>
          <w:szCs w:val="21"/>
        </w:rPr>
        <w:t>（3）残疾人福利性单位</w:t>
      </w:r>
    </w:p>
    <w:p>
      <w:pPr>
        <w:spacing w:before="120" w:line="320" w:lineRule="atLeast"/>
        <w:ind w:firstLine="420" w:firstLineChars="200"/>
        <w:rPr>
          <w:color w:val="auto"/>
          <w:szCs w:val="21"/>
        </w:rPr>
      </w:pPr>
      <w:r>
        <w:rPr>
          <w:color w:val="auto"/>
          <w:szCs w:val="21"/>
        </w:rPr>
        <w:t>根据财政部、民政部、中国残疾人联合会三部门发布的关于促进残疾人就业政府采购政策的通知（财库〔2017〕141号），残疾人福利性单位视同小型、微型企业，享受小型、微型企业</w:t>
      </w:r>
      <w:r>
        <w:rPr>
          <w:rFonts w:hint="eastAsia"/>
          <w:color w:val="auto"/>
          <w:szCs w:val="21"/>
        </w:rPr>
        <w:t>评标</w:t>
      </w:r>
      <w:r>
        <w:rPr>
          <w:color w:val="auto"/>
          <w:szCs w:val="21"/>
        </w:rPr>
        <w:t>时</w:t>
      </w:r>
      <w:r>
        <w:rPr>
          <w:rFonts w:hint="eastAsia"/>
          <w:color w:val="auto"/>
          <w:szCs w:val="21"/>
        </w:rPr>
        <w:t>投标</w:t>
      </w:r>
      <w:r>
        <w:rPr>
          <w:color w:val="auto"/>
          <w:szCs w:val="21"/>
        </w:rPr>
        <w:t>报价扣除</w:t>
      </w:r>
      <w:r>
        <w:rPr>
          <w:rFonts w:hint="eastAsia"/>
          <w:color w:val="auto"/>
          <w:szCs w:val="21"/>
        </w:rPr>
        <w:t>10</w:t>
      </w:r>
      <w:r>
        <w:rPr>
          <w:color w:val="auto"/>
          <w:szCs w:val="21"/>
        </w:rPr>
        <w:t>%的政府采购政策。供应商既属于残疾人福利性单位又属于小型、微型企业的，其只能享受</w:t>
      </w:r>
      <w:r>
        <w:rPr>
          <w:rFonts w:hint="eastAsia"/>
          <w:color w:val="auto"/>
          <w:szCs w:val="21"/>
        </w:rPr>
        <w:t>投标</w:t>
      </w:r>
      <w:r>
        <w:rPr>
          <w:color w:val="auto"/>
          <w:szCs w:val="21"/>
        </w:rPr>
        <w:t>报价一次性</w:t>
      </w:r>
      <w:r>
        <w:rPr>
          <w:rFonts w:hint="eastAsia"/>
          <w:color w:val="auto"/>
          <w:szCs w:val="21"/>
        </w:rPr>
        <w:t>10</w:t>
      </w:r>
      <w:r>
        <w:rPr>
          <w:color w:val="auto"/>
          <w:szCs w:val="21"/>
        </w:rPr>
        <w:t>%的扣除，不重复享受政策。</w:t>
      </w:r>
    </w:p>
    <w:p>
      <w:pPr>
        <w:spacing w:before="120" w:line="320" w:lineRule="atLeast"/>
        <w:ind w:firstLine="422" w:firstLineChars="200"/>
        <w:rPr>
          <w:b/>
          <w:bCs/>
          <w:color w:val="auto"/>
          <w:kern w:val="0"/>
          <w:szCs w:val="21"/>
        </w:rPr>
      </w:pPr>
      <w:r>
        <w:rPr>
          <w:b/>
          <w:bCs/>
          <w:color w:val="auto"/>
          <w:kern w:val="0"/>
          <w:szCs w:val="21"/>
        </w:rPr>
        <w:t>3．符合政府采购政策的相关条件</w:t>
      </w:r>
    </w:p>
    <w:p>
      <w:pPr>
        <w:spacing w:before="120" w:line="320" w:lineRule="atLeast"/>
        <w:ind w:firstLine="420" w:firstLineChars="200"/>
        <w:rPr>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依照《关于印发&lt;政府采购促进中小企业发展暂行办法&gt;的通知》（财库〔2011〕181号）之规定，小型、微型企业应当同时符合以下条件：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提供本企业制造的货物、承担的工程或者服务，或者提供其他中小企业制造的货物，本项所称货物不包括提供或使用大型企业注册商标的货物。</w:t>
      </w:r>
    </w:p>
    <w:p>
      <w:pPr>
        <w:spacing w:before="120" w:line="320" w:lineRule="atLeast"/>
        <w:ind w:firstLine="420" w:firstLineChars="200"/>
        <w:rPr>
          <w:color w:val="auto"/>
          <w:szCs w:val="21"/>
        </w:rPr>
      </w:pPr>
      <w:r>
        <w:rPr>
          <w:color w:val="auto"/>
          <w:szCs w:val="21"/>
        </w:rPr>
        <w:t>注：小型、微型企业提供中型企业制造的货物的，视同为中型企业；小型、微型、中型企业提供大型企业制造的货物的，视同为大型企业，</w:t>
      </w:r>
      <w:r>
        <w:rPr>
          <w:rFonts w:hint="eastAsia"/>
          <w:color w:val="auto"/>
          <w:szCs w:val="21"/>
        </w:rPr>
        <w:t>投标</w:t>
      </w:r>
      <w:r>
        <w:rPr>
          <w:color w:val="auto"/>
          <w:szCs w:val="21"/>
        </w:rPr>
        <w:t>报价不予扣除。</w:t>
      </w:r>
      <w:r>
        <w:rPr>
          <w:bCs/>
          <w:color w:val="auto"/>
          <w:szCs w:val="21"/>
        </w:rPr>
        <w:t>供应商声明为小、微型企业的，应按</w:t>
      </w:r>
      <w:r>
        <w:rPr>
          <w:rFonts w:hint="eastAsia"/>
          <w:bCs/>
          <w:color w:val="auto"/>
          <w:szCs w:val="21"/>
        </w:rPr>
        <w:t>招标</w:t>
      </w:r>
      <w:r>
        <w:rPr>
          <w:bCs/>
          <w:color w:val="auto"/>
          <w:szCs w:val="21"/>
        </w:rPr>
        <w:t>文件规定在</w:t>
      </w:r>
      <w:r>
        <w:rPr>
          <w:rFonts w:hint="eastAsia"/>
          <w:bCs/>
          <w:color w:val="auto"/>
          <w:szCs w:val="21"/>
        </w:rPr>
        <w:t>投标</w:t>
      </w:r>
      <w:r>
        <w:rPr>
          <w:bCs/>
          <w:color w:val="auto"/>
          <w:szCs w:val="21"/>
        </w:rPr>
        <w:t>文件中提供</w:t>
      </w:r>
      <w:r>
        <w:rPr>
          <w:rFonts w:hint="eastAsia"/>
          <w:bCs/>
          <w:color w:val="auto"/>
          <w:szCs w:val="21"/>
        </w:rPr>
        <w:t>声明函</w:t>
      </w:r>
      <w:r>
        <w:rPr>
          <w:bCs/>
          <w:color w:val="auto"/>
          <w:szCs w:val="21"/>
        </w:rPr>
        <w:t>。</w:t>
      </w:r>
    </w:p>
    <w:p>
      <w:pPr>
        <w:spacing w:before="120" w:line="320" w:lineRule="atLeast"/>
        <w:ind w:firstLine="420" w:firstLineChars="200"/>
        <w:rPr>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依照《财政部、司法部关于政府采购支持监狱企业发展有关问题的通知》（财库〔2014〕68号）之规定，监狱企业应当符合以下条件：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color w:val="auto"/>
          <w:szCs w:val="21"/>
        </w:rPr>
      </w:pPr>
      <w:r>
        <w:rPr>
          <w:rFonts w:hint="eastAsia"/>
          <w:color w:val="auto"/>
          <w:szCs w:val="21"/>
        </w:rPr>
        <w:t>注：</w:t>
      </w:r>
      <w:r>
        <w:rPr>
          <w:bCs/>
          <w:color w:val="auto"/>
          <w:szCs w:val="21"/>
        </w:rPr>
        <w:t>供应商声明为</w:t>
      </w:r>
      <w:r>
        <w:rPr>
          <w:rFonts w:hint="eastAsia"/>
          <w:bCs/>
          <w:color w:val="auto"/>
          <w:szCs w:val="21"/>
        </w:rPr>
        <w:t>监狱</w:t>
      </w:r>
      <w:r>
        <w:rPr>
          <w:bCs/>
          <w:color w:val="auto"/>
          <w:szCs w:val="21"/>
        </w:rPr>
        <w:t>企业的，应按</w:t>
      </w:r>
      <w:r>
        <w:rPr>
          <w:rFonts w:hint="eastAsia"/>
          <w:bCs/>
          <w:color w:val="auto"/>
          <w:szCs w:val="21"/>
        </w:rPr>
        <w:t>招标</w:t>
      </w:r>
      <w:r>
        <w:rPr>
          <w:bCs/>
          <w:color w:val="auto"/>
          <w:szCs w:val="21"/>
        </w:rPr>
        <w:t>文件规定在</w:t>
      </w:r>
      <w:r>
        <w:rPr>
          <w:rFonts w:hint="eastAsia"/>
          <w:bCs/>
          <w:color w:val="auto"/>
          <w:szCs w:val="21"/>
        </w:rPr>
        <w:t>投标</w:t>
      </w:r>
      <w:r>
        <w:rPr>
          <w:bCs/>
          <w:color w:val="auto"/>
          <w:szCs w:val="21"/>
        </w:rPr>
        <w:t>文件中提供</w:t>
      </w:r>
      <w:r>
        <w:rPr>
          <w:rFonts w:hint="eastAsia"/>
          <w:bCs/>
          <w:color w:val="auto"/>
          <w:szCs w:val="21"/>
        </w:rPr>
        <w:t>相关</w:t>
      </w:r>
      <w:r>
        <w:rPr>
          <w:bCs/>
          <w:color w:val="auto"/>
          <w:szCs w:val="21"/>
        </w:rPr>
        <w:t>证明文件。</w:t>
      </w:r>
    </w:p>
    <w:p>
      <w:pPr>
        <w:spacing w:before="120" w:line="320" w:lineRule="atLeast"/>
        <w:ind w:firstLine="420" w:firstLineChars="200"/>
        <w:rPr>
          <w:color w:val="auto"/>
          <w:szCs w:val="21"/>
        </w:rPr>
      </w:pPr>
      <w:r>
        <w:rPr>
          <w:color w:val="auto"/>
          <w:szCs w:val="21"/>
        </w:rPr>
        <w:t>（3）残疾人福利性单位</w:t>
      </w:r>
    </w:p>
    <w:p>
      <w:pPr>
        <w:spacing w:before="120" w:line="320" w:lineRule="atLeast"/>
        <w:ind w:firstLine="420" w:firstLineChars="200"/>
        <w:rPr>
          <w:color w:val="auto"/>
          <w:szCs w:val="21"/>
        </w:rPr>
      </w:pPr>
      <w:r>
        <w:rPr>
          <w:color w:val="auto"/>
          <w:szCs w:val="21"/>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安置的残疾人占本单位在职职工人数的比例不低于25%（含25%），并且安置的残疾人人数不少于10人（含10人）；</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依法与安置的每位残疾人签订了一年以上（含一年）的劳动合同或服务协议；</w:t>
      </w:r>
    </w:p>
    <w:p>
      <w:pPr>
        <w:spacing w:before="120" w:line="320" w:lineRule="atLeast"/>
        <w:ind w:firstLine="420" w:firstLineChars="200"/>
        <w:rPr>
          <w:color w:val="auto"/>
          <w:szCs w:val="21"/>
        </w:rPr>
      </w:pPr>
      <w:r>
        <w:rPr>
          <w:rFonts w:hint="eastAsia" w:ascii="宋体" w:hAnsi="宋体" w:cs="宋体"/>
          <w:color w:val="auto"/>
          <w:szCs w:val="21"/>
        </w:rPr>
        <w:t>③</w:t>
      </w:r>
      <w:r>
        <w:rPr>
          <w:color w:val="auto"/>
          <w:szCs w:val="21"/>
        </w:rPr>
        <w:t>为安置的每位残疾人按月足额缴纳了基本养老保险、基本医疗保险、失业保险、工伤保险和生育保险等社会保险费；</w:t>
      </w:r>
    </w:p>
    <w:p>
      <w:pPr>
        <w:spacing w:before="120" w:line="320" w:lineRule="atLeast"/>
        <w:ind w:firstLine="420" w:firstLineChars="200"/>
        <w:rPr>
          <w:color w:val="auto"/>
          <w:szCs w:val="21"/>
        </w:rPr>
      </w:pPr>
      <w:r>
        <w:rPr>
          <w:rFonts w:hint="eastAsia" w:ascii="宋体" w:hAnsi="宋体" w:cs="宋体"/>
          <w:color w:val="auto"/>
          <w:szCs w:val="21"/>
        </w:rPr>
        <w:t>④</w:t>
      </w:r>
      <w:r>
        <w:rPr>
          <w:color w:val="auto"/>
          <w:szCs w:val="21"/>
        </w:rPr>
        <w:t>通过银行等金融机构向安置的每位残疾人，按月支付了不低于单位所在区县适用的经省级人民政府批准的月最低工资标准的工资；</w:t>
      </w:r>
    </w:p>
    <w:p>
      <w:pPr>
        <w:spacing w:before="120" w:line="320" w:lineRule="atLeast"/>
        <w:ind w:firstLine="420" w:firstLineChars="200"/>
        <w:rPr>
          <w:color w:val="auto"/>
          <w:szCs w:val="21"/>
        </w:rPr>
      </w:pPr>
      <w:r>
        <w:rPr>
          <w:rFonts w:hint="eastAsia" w:ascii="宋体" w:hAnsi="宋体" w:cs="宋体"/>
          <w:color w:val="auto"/>
          <w:szCs w:val="21"/>
        </w:rPr>
        <w:t>⑤</w:t>
      </w:r>
      <w:r>
        <w:rPr>
          <w:color w:val="auto"/>
          <w:szCs w:val="21"/>
        </w:rPr>
        <w:t>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color w:val="auto"/>
          <w:szCs w:val="21"/>
        </w:rPr>
      </w:pPr>
      <w:r>
        <w:rPr>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bCs/>
          <w:color w:val="auto"/>
          <w:szCs w:val="21"/>
        </w:rPr>
      </w:pPr>
      <w:r>
        <w:rPr>
          <w:color w:val="auto"/>
          <w:szCs w:val="21"/>
        </w:rPr>
        <w:t>注：符合条件的残疾人福利性单位在参加政府采购活动时，应当提供《残疾人福利性单位声明函》（格式见第六章），并对声明的真实性负责。</w:t>
      </w:r>
    </w:p>
    <w:bookmarkEnd w:id="41"/>
    <w:bookmarkEnd w:id="42"/>
    <w:p>
      <w:pPr>
        <w:pStyle w:val="26"/>
        <w:snapToGrid w:val="0"/>
        <w:spacing w:before="120" w:after="120"/>
        <w:outlineLvl w:val="0"/>
        <w:rPr>
          <w:rFonts w:ascii="Times New Roman" w:hAnsi="Times New Roman" w:cs="Times New Roman"/>
          <w:b/>
          <w:color w:val="auto"/>
          <w:sz w:val="32"/>
          <w:szCs w:val="32"/>
        </w:rPr>
        <w:sectPr>
          <w:headerReference r:id="rId16" w:type="first"/>
          <w:headerReference r:id="rId15" w:type="default"/>
          <w:footerReference r:id="rId17" w:type="default"/>
          <w:pgSz w:w="11906" w:h="16838"/>
          <w:pgMar w:top="1418" w:right="1133" w:bottom="1246" w:left="1418" w:header="851" w:footer="992"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51" w:name="_Toc13942"/>
      <w:r>
        <w:rPr>
          <w:rFonts w:ascii="Times New Roman" w:hAnsi="Times New Roman" w:cs="Times New Roman"/>
          <w:color w:val="auto"/>
          <w:sz w:val="32"/>
          <w:szCs w:val="32"/>
        </w:rPr>
        <w:t>第五章  合同主要条款格式</w:t>
      </w:r>
      <w:bookmarkEnd w:id="51"/>
    </w:p>
    <w:p>
      <w:pPr>
        <w:spacing w:before="120" w:line="320" w:lineRule="atLeast"/>
        <w:jc w:val="center"/>
        <w:outlineLvl w:val="1"/>
        <w:rPr>
          <w:b/>
          <w:bCs/>
          <w:color w:val="auto"/>
          <w:kern w:val="0"/>
          <w:szCs w:val="21"/>
        </w:rPr>
      </w:pPr>
      <w:r>
        <w:rPr>
          <w:b/>
          <w:bCs/>
          <w:color w:val="auto"/>
          <w:kern w:val="0"/>
          <w:szCs w:val="21"/>
        </w:rPr>
        <w:t>广西壮族自治区政府采购合同</w:t>
      </w:r>
    </w:p>
    <w:p>
      <w:pPr>
        <w:snapToGrid w:val="0"/>
        <w:spacing w:line="360" w:lineRule="exact"/>
        <w:ind w:right="480" w:firstLine="5985" w:firstLineChars="2850"/>
        <w:rPr>
          <w:color w:val="auto"/>
          <w:szCs w:val="21"/>
        </w:rPr>
      </w:pPr>
      <w:r>
        <w:rPr>
          <w:bCs/>
          <w:color w:val="auto"/>
          <w:szCs w:val="21"/>
        </w:rPr>
        <w:t>合同编号：</w:t>
      </w:r>
    </w:p>
    <w:p>
      <w:pPr>
        <w:snapToGrid w:val="0"/>
        <w:spacing w:line="360" w:lineRule="exact"/>
        <w:rPr>
          <w:color w:val="auto"/>
          <w:szCs w:val="21"/>
          <w:u w:val="single"/>
        </w:rPr>
      </w:pPr>
      <w:r>
        <w:rPr>
          <w:color w:val="auto"/>
          <w:szCs w:val="21"/>
        </w:rPr>
        <w:t>采购单位（甲方）</w:t>
      </w:r>
      <w:r>
        <w:rPr>
          <w:color w:val="auto"/>
          <w:szCs w:val="21"/>
          <w:u w:val="single"/>
        </w:rPr>
        <w:t xml:space="preserve">                          </w:t>
      </w:r>
      <w:r>
        <w:rPr>
          <w:color w:val="auto"/>
          <w:szCs w:val="21"/>
        </w:rPr>
        <w:t xml:space="preserve">  </w:t>
      </w:r>
      <w:r>
        <w:rPr>
          <w:color w:val="auto"/>
          <w:spacing w:val="-20"/>
          <w:szCs w:val="21"/>
        </w:rPr>
        <w:t>采 购 计</w:t>
      </w:r>
      <w:r>
        <w:rPr>
          <w:rFonts w:hint="eastAsia"/>
          <w:color w:val="auto"/>
          <w:spacing w:val="-20"/>
          <w:szCs w:val="21"/>
        </w:rPr>
        <w:t xml:space="preserve"> </w:t>
      </w:r>
      <w:r>
        <w:rPr>
          <w:color w:val="auto"/>
          <w:spacing w:val="-20"/>
          <w:szCs w:val="21"/>
        </w:rPr>
        <w:t>划 号</w:t>
      </w:r>
      <w:r>
        <w:rPr>
          <w:color w:val="auto"/>
          <w:szCs w:val="21"/>
          <w:u w:val="single"/>
        </w:rPr>
        <w:t xml:space="preserve">                        </w:t>
      </w:r>
    </w:p>
    <w:p>
      <w:pPr>
        <w:snapToGrid w:val="0"/>
        <w:spacing w:line="360" w:lineRule="exact"/>
        <w:rPr>
          <w:color w:val="auto"/>
          <w:szCs w:val="21"/>
          <w:u w:val="single"/>
        </w:rPr>
      </w:pPr>
      <w:r>
        <w:rPr>
          <w:color w:val="auto"/>
          <w:szCs w:val="21"/>
        </w:rPr>
        <w:t>供 应 商（乙方）</w:t>
      </w:r>
      <w:r>
        <w:rPr>
          <w:color w:val="auto"/>
          <w:szCs w:val="21"/>
          <w:u w:val="single"/>
        </w:rPr>
        <w:t xml:space="preserve">                          </w:t>
      </w:r>
      <w:r>
        <w:rPr>
          <w:color w:val="auto"/>
          <w:szCs w:val="21"/>
        </w:rPr>
        <w:t xml:space="preserve">  项目名称</w:t>
      </w:r>
      <w:r>
        <w:rPr>
          <w:color w:val="auto"/>
          <w:spacing w:val="-20"/>
          <w:szCs w:val="21"/>
        </w:rPr>
        <w:t>编号</w:t>
      </w:r>
      <w:r>
        <w:rPr>
          <w:color w:val="auto"/>
          <w:szCs w:val="21"/>
          <w:u w:val="single"/>
        </w:rPr>
        <w:t xml:space="preserve">                       </w:t>
      </w:r>
    </w:p>
    <w:p>
      <w:pPr>
        <w:snapToGrid w:val="0"/>
        <w:spacing w:line="360" w:lineRule="exact"/>
        <w:rPr>
          <w:color w:val="auto"/>
          <w:szCs w:val="21"/>
          <w:u w:val="single"/>
        </w:rPr>
      </w:pPr>
      <w:r>
        <w:rPr>
          <w:color w:val="auto"/>
          <w:szCs w:val="21"/>
        </w:rPr>
        <w:t xml:space="preserve">签  订  地  点  </w:t>
      </w:r>
      <w:r>
        <w:rPr>
          <w:color w:val="auto"/>
          <w:szCs w:val="21"/>
          <w:u w:val="single"/>
        </w:rPr>
        <w:t xml:space="preserve">                          </w:t>
      </w:r>
      <w:r>
        <w:rPr>
          <w:color w:val="auto"/>
          <w:szCs w:val="21"/>
        </w:rPr>
        <w:t xml:space="preserve">  签 订 时 间</w:t>
      </w:r>
      <w:r>
        <w:rPr>
          <w:color w:val="auto"/>
          <w:szCs w:val="21"/>
          <w:u w:val="single"/>
        </w:rPr>
        <w:t xml:space="preserve">                       </w:t>
      </w:r>
    </w:p>
    <w:p>
      <w:pPr>
        <w:snapToGrid w:val="0"/>
        <w:spacing w:line="360" w:lineRule="exact"/>
        <w:ind w:firstLine="420" w:firstLineChars="200"/>
        <w:rPr>
          <w:color w:val="auto"/>
          <w:szCs w:val="21"/>
        </w:rPr>
      </w:pPr>
    </w:p>
    <w:p>
      <w:pPr>
        <w:pStyle w:val="26"/>
        <w:spacing w:line="42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根据《中华人民共和国政府采购法》、《中华人民共和国合同法》等法律、法规规定，按照</w:t>
      </w:r>
      <w:r>
        <w:rPr>
          <w:rFonts w:hint="eastAsia" w:ascii="Times New Roman" w:hAnsi="Times New Roman" w:cs="Times New Roman"/>
          <w:color w:val="auto"/>
        </w:rPr>
        <w:t>招标</w:t>
      </w:r>
      <w:r>
        <w:rPr>
          <w:rFonts w:ascii="Times New Roman" w:hAnsi="Times New Roman" w:cs="Times New Roman"/>
          <w:color w:val="auto"/>
        </w:rPr>
        <w:t>文件规定条款和乙方</w:t>
      </w:r>
      <w:r>
        <w:rPr>
          <w:rFonts w:hint="eastAsia" w:ascii="Times New Roman" w:hAnsi="Times New Roman" w:cs="Times New Roman"/>
          <w:color w:val="auto"/>
        </w:rPr>
        <w:t>投标</w:t>
      </w:r>
      <w:r>
        <w:rPr>
          <w:rFonts w:ascii="Times New Roman" w:hAnsi="Times New Roman" w:cs="Times New Roman"/>
          <w:color w:val="auto"/>
        </w:rPr>
        <w:t>文件及其承诺，甲乙双方签订本合同。</w:t>
      </w:r>
    </w:p>
    <w:p>
      <w:pPr>
        <w:snapToGrid w:val="0"/>
        <w:spacing w:line="360" w:lineRule="exact"/>
        <w:ind w:firstLine="422" w:firstLineChars="200"/>
        <w:rPr>
          <w:b/>
          <w:color w:val="auto"/>
          <w:szCs w:val="21"/>
        </w:rPr>
      </w:pPr>
      <w:r>
        <w:rPr>
          <w:b/>
          <w:color w:val="auto"/>
          <w:szCs w:val="21"/>
        </w:rPr>
        <w:t>第一条　项目概况及服务范围</w:t>
      </w:r>
    </w:p>
    <w:p>
      <w:pPr>
        <w:snapToGrid w:val="0"/>
        <w:spacing w:line="360" w:lineRule="exact"/>
        <w:ind w:firstLine="420" w:firstLineChars="200"/>
        <w:rPr>
          <w:color w:val="auto"/>
          <w:szCs w:val="21"/>
        </w:rPr>
      </w:pPr>
      <w:r>
        <w:rPr>
          <w:color w:val="auto"/>
          <w:szCs w:val="21"/>
        </w:rPr>
        <w:t>1.项目名称：</w:t>
      </w:r>
      <w:r>
        <w:rPr>
          <w:rFonts w:hint="eastAsia"/>
          <w:color w:val="auto"/>
          <w:szCs w:val="21"/>
          <w:u w:val="single"/>
        </w:rPr>
        <w:t>南宁师范大学2021年中文纸质图书采购项目</w:t>
      </w:r>
    </w:p>
    <w:p>
      <w:pPr>
        <w:snapToGrid w:val="0"/>
        <w:spacing w:line="360" w:lineRule="exact"/>
        <w:ind w:firstLine="420" w:firstLineChars="200"/>
        <w:rPr>
          <w:color w:val="auto"/>
          <w:szCs w:val="21"/>
        </w:rPr>
      </w:pPr>
      <w:r>
        <w:rPr>
          <w:color w:val="auto"/>
          <w:szCs w:val="21"/>
        </w:rPr>
        <w:t>2.</w:t>
      </w:r>
      <w:r>
        <w:rPr>
          <w:rFonts w:hint="eastAsia"/>
          <w:color w:val="auto"/>
          <w:szCs w:val="21"/>
        </w:rPr>
        <w:t>采购</w:t>
      </w:r>
      <w:r>
        <w:rPr>
          <w:color w:val="auto"/>
          <w:szCs w:val="21"/>
        </w:rPr>
        <w:t>内容及范围：</w:t>
      </w:r>
      <w:r>
        <w:rPr>
          <w:rFonts w:hint="eastAsia" w:ascii="Arial" w:hAnsi="Arial" w:cs="Arial"/>
          <w:color w:val="auto"/>
          <w:szCs w:val="21"/>
          <w:u w:val="single"/>
        </w:rPr>
        <w:t>2021年中文纸质图书</w:t>
      </w:r>
      <w:r>
        <w:rPr>
          <w:color w:val="auto"/>
          <w:szCs w:val="21"/>
          <w:u w:val="single"/>
        </w:rPr>
        <w:t>；</w:t>
      </w:r>
      <w:r>
        <w:rPr>
          <w:color w:val="auto"/>
          <w:szCs w:val="21"/>
        </w:rPr>
        <w:t xml:space="preserve">  </w:t>
      </w:r>
    </w:p>
    <w:p>
      <w:pPr>
        <w:snapToGrid w:val="0"/>
        <w:spacing w:line="360" w:lineRule="exact"/>
        <w:ind w:firstLine="420" w:firstLineChars="200"/>
        <w:jc w:val="left"/>
        <w:rPr>
          <w:color w:val="auto"/>
          <w:szCs w:val="21"/>
        </w:rPr>
      </w:pPr>
      <w:r>
        <w:rPr>
          <w:color w:val="auto"/>
          <w:szCs w:val="21"/>
        </w:rPr>
        <w:t>3.</w:t>
      </w:r>
      <w:r>
        <w:rPr>
          <w:rFonts w:hint="eastAsia"/>
          <w:color w:val="auto"/>
          <w:szCs w:val="21"/>
        </w:rPr>
        <w:t>交货</w:t>
      </w:r>
      <w:r>
        <w:rPr>
          <w:color w:val="auto"/>
          <w:szCs w:val="21"/>
        </w:rPr>
        <w:t>期：</w:t>
      </w:r>
      <w:r>
        <w:rPr>
          <w:rFonts w:hint="eastAsia"/>
          <w:color w:val="auto"/>
          <w:szCs w:val="21"/>
          <w:u w:val="single"/>
        </w:rPr>
        <w:t>自签订合同之日起</w:t>
      </w:r>
      <w:r>
        <w:rPr>
          <w:color w:val="auto"/>
          <w:szCs w:val="21"/>
          <w:u w:val="single"/>
        </w:rPr>
        <w:t>240</w:t>
      </w:r>
      <w:r>
        <w:rPr>
          <w:rFonts w:hint="eastAsia"/>
          <w:color w:val="auto"/>
          <w:szCs w:val="21"/>
          <w:u w:val="single"/>
        </w:rPr>
        <w:t>日内。</w:t>
      </w:r>
      <w:r>
        <w:rPr>
          <w:color w:val="auto"/>
          <w:szCs w:val="21"/>
        </w:rPr>
        <w:t>；</w:t>
      </w:r>
    </w:p>
    <w:p>
      <w:pPr>
        <w:snapToGrid w:val="0"/>
        <w:spacing w:line="360" w:lineRule="exact"/>
        <w:ind w:firstLine="420" w:firstLineChars="200"/>
        <w:rPr>
          <w:color w:val="auto"/>
          <w:szCs w:val="21"/>
        </w:rPr>
      </w:pPr>
      <w:r>
        <w:rPr>
          <w:color w:val="auto"/>
          <w:szCs w:val="21"/>
        </w:rPr>
        <w:t>4.交付地点：</w:t>
      </w:r>
      <w:r>
        <w:rPr>
          <w:rFonts w:hint="eastAsia"/>
          <w:color w:val="auto"/>
          <w:szCs w:val="21"/>
          <w:u w:val="single"/>
        </w:rPr>
        <w:t>采购人指定地点</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5.报价要求：</w:t>
      </w:r>
      <w:r>
        <w:rPr>
          <w:rFonts w:hint="eastAsia"/>
          <w:color w:val="auto"/>
          <w:szCs w:val="21"/>
        </w:rPr>
        <w:t>合同接包含了完成服务的总成本（指图书成本、运抵指定交货地点的各种费用、售后服务、税金及其他所有成本费用的总和）和招标文件要求的其他伴随</w:t>
      </w:r>
      <w:r>
        <w:rPr>
          <w:color w:val="auto"/>
          <w:szCs w:val="21"/>
        </w:rPr>
        <w:t>服务内容的全部费用。如</w:t>
      </w:r>
      <w:r>
        <w:rPr>
          <w:rFonts w:hint="eastAsia"/>
          <w:color w:val="auto"/>
          <w:szCs w:val="21"/>
        </w:rPr>
        <w:t>招标</w:t>
      </w:r>
      <w:r>
        <w:rPr>
          <w:color w:val="auto"/>
          <w:szCs w:val="21"/>
        </w:rPr>
        <w:t>文件对其另有规定的，从其规定。</w:t>
      </w:r>
    </w:p>
    <w:p>
      <w:pPr>
        <w:snapToGrid w:val="0"/>
        <w:spacing w:line="360" w:lineRule="exact"/>
        <w:ind w:firstLine="422" w:firstLineChars="200"/>
        <w:rPr>
          <w:color w:val="auto"/>
          <w:szCs w:val="21"/>
        </w:rPr>
      </w:pPr>
      <w:r>
        <w:rPr>
          <w:b/>
          <w:color w:val="auto"/>
          <w:szCs w:val="21"/>
        </w:rPr>
        <w:t>第二条　服务交付成果（产品）清单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260" w:type="dxa"/>
            <w:vAlign w:val="center"/>
          </w:tcPr>
          <w:p>
            <w:pPr>
              <w:snapToGrid w:val="0"/>
              <w:spacing w:line="300" w:lineRule="exact"/>
              <w:jc w:val="center"/>
              <w:rPr>
                <w:rFonts w:ascii="Arial" w:hAnsi="Arial" w:cs="Arial"/>
                <w:color w:val="auto"/>
                <w:szCs w:val="21"/>
              </w:rPr>
            </w:pPr>
            <w:r>
              <w:rPr>
                <w:rFonts w:ascii="Arial" w:hAnsi="Arial" w:cs="Arial"/>
                <w:color w:val="auto"/>
                <w:szCs w:val="21"/>
              </w:rPr>
              <w:t>货物名称</w:t>
            </w:r>
          </w:p>
        </w:tc>
        <w:tc>
          <w:tcPr>
            <w:tcW w:w="4433" w:type="dxa"/>
            <w:vAlign w:val="center"/>
          </w:tcPr>
          <w:p>
            <w:pPr>
              <w:snapToGrid w:val="0"/>
              <w:spacing w:line="300" w:lineRule="exact"/>
              <w:jc w:val="center"/>
              <w:rPr>
                <w:rFonts w:ascii="Arial" w:hAnsi="Arial" w:cs="Arial"/>
                <w:color w:val="auto"/>
                <w:szCs w:val="21"/>
              </w:rPr>
            </w:pPr>
            <w:r>
              <w:rPr>
                <w:rFonts w:hint="eastAsia" w:ascii="Arial" w:hAnsi="Arial" w:cs="Arial"/>
                <w:color w:val="auto"/>
                <w:szCs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260" w:type="dxa"/>
            <w:vAlign w:val="center"/>
          </w:tcPr>
          <w:p>
            <w:pPr>
              <w:snapToGrid w:val="0"/>
              <w:spacing w:line="300" w:lineRule="exact"/>
              <w:jc w:val="center"/>
              <w:rPr>
                <w:rFonts w:ascii="Arial" w:hAnsi="Arial" w:cs="Arial"/>
                <w:color w:val="auto"/>
                <w:szCs w:val="21"/>
              </w:rPr>
            </w:pPr>
            <w:r>
              <w:rPr>
                <w:rFonts w:ascii="Arial" w:hAnsi="Arial" w:cs="Arial"/>
                <w:color w:val="auto"/>
                <w:szCs w:val="21"/>
              </w:rPr>
              <w:t>中文纸质图书</w:t>
            </w:r>
          </w:p>
        </w:tc>
        <w:tc>
          <w:tcPr>
            <w:tcW w:w="4433" w:type="dxa"/>
            <w:vAlign w:val="center"/>
          </w:tcPr>
          <w:p>
            <w:pPr>
              <w:snapToGrid w:val="0"/>
              <w:spacing w:line="300" w:lineRule="exact"/>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93" w:type="dxa"/>
            <w:gridSpan w:val="2"/>
            <w:vAlign w:val="center"/>
          </w:tcPr>
          <w:p>
            <w:pPr>
              <w:snapToGrid w:val="0"/>
              <w:spacing w:line="300" w:lineRule="exact"/>
              <w:jc w:val="center"/>
              <w:rPr>
                <w:rFonts w:ascii="Arial" w:hAnsi="Arial" w:cs="Arial"/>
                <w:color w:val="auto"/>
                <w:szCs w:val="21"/>
              </w:rPr>
            </w:pPr>
            <w:r>
              <w:rPr>
                <w:rFonts w:hint="eastAsia" w:ascii="Arial" w:hAnsi="Arial" w:cs="Arial"/>
                <w:color w:val="auto"/>
                <w:szCs w:val="21"/>
              </w:rPr>
              <w:t>实洋价合计值＝图书码洋价合计值×折扣率</w:t>
            </w:r>
          </w:p>
        </w:tc>
      </w:tr>
    </w:tbl>
    <w:p>
      <w:pPr>
        <w:snapToGrid w:val="0"/>
        <w:spacing w:line="360" w:lineRule="exact"/>
        <w:ind w:firstLine="422" w:firstLineChars="200"/>
        <w:rPr>
          <w:b/>
          <w:color w:val="auto"/>
          <w:szCs w:val="21"/>
        </w:rPr>
      </w:pPr>
      <w:r>
        <w:rPr>
          <w:b/>
          <w:color w:val="auto"/>
          <w:szCs w:val="21"/>
        </w:rPr>
        <w:t>第三条  甲方权利和义务</w:t>
      </w:r>
    </w:p>
    <w:p>
      <w:pPr>
        <w:snapToGrid w:val="0"/>
        <w:spacing w:line="360" w:lineRule="exact"/>
        <w:ind w:firstLine="420" w:firstLineChars="200"/>
        <w:rPr>
          <w:color w:val="auto"/>
          <w:szCs w:val="21"/>
        </w:rPr>
      </w:pPr>
      <w:r>
        <w:rPr>
          <w:color w:val="auto"/>
          <w:szCs w:val="21"/>
        </w:rPr>
        <w:t>1. 甲方有权要求乙方按时、按质、按量、按计划与合同协议约定完成本项目，并有权对乙方工作情况进行监督。</w:t>
      </w:r>
    </w:p>
    <w:p>
      <w:pPr>
        <w:snapToGrid w:val="0"/>
        <w:spacing w:line="360" w:lineRule="exact"/>
        <w:ind w:firstLine="420" w:firstLineChars="200"/>
        <w:rPr>
          <w:color w:val="auto"/>
          <w:szCs w:val="21"/>
        </w:rPr>
      </w:pPr>
      <w:r>
        <w:rPr>
          <w:color w:val="auto"/>
          <w:szCs w:val="21"/>
        </w:rPr>
        <w:t>2. 根据项目进度，甲方有权及时对乙方提交的方案提出修改意见，并要求乙方按修改意见完成服务工作。</w:t>
      </w:r>
    </w:p>
    <w:p>
      <w:pPr>
        <w:snapToGrid w:val="0"/>
        <w:spacing w:line="360" w:lineRule="exact"/>
        <w:ind w:firstLine="420" w:firstLineChars="200"/>
        <w:rPr>
          <w:color w:val="auto"/>
          <w:szCs w:val="21"/>
        </w:rPr>
      </w:pPr>
      <w:r>
        <w:rPr>
          <w:color w:val="auto"/>
          <w:szCs w:val="21"/>
        </w:rPr>
        <w:t>3. 乙方配备的项目投入人员应得到甲方的认可；对派遣到甲方的服务人员进行管理、考核、检查与奖惩。</w:t>
      </w:r>
    </w:p>
    <w:p>
      <w:pPr>
        <w:snapToGrid w:val="0"/>
        <w:spacing w:line="360" w:lineRule="exact"/>
        <w:ind w:firstLine="420" w:firstLineChars="200"/>
        <w:rPr>
          <w:color w:val="auto"/>
          <w:szCs w:val="21"/>
        </w:rPr>
      </w:pPr>
      <w:r>
        <w:rPr>
          <w:color w:val="auto"/>
          <w:szCs w:val="21"/>
        </w:rPr>
        <w:t>4.甲方有权要求乙方更换不合格的工作人员。</w:t>
      </w:r>
    </w:p>
    <w:p>
      <w:pPr>
        <w:snapToGrid w:val="0"/>
        <w:spacing w:line="360" w:lineRule="exact"/>
        <w:ind w:firstLine="420" w:firstLineChars="200"/>
        <w:rPr>
          <w:color w:val="auto"/>
          <w:szCs w:val="21"/>
        </w:rPr>
      </w:pPr>
      <w:r>
        <w:rPr>
          <w:color w:val="auto"/>
          <w:szCs w:val="21"/>
        </w:rPr>
        <w:t>5. 按合同要求及时向乙方支付产品和服务费用。</w:t>
      </w:r>
    </w:p>
    <w:p>
      <w:pPr>
        <w:snapToGrid w:val="0"/>
        <w:spacing w:line="360" w:lineRule="exact"/>
        <w:ind w:firstLine="422" w:firstLineChars="200"/>
        <w:rPr>
          <w:b/>
          <w:color w:val="auto"/>
          <w:szCs w:val="21"/>
        </w:rPr>
      </w:pPr>
      <w:r>
        <w:rPr>
          <w:b/>
          <w:color w:val="auto"/>
          <w:szCs w:val="21"/>
        </w:rPr>
        <w:t>第四条  乙方权利和义务</w:t>
      </w:r>
    </w:p>
    <w:p>
      <w:pPr>
        <w:snapToGrid w:val="0"/>
        <w:spacing w:line="360" w:lineRule="exact"/>
        <w:ind w:firstLine="420" w:firstLineChars="200"/>
        <w:rPr>
          <w:color w:val="auto"/>
          <w:szCs w:val="21"/>
        </w:rPr>
      </w:pPr>
      <w:r>
        <w:rPr>
          <w:color w:val="auto"/>
          <w:szCs w:val="21"/>
        </w:rPr>
        <w:t>1. 严格履行合同文件（含</w:t>
      </w:r>
      <w:r>
        <w:rPr>
          <w:rFonts w:hint="eastAsia"/>
          <w:color w:val="auto"/>
          <w:szCs w:val="21"/>
        </w:rPr>
        <w:t>招标</w:t>
      </w:r>
      <w:r>
        <w:rPr>
          <w:color w:val="auto"/>
          <w:szCs w:val="21"/>
        </w:rPr>
        <w:t>文件、</w:t>
      </w:r>
      <w:r>
        <w:rPr>
          <w:rFonts w:hint="eastAsia"/>
          <w:color w:val="auto"/>
          <w:szCs w:val="21"/>
        </w:rPr>
        <w:t>投标</w:t>
      </w:r>
      <w:r>
        <w:rPr>
          <w:color w:val="auto"/>
          <w:szCs w:val="21"/>
        </w:rPr>
        <w:t>文件等）约定和承诺的服务内容和质量标准，保证甲方项目的相关工作质量和进度。</w:t>
      </w:r>
    </w:p>
    <w:p>
      <w:pPr>
        <w:snapToGrid w:val="0"/>
        <w:spacing w:line="360" w:lineRule="exact"/>
        <w:ind w:firstLine="420" w:firstLineChars="200"/>
        <w:rPr>
          <w:color w:val="auto"/>
          <w:szCs w:val="21"/>
        </w:rPr>
      </w:pPr>
      <w:r>
        <w:rPr>
          <w:color w:val="auto"/>
          <w:szCs w:val="21"/>
        </w:rPr>
        <w:t>2. 必须严格实施乙方投标文件中承诺的人力资源配置。</w:t>
      </w:r>
      <w:r>
        <w:rPr>
          <w:rFonts w:hint="eastAsia"/>
          <w:color w:val="auto"/>
          <w:szCs w:val="21"/>
        </w:rPr>
        <w:t>配备运营技术人员满足运营要求，派驻</w:t>
      </w:r>
      <w:r>
        <w:rPr>
          <w:color w:val="auto"/>
          <w:szCs w:val="21"/>
        </w:rPr>
        <w:t>现场</w:t>
      </w:r>
      <w:r>
        <w:rPr>
          <w:rFonts w:hint="eastAsia"/>
          <w:color w:val="auto"/>
          <w:szCs w:val="21"/>
        </w:rPr>
        <w:t>，并建立相应的排班制度，保持通讯渠道畅通，设立专门应急队伍，负责运营期间突发事件的处理，确保及时到位。</w:t>
      </w:r>
      <w:r>
        <w:rPr>
          <w:color w:val="auto"/>
          <w:szCs w:val="21"/>
        </w:rPr>
        <w:t>在必须补充或更换人员时，必须补充或更换优于或等同于投标文件所承诺资质的服务人员，并需取得甲方书面同意。</w:t>
      </w:r>
    </w:p>
    <w:p>
      <w:pPr>
        <w:snapToGrid w:val="0"/>
        <w:spacing w:line="360" w:lineRule="exact"/>
        <w:ind w:firstLine="420" w:firstLineChars="200"/>
        <w:rPr>
          <w:color w:val="auto"/>
          <w:szCs w:val="21"/>
        </w:rPr>
      </w:pPr>
      <w:r>
        <w:rPr>
          <w:color w:val="auto"/>
          <w:szCs w:val="21"/>
        </w:rPr>
        <w:t>3. 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color w:val="auto"/>
          <w:szCs w:val="21"/>
        </w:rPr>
      </w:pPr>
      <w:r>
        <w:rPr>
          <w:color w:val="auto"/>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auto"/>
          <w:szCs w:val="21"/>
        </w:rPr>
      </w:pPr>
      <w:r>
        <w:rPr>
          <w:color w:val="auto"/>
          <w:szCs w:val="21"/>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color w:val="auto"/>
          <w:szCs w:val="21"/>
        </w:rPr>
      </w:pPr>
      <w:r>
        <w:rPr>
          <w:rFonts w:hint="eastAsia"/>
          <w:color w:val="auto"/>
          <w:szCs w:val="21"/>
        </w:rPr>
        <w:t>6.</w:t>
      </w:r>
      <w:r>
        <w:rPr>
          <w:color w:val="auto"/>
          <w:szCs w:val="21"/>
        </w:rPr>
        <w:t>按照合同约定收取服务费，当甲方出现无故拖欠费用时，乙方有权采取适当方式进行催缴，若甲方仍未支付费用，乙方有权停止工作。</w:t>
      </w:r>
    </w:p>
    <w:p>
      <w:pPr>
        <w:snapToGrid w:val="0"/>
        <w:spacing w:line="360" w:lineRule="exact"/>
        <w:ind w:firstLine="422" w:firstLineChars="200"/>
        <w:rPr>
          <w:b/>
          <w:color w:val="auto"/>
          <w:szCs w:val="21"/>
        </w:rPr>
      </w:pPr>
      <w:r>
        <w:rPr>
          <w:b/>
          <w:color w:val="auto"/>
          <w:szCs w:val="21"/>
        </w:rPr>
        <w:t xml:space="preserve">第五条  </w:t>
      </w:r>
      <w:r>
        <w:rPr>
          <w:rFonts w:hint="eastAsia"/>
          <w:b/>
          <w:color w:val="auto"/>
          <w:szCs w:val="21"/>
        </w:rPr>
        <w:t>安全生产</w:t>
      </w:r>
      <w:r>
        <w:rPr>
          <w:b/>
          <w:color w:val="auto"/>
          <w:szCs w:val="21"/>
        </w:rPr>
        <w:t>和环境保护</w:t>
      </w:r>
    </w:p>
    <w:p>
      <w:pPr>
        <w:snapToGrid w:val="0"/>
        <w:spacing w:line="360" w:lineRule="exact"/>
        <w:ind w:firstLine="420" w:firstLineChars="200"/>
        <w:rPr>
          <w:color w:val="auto"/>
          <w:szCs w:val="21"/>
        </w:rPr>
      </w:pPr>
      <w:r>
        <w:rPr>
          <w:rFonts w:hint="eastAsia"/>
          <w:color w:val="auto"/>
          <w:szCs w:val="21"/>
        </w:rPr>
        <w:t>1.乙方提供的服务交付成果均应按招标文件要求的包装材料、包装标准、包装方式进行包装，每一包装单元内应附详细的交付清单和质量合格证，如有缺失应及时补齐，否则视为逾期交付。</w:t>
      </w:r>
    </w:p>
    <w:p>
      <w:pPr>
        <w:snapToGrid w:val="0"/>
        <w:spacing w:line="360" w:lineRule="exact"/>
        <w:ind w:firstLine="420" w:firstLineChars="200"/>
        <w:rPr>
          <w:color w:val="auto"/>
          <w:szCs w:val="21"/>
        </w:rPr>
      </w:pPr>
      <w:r>
        <w:rPr>
          <w:rFonts w:hint="eastAsia"/>
          <w:color w:val="auto"/>
          <w:szCs w:val="21"/>
        </w:rPr>
        <w:t>2. 乙方负责服务交付成果、产品的运输。服务交付成果、产品的运输方式由乙方自定。服务交付成果、产品运输合理损耗及计算方法由乙方负责。</w:t>
      </w:r>
    </w:p>
    <w:p>
      <w:pPr>
        <w:snapToGrid w:val="0"/>
        <w:spacing w:line="360" w:lineRule="exact"/>
        <w:ind w:firstLine="422" w:firstLineChars="200"/>
        <w:rPr>
          <w:color w:val="auto"/>
          <w:szCs w:val="21"/>
        </w:rPr>
      </w:pPr>
      <w:r>
        <w:rPr>
          <w:b/>
          <w:color w:val="auto"/>
          <w:szCs w:val="21"/>
        </w:rPr>
        <w:t>第六条  交付和验收</w:t>
      </w:r>
    </w:p>
    <w:p>
      <w:pPr>
        <w:snapToGrid w:val="0"/>
        <w:spacing w:line="360" w:lineRule="exact"/>
        <w:ind w:firstLine="420" w:firstLineChars="200"/>
        <w:rPr>
          <w:color w:val="auto"/>
          <w:szCs w:val="21"/>
        </w:rPr>
      </w:pPr>
      <w:r>
        <w:rPr>
          <w:color w:val="auto"/>
          <w:szCs w:val="21"/>
        </w:rPr>
        <w:t>1.交付使用时间：按乙方投标文件中所承诺的时间；地点：按乙方投标文件中所承诺的地点。</w:t>
      </w:r>
    </w:p>
    <w:p>
      <w:pPr>
        <w:snapToGrid w:val="0"/>
        <w:spacing w:line="360" w:lineRule="exact"/>
        <w:ind w:firstLine="420" w:firstLineChars="200"/>
        <w:rPr>
          <w:color w:val="auto"/>
          <w:szCs w:val="21"/>
        </w:rPr>
      </w:pPr>
      <w:r>
        <w:rPr>
          <w:color w:val="auto"/>
          <w:szCs w:val="21"/>
        </w:rPr>
        <w:t>2.乙方提供不符合招标文件和本合同规定的交付成果或服务，甲方有权拒绝接受。</w:t>
      </w:r>
    </w:p>
    <w:p>
      <w:pPr>
        <w:snapToGrid w:val="0"/>
        <w:spacing w:line="360" w:lineRule="exact"/>
        <w:ind w:firstLine="420" w:firstLineChars="200"/>
        <w:rPr>
          <w:color w:val="auto"/>
          <w:szCs w:val="21"/>
        </w:rPr>
      </w:pPr>
      <w:r>
        <w:rPr>
          <w:color w:val="auto"/>
          <w:szCs w:val="21"/>
        </w:rPr>
        <w:t>3.甲方应当</w:t>
      </w:r>
      <w:r>
        <w:rPr>
          <w:rFonts w:hint="eastAsia"/>
          <w:color w:val="auto"/>
          <w:szCs w:val="21"/>
        </w:rPr>
        <w:t>月</w:t>
      </w:r>
      <w:r>
        <w:rPr>
          <w:color w:val="auto"/>
          <w:szCs w:val="21"/>
        </w:rPr>
        <w:t>服务成果提交后</w:t>
      </w:r>
      <w:r>
        <w:rPr>
          <w:color w:val="auto"/>
          <w:szCs w:val="21"/>
          <w:u w:val="single"/>
        </w:rPr>
        <w:t xml:space="preserve">  </w:t>
      </w:r>
      <w:r>
        <w:rPr>
          <w:rFonts w:hint="eastAsia"/>
          <w:color w:val="auto"/>
          <w:szCs w:val="21"/>
          <w:u w:val="single"/>
        </w:rPr>
        <w:t>七个工作</w:t>
      </w:r>
      <w:r>
        <w:rPr>
          <w:color w:val="auto"/>
          <w:szCs w:val="21"/>
          <w:u w:val="single"/>
        </w:rPr>
        <w:t xml:space="preserve"> </w:t>
      </w:r>
      <w:r>
        <w:rPr>
          <w:color w:val="auto"/>
          <w:szCs w:val="21"/>
        </w:rPr>
        <w:t>日内进行验收</w:t>
      </w:r>
      <w:r>
        <w:rPr>
          <w:rFonts w:hint="eastAsia"/>
          <w:color w:val="auto"/>
          <w:szCs w:val="21"/>
        </w:rPr>
        <w:t>，</w:t>
      </w:r>
      <w:r>
        <w:rPr>
          <w:color w:val="auto"/>
          <w:szCs w:val="21"/>
        </w:rPr>
        <w:t>确认服务承诺，逾期不验收的，乙方可视同验收合格。验收合格后由甲乙双方签署验收单并加盖采购单位公章，甲乙双方各执一份。</w:t>
      </w:r>
    </w:p>
    <w:p>
      <w:pPr>
        <w:snapToGrid w:val="0"/>
        <w:spacing w:line="360" w:lineRule="exact"/>
        <w:ind w:firstLine="420" w:firstLineChars="200"/>
        <w:rPr>
          <w:color w:val="auto"/>
          <w:szCs w:val="21"/>
        </w:rPr>
      </w:pPr>
      <w:r>
        <w:rPr>
          <w:color w:val="auto"/>
          <w:szCs w:val="21"/>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color w:val="auto"/>
          <w:szCs w:val="21"/>
        </w:rPr>
      </w:pPr>
      <w:r>
        <w:rPr>
          <w:color w:val="auto"/>
          <w:szCs w:val="21"/>
        </w:rPr>
        <w:t>5.甲方对验收有异议的，在验收后</w:t>
      </w:r>
      <w:r>
        <w:rPr>
          <w:color w:val="auto"/>
          <w:szCs w:val="21"/>
          <w:u w:val="single"/>
        </w:rPr>
        <w:t xml:space="preserve">  </w:t>
      </w:r>
      <w:r>
        <w:rPr>
          <w:rFonts w:hint="eastAsia"/>
          <w:color w:val="auto"/>
          <w:szCs w:val="21"/>
          <w:u w:val="single"/>
        </w:rPr>
        <w:t>五个工作</w:t>
      </w:r>
      <w:r>
        <w:rPr>
          <w:color w:val="auto"/>
          <w:szCs w:val="21"/>
          <w:u w:val="single"/>
        </w:rPr>
        <w:t xml:space="preserve">  </w:t>
      </w:r>
      <w:r>
        <w:rPr>
          <w:color w:val="auto"/>
          <w:szCs w:val="21"/>
        </w:rPr>
        <w:t>日内以书面形式向乙方提出，乙方应自收到甲方书面异议后</w:t>
      </w:r>
      <w:r>
        <w:rPr>
          <w:color w:val="auto"/>
          <w:szCs w:val="21"/>
          <w:u w:val="single"/>
        </w:rPr>
        <w:t xml:space="preserve">  7 </w:t>
      </w:r>
      <w:r>
        <w:rPr>
          <w:color w:val="auto"/>
          <w:szCs w:val="21"/>
        </w:rPr>
        <w:t>日内及时予以解决。</w:t>
      </w:r>
    </w:p>
    <w:p>
      <w:pPr>
        <w:snapToGrid w:val="0"/>
        <w:spacing w:line="360" w:lineRule="exact"/>
        <w:ind w:firstLine="420" w:firstLineChars="200"/>
        <w:rPr>
          <w:color w:val="auto"/>
          <w:szCs w:val="21"/>
        </w:rPr>
      </w:pPr>
      <w:r>
        <w:rPr>
          <w:color w:val="auto"/>
          <w:szCs w:val="21"/>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exact"/>
        <w:ind w:firstLine="422" w:firstLineChars="200"/>
        <w:rPr>
          <w:b/>
          <w:color w:val="auto"/>
          <w:szCs w:val="21"/>
        </w:rPr>
      </w:pPr>
      <w:r>
        <w:rPr>
          <w:b/>
          <w:color w:val="auto"/>
          <w:szCs w:val="21"/>
        </w:rPr>
        <w:t>第七条  服务和培训</w:t>
      </w:r>
    </w:p>
    <w:p>
      <w:pPr>
        <w:snapToGrid w:val="0"/>
        <w:spacing w:line="360" w:lineRule="exact"/>
        <w:ind w:firstLine="420" w:firstLineChars="200"/>
        <w:rPr>
          <w:color w:val="auto"/>
          <w:szCs w:val="21"/>
        </w:rPr>
      </w:pPr>
      <w:r>
        <w:rPr>
          <w:color w:val="auto"/>
          <w:szCs w:val="21"/>
        </w:rPr>
        <w:t>1.甲方应提供必要服务条件（如场地、电源、水源等）。</w:t>
      </w:r>
    </w:p>
    <w:p>
      <w:pPr>
        <w:snapToGrid w:val="0"/>
        <w:spacing w:line="36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pPr>
        <w:snapToGrid w:val="0"/>
        <w:spacing w:line="360" w:lineRule="exact"/>
        <w:ind w:firstLine="422" w:firstLineChars="200"/>
        <w:rPr>
          <w:b/>
          <w:color w:val="auto"/>
          <w:szCs w:val="21"/>
        </w:rPr>
      </w:pPr>
      <w:r>
        <w:rPr>
          <w:b/>
          <w:color w:val="auto"/>
          <w:szCs w:val="21"/>
        </w:rPr>
        <w:t>第八条  售后服务、质保期</w:t>
      </w:r>
    </w:p>
    <w:p>
      <w:pPr>
        <w:snapToGrid w:val="0"/>
        <w:spacing w:line="400" w:lineRule="exact"/>
        <w:ind w:firstLine="420" w:firstLineChars="200"/>
        <w:rPr>
          <w:color w:val="auto"/>
          <w:szCs w:val="21"/>
        </w:rPr>
      </w:pPr>
      <w:r>
        <w:rPr>
          <w:color w:val="auto"/>
          <w:szCs w:val="21"/>
        </w:rPr>
        <w:t>1.</w:t>
      </w:r>
      <w:r>
        <w:rPr>
          <w:rFonts w:hint="eastAsia"/>
          <w:color w:val="auto"/>
          <w:szCs w:val="21"/>
        </w:rPr>
        <w:t>售后服务</w:t>
      </w:r>
      <w:r>
        <w:rPr>
          <w:color w:val="auto"/>
          <w:szCs w:val="21"/>
        </w:rPr>
        <w:t>期</w:t>
      </w:r>
      <w:r>
        <w:rPr>
          <w:rFonts w:hint="eastAsia"/>
          <w:color w:val="auto"/>
          <w:szCs w:val="21"/>
        </w:rPr>
        <w:t>：</w:t>
      </w:r>
      <w:r>
        <w:rPr>
          <w:rFonts w:hint="eastAsia"/>
          <w:color w:val="auto"/>
        </w:rPr>
        <w:t>1年</w:t>
      </w:r>
    </w:p>
    <w:p>
      <w:pPr>
        <w:snapToGrid w:val="0"/>
        <w:spacing w:line="400" w:lineRule="exact"/>
        <w:ind w:firstLine="420" w:firstLineChars="200"/>
        <w:rPr>
          <w:color w:val="auto"/>
          <w:szCs w:val="21"/>
        </w:rPr>
      </w:pPr>
      <w:r>
        <w:rPr>
          <w:color w:val="auto"/>
          <w:szCs w:val="21"/>
        </w:rPr>
        <w:t>2.</w:t>
      </w:r>
      <w:r>
        <w:rPr>
          <w:rFonts w:hint="eastAsia"/>
          <w:color w:val="auto"/>
          <w:szCs w:val="21"/>
        </w:rPr>
        <w:t>售后服务方式：乙方</w:t>
      </w:r>
      <w:r>
        <w:rPr>
          <w:color w:val="auto"/>
          <w:szCs w:val="21"/>
        </w:rPr>
        <w:t>应当为采购人提供技术援助电话，解答采购人在使用中遇到的问题，及时为采购人提出解决问题的建议。</w:t>
      </w:r>
    </w:p>
    <w:p>
      <w:pPr>
        <w:spacing w:line="400" w:lineRule="exact"/>
        <w:ind w:firstLine="420" w:firstLineChars="200"/>
        <w:jc w:val="left"/>
        <w:rPr>
          <w:color w:val="auto"/>
          <w:szCs w:val="21"/>
        </w:rPr>
      </w:pPr>
      <w:r>
        <w:rPr>
          <w:color w:val="auto"/>
          <w:szCs w:val="21"/>
        </w:rPr>
        <w:t>3.服务成果质保期：</w:t>
      </w:r>
      <w:r>
        <w:rPr>
          <w:rFonts w:hint="eastAsia"/>
          <w:color w:val="auto"/>
          <w:szCs w:val="21"/>
        </w:rPr>
        <w:t>无</w:t>
      </w:r>
      <w:r>
        <w:rPr>
          <w:color w:val="auto"/>
          <w:szCs w:val="21"/>
        </w:rPr>
        <w:t>。</w:t>
      </w:r>
    </w:p>
    <w:p>
      <w:pPr>
        <w:snapToGrid w:val="0"/>
        <w:spacing w:line="400" w:lineRule="exact"/>
        <w:ind w:firstLine="420" w:firstLineChars="200"/>
        <w:rPr>
          <w:color w:val="auto"/>
          <w:szCs w:val="21"/>
          <w:u w:val="single"/>
        </w:rPr>
      </w:pPr>
      <w:r>
        <w:rPr>
          <w:color w:val="auto"/>
          <w:szCs w:val="21"/>
        </w:rPr>
        <w:t>4.乙方提供的服务承诺和售后服务及质保期责任等其它具体约定事项</w:t>
      </w:r>
      <w:r>
        <w:rPr>
          <w:rFonts w:hint="eastAsia"/>
          <w:color w:val="auto"/>
          <w:szCs w:val="21"/>
        </w:rPr>
        <w:t>：无。</w:t>
      </w:r>
    </w:p>
    <w:p>
      <w:pPr>
        <w:snapToGrid w:val="0"/>
        <w:spacing w:line="360" w:lineRule="exact"/>
        <w:ind w:firstLine="422" w:firstLineChars="200"/>
        <w:rPr>
          <w:color w:val="auto"/>
          <w:szCs w:val="21"/>
        </w:rPr>
      </w:pPr>
      <w:r>
        <w:rPr>
          <w:b/>
          <w:color w:val="auto"/>
          <w:szCs w:val="21"/>
        </w:rPr>
        <w:t>第九条　付款方式</w:t>
      </w:r>
    </w:p>
    <w:p>
      <w:pPr>
        <w:snapToGrid w:val="0"/>
        <w:spacing w:line="360" w:lineRule="exact"/>
        <w:ind w:firstLine="420" w:firstLineChars="200"/>
        <w:rPr>
          <w:color w:val="auto"/>
          <w:szCs w:val="21"/>
        </w:rPr>
      </w:pPr>
      <w:r>
        <w:rPr>
          <w:color w:val="auto"/>
          <w:szCs w:val="21"/>
        </w:rPr>
        <w:t>1.当服务成果采购数量与实际使用数量不一致时，乙方应根据实际使用量提供，合同的最终结算金额按实际使用量乘以成交单价进行计算。</w:t>
      </w:r>
    </w:p>
    <w:p>
      <w:pPr>
        <w:snapToGrid w:val="0"/>
        <w:spacing w:line="360" w:lineRule="exact"/>
        <w:ind w:firstLine="420" w:firstLineChars="200"/>
        <w:rPr>
          <w:color w:val="auto"/>
          <w:szCs w:val="21"/>
        </w:rPr>
      </w:pPr>
      <w:r>
        <w:rPr>
          <w:color w:val="auto"/>
          <w:szCs w:val="21"/>
        </w:rPr>
        <w:t>2.资金性质：</w:t>
      </w:r>
      <w:r>
        <w:rPr>
          <w:color w:val="auto"/>
          <w:szCs w:val="21"/>
          <w:u w:val="single"/>
        </w:rPr>
        <w:t>财政性资金</w:t>
      </w:r>
      <w:r>
        <w:rPr>
          <w:color w:val="auto"/>
          <w:szCs w:val="21"/>
        </w:rPr>
        <w:t>。</w:t>
      </w:r>
    </w:p>
    <w:p>
      <w:pPr>
        <w:snapToGrid w:val="0"/>
        <w:spacing w:line="360" w:lineRule="exact"/>
        <w:ind w:firstLine="420" w:firstLineChars="200"/>
        <w:rPr>
          <w:color w:val="auto"/>
          <w:szCs w:val="21"/>
        </w:rPr>
      </w:pPr>
      <w:r>
        <w:rPr>
          <w:color w:val="auto"/>
          <w:szCs w:val="21"/>
        </w:rPr>
        <w:t>3.付款方式：</w:t>
      </w:r>
    </w:p>
    <w:p>
      <w:pPr>
        <w:spacing w:line="300" w:lineRule="exact"/>
        <w:ind w:firstLine="420" w:firstLineChars="200"/>
        <w:jc w:val="left"/>
        <w:rPr>
          <w:color w:val="auto"/>
          <w:szCs w:val="21"/>
        </w:rPr>
      </w:pPr>
      <w:r>
        <w:rPr>
          <w:rFonts w:hint="eastAsia"/>
          <w:color w:val="auto"/>
          <w:szCs w:val="21"/>
        </w:rPr>
        <w:t>（1）乙方按采购合同履行完服务任务后，甲方签署项目验收书；</w:t>
      </w:r>
    </w:p>
    <w:p>
      <w:pPr>
        <w:spacing w:line="300" w:lineRule="exact"/>
        <w:ind w:firstLine="420" w:firstLineChars="200"/>
        <w:jc w:val="left"/>
        <w:rPr>
          <w:color w:val="auto"/>
          <w:szCs w:val="21"/>
        </w:rPr>
      </w:pPr>
      <w:r>
        <w:rPr>
          <w:rFonts w:hint="eastAsia"/>
          <w:color w:val="auto"/>
          <w:szCs w:val="21"/>
        </w:rPr>
        <w:t>（2）乙方向甲方开具全额发票和验收书向甲方提出付款申请；</w:t>
      </w:r>
    </w:p>
    <w:p>
      <w:pPr>
        <w:spacing w:line="300" w:lineRule="exact"/>
        <w:ind w:firstLine="420" w:firstLineChars="200"/>
        <w:jc w:val="left"/>
        <w:rPr>
          <w:color w:val="auto"/>
          <w:szCs w:val="21"/>
        </w:rPr>
      </w:pPr>
      <w:r>
        <w:rPr>
          <w:rFonts w:hint="eastAsia"/>
          <w:color w:val="auto"/>
          <w:szCs w:val="21"/>
        </w:rPr>
        <w:t>（3）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w:t>
      </w:r>
    </w:p>
    <w:p>
      <w:pPr>
        <w:spacing w:line="300" w:lineRule="exact"/>
        <w:ind w:firstLine="420" w:firstLineChars="200"/>
        <w:jc w:val="left"/>
        <w:rPr>
          <w:color w:val="auto"/>
          <w:szCs w:val="21"/>
        </w:rPr>
      </w:pPr>
      <w:r>
        <w:rPr>
          <w:rFonts w:hint="eastAsia"/>
          <w:color w:val="auto"/>
          <w:szCs w:val="21"/>
        </w:rPr>
        <w:t>（4）甲方与乙方签订合同后，甲方应在合同生效以及具备实施条件后15日内向乙方支付合同金额30%的预付款。（在签订合同时，乙方明确表示无需预付款或者主动要求降低预付款比例的，甲方可不适用该条款。）</w:t>
      </w:r>
    </w:p>
    <w:p>
      <w:pPr>
        <w:spacing w:line="300" w:lineRule="exact"/>
        <w:ind w:firstLine="420" w:firstLineChars="200"/>
        <w:jc w:val="left"/>
        <w:rPr>
          <w:color w:val="auto"/>
          <w:szCs w:val="21"/>
        </w:rPr>
      </w:pPr>
      <w:r>
        <w:rPr>
          <w:rFonts w:hint="eastAsia"/>
          <w:color w:val="auto"/>
          <w:szCs w:val="21"/>
        </w:rPr>
        <w:t>（5）乙方按采购合同履行完服务任务，并且办理妥差、错图书的退书手续后，按实际验收合格图书的实洋价合计值（实洋价合计值＝图书码洋价合计值×折扣率）结算，剩余货款一次性付清。双方核对金额无误后，采购人在 20 个工作日内办理好转账业务，乙方在5个工作日内开具发票给采购人。</w:t>
      </w:r>
    </w:p>
    <w:p>
      <w:pPr>
        <w:spacing w:line="300" w:lineRule="exact"/>
        <w:ind w:firstLine="420" w:firstLineChars="200"/>
        <w:jc w:val="left"/>
        <w:rPr>
          <w:color w:val="auto"/>
          <w:szCs w:val="21"/>
        </w:rPr>
      </w:pPr>
      <w:r>
        <w:rPr>
          <w:rFonts w:hint="eastAsia"/>
          <w:color w:val="auto"/>
          <w:szCs w:val="21"/>
        </w:rPr>
        <w:t>（6）本合同使用货币币制如未作特别说明均为人民币。</w:t>
      </w:r>
    </w:p>
    <w:p>
      <w:pPr>
        <w:snapToGrid w:val="0"/>
        <w:spacing w:line="360" w:lineRule="exact"/>
        <w:ind w:firstLine="422" w:firstLineChars="200"/>
        <w:rPr>
          <w:b/>
          <w:color w:val="auto"/>
          <w:szCs w:val="21"/>
        </w:rPr>
      </w:pPr>
      <w:r>
        <w:rPr>
          <w:b/>
          <w:color w:val="auto"/>
          <w:szCs w:val="21"/>
        </w:rPr>
        <w:t xml:space="preserve">第十条 质量保证金及履约保证金   </w:t>
      </w:r>
    </w:p>
    <w:p>
      <w:pPr>
        <w:snapToGrid w:val="0"/>
        <w:spacing w:line="360" w:lineRule="exact"/>
        <w:ind w:firstLine="420" w:firstLineChars="200"/>
        <w:rPr>
          <w:color w:val="auto"/>
          <w:szCs w:val="21"/>
        </w:rPr>
      </w:pPr>
      <w:bookmarkStart w:id="52" w:name="_Hlk19106598"/>
      <w:r>
        <w:rPr>
          <w:rFonts w:hint="eastAsia"/>
          <w:color w:val="auto"/>
          <w:szCs w:val="21"/>
        </w:rPr>
        <w:t>1</w:t>
      </w:r>
      <w:r>
        <w:rPr>
          <w:color w:val="auto"/>
          <w:szCs w:val="21"/>
        </w:rPr>
        <w:t>.质量保证金：</w:t>
      </w:r>
      <w:r>
        <w:rPr>
          <w:rFonts w:hint="eastAsia"/>
          <w:color w:val="auto"/>
          <w:szCs w:val="21"/>
          <w:u w:val="single"/>
        </w:rPr>
        <w:t>无</w:t>
      </w:r>
      <w:r>
        <w:rPr>
          <w:rFonts w:hint="eastAsia"/>
          <w:color w:val="auto"/>
          <w:szCs w:val="21"/>
        </w:rPr>
        <w:t>。</w:t>
      </w:r>
    </w:p>
    <w:p>
      <w:pPr>
        <w:snapToGrid w:val="0"/>
        <w:spacing w:line="360" w:lineRule="exact"/>
        <w:ind w:firstLine="420" w:firstLineChars="200"/>
        <w:rPr>
          <w:color w:val="auto"/>
          <w:szCs w:val="21"/>
        </w:rPr>
      </w:pPr>
      <w:r>
        <w:rPr>
          <w:color w:val="auto"/>
          <w:szCs w:val="21"/>
        </w:rPr>
        <w:t>2.履约保证金</w:t>
      </w:r>
      <w:r>
        <w:rPr>
          <w:rFonts w:hint="eastAsia"/>
          <w:color w:val="auto"/>
          <w:szCs w:val="21"/>
        </w:rPr>
        <w:t>金额：</w:t>
      </w:r>
      <w:r>
        <w:rPr>
          <w:rFonts w:hint="eastAsia"/>
          <w:color w:val="auto"/>
          <w:szCs w:val="21"/>
          <w:u w:val="single"/>
        </w:rPr>
        <w:t>无</w:t>
      </w:r>
      <w:r>
        <w:rPr>
          <w:rFonts w:hint="eastAsia"/>
          <w:color w:val="auto"/>
          <w:szCs w:val="21"/>
        </w:rPr>
        <w:t>。</w:t>
      </w:r>
      <w:r>
        <w:rPr>
          <w:color w:val="auto"/>
          <w:szCs w:val="21"/>
        </w:rPr>
        <w:t xml:space="preserve"> </w:t>
      </w:r>
    </w:p>
    <w:p>
      <w:pPr>
        <w:spacing w:line="300" w:lineRule="exact"/>
        <w:ind w:firstLine="420" w:firstLineChars="200"/>
        <w:jc w:val="left"/>
        <w:rPr>
          <w:color w:val="auto"/>
          <w:szCs w:val="21"/>
        </w:rPr>
      </w:pPr>
      <w:r>
        <w:rPr>
          <w:rFonts w:hint="eastAsia"/>
          <w:color w:val="auto"/>
          <w:szCs w:val="21"/>
        </w:rPr>
        <w:t>履约保证金退还方式及时间、条件、不予退还的情形：项目履约验收完成、质保期满后由乙方向甲方提供履约保证金缴纳的凭证，甲方在收到材料后10个工作日内办理退还手续（不计利息）</w:t>
      </w:r>
      <w:r>
        <w:rPr>
          <w:color w:val="auto"/>
          <w:szCs w:val="21"/>
        </w:rPr>
        <w:t>；</w:t>
      </w:r>
      <w:r>
        <w:rPr>
          <w:color w:val="auto"/>
        </w:rPr>
        <w:t>如果</w:t>
      </w:r>
      <w:r>
        <w:rPr>
          <w:rFonts w:hint="eastAsia"/>
          <w:color w:val="auto"/>
        </w:rPr>
        <w:t>乙方</w:t>
      </w:r>
      <w:r>
        <w:rPr>
          <w:color w:val="auto"/>
        </w:rPr>
        <w:t>不履行合同约定的义务或其履行不符合合同的约定，</w:t>
      </w:r>
      <w:r>
        <w:rPr>
          <w:rFonts w:hint="eastAsia"/>
          <w:color w:val="auto"/>
        </w:rPr>
        <w:t>甲方</w:t>
      </w:r>
      <w:r>
        <w:rPr>
          <w:color w:val="auto"/>
        </w:rPr>
        <w:t>有权扣划</w:t>
      </w:r>
      <w:r>
        <w:rPr>
          <w:rFonts w:hint="eastAsia"/>
          <w:color w:val="auto"/>
        </w:rPr>
        <w:t>全部或</w:t>
      </w:r>
      <w:r>
        <w:rPr>
          <w:color w:val="auto"/>
        </w:rPr>
        <w:t>相应金额的履约保证金。</w:t>
      </w:r>
      <w:r>
        <w:rPr>
          <w:color w:val="auto"/>
          <w:szCs w:val="21"/>
        </w:rPr>
        <w:t xml:space="preserve"> </w:t>
      </w:r>
    </w:p>
    <w:p>
      <w:pPr>
        <w:spacing w:line="300" w:lineRule="exact"/>
        <w:ind w:firstLine="420" w:firstLineChars="200"/>
        <w:jc w:val="left"/>
        <w:rPr>
          <w:color w:val="auto"/>
          <w:szCs w:val="21"/>
        </w:rPr>
      </w:pPr>
      <w:r>
        <w:rPr>
          <w:rFonts w:hint="eastAsia"/>
          <w:color w:val="auto"/>
          <w:szCs w:val="21"/>
        </w:rPr>
        <w:t>如甲方未在上述规定时间内退还的，乙方可予以催告，甲方应按中国人民银行发布的同期同类贷款基准利率向乙方支付自催告日期起的利息。</w:t>
      </w:r>
    </w:p>
    <w:bookmarkEnd w:id="52"/>
    <w:p>
      <w:pPr>
        <w:snapToGrid w:val="0"/>
        <w:spacing w:line="360" w:lineRule="exact"/>
        <w:ind w:firstLine="422" w:firstLineChars="200"/>
        <w:rPr>
          <w:b/>
          <w:color w:val="auto"/>
          <w:szCs w:val="21"/>
        </w:rPr>
      </w:pPr>
      <w:r>
        <w:rPr>
          <w:b/>
          <w:color w:val="auto"/>
          <w:szCs w:val="21"/>
        </w:rPr>
        <w:t>第十一条 税费</w:t>
      </w:r>
    </w:p>
    <w:p>
      <w:pPr>
        <w:snapToGrid w:val="0"/>
        <w:spacing w:line="360" w:lineRule="exact"/>
        <w:ind w:firstLine="420" w:firstLineChars="200"/>
        <w:rPr>
          <w:color w:val="auto"/>
          <w:szCs w:val="21"/>
        </w:rPr>
      </w:pPr>
      <w:r>
        <w:rPr>
          <w:color w:val="auto"/>
          <w:szCs w:val="21"/>
        </w:rPr>
        <w:t>本合同执行中相关的一切税费均由乙方负担。</w:t>
      </w:r>
    </w:p>
    <w:p>
      <w:pPr>
        <w:snapToGrid w:val="0"/>
        <w:spacing w:line="360" w:lineRule="exact"/>
        <w:ind w:firstLine="422" w:firstLineChars="200"/>
        <w:rPr>
          <w:b/>
          <w:color w:val="auto"/>
          <w:szCs w:val="21"/>
        </w:rPr>
      </w:pPr>
      <w:r>
        <w:rPr>
          <w:b/>
          <w:color w:val="auto"/>
          <w:szCs w:val="21"/>
        </w:rPr>
        <w:t>第十二条 质量保证及售后服务</w:t>
      </w:r>
    </w:p>
    <w:p>
      <w:pPr>
        <w:snapToGrid w:val="0"/>
        <w:spacing w:line="360" w:lineRule="exact"/>
        <w:ind w:firstLine="420" w:firstLineChars="200"/>
        <w:rPr>
          <w:color w:val="auto"/>
          <w:szCs w:val="21"/>
        </w:rPr>
      </w:pPr>
      <w:r>
        <w:rPr>
          <w:color w:val="auto"/>
          <w:szCs w:val="21"/>
        </w:rPr>
        <w:t>1. 按招标文件规定的服务质量标准，并达到或优于</w:t>
      </w:r>
      <w:r>
        <w:rPr>
          <w:rFonts w:hint="eastAsia"/>
          <w:color w:val="auto"/>
          <w:szCs w:val="21"/>
        </w:rPr>
        <w:t>中标人</w:t>
      </w:r>
      <w:r>
        <w:rPr>
          <w:color w:val="auto"/>
          <w:szCs w:val="21"/>
        </w:rPr>
        <w:t>承诺的标准。</w:t>
      </w:r>
    </w:p>
    <w:p>
      <w:pPr>
        <w:snapToGrid w:val="0"/>
        <w:spacing w:line="360" w:lineRule="exact"/>
        <w:ind w:firstLine="420" w:firstLineChars="200"/>
        <w:rPr>
          <w:color w:val="auto"/>
          <w:szCs w:val="21"/>
        </w:rPr>
      </w:pPr>
      <w:r>
        <w:rPr>
          <w:color w:val="auto"/>
          <w:szCs w:val="21"/>
        </w:rPr>
        <w:t>2. 乙方所提供的产品型号、技术规格、技术参数等质量必须与招标文件和承诺相一致。</w:t>
      </w:r>
    </w:p>
    <w:p>
      <w:pPr>
        <w:snapToGrid w:val="0"/>
        <w:spacing w:line="360" w:lineRule="exact"/>
        <w:ind w:firstLine="420" w:firstLineChars="200"/>
        <w:rPr>
          <w:color w:val="auto"/>
          <w:szCs w:val="21"/>
        </w:rPr>
      </w:pPr>
      <w:r>
        <w:rPr>
          <w:color w:val="auto"/>
          <w:szCs w:val="21"/>
        </w:rPr>
        <w:t>3. 如在使用过程中发生质量问题，乙方在接到甲方通知后在</w:t>
      </w:r>
      <w:r>
        <w:rPr>
          <w:color w:val="auto"/>
          <w:szCs w:val="21"/>
          <w:u w:val="single"/>
        </w:rPr>
        <w:t xml:space="preserve">    </w:t>
      </w:r>
      <w:r>
        <w:rPr>
          <w:color w:val="auto"/>
          <w:szCs w:val="21"/>
        </w:rPr>
        <w:t>小时内到达甲方现场。</w:t>
      </w:r>
    </w:p>
    <w:p>
      <w:pPr>
        <w:snapToGrid w:val="0"/>
        <w:spacing w:line="360" w:lineRule="exact"/>
        <w:ind w:firstLine="420" w:firstLineChars="200"/>
        <w:rPr>
          <w:color w:val="auto"/>
          <w:szCs w:val="21"/>
        </w:rPr>
      </w:pPr>
      <w:r>
        <w:rPr>
          <w:color w:val="auto"/>
          <w:szCs w:val="21"/>
        </w:rPr>
        <w:t>4. 在质保期内，乙方应对服务成果出现的质量及安全问题负责处理解决并承担一切费用。</w:t>
      </w:r>
    </w:p>
    <w:p>
      <w:pPr>
        <w:snapToGrid w:val="0"/>
        <w:spacing w:line="360" w:lineRule="exact"/>
        <w:ind w:firstLine="420" w:firstLineChars="200"/>
        <w:rPr>
          <w:color w:val="auto"/>
          <w:szCs w:val="21"/>
        </w:rPr>
      </w:pPr>
      <w:r>
        <w:rPr>
          <w:color w:val="auto"/>
          <w:szCs w:val="21"/>
        </w:rPr>
        <w:t>5. 上述的服务成果因人为因素出现的故障不在免费维护范围内。</w:t>
      </w:r>
    </w:p>
    <w:p>
      <w:pPr>
        <w:snapToGrid w:val="0"/>
        <w:spacing w:line="360" w:lineRule="exact"/>
        <w:ind w:firstLine="422" w:firstLineChars="200"/>
        <w:rPr>
          <w:b/>
          <w:color w:val="auto"/>
          <w:szCs w:val="21"/>
        </w:rPr>
      </w:pPr>
      <w:r>
        <w:rPr>
          <w:b/>
          <w:color w:val="auto"/>
          <w:szCs w:val="21"/>
        </w:rPr>
        <w:t>第十三条　违约责任</w:t>
      </w:r>
    </w:p>
    <w:p>
      <w:pPr>
        <w:snapToGrid w:val="0"/>
        <w:spacing w:line="360" w:lineRule="exact"/>
        <w:ind w:firstLine="420" w:firstLineChars="200"/>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color w:val="auto"/>
          <w:szCs w:val="21"/>
          <w:u w:val="single"/>
        </w:rPr>
        <w:t xml:space="preserve"> </w:t>
      </w:r>
      <w:r>
        <w:rPr>
          <w:rFonts w:hint="eastAsia"/>
          <w:color w:val="auto"/>
          <w:szCs w:val="21"/>
          <w:u w:val="single"/>
        </w:rPr>
        <w:t>30</w:t>
      </w:r>
      <w:r>
        <w:rPr>
          <w:color w:val="auto"/>
          <w:szCs w:val="21"/>
          <w:u w:val="single"/>
        </w:rPr>
        <w:t xml:space="preserve"> </w:t>
      </w:r>
      <w:r>
        <w:rPr>
          <w:color w:val="auto"/>
          <w:szCs w:val="21"/>
        </w:rPr>
        <w:t>日，或经</w:t>
      </w:r>
      <w:r>
        <w:rPr>
          <w:color w:val="auto"/>
          <w:szCs w:val="21"/>
          <w:u w:val="single"/>
        </w:rPr>
        <w:t xml:space="preserve"> </w:t>
      </w:r>
      <w:r>
        <w:rPr>
          <w:rFonts w:hint="eastAsia"/>
          <w:color w:val="auto"/>
          <w:szCs w:val="21"/>
          <w:u w:val="single"/>
        </w:rPr>
        <w:t>2</w:t>
      </w:r>
      <w:r>
        <w:rPr>
          <w:color w:val="auto"/>
          <w:szCs w:val="21"/>
          <w:u w:val="single"/>
        </w:rPr>
        <w:t xml:space="preserve"> </w:t>
      </w:r>
      <w:r>
        <w:rPr>
          <w:color w:val="auto"/>
          <w:szCs w:val="21"/>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pPr>
        <w:snapToGrid w:val="0"/>
        <w:spacing w:line="360" w:lineRule="exact"/>
        <w:ind w:firstLine="420" w:firstLineChars="200"/>
        <w:jc w:val="left"/>
        <w:rPr>
          <w:color w:val="auto"/>
          <w:szCs w:val="21"/>
        </w:rPr>
      </w:pPr>
      <w:r>
        <w:rPr>
          <w:color w:val="auto"/>
          <w:szCs w:val="21"/>
        </w:rPr>
        <w:t>4.乙方提供的交付成果或服务如侵犯了第三方合法权益而引发的任何纠纷或诉讼，均由乙方负责交涉并承担全部责任。</w:t>
      </w:r>
    </w:p>
    <w:p>
      <w:pPr>
        <w:snapToGrid w:val="0"/>
        <w:spacing w:line="360" w:lineRule="exact"/>
        <w:ind w:firstLine="420" w:firstLineChars="200"/>
        <w:rPr>
          <w:color w:val="auto"/>
          <w:szCs w:val="21"/>
        </w:rPr>
      </w:pPr>
      <w:r>
        <w:rPr>
          <w:color w:val="auto"/>
          <w:szCs w:val="21"/>
        </w:rPr>
        <w:t>5.因包装、运输引起的交付成果或服务成果损坏，按质量不合格处罚。</w:t>
      </w:r>
    </w:p>
    <w:p>
      <w:pPr>
        <w:snapToGrid w:val="0"/>
        <w:spacing w:line="360" w:lineRule="exact"/>
        <w:ind w:firstLine="420" w:firstLineChars="200"/>
        <w:rPr>
          <w:color w:val="auto"/>
          <w:szCs w:val="21"/>
        </w:rPr>
      </w:pPr>
      <w:r>
        <w:rPr>
          <w:color w:val="auto"/>
          <w:szCs w:val="21"/>
        </w:rPr>
        <w:t>6.甲方无故延期接收服务交付成果、乙方逾期交付的，每天向对方偿付违约交付成果或服务费用金额的3‰违约金，但违约金累计不得超过违约交付成果或服务费用金额的</w:t>
      </w:r>
      <w:r>
        <w:rPr>
          <w:color w:val="auto"/>
          <w:szCs w:val="21"/>
          <w:u w:val="single"/>
        </w:rPr>
        <w:t>5%</w:t>
      </w:r>
      <w:r>
        <w:rPr>
          <w:color w:val="auto"/>
          <w:szCs w:val="21"/>
        </w:rPr>
        <w:t>，超过</w:t>
      </w:r>
      <w:r>
        <w:rPr>
          <w:color w:val="auto"/>
          <w:szCs w:val="21"/>
          <w:u w:val="single"/>
        </w:rPr>
        <w:t xml:space="preserve"> 30 </w:t>
      </w:r>
      <w:r>
        <w:rPr>
          <w:color w:val="auto"/>
          <w:szCs w:val="21"/>
        </w:rPr>
        <w:t>天对方有权解除合同，违约方承担因此给对方造成经济损失；甲方延期付交付成果或服务费用金额的，每天向乙方偿付延期交付成果或服务费用金额的</w:t>
      </w:r>
      <w:r>
        <w:rPr>
          <w:color w:val="auto"/>
          <w:szCs w:val="21"/>
          <w:u w:val="single"/>
        </w:rPr>
        <w:t xml:space="preserve">3‰ </w:t>
      </w:r>
      <w:r>
        <w:rPr>
          <w:color w:val="auto"/>
          <w:szCs w:val="21"/>
        </w:rPr>
        <w:t>作为滞纳金，但滞纳金累计不得超过延期交付成果或服务费用金额的</w:t>
      </w:r>
      <w:r>
        <w:rPr>
          <w:color w:val="auto"/>
          <w:szCs w:val="21"/>
          <w:u w:val="single"/>
        </w:rPr>
        <w:t>5%</w:t>
      </w:r>
      <w:r>
        <w:rPr>
          <w:color w:val="auto"/>
          <w:szCs w:val="21"/>
        </w:rPr>
        <w:t>。</w:t>
      </w:r>
    </w:p>
    <w:p>
      <w:pPr>
        <w:snapToGrid w:val="0"/>
        <w:spacing w:line="360" w:lineRule="exact"/>
        <w:ind w:firstLine="420" w:firstLineChars="200"/>
        <w:rPr>
          <w:color w:val="auto"/>
          <w:szCs w:val="21"/>
        </w:rPr>
      </w:pPr>
      <w:r>
        <w:rPr>
          <w:color w:val="auto"/>
          <w:szCs w:val="21"/>
        </w:rPr>
        <w:t>7.乙方未按本合同和投标文件中规定的服务承诺提供售后服务的，乙方应按本合同合计金额</w:t>
      </w:r>
      <w:r>
        <w:rPr>
          <w:color w:val="auto"/>
          <w:szCs w:val="21"/>
          <w:u w:val="single"/>
        </w:rPr>
        <w:t xml:space="preserve"> 5%</w:t>
      </w:r>
      <w:r>
        <w:rPr>
          <w:color w:val="auto"/>
          <w:szCs w:val="21"/>
        </w:rPr>
        <w:t>向甲方支付违约金。</w:t>
      </w:r>
    </w:p>
    <w:p>
      <w:pPr>
        <w:snapToGrid w:val="0"/>
        <w:spacing w:line="360" w:lineRule="exact"/>
        <w:ind w:firstLine="420" w:firstLineChars="200"/>
        <w:rPr>
          <w:color w:val="auto"/>
          <w:szCs w:val="21"/>
        </w:rPr>
      </w:pPr>
      <w:r>
        <w:rPr>
          <w:color w:val="auto"/>
          <w:szCs w:val="21"/>
        </w:rPr>
        <w:t>8.其它违约行为按违约服务成果费用金额5%收取违约金并赔偿经济损失。</w:t>
      </w:r>
    </w:p>
    <w:p>
      <w:pPr>
        <w:pStyle w:val="26"/>
        <w:snapToGrid w:val="0"/>
        <w:spacing w:before="120" w:after="120" w:line="360" w:lineRule="exact"/>
        <w:ind w:firstLine="413" w:firstLineChars="196"/>
        <w:rPr>
          <w:rFonts w:ascii="Times New Roman" w:hAnsi="Times New Roman" w:cs="Times New Roman"/>
          <w:b/>
          <w:color w:val="auto"/>
        </w:rPr>
      </w:pPr>
      <w:r>
        <w:rPr>
          <w:rFonts w:ascii="Times New Roman" w:hAnsi="Times New Roman" w:cs="Times New Roman"/>
          <w:b/>
          <w:color w:val="auto"/>
        </w:rPr>
        <w:t>第十四条 不可抗力事件处理</w:t>
      </w:r>
    </w:p>
    <w:p>
      <w:pPr>
        <w:snapToGrid w:val="0"/>
        <w:spacing w:line="36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color w:val="auto"/>
          <w:szCs w:val="21"/>
        </w:rPr>
      </w:pPr>
      <w:r>
        <w:rPr>
          <w:color w:val="auto"/>
          <w:szCs w:val="21"/>
        </w:rPr>
        <w:t>2. 不可抗力事件发生后，应立即通知对方，并寄送有关权威机构出具的证明。</w:t>
      </w:r>
    </w:p>
    <w:p>
      <w:pPr>
        <w:snapToGrid w:val="0"/>
        <w:spacing w:line="360" w:lineRule="exact"/>
        <w:ind w:firstLine="420" w:firstLineChars="200"/>
        <w:rPr>
          <w:color w:val="auto"/>
          <w:szCs w:val="21"/>
        </w:rPr>
      </w:pPr>
      <w:r>
        <w:rPr>
          <w:color w:val="auto"/>
          <w:szCs w:val="21"/>
        </w:rPr>
        <w:t>3. 不可抗力事件延续一百二十天以上，双方应通过友好协商，确定是否继续履行合同。</w:t>
      </w:r>
    </w:p>
    <w:p>
      <w:pPr>
        <w:snapToGrid w:val="0"/>
        <w:spacing w:line="360" w:lineRule="exact"/>
        <w:ind w:firstLine="422" w:firstLineChars="200"/>
        <w:rPr>
          <w:color w:val="auto"/>
          <w:szCs w:val="21"/>
        </w:rPr>
      </w:pPr>
      <w:r>
        <w:rPr>
          <w:b/>
          <w:color w:val="auto"/>
          <w:szCs w:val="21"/>
        </w:rPr>
        <w:t>第十五条  合同争议解决</w:t>
      </w:r>
    </w:p>
    <w:p>
      <w:pPr>
        <w:snapToGrid w:val="0"/>
        <w:spacing w:line="360" w:lineRule="exact"/>
        <w:ind w:firstLine="420" w:firstLineChars="200"/>
        <w:rPr>
          <w:color w:val="auto"/>
          <w:szCs w:val="21"/>
        </w:rPr>
      </w:pPr>
      <w:r>
        <w:rPr>
          <w:color w:val="auto"/>
          <w:szCs w:val="21"/>
        </w:rPr>
        <w:t>1 因交付成果或服务质量问题发生争议的，应邀请国家认可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auto"/>
          <w:szCs w:val="21"/>
        </w:rPr>
      </w:pPr>
      <w:r>
        <w:rPr>
          <w:color w:val="auto"/>
          <w:szCs w:val="21"/>
        </w:rPr>
        <w:t>2 因履行本合同引起的或与本合同有关的争议，甲乙双方应首先通过友好协商解决，如果协商不能解决，可向甲方所在地人民法院提起诉讼。包括但不限于案件受理费、调查取证、鉴定费、差旅费、律师费等由败诉方承担。</w:t>
      </w:r>
    </w:p>
    <w:p>
      <w:pPr>
        <w:pStyle w:val="26"/>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第十六条 合同生效及其它</w:t>
      </w:r>
    </w:p>
    <w:p>
      <w:pPr>
        <w:snapToGrid w:val="0"/>
        <w:spacing w:line="360" w:lineRule="exact"/>
        <w:ind w:firstLine="420" w:firstLineChars="200"/>
        <w:rPr>
          <w:color w:val="auto"/>
          <w:szCs w:val="21"/>
        </w:rPr>
      </w:pPr>
      <w:r>
        <w:rPr>
          <w:color w:val="auto"/>
          <w:szCs w:val="21"/>
        </w:rPr>
        <w:t>1．合同经双方法定代表人或授权代表签字并加盖单位公章后生效。</w:t>
      </w:r>
    </w:p>
    <w:p>
      <w:pPr>
        <w:snapToGrid w:val="0"/>
        <w:spacing w:line="360" w:lineRule="exact"/>
        <w:ind w:firstLine="420" w:firstLineChars="200"/>
        <w:rPr>
          <w:color w:val="auto"/>
          <w:szCs w:val="21"/>
        </w:rPr>
      </w:pPr>
      <w:r>
        <w:rPr>
          <w:color w:val="auto"/>
          <w:szCs w:val="21"/>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auto"/>
          <w:szCs w:val="21"/>
        </w:rPr>
      </w:pPr>
      <w:r>
        <w:rPr>
          <w:color w:val="auto"/>
          <w:szCs w:val="21"/>
        </w:rPr>
        <w:t>3．本合同未尽事宜，遵照《合同法》有关条文执行。</w:t>
      </w:r>
    </w:p>
    <w:p>
      <w:pPr>
        <w:snapToGrid w:val="0"/>
        <w:spacing w:line="360" w:lineRule="exact"/>
        <w:ind w:firstLine="422" w:firstLineChars="200"/>
        <w:rPr>
          <w:b/>
          <w:color w:val="auto"/>
          <w:szCs w:val="21"/>
        </w:rPr>
      </w:pPr>
      <w:r>
        <w:rPr>
          <w:b/>
          <w:color w:val="auto"/>
          <w:szCs w:val="21"/>
        </w:rPr>
        <w:t>第十七条　合同的变更、终止与转让</w:t>
      </w:r>
    </w:p>
    <w:p>
      <w:pPr>
        <w:snapToGrid w:val="0"/>
        <w:spacing w:line="36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pPr>
        <w:snapToGrid w:val="0"/>
        <w:spacing w:line="360" w:lineRule="exact"/>
        <w:ind w:firstLine="420" w:firstLineChars="200"/>
        <w:rPr>
          <w:color w:val="auto"/>
          <w:szCs w:val="21"/>
        </w:rPr>
      </w:pPr>
      <w:r>
        <w:rPr>
          <w:color w:val="auto"/>
          <w:szCs w:val="21"/>
        </w:rPr>
        <w:t>2.未经甲方书面同意，乙方不得擅自转让其应履行的合同义务。</w:t>
      </w:r>
    </w:p>
    <w:p>
      <w:pPr>
        <w:snapToGrid w:val="0"/>
        <w:spacing w:line="360" w:lineRule="exact"/>
        <w:ind w:firstLine="422" w:firstLineChars="200"/>
        <w:rPr>
          <w:b/>
          <w:color w:val="auto"/>
          <w:szCs w:val="21"/>
        </w:rPr>
      </w:pPr>
      <w:r>
        <w:rPr>
          <w:b/>
          <w:color w:val="auto"/>
          <w:szCs w:val="21"/>
        </w:rPr>
        <w:t>第十八条　签订本合同依据</w:t>
      </w:r>
    </w:p>
    <w:p>
      <w:pPr>
        <w:snapToGrid w:val="0"/>
        <w:spacing w:line="360" w:lineRule="exact"/>
        <w:ind w:firstLine="420" w:firstLineChars="200"/>
        <w:rPr>
          <w:color w:val="auto"/>
          <w:szCs w:val="21"/>
        </w:rPr>
      </w:pPr>
      <w:r>
        <w:rPr>
          <w:color w:val="auto"/>
          <w:szCs w:val="21"/>
        </w:rPr>
        <w:t>1.政府采购招标文件；</w:t>
      </w:r>
    </w:p>
    <w:p>
      <w:pPr>
        <w:snapToGrid w:val="0"/>
        <w:spacing w:line="360" w:lineRule="exact"/>
        <w:ind w:firstLine="420" w:firstLineChars="200"/>
        <w:rPr>
          <w:color w:val="auto"/>
          <w:szCs w:val="21"/>
        </w:rPr>
      </w:pPr>
      <w:r>
        <w:rPr>
          <w:color w:val="auto"/>
          <w:szCs w:val="21"/>
        </w:rPr>
        <w:t>2.乙方提供的投标文件；</w:t>
      </w:r>
    </w:p>
    <w:p>
      <w:pPr>
        <w:snapToGrid w:val="0"/>
        <w:spacing w:line="360" w:lineRule="exact"/>
        <w:ind w:firstLine="420" w:firstLineChars="200"/>
        <w:rPr>
          <w:color w:val="auto"/>
          <w:szCs w:val="21"/>
        </w:rPr>
      </w:pPr>
      <w:r>
        <w:rPr>
          <w:color w:val="auto"/>
          <w:szCs w:val="21"/>
        </w:rPr>
        <w:t>3.投标</w:t>
      </w:r>
      <w:r>
        <w:rPr>
          <w:rFonts w:hint="eastAsia"/>
          <w:color w:val="auto"/>
          <w:szCs w:val="21"/>
        </w:rPr>
        <w:t>函</w:t>
      </w:r>
      <w:r>
        <w:rPr>
          <w:color w:val="auto"/>
          <w:szCs w:val="21"/>
        </w:rPr>
        <w:t>；</w:t>
      </w:r>
    </w:p>
    <w:p>
      <w:pPr>
        <w:snapToGrid w:val="0"/>
        <w:spacing w:line="360" w:lineRule="exact"/>
        <w:ind w:firstLine="420" w:firstLineChars="200"/>
        <w:rPr>
          <w:color w:val="auto"/>
          <w:szCs w:val="21"/>
          <w:u w:val="single"/>
        </w:rPr>
      </w:pPr>
      <w:r>
        <w:rPr>
          <w:color w:val="auto"/>
          <w:szCs w:val="21"/>
        </w:rPr>
        <w:t>4.</w:t>
      </w:r>
      <w:r>
        <w:rPr>
          <w:rFonts w:hint="eastAsia"/>
          <w:color w:val="auto"/>
          <w:szCs w:val="21"/>
        </w:rPr>
        <w:t>中标</w:t>
      </w:r>
      <w:r>
        <w:rPr>
          <w:color w:val="auto"/>
          <w:szCs w:val="21"/>
        </w:rPr>
        <w:t>通知书。</w:t>
      </w:r>
    </w:p>
    <w:p>
      <w:pPr>
        <w:snapToGrid w:val="0"/>
        <w:spacing w:line="360" w:lineRule="exact"/>
        <w:ind w:firstLine="422" w:firstLineChars="200"/>
        <w:rPr>
          <w:color w:val="auto"/>
          <w:szCs w:val="21"/>
        </w:rPr>
      </w:pPr>
      <w:r>
        <w:rPr>
          <w:b/>
          <w:color w:val="auto"/>
          <w:szCs w:val="21"/>
        </w:rPr>
        <w:t>第十九条　</w:t>
      </w:r>
      <w:r>
        <w:rPr>
          <w:color w:val="auto"/>
          <w:szCs w:val="21"/>
        </w:rPr>
        <w:t>本合同一式五份，具有同等法律效力。</w:t>
      </w:r>
      <w:r>
        <w:rPr>
          <w:color w:val="auto"/>
          <w:spacing w:val="4"/>
          <w:szCs w:val="21"/>
        </w:rPr>
        <w:t>政府采购监督管理部门、采购代理机构</w:t>
      </w:r>
      <w:r>
        <w:rPr>
          <w:color w:val="auto"/>
          <w:szCs w:val="21"/>
        </w:rPr>
        <w:t>各一份，甲方两份，乙方一份。</w:t>
      </w:r>
    </w:p>
    <w:p>
      <w:pPr>
        <w:snapToGrid w:val="0"/>
        <w:spacing w:line="360" w:lineRule="exact"/>
        <w:ind w:firstLine="420" w:firstLineChars="200"/>
        <w:rPr>
          <w:color w:val="auto"/>
          <w:szCs w:val="21"/>
        </w:rPr>
      </w:pPr>
      <w:r>
        <w:rPr>
          <w:color w:val="auto"/>
          <w:szCs w:val="21"/>
        </w:rPr>
        <w:t>本合同经甲乙双方法定代表人或被授权代表签字并加盖单位公章后生效。</w:t>
      </w:r>
    </w:p>
    <w:p>
      <w:pPr>
        <w:snapToGrid w:val="0"/>
        <w:spacing w:line="360" w:lineRule="exact"/>
        <w:ind w:firstLine="420" w:firstLineChars="200"/>
        <w:rPr>
          <w:color w:val="auto"/>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4437" w:type="dxa"/>
            <w:vAlign w:val="center"/>
          </w:tcPr>
          <w:p>
            <w:pPr>
              <w:snapToGrid w:val="0"/>
              <w:spacing w:line="360" w:lineRule="exact"/>
              <w:rPr>
                <w:color w:val="auto"/>
                <w:szCs w:val="21"/>
              </w:rPr>
            </w:pPr>
            <w:r>
              <w:rPr>
                <w:color w:val="auto"/>
                <w:szCs w:val="21"/>
              </w:rPr>
              <w:t xml:space="preserve">甲方（章）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ind w:firstLine="945" w:firstLineChars="450"/>
              <w:jc w:val="right"/>
              <w:rPr>
                <w:color w:val="auto"/>
                <w:szCs w:val="21"/>
              </w:rPr>
            </w:pPr>
            <w:r>
              <w:rPr>
                <w:color w:val="auto"/>
                <w:szCs w:val="21"/>
              </w:rPr>
              <w:t>年   月   日</w:t>
            </w:r>
          </w:p>
        </w:tc>
        <w:tc>
          <w:tcPr>
            <w:tcW w:w="4688" w:type="dxa"/>
            <w:vAlign w:val="center"/>
          </w:tcPr>
          <w:p>
            <w:pPr>
              <w:snapToGrid w:val="0"/>
              <w:spacing w:line="360" w:lineRule="exact"/>
              <w:rPr>
                <w:color w:val="auto"/>
                <w:szCs w:val="21"/>
              </w:rPr>
            </w:pPr>
            <w:r>
              <w:rPr>
                <w:color w:val="auto"/>
                <w:szCs w:val="21"/>
              </w:rPr>
              <w:t xml:space="preserve">乙方（章）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jc w:val="right"/>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vAlign w:val="center"/>
          </w:tcPr>
          <w:p>
            <w:pPr>
              <w:snapToGrid w:val="0"/>
              <w:spacing w:line="360" w:lineRule="exact"/>
              <w:rPr>
                <w:color w:val="auto"/>
                <w:szCs w:val="21"/>
              </w:rPr>
            </w:pPr>
            <w:r>
              <w:rPr>
                <w:color w:val="auto"/>
                <w:szCs w:val="21"/>
              </w:rPr>
              <w:t>单位地址：</w:t>
            </w:r>
            <w:r>
              <w:rPr>
                <w:rFonts w:hint="eastAsia"/>
                <w:color w:val="auto"/>
                <w:szCs w:val="21"/>
              </w:rPr>
              <w:t>南宁市明秀东路175号</w:t>
            </w:r>
          </w:p>
        </w:tc>
        <w:tc>
          <w:tcPr>
            <w:tcW w:w="4688" w:type="dxa"/>
            <w:vAlign w:val="center"/>
          </w:tcPr>
          <w:p>
            <w:pPr>
              <w:snapToGrid w:val="0"/>
              <w:spacing w:line="36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法定代表人：</w:t>
            </w:r>
          </w:p>
        </w:tc>
        <w:tc>
          <w:tcPr>
            <w:tcW w:w="4688" w:type="dxa"/>
            <w:vAlign w:val="center"/>
          </w:tcPr>
          <w:p>
            <w:pPr>
              <w:snapToGrid w:val="0"/>
              <w:spacing w:line="36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委托代理人：</w:t>
            </w:r>
          </w:p>
        </w:tc>
        <w:tc>
          <w:tcPr>
            <w:tcW w:w="4688" w:type="dxa"/>
            <w:vAlign w:val="center"/>
          </w:tcPr>
          <w:p>
            <w:pPr>
              <w:snapToGrid w:val="0"/>
              <w:spacing w:line="36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vAlign w:val="center"/>
          </w:tcPr>
          <w:p>
            <w:pPr>
              <w:snapToGrid w:val="0"/>
              <w:spacing w:line="360" w:lineRule="exact"/>
              <w:rPr>
                <w:color w:val="auto"/>
                <w:szCs w:val="21"/>
              </w:rPr>
            </w:pPr>
            <w:r>
              <w:rPr>
                <w:color w:val="auto"/>
                <w:szCs w:val="21"/>
              </w:rPr>
              <w:t>电话：</w:t>
            </w:r>
          </w:p>
        </w:tc>
        <w:tc>
          <w:tcPr>
            <w:tcW w:w="4688" w:type="dxa"/>
            <w:vAlign w:val="center"/>
          </w:tcPr>
          <w:p>
            <w:pPr>
              <w:snapToGrid w:val="0"/>
              <w:spacing w:line="36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vAlign w:val="center"/>
          </w:tcPr>
          <w:p>
            <w:pPr>
              <w:snapToGrid w:val="0"/>
              <w:spacing w:line="360" w:lineRule="exact"/>
              <w:rPr>
                <w:color w:val="auto"/>
                <w:szCs w:val="21"/>
              </w:rPr>
            </w:pPr>
            <w:r>
              <w:rPr>
                <w:color w:val="auto"/>
                <w:szCs w:val="21"/>
              </w:rPr>
              <w:t>电子邮箱：</w:t>
            </w:r>
          </w:p>
        </w:tc>
        <w:tc>
          <w:tcPr>
            <w:tcW w:w="4688" w:type="dxa"/>
            <w:vAlign w:val="center"/>
          </w:tcPr>
          <w:p>
            <w:pPr>
              <w:snapToGrid w:val="0"/>
              <w:spacing w:line="36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开户银行：</w:t>
            </w:r>
            <w:r>
              <w:rPr>
                <w:rFonts w:hint="eastAsia"/>
                <w:color w:val="auto"/>
                <w:szCs w:val="21"/>
              </w:rPr>
              <w:t>中国银行南宁市明秀东支行</w:t>
            </w:r>
          </w:p>
        </w:tc>
        <w:tc>
          <w:tcPr>
            <w:tcW w:w="4688" w:type="dxa"/>
            <w:vAlign w:val="center"/>
          </w:tcPr>
          <w:p>
            <w:pPr>
              <w:snapToGrid w:val="0"/>
              <w:spacing w:line="36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vAlign w:val="center"/>
          </w:tcPr>
          <w:p>
            <w:pPr>
              <w:snapToGrid w:val="0"/>
              <w:spacing w:line="360" w:lineRule="exact"/>
              <w:rPr>
                <w:color w:val="auto"/>
                <w:szCs w:val="21"/>
              </w:rPr>
            </w:pPr>
            <w:r>
              <w:rPr>
                <w:color w:val="auto"/>
                <w:szCs w:val="21"/>
              </w:rPr>
              <w:t>账号：</w:t>
            </w:r>
            <w:r>
              <w:rPr>
                <w:rFonts w:hint="eastAsia"/>
                <w:color w:val="auto"/>
                <w:szCs w:val="21"/>
              </w:rPr>
              <w:t xml:space="preserve">6262 5749 8267 </w:t>
            </w:r>
          </w:p>
        </w:tc>
        <w:tc>
          <w:tcPr>
            <w:tcW w:w="4688" w:type="dxa"/>
            <w:vAlign w:val="center"/>
          </w:tcPr>
          <w:p>
            <w:pPr>
              <w:snapToGrid w:val="0"/>
              <w:spacing w:line="36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vAlign w:val="center"/>
          </w:tcPr>
          <w:p>
            <w:pPr>
              <w:snapToGrid w:val="0"/>
              <w:spacing w:line="360" w:lineRule="exact"/>
              <w:rPr>
                <w:color w:val="auto"/>
                <w:szCs w:val="21"/>
              </w:rPr>
            </w:pPr>
            <w:r>
              <w:rPr>
                <w:color w:val="auto"/>
                <w:szCs w:val="21"/>
              </w:rPr>
              <w:t>邮政编码：</w:t>
            </w:r>
            <w:r>
              <w:rPr>
                <w:rFonts w:hint="eastAsia"/>
                <w:color w:val="auto"/>
                <w:szCs w:val="21"/>
              </w:rPr>
              <w:t>530001</w:t>
            </w:r>
          </w:p>
        </w:tc>
        <w:tc>
          <w:tcPr>
            <w:tcW w:w="4688" w:type="dxa"/>
            <w:vAlign w:val="center"/>
          </w:tcPr>
          <w:p>
            <w:pPr>
              <w:snapToGrid w:val="0"/>
              <w:spacing w:line="360" w:lineRule="exact"/>
              <w:rPr>
                <w:color w:val="auto"/>
                <w:szCs w:val="21"/>
              </w:rPr>
            </w:pPr>
            <w:r>
              <w:rPr>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tcPr>
          <w:p>
            <w:pPr>
              <w:snapToGrid w:val="0"/>
              <w:spacing w:line="360" w:lineRule="exact"/>
              <w:rPr>
                <w:color w:val="auto"/>
                <w:szCs w:val="21"/>
              </w:rPr>
            </w:pPr>
            <w:r>
              <w:rPr>
                <w:color w:val="auto"/>
                <w:szCs w:val="21"/>
              </w:rPr>
              <w:t>经办人：</w:t>
            </w: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r>
              <w:rPr>
                <w:color w:val="auto"/>
                <w:szCs w:val="21"/>
              </w:rPr>
              <w:t>年    月    日</w:t>
            </w:r>
          </w:p>
        </w:tc>
      </w:tr>
    </w:tbl>
    <w:p>
      <w:pPr>
        <w:spacing w:before="120" w:line="320" w:lineRule="atLeast"/>
        <w:jc w:val="left"/>
        <w:outlineLvl w:val="1"/>
        <w:rPr>
          <w:b/>
          <w:bCs/>
          <w:color w:val="auto"/>
          <w:kern w:val="0"/>
          <w:szCs w:val="21"/>
        </w:rPr>
      </w:pPr>
    </w:p>
    <w:p>
      <w:pPr>
        <w:spacing w:before="120" w:line="320" w:lineRule="atLeast"/>
        <w:jc w:val="left"/>
        <w:outlineLvl w:val="1"/>
        <w:rPr>
          <w:b/>
          <w:bCs/>
          <w:color w:val="auto"/>
          <w:kern w:val="0"/>
          <w:szCs w:val="21"/>
        </w:rPr>
      </w:pPr>
    </w:p>
    <w:p>
      <w:pPr>
        <w:spacing w:before="120" w:line="320" w:lineRule="atLeast"/>
        <w:jc w:val="left"/>
        <w:outlineLvl w:val="1"/>
        <w:rPr>
          <w:b/>
          <w:bCs/>
          <w:color w:val="auto"/>
          <w:kern w:val="0"/>
          <w:szCs w:val="21"/>
        </w:rPr>
      </w:pPr>
      <w:r>
        <w:rPr>
          <w:b/>
          <w:bCs/>
          <w:color w:val="auto"/>
          <w:kern w:val="0"/>
          <w:szCs w:val="21"/>
        </w:rPr>
        <w:br w:type="page"/>
      </w:r>
      <w:r>
        <w:rPr>
          <w:b/>
          <w:bCs/>
          <w:color w:val="auto"/>
          <w:kern w:val="0"/>
          <w:szCs w:val="21"/>
        </w:rPr>
        <w:t>合同附件1</w:t>
      </w:r>
    </w:p>
    <w:p>
      <w:pPr>
        <w:snapToGrid w:val="0"/>
        <w:spacing w:line="360" w:lineRule="exact"/>
        <w:jc w:val="center"/>
        <w:rPr>
          <w:b/>
          <w:bCs/>
          <w:color w:val="auto"/>
          <w:szCs w:val="21"/>
        </w:rPr>
      </w:pPr>
      <w:r>
        <w:rPr>
          <w:color w:val="auto"/>
          <w:szCs w:val="21"/>
        </w:rPr>
        <w:t xml:space="preserve">  </w:t>
      </w:r>
      <w:r>
        <w:rPr>
          <w:b/>
          <w:bCs/>
          <w:color w:val="auto"/>
          <w:szCs w:val="21"/>
        </w:rPr>
        <w:t>投标承诺书</w:t>
      </w:r>
    </w:p>
    <w:p>
      <w:pPr>
        <w:rPr>
          <w:color w:val="auto"/>
          <w:szCs w:val="21"/>
        </w:rPr>
      </w:pPr>
    </w:p>
    <w:p>
      <w:pPr>
        <w:rPr>
          <w:color w:val="auto"/>
          <w:szCs w:val="21"/>
        </w:rPr>
      </w:pPr>
      <w:r>
        <w:rPr>
          <w:color w:val="auto"/>
          <w:szCs w:val="21"/>
        </w:rPr>
        <w:t>服务类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rPr>
                <w:color w:val="auto"/>
                <w:szCs w:val="21"/>
              </w:rPr>
            </w:pPr>
            <w:r>
              <w:rPr>
                <w:color w:val="auto"/>
                <w:szCs w:val="21"/>
              </w:rPr>
              <w:t>1．乙方承诺具体事项：</w:t>
            </w:r>
          </w:p>
          <w:p>
            <w:pPr>
              <w:ind w:right="21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2．服务方案或进度的具体事项：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3．拟投入的服务团队人员情况：</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4．其他具体事项：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rPr>
                <w:color w:val="auto"/>
                <w:szCs w:val="21"/>
              </w:rPr>
            </w:pPr>
            <w:r>
              <w:rPr>
                <w:color w:val="auto"/>
                <w:szCs w:val="21"/>
              </w:rPr>
              <w:t>甲方(章)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c>
          <w:tcPr>
            <w:tcW w:w="4285" w:type="dxa"/>
            <w:vAlign w:val="center"/>
          </w:tcPr>
          <w:p>
            <w:pPr>
              <w:rPr>
                <w:color w:val="auto"/>
                <w:szCs w:val="21"/>
              </w:rPr>
            </w:pPr>
            <w:r>
              <w:rPr>
                <w:color w:val="auto"/>
                <w:szCs w:val="21"/>
              </w:rPr>
              <w:t>乙方(章)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r>
    </w:tbl>
    <w:p>
      <w:pPr>
        <w:snapToGrid w:val="0"/>
        <w:spacing w:line="400" w:lineRule="exact"/>
        <w:rPr>
          <w:b/>
          <w:bCs/>
          <w:color w:val="auto"/>
          <w:szCs w:val="21"/>
        </w:rPr>
      </w:pPr>
      <w:r>
        <w:rPr>
          <w:color w:val="auto"/>
          <w:szCs w:val="21"/>
        </w:rPr>
        <w:t>注：各事项填不下时可另加附页。</w:t>
      </w:r>
    </w:p>
    <w:p>
      <w:pPr>
        <w:snapToGrid w:val="0"/>
        <w:rPr>
          <w:color w:val="auto"/>
          <w:sz w:val="18"/>
          <w:szCs w:val="18"/>
        </w:rPr>
      </w:pPr>
    </w:p>
    <w:p>
      <w:pPr>
        <w:spacing w:before="120" w:line="320" w:lineRule="atLeast"/>
        <w:jc w:val="left"/>
        <w:outlineLvl w:val="1"/>
        <w:rPr>
          <w:b/>
          <w:bCs/>
          <w:color w:val="auto"/>
          <w:kern w:val="0"/>
          <w:szCs w:val="21"/>
        </w:rPr>
      </w:pPr>
      <w:r>
        <w:rPr>
          <w:b/>
          <w:color w:val="auto"/>
          <w:sz w:val="32"/>
          <w:szCs w:val="32"/>
        </w:rPr>
        <w:br w:type="page"/>
      </w:r>
      <w:r>
        <w:rPr>
          <w:b/>
          <w:bCs/>
          <w:color w:val="auto"/>
          <w:kern w:val="0"/>
          <w:szCs w:val="21"/>
        </w:rPr>
        <w:t>合同附件</w:t>
      </w:r>
      <w:r>
        <w:rPr>
          <w:rFonts w:hint="eastAsia"/>
          <w:b/>
          <w:bCs/>
          <w:color w:val="auto"/>
          <w:kern w:val="0"/>
          <w:szCs w:val="21"/>
        </w:rPr>
        <w:t>2</w:t>
      </w:r>
    </w:p>
    <w:p>
      <w:pPr>
        <w:pStyle w:val="20"/>
        <w:ind w:firstLine="634"/>
        <w:rPr>
          <w:color w:val="auto"/>
          <w:sz w:val="18"/>
          <w:szCs w:val="18"/>
        </w:rPr>
      </w:pPr>
    </w:p>
    <w:p>
      <w:pPr>
        <w:snapToGrid w:val="0"/>
        <w:spacing w:line="360" w:lineRule="exact"/>
        <w:jc w:val="center"/>
        <w:rPr>
          <w:b/>
          <w:bCs/>
          <w:color w:val="auto"/>
          <w:szCs w:val="21"/>
        </w:rPr>
      </w:pPr>
      <w:r>
        <w:rPr>
          <w:rFonts w:hint="eastAsia"/>
          <w:b/>
          <w:bCs/>
          <w:color w:val="auto"/>
          <w:szCs w:val="21"/>
        </w:rPr>
        <w:t>投标保证金退还申请</w:t>
      </w:r>
    </w:p>
    <w:p>
      <w:pPr>
        <w:rPr>
          <w:color w:val="auto"/>
          <w:sz w:val="32"/>
          <w:szCs w:val="32"/>
        </w:rPr>
      </w:pPr>
    </w:p>
    <w:p>
      <w:pPr>
        <w:rPr>
          <w:color w:val="auto"/>
          <w:szCs w:val="21"/>
        </w:rPr>
      </w:pPr>
      <w:r>
        <w:rPr>
          <w:rFonts w:hint="eastAsia"/>
          <w:color w:val="auto"/>
          <w:szCs w:val="21"/>
        </w:rPr>
        <w:t>广西北部湾宏亚建设管理有限公司：</w:t>
      </w:r>
    </w:p>
    <w:p>
      <w:pPr>
        <w:rPr>
          <w:color w:val="auto"/>
          <w:szCs w:val="21"/>
        </w:rPr>
      </w:pPr>
    </w:p>
    <w:p>
      <w:pPr>
        <w:snapToGrid w:val="0"/>
        <w:spacing w:line="400" w:lineRule="exact"/>
        <w:ind w:firstLine="420" w:firstLineChars="200"/>
        <w:rPr>
          <w:color w:val="auto"/>
          <w:szCs w:val="21"/>
        </w:rPr>
      </w:pPr>
      <w:r>
        <w:rPr>
          <w:rFonts w:hint="eastAsia"/>
          <w:color w:val="auto"/>
          <w:szCs w:val="21"/>
        </w:rPr>
        <w:t>我单位</w:t>
      </w:r>
      <w:r>
        <w:rPr>
          <w:rFonts w:hint="eastAsia"/>
          <w:color w:val="auto"/>
          <w:szCs w:val="21"/>
          <w:u w:val="single"/>
        </w:rPr>
        <w:t>（中标人名称）</w:t>
      </w:r>
      <w:r>
        <w:rPr>
          <w:rFonts w:hint="eastAsia"/>
          <w:color w:val="auto"/>
          <w:szCs w:val="21"/>
        </w:rPr>
        <w:t>已于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r>
        <w:rPr>
          <w:rFonts w:hint="eastAsia"/>
          <w:color w:val="auto"/>
          <w:szCs w:val="21"/>
          <w:u w:val="single"/>
        </w:rPr>
        <w:t xml:space="preserve">  </w:t>
      </w:r>
      <w:r>
        <w:rPr>
          <w:rFonts w:hint="eastAsia"/>
          <w:color w:val="auto"/>
          <w:szCs w:val="21"/>
        </w:rPr>
        <w:t>时</w:t>
      </w:r>
      <w:r>
        <w:rPr>
          <w:rFonts w:hint="eastAsia"/>
          <w:color w:val="auto"/>
          <w:szCs w:val="21"/>
          <w:u w:val="single"/>
        </w:rPr>
        <w:t xml:space="preserve">  </w:t>
      </w:r>
      <w:r>
        <w:rPr>
          <w:rFonts w:hint="eastAsia"/>
          <w:color w:val="auto"/>
          <w:szCs w:val="21"/>
        </w:rPr>
        <w:t>分将</w:t>
      </w:r>
      <w:r>
        <w:rPr>
          <w:rFonts w:hint="eastAsia"/>
          <w:color w:val="auto"/>
          <w:szCs w:val="21"/>
          <w:u w:val="single"/>
        </w:rPr>
        <w:t>（项目名称及项目编号）</w:t>
      </w:r>
      <w:r>
        <w:rPr>
          <w:rFonts w:hint="eastAsia"/>
          <w:color w:val="auto"/>
          <w:szCs w:val="21"/>
        </w:rPr>
        <w:t>的</w:t>
      </w:r>
      <w:r>
        <w:rPr>
          <w:color w:val="auto"/>
          <w:szCs w:val="21"/>
        </w:rPr>
        <w:t>政府采购合同扫描件</w:t>
      </w:r>
      <w:r>
        <w:rPr>
          <w:rFonts w:hint="eastAsia"/>
          <w:color w:val="auto"/>
          <w:szCs w:val="21"/>
        </w:rPr>
        <w:t>发送至贵公司所指定的邮件，请给予办理投标保证金的退还手续。</w:t>
      </w:r>
    </w:p>
    <w:p>
      <w:pPr>
        <w:snapToGrid w:val="0"/>
        <w:spacing w:line="400" w:lineRule="exact"/>
        <w:rPr>
          <w:color w:val="auto"/>
          <w:szCs w:val="21"/>
        </w:rPr>
      </w:pPr>
    </w:p>
    <w:p>
      <w:pPr>
        <w:snapToGrid w:val="0"/>
        <w:spacing w:line="400" w:lineRule="exact"/>
        <w:rPr>
          <w:color w:val="auto"/>
          <w:szCs w:val="21"/>
        </w:rPr>
      </w:pPr>
    </w:p>
    <w:p>
      <w:pPr>
        <w:snapToGrid w:val="0"/>
        <w:spacing w:line="400" w:lineRule="exact"/>
        <w:ind w:firstLine="3570" w:firstLineChars="1700"/>
        <w:jc w:val="right"/>
        <w:rPr>
          <w:color w:val="auto"/>
          <w:szCs w:val="21"/>
        </w:rPr>
      </w:pPr>
    </w:p>
    <w:p>
      <w:pPr>
        <w:wordWrap w:val="0"/>
        <w:snapToGrid w:val="0"/>
        <w:spacing w:line="400" w:lineRule="exact"/>
        <w:jc w:val="right"/>
        <w:rPr>
          <w:color w:val="auto"/>
          <w:szCs w:val="21"/>
          <w:u w:val="single"/>
        </w:rPr>
      </w:pPr>
      <w:r>
        <w:rPr>
          <w:rFonts w:hint="eastAsia"/>
          <w:color w:val="auto"/>
          <w:szCs w:val="21"/>
        </w:rPr>
        <w:t>供应商邮寄地址：</w:t>
      </w:r>
      <w:r>
        <w:rPr>
          <w:rFonts w:hint="eastAsia"/>
          <w:color w:val="auto"/>
          <w:szCs w:val="21"/>
          <w:u w:val="single"/>
        </w:rPr>
        <w:t xml:space="preserve"> </w:t>
      </w:r>
      <w:r>
        <w:rPr>
          <w:color w:val="auto"/>
          <w:szCs w:val="21"/>
          <w:u w:val="single"/>
        </w:rPr>
        <w:t xml:space="preserve">          </w:t>
      </w:r>
    </w:p>
    <w:p>
      <w:pPr>
        <w:wordWrap w:val="0"/>
        <w:snapToGrid w:val="0"/>
        <w:spacing w:line="400" w:lineRule="exact"/>
        <w:jc w:val="right"/>
        <w:rPr>
          <w:color w:val="auto"/>
          <w:szCs w:val="21"/>
          <w:u w:val="single"/>
        </w:rPr>
      </w:pPr>
      <w:r>
        <w:rPr>
          <w:rFonts w:hint="eastAsia"/>
          <w:color w:val="auto"/>
          <w:szCs w:val="21"/>
        </w:rPr>
        <w:t>供应商联系方式：</w:t>
      </w:r>
      <w:r>
        <w:rPr>
          <w:rFonts w:hint="eastAsia"/>
          <w:color w:val="auto"/>
          <w:szCs w:val="21"/>
          <w:u w:val="single"/>
        </w:rPr>
        <w:t xml:space="preserve"> </w:t>
      </w:r>
      <w:r>
        <w:rPr>
          <w:color w:val="auto"/>
          <w:szCs w:val="21"/>
          <w:u w:val="single"/>
        </w:rPr>
        <w:t xml:space="preserve">          </w:t>
      </w:r>
    </w:p>
    <w:p>
      <w:pPr>
        <w:snapToGrid w:val="0"/>
        <w:spacing w:line="400" w:lineRule="exact"/>
        <w:ind w:firstLine="3570" w:firstLineChars="1700"/>
        <w:jc w:val="right"/>
        <w:rPr>
          <w:color w:val="auto"/>
          <w:szCs w:val="21"/>
          <w:u w:val="single"/>
        </w:rPr>
      </w:pPr>
      <w:r>
        <w:rPr>
          <w:rFonts w:hint="eastAsia"/>
          <w:color w:val="auto"/>
          <w:szCs w:val="21"/>
        </w:rPr>
        <w:t>公司名称：</w:t>
      </w:r>
      <w:r>
        <w:rPr>
          <w:rFonts w:hint="eastAsia"/>
          <w:color w:val="auto"/>
          <w:szCs w:val="21"/>
          <w:u w:val="single"/>
        </w:rPr>
        <w:t>（盖章）</w:t>
      </w:r>
    </w:p>
    <w:p>
      <w:pPr>
        <w:snapToGrid w:val="0"/>
        <w:spacing w:line="400" w:lineRule="exact"/>
        <w:ind w:right="735" w:firstLine="3570" w:firstLineChars="1700"/>
        <w:jc w:val="right"/>
        <w:rPr>
          <w:color w:val="auto"/>
          <w:szCs w:val="21"/>
        </w:rPr>
      </w:pPr>
      <w:r>
        <w:rPr>
          <w:rFonts w:hint="eastAsia"/>
          <w:color w:val="auto"/>
          <w:szCs w:val="21"/>
        </w:rPr>
        <w:t>日期：</w:t>
      </w:r>
    </w:p>
    <w:p>
      <w:pPr>
        <w:snapToGrid w:val="0"/>
        <w:spacing w:line="400" w:lineRule="exact"/>
        <w:ind w:firstLine="5440" w:firstLineChars="1700"/>
        <w:jc w:val="left"/>
        <w:rPr>
          <w:color w:val="auto"/>
          <w:sz w:val="32"/>
          <w:szCs w:val="32"/>
        </w:rPr>
      </w:pPr>
      <w:r>
        <w:rPr>
          <w:rFonts w:hint="eastAsia"/>
          <w:color w:val="auto"/>
          <w:sz w:val="32"/>
          <w:szCs w:val="32"/>
        </w:rPr>
        <w:t xml:space="preserve">         </w:t>
      </w:r>
    </w:p>
    <w:p>
      <w:pPr>
        <w:rPr>
          <w:color w:val="auto"/>
        </w:rPr>
      </w:pPr>
    </w:p>
    <w:p>
      <w:pPr>
        <w:spacing w:before="120" w:line="320" w:lineRule="atLeast"/>
        <w:jc w:val="left"/>
        <w:outlineLvl w:val="1"/>
        <w:rPr>
          <w:b/>
          <w:bCs/>
          <w:color w:val="auto"/>
          <w:kern w:val="0"/>
          <w:szCs w:val="21"/>
        </w:rPr>
      </w:pPr>
      <w:r>
        <w:rPr>
          <w:color w:val="auto"/>
          <w:sz w:val="32"/>
          <w:szCs w:val="32"/>
        </w:rPr>
        <w:br w:type="page"/>
      </w:r>
      <w:r>
        <w:rPr>
          <w:b/>
          <w:bCs/>
          <w:color w:val="auto"/>
          <w:kern w:val="0"/>
          <w:szCs w:val="21"/>
        </w:rPr>
        <w:t>合同附件</w:t>
      </w:r>
      <w:r>
        <w:rPr>
          <w:rFonts w:hint="eastAsia"/>
          <w:b/>
          <w:bCs/>
          <w:color w:val="auto"/>
          <w:kern w:val="0"/>
          <w:szCs w:val="21"/>
        </w:rPr>
        <w:t>3</w:t>
      </w:r>
    </w:p>
    <w:p>
      <w:pPr>
        <w:snapToGrid w:val="0"/>
        <w:spacing w:line="360" w:lineRule="exact"/>
        <w:jc w:val="center"/>
        <w:rPr>
          <w:b/>
          <w:bCs/>
          <w:color w:val="auto"/>
          <w:szCs w:val="21"/>
        </w:rPr>
      </w:pPr>
      <w:r>
        <w:rPr>
          <w:b/>
          <w:bCs/>
          <w:color w:val="auto"/>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 xml:space="preserve">采购合同编号：     </w:t>
      </w:r>
      <w:r>
        <w:rPr>
          <w:color w:val="auto"/>
          <w:kern w:val="0"/>
          <w:szCs w:val="21"/>
        </w:rPr>
        <w:t>）的约定，我单位对（</w:t>
      </w:r>
      <w:r>
        <w:rPr>
          <w:color w:val="auto"/>
          <w:kern w:val="0"/>
          <w:szCs w:val="21"/>
          <w:u w:val="single"/>
        </w:rPr>
        <w:t xml:space="preserve">  项目名称   </w:t>
      </w:r>
      <w:r>
        <w:rPr>
          <w:color w:val="auto"/>
          <w:kern w:val="0"/>
          <w:szCs w:val="21"/>
        </w:rPr>
        <w:t>）政府采购项目中标（或成交）供应商（</w:t>
      </w:r>
      <w:r>
        <w:rPr>
          <w:color w:val="auto"/>
          <w:kern w:val="0"/>
          <w:szCs w:val="21"/>
          <w:u w:val="single"/>
        </w:rPr>
        <w:t xml:space="preserve">            公司名称              </w:t>
      </w:r>
      <w:r>
        <w:rPr>
          <w:color w:val="auto"/>
          <w:kern w:val="0"/>
          <w:szCs w:val="21"/>
        </w:rPr>
        <w:t>）提供的货物（或工程、服务）进行了验收，验收情况如下：</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auto"/>
                <w:kern w:val="0"/>
                <w:szCs w:val="21"/>
              </w:rPr>
            </w:pPr>
            <w:r>
              <w:rPr>
                <w:color w:val="auto"/>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color w:val="auto"/>
                <w:kern w:val="0"/>
                <w:szCs w:val="21"/>
              </w:rPr>
            </w:pPr>
            <w:r>
              <w:rPr>
                <w:color w:val="auto"/>
                <w:kern w:val="0"/>
                <w:szCs w:val="21"/>
              </w:rPr>
              <w:t>合同交付验收日期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szCs w:val="21"/>
              </w:rPr>
              <w:t>（应</w:t>
            </w:r>
            <w:r>
              <w:rPr>
                <w:color w:val="auto"/>
                <w:kern w:val="0"/>
                <w:szCs w:val="21"/>
              </w:rPr>
              <w:t>按采购合同、采购文件、投标文件及验收方案等进行验收；并核对</w:t>
            </w:r>
            <w:r>
              <w:rPr>
                <w:color w:val="auto"/>
                <w:szCs w:val="21"/>
              </w:rPr>
              <w:t>中标或者成交供应商在安装调试等方面是否违反合同约定或服务规范要求、提供的质量保证证明材料是否齐全、应有的配件及附件是否达到合同约定等</w:t>
            </w:r>
            <w:r>
              <w:rPr>
                <w:color w:val="auto"/>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jc w:val="left"/>
              <w:rPr>
                <w:color w:val="auto"/>
                <w:kern w:val="0"/>
                <w:szCs w:val="21"/>
              </w:rPr>
            </w:pPr>
            <w:r>
              <w:rPr>
                <w:color w:val="auto"/>
                <w:kern w:val="0"/>
                <w:szCs w:val="21"/>
              </w:rPr>
              <w:t>有异议的意见和说明理由：</w:t>
            </w:r>
          </w:p>
          <w:p>
            <w:pPr>
              <w:spacing w:before="100" w:beforeAutospacing="1" w:after="100" w:afterAutospacing="1" w:line="320" w:lineRule="exact"/>
              <w:jc w:val="left"/>
              <w:rPr>
                <w:color w:val="auto"/>
                <w:kern w:val="0"/>
                <w:szCs w:val="21"/>
              </w:rPr>
            </w:pPr>
            <w:r>
              <w:rPr>
                <w:color w:val="auto"/>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 采购人或受托机构的意见（盖章）：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r>
    </w:tbl>
    <w:p>
      <w:pPr>
        <w:widowControl/>
        <w:jc w:val="left"/>
        <w:rPr>
          <w:color w:val="auto"/>
          <w:spacing w:val="-10"/>
          <w:kern w:val="0"/>
          <w:szCs w:val="21"/>
        </w:rPr>
      </w:pPr>
      <w:r>
        <w:rPr>
          <w:color w:val="auto"/>
          <w:spacing w:val="-10"/>
          <w:kern w:val="0"/>
          <w:szCs w:val="21"/>
        </w:rPr>
        <w:t>备注：本报告单一式4份（采购单位1份、供应商1份、采购监督部门备案1份、采购代理机构1份）。</w:t>
      </w:r>
    </w:p>
    <w:p>
      <w:pPr>
        <w:spacing w:before="120" w:line="320" w:lineRule="atLeast"/>
        <w:jc w:val="left"/>
        <w:outlineLvl w:val="1"/>
        <w:rPr>
          <w:b/>
          <w:bCs/>
          <w:color w:val="auto"/>
          <w:kern w:val="0"/>
          <w:szCs w:val="21"/>
        </w:rPr>
      </w:pPr>
      <w:r>
        <w:rPr>
          <w:color w:val="auto"/>
        </w:rPr>
        <w:br w:type="page"/>
      </w:r>
      <w:r>
        <w:rPr>
          <w:b/>
          <w:bCs/>
          <w:color w:val="auto"/>
          <w:kern w:val="0"/>
          <w:szCs w:val="21"/>
        </w:rPr>
        <w:t>合同附件</w:t>
      </w:r>
      <w:r>
        <w:rPr>
          <w:rFonts w:hint="eastAsia"/>
          <w:b/>
          <w:bCs/>
          <w:color w:val="auto"/>
          <w:kern w:val="0"/>
          <w:szCs w:val="21"/>
        </w:rPr>
        <w:t>4</w:t>
      </w:r>
    </w:p>
    <w:p>
      <w:pPr>
        <w:snapToGrid w:val="0"/>
        <w:spacing w:line="360" w:lineRule="exact"/>
        <w:jc w:val="center"/>
        <w:rPr>
          <w:b/>
          <w:bCs/>
          <w:color w:val="auto"/>
          <w:szCs w:val="21"/>
        </w:rPr>
      </w:pPr>
      <w:r>
        <w:rPr>
          <w:b/>
          <w:bCs/>
          <w:color w:val="auto"/>
          <w:szCs w:val="21"/>
        </w:rPr>
        <w:t>政府采购项目履约保证金退付意见书</w:t>
      </w:r>
    </w:p>
    <w:p>
      <w:pPr>
        <w:jc w:val="center"/>
        <w:rPr>
          <w:color w:val="auto"/>
          <w:sz w:val="36"/>
          <w:szCs w:val="36"/>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Cs w:val="21"/>
              </w:rPr>
            </w:pPr>
            <w:r>
              <w:rPr>
                <w:color w:val="auto"/>
                <w:szCs w:val="21"/>
              </w:rPr>
              <w:t>供</w:t>
            </w:r>
          </w:p>
          <w:p>
            <w:pPr>
              <w:jc w:val="center"/>
              <w:rPr>
                <w:color w:val="auto"/>
                <w:szCs w:val="21"/>
              </w:rPr>
            </w:pPr>
            <w:r>
              <w:rPr>
                <w:color w:val="auto"/>
                <w:szCs w:val="21"/>
              </w:rPr>
              <w:t>应</w:t>
            </w:r>
          </w:p>
          <w:p>
            <w:pPr>
              <w:jc w:val="center"/>
              <w:rPr>
                <w:color w:val="auto"/>
                <w:szCs w:val="21"/>
              </w:rPr>
            </w:pPr>
            <w:r>
              <w:rPr>
                <w:color w:val="auto"/>
                <w:szCs w:val="21"/>
              </w:rPr>
              <w:t>商</w:t>
            </w:r>
          </w:p>
          <w:p>
            <w:pPr>
              <w:jc w:val="center"/>
              <w:rPr>
                <w:color w:val="auto"/>
                <w:szCs w:val="21"/>
              </w:rPr>
            </w:pPr>
            <w:r>
              <w:rPr>
                <w:color w:val="auto"/>
                <w:szCs w:val="21"/>
              </w:rPr>
              <w:t>申</w:t>
            </w:r>
          </w:p>
          <w:p>
            <w:pPr>
              <w:jc w:val="center"/>
              <w:rPr>
                <w:color w:val="auto"/>
                <w:szCs w:val="21"/>
              </w:rPr>
            </w:pPr>
            <w:r>
              <w:rPr>
                <w:color w:val="auto"/>
                <w:szCs w:val="21"/>
              </w:rPr>
              <w:t>请</w:t>
            </w:r>
          </w:p>
        </w:tc>
        <w:tc>
          <w:tcPr>
            <w:tcW w:w="8640" w:type="dxa"/>
            <w:vAlign w:val="center"/>
          </w:tcPr>
          <w:p>
            <w:pPr>
              <w:rPr>
                <w:color w:val="auto"/>
                <w:szCs w:val="21"/>
              </w:rPr>
            </w:pPr>
            <w:r>
              <w:rPr>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Cs w:val="21"/>
              </w:rPr>
            </w:pPr>
          </w:p>
        </w:tc>
        <w:tc>
          <w:tcPr>
            <w:tcW w:w="8640" w:type="dxa"/>
            <w:vAlign w:val="center"/>
          </w:tcPr>
          <w:p>
            <w:pPr>
              <w:rPr>
                <w:color w:val="auto"/>
                <w:szCs w:val="21"/>
              </w:rPr>
            </w:pPr>
            <w:r>
              <w:rPr>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Cs w:val="21"/>
              </w:rPr>
            </w:pPr>
          </w:p>
        </w:tc>
        <w:tc>
          <w:tcPr>
            <w:tcW w:w="8640" w:type="dxa"/>
          </w:tcPr>
          <w:p>
            <w:pPr>
              <w:rPr>
                <w:color w:val="auto"/>
                <w:szCs w:val="21"/>
              </w:rPr>
            </w:pPr>
            <w:r>
              <w:rPr>
                <w:color w:val="auto"/>
                <w:szCs w:val="21"/>
              </w:rPr>
              <w:t xml:space="preserve">  </w:t>
            </w:r>
          </w:p>
          <w:p>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（小写）退付到达以下帐户。</w:t>
            </w:r>
          </w:p>
          <w:p>
            <w:pPr>
              <w:spacing w:line="400" w:lineRule="exact"/>
              <w:ind w:firstLine="705"/>
              <w:rPr>
                <w:color w:val="auto"/>
                <w:szCs w:val="21"/>
              </w:rPr>
            </w:pPr>
            <w:r>
              <w:rPr>
                <w:color w:val="auto"/>
                <w:szCs w:val="21"/>
              </w:rPr>
              <w:t>单位名称：</w:t>
            </w:r>
          </w:p>
          <w:p>
            <w:pPr>
              <w:spacing w:line="400" w:lineRule="exact"/>
              <w:ind w:firstLine="705"/>
              <w:rPr>
                <w:color w:val="auto"/>
                <w:szCs w:val="21"/>
              </w:rPr>
            </w:pPr>
            <w:r>
              <w:rPr>
                <w:color w:val="auto"/>
                <w:szCs w:val="21"/>
              </w:rPr>
              <w:t>开户银行：</w:t>
            </w:r>
          </w:p>
          <w:p>
            <w:pPr>
              <w:spacing w:line="400" w:lineRule="exact"/>
              <w:ind w:firstLine="705"/>
              <w:rPr>
                <w:color w:val="auto"/>
                <w:szCs w:val="21"/>
              </w:rPr>
            </w:pPr>
            <w:r>
              <w:rPr>
                <w:color w:val="auto"/>
                <w:szCs w:val="21"/>
              </w:rPr>
              <w:t>帐   号：</w:t>
            </w:r>
          </w:p>
          <w:p>
            <w:pPr>
              <w:spacing w:line="400" w:lineRule="exact"/>
              <w:rPr>
                <w:color w:val="auto"/>
                <w:szCs w:val="21"/>
              </w:rPr>
            </w:pPr>
            <w:r>
              <w:rPr>
                <w:color w:val="auto"/>
                <w:szCs w:val="21"/>
              </w:rPr>
              <w:t>联系人及电话：</w:t>
            </w:r>
          </w:p>
          <w:p>
            <w:pPr>
              <w:spacing w:line="400" w:lineRule="exact"/>
              <w:rPr>
                <w:color w:val="auto"/>
                <w:szCs w:val="21"/>
              </w:rPr>
            </w:pPr>
          </w:p>
          <w:p>
            <w:pPr>
              <w:spacing w:line="520" w:lineRule="exact"/>
              <w:jc w:val="center"/>
              <w:rPr>
                <w:color w:val="auto"/>
                <w:szCs w:val="21"/>
              </w:rPr>
            </w:pPr>
            <w:r>
              <w:rPr>
                <w:color w:val="auto"/>
                <w:szCs w:val="21"/>
              </w:rPr>
              <w:t xml:space="preserve">                                     供应商签章：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rPr>
            </w:pPr>
            <w:r>
              <w:rPr>
                <w:color w:val="auto"/>
                <w:szCs w:val="21"/>
              </w:rPr>
              <w:t>采</w:t>
            </w:r>
          </w:p>
          <w:p>
            <w:pPr>
              <w:jc w:val="center"/>
              <w:rPr>
                <w:color w:val="auto"/>
                <w:szCs w:val="21"/>
              </w:rPr>
            </w:pPr>
            <w:r>
              <w:rPr>
                <w:color w:val="auto"/>
                <w:szCs w:val="21"/>
              </w:rPr>
              <w:t>购</w:t>
            </w:r>
          </w:p>
          <w:p>
            <w:pPr>
              <w:jc w:val="center"/>
              <w:rPr>
                <w:color w:val="auto"/>
                <w:szCs w:val="21"/>
              </w:rPr>
            </w:pPr>
            <w:r>
              <w:rPr>
                <w:color w:val="auto"/>
                <w:szCs w:val="21"/>
              </w:rPr>
              <w:t>单</w:t>
            </w:r>
          </w:p>
          <w:p>
            <w:pPr>
              <w:jc w:val="center"/>
              <w:rPr>
                <w:color w:val="auto"/>
                <w:szCs w:val="21"/>
              </w:rPr>
            </w:pPr>
            <w:r>
              <w:rPr>
                <w:color w:val="auto"/>
                <w:szCs w:val="21"/>
              </w:rPr>
              <w:t>位</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tcPr>
          <w:p>
            <w:pPr>
              <w:rPr>
                <w:color w:val="auto"/>
                <w:szCs w:val="21"/>
              </w:rPr>
            </w:pPr>
          </w:p>
          <w:p>
            <w:pPr>
              <w:rPr>
                <w:color w:val="auto"/>
                <w:szCs w:val="21"/>
              </w:rPr>
            </w:pPr>
            <w:r>
              <w:rPr>
                <w:color w:val="auto"/>
                <w:szCs w:val="21"/>
              </w:rPr>
              <w:t>退付意见：是否同意退付履约保证金及退付金额：</w:t>
            </w:r>
          </w:p>
          <w:p>
            <w:pPr>
              <w:rPr>
                <w:color w:val="auto"/>
                <w:szCs w:val="21"/>
              </w:rPr>
            </w:pPr>
          </w:p>
          <w:p>
            <w:pPr>
              <w:rPr>
                <w:color w:val="auto"/>
                <w:szCs w:val="21"/>
              </w:rPr>
            </w:pPr>
          </w:p>
          <w:p>
            <w:pPr>
              <w:spacing w:line="520" w:lineRule="exact"/>
              <w:rPr>
                <w:color w:val="auto"/>
                <w:szCs w:val="21"/>
              </w:rPr>
            </w:pPr>
            <w:r>
              <w:rPr>
                <w:color w:val="auto"/>
                <w:szCs w:val="21"/>
              </w:rPr>
              <w:t>联系人及电话：                                 采购单位签章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rPr>
            </w:pPr>
            <w:r>
              <w:rPr>
                <w:color w:val="auto"/>
                <w:szCs w:val="21"/>
              </w:rPr>
              <w:t>财</w:t>
            </w:r>
          </w:p>
          <w:p>
            <w:pPr>
              <w:jc w:val="center"/>
              <w:rPr>
                <w:color w:val="auto"/>
                <w:szCs w:val="21"/>
              </w:rPr>
            </w:pPr>
            <w:r>
              <w:rPr>
                <w:color w:val="auto"/>
                <w:szCs w:val="21"/>
              </w:rPr>
              <w:t>务</w:t>
            </w:r>
          </w:p>
          <w:p>
            <w:pPr>
              <w:jc w:val="center"/>
              <w:rPr>
                <w:color w:val="auto"/>
                <w:szCs w:val="21"/>
              </w:rPr>
            </w:pPr>
            <w:r>
              <w:rPr>
                <w:color w:val="auto"/>
                <w:szCs w:val="21"/>
              </w:rPr>
              <w:t>部</w:t>
            </w:r>
          </w:p>
          <w:p>
            <w:pPr>
              <w:jc w:val="center"/>
              <w:rPr>
                <w:color w:val="auto"/>
                <w:szCs w:val="21"/>
              </w:rPr>
            </w:pPr>
            <w:r>
              <w:rPr>
                <w:color w:val="auto"/>
                <w:szCs w:val="21"/>
              </w:rPr>
              <w:t>门</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tcPr>
          <w:p>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pPr>
              <w:spacing w:line="640" w:lineRule="exact"/>
              <w:rPr>
                <w:color w:val="auto"/>
                <w:szCs w:val="21"/>
              </w:rPr>
            </w:pPr>
            <w:r>
              <w:rPr>
                <w:color w:val="auto"/>
                <w:szCs w:val="21"/>
              </w:rPr>
              <w:t>会计审核：</w:t>
            </w:r>
          </w:p>
          <w:p>
            <w:pPr>
              <w:spacing w:line="640" w:lineRule="exact"/>
              <w:rPr>
                <w:color w:val="auto"/>
                <w:szCs w:val="21"/>
              </w:rPr>
            </w:pPr>
            <w:r>
              <w:rPr>
                <w:color w:val="auto"/>
                <w:szCs w:val="21"/>
              </w:rPr>
              <w:t>财务负责人审核：</w:t>
            </w:r>
          </w:p>
          <w:p>
            <w:pPr>
              <w:spacing w:line="640" w:lineRule="exact"/>
              <w:rPr>
                <w:color w:val="auto"/>
                <w:szCs w:val="21"/>
              </w:rPr>
            </w:pPr>
            <w:r>
              <w:rPr>
                <w:color w:val="auto"/>
                <w:szCs w:val="21"/>
              </w:rPr>
              <w:t>单位负责人签字：</w:t>
            </w:r>
          </w:p>
          <w:p>
            <w:pPr>
              <w:spacing w:line="640" w:lineRule="exact"/>
              <w:rPr>
                <w:color w:val="auto"/>
                <w:szCs w:val="21"/>
              </w:rPr>
            </w:pPr>
            <w:r>
              <w:rPr>
                <w:color w:val="auto"/>
                <w:szCs w:val="21"/>
              </w:rPr>
              <w:t>出纳办理转帐日期：</w:t>
            </w:r>
          </w:p>
        </w:tc>
      </w:tr>
    </w:tbl>
    <w:p>
      <w:pPr>
        <w:pStyle w:val="2"/>
        <w:ind w:left="450" w:leftChars="114" w:hanging="211" w:hangingChars="100"/>
        <w:rPr>
          <w:b/>
          <w:bCs/>
          <w:color w:val="auto"/>
          <w:sz w:val="21"/>
          <w:szCs w:val="21"/>
        </w:rPr>
      </w:pPr>
      <w:r>
        <w:rPr>
          <w:b/>
          <w:bCs/>
          <w:color w:val="auto"/>
          <w:sz w:val="21"/>
          <w:szCs w:val="21"/>
        </w:rPr>
        <w:t>注：供应商凭经采购单位审批的退付意见书到相关财务部办理履约保证金退付事宜。</w:t>
      </w:r>
    </w:p>
    <w:p>
      <w:pPr>
        <w:pStyle w:val="26"/>
        <w:snapToGrid w:val="0"/>
        <w:spacing w:before="120" w:after="120"/>
        <w:rPr>
          <w:rFonts w:ascii="Times New Roman" w:hAnsi="Times New Roman" w:cs="Times New Roman"/>
          <w:color w:val="auto"/>
        </w:rPr>
      </w:pPr>
    </w:p>
    <w:p>
      <w:pPr>
        <w:pStyle w:val="26"/>
        <w:snapToGrid w:val="0"/>
        <w:spacing w:before="120" w:after="120"/>
        <w:outlineLvl w:val="0"/>
        <w:rPr>
          <w:rFonts w:ascii="Times New Roman" w:hAnsi="Times New Roman" w:cs="Times New Roman"/>
          <w:b/>
          <w:color w:val="auto"/>
          <w:sz w:val="32"/>
          <w:szCs w:val="32"/>
        </w:rPr>
        <w:sectPr>
          <w:headerReference r:id="rId18" w:type="default"/>
          <w:pgSz w:w="11906" w:h="16838"/>
          <w:pgMar w:top="1418" w:right="1418" w:bottom="1246" w:left="1418" w:header="851" w:footer="992"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53" w:name="_Toc20204"/>
      <w:r>
        <w:rPr>
          <w:rFonts w:ascii="Times New Roman" w:hAnsi="Times New Roman" w:cs="Times New Roman"/>
          <w:color w:val="auto"/>
          <w:sz w:val="32"/>
          <w:szCs w:val="32"/>
        </w:rPr>
        <w:t>第六章  投标文件格式</w:t>
      </w:r>
      <w:bookmarkEnd w:id="53"/>
    </w:p>
    <w:p>
      <w:pPr>
        <w:rPr>
          <w:color w:val="auto"/>
          <w:sz w:val="28"/>
          <w:szCs w:val="28"/>
        </w:rPr>
      </w:pPr>
    </w:p>
    <w:p>
      <w:pPr>
        <w:rPr>
          <w:color w:val="auto"/>
          <w:sz w:val="28"/>
          <w:szCs w:val="28"/>
        </w:rPr>
      </w:pPr>
    </w:p>
    <w:p>
      <w:pPr>
        <w:rPr>
          <w:color w:val="auto"/>
          <w:sz w:val="28"/>
          <w:szCs w:val="28"/>
        </w:rPr>
      </w:pPr>
    </w:p>
    <w:p>
      <w:pPr>
        <w:rPr>
          <w:color w:val="auto"/>
          <w:sz w:val="28"/>
          <w:szCs w:val="28"/>
        </w:rPr>
      </w:pPr>
    </w:p>
    <w:p>
      <w:pPr>
        <w:spacing w:line="500" w:lineRule="exact"/>
        <w:ind w:firstLine="560" w:firstLineChars="200"/>
        <w:rPr>
          <w:color w:val="auto"/>
          <w:sz w:val="28"/>
          <w:szCs w:val="28"/>
        </w:rPr>
      </w:pPr>
      <w:r>
        <w:rPr>
          <w:rFonts w:hint="eastAsia"/>
          <w:color w:val="auto"/>
          <w:sz w:val="28"/>
          <w:szCs w:val="28"/>
        </w:rPr>
        <w:t>注：本章标注“必须提供”的，应按要求必须提供；有签字、盖章要求的应按要求签字、盖章。未标注“必须提供”的，供应商可自行决定是否提供。</w:t>
      </w:r>
    </w:p>
    <w:p>
      <w:pPr>
        <w:snapToGrid w:val="0"/>
        <w:spacing w:before="120" w:beforeLines="50" w:after="50" w:line="440" w:lineRule="exact"/>
        <w:jc w:val="left"/>
        <w:outlineLvl w:val="1"/>
        <w:rPr>
          <w:bCs/>
          <w:color w:val="auto"/>
          <w:sz w:val="24"/>
        </w:rPr>
      </w:pPr>
      <w:r>
        <w:rPr>
          <w:color w:val="auto"/>
        </w:rPr>
        <w:br w:type="page"/>
      </w:r>
      <w:r>
        <w:rPr>
          <w:rFonts w:hint="eastAsia"/>
          <w:bCs/>
          <w:color w:val="auto"/>
          <w:sz w:val="24"/>
        </w:rPr>
        <w:t>一、</w:t>
      </w:r>
      <w:r>
        <w:rPr>
          <w:bCs/>
          <w:color w:val="auto"/>
          <w:sz w:val="24"/>
        </w:rPr>
        <w:t>投标文件</w:t>
      </w:r>
      <w:r>
        <w:rPr>
          <w:rFonts w:hint="eastAsia"/>
          <w:bCs/>
          <w:color w:val="auto"/>
          <w:sz w:val="24"/>
        </w:rPr>
        <w:t>总密封袋</w:t>
      </w:r>
      <w:r>
        <w:rPr>
          <w:bCs/>
          <w:color w:val="auto"/>
          <w:sz w:val="24"/>
        </w:rPr>
        <w:t>的包装封面参考格式：</w:t>
      </w:r>
    </w:p>
    <w:p>
      <w:pPr>
        <w:snapToGrid w:val="0"/>
        <w:spacing w:before="120" w:beforeLines="50" w:after="50" w:line="440" w:lineRule="exact"/>
        <w:rPr>
          <w:color w:val="auto"/>
          <w:sz w:val="24"/>
        </w:rPr>
      </w:pPr>
    </w:p>
    <w:p>
      <w:pPr>
        <w:snapToGrid w:val="0"/>
        <w:spacing w:before="120" w:beforeLines="50" w:after="50" w:line="440" w:lineRule="exact"/>
        <w:jc w:val="center"/>
        <w:rPr>
          <w:bCs/>
          <w:color w:val="auto"/>
          <w:sz w:val="24"/>
        </w:rPr>
      </w:pPr>
    </w:p>
    <w:p>
      <w:pPr>
        <w:snapToGrid w:val="0"/>
        <w:spacing w:before="120" w:beforeLines="50" w:after="50" w:line="440" w:lineRule="exact"/>
        <w:jc w:val="center"/>
        <w:rPr>
          <w:b/>
          <w:bCs/>
          <w:color w:val="auto"/>
          <w:sz w:val="44"/>
          <w:szCs w:val="44"/>
        </w:rPr>
      </w:pPr>
      <w:r>
        <w:rPr>
          <w:b/>
          <w:bCs/>
          <w:color w:val="auto"/>
          <w:sz w:val="44"/>
          <w:szCs w:val="44"/>
        </w:rPr>
        <w:t>投 标 文 件</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投标文件名称：第一册</w:t>
      </w:r>
      <w:r>
        <w:rPr>
          <w:bCs/>
          <w:color w:val="auto"/>
          <w:sz w:val="24"/>
        </w:rPr>
        <w:t>资格审查文件、第二册</w:t>
      </w:r>
      <w:r>
        <w:rPr>
          <w:bCs/>
          <w:color w:val="auto"/>
          <w:sz w:val="24"/>
          <w:szCs w:val="24"/>
        </w:rPr>
        <w:t>商务技术报价文件</w:t>
      </w:r>
      <w:r>
        <w:rPr>
          <w:rFonts w:hint="eastAsia"/>
          <w:bCs/>
          <w:color w:val="auto"/>
          <w:sz w:val="24"/>
          <w:szCs w:val="24"/>
        </w:rPr>
        <w:t>、</w:t>
      </w:r>
      <w:r>
        <w:rPr>
          <w:rFonts w:hint="eastAsia"/>
          <w:bCs/>
          <w:color w:val="auto"/>
          <w:sz w:val="24"/>
        </w:rPr>
        <w:t>单独密封文件的密封袋</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pStyle w:val="8"/>
        <w:snapToGrid w:val="0"/>
        <w:spacing w:before="50" w:after="50" w:line="440" w:lineRule="exact"/>
        <w:ind w:firstLine="720" w:firstLineChars="300"/>
        <w:rPr>
          <w:bCs/>
          <w:color w:val="auto"/>
          <w:sz w:val="24"/>
          <w:szCs w:val="24"/>
        </w:rPr>
      </w:pPr>
      <w:r>
        <w:rPr>
          <w:bCs/>
          <w:color w:val="auto"/>
          <w:sz w:val="24"/>
          <w:szCs w:val="24"/>
        </w:rPr>
        <w:t>开标时启封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bCs/>
          <w:color w:val="auto"/>
          <w:sz w:val="24"/>
        </w:rPr>
      </w:pPr>
      <w:r>
        <w:rPr>
          <w:color w:val="auto"/>
          <w:sz w:val="24"/>
        </w:rPr>
        <w:br w:type="page"/>
      </w:r>
      <w:bookmarkStart w:id="54" w:name="_Toc254970557"/>
      <w:bookmarkStart w:id="55" w:name="_Toc254970698"/>
      <w:r>
        <w:rPr>
          <w:rFonts w:hint="eastAsia"/>
          <w:bCs/>
          <w:color w:val="auto"/>
          <w:sz w:val="24"/>
        </w:rPr>
        <w:t>1</w:t>
      </w:r>
      <w:r>
        <w:rPr>
          <w:bCs/>
          <w:color w:val="auto"/>
          <w:sz w:val="24"/>
        </w:rPr>
        <w:t xml:space="preserve">．投标文件第一册封面参考格式： </w:t>
      </w:r>
    </w:p>
    <w:p>
      <w:pPr>
        <w:snapToGrid w:val="0"/>
        <w:spacing w:before="120" w:beforeLines="50" w:after="50" w:line="360" w:lineRule="exact"/>
        <w:rPr>
          <w:color w:val="auto"/>
          <w:sz w:val="24"/>
        </w:rPr>
      </w:pPr>
    </w:p>
    <w:p>
      <w:pPr>
        <w:snapToGrid w:val="0"/>
        <w:spacing w:before="120" w:beforeLines="50" w:after="50" w:line="360" w:lineRule="exact"/>
        <w:jc w:val="right"/>
        <w:rPr>
          <w:bCs/>
          <w:color w:val="auto"/>
          <w:sz w:val="24"/>
        </w:rPr>
      </w:pPr>
      <w:r>
        <w:rPr>
          <w:bCs/>
          <w:color w:val="auto"/>
          <w:sz w:val="24"/>
        </w:rPr>
        <w:t>正本/副本</w:t>
      </w: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b/>
          <w:bCs/>
          <w:color w:val="auto"/>
          <w:sz w:val="44"/>
          <w:szCs w:val="44"/>
        </w:rPr>
        <w:t>投标文件</w:t>
      </w: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r>
        <w:rPr>
          <w:b/>
          <w:bCs/>
          <w:color w:val="auto"/>
          <w:sz w:val="44"/>
          <w:szCs w:val="44"/>
        </w:rPr>
        <w:t>第一册  资格审查文件</w:t>
      </w: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120" w:beforeLines="50" w:after="50" w:line="360" w:lineRule="exact"/>
        <w:rPr>
          <w:b/>
          <w:bCs/>
          <w:color w:val="auto"/>
          <w:sz w:val="24"/>
        </w:rPr>
      </w:pPr>
      <w:r>
        <w:rPr>
          <w:color w:val="auto"/>
        </w:rPr>
        <w:br w:type="page"/>
      </w:r>
      <w:bookmarkEnd w:id="54"/>
      <w:bookmarkEnd w:id="55"/>
      <w:r>
        <w:rPr>
          <w:b/>
          <w:bCs/>
          <w:color w:val="auto"/>
          <w:sz w:val="24"/>
        </w:rPr>
        <w:t xml:space="preserve"> </w:t>
      </w:r>
    </w:p>
    <w:p>
      <w:pPr>
        <w:snapToGrid w:val="0"/>
        <w:spacing w:before="50" w:after="50" w:line="440" w:lineRule="exact"/>
        <w:ind w:firstLine="138" w:firstLineChars="49"/>
        <w:jc w:val="center"/>
        <w:rPr>
          <w:b/>
          <w:color w:val="auto"/>
          <w:sz w:val="28"/>
          <w:szCs w:val="28"/>
        </w:rPr>
      </w:pPr>
      <w:r>
        <w:rPr>
          <w:b/>
          <w:color w:val="auto"/>
          <w:sz w:val="28"/>
          <w:szCs w:val="28"/>
        </w:rPr>
        <w:t>目录</w:t>
      </w:r>
    </w:p>
    <w:p>
      <w:pPr>
        <w:snapToGrid w:val="0"/>
        <w:spacing w:before="50" w:after="50" w:line="440" w:lineRule="exact"/>
        <w:ind w:firstLine="118" w:firstLineChars="49"/>
        <w:jc w:val="center"/>
        <w:rPr>
          <w:b/>
          <w:color w:val="auto"/>
          <w:sz w:val="24"/>
        </w:rPr>
      </w:pPr>
      <w:r>
        <w:rPr>
          <w:b/>
          <w:color w:val="auto"/>
          <w:sz w:val="24"/>
        </w:rPr>
        <w:t>（应有页码）</w:t>
      </w:r>
    </w:p>
    <w:p>
      <w:pPr>
        <w:snapToGrid w:val="0"/>
        <w:spacing w:before="50" w:after="50" w:line="440" w:lineRule="exact"/>
        <w:rPr>
          <w:b/>
          <w:color w:val="auto"/>
          <w:sz w:val="24"/>
        </w:rPr>
      </w:pPr>
      <w:r>
        <w:rPr>
          <w:b/>
          <w:color w:val="auto"/>
          <w:sz w:val="24"/>
        </w:rPr>
        <w:br w:type="page"/>
      </w:r>
      <w:r>
        <w:rPr>
          <w:b/>
          <w:color w:val="auto"/>
          <w:szCs w:val="21"/>
        </w:rPr>
        <w:t>1．投标声明书格式</w:t>
      </w:r>
      <w:r>
        <w:rPr>
          <w:rFonts w:hint="eastAsia"/>
          <w:b/>
          <w:color w:val="auto"/>
          <w:szCs w:val="21"/>
        </w:rPr>
        <w:t>（必须提供）</w:t>
      </w:r>
      <w:r>
        <w:rPr>
          <w:b/>
          <w:color w:val="auto"/>
          <w:szCs w:val="21"/>
        </w:rPr>
        <w:t>：</w:t>
      </w:r>
    </w:p>
    <w:p>
      <w:pPr>
        <w:snapToGrid w:val="0"/>
        <w:spacing w:before="50" w:after="50" w:line="440" w:lineRule="exact"/>
        <w:ind w:firstLine="157" w:firstLineChars="49"/>
        <w:jc w:val="left"/>
        <w:rPr>
          <w:b/>
          <w:bCs/>
          <w:color w:val="auto"/>
          <w:sz w:val="32"/>
          <w:szCs w:val="32"/>
        </w:rPr>
      </w:pPr>
    </w:p>
    <w:p>
      <w:pPr>
        <w:snapToGrid w:val="0"/>
        <w:spacing w:before="120" w:beforeLines="50" w:after="50" w:line="360" w:lineRule="exact"/>
        <w:jc w:val="center"/>
        <w:rPr>
          <w:b/>
          <w:color w:val="auto"/>
          <w:szCs w:val="21"/>
        </w:rPr>
      </w:pPr>
      <w:r>
        <w:rPr>
          <w:b/>
          <w:color w:val="auto"/>
          <w:szCs w:val="21"/>
        </w:rPr>
        <w:t>投标声明书</w:t>
      </w:r>
    </w:p>
    <w:p>
      <w:pPr>
        <w:snapToGrid w:val="0"/>
        <w:spacing w:before="120" w:beforeLines="50" w:after="50" w:line="360" w:lineRule="exact"/>
        <w:jc w:val="center"/>
        <w:rPr>
          <w:color w:val="auto"/>
          <w:szCs w:val="21"/>
        </w:rPr>
      </w:pPr>
    </w:p>
    <w:p>
      <w:pPr>
        <w:snapToGrid w:val="0"/>
        <w:spacing w:before="120" w:beforeLines="50" w:after="50" w:line="360" w:lineRule="exact"/>
        <w:rPr>
          <w:color w:val="auto"/>
          <w:szCs w:val="21"/>
        </w:rPr>
      </w:pPr>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color w:val="auto"/>
          <w:szCs w:val="21"/>
        </w:rPr>
        <w:t xml:space="preserve"> </w:t>
      </w:r>
      <w:r>
        <w:rPr>
          <w:rFonts w:hint="eastAsia"/>
          <w:i/>
          <w:iCs/>
          <w:color w:val="auto"/>
          <w:szCs w:val="21"/>
          <w:u w:val="single"/>
        </w:rPr>
        <w:t xml:space="preserve">（项目名称） </w:t>
      </w:r>
      <w:r>
        <w:rPr>
          <w:color w:val="auto"/>
          <w:szCs w:val="21"/>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color w:val="auto"/>
          <w:szCs w:val="21"/>
        </w:rPr>
      </w:pPr>
      <w:r>
        <w:rPr>
          <w:color w:val="auto"/>
          <w:szCs w:val="21"/>
        </w:rPr>
        <w:t>（1）我方向贵方提交的所有投标文件、资料都是准确的和真实的。</w:t>
      </w:r>
    </w:p>
    <w:p>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color w:val="auto"/>
          <w:szCs w:val="21"/>
        </w:rPr>
      </w:pPr>
      <w:r>
        <w:rPr>
          <w:color w:val="auto"/>
          <w:szCs w:val="21"/>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color w:val="auto"/>
          <w:szCs w:val="21"/>
        </w:rPr>
      </w:pPr>
      <w:r>
        <w:rPr>
          <w:color w:val="auto"/>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color w:val="auto"/>
          <w:szCs w:val="21"/>
        </w:rPr>
      </w:pPr>
      <w:r>
        <w:rPr>
          <w:color w:val="auto"/>
          <w:szCs w:val="21"/>
        </w:rPr>
        <w:t>（5）我方承诺具有履行本项目合同所必需的设备和专业技术能力。</w:t>
      </w:r>
    </w:p>
    <w:p>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未被列入失信被执行人、重大税收违法案件当事人名单、政府采购严重违法失信行为记录名单</w:t>
      </w:r>
      <w:r>
        <w:rPr>
          <w:rFonts w:hint="eastAsia"/>
          <w:color w:val="auto"/>
          <w:szCs w:val="21"/>
        </w:rPr>
        <w:t>，如我方提供的声明不实，则接受本次投标作为否决投标的处理，</w:t>
      </w:r>
      <w:r>
        <w:rPr>
          <w:color w:val="auto"/>
          <w:szCs w:val="21"/>
        </w:rPr>
        <w:t>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color w:val="auto"/>
          <w:szCs w:val="21"/>
        </w:rPr>
      </w:pPr>
      <w:r>
        <w:rPr>
          <w:rFonts w:hint="eastAsia"/>
          <w:color w:val="auto"/>
          <w:szCs w:val="21"/>
        </w:rPr>
        <w:t>（7）我方承诺中标后按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提交的投标保证金</w:t>
      </w:r>
      <w:r>
        <w:rPr>
          <w:rFonts w:hint="eastAsia"/>
          <w:color w:val="auto"/>
          <w:szCs w:val="21"/>
        </w:rPr>
        <w:t>，并从中</w:t>
      </w:r>
      <w:r>
        <w:rPr>
          <w:color w:val="auto"/>
          <w:szCs w:val="21"/>
        </w:rPr>
        <w:t>扣除</w:t>
      </w:r>
      <w:r>
        <w:rPr>
          <w:rFonts w:hint="eastAsia"/>
          <w:color w:val="auto"/>
          <w:szCs w:val="21"/>
        </w:rPr>
        <w:t>代理服务费。</w:t>
      </w:r>
    </w:p>
    <w:p>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p>
      <w:pPr>
        <w:snapToGrid w:val="0"/>
        <w:spacing w:before="120" w:beforeLines="50" w:line="360" w:lineRule="exact"/>
        <w:ind w:firstLine="420" w:firstLineChars="200"/>
        <w:rPr>
          <w:color w:val="auto"/>
          <w:szCs w:val="21"/>
        </w:rPr>
      </w:pPr>
    </w:p>
    <w:p>
      <w:pPr>
        <w:snapToGrid w:val="0"/>
        <w:spacing w:before="120" w:beforeLines="50" w:line="360" w:lineRule="exact"/>
        <w:ind w:firstLine="3509" w:firstLineChars="1671"/>
        <w:rPr>
          <w:color w:val="auto"/>
          <w:szCs w:val="21"/>
          <w:u w:val="single"/>
        </w:rPr>
      </w:pPr>
      <w:r>
        <w:rPr>
          <w:color w:val="auto"/>
          <w:szCs w:val="21"/>
        </w:rPr>
        <w:t>法定代表人签字或盖章：</w:t>
      </w:r>
      <w:r>
        <w:rPr>
          <w:color w:val="auto"/>
          <w:szCs w:val="21"/>
          <w:u w:val="single"/>
        </w:rPr>
        <w:t xml:space="preserve">             </w:t>
      </w:r>
    </w:p>
    <w:p>
      <w:pPr>
        <w:snapToGrid w:val="0"/>
        <w:spacing w:before="120" w:beforeLines="50" w:after="50" w:line="360" w:lineRule="exact"/>
        <w:ind w:firstLine="3570" w:firstLineChars="1700"/>
        <w:rPr>
          <w:color w:val="auto"/>
          <w:szCs w:val="21"/>
        </w:rPr>
      </w:pPr>
      <w:r>
        <w:rPr>
          <w:color w:val="auto"/>
          <w:szCs w:val="21"/>
        </w:rPr>
        <w:t>供应商公章：</w:t>
      </w:r>
      <w:r>
        <w:rPr>
          <w:color w:val="auto"/>
          <w:szCs w:val="21"/>
          <w:u w:val="single"/>
        </w:rPr>
        <w:t xml:space="preserve">                </w:t>
      </w:r>
    </w:p>
    <w:p>
      <w:pPr>
        <w:snapToGrid w:val="0"/>
        <w:spacing w:before="120" w:beforeLines="50" w:after="50" w:line="360" w:lineRule="exact"/>
        <w:ind w:firstLine="210" w:firstLineChars="100"/>
        <w:rPr>
          <w:color w:val="auto"/>
          <w:szCs w:val="21"/>
        </w:rPr>
      </w:pPr>
      <w:r>
        <w:rPr>
          <w:color w:val="auto"/>
          <w:szCs w:val="21"/>
        </w:rPr>
        <w:t xml:space="preserve">                                          年    月    日</w:t>
      </w:r>
    </w:p>
    <w:p>
      <w:pPr>
        <w:snapToGrid w:val="0"/>
        <w:spacing w:before="120" w:beforeLines="50" w:after="50" w:line="360" w:lineRule="exact"/>
        <w:rPr>
          <w:color w:val="auto"/>
          <w:szCs w:val="21"/>
        </w:rPr>
      </w:pPr>
      <w:r>
        <w:rPr>
          <w:color w:val="auto"/>
          <w:szCs w:val="21"/>
        </w:rPr>
        <w:br w:type="page"/>
      </w:r>
      <w:r>
        <w:rPr>
          <w:color w:val="auto"/>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Pr>
          <w:rFonts w:hint="eastAsia"/>
          <w:b/>
          <w:color w:val="auto"/>
          <w:szCs w:val="21"/>
        </w:rPr>
        <w:t>（必须提供）</w:t>
      </w:r>
    </w:p>
    <w:p>
      <w:pPr>
        <w:snapToGrid w:val="0"/>
        <w:spacing w:before="120" w:beforeLines="50" w:after="50" w:line="440" w:lineRule="exact"/>
        <w:rPr>
          <w:color w:val="auto"/>
          <w:sz w:val="18"/>
          <w:szCs w:val="18"/>
        </w:rPr>
      </w:pPr>
    </w:p>
    <w:p>
      <w:pPr>
        <w:snapToGrid w:val="0"/>
        <w:spacing w:before="120" w:beforeLines="50" w:after="50" w:line="440" w:lineRule="exact"/>
        <w:rPr>
          <w:b/>
          <w:color w:val="auto"/>
          <w:szCs w:val="21"/>
        </w:rPr>
      </w:pPr>
      <w:r>
        <w:rPr>
          <w:color w:val="auto"/>
          <w:szCs w:val="21"/>
        </w:rPr>
        <w:t>3．财务状况报告（表）复印件或银行出具的资信证明复印件。</w:t>
      </w:r>
      <w:r>
        <w:rPr>
          <w:color w:val="auto"/>
        </w:rPr>
        <w:t>对于从取得营业执照时间起到截标时间为止不足1年的供应商，只需提交</w:t>
      </w:r>
      <w:r>
        <w:rPr>
          <w:color w:val="auto"/>
          <w:szCs w:val="21"/>
        </w:rPr>
        <w:t>截标时间前一个月的财务状况报告（表）复印件。（按“评标方法及评标标准” “资格审查表”规定提供）。（加盖供应商公章）</w:t>
      </w:r>
      <w:r>
        <w:rPr>
          <w:rFonts w:hint="eastAsia"/>
          <w:color w:val="auto"/>
          <w:szCs w:val="21"/>
        </w:rPr>
        <w:t>。</w:t>
      </w:r>
      <w:r>
        <w:rPr>
          <w:rFonts w:hint="eastAsia"/>
          <w:b/>
          <w:color w:val="auto"/>
          <w:szCs w:val="21"/>
        </w:rPr>
        <w:t>（必须提供）</w:t>
      </w:r>
    </w:p>
    <w:p>
      <w:pPr>
        <w:snapToGrid w:val="0"/>
        <w:spacing w:before="120" w:beforeLines="50" w:after="50" w:line="440" w:lineRule="exact"/>
        <w:rPr>
          <w:color w:val="auto"/>
          <w:szCs w:val="21"/>
        </w:rPr>
      </w:pPr>
    </w:p>
    <w:p>
      <w:pPr>
        <w:snapToGrid w:val="0"/>
        <w:spacing w:before="120" w:beforeLines="50" w:after="50" w:line="440" w:lineRule="exact"/>
        <w:rPr>
          <w:color w:val="auto"/>
        </w:rPr>
      </w:pPr>
      <w:r>
        <w:rPr>
          <w:color w:val="auto"/>
        </w:rPr>
        <w:t>4．依法缴纳税费证明和社会保险缴纳证明材料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（按“评标方法及评标标准” “资格审查表”规定提供）（加盖供应商公章）</w:t>
      </w:r>
      <w:r>
        <w:rPr>
          <w:rFonts w:hint="eastAsia"/>
          <w:color w:val="auto"/>
          <w:szCs w:val="21"/>
        </w:rPr>
        <w:t>。</w:t>
      </w:r>
      <w:r>
        <w:rPr>
          <w:rFonts w:hint="eastAsia"/>
          <w:b/>
          <w:color w:val="auto"/>
          <w:szCs w:val="21"/>
        </w:rPr>
        <w:t>（必须提供）</w:t>
      </w:r>
    </w:p>
    <w:p>
      <w:pPr>
        <w:snapToGrid w:val="0"/>
        <w:spacing w:before="120" w:beforeLines="50" w:after="50" w:line="360" w:lineRule="exact"/>
        <w:rPr>
          <w:color w:val="auto"/>
          <w:szCs w:val="21"/>
        </w:rPr>
      </w:pPr>
    </w:p>
    <w:p>
      <w:pPr>
        <w:snapToGrid w:val="0"/>
        <w:spacing w:before="50" w:after="120" w:afterLines="50" w:line="440" w:lineRule="exact"/>
        <w:jc w:val="left"/>
        <w:rPr>
          <w:b/>
          <w:color w:val="auto"/>
          <w:szCs w:val="21"/>
        </w:rPr>
      </w:pPr>
      <w:r>
        <w:rPr>
          <w:color w:val="auto"/>
          <w:szCs w:val="21"/>
        </w:rPr>
        <w:t>5．具备法律、行政法规规定的其他要求的证明材料</w:t>
      </w:r>
      <w:r>
        <w:rPr>
          <w:color w:val="auto"/>
        </w:rPr>
        <w:t>（</w:t>
      </w:r>
      <w:r>
        <w:rPr>
          <w:color w:val="auto"/>
          <w:szCs w:val="21"/>
        </w:rPr>
        <w:t>按“评标方法及评标标准” “资格审查表”规定提供</w:t>
      </w:r>
      <w:r>
        <w:rPr>
          <w:color w:val="auto"/>
        </w:rPr>
        <w:t>）。</w:t>
      </w:r>
      <w:r>
        <w:rPr>
          <w:rFonts w:hint="eastAsia"/>
          <w:b/>
          <w:color w:val="auto"/>
          <w:szCs w:val="21"/>
        </w:rPr>
        <w:t>（如招标文件有要求，则必须提供）</w:t>
      </w:r>
    </w:p>
    <w:p>
      <w:pPr>
        <w:snapToGrid w:val="0"/>
        <w:spacing w:before="50" w:after="120" w:afterLines="50" w:line="440" w:lineRule="exact"/>
        <w:jc w:val="left"/>
        <w:rPr>
          <w:color w:val="auto"/>
          <w:szCs w:val="21"/>
        </w:rPr>
      </w:pPr>
    </w:p>
    <w:p>
      <w:pPr>
        <w:snapToGrid w:val="0"/>
        <w:spacing w:before="50" w:after="120" w:afterLines="50" w:line="440" w:lineRule="exact"/>
        <w:jc w:val="left"/>
        <w:rPr>
          <w:b/>
          <w:color w:val="auto"/>
          <w:szCs w:val="21"/>
        </w:rPr>
      </w:pPr>
      <w:r>
        <w:rPr>
          <w:color w:val="auto"/>
          <w:szCs w:val="21"/>
        </w:rPr>
        <w:t>6．</w:t>
      </w:r>
      <w:r>
        <w:rPr>
          <w:color w:val="auto"/>
        </w:rPr>
        <w:t>满足供应商特定资格条件的其他证明材料</w:t>
      </w:r>
      <w:r>
        <w:rPr>
          <w:color w:val="auto"/>
          <w:szCs w:val="21"/>
        </w:rPr>
        <w:t>加盖供应商公章</w:t>
      </w:r>
      <w:r>
        <w:rPr>
          <w:color w:val="auto"/>
        </w:rPr>
        <w:t>（</w:t>
      </w:r>
      <w:r>
        <w:rPr>
          <w:color w:val="auto"/>
          <w:szCs w:val="21"/>
        </w:rPr>
        <w:t>按“评标方法及评标标准” “资格审查表”“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（如招标文件有要求，则必须提供）</w:t>
      </w:r>
    </w:p>
    <w:p>
      <w:pPr>
        <w:snapToGrid w:val="0"/>
        <w:spacing w:before="50" w:after="120" w:afterLines="50" w:line="400" w:lineRule="exact"/>
        <w:jc w:val="left"/>
        <w:rPr>
          <w:color w:val="auto"/>
          <w:szCs w:val="21"/>
        </w:rPr>
      </w:pPr>
    </w:p>
    <w:p>
      <w:pPr>
        <w:snapToGrid w:val="0"/>
        <w:spacing w:before="50" w:after="120" w:afterLines="50" w:line="400" w:lineRule="exact"/>
        <w:jc w:val="left"/>
        <w:rPr>
          <w:color w:val="auto"/>
          <w:szCs w:val="21"/>
        </w:rPr>
      </w:pPr>
      <w:r>
        <w:rPr>
          <w:color w:val="auto"/>
          <w:szCs w:val="21"/>
        </w:rPr>
        <w:t>7．投标保证金缴纳证明</w:t>
      </w:r>
      <w:r>
        <w:rPr>
          <w:rFonts w:hint="eastAsia"/>
          <w:color w:val="auto"/>
          <w:szCs w:val="21"/>
        </w:rPr>
        <w:t>。</w:t>
      </w:r>
      <w:r>
        <w:rPr>
          <w:rFonts w:hint="eastAsia"/>
          <w:b/>
          <w:color w:val="auto"/>
          <w:szCs w:val="21"/>
        </w:rPr>
        <w:t>（如招标文件有要求，则必须提供）</w:t>
      </w:r>
    </w:p>
    <w:p>
      <w:pPr>
        <w:snapToGrid w:val="0"/>
        <w:spacing w:before="50" w:after="120" w:afterLines="50" w:line="440" w:lineRule="exact"/>
        <w:jc w:val="left"/>
        <w:rPr>
          <w:color w:val="auto"/>
        </w:rPr>
      </w:pPr>
      <w:r>
        <w:rPr>
          <w:rFonts w:hint="eastAsia"/>
          <w:color w:val="auto"/>
        </w:rPr>
        <w:t>以转账、电汇形式缴纳的，提供转账、电汇凭证扫描件或复印件（网银可提供截图）</w:t>
      </w:r>
      <w:r>
        <w:rPr>
          <w:color w:val="auto"/>
        </w:rPr>
        <w:t>加盖公章</w:t>
      </w:r>
      <w:r>
        <w:rPr>
          <w:rFonts w:hint="eastAsia"/>
          <w:color w:val="auto"/>
        </w:rPr>
        <w:t>；</w:t>
      </w:r>
    </w:p>
    <w:p>
      <w:pPr>
        <w:snapToGrid w:val="0"/>
        <w:spacing w:before="50" w:after="120" w:afterLines="50" w:line="440" w:lineRule="exact"/>
        <w:jc w:val="left"/>
        <w:rPr>
          <w:color w:val="auto"/>
        </w:rPr>
      </w:pPr>
      <w:r>
        <w:rPr>
          <w:rFonts w:hint="eastAsia"/>
          <w:color w:val="auto"/>
        </w:rPr>
        <w:t>以其他非现金形式缴纳的，提供原件扫描件或</w:t>
      </w:r>
      <w:r>
        <w:rPr>
          <w:color w:val="auto"/>
        </w:rPr>
        <w:t>复印件加盖公章</w:t>
      </w:r>
      <w:r>
        <w:rPr>
          <w:rFonts w:hint="eastAsia"/>
          <w:color w:val="auto"/>
        </w:rPr>
        <w:t>。</w:t>
      </w:r>
    </w:p>
    <w:p>
      <w:pPr>
        <w:snapToGrid w:val="0"/>
        <w:spacing w:before="50" w:after="120" w:afterLines="50"/>
        <w:jc w:val="left"/>
        <w:rPr>
          <w:bCs/>
          <w:color w:val="auto"/>
          <w:sz w:val="24"/>
        </w:rPr>
      </w:pPr>
      <w:bookmarkStart w:id="56" w:name="_Hlk20389231"/>
      <w:r>
        <w:rPr>
          <w:color w:val="auto"/>
          <w:szCs w:val="21"/>
        </w:rPr>
        <w:br w:type="page"/>
      </w:r>
      <w:bookmarkEnd w:id="56"/>
      <w:r>
        <w:rPr>
          <w:rFonts w:hint="eastAsia"/>
          <w:color w:val="auto"/>
          <w:szCs w:val="21"/>
        </w:rPr>
        <w:t>8</w:t>
      </w:r>
      <w:r>
        <w:rPr>
          <w:color w:val="auto"/>
          <w:szCs w:val="21"/>
        </w:rPr>
        <w:t>．供应商认为应当要提交的</w:t>
      </w:r>
      <w:r>
        <w:rPr>
          <w:rFonts w:hint="eastAsia"/>
          <w:color w:val="auto"/>
          <w:szCs w:val="21"/>
        </w:rPr>
        <w:t>其他</w:t>
      </w:r>
      <w:r>
        <w:rPr>
          <w:color w:val="auto"/>
          <w:szCs w:val="21"/>
        </w:rPr>
        <w:t>资格证明材料。</w:t>
      </w:r>
      <w:r>
        <w:rPr>
          <w:bCs/>
          <w:color w:val="auto"/>
          <w:sz w:val="24"/>
        </w:rPr>
        <w:t xml:space="preserve"> </w:t>
      </w:r>
    </w:p>
    <w:p>
      <w:pPr>
        <w:snapToGrid w:val="0"/>
        <w:spacing w:before="120" w:beforeLines="50" w:after="50" w:line="440" w:lineRule="exact"/>
        <w:jc w:val="left"/>
        <w:outlineLvl w:val="1"/>
        <w:rPr>
          <w:bCs/>
          <w:color w:val="auto"/>
          <w:sz w:val="24"/>
        </w:rPr>
      </w:pPr>
      <w:r>
        <w:rPr>
          <w:bCs/>
          <w:color w:val="auto"/>
          <w:sz w:val="24"/>
        </w:rPr>
        <w:br w:type="page"/>
      </w:r>
      <w:r>
        <w:rPr>
          <w:rFonts w:hint="eastAsia"/>
          <w:bCs/>
          <w:color w:val="auto"/>
          <w:sz w:val="24"/>
        </w:rPr>
        <w:t>2</w:t>
      </w:r>
      <w:r>
        <w:rPr>
          <w:bCs/>
          <w:color w:val="auto"/>
          <w:sz w:val="24"/>
        </w:rPr>
        <w:t xml:space="preserve">．投标文件第二册封面参考格式： </w:t>
      </w:r>
    </w:p>
    <w:p>
      <w:pPr>
        <w:snapToGrid w:val="0"/>
        <w:spacing w:before="120" w:beforeLines="50" w:after="50" w:line="360" w:lineRule="exact"/>
        <w:rPr>
          <w:color w:val="auto"/>
          <w:sz w:val="24"/>
        </w:rPr>
      </w:pPr>
    </w:p>
    <w:p>
      <w:pPr>
        <w:snapToGrid w:val="0"/>
        <w:spacing w:before="120" w:beforeLines="50" w:after="50" w:line="360" w:lineRule="exact"/>
        <w:jc w:val="right"/>
        <w:rPr>
          <w:bCs/>
          <w:color w:val="auto"/>
          <w:sz w:val="24"/>
        </w:rPr>
      </w:pPr>
      <w:r>
        <w:rPr>
          <w:bCs/>
          <w:color w:val="auto"/>
          <w:sz w:val="24"/>
        </w:rPr>
        <w:t>正本/副本</w:t>
      </w: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b/>
          <w:bCs/>
          <w:color w:val="auto"/>
          <w:sz w:val="44"/>
          <w:szCs w:val="44"/>
        </w:rPr>
        <w:t>投标文件</w:t>
      </w: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r>
        <w:rPr>
          <w:b/>
          <w:bCs/>
          <w:color w:val="auto"/>
          <w:sz w:val="44"/>
          <w:szCs w:val="44"/>
        </w:rPr>
        <w:t>第二册  商务技术报价文件</w:t>
      </w: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50" w:after="50" w:line="440" w:lineRule="exact"/>
        <w:ind w:firstLine="102" w:firstLineChars="49"/>
        <w:jc w:val="center"/>
        <w:rPr>
          <w:b/>
          <w:color w:val="auto"/>
          <w:sz w:val="28"/>
          <w:szCs w:val="28"/>
        </w:rPr>
      </w:pPr>
      <w:r>
        <w:rPr>
          <w:color w:val="auto"/>
        </w:rPr>
        <w:br w:type="page"/>
      </w:r>
      <w:r>
        <w:rPr>
          <w:b/>
          <w:color w:val="auto"/>
          <w:sz w:val="28"/>
          <w:szCs w:val="28"/>
        </w:rPr>
        <w:t>目录</w:t>
      </w:r>
    </w:p>
    <w:p>
      <w:pPr>
        <w:snapToGrid w:val="0"/>
        <w:spacing w:before="50" w:after="50" w:line="440" w:lineRule="exact"/>
        <w:ind w:firstLine="118" w:firstLineChars="49"/>
        <w:jc w:val="center"/>
        <w:rPr>
          <w:b/>
          <w:color w:val="auto"/>
          <w:sz w:val="24"/>
        </w:rPr>
      </w:pPr>
      <w:r>
        <w:rPr>
          <w:b/>
          <w:color w:val="auto"/>
          <w:sz w:val="24"/>
        </w:rPr>
        <w:t>（应有页码）</w:t>
      </w:r>
    </w:p>
    <w:p>
      <w:pPr>
        <w:jc w:val="center"/>
        <w:rPr>
          <w:color w:val="auto"/>
        </w:rPr>
      </w:pPr>
      <w:r>
        <w:rPr>
          <w:color w:val="auto"/>
        </w:rPr>
        <w:br w:type="page"/>
      </w:r>
    </w:p>
    <w:p>
      <w:pPr>
        <w:rPr>
          <w:b/>
          <w:color w:val="auto"/>
          <w:szCs w:val="21"/>
        </w:rPr>
      </w:pPr>
      <w:bookmarkStart w:id="57" w:name="_Toc462223472"/>
      <w:bookmarkStart w:id="58" w:name="_Toc462320613"/>
      <w:bookmarkStart w:id="59" w:name="_Toc455309222"/>
      <w:r>
        <w:rPr>
          <w:color w:val="auto"/>
          <w:szCs w:val="21"/>
        </w:rPr>
        <w:t>1．法定代表人身份证明</w:t>
      </w:r>
      <w:r>
        <w:rPr>
          <w:rFonts w:hint="eastAsia"/>
          <w:b/>
          <w:color w:val="auto"/>
          <w:szCs w:val="21"/>
        </w:rPr>
        <w:t>（无授权</w:t>
      </w:r>
      <w:r>
        <w:rPr>
          <w:b/>
          <w:color w:val="auto"/>
          <w:szCs w:val="21"/>
        </w:rPr>
        <w:t>代表</w:t>
      </w:r>
      <w:r>
        <w:rPr>
          <w:rFonts w:hint="eastAsia"/>
          <w:b/>
          <w:color w:val="auto"/>
          <w:szCs w:val="21"/>
        </w:rPr>
        <w:t>时必须提供）</w:t>
      </w:r>
      <w:r>
        <w:rPr>
          <w:b/>
          <w:color w:val="auto"/>
          <w:szCs w:val="21"/>
        </w:rPr>
        <w:t>：</w:t>
      </w:r>
    </w:p>
    <w:p>
      <w:pPr>
        <w:jc w:val="center"/>
        <w:rPr>
          <w:color w:val="auto"/>
        </w:rPr>
      </w:pPr>
    </w:p>
    <w:bookmarkEnd w:id="57"/>
    <w:bookmarkEnd w:id="58"/>
    <w:bookmarkEnd w:id="59"/>
    <w:p>
      <w:pPr>
        <w:snapToGrid w:val="0"/>
        <w:spacing w:before="120" w:beforeLines="50" w:after="50" w:line="440" w:lineRule="exact"/>
        <w:jc w:val="center"/>
        <w:rPr>
          <w:b/>
          <w:color w:val="auto"/>
          <w:szCs w:val="21"/>
        </w:rPr>
      </w:pPr>
      <w:r>
        <w:rPr>
          <w:b/>
          <w:color w:val="auto"/>
          <w:szCs w:val="21"/>
        </w:rPr>
        <w:t>法定代表人身份证明</w:t>
      </w:r>
    </w:p>
    <w:p>
      <w:pPr>
        <w:spacing w:line="360" w:lineRule="auto"/>
        <w:rPr>
          <w:color w:val="auto"/>
        </w:rPr>
      </w:pPr>
    </w:p>
    <w:p>
      <w:pPr>
        <w:spacing w:line="540" w:lineRule="exact"/>
        <w:rPr>
          <w:color w:val="auto"/>
          <w:szCs w:val="21"/>
        </w:rPr>
      </w:pPr>
      <w:r>
        <w:rPr>
          <w:color w:val="auto"/>
          <w:szCs w:val="21"/>
        </w:rPr>
        <w:t>供应商名称：</w:t>
      </w:r>
      <w:r>
        <w:rPr>
          <w:color w:val="auto"/>
          <w:szCs w:val="21"/>
          <w:u w:val="single"/>
        </w:rPr>
        <w:t xml:space="preserve">                                         </w:t>
      </w:r>
    </w:p>
    <w:p>
      <w:pPr>
        <w:spacing w:line="540" w:lineRule="exact"/>
        <w:rPr>
          <w:color w:val="auto"/>
          <w:szCs w:val="21"/>
        </w:rPr>
      </w:pPr>
      <w:r>
        <w:rPr>
          <w:color w:val="auto"/>
          <w:szCs w:val="21"/>
        </w:rPr>
        <w:t>单位性质：</w:t>
      </w:r>
      <w:r>
        <w:rPr>
          <w:color w:val="auto"/>
          <w:szCs w:val="21"/>
          <w:u w:val="single"/>
        </w:rPr>
        <w:t xml:space="preserve">                                           </w:t>
      </w:r>
    </w:p>
    <w:p>
      <w:pPr>
        <w:spacing w:line="540" w:lineRule="exact"/>
        <w:rPr>
          <w:color w:val="auto"/>
          <w:szCs w:val="21"/>
        </w:rPr>
      </w:pPr>
      <w:r>
        <w:rPr>
          <w:color w:val="auto"/>
          <w:szCs w:val="21"/>
        </w:rPr>
        <w:t>地址：</w:t>
      </w:r>
      <w:r>
        <w:rPr>
          <w:color w:val="auto"/>
          <w:szCs w:val="21"/>
          <w:u w:val="single"/>
        </w:rPr>
        <w:t xml:space="preserve">                                               </w:t>
      </w:r>
    </w:p>
    <w:p>
      <w:pPr>
        <w:spacing w:line="540" w:lineRule="exact"/>
        <w:rPr>
          <w:color w:val="auto"/>
          <w:szCs w:val="21"/>
          <w:u w:val="single"/>
        </w:rPr>
      </w:pPr>
      <w:r>
        <w:rPr>
          <w:color w:val="auto"/>
          <w:szCs w:val="21"/>
        </w:rPr>
        <w:t>成立时间：</w:t>
      </w:r>
      <w:r>
        <w:rPr>
          <w:color w:val="auto"/>
          <w:szCs w:val="21"/>
          <w:u w:val="single"/>
        </w:rPr>
        <w:t xml:space="preserve">          年        月        日</w:t>
      </w:r>
    </w:p>
    <w:p>
      <w:pPr>
        <w:spacing w:line="540" w:lineRule="exact"/>
        <w:rPr>
          <w:color w:val="auto"/>
          <w:szCs w:val="21"/>
        </w:rPr>
      </w:pPr>
      <w:r>
        <w:rPr>
          <w:color w:val="auto"/>
          <w:szCs w:val="21"/>
        </w:rPr>
        <w:t>经营期限：</w:t>
      </w:r>
      <w:r>
        <w:rPr>
          <w:color w:val="auto"/>
          <w:szCs w:val="21"/>
          <w:u w:val="single"/>
        </w:rPr>
        <w:t xml:space="preserve">                                           </w:t>
      </w:r>
    </w:p>
    <w:p>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pPr>
        <w:spacing w:line="540" w:lineRule="exact"/>
        <w:rPr>
          <w:color w:val="auto"/>
          <w:szCs w:val="21"/>
        </w:rPr>
      </w:pPr>
    </w:p>
    <w:p>
      <w:pPr>
        <w:spacing w:line="540" w:lineRule="exact"/>
        <w:ind w:firstLine="420" w:firstLineChars="200"/>
        <w:rPr>
          <w:color w:val="auto"/>
          <w:szCs w:val="21"/>
        </w:rPr>
      </w:pPr>
      <w:r>
        <w:rPr>
          <w:color w:val="auto"/>
          <w:szCs w:val="21"/>
        </w:rPr>
        <w:t>特此证明。</w:t>
      </w:r>
    </w:p>
    <w:p>
      <w:pPr>
        <w:spacing w:line="360" w:lineRule="auto"/>
        <w:ind w:firstLine="4830" w:firstLineChars="2300"/>
        <w:rPr>
          <w:color w:val="auto"/>
          <w:szCs w:val="21"/>
        </w:rPr>
      </w:pPr>
      <w:r>
        <w:rPr>
          <w:color w:val="auto"/>
          <w:szCs w:val="21"/>
        </w:rPr>
        <w:t>供应商公章：</w:t>
      </w:r>
      <w:r>
        <w:rPr>
          <w:color w:val="auto"/>
          <w:szCs w:val="21"/>
          <w:u w:val="single"/>
        </w:rPr>
        <w:t xml:space="preserve">                </w:t>
      </w:r>
    </w:p>
    <w:p>
      <w:pPr>
        <w:spacing w:line="360" w:lineRule="auto"/>
        <w:rPr>
          <w:color w:val="auto"/>
          <w:szCs w:val="21"/>
        </w:rPr>
      </w:pPr>
      <w:r>
        <w:rPr>
          <w:color w:val="auto"/>
          <w:szCs w:val="21"/>
        </w:rPr>
        <w:t xml:space="preserve">                                                   年       月       日 </w:t>
      </w:r>
    </w:p>
    <w:p>
      <w:pPr>
        <w:spacing w:line="360" w:lineRule="auto"/>
        <w:ind w:firstLine="420" w:firstLineChars="200"/>
        <w:rPr>
          <w:color w:val="auto"/>
          <w:szCs w:val="21"/>
        </w:rPr>
      </w:pPr>
    </w:p>
    <w:p>
      <w:pPr>
        <w:spacing w:line="360" w:lineRule="auto"/>
        <w:rPr>
          <w:color w:val="auto"/>
          <w:szCs w:val="21"/>
        </w:rPr>
      </w:pPr>
      <w:r>
        <w:rPr>
          <w:color w:val="auto"/>
          <w:szCs w:val="21"/>
        </w:rPr>
        <w:t>附件：法定代表人身份证复印件</w:t>
      </w:r>
    </w:p>
    <w:p>
      <w:pPr>
        <w:spacing w:line="360" w:lineRule="auto"/>
        <w:rPr>
          <w:color w:val="auto"/>
          <w:szCs w:val="21"/>
        </w:rPr>
      </w:pPr>
    </w:p>
    <w:p>
      <w:pPr>
        <w:spacing w:line="360" w:lineRule="auto"/>
        <w:rPr>
          <w:color w:val="auto"/>
        </w:rPr>
      </w:pPr>
      <w:r>
        <w:rPr>
          <w:color w:val="auto"/>
        </w:rPr>
        <w:t>注：法定代表人亲自出席开标会议时，须随身携带本“法定代表人身份证明”原件一份以及身份证原件，以备核查。</w:t>
      </w:r>
    </w:p>
    <w:p>
      <w:pPr>
        <w:spacing w:line="360" w:lineRule="auto"/>
        <w:rPr>
          <w:color w:val="auto"/>
        </w:rPr>
      </w:pPr>
    </w:p>
    <w:p>
      <w:pPr>
        <w:snapToGrid w:val="0"/>
        <w:spacing w:before="120" w:beforeLines="50" w:after="50" w:line="360" w:lineRule="exact"/>
        <w:rPr>
          <w:b/>
          <w:color w:val="auto"/>
          <w:szCs w:val="21"/>
        </w:rPr>
      </w:pPr>
      <w:r>
        <w:rPr>
          <w:b/>
          <w:color w:val="auto"/>
          <w:szCs w:val="21"/>
        </w:rPr>
        <w:br w:type="page"/>
      </w:r>
      <w:r>
        <w:rPr>
          <w:rFonts w:hint="eastAsia"/>
          <w:b/>
          <w:color w:val="auto"/>
          <w:szCs w:val="21"/>
        </w:rPr>
        <w:t>1</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时必须提供）</w:t>
      </w:r>
      <w:r>
        <w:rPr>
          <w:b/>
          <w:color w:val="auto"/>
          <w:szCs w:val="21"/>
        </w:rPr>
        <w:t>：</w:t>
      </w:r>
    </w:p>
    <w:p>
      <w:pPr>
        <w:snapToGrid w:val="0"/>
        <w:spacing w:before="120" w:beforeLines="50" w:after="50" w:line="360" w:lineRule="exact"/>
        <w:rPr>
          <w:b/>
          <w:color w:val="auto"/>
          <w:szCs w:val="21"/>
        </w:rPr>
      </w:pPr>
    </w:p>
    <w:p>
      <w:pPr>
        <w:snapToGrid w:val="0"/>
        <w:spacing w:before="120" w:beforeLines="50" w:after="50" w:line="440" w:lineRule="exact"/>
        <w:jc w:val="center"/>
        <w:rPr>
          <w:b/>
          <w:color w:val="auto"/>
          <w:szCs w:val="21"/>
        </w:rPr>
      </w:pPr>
      <w:r>
        <w:rPr>
          <w:b/>
          <w:color w:val="auto"/>
          <w:szCs w:val="21"/>
        </w:rPr>
        <w:t>法定代表人授权委托书</w:t>
      </w:r>
    </w:p>
    <w:p>
      <w:pPr>
        <w:snapToGrid w:val="0"/>
        <w:spacing w:before="120" w:beforeLines="50" w:after="50" w:line="440" w:lineRule="exact"/>
        <w:rPr>
          <w:b/>
          <w:bCs/>
          <w:color w:val="auto"/>
          <w:szCs w:val="21"/>
        </w:rPr>
      </w:pPr>
      <w:r>
        <w:rPr>
          <w:bCs/>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440" w:lineRule="exact"/>
        <w:ind w:firstLine="420" w:firstLineChars="200"/>
        <w:rPr>
          <w:color w:val="auto"/>
          <w:szCs w:val="21"/>
        </w:rPr>
      </w:pPr>
      <w:r>
        <w:rPr>
          <w:color w:val="auto"/>
          <w:szCs w:val="21"/>
        </w:rPr>
        <w:t>我__</w:t>
      </w:r>
      <w:r>
        <w:rPr>
          <w:i/>
          <w:iCs/>
          <w:color w:val="auto"/>
          <w:szCs w:val="21"/>
          <w:u w:val="single"/>
        </w:rPr>
        <w:t>（</w:t>
      </w:r>
      <w:r>
        <w:rPr>
          <w:rFonts w:hint="eastAsia"/>
          <w:i/>
          <w:iCs/>
          <w:color w:val="auto"/>
          <w:szCs w:val="21"/>
          <w:u w:val="single"/>
        </w:rPr>
        <w:t>法定代表人姓名</w:t>
      </w:r>
      <w:r>
        <w:rPr>
          <w:i/>
          <w:iCs/>
          <w:color w:val="auto"/>
          <w:szCs w:val="21"/>
          <w:u w:val="single"/>
        </w:rPr>
        <w:t>）</w:t>
      </w:r>
      <w:r>
        <w:rPr>
          <w:color w:val="auto"/>
          <w:szCs w:val="21"/>
        </w:rPr>
        <w:t>_系_</w:t>
      </w:r>
      <w:r>
        <w:rPr>
          <w:i/>
          <w:iCs/>
          <w:color w:val="auto"/>
          <w:szCs w:val="21"/>
          <w:u w:val="single"/>
        </w:rPr>
        <w:t>（供应商名称）</w:t>
      </w:r>
      <w:r>
        <w:rPr>
          <w:color w:val="auto"/>
          <w:szCs w:val="21"/>
        </w:rPr>
        <w:t xml:space="preserve">_的法定代表人，现授权委托本单位在职职工 </w:t>
      </w:r>
      <w:r>
        <w:rPr>
          <w:color w:val="auto"/>
          <w:szCs w:val="21"/>
          <w:u w:val="single"/>
        </w:rPr>
        <w:t xml:space="preserve">        </w:t>
      </w:r>
      <w:r>
        <w:rPr>
          <w:color w:val="auto"/>
          <w:szCs w:val="21"/>
        </w:rPr>
        <w:t>（姓名）以我方的名义参加</w:t>
      </w:r>
      <w:r>
        <w:rPr>
          <w:color w:val="auto"/>
          <w:szCs w:val="21"/>
          <w:u w:val="single"/>
        </w:rPr>
        <w:t xml:space="preserve"> </w:t>
      </w:r>
      <w:r>
        <w:rPr>
          <w:rFonts w:hint="eastAsia"/>
          <w:i/>
          <w:iCs/>
          <w:color w:val="auto"/>
          <w:szCs w:val="21"/>
          <w:u w:val="single"/>
        </w:rPr>
        <w:t>（项目名称）</w:t>
      </w:r>
      <w:r>
        <w:rPr>
          <w:color w:val="auto"/>
          <w:szCs w:val="21"/>
          <w:u w:val="single"/>
        </w:rPr>
        <w:t xml:space="preserve"> </w:t>
      </w:r>
      <w:r>
        <w:rPr>
          <w:color w:val="auto"/>
          <w:szCs w:val="21"/>
        </w:rPr>
        <w:t>项目的投标活动，并代表我方全权办理针对上述项目的投标、开标、评标、签约等具体事务和签署相关文件。</w:t>
      </w:r>
    </w:p>
    <w:p>
      <w:pPr>
        <w:snapToGrid w:val="0"/>
        <w:spacing w:before="120" w:beforeLines="50" w:after="50" w:line="440" w:lineRule="exact"/>
        <w:rPr>
          <w:color w:val="auto"/>
          <w:szCs w:val="21"/>
        </w:rPr>
      </w:pPr>
      <w:r>
        <w:rPr>
          <w:color w:val="auto"/>
          <w:szCs w:val="21"/>
        </w:rPr>
        <w:t xml:space="preserve">    我方对被授权人的签名事项负全部责任。</w:t>
      </w:r>
    </w:p>
    <w:p>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auto"/>
          <w:szCs w:val="21"/>
        </w:rPr>
      </w:pPr>
      <w:r>
        <w:rPr>
          <w:color w:val="auto"/>
          <w:szCs w:val="21"/>
        </w:rPr>
        <w:t>被授权人无转委托权，特此委托。</w:t>
      </w:r>
    </w:p>
    <w:p>
      <w:pPr>
        <w:snapToGrid w:val="0"/>
        <w:spacing w:before="120" w:beforeLines="50" w:after="50" w:line="440" w:lineRule="exact"/>
        <w:rPr>
          <w:color w:val="auto"/>
          <w:szCs w:val="21"/>
          <w:u w:val="single"/>
        </w:rPr>
      </w:pPr>
      <w:r>
        <w:rPr>
          <w:color w:val="auto"/>
          <w:szCs w:val="21"/>
        </w:rPr>
        <w:t>被授权人签字或盖章：</w:t>
      </w:r>
      <w:r>
        <w:rPr>
          <w:color w:val="auto"/>
          <w:szCs w:val="21"/>
          <w:u w:val="single"/>
        </w:rPr>
        <w:t xml:space="preserve">          </w:t>
      </w:r>
      <w:r>
        <w:rPr>
          <w:color w:val="auto"/>
          <w:szCs w:val="21"/>
        </w:rPr>
        <w:t xml:space="preserve">                           法定代表人签字或盖章：</w:t>
      </w:r>
      <w:r>
        <w:rPr>
          <w:color w:val="auto"/>
          <w:szCs w:val="21"/>
          <w:u w:val="single"/>
        </w:rPr>
        <w:t xml:space="preserve">          </w:t>
      </w:r>
    </w:p>
    <w:p>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pPr>
        <w:snapToGrid w:val="0"/>
        <w:spacing w:before="120" w:beforeLines="50" w:after="50" w:line="440" w:lineRule="exact"/>
        <w:rPr>
          <w:color w:val="auto"/>
          <w:szCs w:val="21"/>
        </w:rPr>
      </w:pPr>
      <w:r>
        <w:rPr>
          <w:color w:val="auto"/>
          <w:szCs w:val="21"/>
        </w:rPr>
        <w:t>被授权人身份证号码：</w:t>
      </w:r>
      <w:r>
        <w:rPr>
          <w:color w:val="auto"/>
          <w:szCs w:val="21"/>
          <w:u w:val="single"/>
        </w:rPr>
        <w:t xml:space="preserve">                   </w:t>
      </w:r>
      <w:r>
        <w:rPr>
          <w:color w:val="auto"/>
          <w:szCs w:val="21"/>
        </w:rPr>
        <w:t xml:space="preserve">            授权人身份证号码：</w:t>
      </w:r>
      <w:r>
        <w:rPr>
          <w:color w:val="auto"/>
          <w:szCs w:val="21"/>
          <w:u w:val="single"/>
        </w:rPr>
        <w:t xml:space="preserve">                 </w:t>
      </w:r>
    </w:p>
    <w:p>
      <w:pPr>
        <w:snapToGrid w:val="0"/>
        <w:spacing w:before="120" w:beforeLines="50" w:after="50" w:line="440" w:lineRule="exact"/>
        <w:rPr>
          <w:color w:val="auto"/>
          <w:szCs w:val="21"/>
        </w:rPr>
      </w:pPr>
      <w:r>
        <w:rPr>
          <w:rFonts w:hint="eastAsia"/>
          <w:color w:val="auto"/>
          <w:szCs w:val="21"/>
        </w:rPr>
        <w:t>被授权人邮箱：</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p>
    <w:p>
      <w:pPr>
        <w:snapToGrid w:val="0"/>
        <w:spacing w:before="120" w:beforeLines="50" w:after="50" w:line="440" w:lineRule="exact"/>
        <w:ind w:firstLine="5670" w:firstLineChars="2700"/>
        <w:rPr>
          <w:color w:val="auto"/>
          <w:szCs w:val="21"/>
        </w:rPr>
      </w:pPr>
      <w:r>
        <w:rPr>
          <w:color w:val="auto"/>
          <w:szCs w:val="21"/>
        </w:rPr>
        <w:t>供应商公章：</w:t>
      </w:r>
      <w:r>
        <w:rPr>
          <w:color w:val="auto"/>
          <w:szCs w:val="21"/>
          <w:u w:val="single"/>
        </w:rPr>
        <w:t xml:space="preserve">                </w:t>
      </w:r>
    </w:p>
    <w:p>
      <w:pPr>
        <w:snapToGrid w:val="0"/>
        <w:spacing w:before="120" w:beforeLines="50" w:after="50" w:line="440" w:lineRule="exact"/>
        <w:jc w:val="right"/>
        <w:rPr>
          <w:color w:val="auto"/>
          <w:szCs w:val="21"/>
        </w:rPr>
      </w:pPr>
      <w:r>
        <w:rPr>
          <w:color w:val="auto"/>
          <w:szCs w:val="21"/>
        </w:rPr>
        <w:t>年    月    日</w:t>
      </w:r>
    </w:p>
    <w:p>
      <w:pPr>
        <w:spacing w:line="360" w:lineRule="auto"/>
        <w:rPr>
          <w:color w:val="auto"/>
          <w:szCs w:val="21"/>
        </w:rPr>
      </w:pPr>
      <w:r>
        <w:rPr>
          <w:color w:val="auto"/>
          <w:szCs w:val="21"/>
        </w:rPr>
        <w:t>附件：法定代表人身份证复印件及授权代表身份证复印件</w:t>
      </w:r>
    </w:p>
    <w:p>
      <w:pPr>
        <w:spacing w:line="360" w:lineRule="auto"/>
        <w:rPr>
          <w:color w:val="auto"/>
        </w:rPr>
      </w:pPr>
    </w:p>
    <w:p>
      <w:pPr>
        <w:spacing w:line="360" w:lineRule="auto"/>
        <w:rPr>
          <w:color w:val="auto"/>
        </w:rPr>
      </w:pPr>
      <w:r>
        <w:rPr>
          <w:color w:val="auto"/>
        </w:rPr>
        <w:t>注：授权代表出席开标会议时，须随身携带本“法定代表人授权委托书”原件一份以及本人身份证原件，以备核查。</w:t>
      </w:r>
    </w:p>
    <w:p>
      <w:pPr>
        <w:snapToGrid w:val="0"/>
        <w:spacing w:before="120" w:beforeLines="50" w:after="50" w:line="440" w:lineRule="exact"/>
        <w:jc w:val="center"/>
        <w:outlineLvl w:val="1"/>
        <w:rPr>
          <w:bCs/>
          <w:color w:val="auto"/>
          <w:sz w:val="24"/>
        </w:rPr>
      </w:pPr>
      <w:r>
        <w:rPr>
          <w:color w:val="auto"/>
        </w:rPr>
        <w:br w:type="page"/>
      </w:r>
      <w:r>
        <w:rPr>
          <w:bCs/>
          <w:color w:val="auto"/>
          <w:sz w:val="24"/>
        </w:rPr>
        <w:t>第一部分 商务文件</w:t>
      </w:r>
    </w:p>
    <w:p>
      <w:pPr>
        <w:jc w:val="center"/>
        <w:rPr>
          <w:bCs/>
          <w:color w:val="auto"/>
          <w:sz w:val="24"/>
        </w:rPr>
      </w:pPr>
      <w:r>
        <w:rPr>
          <w:color w:val="auto"/>
        </w:rPr>
        <w:t>（本商务文件除标注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》“本项目</w:t>
      </w:r>
      <w:r>
        <w:rPr>
          <w:color w:val="auto"/>
          <w:szCs w:val="21"/>
        </w:rPr>
        <w:t>商务要求</w:t>
      </w:r>
      <w:r>
        <w:rPr>
          <w:rFonts w:hint="eastAsia"/>
          <w:color w:val="auto"/>
          <w:szCs w:val="21"/>
        </w:rPr>
        <w:t>”</w:t>
      </w:r>
      <w:r>
        <w:rPr>
          <w:color w:val="auto"/>
          <w:szCs w:val="21"/>
        </w:rPr>
        <w:t>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投标文件响应内容（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注：（1）本表应对招标文件</w:t>
      </w:r>
      <w:r>
        <w:rPr>
          <w:color w:val="auto"/>
        </w:rPr>
        <w:t>第</w:t>
      </w:r>
      <w:r>
        <w:rPr>
          <w:rFonts w:hint="eastAsia"/>
          <w:color w:val="auto"/>
        </w:rPr>
        <w:t>二</w:t>
      </w:r>
      <w:r>
        <w:rPr>
          <w:color w:val="auto"/>
        </w:rPr>
        <w:t>章</w:t>
      </w:r>
      <w:r>
        <w:rPr>
          <w:rFonts w:hint="eastAsia"/>
          <w:color w:val="auto"/>
        </w:rPr>
        <w:t>《项目</w:t>
      </w:r>
      <w:r>
        <w:rPr>
          <w:color w:val="auto"/>
        </w:rPr>
        <w:t>采购需求</w:t>
      </w:r>
      <w:r>
        <w:rPr>
          <w:rFonts w:hint="eastAsia"/>
          <w:color w:val="auto"/>
        </w:rPr>
        <w:t>》</w:t>
      </w:r>
      <w:r>
        <w:rPr>
          <w:rFonts w:ascii="Times New Roman" w:hAnsi="Times New Roman" w:cs="Times New Roman"/>
          <w:color w:val="auto"/>
        </w:rPr>
        <w:t>中所列商务要求进行响应；</w:t>
      </w:r>
    </w:p>
    <w:p>
      <w:pPr>
        <w:pStyle w:val="26"/>
        <w:tabs>
          <w:tab w:val="left" w:pos="2127"/>
        </w:tabs>
        <w:spacing w:line="340" w:lineRule="exact"/>
        <w:ind w:firstLine="420" w:firstLineChars="200"/>
        <w:jc w:val="left"/>
        <w:rPr>
          <w:rFonts w:ascii="Times New Roman" w:hAnsi="Times New Roman" w:cs="Times New Roman"/>
          <w:color w:val="auto"/>
        </w:rPr>
      </w:pPr>
      <w:bookmarkStart w:id="60" w:name="_Hlk19049081"/>
      <w:r>
        <w:rPr>
          <w:rFonts w:ascii="Times New Roman" w:hAnsi="Times New Roman" w:cs="Times New Roman"/>
          <w:color w:val="auto"/>
        </w:rPr>
        <w:t>（2）本表内容必须如实填写，并根据响应情况在“偏离说明”栏填写正偏离或负偏离及原因，完全符合的填写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r>
        <w:rPr>
          <w:rFonts w:hint="eastAsia" w:ascii="Times New Roman" w:hAnsi="Times New Roman" w:cs="Times New Roman"/>
          <w:color w:val="auto"/>
        </w:rPr>
        <w:t>填写“</w:t>
      </w:r>
      <w:r>
        <w:rPr>
          <w:rFonts w:ascii="Times New Roman" w:hAnsi="Times New Roman" w:cs="Times New Roman"/>
          <w:color w:val="auto"/>
        </w:rPr>
        <w:t>无偏离</w:t>
      </w:r>
      <w:r>
        <w:rPr>
          <w:rFonts w:hint="eastAsia" w:ascii="Times New Roman" w:hAnsi="Times New Roman" w:cs="Times New Roman"/>
          <w:color w:val="auto"/>
        </w:rPr>
        <w:t>”时，如相应条款在投标文件其他部分描述明确不满足招标文件要求时，评标委员会将按不满足要求进行评审。</w:t>
      </w:r>
    </w:p>
    <w:bookmarkEnd w:id="60"/>
    <w:p>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（3）本表可扩展。</w:t>
      </w:r>
    </w:p>
    <w:p>
      <w:pPr>
        <w:snapToGrid w:val="0"/>
        <w:spacing w:before="50" w:after="50" w:line="440" w:lineRule="exact"/>
        <w:rPr>
          <w:color w:val="auto"/>
          <w:spacing w:val="20"/>
          <w:szCs w:val="21"/>
          <w:u w:val="single"/>
        </w:rPr>
      </w:pPr>
      <w:r>
        <w:rPr>
          <w:color w:val="auto"/>
        </w:rPr>
        <w:t>法定代表人或授权代表签字或盖章</w:t>
      </w:r>
      <w:r>
        <w:rPr>
          <w:color w:val="auto"/>
          <w:spacing w:val="20"/>
          <w:szCs w:val="21"/>
        </w:rPr>
        <w:t>：</w:t>
      </w:r>
      <w:r>
        <w:rPr>
          <w:color w:val="auto"/>
          <w:spacing w:val="20"/>
          <w:szCs w:val="21"/>
          <w:u w:val="single"/>
        </w:rPr>
        <w:t xml:space="preserve">            </w:t>
      </w:r>
    </w:p>
    <w:p>
      <w:pPr>
        <w:snapToGrid w:val="0"/>
        <w:spacing w:before="50" w:after="120" w:afterLines="50" w:line="440" w:lineRule="exact"/>
        <w:jc w:val="left"/>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line="440" w:lineRule="exact"/>
        <w:jc w:val="left"/>
        <w:rPr>
          <w:strike/>
          <w:color w:val="auto"/>
          <w:szCs w:val="21"/>
        </w:rPr>
      </w:pPr>
    </w:p>
    <w:p>
      <w:pPr>
        <w:snapToGrid w:val="0"/>
        <w:spacing w:before="50" w:after="120" w:afterLines="50" w:line="440" w:lineRule="exact"/>
        <w:jc w:val="left"/>
        <w:rPr>
          <w:color w:val="auto"/>
          <w:szCs w:val="21"/>
        </w:rPr>
      </w:pPr>
      <w:r>
        <w:rPr>
          <w:color w:val="auto"/>
          <w:szCs w:val="21"/>
        </w:rPr>
        <w:t>2．售后服务机构概况</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color w:val="auto"/>
                <w:szCs w:val="21"/>
              </w:rPr>
            </w:pPr>
            <w:r>
              <w:rPr>
                <w:color w:val="auto"/>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color w:val="auto"/>
                <w:szCs w:val="21"/>
              </w:rPr>
            </w:pPr>
            <w:r>
              <w:rPr>
                <w:color w:val="auto"/>
                <w:szCs w:val="21"/>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color w:val="auto"/>
                <w:szCs w:val="21"/>
              </w:rPr>
            </w:pPr>
            <w:r>
              <w:rPr>
                <w:color w:val="auto"/>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法定代表人或授权代表签字或盖章：</w:t>
      </w:r>
      <w:r>
        <w:rPr>
          <w:rFonts w:ascii="Times New Roman" w:hAnsi="Times New Roman" w:eastAsia="宋体" w:cs="Times New Roman"/>
          <w:color w:val="auto"/>
          <w:sz w:val="21"/>
          <w:szCs w:val="21"/>
          <w:u w:val="single"/>
        </w:rPr>
        <w:t>　　　　　</w:t>
      </w:r>
    </w:p>
    <w:p>
      <w:pPr>
        <w:pStyle w:val="2"/>
        <w:snapToGrid w:val="0"/>
        <w:ind w:left="1260" w:hanging="420"/>
        <w:rPr>
          <w:color w:val="auto"/>
          <w:sz w:val="21"/>
          <w:szCs w:val="21"/>
        </w:rPr>
      </w:pPr>
      <w:r>
        <w:rPr>
          <w:color w:val="auto"/>
          <w:sz w:val="21"/>
          <w:szCs w:val="21"/>
        </w:rPr>
        <w:t>供应商公章：</w:t>
      </w:r>
      <w:r>
        <w:rPr>
          <w:color w:val="auto"/>
          <w:sz w:val="21"/>
          <w:szCs w:val="21"/>
          <w:u w:val="single"/>
        </w:rPr>
        <w:t xml:space="preserve">               </w:t>
      </w:r>
      <w:r>
        <w:rPr>
          <w:color w:val="auto"/>
          <w:sz w:val="21"/>
          <w:szCs w:val="21"/>
        </w:rPr>
        <w:t xml:space="preserve">                　 年    月　 日</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注：（1）应提供供应商或其分支机构或其售后服务机构的营业执照复印件；</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（2）供应商授权本地服务机构的，须提供授权书或服务协议复印件。</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（3）售后服务机构人员应提供名单及学历、职称、社保等证明；装备应提供发票等证明。</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r>
        <w:rPr>
          <w:color w:val="auto"/>
          <w:szCs w:val="21"/>
        </w:rPr>
        <w:t>3．售后服务方案（如有</w:t>
      </w:r>
      <w:r>
        <w:rPr>
          <w:rFonts w:hint="eastAsia"/>
          <w:color w:val="auto"/>
          <w:szCs w:val="21"/>
        </w:rPr>
        <w:t>，</w:t>
      </w:r>
      <w:r>
        <w:rPr>
          <w:color w:val="auto"/>
          <w:szCs w:val="21"/>
        </w:rPr>
        <w:t>供应商自行编写）</w:t>
      </w:r>
    </w:p>
    <w:p>
      <w:pPr>
        <w:snapToGrid w:val="0"/>
        <w:spacing w:before="50" w:after="120" w:afterLines="50" w:line="440" w:lineRule="exact"/>
        <w:jc w:val="left"/>
        <w:rPr>
          <w:strike/>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pacing w:val="20"/>
          <w:szCs w:val="21"/>
          <w:u w:val="single"/>
        </w:rPr>
      </w:pPr>
    </w:p>
    <w:p>
      <w:pPr>
        <w:snapToGrid w:val="0"/>
        <w:spacing w:before="50" w:after="120" w:afterLines="50" w:line="440" w:lineRule="exact"/>
        <w:jc w:val="left"/>
        <w:rPr>
          <w:color w:val="auto"/>
          <w:spacing w:val="20"/>
          <w:szCs w:val="21"/>
          <w:u w:val="single"/>
        </w:rPr>
        <w:sectPr>
          <w:headerReference r:id="rId20" w:type="first"/>
          <w:headerReference r:id="rId19" w:type="default"/>
          <w:pgSz w:w="11906" w:h="16838"/>
          <w:pgMar w:top="1418" w:right="1133" w:bottom="1246" w:left="1418" w:header="851" w:footer="992" w:gutter="0"/>
          <w:cols w:space="720" w:num="1"/>
          <w:docGrid w:linePitch="312" w:charSpace="0"/>
        </w:sectPr>
      </w:pPr>
    </w:p>
    <w:p>
      <w:pPr>
        <w:snapToGrid w:val="0"/>
        <w:spacing w:before="50" w:after="120" w:afterLines="50"/>
        <w:jc w:val="left"/>
        <w:rPr>
          <w:b/>
          <w:color w:val="auto"/>
          <w:szCs w:val="21"/>
        </w:rPr>
      </w:pPr>
      <w:r>
        <w:rPr>
          <w:color w:val="auto"/>
          <w:szCs w:val="21"/>
        </w:rPr>
        <w:t>4．近年供应商类似成功案例的业绩证明（附中标书或合同复印件）。</w:t>
      </w:r>
    </w:p>
    <w:p>
      <w:pPr>
        <w:snapToGrid w:val="0"/>
        <w:spacing w:before="50" w:after="120" w:afterLines="50"/>
        <w:jc w:val="center"/>
        <w:rPr>
          <w:color w:val="auto"/>
          <w:szCs w:val="21"/>
        </w:rPr>
      </w:pPr>
      <w:r>
        <w:rPr>
          <w:b/>
          <w:color w:val="auto"/>
          <w:szCs w:val="21"/>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38"/>
        <w:gridCol w:w="4084"/>
        <w:gridCol w:w="1289"/>
        <w:gridCol w:w="1289"/>
        <w:gridCol w:w="1719"/>
        <w:gridCol w:w="2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313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甲方单位名称</w:t>
            </w:r>
          </w:p>
        </w:tc>
        <w:tc>
          <w:tcPr>
            <w:tcW w:w="40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项目名称或服务内容</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服务周期或时间（年/月）</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团队人数</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合同总价</w:t>
            </w:r>
            <w:r>
              <w:rPr>
                <w:rFonts w:hint="eastAsia"/>
                <w:color w:val="auto"/>
                <w:szCs w:val="21"/>
              </w:rPr>
              <w:t>（元）</w:t>
            </w:r>
          </w:p>
        </w:tc>
        <w:tc>
          <w:tcPr>
            <w:tcW w:w="257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1" w:hRule="atLeast"/>
        </w:trPr>
        <w:tc>
          <w:tcPr>
            <w:tcW w:w="3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见第四章《评标方法及评标标准》规定</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类似项目的定义见第四章《评标方法及评标标准》规定。</w:t>
      </w:r>
    </w:p>
    <w:p>
      <w:pPr>
        <w:rPr>
          <w:color w:val="auto"/>
        </w:rPr>
      </w:pPr>
      <w:r>
        <w:rPr>
          <w:color w:val="auto"/>
          <w:szCs w:val="21"/>
        </w:rPr>
        <w:t>（</w:t>
      </w:r>
      <w:r>
        <w:rPr>
          <w:rFonts w:hint="eastAsia"/>
          <w:color w:val="auto"/>
          <w:szCs w:val="21"/>
        </w:rPr>
        <w:t>3</w:t>
      </w:r>
      <w:r>
        <w:rPr>
          <w:color w:val="auto"/>
          <w:szCs w:val="21"/>
        </w:rPr>
        <w:t>）</w:t>
      </w:r>
      <w:bookmarkStart w:id="61" w:name="_Hlk19049505"/>
      <w:r>
        <w:rPr>
          <w:color w:val="auto"/>
        </w:rPr>
        <w:t>本表可拓展并逐页签字及盖章。</w:t>
      </w:r>
      <w:bookmarkEnd w:id="61"/>
    </w:p>
    <w:p>
      <w:pPr>
        <w:pStyle w:val="16"/>
        <w:snapToGrid w:val="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法定代表人或授权代表签字或盖章：</w:t>
      </w:r>
      <w:r>
        <w:rPr>
          <w:rFonts w:ascii="Times New Roman" w:hAnsi="Times New Roman" w:eastAsia="宋体" w:cs="Times New Roman"/>
          <w:color w:val="auto"/>
          <w:sz w:val="21"/>
          <w:szCs w:val="21"/>
          <w:u w:val="single"/>
        </w:rPr>
        <w:t>　　　　　</w:t>
      </w:r>
    </w:p>
    <w:p>
      <w:pPr>
        <w:snapToGrid w:val="0"/>
        <w:spacing w:before="50"/>
        <w:jc w:val="left"/>
        <w:rPr>
          <w:color w:val="auto"/>
          <w:szCs w:val="21"/>
        </w:rPr>
      </w:pPr>
      <w:r>
        <w:rPr>
          <w:color w:val="auto"/>
          <w:szCs w:val="21"/>
        </w:rPr>
        <w:t>供应商公章：</w:t>
      </w:r>
      <w:r>
        <w:rPr>
          <w:color w:val="auto"/>
          <w:szCs w:val="21"/>
          <w:u w:val="single"/>
        </w:rPr>
        <w:t xml:space="preserve">                 </w:t>
      </w:r>
      <w:r>
        <w:rPr>
          <w:color w:val="auto"/>
          <w:szCs w:val="21"/>
        </w:rPr>
        <w:t xml:space="preserve">                                           年    月   日</w:t>
      </w:r>
    </w:p>
    <w:p>
      <w:pPr>
        <w:snapToGrid w:val="0"/>
        <w:spacing w:before="50"/>
        <w:jc w:val="left"/>
        <w:rPr>
          <w:color w:val="auto"/>
          <w:szCs w:val="21"/>
        </w:rPr>
      </w:pPr>
    </w:p>
    <w:p>
      <w:pPr>
        <w:snapToGrid w:val="0"/>
        <w:spacing w:before="50" w:after="120" w:afterLines="50"/>
        <w:jc w:val="left"/>
        <w:rPr>
          <w:color w:val="auto"/>
          <w:szCs w:val="21"/>
        </w:rPr>
        <w:sectPr>
          <w:headerReference r:id="rId21" w:type="default"/>
          <w:pgSz w:w="16838" w:h="11906" w:orient="landscape"/>
          <w:pgMar w:top="1418" w:right="1304" w:bottom="1418" w:left="1304" w:header="851" w:footer="992" w:gutter="0"/>
          <w:cols w:space="720" w:num="1"/>
          <w:docGrid w:linePitch="312" w:charSpace="0"/>
        </w:sectPr>
      </w:pPr>
    </w:p>
    <w:p>
      <w:pPr>
        <w:tabs>
          <w:tab w:val="left" w:pos="569"/>
        </w:tabs>
        <w:rPr>
          <w:color w:val="auto"/>
          <w:szCs w:val="21"/>
        </w:rPr>
      </w:pPr>
    </w:p>
    <w:p>
      <w:pPr>
        <w:snapToGrid w:val="0"/>
        <w:spacing w:before="50"/>
        <w:jc w:val="left"/>
        <w:rPr>
          <w:color w:val="auto"/>
          <w:szCs w:val="21"/>
        </w:rPr>
        <w:sectPr>
          <w:pgSz w:w="11906" w:h="16838"/>
          <w:pgMar w:top="1304" w:right="1418" w:bottom="1304" w:left="1418" w:header="851" w:footer="992" w:gutter="0"/>
          <w:cols w:space="720" w:num="1"/>
          <w:docGrid w:linePitch="312" w:charSpace="0"/>
        </w:sectPr>
      </w:pPr>
      <w:bookmarkStart w:id="62" w:name="_Hlk19050322"/>
      <w:r>
        <w:rPr>
          <w:rFonts w:hint="eastAsia"/>
          <w:color w:val="auto"/>
          <w:szCs w:val="21"/>
        </w:rPr>
        <w:t>5</w:t>
      </w:r>
      <w:r>
        <w:rPr>
          <w:color w:val="auto"/>
          <w:szCs w:val="21"/>
        </w:rPr>
        <w:t>．供应商认为需提供的其他材料（根据招标文件编写）</w:t>
      </w:r>
    </w:p>
    <w:bookmarkEnd w:id="62"/>
    <w:p>
      <w:pPr>
        <w:snapToGrid w:val="0"/>
        <w:spacing w:before="50" w:after="120" w:afterLines="50"/>
        <w:jc w:val="left"/>
        <w:rPr>
          <w:color w:val="auto"/>
          <w:szCs w:val="21"/>
        </w:rPr>
      </w:pPr>
      <w:r>
        <w:rPr>
          <w:rFonts w:hint="eastAsia"/>
          <w:color w:val="auto"/>
          <w:szCs w:val="21"/>
        </w:rPr>
        <w:t>6</w:t>
      </w:r>
      <w:r>
        <w:rPr>
          <w:color w:val="auto"/>
          <w:szCs w:val="21"/>
        </w:rPr>
        <w:t>.代理服务费承诺书</w:t>
      </w:r>
      <w:r>
        <w:rPr>
          <w:b/>
          <w:color w:val="auto"/>
          <w:szCs w:val="21"/>
        </w:rPr>
        <w:t>（</w:t>
      </w:r>
      <w:r>
        <w:rPr>
          <w:rFonts w:hint="eastAsia"/>
          <w:b/>
          <w:color w:val="auto"/>
          <w:szCs w:val="21"/>
        </w:rPr>
        <w:t>必须提供</w:t>
      </w:r>
      <w:r>
        <w:rPr>
          <w:b/>
          <w:color w:val="auto"/>
          <w:szCs w:val="21"/>
        </w:rPr>
        <w:t>）</w:t>
      </w:r>
    </w:p>
    <w:p>
      <w:pPr>
        <w:spacing w:line="360" w:lineRule="exact"/>
        <w:rPr>
          <w:color w:val="auto"/>
          <w:szCs w:val="21"/>
        </w:rPr>
      </w:pPr>
      <w:r>
        <w:rPr>
          <w:color w:val="auto"/>
          <w:szCs w:val="21"/>
        </w:rPr>
        <w:t>致：</w:t>
      </w:r>
      <w:r>
        <w:rPr>
          <w:rFonts w:hint="eastAsia"/>
          <w:color w:val="auto"/>
          <w:szCs w:val="21"/>
        </w:rPr>
        <w:t>广西北部湾宏亚建设管理有限公司</w:t>
      </w:r>
    </w:p>
    <w:p>
      <w:pPr>
        <w:spacing w:line="360" w:lineRule="exact"/>
        <w:ind w:firstLine="420" w:firstLineChars="200"/>
        <w:rPr>
          <w:color w:val="auto"/>
          <w:szCs w:val="21"/>
        </w:rPr>
      </w:pPr>
      <w:bookmarkStart w:id="63" w:name="_Hlk19050395"/>
      <w:r>
        <w:rPr>
          <w:color w:val="auto"/>
          <w:szCs w:val="21"/>
        </w:rPr>
        <w:t>我单位参加了贵方组织的招标项目编号为</w:t>
      </w:r>
      <w:r>
        <w:rPr>
          <w:b/>
          <w:color w:val="auto"/>
          <w:szCs w:val="21"/>
        </w:rPr>
        <w:t>（</w:t>
      </w:r>
      <w:r>
        <w:rPr>
          <w:color w:val="auto"/>
          <w:szCs w:val="21"/>
          <w:u w:val="single"/>
        </w:rPr>
        <w:t xml:space="preserve">                    )</w:t>
      </w:r>
      <w:r>
        <w:rPr>
          <w:color w:val="auto"/>
          <w:szCs w:val="21"/>
        </w:rPr>
        <w:t>的投标，并递交了投标保证金</w:t>
      </w:r>
      <w:bookmarkStart w:id="64" w:name="_Hlk19050352"/>
      <w:r>
        <w:rPr>
          <w:color w:val="auto"/>
          <w:szCs w:val="21"/>
        </w:rPr>
        <w:t>（</w:t>
      </w:r>
      <w:r>
        <w:rPr>
          <w:color w:val="auto"/>
          <w:kern w:val="0"/>
          <w:szCs w:val="21"/>
        </w:rPr>
        <w:t>¥</w:t>
      </w:r>
      <w:r>
        <w:rPr>
          <w:color w:val="auto"/>
          <w:szCs w:val="21"/>
          <w:u w:val="single"/>
        </w:rPr>
        <w:t xml:space="preserve">       </w:t>
      </w:r>
      <w:r>
        <w:rPr>
          <w:color w:val="auto"/>
          <w:szCs w:val="21"/>
        </w:rPr>
        <w:t>）</w:t>
      </w:r>
      <w:bookmarkEnd w:id="64"/>
      <w:r>
        <w:rPr>
          <w:color w:val="auto"/>
          <w:szCs w:val="21"/>
        </w:rPr>
        <w:t>，在此我方说明如下：</w:t>
      </w:r>
    </w:p>
    <w:bookmarkEnd w:id="63"/>
    <w:p>
      <w:pPr>
        <w:spacing w:line="360" w:lineRule="exact"/>
        <w:ind w:firstLine="420" w:firstLineChars="200"/>
        <w:rPr>
          <w:color w:val="auto"/>
          <w:szCs w:val="21"/>
        </w:rPr>
      </w:pPr>
      <w:r>
        <w:rPr>
          <w:color w:val="auto"/>
          <w:szCs w:val="21"/>
        </w:rPr>
        <w:t>1．我方承诺，若我单位中标，保证在领取中标通知书之前，按本项目招标文件的规定标准向贵单位支付代理服务费。如我单位未按规定缴纳代理服务费，贵方可</w:t>
      </w:r>
      <w:r>
        <w:rPr>
          <w:rFonts w:hint="eastAsia"/>
          <w:color w:val="auto"/>
          <w:szCs w:val="21"/>
        </w:rPr>
        <w:t>不退还</w:t>
      </w:r>
      <w:r>
        <w:rPr>
          <w:color w:val="auto"/>
          <w:szCs w:val="21"/>
        </w:rPr>
        <w:t>我单位提交的投标保证金</w:t>
      </w:r>
      <w:r>
        <w:rPr>
          <w:rFonts w:hint="eastAsia"/>
          <w:color w:val="auto"/>
          <w:szCs w:val="21"/>
        </w:rPr>
        <w:t>，并从中</w:t>
      </w:r>
      <w:r>
        <w:rPr>
          <w:color w:val="auto"/>
          <w:szCs w:val="21"/>
        </w:rPr>
        <w:t>扣除</w:t>
      </w:r>
      <w:r>
        <w:rPr>
          <w:rFonts w:hint="eastAsia"/>
          <w:color w:val="auto"/>
          <w:szCs w:val="21"/>
        </w:rPr>
        <w:t>代理服务费</w:t>
      </w:r>
      <w:r>
        <w:rPr>
          <w:color w:val="auto"/>
          <w:szCs w:val="21"/>
        </w:rPr>
        <w:t>，余款按下列账户退回。</w:t>
      </w:r>
    </w:p>
    <w:p>
      <w:pPr>
        <w:spacing w:line="360" w:lineRule="exact"/>
        <w:ind w:firstLine="420" w:firstLineChars="200"/>
        <w:rPr>
          <w:color w:val="auto"/>
          <w:szCs w:val="21"/>
        </w:rPr>
      </w:pPr>
      <w:bookmarkStart w:id="65" w:name="_Hlk19050518"/>
      <w:r>
        <w:rPr>
          <w:color w:val="auto"/>
          <w:szCs w:val="21"/>
        </w:rPr>
        <w:t>我公司选择第</w:t>
      </w:r>
      <w:r>
        <w:rPr>
          <w:color w:val="auto"/>
          <w:szCs w:val="21"/>
          <w:u w:val="single"/>
        </w:rPr>
        <w:t xml:space="preserve">     </w:t>
      </w:r>
      <w:r>
        <w:rPr>
          <w:color w:val="auto"/>
          <w:szCs w:val="21"/>
        </w:rPr>
        <w:t>种方式缴纳代理服务费。</w:t>
      </w:r>
    </w:p>
    <w:p>
      <w:pPr>
        <w:spacing w:line="360" w:lineRule="exact"/>
        <w:ind w:firstLine="420" w:firstLineChars="200"/>
        <w:rPr>
          <w:color w:val="auto"/>
          <w:szCs w:val="21"/>
        </w:rPr>
      </w:pPr>
      <w:r>
        <w:rPr>
          <w:color w:val="auto"/>
          <w:szCs w:val="21"/>
        </w:rPr>
        <w:t>第一种方式：一次性足额缴纳代理服务费。</w:t>
      </w:r>
    </w:p>
    <w:p>
      <w:pPr>
        <w:spacing w:line="360" w:lineRule="exact"/>
        <w:ind w:firstLine="420" w:firstLineChars="200"/>
        <w:rPr>
          <w:color w:val="auto"/>
          <w:szCs w:val="21"/>
        </w:rPr>
      </w:pPr>
      <w:r>
        <w:rPr>
          <w:color w:val="auto"/>
          <w:szCs w:val="21"/>
        </w:rPr>
        <w:t>第二种方式：从投标保证金中抵扣代理服务费，不足部分补交。</w:t>
      </w:r>
    </w:p>
    <w:bookmarkEnd w:id="65"/>
    <w:p>
      <w:pPr>
        <w:spacing w:line="360" w:lineRule="exact"/>
        <w:ind w:firstLine="420" w:firstLineChars="200"/>
        <w:rPr>
          <w:color w:val="auto"/>
          <w:szCs w:val="21"/>
        </w:rPr>
      </w:pPr>
      <w:r>
        <w:rPr>
          <w:color w:val="auto"/>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收款户名</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账    号</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开户银行</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银行行号</w:t>
            </w:r>
          </w:p>
        </w:tc>
        <w:tc>
          <w:tcPr>
            <w:tcW w:w="5431" w:type="dxa"/>
            <w:vAlign w:val="center"/>
          </w:tcPr>
          <w:p>
            <w:pPr>
              <w:spacing w:line="360" w:lineRule="exact"/>
              <w:jc w:val="center"/>
              <w:rPr>
                <w:color w:val="auto"/>
                <w:szCs w:val="21"/>
              </w:rPr>
            </w:pPr>
          </w:p>
        </w:tc>
      </w:tr>
    </w:tbl>
    <w:p>
      <w:pPr>
        <w:spacing w:line="360" w:lineRule="exact"/>
        <w:ind w:firstLine="420" w:firstLineChars="200"/>
        <w:rPr>
          <w:color w:val="auto"/>
          <w:szCs w:val="21"/>
        </w:rPr>
      </w:pPr>
      <w:r>
        <w:rPr>
          <w:color w:val="auto"/>
          <w:szCs w:val="21"/>
        </w:rPr>
        <w:t>3．如果我单位未遵守有关招标文件关于投标保证金的规定，贵方可以没收我单位投标保证金。</w:t>
      </w:r>
    </w:p>
    <w:p>
      <w:pPr>
        <w:spacing w:line="360" w:lineRule="exact"/>
        <w:ind w:firstLine="420" w:firstLineChars="200"/>
        <w:rPr>
          <w:color w:val="auto"/>
          <w:szCs w:val="21"/>
        </w:rPr>
      </w:pPr>
      <w:r>
        <w:rPr>
          <w:color w:val="auto"/>
          <w:szCs w:val="21"/>
        </w:rPr>
        <w:t>4. 我单位选择第</w:t>
      </w:r>
      <w:r>
        <w:rPr>
          <w:color w:val="auto"/>
          <w:szCs w:val="21"/>
          <w:u w:val="single"/>
        </w:rPr>
        <w:t xml:space="preserve">     </w:t>
      </w:r>
      <w:r>
        <w:rPr>
          <w:color w:val="auto"/>
          <w:szCs w:val="21"/>
        </w:rPr>
        <w:t>种方式作为代理服务费开票类型：</w:t>
      </w:r>
    </w:p>
    <w:p>
      <w:pPr>
        <w:spacing w:line="360" w:lineRule="exact"/>
        <w:ind w:firstLine="420" w:firstLineChars="200"/>
        <w:rPr>
          <w:color w:val="auto"/>
          <w:szCs w:val="21"/>
        </w:rPr>
      </w:pPr>
      <w:r>
        <w:rPr>
          <w:color w:val="auto"/>
          <w:szCs w:val="21"/>
        </w:rPr>
        <w:t>第一种方式：开具收据。</w:t>
      </w:r>
    </w:p>
    <w:p>
      <w:pPr>
        <w:spacing w:line="360" w:lineRule="exact"/>
        <w:ind w:firstLine="420" w:firstLineChars="200"/>
        <w:rPr>
          <w:color w:val="auto"/>
          <w:szCs w:val="21"/>
        </w:rPr>
      </w:pPr>
      <w:r>
        <w:rPr>
          <w:color w:val="auto"/>
          <w:szCs w:val="21"/>
        </w:rPr>
        <w:t>第二种方式：开具增值税普通发票。开票信息如下：1.公司名称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w:t>
      </w:r>
    </w:p>
    <w:p>
      <w:pPr>
        <w:spacing w:line="360" w:lineRule="exact"/>
        <w:ind w:firstLine="420" w:firstLineChars="200"/>
        <w:rPr>
          <w:color w:val="auto"/>
          <w:szCs w:val="21"/>
        </w:rPr>
      </w:pPr>
      <w:r>
        <w:rPr>
          <w:color w:val="auto"/>
          <w:szCs w:val="21"/>
        </w:rPr>
        <w:t>第三种方式：开具增值税专用发票，开票信息如下：1.公司名称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；3.税局登记地址</w:t>
      </w:r>
      <w:r>
        <w:rPr>
          <w:color w:val="auto"/>
          <w:szCs w:val="21"/>
          <w:u w:val="single"/>
        </w:rPr>
        <w:t xml:space="preserve">                     </w:t>
      </w:r>
      <w:r>
        <w:rPr>
          <w:color w:val="auto"/>
          <w:szCs w:val="21"/>
        </w:rPr>
        <w:t>；4.税局登记电话</w:t>
      </w:r>
      <w:r>
        <w:rPr>
          <w:color w:val="auto"/>
          <w:szCs w:val="21"/>
          <w:u w:val="single"/>
        </w:rPr>
        <w:t xml:space="preserve">             </w:t>
      </w:r>
      <w:r>
        <w:rPr>
          <w:color w:val="auto"/>
          <w:szCs w:val="21"/>
        </w:rPr>
        <w:t>；5.开户银行</w:t>
      </w:r>
      <w:r>
        <w:rPr>
          <w:color w:val="auto"/>
          <w:szCs w:val="21"/>
          <w:u w:val="single"/>
        </w:rPr>
        <w:t xml:space="preserve">                 </w:t>
      </w:r>
      <w:r>
        <w:rPr>
          <w:color w:val="auto"/>
          <w:szCs w:val="21"/>
        </w:rPr>
        <w:t>；6.银行账户</w:t>
      </w:r>
      <w:r>
        <w:rPr>
          <w:color w:val="auto"/>
          <w:szCs w:val="21"/>
          <w:u w:val="single"/>
        </w:rPr>
        <w:t xml:space="preserve">                         </w:t>
      </w:r>
      <w:r>
        <w:rPr>
          <w:color w:val="auto"/>
          <w:szCs w:val="21"/>
        </w:rPr>
        <w:t>。</w:t>
      </w:r>
    </w:p>
    <w:p>
      <w:pPr>
        <w:spacing w:before="120" w:beforeLines="50" w:line="360" w:lineRule="auto"/>
        <w:jc w:val="left"/>
        <w:rPr>
          <w:color w:val="auto"/>
          <w:szCs w:val="21"/>
        </w:rPr>
      </w:pPr>
    </w:p>
    <w:p>
      <w:pPr>
        <w:spacing w:before="120" w:beforeLines="50" w:line="360" w:lineRule="auto"/>
        <w:jc w:val="left"/>
        <w:rPr>
          <w:color w:val="auto"/>
          <w:szCs w:val="21"/>
          <w:u w:val="single"/>
        </w:rPr>
      </w:pPr>
      <w:r>
        <w:rPr>
          <w:color w:val="auto"/>
          <w:szCs w:val="21"/>
        </w:rPr>
        <w:t>供应商名称（盖章）：</w:t>
      </w:r>
      <w:r>
        <w:rPr>
          <w:color w:val="auto"/>
          <w:szCs w:val="21"/>
          <w:u w:val="single"/>
        </w:rPr>
        <w:t xml:space="preserve">                              </w:t>
      </w:r>
    </w:p>
    <w:p>
      <w:pPr>
        <w:spacing w:before="120" w:beforeLines="50" w:line="360" w:lineRule="auto"/>
        <w:jc w:val="left"/>
        <w:rPr>
          <w:color w:val="auto"/>
          <w:szCs w:val="21"/>
        </w:rPr>
      </w:pPr>
      <w:r>
        <w:rPr>
          <w:color w:val="auto"/>
          <w:szCs w:val="21"/>
        </w:rPr>
        <w:t>供应商地址：</w:t>
      </w:r>
      <w:r>
        <w:rPr>
          <w:color w:val="auto"/>
          <w:szCs w:val="21"/>
          <w:u w:val="single"/>
        </w:rPr>
        <w:t xml:space="preserve">                                     </w:t>
      </w:r>
    </w:p>
    <w:p>
      <w:pPr>
        <w:spacing w:before="120" w:beforeLines="50" w:line="360" w:lineRule="auto"/>
        <w:jc w:val="left"/>
        <w:rPr>
          <w:color w:val="auto"/>
          <w:szCs w:val="21"/>
          <w:u w:val="single"/>
        </w:rPr>
      </w:pPr>
      <w:r>
        <w:rPr>
          <w:color w:val="auto"/>
          <w:szCs w:val="21"/>
        </w:rPr>
        <w:t>法定代表人或授权代表签字或盖章：</w:t>
      </w:r>
      <w:r>
        <w:rPr>
          <w:color w:val="auto"/>
          <w:szCs w:val="21"/>
          <w:u w:val="single"/>
        </w:rPr>
        <w:t xml:space="preserve">                          </w:t>
      </w:r>
    </w:p>
    <w:p>
      <w:pPr>
        <w:wordWrap w:val="0"/>
        <w:spacing w:before="120" w:beforeLines="50" w:line="360" w:lineRule="auto"/>
        <w:jc w:val="right"/>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before="120" w:beforeLines="50" w:line="360" w:lineRule="auto"/>
        <w:jc w:val="left"/>
        <w:rPr>
          <w:color w:val="auto"/>
          <w:szCs w:val="21"/>
        </w:rPr>
      </w:pPr>
      <w:r>
        <w:rPr>
          <w:color w:val="auto"/>
          <w:szCs w:val="21"/>
        </w:rPr>
        <w:t>说明：</w:t>
      </w:r>
    </w:p>
    <w:p>
      <w:pPr>
        <w:spacing w:line="340" w:lineRule="exact"/>
        <w:ind w:firstLine="420" w:firstLineChars="200"/>
        <w:rPr>
          <w:color w:val="auto"/>
          <w:szCs w:val="21"/>
        </w:rPr>
      </w:pPr>
      <w:r>
        <w:rPr>
          <w:color w:val="auto"/>
          <w:szCs w:val="21"/>
        </w:rPr>
        <w:t>（1）为保障资金安全，上述账户不能为私人账户。</w:t>
      </w:r>
    </w:p>
    <w:p>
      <w:pPr>
        <w:spacing w:line="340" w:lineRule="exact"/>
        <w:ind w:firstLine="420" w:firstLineChars="200"/>
        <w:rPr>
          <w:color w:val="auto"/>
          <w:szCs w:val="21"/>
        </w:rPr>
      </w:pPr>
      <w:r>
        <w:rPr>
          <w:color w:val="auto"/>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jc w:val="center"/>
        <w:rPr>
          <w:color w:val="auto"/>
        </w:rPr>
      </w:pPr>
      <w:r>
        <w:rPr>
          <w:color w:val="auto"/>
        </w:rPr>
        <w:t>（3）如供应商未及时收到退回款项，请与</w:t>
      </w:r>
      <w:r>
        <w:rPr>
          <w:rFonts w:hint="eastAsia"/>
          <w:color w:val="auto"/>
        </w:rPr>
        <w:t>广西北部湾宏亚建设管理有限公司</w:t>
      </w:r>
      <w:r>
        <w:rPr>
          <w:color w:val="auto"/>
        </w:rPr>
        <w:t>财务部联系。</w:t>
      </w:r>
      <w:r>
        <w:rPr>
          <w:rFonts w:hint="eastAsia"/>
          <w:color w:val="auto"/>
        </w:rPr>
        <w:t>广西北部湾宏亚建设管理有限公司</w:t>
      </w:r>
      <w:r>
        <w:rPr>
          <w:color w:val="auto"/>
        </w:rPr>
        <w:t>财务部联系方式：联系人：</w:t>
      </w:r>
      <w:r>
        <w:rPr>
          <w:rFonts w:hint="eastAsia"/>
          <w:color w:val="auto"/>
        </w:rPr>
        <w:t>小杨</w:t>
      </w:r>
      <w:r>
        <w:rPr>
          <w:color w:val="auto"/>
        </w:rPr>
        <w:t>；电话：0771-</w:t>
      </w:r>
      <w:r>
        <w:rPr>
          <w:rFonts w:hint="eastAsia"/>
          <w:color w:val="auto"/>
        </w:rPr>
        <w:t>3335189</w:t>
      </w:r>
      <w:r>
        <w:rPr>
          <w:color w:val="auto"/>
        </w:rPr>
        <w:t>。</w:t>
      </w:r>
    </w:p>
    <w:p>
      <w:pPr>
        <w:snapToGrid w:val="0"/>
        <w:spacing w:before="120" w:beforeLines="50" w:after="50" w:line="440" w:lineRule="exact"/>
        <w:jc w:val="center"/>
        <w:outlineLvl w:val="1"/>
        <w:rPr>
          <w:bCs/>
          <w:color w:val="auto"/>
          <w:sz w:val="24"/>
        </w:rPr>
      </w:pPr>
      <w:r>
        <w:rPr>
          <w:color w:val="auto"/>
        </w:rPr>
        <w:br w:type="page"/>
      </w:r>
      <w:r>
        <w:rPr>
          <w:bCs/>
          <w:color w:val="auto"/>
          <w:sz w:val="24"/>
        </w:rPr>
        <w:t>第二部分 技术文件</w:t>
      </w:r>
    </w:p>
    <w:p>
      <w:pPr>
        <w:jc w:val="center"/>
        <w:rPr>
          <w:color w:val="auto"/>
        </w:rPr>
      </w:pPr>
      <w:r>
        <w:rPr>
          <w:color w:val="auto"/>
        </w:rPr>
        <w:t>（本</w:t>
      </w:r>
      <w:r>
        <w:rPr>
          <w:rFonts w:hint="eastAsia"/>
          <w:color w:val="auto"/>
        </w:rPr>
        <w:t>技术</w:t>
      </w:r>
      <w:r>
        <w:rPr>
          <w:color w:val="auto"/>
        </w:rPr>
        <w:t>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jc w:val="left"/>
        <w:rPr>
          <w:color w:val="auto"/>
          <w:szCs w:val="21"/>
        </w:rPr>
      </w:pPr>
    </w:p>
    <w:p>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》服务</w:t>
      </w:r>
      <w:r>
        <w:rPr>
          <w:color w:val="auto"/>
          <w:szCs w:val="21"/>
        </w:rPr>
        <w:t>要求的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投标文件响应内容（注明所在页码）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rPr>
          <w:color w:val="auto"/>
          <w:szCs w:val="21"/>
        </w:rPr>
      </w:pPr>
    </w:p>
    <w:p>
      <w:pPr>
        <w:rPr>
          <w:color w:val="auto"/>
          <w:szCs w:val="21"/>
        </w:rPr>
      </w:pPr>
      <w:r>
        <w:rPr>
          <w:color w:val="auto"/>
          <w:szCs w:val="21"/>
        </w:rPr>
        <w:t>注：</w:t>
      </w:r>
      <w:r>
        <w:rPr>
          <w:color w:val="auto"/>
        </w:rPr>
        <w:t>（1）</w:t>
      </w:r>
      <w:r>
        <w:rPr>
          <w:color w:val="auto"/>
          <w:szCs w:val="21"/>
        </w:rPr>
        <w:t>供应商应对照第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w:t>
      </w:r>
      <w:r>
        <w:rPr>
          <w:color w:val="auto"/>
        </w:rPr>
        <w:t>中所列</w:t>
      </w:r>
      <w:r>
        <w:rPr>
          <w:rFonts w:hint="eastAsia"/>
          <w:color w:val="auto"/>
        </w:rPr>
        <w:t>服务</w:t>
      </w:r>
      <w:r>
        <w:rPr>
          <w:color w:val="auto"/>
        </w:rPr>
        <w:t>要求</w:t>
      </w:r>
      <w:r>
        <w:rPr>
          <w:color w:val="auto"/>
          <w:szCs w:val="21"/>
        </w:rPr>
        <w:t>要求逐条在“偏离说明”栏注明“正偏离”、“负偏离”或“无偏离” 。</w:t>
      </w:r>
      <w:r>
        <w:rPr>
          <w:color w:val="auto"/>
        </w:rPr>
        <w:t>（</w:t>
      </w:r>
      <w:r>
        <w:rPr>
          <w:rFonts w:hint="eastAsia"/>
          <w:color w:val="auto"/>
        </w:rPr>
        <w:t>2</w:t>
      </w:r>
      <w:r>
        <w:rPr>
          <w:color w:val="auto"/>
        </w:rPr>
        <w:t>）</w:t>
      </w:r>
      <w:r>
        <w:rPr>
          <w:color w:val="auto"/>
          <w:szCs w:val="21"/>
        </w:rPr>
        <w:t>所提供的</w:t>
      </w:r>
      <w:r>
        <w:rPr>
          <w:rFonts w:hint="eastAsia"/>
          <w:color w:val="auto"/>
          <w:szCs w:val="21"/>
        </w:rPr>
        <w:t>服务</w:t>
      </w:r>
      <w:r>
        <w:rPr>
          <w:color w:val="auto"/>
          <w:szCs w:val="21"/>
        </w:rPr>
        <w:t>与招标要求相同的为无偏离，所提供的</w:t>
      </w:r>
      <w:r>
        <w:rPr>
          <w:rFonts w:hint="eastAsia"/>
          <w:color w:val="auto"/>
          <w:szCs w:val="21"/>
        </w:rPr>
        <w:t>服务</w:t>
      </w:r>
      <w:r>
        <w:rPr>
          <w:color w:val="auto"/>
          <w:szCs w:val="21"/>
        </w:rPr>
        <w:t>高于招标要求的为正偏离，低于招标要求的为负偏离。</w:t>
      </w:r>
    </w:p>
    <w:p>
      <w:pPr>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zCs w:val="21"/>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2</w:t>
      </w:r>
      <w:r>
        <w:rPr>
          <w:color w:val="auto"/>
          <w:szCs w:val="21"/>
        </w:rPr>
        <w:t>．本项目服务采购需求中必须提供的货物清单或服务交付成果（产品）清单：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27"/>
        <w:gridCol w:w="850"/>
        <w:gridCol w:w="851"/>
        <w:gridCol w:w="1134"/>
        <w:gridCol w:w="16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747" w:type="dxa"/>
            <w:vAlign w:val="center"/>
          </w:tcPr>
          <w:p>
            <w:pPr>
              <w:snapToGrid w:val="0"/>
              <w:spacing w:line="360" w:lineRule="exact"/>
              <w:jc w:val="center"/>
              <w:rPr>
                <w:color w:val="auto"/>
                <w:szCs w:val="21"/>
              </w:rPr>
            </w:pPr>
            <w:r>
              <w:rPr>
                <w:color w:val="auto"/>
                <w:szCs w:val="21"/>
              </w:rPr>
              <w:t>序号</w:t>
            </w:r>
          </w:p>
        </w:tc>
        <w:tc>
          <w:tcPr>
            <w:tcW w:w="2127" w:type="dxa"/>
            <w:vAlign w:val="center"/>
          </w:tcPr>
          <w:p>
            <w:pPr>
              <w:snapToGrid w:val="0"/>
              <w:spacing w:line="360" w:lineRule="exact"/>
              <w:jc w:val="center"/>
              <w:rPr>
                <w:color w:val="auto"/>
                <w:szCs w:val="21"/>
              </w:rPr>
            </w:pPr>
            <w:r>
              <w:rPr>
                <w:color w:val="auto"/>
                <w:szCs w:val="21"/>
              </w:rPr>
              <w:t>货物清单或服务交付成果（产品）名称</w:t>
            </w:r>
          </w:p>
        </w:tc>
        <w:tc>
          <w:tcPr>
            <w:tcW w:w="850" w:type="dxa"/>
            <w:vAlign w:val="center"/>
          </w:tcPr>
          <w:p>
            <w:pPr>
              <w:snapToGrid w:val="0"/>
              <w:spacing w:line="360" w:lineRule="exact"/>
              <w:jc w:val="center"/>
              <w:rPr>
                <w:color w:val="auto"/>
                <w:szCs w:val="21"/>
              </w:rPr>
            </w:pPr>
            <w:r>
              <w:rPr>
                <w:color w:val="auto"/>
                <w:szCs w:val="21"/>
              </w:rPr>
              <w:t>数  量</w:t>
            </w:r>
          </w:p>
        </w:tc>
        <w:tc>
          <w:tcPr>
            <w:tcW w:w="851" w:type="dxa"/>
            <w:vAlign w:val="center"/>
          </w:tcPr>
          <w:p>
            <w:pPr>
              <w:snapToGrid w:val="0"/>
              <w:spacing w:line="360" w:lineRule="exact"/>
              <w:jc w:val="center"/>
              <w:rPr>
                <w:color w:val="auto"/>
                <w:szCs w:val="21"/>
              </w:rPr>
            </w:pPr>
            <w:r>
              <w:rPr>
                <w:color w:val="auto"/>
                <w:szCs w:val="21"/>
              </w:rPr>
              <w:t>单位</w:t>
            </w:r>
          </w:p>
        </w:tc>
        <w:tc>
          <w:tcPr>
            <w:tcW w:w="1134" w:type="dxa"/>
            <w:vAlign w:val="center"/>
          </w:tcPr>
          <w:p>
            <w:pPr>
              <w:snapToGrid w:val="0"/>
              <w:spacing w:line="360" w:lineRule="exact"/>
              <w:jc w:val="center"/>
              <w:rPr>
                <w:color w:val="auto"/>
                <w:szCs w:val="21"/>
              </w:rPr>
            </w:pPr>
            <w:r>
              <w:rPr>
                <w:color w:val="auto"/>
                <w:szCs w:val="21"/>
              </w:rPr>
              <w:t>金  额</w:t>
            </w:r>
          </w:p>
          <w:p>
            <w:pPr>
              <w:snapToGrid w:val="0"/>
              <w:spacing w:line="360" w:lineRule="exact"/>
              <w:jc w:val="center"/>
              <w:rPr>
                <w:color w:val="auto"/>
                <w:szCs w:val="21"/>
              </w:rPr>
            </w:pPr>
            <w:r>
              <w:rPr>
                <w:color w:val="auto"/>
                <w:szCs w:val="21"/>
              </w:rPr>
              <w:t>（元）</w:t>
            </w:r>
          </w:p>
        </w:tc>
        <w:tc>
          <w:tcPr>
            <w:tcW w:w="1662" w:type="dxa"/>
            <w:vAlign w:val="center"/>
          </w:tcPr>
          <w:p>
            <w:pPr>
              <w:snapToGrid w:val="0"/>
              <w:spacing w:line="360" w:lineRule="exact"/>
              <w:jc w:val="center"/>
              <w:rPr>
                <w:color w:val="auto"/>
                <w:szCs w:val="21"/>
              </w:rPr>
            </w:pPr>
            <w:r>
              <w:rPr>
                <w:color w:val="auto"/>
                <w:szCs w:val="21"/>
              </w:rPr>
              <w:t>完成时间或交付时间</w:t>
            </w:r>
          </w:p>
        </w:tc>
        <w:tc>
          <w:tcPr>
            <w:tcW w:w="1748"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1</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restart"/>
          </w:tcPr>
          <w:p>
            <w:pPr>
              <w:snapToGrid w:val="0"/>
              <w:spacing w:line="360" w:lineRule="exact"/>
              <w:jc w:val="left"/>
              <w:rPr>
                <w:color w:val="auto"/>
                <w:szCs w:val="21"/>
              </w:rPr>
            </w:pPr>
            <w:r>
              <w:rPr>
                <w:color w:val="auto"/>
                <w:szCs w:val="21"/>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2</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3</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p>
        </w:tc>
        <w:tc>
          <w:tcPr>
            <w:tcW w:w="8372" w:type="dxa"/>
            <w:gridSpan w:val="6"/>
            <w:vAlign w:val="center"/>
          </w:tcPr>
          <w:p>
            <w:pPr>
              <w:snapToGrid w:val="0"/>
              <w:spacing w:line="360" w:lineRule="exact"/>
              <w:jc w:val="left"/>
              <w:rPr>
                <w:color w:val="auto"/>
                <w:szCs w:val="21"/>
              </w:rPr>
            </w:pPr>
            <w:r>
              <w:rPr>
                <w:color w:val="auto"/>
                <w:szCs w:val="21"/>
              </w:rPr>
              <w:t>人民币合计金额（大写）                          （小写）</w:t>
            </w:r>
          </w:p>
        </w:tc>
      </w:tr>
    </w:tbl>
    <w:p>
      <w:pPr>
        <w:snapToGrid w:val="0"/>
        <w:spacing w:before="50" w:after="50" w:line="440" w:lineRule="exact"/>
        <w:rPr>
          <w:color w:val="auto"/>
          <w:szCs w:val="21"/>
        </w:rPr>
      </w:pPr>
      <w:r>
        <w:rPr>
          <w:color w:val="auto"/>
          <w:szCs w:val="21"/>
        </w:rPr>
        <w:t>注：在填写时，如本表格不适合采购内容的实际情况，可自行调整。</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snapToGrid w:val="0"/>
        <w:spacing w:before="50" w:after="50" w:line="440" w:lineRule="exact"/>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3</w:t>
      </w:r>
      <w:r>
        <w:rPr>
          <w:color w:val="auto"/>
          <w:szCs w:val="21"/>
        </w:rPr>
        <w:t>．对本项目总体要求的理解</w:t>
      </w:r>
      <w:r>
        <w:rPr>
          <w:rFonts w:hint="eastAsia"/>
          <w:color w:val="auto"/>
          <w:szCs w:val="21"/>
        </w:rPr>
        <w:t>。（</w:t>
      </w:r>
      <w:r>
        <w:rPr>
          <w:color w:val="auto"/>
          <w:szCs w:val="21"/>
        </w:rPr>
        <w:t>包括：服务目标、服务质量等的认识</w:t>
      </w:r>
      <w:r>
        <w:rPr>
          <w:rFonts w:hint="eastAsia"/>
          <w:color w:val="auto"/>
          <w:szCs w:val="21"/>
        </w:rPr>
        <w:t>）</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4</w:t>
      </w:r>
      <w:r>
        <w:rPr>
          <w:color w:val="auto"/>
          <w:szCs w:val="21"/>
        </w:rPr>
        <w:t>．服务方案及进度措施（针对本项目的服务要求提供详细的服务方案，含服务响应时间、日常服务工作的内容、增值服务、进度计划等）</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5</w:t>
      </w:r>
      <w:r>
        <w:rPr>
          <w:color w:val="auto"/>
          <w:szCs w:val="21"/>
        </w:rPr>
        <w:t>．项目拟投入服务团队人员结构表（包括但不限于学历、证书情况、职称、年龄等）</w:t>
      </w:r>
    </w:p>
    <w:p>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auto"/>
                <w:szCs w:val="21"/>
              </w:rPr>
            </w:pPr>
            <w:r>
              <w:rPr>
                <w:bCs/>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ind w:left="525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bl>
    <w:p>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注：在填写时，如本表格不适合投标单位的实际情况，可根据本表格式自行划表填写。</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pacing w:val="20"/>
          <w:szCs w:val="21"/>
          <w:u w:val="single"/>
        </w:rPr>
      </w:pPr>
    </w:p>
    <w:p>
      <w:pPr>
        <w:rPr>
          <w:color w:val="auto"/>
          <w:szCs w:val="21"/>
        </w:rPr>
      </w:pPr>
    </w:p>
    <w:p>
      <w:pPr>
        <w:snapToGrid w:val="0"/>
        <w:spacing w:before="50" w:after="120" w:afterLines="50"/>
        <w:jc w:val="left"/>
        <w:rPr>
          <w:color w:val="auto"/>
          <w:szCs w:val="21"/>
        </w:rPr>
      </w:pPr>
      <w:r>
        <w:rPr>
          <w:rFonts w:hint="eastAsia"/>
          <w:color w:val="auto"/>
          <w:szCs w:val="21"/>
        </w:rPr>
        <w:t>6</w:t>
      </w:r>
      <w:r>
        <w:rPr>
          <w:color w:val="auto"/>
          <w:szCs w:val="21"/>
        </w:rPr>
        <w:t>．企业管理体系认证或资质证明材料。</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7</w:t>
      </w:r>
      <w:r>
        <w:rPr>
          <w:color w:val="auto"/>
          <w:szCs w:val="21"/>
        </w:rPr>
        <w:t>．技术服务、技术培训、售后服务的内容和措施。</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8</w:t>
      </w:r>
      <w:r>
        <w:rPr>
          <w:color w:val="auto"/>
          <w:szCs w:val="21"/>
        </w:rPr>
        <w:t>．为本项目提供的其他优惠服务。</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9. 供应商对本项目的合理化建议和改进措施。</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10．供应商需要说明的其他文件和说明。</w:t>
      </w:r>
    </w:p>
    <w:p>
      <w:pPr>
        <w:jc w:val="center"/>
        <w:rPr>
          <w:b/>
          <w:bCs/>
          <w:color w:val="auto"/>
          <w:szCs w:val="21"/>
        </w:rPr>
      </w:pPr>
      <w:r>
        <w:rPr>
          <w:b/>
          <w:color w:val="auto"/>
          <w:szCs w:val="21"/>
        </w:rPr>
        <w:br w:type="page"/>
      </w:r>
      <w:r>
        <w:rPr>
          <w:b/>
          <w:bCs/>
          <w:color w:val="auto"/>
          <w:szCs w:val="21"/>
        </w:rPr>
        <w:t xml:space="preserve"> </w:t>
      </w:r>
    </w:p>
    <w:p>
      <w:pPr>
        <w:snapToGrid w:val="0"/>
        <w:spacing w:before="120" w:beforeLines="50" w:after="50" w:line="440" w:lineRule="exact"/>
        <w:jc w:val="center"/>
        <w:outlineLvl w:val="1"/>
        <w:rPr>
          <w:bCs/>
          <w:color w:val="auto"/>
          <w:sz w:val="24"/>
        </w:rPr>
      </w:pPr>
      <w:r>
        <w:rPr>
          <w:bCs/>
          <w:color w:val="auto"/>
          <w:sz w:val="24"/>
        </w:rPr>
        <w:t>第三部分 报价文件</w:t>
      </w:r>
    </w:p>
    <w:p>
      <w:pPr>
        <w:jc w:val="center"/>
        <w:rPr>
          <w:b/>
          <w:bCs/>
          <w:color w:val="auto"/>
          <w:szCs w:val="21"/>
        </w:rPr>
      </w:pPr>
    </w:p>
    <w:p>
      <w:pPr>
        <w:rPr>
          <w:color w:val="auto"/>
        </w:rPr>
      </w:pPr>
      <w:r>
        <w:rPr>
          <w:color w:val="auto"/>
        </w:rPr>
        <w:t>1．投标函格式</w:t>
      </w:r>
      <w:r>
        <w:rPr>
          <w:rFonts w:hint="eastAsia"/>
          <w:b/>
          <w:color w:val="auto"/>
        </w:rPr>
        <w:t>（</w:t>
      </w:r>
      <w:r>
        <w:rPr>
          <w:rFonts w:hint="eastAsia"/>
          <w:b/>
          <w:color w:val="auto"/>
          <w:szCs w:val="21"/>
        </w:rPr>
        <w:t>必须提供</w:t>
      </w:r>
      <w:r>
        <w:rPr>
          <w:rFonts w:hint="eastAsia"/>
          <w:b/>
          <w:color w:val="auto"/>
        </w:rPr>
        <w:t>）</w:t>
      </w:r>
      <w:r>
        <w:rPr>
          <w:color w:val="auto"/>
        </w:rPr>
        <w:t>：</w:t>
      </w:r>
    </w:p>
    <w:p>
      <w:pPr>
        <w:rPr>
          <w:color w:val="auto"/>
        </w:rPr>
      </w:pPr>
    </w:p>
    <w:p>
      <w:pPr>
        <w:jc w:val="center"/>
        <w:rPr>
          <w:b/>
          <w:color w:val="auto"/>
          <w:szCs w:val="21"/>
        </w:rPr>
      </w:pPr>
      <w:r>
        <w:rPr>
          <w:b/>
          <w:color w:val="auto"/>
          <w:szCs w:val="21"/>
        </w:rPr>
        <w:t>投 标 函</w:t>
      </w:r>
    </w:p>
    <w:p>
      <w:pPr>
        <w:rPr>
          <w:b/>
          <w:color w:val="auto"/>
          <w:szCs w:val="21"/>
        </w:rPr>
      </w:pPr>
    </w:p>
    <w:p>
      <w:pPr>
        <w:spacing w:line="360" w:lineRule="auto"/>
        <w:rPr>
          <w:color w:val="auto"/>
          <w:szCs w:val="21"/>
        </w:rPr>
      </w:pPr>
      <w:r>
        <w:rPr>
          <w:color w:val="auto"/>
          <w:szCs w:val="21"/>
        </w:rPr>
        <w:t>致：</w:t>
      </w:r>
      <w:bookmarkStart w:id="66" w:name="_Hlk19051378"/>
      <w:r>
        <w:rPr>
          <w:color w:val="auto"/>
          <w:szCs w:val="21"/>
        </w:rPr>
        <w:t>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bookmarkEnd w:id="66"/>
      <w:r>
        <w:rPr>
          <w:color w:val="auto"/>
          <w:szCs w:val="21"/>
        </w:rPr>
        <w:t>：</w:t>
      </w:r>
    </w:p>
    <w:p>
      <w:pPr>
        <w:spacing w:line="360" w:lineRule="auto"/>
        <w:ind w:firstLine="420" w:firstLineChars="200"/>
        <w:rPr>
          <w:color w:val="auto"/>
          <w:szCs w:val="21"/>
        </w:rPr>
      </w:pPr>
      <w:r>
        <w:rPr>
          <w:color w:val="auto"/>
          <w:szCs w:val="21"/>
        </w:rPr>
        <w:t>我方已仔细研究了</w:t>
      </w:r>
      <w:bookmarkStart w:id="67" w:name="_Hlk19051388"/>
      <w:r>
        <w:rPr>
          <w:rFonts w:hint="eastAsia"/>
          <w:i/>
          <w:iCs/>
          <w:color w:val="auto"/>
          <w:szCs w:val="21"/>
          <w:u w:val="single"/>
        </w:rPr>
        <w:t>（项目名称）</w:t>
      </w:r>
      <w:bookmarkEnd w:id="67"/>
      <w:r>
        <w:rPr>
          <w:color w:val="auto"/>
          <w:szCs w:val="21"/>
        </w:rPr>
        <w:t>的招标文件的全部内容。签字代表</w:t>
      </w:r>
      <w:bookmarkStart w:id="68" w:name="_Hlk19051393"/>
      <w:r>
        <w:rPr>
          <w:rFonts w:hint="eastAsia"/>
          <w:i/>
          <w:iCs/>
          <w:color w:val="auto"/>
          <w:szCs w:val="21"/>
          <w:u w:val="single"/>
        </w:rPr>
        <w:t>（授权代表姓名）</w:t>
      </w:r>
      <w:bookmarkEnd w:id="68"/>
      <w:r>
        <w:rPr>
          <w:color w:val="auto"/>
          <w:szCs w:val="21"/>
        </w:rPr>
        <w:t>经正式授权并代表供应商_</w:t>
      </w:r>
      <w:bookmarkStart w:id="69" w:name="_Hlk19051402"/>
      <w:r>
        <w:rPr>
          <w:i/>
          <w:iCs/>
          <w:color w:val="auto"/>
          <w:szCs w:val="21"/>
          <w:u w:val="single"/>
        </w:rPr>
        <w:t>（供应商名称）</w:t>
      </w:r>
      <w:bookmarkEnd w:id="69"/>
      <w:r>
        <w:rPr>
          <w:color w:val="auto"/>
          <w:szCs w:val="21"/>
        </w:rPr>
        <w:t>提交投标文件正本一份、副本</w:t>
      </w:r>
      <w:r>
        <w:rPr>
          <w:color w:val="auto"/>
          <w:szCs w:val="21"/>
          <w:u w:val="single"/>
        </w:rPr>
        <w:t xml:space="preserve">      </w:t>
      </w:r>
      <w:r>
        <w:rPr>
          <w:color w:val="auto"/>
          <w:szCs w:val="21"/>
        </w:rPr>
        <w:t>份。</w:t>
      </w:r>
    </w:p>
    <w:p>
      <w:pPr>
        <w:spacing w:line="360" w:lineRule="auto"/>
        <w:rPr>
          <w:color w:val="auto"/>
          <w:szCs w:val="21"/>
        </w:rPr>
      </w:pPr>
      <w:r>
        <w:rPr>
          <w:color w:val="auto"/>
          <w:szCs w:val="21"/>
        </w:rPr>
        <w:t>据此函，签字代表宣布同意如下：</w:t>
      </w:r>
    </w:p>
    <w:p>
      <w:pPr>
        <w:spacing w:line="360" w:lineRule="auto"/>
        <w:rPr>
          <w:color w:val="auto"/>
          <w:szCs w:val="21"/>
        </w:rPr>
      </w:pPr>
      <w:r>
        <w:rPr>
          <w:color w:val="auto"/>
          <w:szCs w:val="21"/>
        </w:rPr>
        <w:t>（1）</w:t>
      </w:r>
      <w:r>
        <w:rPr>
          <w:rFonts w:hint="eastAsia"/>
          <w:color w:val="auto"/>
          <w:szCs w:val="21"/>
        </w:rPr>
        <w:t>我方</w:t>
      </w:r>
      <w:r>
        <w:rPr>
          <w:color w:val="auto"/>
          <w:szCs w:val="21"/>
        </w:rPr>
        <w:t>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color w:val="auto"/>
          <w:szCs w:val="21"/>
        </w:rPr>
      </w:pPr>
      <w:r>
        <w:rPr>
          <w:color w:val="auto"/>
          <w:szCs w:val="21"/>
        </w:rPr>
        <w:t>（2）</w:t>
      </w:r>
      <w:r>
        <w:rPr>
          <w:rFonts w:hint="eastAsia"/>
          <w:color w:val="auto"/>
          <w:szCs w:val="21"/>
        </w:rPr>
        <w:t>我方</w:t>
      </w:r>
      <w:r>
        <w:rPr>
          <w:color w:val="auto"/>
          <w:szCs w:val="21"/>
        </w:rPr>
        <w:t>在投标之前已经与贵方进行了充分的沟通，完全理解并接受招标文件的各项规定和要求，对招标文件的合理性、合法性不再有异议。</w:t>
      </w:r>
    </w:p>
    <w:p>
      <w:pPr>
        <w:spacing w:line="360" w:lineRule="auto"/>
        <w:rPr>
          <w:color w:val="auto"/>
          <w:szCs w:val="21"/>
        </w:rPr>
      </w:pPr>
      <w:r>
        <w:rPr>
          <w:color w:val="auto"/>
          <w:szCs w:val="21"/>
        </w:rPr>
        <w:t>（3）本投标有效期自投标截止之日起</w:t>
      </w:r>
      <w:r>
        <w:rPr>
          <w:color w:val="auto"/>
          <w:szCs w:val="21"/>
          <w:u w:val="single"/>
        </w:rPr>
        <w:t xml:space="preserve">     </w:t>
      </w:r>
      <w:r>
        <w:rPr>
          <w:color w:val="auto"/>
          <w:szCs w:val="21"/>
        </w:rPr>
        <w:t>天。</w:t>
      </w:r>
    </w:p>
    <w:p>
      <w:pPr>
        <w:spacing w:line="360" w:lineRule="auto"/>
        <w:rPr>
          <w:color w:val="auto"/>
          <w:szCs w:val="21"/>
        </w:rPr>
      </w:pPr>
      <w:r>
        <w:rPr>
          <w:color w:val="auto"/>
          <w:szCs w:val="21"/>
        </w:rPr>
        <w:t>（4）如中标，本投标文件至本项目合同履行完毕止均保持有效，</w:t>
      </w:r>
      <w:r>
        <w:rPr>
          <w:rFonts w:hint="eastAsia"/>
          <w:color w:val="auto"/>
          <w:szCs w:val="21"/>
        </w:rPr>
        <w:t>我方</w:t>
      </w:r>
      <w:r>
        <w:rPr>
          <w:color w:val="auto"/>
          <w:szCs w:val="21"/>
        </w:rPr>
        <w:t>将按“招标文件”及政府采购法律、法规的规定履行合同责任和义务</w:t>
      </w:r>
      <w:r>
        <w:rPr>
          <w:rFonts w:hint="eastAsia"/>
          <w:color w:val="auto"/>
          <w:szCs w:val="21"/>
        </w:rPr>
        <w:t>，并承诺</w:t>
      </w:r>
      <w:r>
        <w:rPr>
          <w:color w:val="auto"/>
          <w:szCs w:val="21"/>
        </w:rPr>
        <w:t>不分包及转包他人。</w:t>
      </w:r>
    </w:p>
    <w:p>
      <w:pPr>
        <w:spacing w:line="360" w:lineRule="auto"/>
        <w:rPr>
          <w:color w:val="auto"/>
          <w:szCs w:val="21"/>
        </w:rPr>
      </w:pPr>
      <w:r>
        <w:rPr>
          <w:color w:val="auto"/>
          <w:szCs w:val="21"/>
        </w:rPr>
        <w:t>（5）</w:t>
      </w:r>
      <w:r>
        <w:rPr>
          <w:rFonts w:hint="eastAsia"/>
          <w:color w:val="auto"/>
          <w:szCs w:val="21"/>
        </w:rPr>
        <w:t>我方</w:t>
      </w:r>
      <w:r>
        <w:rPr>
          <w:color w:val="auto"/>
          <w:szCs w:val="21"/>
        </w:rPr>
        <w:t>同意按照贵方要求提供与投标有关的一切数据或资料。</w:t>
      </w:r>
    </w:p>
    <w:p>
      <w:pPr>
        <w:spacing w:line="360" w:lineRule="auto"/>
        <w:rPr>
          <w:color w:val="auto"/>
          <w:szCs w:val="21"/>
        </w:rPr>
      </w:pPr>
      <w:r>
        <w:rPr>
          <w:color w:val="auto"/>
          <w:szCs w:val="21"/>
        </w:rPr>
        <w:t>（6）与本项目有关的一切正式往来信函请寄：</w:t>
      </w:r>
    </w:p>
    <w:p>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u w:val="single"/>
        </w:rPr>
      </w:pPr>
      <w:r>
        <w:rPr>
          <w:color w:val="auto"/>
          <w:szCs w:val="21"/>
        </w:rPr>
        <w:t>供应商名称(公章)：</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法定代表人或授权代表签字或盖章：</w:t>
      </w:r>
      <w:r>
        <w:rPr>
          <w:color w:val="auto"/>
          <w:szCs w:val="21"/>
          <w:u w:val="single"/>
        </w:rPr>
        <w:t xml:space="preserve">           </w:t>
      </w:r>
      <w:r>
        <w:rPr>
          <w:color w:val="auto"/>
          <w:szCs w:val="21"/>
        </w:rPr>
        <w:t xml:space="preserve">    </w:t>
      </w:r>
    </w:p>
    <w:p>
      <w:pPr>
        <w:spacing w:line="360" w:lineRule="auto"/>
        <w:rPr>
          <w:color w:val="auto"/>
          <w:szCs w:val="21"/>
        </w:rPr>
      </w:pPr>
    </w:p>
    <w:p>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rPr>
          <w:color w:val="auto"/>
        </w:rPr>
      </w:pPr>
      <w:r>
        <w:rPr>
          <w:b/>
          <w:color w:val="auto"/>
          <w:szCs w:val="21"/>
        </w:rPr>
        <w:br w:type="page"/>
      </w:r>
      <w:r>
        <w:rPr>
          <w:color w:val="auto"/>
        </w:rPr>
        <w:t>2．投标报价明细表格式：</w:t>
      </w:r>
    </w:p>
    <w:p>
      <w:pPr>
        <w:jc w:val="center"/>
        <w:rPr>
          <w:b/>
          <w:color w:val="auto"/>
          <w:szCs w:val="21"/>
        </w:rPr>
      </w:pPr>
      <w:r>
        <w:rPr>
          <w:b/>
          <w:color w:val="auto"/>
          <w:szCs w:val="21"/>
        </w:rPr>
        <w:t>投标报价明细表</w:t>
      </w:r>
    </w:p>
    <w:p>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2012"/>
        <w:gridCol w:w="3015"/>
        <w:gridCol w:w="1680"/>
        <w:gridCol w:w="1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货物</w:t>
            </w:r>
            <w:r>
              <w:rPr>
                <w:color w:val="auto"/>
                <w:szCs w:val="21"/>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报价折扣率</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投标</w:t>
            </w:r>
            <w:r>
              <w:rPr>
                <w:color w:val="auto"/>
                <w:szCs w:val="21"/>
              </w:rPr>
              <w:t>报价</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中文纸质图书</w:t>
            </w:r>
          </w:p>
        </w:tc>
        <w:tc>
          <w:tcPr>
            <w:tcW w:w="3015"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80"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pacing w:val="20"/>
                <w:szCs w:val="21"/>
              </w:rPr>
              <w:t>……</w:t>
            </w:r>
          </w:p>
        </w:tc>
        <w:tc>
          <w:tcPr>
            <w:tcW w:w="3015"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80"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exact"/>
          <w:jc w:val="center"/>
        </w:trPr>
        <w:tc>
          <w:tcPr>
            <w:tcW w:w="9365" w:type="dxa"/>
            <w:gridSpan w:val="5"/>
            <w:tcBorders>
              <w:top w:val="single" w:color="auto" w:sz="4" w:space="0"/>
              <w:left w:val="single" w:color="auto" w:sz="4" w:space="0"/>
              <w:bottom w:val="single" w:color="auto" w:sz="4" w:space="0"/>
              <w:right w:val="single" w:color="auto" w:sz="4" w:space="0"/>
            </w:tcBorders>
            <w:vAlign w:val="center"/>
          </w:tcPr>
          <w:p>
            <w:pPr>
              <w:jc w:val="left"/>
              <w:rPr>
                <w:color w:val="auto"/>
                <w:spacing w:val="20"/>
                <w:szCs w:val="21"/>
              </w:rPr>
            </w:pPr>
            <w:r>
              <w:rPr>
                <w:rFonts w:hint="eastAsia"/>
                <w:color w:val="auto"/>
                <w:spacing w:val="20"/>
                <w:szCs w:val="21"/>
              </w:rPr>
              <w:t>分标：</w:t>
            </w:r>
          </w:p>
          <w:p>
            <w:pPr>
              <w:pStyle w:val="2"/>
              <w:rPr>
                <w:color w:val="auto"/>
              </w:rPr>
            </w:pPr>
          </w:p>
          <w:p>
            <w:pPr>
              <w:jc w:val="left"/>
              <w:rPr>
                <w:color w:val="auto"/>
                <w:spacing w:val="20"/>
                <w:szCs w:val="21"/>
              </w:rPr>
            </w:pPr>
            <w:r>
              <w:rPr>
                <w:color w:val="auto"/>
                <w:spacing w:val="20"/>
                <w:szCs w:val="21"/>
              </w:rPr>
              <w:t>投标总价：大写                       小写</w:t>
            </w:r>
          </w:p>
        </w:tc>
      </w:tr>
    </w:tbl>
    <w:p>
      <w:pPr>
        <w:rPr>
          <w:color w:val="auto"/>
          <w:spacing w:val="20"/>
          <w:szCs w:val="21"/>
          <w:u w:val="single"/>
        </w:rPr>
      </w:pPr>
    </w:p>
    <w:p>
      <w:pPr>
        <w:spacing w:line="360" w:lineRule="auto"/>
        <w:rPr>
          <w:color w:val="auto"/>
          <w:spacing w:val="20"/>
          <w:szCs w:val="21"/>
        </w:rPr>
      </w:pPr>
    </w:p>
    <w:p>
      <w:pPr>
        <w:jc w:val="left"/>
        <w:rPr>
          <w:color w:val="auto"/>
        </w:rPr>
      </w:pPr>
      <w:r>
        <w:rPr>
          <w:color w:val="auto"/>
          <w:szCs w:val="21"/>
        </w:rPr>
        <w:t>注</w:t>
      </w:r>
      <w:r>
        <w:rPr>
          <w:rFonts w:hint="eastAsia"/>
          <w:color w:val="auto"/>
          <w:szCs w:val="21"/>
        </w:rPr>
        <w:t>：1、投标报价＝预算价*报价折扣率。结算时以图书码洋价合计值×折扣率为准。</w:t>
      </w:r>
    </w:p>
    <w:p>
      <w:pPr>
        <w:numPr>
          <w:ilvl w:val="255"/>
          <w:numId w:val="0"/>
        </w:numPr>
        <w:ind w:firstLine="420" w:firstLineChars="200"/>
        <w:jc w:val="left"/>
        <w:rPr>
          <w:color w:val="auto"/>
          <w:szCs w:val="21"/>
        </w:rPr>
      </w:pPr>
      <w:r>
        <w:rPr>
          <w:rFonts w:hint="eastAsia"/>
          <w:color w:val="auto"/>
          <w:szCs w:val="21"/>
        </w:rPr>
        <w:t>2、有效的折扣率为：折扣率＜80%，超出该有效折扣率范围的按投标无效处理。</w:t>
      </w:r>
    </w:p>
    <w:p>
      <w:pPr>
        <w:numPr>
          <w:ilvl w:val="255"/>
          <w:numId w:val="0"/>
        </w:numPr>
        <w:ind w:firstLine="420" w:firstLineChars="200"/>
        <w:jc w:val="left"/>
        <w:rPr>
          <w:color w:val="auto"/>
          <w:szCs w:val="21"/>
        </w:rPr>
      </w:pPr>
      <w:r>
        <w:rPr>
          <w:rFonts w:hint="eastAsia"/>
          <w:color w:val="auto"/>
          <w:szCs w:val="21"/>
        </w:rPr>
        <w:t>3、各分标实洋合计值即各分标采购预算金额，每名中标人的具体合同实洋金额以采购人的实际采购情况为准。</w:t>
      </w:r>
    </w:p>
    <w:p>
      <w:pPr>
        <w:jc w:val="left"/>
        <w:rPr>
          <w:color w:val="auto"/>
          <w:szCs w:val="21"/>
        </w:rPr>
      </w:pPr>
    </w:p>
    <w:p>
      <w:pPr>
        <w:ind w:firstLine="420" w:firstLineChars="200"/>
        <w:jc w:val="left"/>
        <w:rPr>
          <w:color w:val="auto"/>
          <w:szCs w:val="21"/>
        </w:rPr>
      </w:pPr>
      <w:r>
        <w:rPr>
          <w:rFonts w:hint="eastAsia"/>
          <w:color w:val="auto"/>
          <w:szCs w:val="21"/>
        </w:rPr>
        <w:t>4、</w:t>
      </w:r>
      <w:r>
        <w:rPr>
          <w:color w:val="auto"/>
          <w:szCs w:val="21"/>
        </w:rPr>
        <w:t>本表可扩展，并逐页签字及盖章</w:t>
      </w:r>
    </w:p>
    <w:p>
      <w:pPr>
        <w:spacing w:line="360" w:lineRule="auto"/>
        <w:rPr>
          <w:color w:val="auto"/>
          <w:spacing w:val="20"/>
          <w:szCs w:val="21"/>
        </w:rPr>
      </w:pPr>
    </w:p>
    <w:p>
      <w:pPr>
        <w:spacing w:line="360" w:lineRule="auto"/>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spacing w:line="360" w:lineRule="auto"/>
        <w:rPr>
          <w:color w:val="auto"/>
          <w:szCs w:val="21"/>
        </w:rPr>
      </w:pPr>
      <w:r>
        <w:rPr>
          <w:color w:val="auto"/>
          <w:szCs w:val="21"/>
        </w:rPr>
        <w:t>供应商名称（公章）：</w:t>
      </w:r>
      <w:r>
        <w:rPr>
          <w:color w:val="auto"/>
          <w:szCs w:val="21"/>
          <w:u w:val="single"/>
        </w:rPr>
        <w:t xml:space="preserve">                          </w:t>
      </w:r>
    </w:p>
    <w:p>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snapToGrid w:val="0"/>
        <w:spacing w:before="50" w:after="120" w:afterLines="50"/>
        <w:jc w:val="left"/>
        <w:rPr>
          <w:color w:val="auto"/>
          <w:szCs w:val="21"/>
        </w:rPr>
      </w:pPr>
      <w:r>
        <w:rPr>
          <w:color w:val="auto"/>
          <w:szCs w:val="21"/>
        </w:rPr>
        <w:br w:type="page"/>
      </w:r>
      <w:r>
        <w:rPr>
          <w:color w:val="auto"/>
          <w:szCs w:val="21"/>
        </w:rPr>
        <w:t>3．过低报价合理性的说明。（如有）</w:t>
      </w:r>
    </w:p>
    <w:p>
      <w:pPr>
        <w:spacing w:line="360" w:lineRule="auto"/>
        <w:ind w:firstLine="420" w:firstLineChars="200"/>
        <w:rPr>
          <w:color w:val="auto"/>
          <w:szCs w:val="21"/>
        </w:rPr>
      </w:pPr>
      <w:r>
        <w:rPr>
          <w:color w:val="auto"/>
          <w:szCs w:val="21"/>
        </w:rPr>
        <w:t>评标委员会认为供应商的报价明显低于其他通过符合性审查供应商报价的，供应商将被要求以书面方式提供</w:t>
      </w:r>
      <w:r>
        <w:rPr>
          <w:rFonts w:hint="eastAsia"/>
          <w:color w:val="auto"/>
          <w:szCs w:val="21"/>
        </w:rPr>
        <w:t>说明</w:t>
      </w:r>
      <w:r>
        <w:rPr>
          <w:color w:val="auto"/>
          <w:szCs w:val="21"/>
        </w:rPr>
        <w:t>。为避免在评标现场因未能及时提供说明而导致被评标委员会作为无效投标，供应商</w:t>
      </w:r>
      <w:r>
        <w:rPr>
          <w:rFonts w:hint="eastAsia"/>
          <w:color w:val="auto"/>
        </w:rPr>
        <w:t>自行决定是否</w:t>
      </w:r>
      <w:r>
        <w:rPr>
          <w:color w:val="auto"/>
          <w:kern w:val="1"/>
          <w:szCs w:val="21"/>
        </w:rPr>
        <w:t>直接在</w:t>
      </w:r>
      <w:r>
        <w:rPr>
          <w:color w:val="auto"/>
          <w:szCs w:val="21"/>
        </w:rPr>
        <w:t>此处</w:t>
      </w:r>
      <w:r>
        <w:rPr>
          <w:rFonts w:hint="eastAsia"/>
          <w:color w:val="auto"/>
          <w:szCs w:val="21"/>
        </w:rPr>
        <w:t>进行陈述</w:t>
      </w:r>
      <w:r>
        <w:rPr>
          <w:color w:val="auto"/>
          <w:szCs w:val="21"/>
        </w:rPr>
        <w:t>。格式自拟。</w:t>
      </w:r>
      <w:r>
        <w:rPr>
          <w:rFonts w:hint="eastAsia"/>
          <w:color w:val="auto"/>
          <w:szCs w:val="21"/>
        </w:rPr>
        <w:t>（</w:t>
      </w:r>
      <w:r>
        <w:rPr>
          <w:rFonts w:hint="eastAsia"/>
          <w:color w:val="auto"/>
          <w:kern w:val="1"/>
          <w:szCs w:val="21"/>
        </w:rPr>
        <w:t>具体要求详见第四章评标方法及评标标准“过低报价合理性的审查”</w:t>
      </w:r>
      <w:r>
        <w:rPr>
          <w:rFonts w:hint="eastAsia"/>
          <w:color w:val="auto"/>
          <w:szCs w:val="21"/>
        </w:rPr>
        <w:t>）</w:t>
      </w: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4．符合政府采购政策价格扣除证明材料。</w:t>
      </w:r>
    </w:p>
    <w:p>
      <w:pPr>
        <w:rPr>
          <w:color w:val="auto"/>
          <w:szCs w:val="21"/>
        </w:rPr>
      </w:pPr>
      <w:r>
        <w:rPr>
          <w:color w:val="auto"/>
          <w:szCs w:val="21"/>
        </w:rPr>
        <w:t>4.1</w:t>
      </w:r>
      <w:r>
        <w:rPr>
          <w:bCs/>
          <w:color w:val="auto"/>
          <w:szCs w:val="21"/>
        </w:rPr>
        <w:t>符合小型、微型企业</w:t>
      </w:r>
      <w:r>
        <w:rPr>
          <w:color w:val="auto"/>
          <w:szCs w:val="21"/>
        </w:rPr>
        <w:t>政府采购政策证明材料。（非小型、微型企业无需提供）</w:t>
      </w:r>
      <w:r>
        <w:rPr>
          <w:rFonts w:hint="eastAsia"/>
          <w:color w:val="auto"/>
          <w:szCs w:val="21"/>
        </w:rPr>
        <w:t>。</w:t>
      </w:r>
    </w:p>
    <w:p>
      <w:pPr>
        <w:snapToGrid w:val="0"/>
        <w:spacing w:before="50" w:after="120" w:afterLines="50"/>
        <w:ind w:left="548" w:hanging="548" w:hangingChars="195"/>
        <w:jc w:val="center"/>
        <w:rPr>
          <w:rFonts w:ascii="宋体" w:hAnsi="宋体" w:cs="宋体"/>
          <w:color w:val="auto"/>
          <w:sz w:val="24"/>
        </w:rPr>
      </w:pPr>
      <w:r>
        <w:rPr>
          <w:rFonts w:hint="eastAsia" w:ascii="宋体" w:hAnsi="宋体" w:cs="宋体"/>
          <w:b/>
          <w:color w:val="auto"/>
          <w:sz w:val="28"/>
          <w:szCs w:val="28"/>
        </w:rPr>
        <w:t>中小企业声明函（货物）</w:t>
      </w:r>
    </w:p>
    <w:p>
      <w:pPr>
        <w:spacing w:line="440" w:lineRule="exact"/>
        <w:ind w:firstLine="210" w:firstLineChars="100"/>
        <w:rPr>
          <w:rFonts w:ascii="宋体" w:hAnsi="宋体" w:cs="宋体"/>
          <w:color w:val="auto"/>
          <w:szCs w:val="21"/>
        </w:rPr>
      </w:pPr>
      <w:r>
        <w:rPr>
          <w:rFonts w:ascii="宋体" w:hAnsi="宋体" w:cs="宋体"/>
          <w:color w:val="auto"/>
          <w:szCs w:val="21"/>
        </w:rPr>
        <w:t xml:space="preserve"> 本公司（联合体）郑重声明，根据《政府采购促进中小企业发展管理办法》（财库 ﹝2020﹞46号）的规定，本公司（联合体）参加</w:t>
      </w:r>
      <w:r>
        <w:rPr>
          <w:rFonts w:ascii="宋体" w:hAnsi="宋体" w:cs="宋体"/>
          <w:color w:val="auto"/>
          <w:szCs w:val="21"/>
          <w:u w:val="single"/>
        </w:rPr>
        <w:t>（单位名称）</w:t>
      </w:r>
      <w:r>
        <w:rPr>
          <w:rFonts w:ascii="宋体" w:hAnsi="宋体" w:cs="宋体"/>
          <w:color w:val="auto"/>
          <w:szCs w:val="21"/>
        </w:rPr>
        <w:t>的</w:t>
      </w:r>
      <w:r>
        <w:rPr>
          <w:rFonts w:ascii="宋体" w:hAnsi="宋体" w:cs="宋体"/>
          <w:color w:val="auto"/>
          <w:szCs w:val="21"/>
          <w:u w:val="single"/>
        </w:rPr>
        <w:t>（项目名称）</w:t>
      </w:r>
      <w:r>
        <w:rPr>
          <w:rFonts w:ascii="宋体" w:hAnsi="宋体" w:cs="宋体"/>
          <w:color w:val="auto"/>
          <w:szCs w:val="21"/>
        </w:rPr>
        <w:t>采购活动， 提供的货物全部由符合政策要求的中小企业制造。相关企业（含联合体中的中小企业、签订分包意向协议的中小企业）的具体情况如下：</w:t>
      </w:r>
    </w:p>
    <w:p>
      <w:pPr>
        <w:spacing w:line="440" w:lineRule="exact"/>
        <w:ind w:firstLine="210" w:firstLineChars="1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u w:val="single"/>
        </w:rPr>
        <w:t>（标的名称）</w:t>
      </w:r>
      <w:r>
        <w:rPr>
          <w:rFonts w:ascii="宋体" w:hAnsi="宋体" w:cs="宋体"/>
          <w:color w:val="auto"/>
          <w:szCs w:val="21"/>
        </w:rPr>
        <w:t>，属于</w:t>
      </w:r>
      <w:r>
        <w:rPr>
          <w:rFonts w:ascii="宋体" w:hAnsi="宋体" w:cs="宋体"/>
          <w:color w:val="auto"/>
          <w:szCs w:val="21"/>
          <w:u w:val="single"/>
        </w:rPr>
        <w:t>（采购文件中明确的所属行业）</w:t>
      </w:r>
      <w:r>
        <w:rPr>
          <w:rFonts w:ascii="宋体" w:hAnsi="宋体" w:cs="宋体"/>
          <w:color w:val="auto"/>
          <w:szCs w:val="21"/>
        </w:rPr>
        <w:t>行业； 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 资产总额为</w:t>
      </w:r>
      <w:r>
        <w:rPr>
          <w:rFonts w:hint="eastAsia" w:ascii="宋体" w:hAnsi="宋体" w:cs="宋体"/>
          <w:color w:val="auto"/>
          <w:szCs w:val="21"/>
          <w:u w:val="single"/>
        </w:rPr>
        <w:t xml:space="preserve">     </w:t>
      </w:r>
      <w:r>
        <w:rPr>
          <w:rFonts w:ascii="宋体" w:hAnsi="宋体" w:cs="宋体"/>
          <w:color w:val="auto"/>
          <w:szCs w:val="21"/>
        </w:rPr>
        <w:t>万元，属于</w:t>
      </w:r>
      <w:r>
        <w:rPr>
          <w:rFonts w:ascii="宋体" w:hAnsi="宋体" w:cs="宋体"/>
          <w:color w:val="auto"/>
          <w:szCs w:val="21"/>
          <w:u w:val="single"/>
        </w:rPr>
        <w:t>（中型企业、小型企业、微型企业）</w:t>
      </w:r>
      <w:r>
        <w:rPr>
          <w:rFonts w:ascii="宋体" w:hAnsi="宋体" w:cs="宋体"/>
          <w:color w:val="auto"/>
          <w:szCs w:val="21"/>
        </w:rPr>
        <w:t xml:space="preserve">； </w:t>
      </w:r>
    </w:p>
    <w:p>
      <w:pPr>
        <w:spacing w:line="440" w:lineRule="exact"/>
        <w:ind w:firstLine="210" w:firstLineChars="1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u w:val="single"/>
        </w:rPr>
        <w:t>（标的名称）</w:t>
      </w:r>
      <w:r>
        <w:rPr>
          <w:rFonts w:ascii="宋体" w:hAnsi="宋体" w:cs="宋体"/>
          <w:color w:val="auto"/>
          <w:szCs w:val="21"/>
        </w:rPr>
        <w:t>，属于</w:t>
      </w:r>
      <w:r>
        <w:rPr>
          <w:rFonts w:ascii="宋体" w:hAnsi="宋体" w:cs="宋体"/>
          <w:color w:val="auto"/>
          <w:szCs w:val="21"/>
          <w:u w:val="single"/>
        </w:rPr>
        <w:t>（采购文件中明确的所属行业</w:t>
      </w:r>
      <w:r>
        <w:rPr>
          <w:rFonts w:hint="eastAsia" w:ascii="宋体" w:hAnsi="宋体" w:cs="宋体"/>
          <w:color w:val="auto"/>
          <w:szCs w:val="21"/>
          <w:u w:val="single"/>
        </w:rPr>
        <w:t>）</w:t>
      </w:r>
      <w:r>
        <w:rPr>
          <w:rFonts w:ascii="宋体" w:hAnsi="宋体" w:cs="宋体"/>
          <w:color w:val="auto"/>
          <w:szCs w:val="21"/>
        </w:rPr>
        <w:t>行业； 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 资产总额为</w:t>
      </w:r>
      <w:r>
        <w:rPr>
          <w:rFonts w:hint="eastAsia" w:ascii="宋体" w:hAnsi="宋体" w:cs="宋体"/>
          <w:color w:val="auto"/>
          <w:szCs w:val="21"/>
          <w:u w:val="single"/>
        </w:rPr>
        <w:t xml:space="preserve">      </w:t>
      </w:r>
      <w:r>
        <w:rPr>
          <w:rFonts w:ascii="宋体" w:hAnsi="宋体" w:cs="宋体"/>
          <w:color w:val="auto"/>
          <w:szCs w:val="21"/>
        </w:rPr>
        <w:t>万元，属于</w:t>
      </w:r>
      <w:r>
        <w:rPr>
          <w:rFonts w:ascii="宋体" w:hAnsi="宋体" w:cs="宋体"/>
          <w:color w:val="auto"/>
          <w:szCs w:val="21"/>
          <w:u w:val="single"/>
        </w:rPr>
        <w:t>（中型企业、小型企业、微型企业）</w:t>
      </w:r>
      <w:r>
        <w:rPr>
          <w:rFonts w:ascii="宋体" w:hAnsi="宋体" w:cs="宋体"/>
          <w:color w:val="auto"/>
          <w:szCs w:val="21"/>
        </w:rPr>
        <w:t>；</w:t>
      </w:r>
    </w:p>
    <w:p>
      <w:pPr>
        <w:spacing w:line="440" w:lineRule="exact"/>
        <w:ind w:firstLine="210" w:firstLineChars="100"/>
        <w:rPr>
          <w:rFonts w:ascii="宋体" w:hAnsi="宋体" w:cs="宋体"/>
          <w:color w:val="auto"/>
          <w:szCs w:val="21"/>
        </w:rPr>
      </w:pPr>
      <w:r>
        <w:rPr>
          <w:rFonts w:ascii="宋体" w:hAnsi="宋体" w:cs="宋体"/>
          <w:color w:val="auto"/>
          <w:szCs w:val="21"/>
        </w:rPr>
        <w:t xml:space="preserve"> …… </w:t>
      </w:r>
    </w:p>
    <w:p>
      <w:pPr>
        <w:spacing w:line="440" w:lineRule="exact"/>
        <w:ind w:firstLine="420" w:firstLineChars="200"/>
        <w:rPr>
          <w:rFonts w:ascii="宋体" w:hAnsi="宋体" w:cs="宋体"/>
          <w:color w:val="auto"/>
          <w:szCs w:val="21"/>
        </w:rPr>
      </w:pPr>
      <w:r>
        <w:rPr>
          <w:rFonts w:ascii="宋体" w:hAnsi="宋体" w:cs="宋体"/>
          <w:color w:val="auto"/>
          <w:szCs w:val="21"/>
        </w:rPr>
        <w:t xml:space="preserve">以上企业，不属于大企业的分支机构，不存在控股股东为大企业的情形，也不存在与 大企业的负责人为同一人的情形。 </w:t>
      </w:r>
    </w:p>
    <w:p>
      <w:pPr>
        <w:spacing w:line="440" w:lineRule="exact"/>
        <w:ind w:firstLine="420" w:firstLineChars="200"/>
        <w:rPr>
          <w:rFonts w:ascii="宋体" w:hAnsi="宋体" w:cs="宋体"/>
          <w:color w:val="auto"/>
          <w:szCs w:val="21"/>
        </w:rPr>
      </w:pPr>
      <w:r>
        <w:rPr>
          <w:rFonts w:ascii="宋体" w:hAnsi="宋体" w:cs="宋体"/>
          <w:color w:val="auto"/>
          <w:szCs w:val="21"/>
        </w:rPr>
        <w:t xml:space="preserve">本企业对上述声明内容的真实性负责。如有虚假，将依法承担相应责任。 </w:t>
      </w:r>
    </w:p>
    <w:p>
      <w:pPr>
        <w:spacing w:line="440" w:lineRule="exact"/>
        <w:ind w:firstLine="5040" w:firstLineChars="2400"/>
        <w:rPr>
          <w:rFonts w:ascii="宋体" w:hAnsi="宋体" w:cs="宋体"/>
          <w:color w:val="auto"/>
          <w:szCs w:val="21"/>
        </w:rPr>
      </w:pPr>
      <w:r>
        <w:rPr>
          <w:rFonts w:ascii="宋体" w:hAnsi="宋体" w:cs="宋体"/>
          <w:color w:val="auto"/>
          <w:szCs w:val="21"/>
        </w:rPr>
        <w:t xml:space="preserve">企业名称（章）： </w:t>
      </w:r>
    </w:p>
    <w:p>
      <w:pPr>
        <w:spacing w:line="440" w:lineRule="exact"/>
        <w:ind w:firstLine="5250" w:firstLineChars="2500"/>
        <w:rPr>
          <w:rFonts w:ascii="宋体" w:hAnsi="宋体" w:cs="宋体"/>
          <w:color w:val="auto"/>
          <w:szCs w:val="21"/>
        </w:rPr>
      </w:pPr>
      <w:r>
        <w:rPr>
          <w:rFonts w:ascii="宋体" w:hAnsi="宋体" w:cs="宋体"/>
          <w:color w:val="auto"/>
          <w:szCs w:val="21"/>
        </w:rPr>
        <w:t xml:space="preserve">日 期： </w:t>
      </w:r>
    </w:p>
    <w:p>
      <w:pPr>
        <w:spacing w:line="440" w:lineRule="exact"/>
        <w:ind w:firstLine="420" w:firstLineChars="200"/>
        <w:rPr>
          <w:rFonts w:ascii="宋体" w:hAnsi="宋体" w:cs="宋体"/>
          <w:color w:val="auto"/>
          <w:szCs w:val="21"/>
        </w:rPr>
      </w:pPr>
      <w:r>
        <w:rPr>
          <w:rFonts w:ascii="宋体" w:hAnsi="宋体" w:cs="宋体"/>
          <w:color w:val="auto"/>
          <w:szCs w:val="21"/>
        </w:rPr>
        <w:t>注：请根据自己的真实情况出具《中小企业声明函》。依法享受中小企业 优惠政策的，采购人或采购代理机构在公告中标结果时，同时公告其《中小企业 声明函》，接受社会监督。</w:t>
      </w:r>
    </w:p>
    <w:p>
      <w:pPr>
        <w:spacing w:line="440" w:lineRule="exact"/>
        <w:rPr>
          <w:rFonts w:ascii="仿宋_GB2312" w:hAnsi="宋体" w:eastAsia="仿宋_GB2312"/>
          <w:color w:val="auto"/>
          <w:sz w:val="24"/>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4.2监狱企业须提供最新一期《XX省监狱企业产品目录》或其他监狱企业证明材料。（非监狱企业无需提供）</w:t>
      </w:r>
    </w:p>
    <w:p>
      <w:pPr>
        <w:snapToGrid w:val="0"/>
        <w:spacing w:before="50" w:after="120" w:afterLines="50"/>
        <w:jc w:val="left"/>
        <w:rPr>
          <w:color w:val="auto"/>
        </w:rPr>
      </w:pPr>
      <w:r>
        <w:rPr>
          <w:color w:val="auto"/>
          <w:szCs w:val="21"/>
        </w:rPr>
        <w:t>4.3</w:t>
      </w:r>
      <w:bookmarkStart w:id="70" w:name="_Hlk19051624"/>
      <w:r>
        <w:rPr>
          <w:color w:val="auto"/>
        </w:rPr>
        <w:t>残疾人福利性单位须提供《残疾人福利性单位声明函》，格式如下。</w:t>
      </w:r>
      <w:r>
        <w:rPr>
          <w:color w:val="auto"/>
          <w:szCs w:val="21"/>
        </w:rPr>
        <w:t>（非残疾人福利性单位无需提供）</w:t>
      </w:r>
    </w:p>
    <w:bookmarkEnd w:id="70"/>
    <w:p>
      <w:pPr>
        <w:spacing w:line="360" w:lineRule="auto"/>
        <w:jc w:val="center"/>
        <w:rPr>
          <w:b/>
          <w:color w:val="auto"/>
          <w:szCs w:val="21"/>
        </w:rPr>
      </w:pPr>
      <w:bookmarkStart w:id="71" w:name="OLE_LINK13"/>
      <w:r>
        <w:rPr>
          <w:b/>
          <w:color w:val="auto"/>
          <w:szCs w:val="21"/>
        </w:rPr>
        <w:t>残疾人福利性单位声明函</w:t>
      </w:r>
      <w:bookmarkEnd w:id="71"/>
    </w:p>
    <w:p>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auto"/>
          <w:szCs w:val="21"/>
        </w:rPr>
      </w:pPr>
      <w:r>
        <w:rPr>
          <w:color w:val="auto"/>
          <w:szCs w:val="21"/>
        </w:rPr>
        <w:t>本单位对上述声明的真实性负责。如有虚假，将依法承担相应责任。</w:t>
      </w:r>
    </w:p>
    <w:p>
      <w:pPr>
        <w:spacing w:line="360" w:lineRule="auto"/>
        <w:ind w:firstLine="420"/>
        <w:rPr>
          <w:color w:val="auto"/>
          <w:spacing w:val="6"/>
          <w:szCs w:val="21"/>
        </w:rPr>
      </w:pPr>
      <w:r>
        <w:rPr>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 xml:space="preserve">单位名称（盖章）：          </w:t>
      </w:r>
    </w:p>
    <w:p>
      <w:pPr>
        <w:spacing w:line="360" w:lineRule="auto"/>
        <w:ind w:firstLine="420"/>
        <w:rPr>
          <w:color w:val="auto"/>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pPr>
        <w:rPr>
          <w:color w:val="auto"/>
        </w:rPr>
      </w:pPr>
    </w:p>
    <w:p>
      <w:pPr>
        <w:snapToGrid w:val="0"/>
        <w:spacing w:before="120" w:beforeLines="50" w:after="50" w:line="440" w:lineRule="exact"/>
        <w:jc w:val="left"/>
        <w:outlineLvl w:val="1"/>
        <w:rPr>
          <w:bCs/>
          <w:color w:val="auto"/>
          <w:sz w:val="24"/>
        </w:rPr>
      </w:pPr>
      <w:r>
        <w:rPr>
          <w:bCs/>
          <w:color w:val="auto"/>
          <w:sz w:val="24"/>
        </w:rPr>
        <w:t xml:space="preserve"> </w:t>
      </w:r>
    </w:p>
    <w:p>
      <w:pPr>
        <w:snapToGrid w:val="0"/>
        <w:spacing w:before="120" w:beforeLines="50" w:after="50" w:line="440" w:lineRule="exact"/>
        <w:jc w:val="left"/>
        <w:outlineLvl w:val="1"/>
        <w:rPr>
          <w:color w:val="auto"/>
        </w:rPr>
      </w:pPr>
      <w:r>
        <w:rPr>
          <w:bCs/>
          <w:color w:val="auto"/>
          <w:sz w:val="24"/>
        </w:rPr>
        <w:t>3．缴纳方式二递交投标保证金信封封面参考格式（可以手写，密封）： </w:t>
      </w:r>
      <w:r>
        <w:rPr>
          <w:bCs/>
          <w:color w:val="auto"/>
          <w:sz w:val="24"/>
        </w:rPr>
        <w:br w:type="textWrapping"/>
      </w:r>
      <w:r>
        <w:rPr>
          <w:color w:val="auto"/>
        </w:rPr>
        <w:br w:type="textWrapping"/>
      </w: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投标保证金</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color w:val="auto"/>
        </w:rPr>
      </w:pPr>
      <w:r>
        <w:rPr>
          <w:bCs/>
          <w:color w:val="auto"/>
          <w:sz w:val="24"/>
        </w:rPr>
        <w:br w:type="page"/>
      </w:r>
      <w:r>
        <w:rPr>
          <w:bCs/>
          <w:color w:val="auto"/>
          <w:sz w:val="24"/>
        </w:rPr>
        <w:t>4．</w:t>
      </w:r>
      <w:r>
        <w:rPr>
          <w:rFonts w:hint="eastAsia"/>
          <w:bCs/>
          <w:color w:val="auto"/>
          <w:sz w:val="24"/>
        </w:rPr>
        <w:t>电子投标文件</w:t>
      </w:r>
      <w:r>
        <w:rPr>
          <w:bCs/>
          <w:color w:val="auto"/>
          <w:sz w:val="24"/>
        </w:rPr>
        <w:t>信封封面参考格式（可以手写，密封）</w:t>
      </w:r>
      <w:r>
        <w:rPr>
          <w:rFonts w:hint="eastAsia"/>
          <w:bCs/>
          <w:color w:val="auto"/>
          <w:sz w:val="24"/>
        </w:rPr>
        <w:t>（如提供）</w:t>
      </w:r>
      <w:r>
        <w:rPr>
          <w:bCs/>
          <w:color w:val="auto"/>
          <w:sz w:val="24"/>
        </w:rPr>
        <w:t>： </w:t>
      </w:r>
      <w:r>
        <w:rPr>
          <w:bCs/>
          <w:color w:val="auto"/>
          <w:sz w:val="24"/>
        </w:rPr>
        <w:br w:type="textWrapping"/>
      </w:r>
      <w:r>
        <w:rPr>
          <w:color w:val="auto"/>
        </w:rPr>
        <w:br w:type="textWrapping"/>
      </w: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不加密格式电子投标文件</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rPr>
          <w:color w:val="auto"/>
          <w:szCs w:val="21"/>
        </w:rPr>
      </w:pPr>
    </w:p>
    <w:p>
      <w:pPr>
        <w:snapToGrid w:val="0"/>
        <w:spacing w:before="120" w:beforeLines="50" w:after="50" w:line="440" w:lineRule="exact"/>
        <w:ind w:firstLine="645"/>
        <w:jc w:val="center"/>
        <w:rPr>
          <w:bCs/>
          <w:color w:val="auto"/>
          <w:sz w:val="24"/>
        </w:rPr>
      </w:pPr>
    </w:p>
    <w:p>
      <w:pPr>
        <w:snapToGrid w:val="0"/>
        <w:spacing w:before="120" w:beforeLines="50" w:after="50" w:line="440" w:lineRule="exact"/>
        <w:jc w:val="left"/>
        <w:outlineLvl w:val="1"/>
        <w:rPr>
          <w:bCs/>
          <w:color w:val="auto"/>
          <w:sz w:val="24"/>
        </w:rPr>
      </w:pPr>
      <w:r>
        <w:rPr>
          <w:color w:val="auto"/>
          <w:szCs w:val="21"/>
        </w:rPr>
        <w:br w:type="page"/>
      </w:r>
      <w:r>
        <w:rPr>
          <w:bCs/>
          <w:color w:val="auto"/>
          <w:sz w:val="24"/>
        </w:rPr>
        <w:t>5．</w:t>
      </w:r>
      <w:r>
        <w:rPr>
          <w:rFonts w:hint="eastAsia"/>
          <w:bCs/>
          <w:color w:val="auto"/>
          <w:sz w:val="24"/>
        </w:rPr>
        <w:t>演示文件</w:t>
      </w:r>
      <w:r>
        <w:rPr>
          <w:bCs/>
          <w:color w:val="auto"/>
          <w:sz w:val="24"/>
        </w:rPr>
        <w:t>信封封面参考格式</w:t>
      </w:r>
      <w:r>
        <w:rPr>
          <w:color w:val="auto"/>
          <w:szCs w:val="21"/>
        </w:rPr>
        <w:t>（可以手写，密封）</w:t>
      </w:r>
      <w:r>
        <w:rPr>
          <w:rFonts w:hint="eastAsia"/>
          <w:bCs/>
          <w:color w:val="auto"/>
          <w:sz w:val="24"/>
        </w:rPr>
        <w:t>（如有）</w:t>
      </w:r>
      <w:r>
        <w:rPr>
          <w:bCs/>
          <w:color w:val="auto"/>
          <w:sz w:val="24"/>
        </w:rPr>
        <w:t xml:space="preserve"> </w:t>
      </w:r>
      <w:r>
        <w:rPr>
          <w:rFonts w:hint="eastAsia"/>
          <w:bCs/>
          <w:color w:val="auto"/>
          <w:sz w:val="24"/>
        </w:rPr>
        <w:t>：</w:t>
      </w:r>
    </w:p>
    <w:p>
      <w:pPr>
        <w:rPr>
          <w:b/>
          <w:color w:val="auto"/>
          <w:szCs w:val="21"/>
        </w:rPr>
      </w:pPr>
    </w:p>
    <w:p>
      <w:pPr>
        <w:rPr>
          <w:b/>
          <w:color w:val="auto"/>
          <w:szCs w:val="21"/>
        </w:rPr>
      </w:pPr>
    </w:p>
    <w:p>
      <w:pPr>
        <w:snapToGrid w:val="0"/>
        <w:spacing w:before="120" w:beforeLines="50" w:after="50" w:line="440" w:lineRule="exact"/>
        <w:jc w:val="center"/>
        <w:rPr>
          <w:b/>
          <w:bCs/>
          <w:color w:val="auto"/>
          <w:sz w:val="44"/>
          <w:szCs w:val="44"/>
        </w:rPr>
      </w:pPr>
    </w:p>
    <w:p>
      <w:pPr>
        <w:snapToGrid w:val="0"/>
        <w:spacing w:before="120" w:beforeLines="50" w:after="50" w:line="440" w:lineRule="exact"/>
        <w:jc w:val="center"/>
        <w:rPr>
          <w:b/>
          <w:bCs/>
          <w:color w:val="auto"/>
          <w:sz w:val="44"/>
          <w:szCs w:val="44"/>
        </w:rPr>
      </w:pPr>
      <w:r>
        <w:rPr>
          <w:rFonts w:hint="eastAsia"/>
          <w:b/>
          <w:bCs/>
          <w:color w:val="auto"/>
          <w:sz w:val="44"/>
          <w:szCs w:val="44"/>
        </w:rPr>
        <w:t>投 标</w:t>
      </w:r>
      <w:r>
        <w:rPr>
          <w:b/>
          <w:bCs/>
          <w:color w:val="auto"/>
          <w:sz w:val="44"/>
          <w:szCs w:val="44"/>
        </w:rPr>
        <w:t xml:space="preserve">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演示文件</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color w:val="auto"/>
          <w:szCs w:val="21"/>
        </w:rPr>
      </w:pPr>
    </w:p>
    <w:p>
      <w:pPr>
        <w:snapToGrid w:val="0"/>
        <w:spacing w:before="120" w:beforeLines="50" w:after="50" w:line="440" w:lineRule="exact"/>
        <w:jc w:val="left"/>
        <w:outlineLvl w:val="1"/>
        <w:rPr>
          <w:bCs/>
          <w:color w:val="auto"/>
          <w:sz w:val="24"/>
        </w:rPr>
      </w:pPr>
      <w:r>
        <w:rPr>
          <w:color w:val="auto"/>
          <w:szCs w:val="21"/>
        </w:rPr>
        <w:br w:type="page"/>
      </w:r>
      <w:r>
        <w:rPr>
          <w:bCs/>
          <w:color w:val="auto"/>
          <w:sz w:val="24"/>
        </w:rPr>
        <w:t>6．</w:t>
      </w:r>
      <w:r>
        <w:rPr>
          <w:rFonts w:hint="eastAsia"/>
          <w:bCs/>
          <w:color w:val="auto"/>
          <w:sz w:val="24"/>
        </w:rPr>
        <w:t>投标文件电子版</w:t>
      </w:r>
      <w:r>
        <w:rPr>
          <w:bCs/>
          <w:color w:val="auto"/>
          <w:sz w:val="24"/>
        </w:rPr>
        <w:t>信封封面参考格式</w:t>
      </w:r>
      <w:r>
        <w:rPr>
          <w:color w:val="auto"/>
          <w:szCs w:val="21"/>
        </w:rPr>
        <w:t>（可以手写，密封）</w:t>
      </w:r>
      <w:r>
        <w:rPr>
          <w:bCs/>
          <w:color w:val="auto"/>
          <w:sz w:val="24"/>
        </w:rPr>
        <w:t>：</w:t>
      </w:r>
    </w:p>
    <w:p>
      <w:pPr>
        <w:rPr>
          <w:b/>
          <w:color w:val="auto"/>
          <w:szCs w:val="21"/>
        </w:rPr>
      </w:pPr>
    </w:p>
    <w:p>
      <w:pPr>
        <w:rPr>
          <w:b/>
          <w:color w:val="auto"/>
          <w:szCs w:val="21"/>
        </w:rPr>
      </w:pPr>
    </w:p>
    <w:p>
      <w:pPr>
        <w:rPr>
          <w:b/>
          <w:color w:val="auto"/>
          <w:szCs w:val="21"/>
        </w:rPr>
      </w:pPr>
    </w:p>
    <w:p>
      <w:pPr>
        <w:jc w:val="center"/>
        <w:rPr>
          <w:b/>
          <w:color w:val="auto"/>
          <w:szCs w:val="21"/>
        </w:rPr>
      </w:pP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rPr>
        <w:t>投标文件电子版</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tabs>
          <w:tab w:val="left" w:pos="964"/>
        </w:tabs>
        <w:snapToGrid w:val="0"/>
        <w:spacing w:before="120" w:beforeLines="50" w:after="50" w:line="440" w:lineRule="exact"/>
        <w:jc w:val="left"/>
        <w:outlineLvl w:val="1"/>
        <w:rPr>
          <w:color w:val="auto"/>
          <w:szCs w:val="21"/>
        </w:rPr>
      </w:pPr>
    </w:p>
    <w:p>
      <w:pPr>
        <w:snapToGrid w:val="0"/>
        <w:spacing w:before="120" w:beforeLines="50" w:after="50" w:line="440" w:lineRule="exact"/>
        <w:jc w:val="left"/>
        <w:outlineLvl w:val="1"/>
        <w:rPr>
          <w:color w:val="auto"/>
          <w:szCs w:val="21"/>
        </w:rPr>
      </w:pPr>
    </w:p>
    <w:bookmarkEnd w:id="0"/>
    <w:bookmarkEnd w:id="1"/>
    <w:p>
      <w:pPr>
        <w:snapToGrid w:val="0"/>
        <w:spacing w:before="120" w:beforeLines="50" w:after="50" w:line="440" w:lineRule="exact"/>
        <w:outlineLvl w:val="1"/>
        <w:rPr>
          <w:bCs/>
          <w:color w:val="auto"/>
          <w:sz w:val="24"/>
        </w:rPr>
      </w:pPr>
      <w:r>
        <w:rPr>
          <w:color w:val="auto"/>
        </w:rPr>
        <w:br w:type="page"/>
      </w:r>
      <w:r>
        <w:rPr>
          <w:color w:val="auto"/>
        </w:rPr>
        <w:t>7</w:t>
      </w:r>
      <w:r>
        <w:rPr>
          <w:rFonts w:hint="eastAsia"/>
          <w:color w:val="auto"/>
        </w:rPr>
        <w:t>.</w:t>
      </w:r>
      <w:r>
        <w:rPr>
          <w:rFonts w:hint="eastAsia"/>
          <w:b/>
          <w:color w:val="auto"/>
          <w:szCs w:val="21"/>
        </w:rPr>
        <w:t>声明函（必须提供）：</w:t>
      </w:r>
    </w:p>
    <w:p>
      <w:pPr>
        <w:snapToGrid w:val="0"/>
        <w:spacing w:before="120" w:beforeLines="50" w:after="50" w:line="440" w:lineRule="exact"/>
        <w:jc w:val="center"/>
        <w:outlineLvl w:val="1"/>
        <w:rPr>
          <w:b/>
          <w:color w:val="auto"/>
          <w:szCs w:val="21"/>
        </w:rPr>
      </w:pPr>
    </w:p>
    <w:p>
      <w:pPr>
        <w:snapToGrid w:val="0"/>
        <w:spacing w:before="120" w:beforeLines="50" w:after="50" w:line="440" w:lineRule="exact"/>
        <w:jc w:val="center"/>
        <w:outlineLvl w:val="1"/>
        <w:rPr>
          <w:b/>
          <w:color w:val="auto"/>
          <w:sz w:val="36"/>
          <w:szCs w:val="36"/>
        </w:rPr>
      </w:pPr>
      <w:r>
        <w:rPr>
          <w:rFonts w:hint="eastAsia"/>
          <w:b/>
          <w:color w:val="auto"/>
          <w:sz w:val="36"/>
          <w:szCs w:val="36"/>
        </w:rPr>
        <w:t>声明函</w:t>
      </w:r>
    </w:p>
    <w:p>
      <w:pPr>
        <w:snapToGrid w:val="0"/>
        <w:spacing w:before="120" w:beforeLines="50" w:after="50" w:line="440" w:lineRule="exact"/>
        <w:outlineLvl w:val="1"/>
        <w:rPr>
          <w:bCs/>
          <w:color w:val="auto"/>
          <w:sz w:val="24"/>
          <w:u w:val="single"/>
        </w:rPr>
      </w:pPr>
    </w:p>
    <w:p>
      <w:pPr>
        <w:snapToGrid w:val="0"/>
        <w:spacing w:before="120" w:beforeLines="50" w:after="50" w:line="440" w:lineRule="exact"/>
        <w:outlineLvl w:val="1"/>
        <w:rPr>
          <w:bCs/>
          <w:color w:val="auto"/>
          <w:sz w:val="22"/>
          <w:szCs w:val="22"/>
        </w:rPr>
      </w:pPr>
      <w:r>
        <w:rPr>
          <w:rFonts w:hint="eastAsia"/>
          <w:bCs/>
          <w:color w:val="auto"/>
          <w:sz w:val="22"/>
          <w:szCs w:val="22"/>
          <w:u w:val="single"/>
        </w:rPr>
        <w:t>广西北部湾宏亚建设管理有限公司</w:t>
      </w:r>
      <w:r>
        <w:rPr>
          <w:bCs/>
          <w:color w:val="auto"/>
          <w:sz w:val="22"/>
          <w:szCs w:val="22"/>
          <w:u w:val="single"/>
        </w:rPr>
        <w:t xml:space="preserve"> </w:t>
      </w:r>
      <w:r>
        <w:rPr>
          <w:color w:val="auto"/>
          <w:szCs w:val="21"/>
        </w:rPr>
        <w:t>：</w:t>
      </w:r>
    </w:p>
    <w:p>
      <w:pPr>
        <w:snapToGrid w:val="0"/>
        <w:spacing w:before="120" w:beforeLines="50" w:after="50" w:line="440" w:lineRule="exact"/>
        <w:outlineLvl w:val="1"/>
        <w:rPr>
          <w:color w:val="auto"/>
          <w:szCs w:val="21"/>
        </w:rPr>
      </w:pPr>
      <w:r>
        <w:rPr>
          <w:rFonts w:hint="eastAsia"/>
          <w:bCs/>
          <w:color w:val="auto"/>
          <w:sz w:val="24"/>
        </w:rPr>
        <w:t xml:space="preserve"> </w:t>
      </w:r>
      <w:r>
        <w:rPr>
          <w:bCs/>
          <w:color w:val="auto"/>
          <w:sz w:val="24"/>
        </w:rPr>
        <w:t xml:space="preserve">   </w:t>
      </w:r>
      <w:r>
        <w:rPr>
          <w:rFonts w:hint="eastAsia"/>
          <w:color w:val="auto"/>
          <w:szCs w:val="21"/>
        </w:rPr>
        <w:t>我方参加贵方组织的</w:t>
      </w:r>
      <w:r>
        <w:rPr>
          <w:rFonts w:hint="eastAsia"/>
          <w:i/>
          <w:iCs/>
          <w:color w:val="auto"/>
          <w:szCs w:val="21"/>
          <w:u w:val="single"/>
        </w:rPr>
        <w:t>（项目名称）（项目编号）</w:t>
      </w:r>
      <w:r>
        <w:rPr>
          <w:rFonts w:hint="eastAsia"/>
          <w:color w:val="auto"/>
          <w:szCs w:val="21"/>
        </w:rPr>
        <w:t>项目的投标，为响应疫情防控工作有关部署，有效减少人员聚集，阻断疫情传播，特就投标事宜作出以下声明：</w:t>
      </w:r>
    </w:p>
    <w:p>
      <w:pPr>
        <w:snapToGrid w:val="0"/>
        <w:spacing w:before="120" w:beforeLines="50" w:after="50" w:line="440" w:lineRule="exact"/>
        <w:ind w:firstLine="420" w:firstLineChars="200"/>
        <w:outlineLvl w:val="1"/>
        <w:rPr>
          <w:color w:val="auto"/>
          <w:szCs w:val="21"/>
        </w:rPr>
      </w:pPr>
      <w:r>
        <w:rPr>
          <w:color w:val="auto"/>
          <w:szCs w:val="21"/>
        </w:rPr>
        <w:t>1</w:t>
      </w:r>
      <w:r>
        <w:rPr>
          <w:rFonts w:hint="eastAsia"/>
          <w:color w:val="auto"/>
          <w:szCs w:val="21"/>
        </w:rPr>
        <w:t>、我方愿意授权</w:t>
      </w:r>
      <w:r>
        <w:rPr>
          <w:rFonts w:hint="eastAsia"/>
          <w:color w:val="auto"/>
        </w:rPr>
        <w:t>贵方工作人员</w:t>
      </w:r>
      <w:r>
        <w:rPr>
          <w:rFonts w:hint="eastAsia"/>
          <w:color w:val="auto"/>
          <w:szCs w:val="21"/>
        </w:rPr>
        <w:t>代表我方检查投标文件的密封性、确认开标记录、认可开标结果。</w:t>
      </w:r>
    </w:p>
    <w:p>
      <w:pPr>
        <w:snapToGrid w:val="0"/>
        <w:spacing w:before="120" w:beforeLines="50" w:after="50" w:line="440" w:lineRule="exact"/>
        <w:ind w:firstLine="420" w:firstLineChars="200"/>
        <w:outlineLvl w:val="1"/>
        <w:rPr>
          <w:color w:val="auto"/>
          <w:szCs w:val="21"/>
        </w:rPr>
      </w:pPr>
      <w:r>
        <w:rPr>
          <w:color w:val="auto"/>
          <w:szCs w:val="21"/>
        </w:rPr>
        <w:t>2</w:t>
      </w:r>
      <w:r>
        <w:rPr>
          <w:rFonts w:hint="eastAsia"/>
          <w:color w:val="auto"/>
          <w:szCs w:val="21"/>
        </w:rPr>
        <w:t>、我方授权代表签署的任何文件及其扫描件，我方均予以认可。</w:t>
      </w:r>
    </w:p>
    <w:p>
      <w:pPr>
        <w:snapToGrid w:val="0"/>
        <w:spacing w:before="120" w:beforeLines="50" w:after="50" w:line="440" w:lineRule="exact"/>
        <w:ind w:firstLine="420" w:firstLineChars="200"/>
        <w:outlineLvl w:val="1"/>
        <w:rPr>
          <w:color w:val="auto"/>
          <w:szCs w:val="21"/>
        </w:rPr>
      </w:pPr>
      <w:r>
        <w:rPr>
          <w:color w:val="auto"/>
          <w:szCs w:val="21"/>
        </w:rPr>
        <w:t>3</w:t>
      </w:r>
      <w:r>
        <w:rPr>
          <w:rFonts w:hint="eastAsia"/>
          <w:color w:val="auto"/>
          <w:szCs w:val="21"/>
        </w:rPr>
        <w:t>、我方以上声明均为真实意思表示，如有虚假，愿意承担一切不利法律后果。</w:t>
      </w:r>
    </w:p>
    <w:p>
      <w:pPr>
        <w:snapToGrid w:val="0"/>
        <w:spacing w:before="120" w:beforeLines="50" w:after="50" w:line="440" w:lineRule="exact"/>
        <w:outlineLvl w:val="1"/>
        <w:rPr>
          <w:color w:val="auto"/>
          <w:szCs w:val="21"/>
        </w:rPr>
      </w:pPr>
    </w:p>
    <w:p>
      <w:pPr>
        <w:snapToGrid w:val="0"/>
        <w:spacing w:before="120" w:beforeLines="50" w:after="50" w:line="440" w:lineRule="exact"/>
        <w:ind w:firstLine="630" w:firstLineChars="300"/>
        <w:outlineLvl w:val="1"/>
        <w:rPr>
          <w:color w:val="auto"/>
          <w:szCs w:val="21"/>
        </w:rPr>
      </w:pPr>
      <w:r>
        <w:rPr>
          <w:rFonts w:hint="eastAsia"/>
          <w:color w:val="auto"/>
          <w:szCs w:val="21"/>
        </w:rPr>
        <w:t>特此声明。</w:t>
      </w:r>
    </w:p>
    <w:p>
      <w:pPr>
        <w:snapToGrid w:val="0"/>
        <w:spacing w:before="120" w:beforeLines="50" w:after="50" w:line="440" w:lineRule="exact"/>
        <w:outlineLvl w:val="1"/>
        <w:rPr>
          <w:bCs/>
          <w:color w:val="auto"/>
          <w:sz w:val="24"/>
        </w:rPr>
      </w:pPr>
    </w:p>
    <w:p>
      <w:pPr>
        <w:snapToGrid w:val="0"/>
        <w:spacing w:before="120" w:beforeLines="50" w:after="50" w:line="440" w:lineRule="exact"/>
        <w:outlineLvl w:val="1"/>
        <w:rPr>
          <w:bCs/>
          <w:color w:val="auto"/>
          <w:sz w:val="24"/>
        </w:rPr>
      </w:pPr>
    </w:p>
    <w:p>
      <w:pPr>
        <w:snapToGrid w:val="0"/>
        <w:spacing w:before="120" w:beforeLines="50" w:after="50" w:line="440" w:lineRule="exact"/>
        <w:outlineLvl w:val="1"/>
        <w:rPr>
          <w:bCs/>
          <w:color w:val="auto"/>
          <w:sz w:val="24"/>
        </w:rPr>
      </w:pPr>
    </w:p>
    <w:p>
      <w:pPr>
        <w:wordWrap w:val="0"/>
        <w:snapToGrid w:val="0"/>
        <w:spacing w:before="120" w:beforeLines="50" w:after="50" w:line="440" w:lineRule="exact"/>
        <w:jc w:val="right"/>
        <w:outlineLvl w:val="1"/>
        <w:rPr>
          <w:bCs/>
          <w:color w:val="auto"/>
          <w:sz w:val="24"/>
        </w:rPr>
      </w:pPr>
      <w:r>
        <w:rPr>
          <w:rFonts w:hint="eastAsia"/>
          <w:bCs/>
          <w:color w:val="auto"/>
          <w:sz w:val="24"/>
        </w:rPr>
        <w:t>供应商名称（公章）：</w:t>
      </w:r>
      <w:r>
        <w:rPr>
          <w:bCs/>
          <w:color w:val="auto"/>
          <w:sz w:val="24"/>
          <w:u w:val="single"/>
        </w:rPr>
        <w:t xml:space="preserve">           </w:t>
      </w:r>
    </w:p>
    <w:p>
      <w:pPr>
        <w:wordWrap w:val="0"/>
        <w:snapToGrid w:val="0"/>
        <w:spacing w:before="120" w:beforeLines="50" w:after="50" w:line="440" w:lineRule="exact"/>
        <w:jc w:val="right"/>
        <w:outlineLvl w:val="1"/>
        <w:rPr>
          <w:bCs/>
          <w:color w:val="auto"/>
          <w:sz w:val="24"/>
          <w:u w:val="single"/>
        </w:rPr>
      </w:pPr>
      <w:r>
        <w:rPr>
          <w:rFonts w:hint="eastAsia"/>
          <w:bCs/>
          <w:color w:val="auto"/>
          <w:sz w:val="24"/>
        </w:rPr>
        <w:t>法定代表人或授权委托代表签字：</w:t>
      </w:r>
      <w:r>
        <w:rPr>
          <w:rFonts w:hint="eastAsia"/>
          <w:bCs/>
          <w:color w:val="auto"/>
          <w:sz w:val="24"/>
          <w:u w:val="single"/>
        </w:rPr>
        <w:t xml:space="preserve"> </w:t>
      </w:r>
      <w:r>
        <w:rPr>
          <w:bCs/>
          <w:color w:val="auto"/>
          <w:sz w:val="24"/>
          <w:u w:val="single"/>
        </w:rPr>
        <w:t xml:space="preserve">          </w:t>
      </w:r>
    </w:p>
    <w:p>
      <w:pPr>
        <w:snapToGrid w:val="0"/>
        <w:spacing w:before="120" w:beforeLines="50" w:after="50" w:line="440" w:lineRule="exact"/>
        <w:jc w:val="right"/>
        <w:outlineLvl w:val="1"/>
        <w:rPr>
          <w:bCs/>
          <w:color w:val="auto"/>
          <w:sz w:val="24"/>
        </w:rPr>
      </w:pPr>
      <w:r>
        <w:rPr>
          <w:rFonts w:hint="eastAsia"/>
          <w:bCs/>
          <w:color w:val="auto"/>
          <w:sz w:val="24"/>
        </w:rPr>
        <w:t>日期：</w:t>
      </w:r>
      <w:r>
        <w:rPr>
          <w:rFonts w:hint="eastAsia"/>
          <w:bCs/>
          <w:color w:val="auto"/>
          <w:sz w:val="24"/>
          <w:u w:val="single"/>
        </w:rPr>
        <w:t xml:space="preserve"> </w:t>
      </w:r>
      <w:r>
        <w:rPr>
          <w:bCs/>
          <w:color w:val="auto"/>
          <w:sz w:val="24"/>
          <w:u w:val="single"/>
        </w:rPr>
        <w:t xml:space="preserve">      </w:t>
      </w:r>
      <w:r>
        <w:rPr>
          <w:rFonts w:hint="eastAsia"/>
          <w:bCs/>
          <w:color w:val="auto"/>
          <w:sz w:val="24"/>
        </w:rPr>
        <w:t>年</w:t>
      </w:r>
      <w:r>
        <w:rPr>
          <w:rFonts w:hint="eastAsia"/>
          <w:bCs/>
          <w:color w:val="auto"/>
          <w:sz w:val="24"/>
          <w:u w:val="single"/>
        </w:rPr>
        <w:t xml:space="preserve"> </w:t>
      </w:r>
      <w:r>
        <w:rPr>
          <w:bCs/>
          <w:color w:val="auto"/>
          <w:sz w:val="24"/>
          <w:u w:val="single"/>
        </w:rPr>
        <w:t xml:space="preserve">    </w:t>
      </w:r>
      <w:r>
        <w:rPr>
          <w:rFonts w:hint="eastAsia"/>
          <w:bCs/>
          <w:color w:val="auto"/>
          <w:sz w:val="24"/>
        </w:rPr>
        <w:t>月</w:t>
      </w:r>
      <w:r>
        <w:rPr>
          <w:rFonts w:hint="eastAsia"/>
          <w:bCs/>
          <w:color w:val="auto"/>
          <w:sz w:val="24"/>
          <w:u w:val="single"/>
        </w:rPr>
        <w:t xml:space="preserve"> </w:t>
      </w:r>
      <w:r>
        <w:rPr>
          <w:bCs/>
          <w:color w:val="auto"/>
          <w:sz w:val="24"/>
          <w:u w:val="single"/>
        </w:rPr>
        <w:t xml:space="preserve">     </w:t>
      </w:r>
      <w:r>
        <w:rPr>
          <w:rFonts w:hint="eastAsia"/>
          <w:bCs/>
          <w:color w:val="auto"/>
          <w:sz w:val="24"/>
        </w:rPr>
        <w:t>日</w:t>
      </w:r>
    </w:p>
    <w:p>
      <w:pPr>
        <w:rPr>
          <w:color w:val="auto"/>
        </w:rPr>
      </w:pPr>
    </w:p>
    <w:sectPr>
      <w:headerReference r:id="rId22"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17</w:t>
    </w:r>
    <w:r>
      <w:fldChar w:fldCharType="end"/>
    </w:r>
  </w:p>
  <w:p>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24</w:t>
    </w:r>
    <w:r>
      <w:fldChar w:fldCharType="end"/>
    </w:r>
  </w:p>
  <w:p>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评标方法及评标标准</w:t>
    </w:r>
  </w:p>
  <w:p>
    <w:pPr>
      <w:pStyle w:val="32"/>
      <w:pBdr>
        <w:bottom w:val="none" w:color="auto" w:sz="0" w:space="0"/>
      </w:pBdr>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790" w:hanging="2790" w:hangingChars="1550"/>
      <w:jc w:val="left"/>
    </w:pPr>
    <w:r>
      <w:rPr>
        <w:rFonts w:hint="eastAsia"/>
      </w:rPr>
      <w:t xml:space="preserve">广西北部湾宏亚建设管理有限公司招标文件  </w:t>
    </w:r>
    <w:r>
      <w:t xml:space="preserve">                                                 </w:t>
    </w:r>
    <w:r>
      <w:rPr>
        <w:rFonts w:hint="eastAsia"/>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广西北部湾宏亚建设管理有限公司招标文件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招标公告</w:t>
    </w:r>
  </w:p>
  <w:p>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p>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评标方法及评标标准</w:t>
    </w:r>
  </w:p>
  <w:p>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3D142"/>
    <w:multiLevelType w:val="singleLevel"/>
    <w:tmpl w:val="8FF3D142"/>
    <w:lvl w:ilvl="0" w:tentative="0">
      <w:start w:val="7"/>
      <w:numFmt w:val="decimal"/>
      <w:suff w:val="nothing"/>
      <w:lvlText w:val="%1、"/>
      <w:lvlJc w:val="left"/>
    </w:lvl>
  </w:abstractNum>
  <w:abstractNum w:abstractNumId="1">
    <w:nsid w:val="2023B6EF"/>
    <w:multiLevelType w:val="singleLevel"/>
    <w:tmpl w:val="2023B6EF"/>
    <w:lvl w:ilvl="0" w:tentative="0">
      <w:start w:val="1"/>
      <w:numFmt w:val="decimal"/>
      <w:suff w:val="nothing"/>
      <w:lvlText w:val="%1、"/>
      <w:lvlJc w:val="left"/>
    </w:lvl>
  </w:abstractNum>
  <w:abstractNum w:abstractNumId="2">
    <w:nsid w:val="5F043E1A"/>
    <w:multiLevelType w:val="singleLevel"/>
    <w:tmpl w:val="5F043E1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C"/>
    <w:rsid w:val="000003EF"/>
    <w:rsid w:val="0000091B"/>
    <w:rsid w:val="00000D0A"/>
    <w:rsid w:val="00000D19"/>
    <w:rsid w:val="00000E1A"/>
    <w:rsid w:val="00001B3E"/>
    <w:rsid w:val="00001CD6"/>
    <w:rsid w:val="00002425"/>
    <w:rsid w:val="00002DDA"/>
    <w:rsid w:val="00003DAE"/>
    <w:rsid w:val="000049EF"/>
    <w:rsid w:val="000058D7"/>
    <w:rsid w:val="00005E55"/>
    <w:rsid w:val="00006E2C"/>
    <w:rsid w:val="000079FF"/>
    <w:rsid w:val="00007B0D"/>
    <w:rsid w:val="000102A9"/>
    <w:rsid w:val="00010802"/>
    <w:rsid w:val="00010F49"/>
    <w:rsid w:val="00011D32"/>
    <w:rsid w:val="00011D72"/>
    <w:rsid w:val="00012078"/>
    <w:rsid w:val="00013748"/>
    <w:rsid w:val="00013D41"/>
    <w:rsid w:val="000143A3"/>
    <w:rsid w:val="00014DD6"/>
    <w:rsid w:val="0001598C"/>
    <w:rsid w:val="000165C1"/>
    <w:rsid w:val="00016C31"/>
    <w:rsid w:val="000201D5"/>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27E"/>
    <w:rsid w:val="00032686"/>
    <w:rsid w:val="000326DA"/>
    <w:rsid w:val="0003274B"/>
    <w:rsid w:val="00032AD8"/>
    <w:rsid w:val="000330D8"/>
    <w:rsid w:val="000331CC"/>
    <w:rsid w:val="0003322E"/>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B52"/>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7698"/>
    <w:rsid w:val="00077891"/>
    <w:rsid w:val="0007797E"/>
    <w:rsid w:val="0008017C"/>
    <w:rsid w:val="00080AA6"/>
    <w:rsid w:val="00081C1C"/>
    <w:rsid w:val="000822F0"/>
    <w:rsid w:val="00082611"/>
    <w:rsid w:val="0008264F"/>
    <w:rsid w:val="00082669"/>
    <w:rsid w:val="00082AC4"/>
    <w:rsid w:val="00082DF3"/>
    <w:rsid w:val="00082E71"/>
    <w:rsid w:val="00083194"/>
    <w:rsid w:val="0008372E"/>
    <w:rsid w:val="00083A64"/>
    <w:rsid w:val="00083B97"/>
    <w:rsid w:val="00085459"/>
    <w:rsid w:val="00085CBE"/>
    <w:rsid w:val="00085F23"/>
    <w:rsid w:val="0008619C"/>
    <w:rsid w:val="000866A9"/>
    <w:rsid w:val="000867B2"/>
    <w:rsid w:val="00086EC2"/>
    <w:rsid w:val="00087358"/>
    <w:rsid w:val="000873F5"/>
    <w:rsid w:val="00087EA5"/>
    <w:rsid w:val="000900DF"/>
    <w:rsid w:val="00090193"/>
    <w:rsid w:val="0009021F"/>
    <w:rsid w:val="00091130"/>
    <w:rsid w:val="00091D8D"/>
    <w:rsid w:val="00093126"/>
    <w:rsid w:val="00093170"/>
    <w:rsid w:val="00093836"/>
    <w:rsid w:val="00093DF8"/>
    <w:rsid w:val="000941F6"/>
    <w:rsid w:val="00094460"/>
    <w:rsid w:val="00094505"/>
    <w:rsid w:val="000945C5"/>
    <w:rsid w:val="00094ECF"/>
    <w:rsid w:val="0009592E"/>
    <w:rsid w:val="00095F4B"/>
    <w:rsid w:val="0009606A"/>
    <w:rsid w:val="0009715C"/>
    <w:rsid w:val="000973D7"/>
    <w:rsid w:val="000A10DB"/>
    <w:rsid w:val="000A10DE"/>
    <w:rsid w:val="000A1ECD"/>
    <w:rsid w:val="000A2968"/>
    <w:rsid w:val="000A3515"/>
    <w:rsid w:val="000A3518"/>
    <w:rsid w:val="000A6038"/>
    <w:rsid w:val="000A6204"/>
    <w:rsid w:val="000A6BF2"/>
    <w:rsid w:val="000A6F1D"/>
    <w:rsid w:val="000A70C7"/>
    <w:rsid w:val="000A7238"/>
    <w:rsid w:val="000A791D"/>
    <w:rsid w:val="000B0504"/>
    <w:rsid w:val="000B09FE"/>
    <w:rsid w:val="000B15EF"/>
    <w:rsid w:val="000B199D"/>
    <w:rsid w:val="000B26D6"/>
    <w:rsid w:val="000B316D"/>
    <w:rsid w:val="000B3194"/>
    <w:rsid w:val="000B3CFE"/>
    <w:rsid w:val="000B4EF3"/>
    <w:rsid w:val="000B554C"/>
    <w:rsid w:val="000B5A2B"/>
    <w:rsid w:val="000B5B3A"/>
    <w:rsid w:val="000B5D87"/>
    <w:rsid w:val="000B693E"/>
    <w:rsid w:val="000B6F18"/>
    <w:rsid w:val="000B7ABB"/>
    <w:rsid w:val="000B7E6D"/>
    <w:rsid w:val="000C0DAB"/>
    <w:rsid w:val="000C0F92"/>
    <w:rsid w:val="000C214A"/>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D2859"/>
    <w:rsid w:val="000D3C5A"/>
    <w:rsid w:val="000D3E1B"/>
    <w:rsid w:val="000D4061"/>
    <w:rsid w:val="000D481F"/>
    <w:rsid w:val="000D4860"/>
    <w:rsid w:val="000D48FB"/>
    <w:rsid w:val="000D4B4F"/>
    <w:rsid w:val="000D4EC1"/>
    <w:rsid w:val="000D55FD"/>
    <w:rsid w:val="000D5C14"/>
    <w:rsid w:val="000D6EC7"/>
    <w:rsid w:val="000D71A3"/>
    <w:rsid w:val="000D75B1"/>
    <w:rsid w:val="000E01DF"/>
    <w:rsid w:val="000E1C04"/>
    <w:rsid w:val="000E26C8"/>
    <w:rsid w:val="000E2AD1"/>
    <w:rsid w:val="000E3226"/>
    <w:rsid w:val="000E3D2F"/>
    <w:rsid w:val="000E4712"/>
    <w:rsid w:val="000E4E88"/>
    <w:rsid w:val="000E528E"/>
    <w:rsid w:val="000E6022"/>
    <w:rsid w:val="000E612C"/>
    <w:rsid w:val="000E6D38"/>
    <w:rsid w:val="000E72E7"/>
    <w:rsid w:val="000E72F6"/>
    <w:rsid w:val="000E742B"/>
    <w:rsid w:val="000E75B3"/>
    <w:rsid w:val="000E7CC8"/>
    <w:rsid w:val="000F107F"/>
    <w:rsid w:val="000F1B78"/>
    <w:rsid w:val="000F1F51"/>
    <w:rsid w:val="000F1FB0"/>
    <w:rsid w:val="000F2181"/>
    <w:rsid w:val="000F21CE"/>
    <w:rsid w:val="000F24AC"/>
    <w:rsid w:val="000F24D5"/>
    <w:rsid w:val="000F24E0"/>
    <w:rsid w:val="000F2F60"/>
    <w:rsid w:val="000F47D9"/>
    <w:rsid w:val="000F4B3A"/>
    <w:rsid w:val="000F5331"/>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E60"/>
    <w:rsid w:val="0012130E"/>
    <w:rsid w:val="001213B0"/>
    <w:rsid w:val="00121741"/>
    <w:rsid w:val="00121832"/>
    <w:rsid w:val="001221FC"/>
    <w:rsid w:val="001222CD"/>
    <w:rsid w:val="0012235C"/>
    <w:rsid w:val="00122A75"/>
    <w:rsid w:val="001240EC"/>
    <w:rsid w:val="001241D1"/>
    <w:rsid w:val="00124985"/>
    <w:rsid w:val="00124FF9"/>
    <w:rsid w:val="00125237"/>
    <w:rsid w:val="00125609"/>
    <w:rsid w:val="00125EC8"/>
    <w:rsid w:val="00126655"/>
    <w:rsid w:val="00126707"/>
    <w:rsid w:val="001267D3"/>
    <w:rsid w:val="001269E0"/>
    <w:rsid w:val="00126C9D"/>
    <w:rsid w:val="001271AC"/>
    <w:rsid w:val="00127743"/>
    <w:rsid w:val="001313CE"/>
    <w:rsid w:val="0013190A"/>
    <w:rsid w:val="00131C94"/>
    <w:rsid w:val="00131DE6"/>
    <w:rsid w:val="001326DF"/>
    <w:rsid w:val="00132AD8"/>
    <w:rsid w:val="00132CCE"/>
    <w:rsid w:val="00133D01"/>
    <w:rsid w:val="00134305"/>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1E7B"/>
    <w:rsid w:val="001422D4"/>
    <w:rsid w:val="00142ED9"/>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F0A"/>
    <w:rsid w:val="00156122"/>
    <w:rsid w:val="00156891"/>
    <w:rsid w:val="00156BA3"/>
    <w:rsid w:val="00157060"/>
    <w:rsid w:val="001570A2"/>
    <w:rsid w:val="001572BD"/>
    <w:rsid w:val="00157320"/>
    <w:rsid w:val="001579B9"/>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382"/>
    <w:rsid w:val="00182DF8"/>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230"/>
    <w:rsid w:val="0019630F"/>
    <w:rsid w:val="00196C83"/>
    <w:rsid w:val="00196E92"/>
    <w:rsid w:val="001A0112"/>
    <w:rsid w:val="001A0896"/>
    <w:rsid w:val="001A29AC"/>
    <w:rsid w:val="001A315B"/>
    <w:rsid w:val="001A35FF"/>
    <w:rsid w:val="001A3856"/>
    <w:rsid w:val="001A3F6D"/>
    <w:rsid w:val="001A4664"/>
    <w:rsid w:val="001A4C94"/>
    <w:rsid w:val="001A5DA1"/>
    <w:rsid w:val="001A68CE"/>
    <w:rsid w:val="001A775C"/>
    <w:rsid w:val="001A7CBA"/>
    <w:rsid w:val="001A7E72"/>
    <w:rsid w:val="001B069F"/>
    <w:rsid w:val="001B0ADB"/>
    <w:rsid w:val="001B1736"/>
    <w:rsid w:val="001B1AE6"/>
    <w:rsid w:val="001B1F92"/>
    <w:rsid w:val="001B2FCF"/>
    <w:rsid w:val="001B32D3"/>
    <w:rsid w:val="001B32E4"/>
    <w:rsid w:val="001B3778"/>
    <w:rsid w:val="001B3E30"/>
    <w:rsid w:val="001B4ED3"/>
    <w:rsid w:val="001B50CC"/>
    <w:rsid w:val="001B51E8"/>
    <w:rsid w:val="001B5355"/>
    <w:rsid w:val="001B6049"/>
    <w:rsid w:val="001B60D4"/>
    <w:rsid w:val="001B6482"/>
    <w:rsid w:val="001B68A2"/>
    <w:rsid w:val="001B7014"/>
    <w:rsid w:val="001B7C32"/>
    <w:rsid w:val="001B7CBF"/>
    <w:rsid w:val="001C0619"/>
    <w:rsid w:val="001C0E29"/>
    <w:rsid w:val="001C1344"/>
    <w:rsid w:val="001C148A"/>
    <w:rsid w:val="001C15DB"/>
    <w:rsid w:val="001C1814"/>
    <w:rsid w:val="001C1968"/>
    <w:rsid w:val="001C1DD6"/>
    <w:rsid w:val="001C2082"/>
    <w:rsid w:val="001C3B70"/>
    <w:rsid w:val="001C3D80"/>
    <w:rsid w:val="001C4361"/>
    <w:rsid w:val="001C51A3"/>
    <w:rsid w:val="001C5358"/>
    <w:rsid w:val="001C56D1"/>
    <w:rsid w:val="001C5AD3"/>
    <w:rsid w:val="001C7A8C"/>
    <w:rsid w:val="001D0AA9"/>
    <w:rsid w:val="001D145B"/>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C8"/>
    <w:rsid w:val="001E72E0"/>
    <w:rsid w:val="001F0064"/>
    <w:rsid w:val="001F05D5"/>
    <w:rsid w:val="001F16DF"/>
    <w:rsid w:val="001F1960"/>
    <w:rsid w:val="001F3603"/>
    <w:rsid w:val="001F3DA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51F7"/>
    <w:rsid w:val="0020531C"/>
    <w:rsid w:val="002067D2"/>
    <w:rsid w:val="0020708A"/>
    <w:rsid w:val="0020738E"/>
    <w:rsid w:val="00207642"/>
    <w:rsid w:val="00207838"/>
    <w:rsid w:val="00207F6A"/>
    <w:rsid w:val="00210256"/>
    <w:rsid w:val="00210394"/>
    <w:rsid w:val="0021076E"/>
    <w:rsid w:val="00211180"/>
    <w:rsid w:val="00211EC3"/>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21C3"/>
    <w:rsid w:val="0022299A"/>
    <w:rsid w:val="00222B91"/>
    <w:rsid w:val="002230FD"/>
    <w:rsid w:val="002232B3"/>
    <w:rsid w:val="00224756"/>
    <w:rsid w:val="00224878"/>
    <w:rsid w:val="0022514D"/>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1129"/>
    <w:rsid w:val="00241840"/>
    <w:rsid w:val="00241C36"/>
    <w:rsid w:val="00241F9B"/>
    <w:rsid w:val="00242608"/>
    <w:rsid w:val="002427EB"/>
    <w:rsid w:val="002427F0"/>
    <w:rsid w:val="002428BD"/>
    <w:rsid w:val="00242E09"/>
    <w:rsid w:val="002432B7"/>
    <w:rsid w:val="00243C06"/>
    <w:rsid w:val="002440B2"/>
    <w:rsid w:val="0024551D"/>
    <w:rsid w:val="002458CE"/>
    <w:rsid w:val="00246513"/>
    <w:rsid w:val="00246B1D"/>
    <w:rsid w:val="00247BDE"/>
    <w:rsid w:val="00247EE8"/>
    <w:rsid w:val="00250B11"/>
    <w:rsid w:val="002510AC"/>
    <w:rsid w:val="00251C98"/>
    <w:rsid w:val="00251EB3"/>
    <w:rsid w:val="0025329B"/>
    <w:rsid w:val="00253375"/>
    <w:rsid w:val="002538BA"/>
    <w:rsid w:val="00253EC4"/>
    <w:rsid w:val="0025418A"/>
    <w:rsid w:val="00254240"/>
    <w:rsid w:val="002557AE"/>
    <w:rsid w:val="00255BC2"/>
    <w:rsid w:val="00256539"/>
    <w:rsid w:val="00256DEA"/>
    <w:rsid w:val="002579EC"/>
    <w:rsid w:val="00257C49"/>
    <w:rsid w:val="0026072F"/>
    <w:rsid w:val="00260952"/>
    <w:rsid w:val="00261192"/>
    <w:rsid w:val="00261A11"/>
    <w:rsid w:val="00261CB5"/>
    <w:rsid w:val="002625F2"/>
    <w:rsid w:val="00263413"/>
    <w:rsid w:val="00263816"/>
    <w:rsid w:val="0026431A"/>
    <w:rsid w:val="00264466"/>
    <w:rsid w:val="002644A4"/>
    <w:rsid w:val="00265066"/>
    <w:rsid w:val="00265599"/>
    <w:rsid w:val="00265C93"/>
    <w:rsid w:val="00266300"/>
    <w:rsid w:val="00271150"/>
    <w:rsid w:val="002713E8"/>
    <w:rsid w:val="00274075"/>
    <w:rsid w:val="002747CC"/>
    <w:rsid w:val="00274830"/>
    <w:rsid w:val="00274DF9"/>
    <w:rsid w:val="00275170"/>
    <w:rsid w:val="00275D77"/>
    <w:rsid w:val="00275F0A"/>
    <w:rsid w:val="002778F2"/>
    <w:rsid w:val="00277F0D"/>
    <w:rsid w:val="00277F52"/>
    <w:rsid w:val="002809A3"/>
    <w:rsid w:val="00281780"/>
    <w:rsid w:val="00281979"/>
    <w:rsid w:val="00281E85"/>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D69"/>
    <w:rsid w:val="002B6F67"/>
    <w:rsid w:val="002B7411"/>
    <w:rsid w:val="002B7F1B"/>
    <w:rsid w:val="002C0083"/>
    <w:rsid w:val="002C032E"/>
    <w:rsid w:val="002C081A"/>
    <w:rsid w:val="002C108A"/>
    <w:rsid w:val="002C1553"/>
    <w:rsid w:val="002C2B35"/>
    <w:rsid w:val="002C2CCD"/>
    <w:rsid w:val="002C2F7F"/>
    <w:rsid w:val="002C2FB4"/>
    <w:rsid w:val="002C2FD3"/>
    <w:rsid w:val="002C3683"/>
    <w:rsid w:val="002C4177"/>
    <w:rsid w:val="002C682C"/>
    <w:rsid w:val="002C6DC2"/>
    <w:rsid w:val="002C6DDA"/>
    <w:rsid w:val="002C713E"/>
    <w:rsid w:val="002D053D"/>
    <w:rsid w:val="002D0B99"/>
    <w:rsid w:val="002D1936"/>
    <w:rsid w:val="002D1CE8"/>
    <w:rsid w:val="002D2129"/>
    <w:rsid w:val="002D213F"/>
    <w:rsid w:val="002D2FB2"/>
    <w:rsid w:val="002D3782"/>
    <w:rsid w:val="002D4896"/>
    <w:rsid w:val="002D48E6"/>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8D2"/>
    <w:rsid w:val="002E5E11"/>
    <w:rsid w:val="002E5F0D"/>
    <w:rsid w:val="002E6262"/>
    <w:rsid w:val="002E6EE7"/>
    <w:rsid w:val="002F0C6B"/>
    <w:rsid w:val="002F0F9E"/>
    <w:rsid w:val="002F1CD0"/>
    <w:rsid w:val="002F1D5C"/>
    <w:rsid w:val="002F207F"/>
    <w:rsid w:val="002F24AF"/>
    <w:rsid w:val="002F2902"/>
    <w:rsid w:val="002F32ED"/>
    <w:rsid w:val="002F3799"/>
    <w:rsid w:val="002F41C9"/>
    <w:rsid w:val="002F43B6"/>
    <w:rsid w:val="002F45B2"/>
    <w:rsid w:val="002F4803"/>
    <w:rsid w:val="002F49F9"/>
    <w:rsid w:val="002F515D"/>
    <w:rsid w:val="002F537A"/>
    <w:rsid w:val="002F6058"/>
    <w:rsid w:val="002F6673"/>
    <w:rsid w:val="002F66DB"/>
    <w:rsid w:val="002F7EB8"/>
    <w:rsid w:val="0030086D"/>
    <w:rsid w:val="00300D86"/>
    <w:rsid w:val="003017E1"/>
    <w:rsid w:val="003023A5"/>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4DA"/>
    <w:rsid w:val="00320582"/>
    <w:rsid w:val="00321282"/>
    <w:rsid w:val="0032130E"/>
    <w:rsid w:val="0032187E"/>
    <w:rsid w:val="003218EA"/>
    <w:rsid w:val="00321F93"/>
    <w:rsid w:val="00322489"/>
    <w:rsid w:val="0032278A"/>
    <w:rsid w:val="0032279E"/>
    <w:rsid w:val="00322A25"/>
    <w:rsid w:val="00322C47"/>
    <w:rsid w:val="0032318E"/>
    <w:rsid w:val="00324289"/>
    <w:rsid w:val="00324A14"/>
    <w:rsid w:val="00325668"/>
    <w:rsid w:val="003262AB"/>
    <w:rsid w:val="0032659C"/>
    <w:rsid w:val="003271D5"/>
    <w:rsid w:val="00327292"/>
    <w:rsid w:val="003272FD"/>
    <w:rsid w:val="0032744E"/>
    <w:rsid w:val="00327480"/>
    <w:rsid w:val="003275C7"/>
    <w:rsid w:val="003307FF"/>
    <w:rsid w:val="00330A37"/>
    <w:rsid w:val="00330B81"/>
    <w:rsid w:val="00331424"/>
    <w:rsid w:val="00333471"/>
    <w:rsid w:val="003334DE"/>
    <w:rsid w:val="00333A15"/>
    <w:rsid w:val="00333A6D"/>
    <w:rsid w:val="00333F1D"/>
    <w:rsid w:val="0033545E"/>
    <w:rsid w:val="00335776"/>
    <w:rsid w:val="00335E25"/>
    <w:rsid w:val="00336075"/>
    <w:rsid w:val="003374B9"/>
    <w:rsid w:val="003375AB"/>
    <w:rsid w:val="003378B1"/>
    <w:rsid w:val="003408E2"/>
    <w:rsid w:val="003415A2"/>
    <w:rsid w:val="00341999"/>
    <w:rsid w:val="00341A8C"/>
    <w:rsid w:val="00341C6F"/>
    <w:rsid w:val="00342CB4"/>
    <w:rsid w:val="0034312D"/>
    <w:rsid w:val="0034330F"/>
    <w:rsid w:val="00343669"/>
    <w:rsid w:val="00343732"/>
    <w:rsid w:val="003438E5"/>
    <w:rsid w:val="00343C67"/>
    <w:rsid w:val="00343E03"/>
    <w:rsid w:val="0034413A"/>
    <w:rsid w:val="00344BA3"/>
    <w:rsid w:val="00344BDC"/>
    <w:rsid w:val="00344D5E"/>
    <w:rsid w:val="003451C1"/>
    <w:rsid w:val="0034547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991"/>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E15"/>
    <w:rsid w:val="00380F51"/>
    <w:rsid w:val="00381993"/>
    <w:rsid w:val="00381B3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3FE9"/>
    <w:rsid w:val="003943FE"/>
    <w:rsid w:val="0039476B"/>
    <w:rsid w:val="00394F4C"/>
    <w:rsid w:val="00395BDA"/>
    <w:rsid w:val="00396113"/>
    <w:rsid w:val="00396F26"/>
    <w:rsid w:val="003973FD"/>
    <w:rsid w:val="00397413"/>
    <w:rsid w:val="00397418"/>
    <w:rsid w:val="003976E4"/>
    <w:rsid w:val="00397E21"/>
    <w:rsid w:val="00397FDC"/>
    <w:rsid w:val="003A04AE"/>
    <w:rsid w:val="003A0667"/>
    <w:rsid w:val="003A19D6"/>
    <w:rsid w:val="003A1E16"/>
    <w:rsid w:val="003A2D4E"/>
    <w:rsid w:val="003A2E4A"/>
    <w:rsid w:val="003A3999"/>
    <w:rsid w:val="003A4462"/>
    <w:rsid w:val="003A4663"/>
    <w:rsid w:val="003A4BFF"/>
    <w:rsid w:val="003A4F4E"/>
    <w:rsid w:val="003A5D90"/>
    <w:rsid w:val="003A62DA"/>
    <w:rsid w:val="003A7B14"/>
    <w:rsid w:val="003A7B7B"/>
    <w:rsid w:val="003A7D2A"/>
    <w:rsid w:val="003A7D38"/>
    <w:rsid w:val="003B08CD"/>
    <w:rsid w:val="003B14FD"/>
    <w:rsid w:val="003B2427"/>
    <w:rsid w:val="003B2BCB"/>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293"/>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990"/>
    <w:rsid w:val="003D42CB"/>
    <w:rsid w:val="003D43E2"/>
    <w:rsid w:val="003D4B62"/>
    <w:rsid w:val="003D4E9A"/>
    <w:rsid w:val="003D51F4"/>
    <w:rsid w:val="003D5811"/>
    <w:rsid w:val="003D58C5"/>
    <w:rsid w:val="003D6638"/>
    <w:rsid w:val="003D67D4"/>
    <w:rsid w:val="003D7786"/>
    <w:rsid w:val="003D7FC4"/>
    <w:rsid w:val="003E0354"/>
    <w:rsid w:val="003E08DC"/>
    <w:rsid w:val="003E184A"/>
    <w:rsid w:val="003E1887"/>
    <w:rsid w:val="003E18C9"/>
    <w:rsid w:val="003E19E2"/>
    <w:rsid w:val="003E2014"/>
    <w:rsid w:val="003E2538"/>
    <w:rsid w:val="003E278F"/>
    <w:rsid w:val="003E2E55"/>
    <w:rsid w:val="003E4296"/>
    <w:rsid w:val="003E43C8"/>
    <w:rsid w:val="003E4B5F"/>
    <w:rsid w:val="003E530F"/>
    <w:rsid w:val="003E5A33"/>
    <w:rsid w:val="003E6457"/>
    <w:rsid w:val="003E65FD"/>
    <w:rsid w:val="003E69CF"/>
    <w:rsid w:val="003E6BEE"/>
    <w:rsid w:val="003E6DA0"/>
    <w:rsid w:val="003E711F"/>
    <w:rsid w:val="003E72DA"/>
    <w:rsid w:val="003F0106"/>
    <w:rsid w:val="003F031C"/>
    <w:rsid w:val="003F0AF2"/>
    <w:rsid w:val="003F1622"/>
    <w:rsid w:val="003F1AA3"/>
    <w:rsid w:val="003F25EF"/>
    <w:rsid w:val="003F3000"/>
    <w:rsid w:val="003F3277"/>
    <w:rsid w:val="003F4C79"/>
    <w:rsid w:val="003F4E06"/>
    <w:rsid w:val="003F5322"/>
    <w:rsid w:val="003F5590"/>
    <w:rsid w:val="003F5E3F"/>
    <w:rsid w:val="003F5EB7"/>
    <w:rsid w:val="003F6496"/>
    <w:rsid w:val="003F67CB"/>
    <w:rsid w:val="003F759C"/>
    <w:rsid w:val="00401ABA"/>
    <w:rsid w:val="00401CD0"/>
    <w:rsid w:val="00402608"/>
    <w:rsid w:val="00403542"/>
    <w:rsid w:val="00403A15"/>
    <w:rsid w:val="00403FA5"/>
    <w:rsid w:val="0040544F"/>
    <w:rsid w:val="00405461"/>
    <w:rsid w:val="00405477"/>
    <w:rsid w:val="0040566B"/>
    <w:rsid w:val="004067F1"/>
    <w:rsid w:val="00406C6B"/>
    <w:rsid w:val="00406C91"/>
    <w:rsid w:val="00406ECC"/>
    <w:rsid w:val="004071F0"/>
    <w:rsid w:val="00407F34"/>
    <w:rsid w:val="004103EB"/>
    <w:rsid w:val="00410441"/>
    <w:rsid w:val="0041078F"/>
    <w:rsid w:val="00410B02"/>
    <w:rsid w:val="00410B78"/>
    <w:rsid w:val="0041102C"/>
    <w:rsid w:val="00411154"/>
    <w:rsid w:val="00412BDE"/>
    <w:rsid w:val="00413F84"/>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FD6"/>
    <w:rsid w:val="004410BC"/>
    <w:rsid w:val="00441164"/>
    <w:rsid w:val="004414D3"/>
    <w:rsid w:val="00441A6C"/>
    <w:rsid w:val="004420F9"/>
    <w:rsid w:val="00442DC9"/>
    <w:rsid w:val="004435D7"/>
    <w:rsid w:val="00443828"/>
    <w:rsid w:val="00443E2F"/>
    <w:rsid w:val="00444188"/>
    <w:rsid w:val="00444473"/>
    <w:rsid w:val="0044482D"/>
    <w:rsid w:val="00444927"/>
    <w:rsid w:val="00444FEA"/>
    <w:rsid w:val="004458AB"/>
    <w:rsid w:val="00445C9F"/>
    <w:rsid w:val="00446D10"/>
    <w:rsid w:val="00446D64"/>
    <w:rsid w:val="004475D5"/>
    <w:rsid w:val="004503A1"/>
    <w:rsid w:val="00450674"/>
    <w:rsid w:val="00451846"/>
    <w:rsid w:val="00451E7F"/>
    <w:rsid w:val="0045201A"/>
    <w:rsid w:val="004536EF"/>
    <w:rsid w:val="00453DB3"/>
    <w:rsid w:val="00454800"/>
    <w:rsid w:val="00454858"/>
    <w:rsid w:val="00454B8F"/>
    <w:rsid w:val="00454C20"/>
    <w:rsid w:val="00454F7D"/>
    <w:rsid w:val="004558FA"/>
    <w:rsid w:val="00455CAE"/>
    <w:rsid w:val="00455E9B"/>
    <w:rsid w:val="004566DC"/>
    <w:rsid w:val="00456D15"/>
    <w:rsid w:val="004578E3"/>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27F"/>
    <w:rsid w:val="00464FB8"/>
    <w:rsid w:val="004653AD"/>
    <w:rsid w:val="00465498"/>
    <w:rsid w:val="00465A3C"/>
    <w:rsid w:val="00465F55"/>
    <w:rsid w:val="0046615C"/>
    <w:rsid w:val="004665C7"/>
    <w:rsid w:val="00466742"/>
    <w:rsid w:val="00466AE4"/>
    <w:rsid w:val="0046756D"/>
    <w:rsid w:val="00467B68"/>
    <w:rsid w:val="00470883"/>
    <w:rsid w:val="00470A80"/>
    <w:rsid w:val="00471361"/>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F94"/>
    <w:rsid w:val="004836EF"/>
    <w:rsid w:val="004840B7"/>
    <w:rsid w:val="00484F5A"/>
    <w:rsid w:val="00485352"/>
    <w:rsid w:val="0048639E"/>
    <w:rsid w:val="004876C2"/>
    <w:rsid w:val="004878B6"/>
    <w:rsid w:val="00490831"/>
    <w:rsid w:val="00491095"/>
    <w:rsid w:val="004918B1"/>
    <w:rsid w:val="00491AA2"/>
    <w:rsid w:val="00492C56"/>
    <w:rsid w:val="00492E49"/>
    <w:rsid w:val="00492F1A"/>
    <w:rsid w:val="00493419"/>
    <w:rsid w:val="00493782"/>
    <w:rsid w:val="00493CF5"/>
    <w:rsid w:val="00493E2D"/>
    <w:rsid w:val="00494AD0"/>
    <w:rsid w:val="00494B2E"/>
    <w:rsid w:val="004952A2"/>
    <w:rsid w:val="0049590C"/>
    <w:rsid w:val="00495D9A"/>
    <w:rsid w:val="00496562"/>
    <w:rsid w:val="004966E0"/>
    <w:rsid w:val="00496B70"/>
    <w:rsid w:val="00497775"/>
    <w:rsid w:val="004A0ECC"/>
    <w:rsid w:val="004A1246"/>
    <w:rsid w:val="004A17D3"/>
    <w:rsid w:val="004A17FA"/>
    <w:rsid w:val="004A25D9"/>
    <w:rsid w:val="004A37BC"/>
    <w:rsid w:val="004A3F1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CEA"/>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FC0"/>
    <w:rsid w:val="004F05B8"/>
    <w:rsid w:val="004F1A7E"/>
    <w:rsid w:val="004F2CDA"/>
    <w:rsid w:val="004F2F35"/>
    <w:rsid w:val="004F3786"/>
    <w:rsid w:val="004F3BE6"/>
    <w:rsid w:val="004F3D20"/>
    <w:rsid w:val="004F4978"/>
    <w:rsid w:val="004F4CE3"/>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3797"/>
    <w:rsid w:val="0050398F"/>
    <w:rsid w:val="00503F6D"/>
    <w:rsid w:val="00505B35"/>
    <w:rsid w:val="005067EB"/>
    <w:rsid w:val="00506B64"/>
    <w:rsid w:val="005111E1"/>
    <w:rsid w:val="00511308"/>
    <w:rsid w:val="00511D96"/>
    <w:rsid w:val="0051227C"/>
    <w:rsid w:val="0051254F"/>
    <w:rsid w:val="005130A1"/>
    <w:rsid w:val="005132A5"/>
    <w:rsid w:val="00513E25"/>
    <w:rsid w:val="0051430B"/>
    <w:rsid w:val="005144B5"/>
    <w:rsid w:val="00514710"/>
    <w:rsid w:val="005162F1"/>
    <w:rsid w:val="00516603"/>
    <w:rsid w:val="0051788F"/>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625D"/>
    <w:rsid w:val="00536895"/>
    <w:rsid w:val="00536F59"/>
    <w:rsid w:val="00537507"/>
    <w:rsid w:val="00537A32"/>
    <w:rsid w:val="00537D1F"/>
    <w:rsid w:val="00537D7C"/>
    <w:rsid w:val="0054077E"/>
    <w:rsid w:val="00540889"/>
    <w:rsid w:val="00540997"/>
    <w:rsid w:val="00540FAC"/>
    <w:rsid w:val="005412F3"/>
    <w:rsid w:val="00541413"/>
    <w:rsid w:val="00542BA4"/>
    <w:rsid w:val="005431F0"/>
    <w:rsid w:val="005431FC"/>
    <w:rsid w:val="005434FF"/>
    <w:rsid w:val="00543D2C"/>
    <w:rsid w:val="00544329"/>
    <w:rsid w:val="00544453"/>
    <w:rsid w:val="005446AA"/>
    <w:rsid w:val="00545125"/>
    <w:rsid w:val="00545C3B"/>
    <w:rsid w:val="0054766B"/>
    <w:rsid w:val="005477A8"/>
    <w:rsid w:val="00547D87"/>
    <w:rsid w:val="005503D4"/>
    <w:rsid w:val="00550AA6"/>
    <w:rsid w:val="005516BD"/>
    <w:rsid w:val="00552061"/>
    <w:rsid w:val="005530E3"/>
    <w:rsid w:val="00553457"/>
    <w:rsid w:val="005539EC"/>
    <w:rsid w:val="00553A0B"/>
    <w:rsid w:val="00554607"/>
    <w:rsid w:val="00554627"/>
    <w:rsid w:val="005547FF"/>
    <w:rsid w:val="0055582F"/>
    <w:rsid w:val="00555E12"/>
    <w:rsid w:val="005560BF"/>
    <w:rsid w:val="005563C9"/>
    <w:rsid w:val="00556EFE"/>
    <w:rsid w:val="005574F9"/>
    <w:rsid w:val="0055764E"/>
    <w:rsid w:val="00557E4A"/>
    <w:rsid w:val="00560026"/>
    <w:rsid w:val="0056003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923"/>
    <w:rsid w:val="00574D59"/>
    <w:rsid w:val="00575C24"/>
    <w:rsid w:val="00576226"/>
    <w:rsid w:val="005762EA"/>
    <w:rsid w:val="005767AE"/>
    <w:rsid w:val="00576B97"/>
    <w:rsid w:val="00576FDE"/>
    <w:rsid w:val="00580390"/>
    <w:rsid w:val="005817B2"/>
    <w:rsid w:val="005819F7"/>
    <w:rsid w:val="00581C35"/>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2054"/>
    <w:rsid w:val="005B2607"/>
    <w:rsid w:val="005B26FD"/>
    <w:rsid w:val="005B2DE2"/>
    <w:rsid w:val="005B31CD"/>
    <w:rsid w:val="005B429E"/>
    <w:rsid w:val="005B44D0"/>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7A6"/>
    <w:rsid w:val="005F3CEA"/>
    <w:rsid w:val="005F4065"/>
    <w:rsid w:val="005F448F"/>
    <w:rsid w:val="005F46E8"/>
    <w:rsid w:val="005F4A97"/>
    <w:rsid w:val="005F4E85"/>
    <w:rsid w:val="005F4F56"/>
    <w:rsid w:val="005F537C"/>
    <w:rsid w:val="005F546F"/>
    <w:rsid w:val="005F5479"/>
    <w:rsid w:val="005F5B32"/>
    <w:rsid w:val="005F66DC"/>
    <w:rsid w:val="005F6754"/>
    <w:rsid w:val="005F731B"/>
    <w:rsid w:val="005F790D"/>
    <w:rsid w:val="00601229"/>
    <w:rsid w:val="006012B7"/>
    <w:rsid w:val="006013FB"/>
    <w:rsid w:val="00601CF8"/>
    <w:rsid w:val="00601F1A"/>
    <w:rsid w:val="0060212F"/>
    <w:rsid w:val="00602191"/>
    <w:rsid w:val="00602746"/>
    <w:rsid w:val="0060294C"/>
    <w:rsid w:val="00603073"/>
    <w:rsid w:val="0060307F"/>
    <w:rsid w:val="00603128"/>
    <w:rsid w:val="006033B0"/>
    <w:rsid w:val="006036E2"/>
    <w:rsid w:val="006037C5"/>
    <w:rsid w:val="00604F87"/>
    <w:rsid w:val="006052B9"/>
    <w:rsid w:val="00605607"/>
    <w:rsid w:val="00605A16"/>
    <w:rsid w:val="00605E4D"/>
    <w:rsid w:val="00606458"/>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99E"/>
    <w:rsid w:val="00617CDA"/>
    <w:rsid w:val="00617D13"/>
    <w:rsid w:val="006204D9"/>
    <w:rsid w:val="006205AD"/>
    <w:rsid w:val="00620B83"/>
    <w:rsid w:val="00620D60"/>
    <w:rsid w:val="00621934"/>
    <w:rsid w:val="00622007"/>
    <w:rsid w:val="006220CD"/>
    <w:rsid w:val="00623D94"/>
    <w:rsid w:val="00623F1D"/>
    <w:rsid w:val="00624174"/>
    <w:rsid w:val="00624D93"/>
    <w:rsid w:val="00625248"/>
    <w:rsid w:val="006254B1"/>
    <w:rsid w:val="00625577"/>
    <w:rsid w:val="00630007"/>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6006"/>
    <w:rsid w:val="00646600"/>
    <w:rsid w:val="006469A2"/>
    <w:rsid w:val="00646AB8"/>
    <w:rsid w:val="00646D0D"/>
    <w:rsid w:val="006471F9"/>
    <w:rsid w:val="0064782E"/>
    <w:rsid w:val="006507E9"/>
    <w:rsid w:val="00650822"/>
    <w:rsid w:val="00650A98"/>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141F"/>
    <w:rsid w:val="00661B9D"/>
    <w:rsid w:val="00662356"/>
    <w:rsid w:val="00662E8A"/>
    <w:rsid w:val="0066303D"/>
    <w:rsid w:val="00663040"/>
    <w:rsid w:val="00663136"/>
    <w:rsid w:val="00663BB8"/>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8F4"/>
    <w:rsid w:val="00673BEE"/>
    <w:rsid w:val="006740EF"/>
    <w:rsid w:val="006746D0"/>
    <w:rsid w:val="00675115"/>
    <w:rsid w:val="006756AB"/>
    <w:rsid w:val="00675FA0"/>
    <w:rsid w:val="006773C2"/>
    <w:rsid w:val="00677B79"/>
    <w:rsid w:val="00677FAC"/>
    <w:rsid w:val="0068036D"/>
    <w:rsid w:val="00680B1F"/>
    <w:rsid w:val="00680E20"/>
    <w:rsid w:val="00681D97"/>
    <w:rsid w:val="00681F24"/>
    <w:rsid w:val="0068236C"/>
    <w:rsid w:val="006826D6"/>
    <w:rsid w:val="00682E7A"/>
    <w:rsid w:val="00682F49"/>
    <w:rsid w:val="006831B5"/>
    <w:rsid w:val="006838FF"/>
    <w:rsid w:val="00683FCA"/>
    <w:rsid w:val="006840C7"/>
    <w:rsid w:val="0068441B"/>
    <w:rsid w:val="0068476F"/>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4D4"/>
    <w:rsid w:val="006F39CD"/>
    <w:rsid w:val="006F3DAA"/>
    <w:rsid w:val="006F3E73"/>
    <w:rsid w:val="006F4017"/>
    <w:rsid w:val="006F4C1E"/>
    <w:rsid w:val="006F7DDF"/>
    <w:rsid w:val="00700123"/>
    <w:rsid w:val="007004A0"/>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104DD"/>
    <w:rsid w:val="0071089D"/>
    <w:rsid w:val="00711196"/>
    <w:rsid w:val="00711B3F"/>
    <w:rsid w:val="007121B4"/>
    <w:rsid w:val="00712886"/>
    <w:rsid w:val="0071337F"/>
    <w:rsid w:val="00714306"/>
    <w:rsid w:val="007150D4"/>
    <w:rsid w:val="00717B75"/>
    <w:rsid w:val="00717ECB"/>
    <w:rsid w:val="00717FE8"/>
    <w:rsid w:val="007203E3"/>
    <w:rsid w:val="00720C72"/>
    <w:rsid w:val="0072133A"/>
    <w:rsid w:val="007213E4"/>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C2D"/>
    <w:rsid w:val="00736137"/>
    <w:rsid w:val="00736733"/>
    <w:rsid w:val="007369A5"/>
    <w:rsid w:val="00736BB2"/>
    <w:rsid w:val="007371A6"/>
    <w:rsid w:val="00737221"/>
    <w:rsid w:val="00737264"/>
    <w:rsid w:val="007375D8"/>
    <w:rsid w:val="0073782C"/>
    <w:rsid w:val="007378B7"/>
    <w:rsid w:val="00737BA6"/>
    <w:rsid w:val="0074044B"/>
    <w:rsid w:val="007409B2"/>
    <w:rsid w:val="00741510"/>
    <w:rsid w:val="00742935"/>
    <w:rsid w:val="00743871"/>
    <w:rsid w:val="00743ADC"/>
    <w:rsid w:val="00743EB0"/>
    <w:rsid w:val="007442D2"/>
    <w:rsid w:val="00744416"/>
    <w:rsid w:val="00744493"/>
    <w:rsid w:val="00744C97"/>
    <w:rsid w:val="00745849"/>
    <w:rsid w:val="00745907"/>
    <w:rsid w:val="007462EC"/>
    <w:rsid w:val="00746589"/>
    <w:rsid w:val="0074663B"/>
    <w:rsid w:val="00746FCF"/>
    <w:rsid w:val="00747547"/>
    <w:rsid w:val="0075090A"/>
    <w:rsid w:val="00750B94"/>
    <w:rsid w:val="00751195"/>
    <w:rsid w:val="007522AF"/>
    <w:rsid w:val="00752B81"/>
    <w:rsid w:val="007533C9"/>
    <w:rsid w:val="007539CB"/>
    <w:rsid w:val="007544A9"/>
    <w:rsid w:val="00754A8C"/>
    <w:rsid w:val="007550AB"/>
    <w:rsid w:val="00755D9A"/>
    <w:rsid w:val="00756934"/>
    <w:rsid w:val="00756B31"/>
    <w:rsid w:val="00757425"/>
    <w:rsid w:val="00760417"/>
    <w:rsid w:val="00761147"/>
    <w:rsid w:val="007619B5"/>
    <w:rsid w:val="00761AC8"/>
    <w:rsid w:val="0076206F"/>
    <w:rsid w:val="00762CF0"/>
    <w:rsid w:val="007632E0"/>
    <w:rsid w:val="00764453"/>
    <w:rsid w:val="00764801"/>
    <w:rsid w:val="00764C4A"/>
    <w:rsid w:val="00764FFA"/>
    <w:rsid w:val="0076515D"/>
    <w:rsid w:val="0076519D"/>
    <w:rsid w:val="007655FA"/>
    <w:rsid w:val="007658E5"/>
    <w:rsid w:val="00765AA7"/>
    <w:rsid w:val="00766001"/>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D18"/>
    <w:rsid w:val="0078233F"/>
    <w:rsid w:val="00782A0A"/>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49F"/>
    <w:rsid w:val="007906CA"/>
    <w:rsid w:val="00791503"/>
    <w:rsid w:val="0079255B"/>
    <w:rsid w:val="007934D4"/>
    <w:rsid w:val="007939BD"/>
    <w:rsid w:val="00793C16"/>
    <w:rsid w:val="00793FBD"/>
    <w:rsid w:val="00795610"/>
    <w:rsid w:val="00795792"/>
    <w:rsid w:val="00795B14"/>
    <w:rsid w:val="00796619"/>
    <w:rsid w:val="00796985"/>
    <w:rsid w:val="00796AC3"/>
    <w:rsid w:val="00796C5E"/>
    <w:rsid w:val="0079775B"/>
    <w:rsid w:val="007A0692"/>
    <w:rsid w:val="007A0B62"/>
    <w:rsid w:val="007A11B0"/>
    <w:rsid w:val="007A1236"/>
    <w:rsid w:val="007A1D32"/>
    <w:rsid w:val="007A1FF1"/>
    <w:rsid w:val="007A21A0"/>
    <w:rsid w:val="007A2445"/>
    <w:rsid w:val="007A2A69"/>
    <w:rsid w:val="007A2A6F"/>
    <w:rsid w:val="007A3827"/>
    <w:rsid w:val="007A39D3"/>
    <w:rsid w:val="007A3BDD"/>
    <w:rsid w:val="007A3E4D"/>
    <w:rsid w:val="007A4506"/>
    <w:rsid w:val="007A4A78"/>
    <w:rsid w:val="007A4F19"/>
    <w:rsid w:val="007A57AE"/>
    <w:rsid w:val="007A66E6"/>
    <w:rsid w:val="007A6E20"/>
    <w:rsid w:val="007A73DA"/>
    <w:rsid w:val="007A74B2"/>
    <w:rsid w:val="007A7B8C"/>
    <w:rsid w:val="007B07C4"/>
    <w:rsid w:val="007B0B94"/>
    <w:rsid w:val="007B11EC"/>
    <w:rsid w:val="007B1F57"/>
    <w:rsid w:val="007B1FE7"/>
    <w:rsid w:val="007B4597"/>
    <w:rsid w:val="007B47A0"/>
    <w:rsid w:val="007B5174"/>
    <w:rsid w:val="007B5336"/>
    <w:rsid w:val="007B55C5"/>
    <w:rsid w:val="007B57D2"/>
    <w:rsid w:val="007B5912"/>
    <w:rsid w:val="007B5E43"/>
    <w:rsid w:val="007B61F9"/>
    <w:rsid w:val="007B6F00"/>
    <w:rsid w:val="007B70FB"/>
    <w:rsid w:val="007B74DB"/>
    <w:rsid w:val="007B75D7"/>
    <w:rsid w:val="007C0482"/>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40F5"/>
    <w:rsid w:val="007D45BD"/>
    <w:rsid w:val="007D46D8"/>
    <w:rsid w:val="007D4892"/>
    <w:rsid w:val="007D48E9"/>
    <w:rsid w:val="007D53CB"/>
    <w:rsid w:val="007D5857"/>
    <w:rsid w:val="007D6F86"/>
    <w:rsid w:val="007D72EB"/>
    <w:rsid w:val="007D7FC2"/>
    <w:rsid w:val="007E02D7"/>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CB1"/>
    <w:rsid w:val="008025D9"/>
    <w:rsid w:val="00802AA7"/>
    <w:rsid w:val="00802B6F"/>
    <w:rsid w:val="00802C00"/>
    <w:rsid w:val="00803ACE"/>
    <w:rsid w:val="00803B8E"/>
    <w:rsid w:val="00805B99"/>
    <w:rsid w:val="00806E16"/>
    <w:rsid w:val="00806E9B"/>
    <w:rsid w:val="00807090"/>
    <w:rsid w:val="00807926"/>
    <w:rsid w:val="00807A15"/>
    <w:rsid w:val="00807AB5"/>
    <w:rsid w:val="00807C32"/>
    <w:rsid w:val="008100A2"/>
    <w:rsid w:val="00810357"/>
    <w:rsid w:val="008107F5"/>
    <w:rsid w:val="00810E30"/>
    <w:rsid w:val="00810ED7"/>
    <w:rsid w:val="00810F33"/>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5459"/>
    <w:rsid w:val="0083553C"/>
    <w:rsid w:val="008374E1"/>
    <w:rsid w:val="00837C92"/>
    <w:rsid w:val="00837F0F"/>
    <w:rsid w:val="00837FA4"/>
    <w:rsid w:val="008414CC"/>
    <w:rsid w:val="008416E5"/>
    <w:rsid w:val="0084210C"/>
    <w:rsid w:val="008423BD"/>
    <w:rsid w:val="00842BBA"/>
    <w:rsid w:val="00842D41"/>
    <w:rsid w:val="00843029"/>
    <w:rsid w:val="00843420"/>
    <w:rsid w:val="00843B5D"/>
    <w:rsid w:val="008447D4"/>
    <w:rsid w:val="0084506C"/>
    <w:rsid w:val="008454BD"/>
    <w:rsid w:val="00845A22"/>
    <w:rsid w:val="00845A8E"/>
    <w:rsid w:val="00845FB3"/>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E53"/>
    <w:rsid w:val="008620B5"/>
    <w:rsid w:val="008622D3"/>
    <w:rsid w:val="0086268A"/>
    <w:rsid w:val="0086375F"/>
    <w:rsid w:val="008639A2"/>
    <w:rsid w:val="00863BBB"/>
    <w:rsid w:val="008640FD"/>
    <w:rsid w:val="0086426C"/>
    <w:rsid w:val="008653D4"/>
    <w:rsid w:val="0086564F"/>
    <w:rsid w:val="00865681"/>
    <w:rsid w:val="00866618"/>
    <w:rsid w:val="0086709E"/>
    <w:rsid w:val="00867B6B"/>
    <w:rsid w:val="00867CDA"/>
    <w:rsid w:val="00870A79"/>
    <w:rsid w:val="00870AFC"/>
    <w:rsid w:val="008715CC"/>
    <w:rsid w:val="00872589"/>
    <w:rsid w:val="00872770"/>
    <w:rsid w:val="008736AF"/>
    <w:rsid w:val="00873754"/>
    <w:rsid w:val="00874394"/>
    <w:rsid w:val="008752FC"/>
    <w:rsid w:val="00875FA4"/>
    <w:rsid w:val="008763B9"/>
    <w:rsid w:val="008763C8"/>
    <w:rsid w:val="008766C0"/>
    <w:rsid w:val="0087749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B3F"/>
    <w:rsid w:val="00884491"/>
    <w:rsid w:val="00884DE2"/>
    <w:rsid w:val="008851BE"/>
    <w:rsid w:val="008852F8"/>
    <w:rsid w:val="00885538"/>
    <w:rsid w:val="00886188"/>
    <w:rsid w:val="00886C33"/>
    <w:rsid w:val="00887063"/>
    <w:rsid w:val="00887F1B"/>
    <w:rsid w:val="008900CF"/>
    <w:rsid w:val="00891A88"/>
    <w:rsid w:val="00891C0B"/>
    <w:rsid w:val="00892153"/>
    <w:rsid w:val="008922CF"/>
    <w:rsid w:val="008923D1"/>
    <w:rsid w:val="008925B9"/>
    <w:rsid w:val="00892C63"/>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A25"/>
    <w:rsid w:val="008A6CE6"/>
    <w:rsid w:val="008A6D28"/>
    <w:rsid w:val="008B069A"/>
    <w:rsid w:val="008B07AF"/>
    <w:rsid w:val="008B091D"/>
    <w:rsid w:val="008B0BA7"/>
    <w:rsid w:val="008B1DF8"/>
    <w:rsid w:val="008B1E06"/>
    <w:rsid w:val="008B20A4"/>
    <w:rsid w:val="008B2BD9"/>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591"/>
    <w:rsid w:val="008C35DB"/>
    <w:rsid w:val="008C3A88"/>
    <w:rsid w:val="008C3AC1"/>
    <w:rsid w:val="008C4B69"/>
    <w:rsid w:val="008C4EB8"/>
    <w:rsid w:val="008C61B0"/>
    <w:rsid w:val="008C6FD3"/>
    <w:rsid w:val="008C70EB"/>
    <w:rsid w:val="008C7FA7"/>
    <w:rsid w:val="008D057C"/>
    <w:rsid w:val="008D1545"/>
    <w:rsid w:val="008D155D"/>
    <w:rsid w:val="008D15E6"/>
    <w:rsid w:val="008D1AED"/>
    <w:rsid w:val="008D1C9A"/>
    <w:rsid w:val="008D229E"/>
    <w:rsid w:val="008D24C5"/>
    <w:rsid w:val="008D35A9"/>
    <w:rsid w:val="008D36D2"/>
    <w:rsid w:val="008D3FE4"/>
    <w:rsid w:val="008D415F"/>
    <w:rsid w:val="008D5506"/>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206"/>
    <w:rsid w:val="00905456"/>
    <w:rsid w:val="0090621C"/>
    <w:rsid w:val="00906618"/>
    <w:rsid w:val="00906C4A"/>
    <w:rsid w:val="0090736C"/>
    <w:rsid w:val="00910451"/>
    <w:rsid w:val="00910629"/>
    <w:rsid w:val="0091071F"/>
    <w:rsid w:val="00910866"/>
    <w:rsid w:val="009110AD"/>
    <w:rsid w:val="009111CC"/>
    <w:rsid w:val="009114FF"/>
    <w:rsid w:val="00911A79"/>
    <w:rsid w:val="00911C55"/>
    <w:rsid w:val="00911D8B"/>
    <w:rsid w:val="00912025"/>
    <w:rsid w:val="009127CC"/>
    <w:rsid w:val="00913C0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160"/>
    <w:rsid w:val="00945401"/>
    <w:rsid w:val="009459F4"/>
    <w:rsid w:val="00945ABE"/>
    <w:rsid w:val="00945E58"/>
    <w:rsid w:val="00946127"/>
    <w:rsid w:val="00946907"/>
    <w:rsid w:val="00946DB0"/>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E96"/>
    <w:rsid w:val="00960F7E"/>
    <w:rsid w:val="009611A5"/>
    <w:rsid w:val="0096193B"/>
    <w:rsid w:val="00961C02"/>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A77"/>
    <w:rsid w:val="00970EF9"/>
    <w:rsid w:val="00971145"/>
    <w:rsid w:val="00971831"/>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84A"/>
    <w:rsid w:val="00982C0D"/>
    <w:rsid w:val="00983D98"/>
    <w:rsid w:val="009844B4"/>
    <w:rsid w:val="0098453B"/>
    <w:rsid w:val="00984D82"/>
    <w:rsid w:val="00984EC5"/>
    <w:rsid w:val="0098572B"/>
    <w:rsid w:val="00985CDA"/>
    <w:rsid w:val="00985E82"/>
    <w:rsid w:val="0098603A"/>
    <w:rsid w:val="00986137"/>
    <w:rsid w:val="00986339"/>
    <w:rsid w:val="00986B96"/>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78A6"/>
    <w:rsid w:val="009B01AE"/>
    <w:rsid w:val="009B04F2"/>
    <w:rsid w:val="009B0763"/>
    <w:rsid w:val="009B0A43"/>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9B0"/>
    <w:rsid w:val="009C0B86"/>
    <w:rsid w:val="009C1219"/>
    <w:rsid w:val="009C1470"/>
    <w:rsid w:val="009C19F1"/>
    <w:rsid w:val="009C1ADB"/>
    <w:rsid w:val="009C37BF"/>
    <w:rsid w:val="009C398A"/>
    <w:rsid w:val="009C40BF"/>
    <w:rsid w:val="009C4676"/>
    <w:rsid w:val="009C5C27"/>
    <w:rsid w:val="009C5FC3"/>
    <w:rsid w:val="009C60E9"/>
    <w:rsid w:val="009C61F4"/>
    <w:rsid w:val="009C6629"/>
    <w:rsid w:val="009C6CE8"/>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7067"/>
    <w:rsid w:val="009D70A2"/>
    <w:rsid w:val="009D7410"/>
    <w:rsid w:val="009D7601"/>
    <w:rsid w:val="009D7622"/>
    <w:rsid w:val="009E05A2"/>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024"/>
    <w:rsid w:val="009F012F"/>
    <w:rsid w:val="009F05AC"/>
    <w:rsid w:val="009F086C"/>
    <w:rsid w:val="009F0971"/>
    <w:rsid w:val="009F1443"/>
    <w:rsid w:val="009F1778"/>
    <w:rsid w:val="009F1EEE"/>
    <w:rsid w:val="009F236B"/>
    <w:rsid w:val="009F239C"/>
    <w:rsid w:val="009F2B35"/>
    <w:rsid w:val="009F2E88"/>
    <w:rsid w:val="009F4220"/>
    <w:rsid w:val="009F4825"/>
    <w:rsid w:val="009F49FF"/>
    <w:rsid w:val="009F52E0"/>
    <w:rsid w:val="009F5CE6"/>
    <w:rsid w:val="009F60E0"/>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80E"/>
    <w:rsid w:val="00A04844"/>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EAB"/>
    <w:rsid w:val="00A1423C"/>
    <w:rsid w:val="00A15AB8"/>
    <w:rsid w:val="00A162DF"/>
    <w:rsid w:val="00A16324"/>
    <w:rsid w:val="00A16DCB"/>
    <w:rsid w:val="00A17013"/>
    <w:rsid w:val="00A17AF1"/>
    <w:rsid w:val="00A17B4D"/>
    <w:rsid w:val="00A17B91"/>
    <w:rsid w:val="00A20220"/>
    <w:rsid w:val="00A20CAE"/>
    <w:rsid w:val="00A21A7C"/>
    <w:rsid w:val="00A21C7C"/>
    <w:rsid w:val="00A23269"/>
    <w:rsid w:val="00A23F95"/>
    <w:rsid w:val="00A25E6E"/>
    <w:rsid w:val="00A2610D"/>
    <w:rsid w:val="00A26462"/>
    <w:rsid w:val="00A26700"/>
    <w:rsid w:val="00A26A0F"/>
    <w:rsid w:val="00A26B21"/>
    <w:rsid w:val="00A274E2"/>
    <w:rsid w:val="00A27727"/>
    <w:rsid w:val="00A27F30"/>
    <w:rsid w:val="00A30562"/>
    <w:rsid w:val="00A30B97"/>
    <w:rsid w:val="00A31193"/>
    <w:rsid w:val="00A312AD"/>
    <w:rsid w:val="00A312FC"/>
    <w:rsid w:val="00A31909"/>
    <w:rsid w:val="00A31A9F"/>
    <w:rsid w:val="00A31F9A"/>
    <w:rsid w:val="00A32237"/>
    <w:rsid w:val="00A3288D"/>
    <w:rsid w:val="00A3307A"/>
    <w:rsid w:val="00A33115"/>
    <w:rsid w:val="00A34BDA"/>
    <w:rsid w:val="00A358DC"/>
    <w:rsid w:val="00A362FE"/>
    <w:rsid w:val="00A36969"/>
    <w:rsid w:val="00A36979"/>
    <w:rsid w:val="00A36BED"/>
    <w:rsid w:val="00A37640"/>
    <w:rsid w:val="00A37789"/>
    <w:rsid w:val="00A37B75"/>
    <w:rsid w:val="00A40079"/>
    <w:rsid w:val="00A40C15"/>
    <w:rsid w:val="00A4164A"/>
    <w:rsid w:val="00A41C3D"/>
    <w:rsid w:val="00A41F2E"/>
    <w:rsid w:val="00A4271C"/>
    <w:rsid w:val="00A42822"/>
    <w:rsid w:val="00A42BB2"/>
    <w:rsid w:val="00A432A0"/>
    <w:rsid w:val="00A4354B"/>
    <w:rsid w:val="00A43BFD"/>
    <w:rsid w:val="00A43F0A"/>
    <w:rsid w:val="00A43FF9"/>
    <w:rsid w:val="00A44220"/>
    <w:rsid w:val="00A452DB"/>
    <w:rsid w:val="00A465E9"/>
    <w:rsid w:val="00A46A4B"/>
    <w:rsid w:val="00A4752A"/>
    <w:rsid w:val="00A47774"/>
    <w:rsid w:val="00A47BC1"/>
    <w:rsid w:val="00A47D25"/>
    <w:rsid w:val="00A50899"/>
    <w:rsid w:val="00A50F8C"/>
    <w:rsid w:val="00A510CD"/>
    <w:rsid w:val="00A512A2"/>
    <w:rsid w:val="00A5216F"/>
    <w:rsid w:val="00A52254"/>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C3A"/>
    <w:rsid w:val="00A60DBD"/>
    <w:rsid w:val="00A6124D"/>
    <w:rsid w:val="00A62199"/>
    <w:rsid w:val="00A621B7"/>
    <w:rsid w:val="00A625C3"/>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3655"/>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D2E"/>
    <w:rsid w:val="00A90F25"/>
    <w:rsid w:val="00A912E7"/>
    <w:rsid w:val="00A91A2C"/>
    <w:rsid w:val="00A91BBD"/>
    <w:rsid w:val="00A91E97"/>
    <w:rsid w:val="00A92BCF"/>
    <w:rsid w:val="00A93095"/>
    <w:rsid w:val="00A93A32"/>
    <w:rsid w:val="00A93E6F"/>
    <w:rsid w:val="00A95F06"/>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774"/>
    <w:rsid w:val="00AC5C6A"/>
    <w:rsid w:val="00AC5EA2"/>
    <w:rsid w:val="00AC60DA"/>
    <w:rsid w:val="00AC65AF"/>
    <w:rsid w:val="00AC7052"/>
    <w:rsid w:val="00AC739C"/>
    <w:rsid w:val="00AC7672"/>
    <w:rsid w:val="00AC7703"/>
    <w:rsid w:val="00AC7E57"/>
    <w:rsid w:val="00AD0558"/>
    <w:rsid w:val="00AD0C0E"/>
    <w:rsid w:val="00AD10E5"/>
    <w:rsid w:val="00AD150C"/>
    <w:rsid w:val="00AD1FF4"/>
    <w:rsid w:val="00AD23CC"/>
    <w:rsid w:val="00AD31EC"/>
    <w:rsid w:val="00AD35A4"/>
    <w:rsid w:val="00AD37F0"/>
    <w:rsid w:val="00AD3C2A"/>
    <w:rsid w:val="00AD3E6B"/>
    <w:rsid w:val="00AD4379"/>
    <w:rsid w:val="00AD5D9A"/>
    <w:rsid w:val="00AD6676"/>
    <w:rsid w:val="00AD6769"/>
    <w:rsid w:val="00AD6833"/>
    <w:rsid w:val="00AD715B"/>
    <w:rsid w:val="00AD77FA"/>
    <w:rsid w:val="00AE11DC"/>
    <w:rsid w:val="00AE1923"/>
    <w:rsid w:val="00AE1D4C"/>
    <w:rsid w:val="00AE252A"/>
    <w:rsid w:val="00AE35BF"/>
    <w:rsid w:val="00AE4207"/>
    <w:rsid w:val="00AE486A"/>
    <w:rsid w:val="00AE48A4"/>
    <w:rsid w:val="00AE4C70"/>
    <w:rsid w:val="00AE4F38"/>
    <w:rsid w:val="00AE507F"/>
    <w:rsid w:val="00AE5458"/>
    <w:rsid w:val="00AE6873"/>
    <w:rsid w:val="00AE6D21"/>
    <w:rsid w:val="00AE78CF"/>
    <w:rsid w:val="00AE7F9B"/>
    <w:rsid w:val="00AF0F7F"/>
    <w:rsid w:val="00AF1DE2"/>
    <w:rsid w:val="00AF24F2"/>
    <w:rsid w:val="00AF2806"/>
    <w:rsid w:val="00AF3BDB"/>
    <w:rsid w:val="00AF406C"/>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43FA"/>
    <w:rsid w:val="00B04C10"/>
    <w:rsid w:val="00B05579"/>
    <w:rsid w:val="00B0575B"/>
    <w:rsid w:val="00B0588C"/>
    <w:rsid w:val="00B05A7F"/>
    <w:rsid w:val="00B068E4"/>
    <w:rsid w:val="00B068FF"/>
    <w:rsid w:val="00B1114A"/>
    <w:rsid w:val="00B115ED"/>
    <w:rsid w:val="00B117CB"/>
    <w:rsid w:val="00B117D7"/>
    <w:rsid w:val="00B12732"/>
    <w:rsid w:val="00B13785"/>
    <w:rsid w:val="00B13B8E"/>
    <w:rsid w:val="00B142E0"/>
    <w:rsid w:val="00B15237"/>
    <w:rsid w:val="00B16610"/>
    <w:rsid w:val="00B16817"/>
    <w:rsid w:val="00B20497"/>
    <w:rsid w:val="00B2128C"/>
    <w:rsid w:val="00B21406"/>
    <w:rsid w:val="00B2238D"/>
    <w:rsid w:val="00B229A1"/>
    <w:rsid w:val="00B231BC"/>
    <w:rsid w:val="00B23573"/>
    <w:rsid w:val="00B23ABE"/>
    <w:rsid w:val="00B23B67"/>
    <w:rsid w:val="00B24B78"/>
    <w:rsid w:val="00B24C03"/>
    <w:rsid w:val="00B26797"/>
    <w:rsid w:val="00B26C98"/>
    <w:rsid w:val="00B26E4F"/>
    <w:rsid w:val="00B271E8"/>
    <w:rsid w:val="00B27548"/>
    <w:rsid w:val="00B275D8"/>
    <w:rsid w:val="00B27C62"/>
    <w:rsid w:val="00B30589"/>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72E3"/>
    <w:rsid w:val="00B4762E"/>
    <w:rsid w:val="00B507E3"/>
    <w:rsid w:val="00B512C2"/>
    <w:rsid w:val="00B5139C"/>
    <w:rsid w:val="00B51D8B"/>
    <w:rsid w:val="00B52EAD"/>
    <w:rsid w:val="00B52F36"/>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EAD"/>
    <w:rsid w:val="00B674BE"/>
    <w:rsid w:val="00B67A5D"/>
    <w:rsid w:val="00B67BF5"/>
    <w:rsid w:val="00B70240"/>
    <w:rsid w:val="00B706E0"/>
    <w:rsid w:val="00B70E68"/>
    <w:rsid w:val="00B7115C"/>
    <w:rsid w:val="00B71267"/>
    <w:rsid w:val="00B71802"/>
    <w:rsid w:val="00B71BEA"/>
    <w:rsid w:val="00B71D0E"/>
    <w:rsid w:val="00B71D57"/>
    <w:rsid w:val="00B72616"/>
    <w:rsid w:val="00B727C3"/>
    <w:rsid w:val="00B7351F"/>
    <w:rsid w:val="00B743DF"/>
    <w:rsid w:val="00B74B6F"/>
    <w:rsid w:val="00B74BD5"/>
    <w:rsid w:val="00B752A3"/>
    <w:rsid w:val="00B75640"/>
    <w:rsid w:val="00B75690"/>
    <w:rsid w:val="00B75BF1"/>
    <w:rsid w:val="00B76E86"/>
    <w:rsid w:val="00B77355"/>
    <w:rsid w:val="00B779BE"/>
    <w:rsid w:val="00B77E94"/>
    <w:rsid w:val="00B77EC0"/>
    <w:rsid w:val="00B80321"/>
    <w:rsid w:val="00B81895"/>
    <w:rsid w:val="00B83B02"/>
    <w:rsid w:val="00B8562C"/>
    <w:rsid w:val="00B862F5"/>
    <w:rsid w:val="00B863E7"/>
    <w:rsid w:val="00B86E3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E02"/>
    <w:rsid w:val="00BA1FE9"/>
    <w:rsid w:val="00BA217B"/>
    <w:rsid w:val="00BA2898"/>
    <w:rsid w:val="00BA2A85"/>
    <w:rsid w:val="00BA4525"/>
    <w:rsid w:val="00BA4BFB"/>
    <w:rsid w:val="00BA51F6"/>
    <w:rsid w:val="00BA5B47"/>
    <w:rsid w:val="00BA5D22"/>
    <w:rsid w:val="00BA5ED6"/>
    <w:rsid w:val="00BA5FEB"/>
    <w:rsid w:val="00BA63C4"/>
    <w:rsid w:val="00BA648B"/>
    <w:rsid w:val="00BA65B4"/>
    <w:rsid w:val="00BA6818"/>
    <w:rsid w:val="00BA6F75"/>
    <w:rsid w:val="00BA77DE"/>
    <w:rsid w:val="00BA782E"/>
    <w:rsid w:val="00BA7A25"/>
    <w:rsid w:val="00BA7AFF"/>
    <w:rsid w:val="00BB04EB"/>
    <w:rsid w:val="00BB05F4"/>
    <w:rsid w:val="00BB0630"/>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1C3"/>
    <w:rsid w:val="00BC13E1"/>
    <w:rsid w:val="00BC23C0"/>
    <w:rsid w:val="00BC265E"/>
    <w:rsid w:val="00BC2978"/>
    <w:rsid w:val="00BC2C40"/>
    <w:rsid w:val="00BC2C7A"/>
    <w:rsid w:val="00BC3288"/>
    <w:rsid w:val="00BC3563"/>
    <w:rsid w:val="00BC3677"/>
    <w:rsid w:val="00BC6794"/>
    <w:rsid w:val="00BC730B"/>
    <w:rsid w:val="00BC7AB1"/>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4E9"/>
    <w:rsid w:val="00BE2D0C"/>
    <w:rsid w:val="00BE2F05"/>
    <w:rsid w:val="00BE35F6"/>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1740"/>
    <w:rsid w:val="00BF175C"/>
    <w:rsid w:val="00BF1BFC"/>
    <w:rsid w:val="00BF2184"/>
    <w:rsid w:val="00BF2F85"/>
    <w:rsid w:val="00BF35E4"/>
    <w:rsid w:val="00BF381C"/>
    <w:rsid w:val="00BF3B26"/>
    <w:rsid w:val="00BF4733"/>
    <w:rsid w:val="00BF498B"/>
    <w:rsid w:val="00BF4E26"/>
    <w:rsid w:val="00BF4EB8"/>
    <w:rsid w:val="00BF5D42"/>
    <w:rsid w:val="00BF6690"/>
    <w:rsid w:val="00BF75F5"/>
    <w:rsid w:val="00BF7E99"/>
    <w:rsid w:val="00C002F0"/>
    <w:rsid w:val="00C00469"/>
    <w:rsid w:val="00C0047B"/>
    <w:rsid w:val="00C0103D"/>
    <w:rsid w:val="00C010FA"/>
    <w:rsid w:val="00C01BB0"/>
    <w:rsid w:val="00C03FC3"/>
    <w:rsid w:val="00C042FB"/>
    <w:rsid w:val="00C05075"/>
    <w:rsid w:val="00C053B6"/>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E65"/>
    <w:rsid w:val="00C240D2"/>
    <w:rsid w:val="00C24886"/>
    <w:rsid w:val="00C24A19"/>
    <w:rsid w:val="00C24A20"/>
    <w:rsid w:val="00C25770"/>
    <w:rsid w:val="00C2607D"/>
    <w:rsid w:val="00C2636E"/>
    <w:rsid w:val="00C268C6"/>
    <w:rsid w:val="00C27F83"/>
    <w:rsid w:val="00C3055A"/>
    <w:rsid w:val="00C3074B"/>
    <w:rsid w:val="00C30904"/>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FA"/>
    <w:rsid w:val="00C670B9"/>
    <w:rsid w:val="00C6779C"/>
    <w:rsid w:val="00C67BA4"/>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24A"/>
    <w:rsid w:val="00C776FD"/>
    <w:rsid w:val="00C80033"/>
    <w:rsid w:val="00C8020F"/>
    <w:rsid w:val="00C804E2"/>
    <w:rsid w:val="00C811C0"/>
    <w:rsid w:val="00C81555"/>
    <w:rsid w:val="00C81842"/>
    <w:rsid w:val="00C8225E"/>
    <w:rsid w:val="00C8345E"/>
    <w:rsid w:val="00C83948"/>
    <w:rsid w:val="00C83FC0"/>
    <w:rsid w:val="00C84351"/>
    <w:rsid w:val="00C845DF"/>
    <w:rsid w:val="00C848BA"/>
    <w:rsid w:val="00C84F98"/>
    <w:rsid w:val="00C852CD"/>
    <w:rsid w:val="00C85392"/>
    <w:rsid w:val="00C85810"/>
    <w:rsid w:val="00C85A6D"/>
    <w:rsid w:val="00C85C14"/>
    <w:rsid w:val="00C863E3"/>
    <w:rsid w:val="00C867A0"/>
    <w:rsid w:val="00C86A07"/>
    <w:rsid w:val="00C871C2"/>
    <w:rsid w:val="00C8799A"/>
    <w:rsid w:val="00C87CEA"/>
    <w:rsid w:val="00C90209"/>
    <w:rsid w:val="00C903B9"/>
    <w:rsid w:val="00C9086C"/>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E6A"/>
    <w:rsid w:val="00CA301A"/>
    <w:rsid w:val="00CA3970"/>
    <w:rsid w:val="00CA3981"/>
    <w:rsid w:val="00CA3BBD"/>
    <w:rsid w:val="00CA46A4"/>
    <w:rsid w:val="00CA476E"/>
    <w:rsid w:val="00CA4B8E"/>
    <w:rsid w:val="00CA4CB1"/>
    <w:rsid w:val="00CA5A78"/>
    <w:rsid w:val="00CA68D4"/>
    <w:rsid w:val="00CB0479"/>
    <w:rsid w:val="00CB08BD"/>
    <w:rsid w:val="00CB0A16"/>
    <w:rsid w:val="00CB1696"/>
    <w:rsid w:val="00CB1852"/>
    <w:rsid w:val="00CB1DCD"/>
    <w:rsid w:val="00CB22FC"/>
    <w:rsid w:val="00CB2774"/>
    <w:rsid w:val="00CB2A32"/>
    <w:rsid w:val="00CB2F96"/>
    <w:rsid w:val="00CB4562"/>
    <w:rsid w:val="00CB47F9"/>
    <w:rsid w:val="00CB4CD7"/>
    <w:rsid w:val="00CB5679"/>
    <w:rsid w:val="00CB5713"/>
    <w:rsid w:val="00CB60AD"/>
    <w:rsid w:val="00CB68A2"/>
    <w:rsid w:val="00CB731B"/>
    <w:rsid w:val="00CB75D1"/>
    <w:rsid w:val="00CB77D5"/>
    <w:rsid w:val="00CB7F3B"/>
    <w:rsid w:val="00CC01EB"/>
    <w:rsid w:val="00CC02A5"/>
    <w:rsid w:val="00CC03BF"/>
    <w:rsid w:val="00CC0A7F"/>
    <w:rsid w:val="00CC150E"/>
    <w:rsid w:val="00CC25FD"/>
    <w:rsid w:val="00CC2CA2"/>
    <w:rsid w:val="00CC327F"/>
    <w:rsid w:val="00CC3CBE"/>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51"/>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B0A"/>
    <w:rsid w:val="00CD7CC3"/>
    <w:rsid w:val="00CE02E6"/>
    <w:rsid w:val="00CE1043"/>
    <w:rsid w:val="00CE1AC9"/>
    <w:rsid w:val="00CE1F54"/>
    <w:rsid w:val="00CE31E5"/>
    <w:rsid w:val="00CE3214"/>
    <w:rsid w:val="00CE3564"/>
    <w:rsid w:val="00CE41C1"/>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28EE"/>
    <w:rsid w:val="00CF3159"/>
    <w:rsid w:val="00CF402D"/>
    <w:rsid w:val="00CF431B"/>
    <w:rsid w:val="00CF49E3"/>
    <w:rsid w:val="00CF4CD4"/>
    <w:rsid w:val="00CF5577"/>
    <w:rsid w:val="00CF5BF6"/>
    <w:rsid w:val="00CF62A8"/>
    <w:rsid w:val="00CF6DF4"/>
    <w:rsid w:val="00CF6EA7"/>
    <w:rsid w:val="00CF7684"/>
    <w:rsid w:val="00D011F0"/>
    <w:rsid w:val="00D01731"/>
    <w:rsid w:val="00D0212E"/>
    <w:rsid w:val="00D04F7B"/>
    <w:rsid w:val="00D0512C"/>
    <w:rsid w:val="00D058AF"/>
    <w:rsid w:val="00D06211"/>
    <w:rsid w:val="00D06E9F"/>
    <w:rsid w:val="00D06FFF"/>
    <w:rsid w:val="00D07B7D"/>
    <w:rsid w:val="00D07CAD"/>
    <w:rsid w:val="00D113E7"/>
    <w:rsid w:val="00D116F0"/>
    <w:rsid w:val="00D119B8"/>
    <w:rsid w:val="00D11B26"/>
    <w:rsid w:val="00D11E6A"/>
    <w:rsid w:val="00D122BD"/>
    <w:rsid w:val="00D12A77"/>
    <w:rsid w:val="00D12E24"/>
    <w:rsid w:val="00D1347B"/>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974"/>
    <w:rsid w:val="00D346EB"/>
    <w:rsid w:val="00D3585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CC1"/>
    <w:rsid w:val="00D42F6C"/>
    <w:rsid w:val="00D43A1F"/>
    <w:rsid w:val="00D43E29"/>
    <w:rsid w:val="00D44755"/>
    <w:rsid w:val="00D452CD"/>
    <w:rsid w:val="00D45EDA"/>
    <w:rsid w:val="00D46126"/>
    <w:rsid w:val="00D464AF"/>
    <w:rsid w:val="00D5020B"/>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42F"/>
    <w:rsid w:val="00D61D9D"/>
    <w:rsid w:val="00D6217D"/>
    <w:rsid w:val="00D6231B"/>
    <w:rsid w:val="00D62D22"/>
    <w:rsid w:val="00D62DFA"/>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57C"/>
    <w:rsid w:val="00D76BAD"/>
    <w:rsid w:val="00D76E8B"/>
    <w:rsid w:val="00D7706C"/>
    <w:rsid w:val="00D77433"/>
    <w:rsid w:val="00D77966"/>
    <w:rsid w:val="00D80347"/>
    <w:rsid w:val="00D80517"/>
    <w:rsid w:val="00D80F0E"/>
    <w:rsid w:val="00D810BB"/>
    <w:rsid w:val="00D81801"/>
    <w:rsid w:val="00D8205D"/>
    <w:rsid w:val="00D82A69"/>
    <w:rsid w:val="00D83237"/>
    <w:rsid w:val="00D839FC"/>
    <w:rsid w:val="00D844C1"/>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911"/>
    <w:rsid w:val="00D91B8A"/>
    <w:rsid w:val="00D921F7"/>
    <w:rsid w:val="00D92633"/>
    <w:rsid w:val="00D9376B"/>
    <w:rsid w:val="00D93E53"/>
    <w:rsid w:val="00D9449B"/>
    <w:rsid w:val="00D94A33"/>
    <w:rsid w:val="00D9543D"/>
    <w:rsid w:val="00D958D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5E93"/>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3D7"/>
    <w:rsid w:val="00DB7ED2"/>
    <w:rsid w:val="00DC0138"/>
    <w:rsid w:val="00DC0D2B"/>
    <w:rsid w:val="00DC1926"/>
    <w:rsid w:val="00DC1937"/>
    <w:rsid w:val="00DC1A8F"/>
    <w:rsid w:val="00DC1C01"/>
    <w:rsid w:val="00DC1E36"/>
    <w:rsid w:val="00DC1FFA"/>
    <w:rsid w:val="00DC2886"/>
    <w:rsid w:val="00DC2BBB"/>
    <w:rsid w:val="00DC3012"/>
    <w:rsid w:val="00DC390F"/>
    <w:rsid w:val="00DC3A85"/>
    <w:rsid w:val="00DC4BC8"/>
    <w:rsid w:val="00DC5DB6"/>
    <w:rsid w:val="00DC6C74"/>
    <w:rsid w:val="00DC7C54"/>
    <w:rsid w:val="00DD2301"/>
    <w:rsid w:val="00DD2520"/>
    <w:rsid w:val="00DD26EB"/>
    <w:rsid w:val="00DD28FB"/>
    <w:rsid w:val="00DD30CB"/>
    <w:rsid w:val="00DD3791"/>
    <w:rsid w:val="00DD3A1E"/>
    <w:rsid w:val="00DD4752"/>
    <w:rsid w:val="00DD488F"/>
    <w:rsid w:val="00DD4D46"/>
    <w:rsid w:val="00DD4DAF"/>
    <w:rsid w:val="00DD5948"/>
    <w:rsid w:val="00DD6294"/>
    <w:rsid w:val="00DD67E5"/>
    <w:rsid w:val="00DD6A57"/>
    <w:rsid w:val="00DD6DE4"/>
    <w:rsid w:val="00DD733A"/>
    <w:rsid w:val="00DD7848"/>
    <w:rsid w:val="00DD7EAF"/>
    <w:rsid w:val="00DD7F81"/>
    <w:rsid w:val="00DE0FBE"/>
    <w:rsid w:val="00DE1343"/>
    <w:rsid w:val="00DE1B18"/>
    <w:rsid w:val="00DE1D5F"/>
    <w:rsid w:val="00DE1DCD"/>
    <w:rsid w:val="00DE20F1"/>
    <w:rsid w:val="00DE21F5"/>
    <w:rsid w:val="00DE2445"/>
    <w:rsid w:val="00DE2792"/>
    <w:rsid w:val="00DE2EB4"/>
    <w:rsid w:val="00DE34E7"/>
    <w:rsid w:val="00DE357C"/>
    <w:rsid w:val="00DE37A4"/>
    <w:rsid w:val="00DE38E9"/>
    <w:rsid w:val="00DE3A21"/>
    <w:rsid w:val="00DE3CE5"/>
    <w:rsid w:val="00DE4063"/>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4FC"/>
    <w:rsid w:val="00E03692"/>
    <w:rsid w:val="00E0382F"/>
    <w:rsid w:val="00E03980"/>
    <w:rsid w:val="00E041EC"/>
    <w:rsid w:val="00E047AD"/>
    <w:rsid w:val="00E04F10"/>
    <w:rsid w:val="00E05696"/>
    <w:rsid w:val="00E058EE"/>
    <w:rsid w:val="00E06676"/>
    <w:rsid w:val="00E06A0D"/>
    <w:rsid w:val="00E075BD"/>
    <w:rsid w:val="00E075DE"/>
    <w:rsid w:val="00E07AA3"/>
    <w:rsid w:val="00E07AB5"/>
    <w:rsid w:val="00E11BF2"/>
    <w:rsid w:val="00E11DB0"/>
    <w:rsid w:val="00E1213E"/>
    <w:rsid w:val="00E12CBB"/>
    <w:rsid w:val="00E12D6C"/>
    <w:rsid w:val="00E12EDF"/>
    <w:rsid w:val="00E13509"/>
    <w:rsid w:val="00E1448C"/>
    <w:rsid w:val="00E14610"/>
    <w:rsid w:val="00E14B7B"/>
    <w:rsid w:val="00E14D04"/>
    <w:rsid w:val="00E15B76"/>
    <w:rsid w:val="00E16067"/>
    <w:rsid w:val="00E164F4"/>
    <w:rsid w:val="00E16B28"/>
    <w:rsid w:val="00E16D2F"/>
    <w:rsid w:val="00E17B40"/>
    <w:rsid w:val="00E17D6E"/>
    <w:rsid w:val="00E17F71"/>
    <w:rsid w:val="00E21224"/>
    <w:rsid w:val="00E21351"/>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E0B"/>
    <w:rsid w:val="00E31710"/>
    <w:rsid w:val="00E3180D"/>
    <w:rsid w:val="00E31A16"/>
    <w:rsid w:val="00E32188"/>
    <w:rsid w:val="00E327EE"/>
    <w:rsid w:val="00E328D8"/>
    <w:rsid w:val="00E32CE2"/>
    <w:rsid w:val="00E32D37"/>
    <w:rsid w:val="00E33C12"/>
    <w:rsid w:val="00E33F65"/>
    <w:rsid w:val="00E34142"/>
    <w:rsid w:val="00E3495E"/>
    <w:rsid w:val="00E359C6"/>
    <w:rsid w:val="00E35C74"/>
    <w:rsid w:val="00E37289"/>
    <w:rsid w:val="00E3750A"/>
    <w:rsid w:val="00E37667"/>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5FA"/>
    <w:rsid w:val="00E45634"/>
    <w:rsid w:val="00E45BF2"/>
    <w:rsid w:val="00E45DEA"/>
    <w:rsid w:val="00E45F17"/>
    <w:rsid w:val="00E47684"/>
    <w:rsid w:val="00E50C4C"/>
    <w:rsid w:val="00E51829"/>
    <w:rsid w:val="00E526A3"/>
    <w:rsid w:val="00E5350C"/>
    <w:rsid w:val="00E54291"/>
    <w:rsid w:val="00E5459C"/>
    <w:rsid w:val="00E549C2"/>
    <w:rsid w:val="00E54C6D"/>
    <w:rsid w:val="00E557B5"/>
    <w:rsid w:val="00E56BD8"/>
    <w:rsid w:val="00E56F3C"/>
    <w:rsid w:val="00E57B6A"/>
    <w:rsid w:val="00E60952"/>
    <w:rsid w:val="00E60A48"/>
    <w:rsid w:val="00E61098"/>
    <w:rsid w:val="00E61A8F"/>
    <w:rsid w:val="00E61AA0"/>
    <w:rsid w:val="00E61E23"/>
    <w:rsid w:val="00E620A6"/>
    <w:rsid w:val="00E6210D"/>
    <w:rsid w:val="00E62171"/>
    <w:rsid w:val="00E62768"/>
    <w:rsid w:val="00E632F9"/>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9CB"/>
    <w:rsid w:val="00E80193"/>
    <w:rsid w:val="00E80B80"/>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1925"/>
    <w:rsid w:val="00ED1A2D"/>
    <w:rsid w:val="00ED241C"/>
    <w:rsid w:val="00ED254A"/>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E5F"/>
    <w:rsid w:val="00EF00D9"/>
    <w:rsid w:val="00EF02B0"/>
    <w:rsid w:val="00EF04B9"/>
    <w:rsid w:val="00EF067D"/>
    <w:rsid w:val="00EF105D"/>
    <w:rsid w:val="00EF10CC"/>
    <w:rsid w:val="00EF1824"/>
    <w:rsid w:val="00EF201C"/>
    <w:rsid w:val="00EF24F5"/>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68A"/>
    <w:rsid w:val="00F03C06"/>
    <w:rsid w:val="00F04097"/>
    <w:rsid w:val="00F045E2"/>
    <w:rsid w:val="00F0540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664"/>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D3D"/>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B7"/>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131"/>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2ACD"/>
    <w:rsid w:val="00F83339"/>
    <w:rsid w:val="00F83651"/>
    <w:rsid w:val="00F83660"/>
    <w:rsid w:val="00F847D1"/>
    <w:rsid w:val="00F84CA9"/>
    <w:rsid w:val="00F85A8A"/>
    <w:rsid w:val="00F85E5F"/>
    <w:rsid w:val="00F86611"/>
    <w:rsid w:val="00F8681C"/>
    <w:rsid w:val="00F8690B"/>
    <w:rsid w:val="00F86C07"/>
    <w:rsid w:val="00F8714E"/>
    <w:rsid w:val="00F87671"/>
    <w:rsid w:val="00F87A7C"/>
    <w:rsid w:val="00F90A06"/>
    <w:rsid w:val="00F912FF"/>
    <w:rsid w:val="00F93C2D"/>
    <w:rsid w:val="00F9431A"/>
    <w:rsid w:val="00F94CF3"/>
    <w:rsid w:val="00F957C9"/>
    <w:rsid w:val="00F96182"/>
    <w:rsid w:val="00F963DA"/>
    <w:rsid w:val="00F9643D"/>
    <w:rsid w:val="00F9658B"/>
    <w:rsid w:val="00F967F7"/>
    <w:rsid w:val="00FA106A"/>
    <w:rsid w:val="00FA1F78"/>
    <w:rsid w:val="00FA2038"/>
    <w:rsid w:val="00FA2043"/>
    <w:rsid w:val="00FA2240"/>
    <w:rsid w:val="00FA27B3"/>
    <w:rsid w:val="00FA343C"/>
    <w:rsid w:val="00FA5B44"/>
    <w:rsid w:val="00FA6220"/>
    <w:rsid w:val="00FA68B5"/>
    <w:rsid w:val="00FA6E3B"/>
    <w:rsid w:val="00FA7753"/>
    <w:rsid w:val="00FA77BD"/>
    <w:rsid w:val="00FA7D8F"/>
    <w:rsid w:val="00FB06B8"/>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6F5"/>
    <w:rsid w:val="00FC6D9B"/>
    <w:rsid w:val="00FC7517"/>
    <w:rsid w:val="00FC7661"/>
    <w:rsid w:val="00FC77EA"/>
    <w:rsid w:val="00FC799F"/>
    <w:rsid w:val="00FD0020"/>
    <w:rsid w:val="00FD11D9"/>
    <w:rsid w:val="00FD11F8"/>
    <w:rsid w:val="00FD1613"/>
    <w:rsid w:val="00FD16AB"/>
    <w:rsid w:val="00FD2229"/>
    <w:rsid w:val="00FD2812"/>
    <w:rsid w:val="00FD2B55"/>
    <w:rsid w:val="00FD36F8"/>
    <w:rsid w:val="00FD4326"/>
    <w:rsid w:val="00FD4BC6"/>
    <w:rsid w:val="00FD5C7D"/>
    <w:rsid w:val="00FD6A99"/>
    <w:rsid w:val="00FD733E"/>
    <w:rsid w:val="00FD798A"/>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BD0"/>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07D6B"/>
    <w:rsid w:val="018A6F5F"/>
    <w:rsid w:val="018C5F7F"/>
    <w:rsid w:val="01BE4069"/>
    <w:rsid w:val="01BE5800"/>
    <w:rsid w:val="01E46F65"/>
    <w:rsid w:val="02E536DD"/>
    <w:rsid w:val="03050160"/>
    <w:rsid w:val="030A20A9"/>
    <w:rsid w:val="032B4E6A"/>
    <w:rsid w:val="03D9315E"/>
    <w:rsid w:val="03F06C42"/>
    <w:rsid w:val="041B3357"/>
    <w:rsid w:val="04597066"/>
    <w:rsid w:val="046B4776"/>
    <w:rsid w:val="049A7EA1"/>
    <w:rsid w:val="04C34346"/>
    <w:rsid w:val="04E30437"/>
    <w:rsid w:val="04F41AB8"/>
    <w:rsid w:val="05502BDE"/>
    <w:rsid w:val="05F41FAA"/>
    <w:rsid w:val="063B78DC"/>
    <w:rsid w:val="06460B7F"/>
    <w:rsid w:val="067F36A9"/>
    <w:rsid w:val="06CE610A"/>
    <w:rsid w:val="075B26D0"/>
    <w:rsid w:val="076E0F6D"/>
    <w:rsid w:val="07CE304B"/>
    <w:rsid w:val="07E84F31"/>
    <w:rsid w:val="0839529D"/>
    <w:rsid w:val="08CE26E6"/>
    <w:rsid w:val="09974C33"/>
    <w:rsid w:val="09B82947"/>
    <w:rsid w:val="09D833E5"/>
    <w:rsid w:val="0A53260B"/>
    <w:rsid w:val="0A9265C3"/>
    <w:rsid w:val="0AC215AC"/>
    <w:rsid w:val="0AD5391A"/>
    <w:rsid w:val="0AF46E35"/>
    <w:rsid w:val="0B3E5ADA"/>
    <w:rsid w:val="0BF958C7"/>
    <w:rsid w:val="0C2D2DF0"/>
    <w:rsid w:val="0C3D5BBF"/>
    <w:rsid w:val="0C3F3332"/>
    <w:rsid w:val="0C5A09A9"/>
    <w:rsid w:val="0C835778"/>
    <w:rsid w:val="0CDB719E"/>
    <w:rsid w:val="0D4D5A40"/>
    <w:rsid w:val="0D837E90"/>
    <w:rsid w:val="0E0812B7"/>
    <w:rsid w:val="0E0D6155"/>
    <w:rsid w:val="0E7B4D34"/>
    <w:rsid w:val="0E7F52A1"/>
    <w:rsid w:val="0EAB6A73"/>
    <w:rsid w:val="0ECD377C"/>
    <w:rsid w:val="0EDE2BBB"/>
    <w:rsid w:val="0F4D0707"/>
    <w:rsid w:val="0F527089"/>
    <w:rsid w:val="0FBA2A45"/>
    <w:rsid w:val="0FC41654"/>
    <w:rsid w:val="0FDE7285"/>
    <w:rsid w:val="10BC03DC"/>
    <w:rsid w:val="10DF4A1F"/>
    <w:rsid w:val="11001AA9"/>
    <w:rsid w:val="11343FF4"/>
    <w:rsid w:val="113B49A8"/>
    <w:rsid w:val="118C2ED5"/>
    <w:rsid w:val="11901D72"/>
    <w:rsid w:val="11B83D31"/>
    <w:rsid w:val="11BB5556"/>
    <w:rsid w:val="11C6543E"/>
    <w:rsid w:val="120D660B"/>
    <w:rsid w:val="12243AF9"/>
    <w:rsid w:val="12795B29"/>
    <w:rsid w:val="12F37754"/>
    <w:rsid w:val="12F62B63"/>
    <w:rsid w:val="132332CF"/>
    <w:rsid w:val="13696837"/>
    <w:rsid w:val="13803603"/>
    <w:rsid w:val="13B31AEC"/>
    <w:rsid w:val="13FE3FBA"/>
    <w:rsid w:val="140E1568"/>
    <w:rsid w:val="14404369"/>
    <w:rsid w:val="147E01C4"/>
    <w:rsid w:val="14A8439F"/>
    <w:rsid w:val="158847C9"/>
    <w:rsid w:val="15EE069A"/>
    <w:rsid w:val="16B142BA"/>
    <w:rsid w:val="171B18F9"/>
    <w:rsid w:val="175D674F"/>
    <w:rsid w:val="176C35AC"/>
    <w:rsid w:val="17CD2550"/>
    <w:rsid w:val="18114189"/>
    <w:rsid w:val="18630C39"/>
    <w:rsid w:val="18784728"/>
    <w:rsid w:val="18D103D0"/>
    <w:rsid w:val="18F06F2D"/>
    <w:rsid w:val="19A6469E"/>
    <w:rsid w:val="19AD7F51"/>
    <w:rsid w:val="19F2302E"/>
    <w:rsid w:val="1A55085F"/>
    <w:rsid w:val="1B155AF1"/>
    <w:rsid w:val="1B3A4EFC"/>
    <w:rsid w:val="1B7600E4"/>
    <w:rsid w:val="1BA50D14"/>
    <w:rsid w:val="1BA677E7"/>
    <w:rsid w:val="1C0748A3"/>
    <w:rsid w:val="1C0F5E7D"/>
    <w:rsid w:val="1C625D30"/>
    <w:rsid w:val="1C7671E3"/>
    <w:rsid w:val="1C777601"/>
    <w:rsid w:val="1C8A493E"/>
    <w:rsid w:val="1CCB6998"/>
    <w:rsid w:val="1CD6623F"/>
    <w:rsid w:val="1CF90898"/>
    <w:rsid w:val="1CFA0FE7"/>
    <w:rsid w:val="1D691DBF"/>
    <w:rsid w:val="1D8C69C4"/>
    <w:rsid w:val="1DB052BB"/>
    <w:rsid w:val="1E1C7C6C"/>
    <w:rsid w:val="1E786F00"/>
    <w:rsid w:val="1EBB34DD"/>
    <w:rsid w:val="1F1F65F5"/>
    <w:rsid w:val="1F343C02"/>
    <w:rsid w:val="1FAC7E53"/>
    <w:rsid w:val="1FDF0A0F"/>
    <w:rsid w:val="20002917"/>
    <w:rsid w:val="20517FE3"/>
    <w:rsid w:val="20CE2C18"/>
    <w:rsid w:val="20DA587B"/>
    <w:rsid w:val="217C1DAF"/>
    <w:rsid w:val="218220DE"/>
    <w:rsid w:val="21B336A4"/>
    <w:rsid w:val="222C76C6"/>
    <w:rsid w:val="22466CF3"/>
    <w:rsid w:val="22A344E7"/>
    <w:rsid w:val="22DE3197"/>
    <w:rsid w:val="22E67478"/>
    <w:rsid w:val="230E0741"/>
    <w:rsid w:val="23F63E16"/>
    <w:rsid w:val="24016243"/>
    <w:rsid w:val="243A32C2"/>
    <w:rsid w:val="246F6FB2"/>
    <w:rsid w:val="24F66FD2"/>
    <w:rsid w:val="25093A3B"/>
    <w:rsid w:val="25236D0D"/>
    <w:rsid w:val="252F645D"/>
    <w:rsid w:val="258858A9"/>
    <w:rsid w:val="258C71E8"/>
    <w:rsid w:val="260112C0"/>
    <w:rsid w:val="26757E2C"/>
    <w:rsid w:val="26790701"/>
    <w:rsid w:val="26A15C03"/>
    <w:rsid w:val="26AC218E"/>
    <w:rsid w:val="26C77683"/>
    <w:rsid w:val="273508EE"/>
    <w:rsid w:val="27401048"/>
    <w:rsid w:val="27483692"/>
    <w:rsid w:val="276F6E45"/>
    <w:rsid w:val="278066D7"/>
    <w:rsid w:val="27827B0F"/>
    <w:rsid w:val="27886287"/>
    <w:rsid w:val="27A66EB2"/>
    <w:rsid w:val="27AC564C"/>
    <w:rsid w:val="27E101CA"/>
    <w:rsid w:val="27F53526"/>
    <w:rsid w:val="27FA5E76"/>
    <w:rsid w:val="28690FE5"/>
    <w:rsid w:val="288E2BD2"/>
    <w:rsid w:val="28911B25"/>
    <w:rsid w:val="28CF2F29"/>
    <w:rsid w:val="28DC50AB"/>
    <w:rsid w:val="28E55271"/>
    <w:rsid w:val="2909446A"/>
    <w:rsid w:val="2923374B"/>
    <w:rsid w:val="296C2B2B"/>
    <w:rsid w:val="29992399"/>
    <w:rsid w:val="29B6282C"/>
    <w:rsid w:val="29BD796F"/>
    <w:rsid w:val="29C0782D"/>
    <w:rsid w:val="29F83FC8"/>
    <w:rsid w:val="2A207440"/>
    <w:rsid w:val="2AAC3644"/>
    <w:rsid w:val="2B2646C8"/>
    <w:rsid w:val="2B43776B"/>
    <w:rsid w:val="2B8946FF"/>
    <w:rsid w:val="2BE71F06"/>
    <w:rsid w:val="2BED1725"/>
    <w:rsid w:val="2C0A4741"/>
    <w:rsid w:val="2C0D5956"/>
    <w:rsid w:val="2CDF772D"/>
    <w:rsid w:val="2CE77A69"/>
    <w:rsid w:val="2CF86E08"/>
    <w:rsid w:val="2CF960D7"/>
    <w:rsid w:val="2D373EAA"/>
    <w:rsid w:val="2D9B15EF"/>
    <w:rsid w:val="2E1141AF"/>
    <w:rsid w:val="2E304308"/>
    <w:rsid w:val="2EB26D79"/>
    <w:rsid w:val="2EE33737"/>
    <w:rsid w:val="2F1F1892"/>
    <w:rsid w:val="2F477E12"/>
    <w:rsid w:val="2F576681"/>
    <w:rsid w:val="2F6930A7"/>
    <w:rsid w:val="2F7145F4"/>
    <w:rsid w:val="2FF838EB"/>
    <w:rsid w:val="301E494B"/>
    <w:rsid w:val="30580298"/>
    <w:rsid w:val="30646F90"/>
    <w:rsid w:val="30921F78"/>
    <w:rsid w:val="30CB0402"/>
    <w:rsid w:val="312C0B27"/>
    <w:rsid w:val="31470AA8"/>
    <w:rsid w:val="3157056B"/>
    <w:rsid w:val="319B6761"/>
    <w:rsid w:val="31CB0FE5"/>
    <w:rsid w:val="32015ECD"/>
    <w:rsid w:val="324D2681"/>
    <w:rsid w:val="32C87C88"/>
    <w:rsid w:val="32D4161D"/>
    <w:rsid w:val="32E30E94"/>
    <w:rsid w:val="32E367A8"/>
    <w:rsid w:val="32F37087"/>
    <w:rsid w:val="332B209D"/>
    <w:rsid w:val="333A708C"/>
    <w:rsid w:val="34457450"/>
    <w:rsid w:val="34544738"/>
    <w:rsid w:val="34BF37DC"/>
    <w:rsid w:val="351222E1"/>
    <w:rsid w:val="35373F98"/>
    <w:rsid w:val="3542237A"/>
    <w:rsid w:val="35620D64"/>
    <w:rsid w:val="36287330"/>
    <w:rsid w:val="363B7932"/>
    <w:rsid w:val="367778EA"/>
    <w:rsid w:val="36D15C2A"/>
    <w:rsid w:val="36FA4BBC"/>
    <w:rsid w:val="371D61FE"/>
    <w:rsid w:val="374A217B"/>
    <w:rsid w:val="374B5AC3"/>
    <w:rsid w:val="377F7586"/>
    <w:rsid w:val="37EB4622"/>
    <w:rsid w:val="38187E4F"/>
    <w:rsid w:val="3820445B"/>
    <w:rsid w:val="38210467"/>
    <w:rsid w:val="38401B73"/>
    <w:rsid w:val="384B1D2A"/>
    <w:rsid w:val="3896430C"/>
    <w:rsid w:val="38CB32FF"/>
    <w:rsid w:val="390304E5"/>
    <w:rsid w:val="390F4287"/>
    <w:rsid w:val="39516E31"/>
    <w:rsid w:val="39780BBB"/>
    <w:rsid w:val="39B67E35"/>
    <w:rsid w:val="39D617F2"/>
    <w:rsid w:val="3AD44ADF"/>
    <w:rsid w:val="3AF339FA"/>
    <w:rsid w:val="3AF36D78"/>
    <w:rsid w:val="3B731AB5"/>
    <w:rsid w:val="3B833738"/>
    <w:rsid w:val="3B837B5D"/>
    <w:rsid w:val="3B874762"/>
    <w:rsid w:val="3BA032B0"/>
    <w:rsid w:val="3BDD69BE"/>
    <w:rsid w:val="3C1D5A5B"/>
    <w:rsid w:val="3C2527C5"/>
    <w:rsid w:val="3CA42FB1"/>
    <w:rsid w:val="3CCA21E5"/>
    <w:rsid w:val="3D421B01"/>
    <w:rsid w:val="3D6F75C9"/>
    <w:rsid w:val="3D923640"/>
    <w:rsid w:val="3DA46FE2"/>
    <w:rsid w:val="3DC622F9"/>
    <w:rsid w:val="3DE90F01"/>
    <w:rsid w:val="3E266E35"/>
    <w:rsid w:val="3E9426DD"/>
    <w:rsid w:val="3F5D18E6"/>
    <w:rsid w:val="3F7F04D5"/>
    <w:rsid w:val="40A005F0"/>
    <w:rsid w:val="40A87F36"/>
    <w:rsid w:val="40C81A38"/>
    <w:rsid w:val="417E1386"/>
    <w:rsid w:val="41F47C2D"/>
    <w:rsid w:val="42072C74"/>
    <w:rsid w:val="422B6BF4"/>
    <w:rsid w:val="42347713"/>
    <w:rsid w:val="424A2EEF"/>
    <w:rsid w:val="43B00A8F"/>
    <w:rsid w:val="440A4E11"/>
    <w:rsid w:val="442619BB"/>
    <w:rsid w:val="45511B47"/>
    <w:rsid w:val="45A15DDB"/>
    <w:rsid w:val="45B22926"/>
    <w:rsid w:val="45FA1CDD"/>
    <w:rsid w:val="4637489F"/>
    <w:rsid w:val="4681712C"/>
    <w:rsid w:val="468B6718"/>
    <w:rsid w:val="468C5C62"/>
    <w:rsid w:val="470410FD"/>
    <w:rsid w:val="473B23EB"/>
    <w:rsid w:val="47554233"/>
    <w:rsid w:val="476C53A1"/>
    <w:rsid w:val="477049A0"/>
    <w:rsid w:val="47B32EAB"/>
    <w:rsid w:val="47C40E8C"/>
    <w:rsid w:val="48B1218F"/>
    <w:rsid w:val="48B14AB0"/>
    <w:rsid w:val="48D6123C"/>
    <w:rsid w:val="49150F51"/>
    <w:rsid w:val="49176771"/>
    <w:rsid w:val="49480BD4"/>
    <w:rsid w:val="495D4A27"/>
    <w:rsid w:val="499F04DF"/>
    <w:rsid w:val="49CB3BFF"/>
    <w:rsid w:val="49F30268"/>
    <w:rsid w:val="4A0B1050"/>
    <w:rsid w:val="4A4B658B"/>
    <w:rsid w:val="4A56432B"/>
    <w:rsid w:val="4AA4619B"/>
    <w:rsid w:val="4AC50729"/>
    <w:rsid w:val="4B284D77"/>
    <w:rsid w:val="4B503D93"/>
    <w:rsid w:val="4B925882"/>
    <w:rsid w:val="4BD31DF1"/>
    <w:rsid w:val="4BEC1507"/>
    <w:rsid w:val="4C2112E2"/>
    <w:rsid w:val="4C7E06ED"/>
    <w:rsid w:val="4CD363C9"/>
    <w:rsid w:val="4D3E5DCD"/>
    <w:rsid w:val="4D7F6702"/>
    <w:rsid w:val="4D9629A8"/>
    <w:rsid w:val="4DA83CA6"/>
    <w:rsid w:val="4DCE1A7C"/>
    <w:rsid w:val="4E3722A7"/>
    <w:rsid w:val="4E7228BD"/>
    <w:rsid w:val="4EFA3832"/>
    <w:rsid w:val="4F123950"/>
    <w:rsid w:val="4F134C73"/>
    <w:rsid w:val="4F5E6B24"/>
    <w:rsid w:val="4F985B2A"/>
    <w:rsid w:val="4FD551C3"/>
    <w:rsid w:val="4FF74134"/>
    <w:rsid w:val="507519D9"/>
    <w:rsid w:val="50EC442B"/>
    <w:rsid w:val="51BC6614"/>
    <w:rsid w:val="51DB53FA"/>
    <w:rsid w:val="51EF4B72"/>
    <w:rsid w:val="52127D7D"/>
    <w:rsid w:val="52412A63"/>
    <w:rsid w:val="52C16363"/>
    <w:rsid w:val="5352133A"/>
    <w:rsid w:val="53763D4D"/>
    <w:rsid w:val="54135280"/>
    <w:rsid w:val="54701443"/>
    <w:rsid w:val="5526139C"/>
    <w:rsid w:val="552B2D26"/>
    <w:rsid w:val="554E1470"/>
    <w:rsid w:val="55986D51"/>
    <w:rsid w:val="55A274B5"/>
    <w:rsid w:val="55B429F5"/>
    <w:rsid w:val="55B47325"/>
    <w:rsid w:val="55D42624"/>
    <w:rsid w:val="560B2C86"/>
    <w:rsid w:val="56133CA0"/>
    <w:rsid w:val="561E288D"/>
    <w:rsid w:val="56DD4ABD"/>
    <w:rsid w:val="5703231E"/>
    <w:rsid w:val="57116442"/>
    <w:rsid w:val="5744751F"/>
    <w:rsid w:val="578D3493"/>
    <w:rsid w:val="57D521C3"/>
    <w:rsid w:val="583B12A8"/>
    <w:rsid w:val="586A7A45"/>
    <w:rsid w:val="58914C8B"/>
    <w:rsid w:val="58E3423E"/>
    <w:rsid w:val="58F23ED5"/>
    <w:rsid w:val="59483B41"/>
    <w:rsid w:val="5956205C"/>
    <w:rsid w:val="599E6CB8"/>
    <w:rsid w:val="59C33AC2"/>
    <w:rsid w:val="59CD0D5A"/>
    <w:rsid w:val="59D400EC"/>
    <w:rsid w:val="59E031E2"/>
    <w:rsid w:val="59E52F69"/>
    <w:rsid w:val="59FF1F2A"/>
    <w:rsid w:val="5AA974E8"/>
    <w:rsid w:val="5B5A6D64"/>
    <w:rsid w:val="5B5D0B53"/>
    <w:rsid w:val="5B703490"/>
    <w:rsid w:val="5B8340E7"/>
    <w:rsid w:val="5B8D0599"/>
    <w:rsid w:val="5B937814"/>
    <w:rsid w:val="5BA627EA"/>
    <w:rsid w:val="5BAA125C"/>
    <w:rsid w:val="5C3310D6"/>
    <w:rsid w:val="5C56460E"/>
    <w:rsid w:val="5C6E79F1"/>
    <w:rsid w:val="5C8657B1"/>
    <w:rsid w:val="5CA73484"/>
    <w:rsid w:val="5CE5499C"/>
    <w:rsid w:val="5D2B2BCC"/>
    <w:rsid w:val="5D77243C"/>
    <w:rsid w:val="5D951261"/>
    <w:rsid w:val="5E154DAA"/>
    <w:rsid w:val="5E2F13E4"/>
    <w:rsid w:val="5EC546B7"/>
    <w:rsid w:val="5EDD3CDF"/>
    <w:rsid w:val="5EE01513"/>
    <w:rsid w:val="5F61759D"/>
    <w:rsid w:val="5FA9036D"/>
    <w:rsid w:val="5FB24AB7"/>
    <w:rsid w:val="5FE20A6A"/>
    <w:rsid w:val="5FE80DF1"/>
    <w:rsid w:val="60394F33"/>
    <w:rsid w:val="607A028C"/>
    <w:rsid w:val="60863116"/>
    <w:rsid w:val="60A9073B"/>
    <w:rsid w:val="60ED58DE"/>
    <w:rsid w:val="61304D4A"/>
    <w:rsid w:val="61904268"/>
    <w:rsid w:val="61922827"/>
    <w:rsid w:val="61985AAE"/>
    <w:rsid w:val="619B21A0"/>
    <w:rsid w:val="61A6252D"/>
    <w:rsid w:val="61C95215"/>
    <w:rsid w:val="61FF4890"/>
    <w:rsid w:val="620863D2"/>
    <w:rsid w:val="62301458"/>
    <w:rsid w:val="626058BD"/>
    <w:rsid w:val="62AC3703"/>
    <w:rsid w:val="62D638A3"/>
    <w:rsid w:val="62D70238"/>
    <w:rsid w:val="630F05FA"/>
    <w:rsid w:val="634E5810"/>
    <w:rsid w:val="639A2C3A"/>
    <w:rsid w:val="63A81226"/>
    <w:rsid w:val="63DA67C2"/>
    <w:rsid w:val="641415C2"/>
    <w:rsid w:val="64861AAD"/>
    <w:rsid w:val="64976244"/>
    <w:rsid w:val="64A77DE8"/>
    <w:rsid w:val="650A079C"/>
    <w:rsid w:val="65574176"/>
    <w:rsid w:val="65E5355A"/>
    <w:rsid w:val="66CD3247"/>
    <w:rsid w:val="674A3D4F"/>
    <w:rsid w:val="679006E0"/>
    <w:rsid w:val="685A135B"/>
    <w:rsid w:val="6864772D"/>
    <w:rsid w:val="68BC6A3B"/>
    <w:rsid w:val="68DD7469"/>
    <w:rsid w:val="68F91C5D"/>
    <w:rsid w:val="68FB6055"/>
    <w:rsid w:val="698E63BC"/>
    <w:rsid w:val="698F2464"/>
    <w:rsid w:val="69C91D79"/>
    <w:rsid w:val="6A01476D"/>
    <w:rsid w:val="6A121AD7"/>
    <w:rsid w:val="6A3C248C"/>
    <w:rsid w:val="6A7E5E1C"/>
    <w:rsid w:val="6AA115B0"/>
    <w:rsid w:val="6AC554E5"/>
    <w:rsid w:val="6AD23B35"/>
    <w:rsid w:val="6B045804"/>
    <w:rsid w:val="6B125161"/>
    <w:rsid w:val="6B7A38F1"/>
    <w:rsid w:val="6C0F420D"/>
    <w:rsid w:val="6C3226C6"/>
    <w:rsid w:val="6C545FF5"/>
    <w:rsid w:val="6C591BE2"/>
    <w:rsid w:val="6CAC7978"/>
    <w:rsid w:val="6D516F87"/>
    <w:rsid w:val="6D573CD9"/>
    <w:rsid w:val="6D6C3F26"/>
    <w:rsid w:val="6DE72943"/>
    <w:rsid w:val="6DFB580B"/>
    <w:rsid w:val="6E0A4A26"/>
    <w:rsid w:val="6E5E1B6C"/>
    <w:rsid w:val="6ED12A5B"/>
    <w:rsid w:val="6EEF71D1"/>
    <w:rsid w:val="6F021A16"/>
    <w:rsid w:val="6F083EE5"/>
    <w:rsid w:val="6F1D40CE"/>
    <w:rsid w:val="6FB71D57"/>
    <w:rsid w:val="6FC96AE5"/>
    <w:rsid w:val="6FF37C93"/>
    <w:rsid w:val="70014B39"/>
    <w:rsid w:val="7051517A"/>
    <w:rsid w:val="70D85BD1"/>
    <w:rsid w:val="715B338A"/>
    <w:rsid w:val="716A7ADC"/>
    <w:rsid w:val="716C1617"/>
    <w:rsid w:val="71DE2E53"/>
    <w:rsid w:val="721F39FF"/>
    <w:rsid w:val="729D6DF2"/>
    <w:rsid w:val="729E121E"/>
    <w:rsid w:val="72B069AF"/>
    <w:rsid w:val="72CB76AB"/>
    <w:rsid w:val="72DD7F2A"/>
    <w:rsid w:val="72E23A7A"/>
    <w:rsid w:val="72F6179B"/>
    <w:rsid w:val="7323796D"/>
    <w:rsid w:val="738003CA"/>
    <w:rsid w:val="73863475"/>
    <w:rsid w:val="73C56EED"/>
    <w:rsid w:val="74C564B6"/>
    <w:rsid w:val="75104F1C"/>
    <w:rsid w:val="753475EE"/>
    <w:rsid w:val="755A5464"/>
    <w:rsid w:val="757C7B66"/>
    <w:rsid w:val="7581273F"/>
    <w:rsid w:val="758D4AB4"/>
    <w:rsid w:val="75D12961"/>
    <w:rsid w:val="75FB5023"/>
    <w:rsid w:val="76395C1B"/>
    <w:rsid w:val="764E0255"/>
    <w:rsid w:val="765941C5"/>
    <w:rsid w:val="76615E65"/>
    <w:rsid w:val="766726D3"/>
    <w:rsid w:val="769B2462"/>
    <w:rsid w:val="76EC6775"/>
    <w:rsid w:val="773B6CD4"/>
    <w:rsid w:val="77D61CCD"/>
    <w:rsid w:val="77E30949"/>
    <w:rsid w:val="77F16A53"/>
    <w:rsid w:val="783525A0"/>
    <w:rsid w:val="786F12BD"/>
    <w:rsid w:val="786F1AA9"/>
    <w:rsid w:val="7872551D"/>
    <w:rsid w:val="7920071D"/>
    <w:rsid w:val="797C3DE6"/>
    <w:rsid w:val="79C52BC7"/>
    <w:rsid w:val="79C747F6"/>
    <w:rsid w:val="7A2078F0"/>
    <w:rsid w:val="7A36659D"/>
    <w:rsid w:val="7A6027C1"/>
    <w:rsid w:val="7A854A12"/>
    <w:rsid w:val="7B237820"/>
    <w:rsid w:val="7B322CBB"/>
    <w:rsid w:val="7B6E004C"/>
    <w:rsid w:val="7B974622"/>
    <w:rsid w:val="7BAD26B9"/>
    <w:rsid w:val="7C097319"/>
    <w:rsid w:val="7C194491"/>
    <w:rsid w:val="7C567941"/>
    <w:rsid w:val="7C72797A"/>
    <w:rsid w:val="7D0306B4"/>
    <w:rsid w:val="7D4E72F0"/>
    <w:rsid w:val="7D6B63CB"/>
    <w:rsid w:val="7D947483"/>
    <w:rsid w:val="7DB24849"/>
    <w:rsid w:val="7E552A34"/>
    <w:rsid w:val="7E9219F9"/>
    <w:rsid w:val="7EF87B3E"/>
    <w:rsid w:val="7F800F52"/>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5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21"/>
    <w:qFormat/>
    <w:uiPriority w:val="0"/>
    <w:pPr>
      <w:keepNext/>
      <w:keepLines/>
      <w:spacing w:before="260" w:after="260" w:line="413" w:lineRule="auto"/>
      <w:outlineLvl w:val="2"/>
    </w:pPr>
    <w:rPr>
      <w:b/>
      <w:bCs/>
      <w:sz w:val="32"/>
      <w:szCs w:val="32"/>
    </w:rPr>
  </w:style>
  <w:style w:type="paragraph" w:styleId="6">
    <w:name w:val="heading 4"/>
    <w:basedOn w:val="1"/>
    <w:next w:val="1"/>
    <w:link w:val="14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9"/>
    <w:qFormat/>
    <w:uiPriority w:val="0"/>
    <w:pPr>
      <w:keepNext/>
      <w:keepLines/>
      <w:spacing w:before="280" w:after="290" w:line="372" w:lineRule="auto"/>
      <w:outlineLvl w:val="4"/>
    </w:pPr>
    <w:rPr>
      <w:b/>
      <w:sz w:val="28"/>
    </w:rPr>
  </w:style>
  <w:style w:type="paragraph" w:styleId="9">
    <w:name w:val="heading 6"/>
    <w:basedOn w:val="1"/>
    <w:next w:val="8"/>
    <w:link w:val="150"/>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163"/>
    <w:qFormat/>
    <w:uiPriority w:val="0"/>
    <w:pPr>
      <w:keepNext/>
      <w:keepLines/>
      <w:spacing w:before="240" w:after="64" w:line="317" w:lineRule="auto"/>
      <w:outlineLvl w:val="6"/>
    </w:pPr>
    <w:rPr>
      <w:b/>
      <w:sz w:val="24"/>
    </w:rPr>
  </w:style>
  <w:style w:type="paragraph" w:styleId="11">
    <w:name w:val="heading 8"/>
    <w:basedOn w:val="1"/>
    <w:next w:val="8"/>
    <w:link w:val="122"/>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58"/>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47"/>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25"/>
    <w:qFormat/>
    <w:uiPriority w:val="0"/>
    <w:pPr>
      <w:jc w:val="left"/>
    </w:pPr>
  </w:style>
  <w:style w:type="paragraph" w:styleId="19">
    <w:name w:val="Body Text 3"/>
    <w:basedOn w:val="1"/>
    <w:link w:val="153"/>
    <w:qFormat/>
    <w:uiPriority w:val="0"/>
    <w:pPr>
      <w:spacing w:line="500" w:lineRule="exact"/>
    </w:pPr>
    <w:rPr>
      <w:b/>
      <w:bCs/>
      <w:sz w:val="24"/>
    </w:rPr>
  </w:style>
  <w:style w:type="paragraph" w:styleId="20">
    <w:name w:val="Body Text Indent"/>
    <w:basedOn w:val="1"/>
    <w:link w:val="149"/>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42"/>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55"/>
    <w:qFormat/>
    <w:uiPriority w:val="0"/>
    <w:pPr>
      <w:ind w:left="100" w:leftChars="2500"/>
    </w:pPr>
    <w:rPr>
      <w:rFonts w:ascii="宋体" w:hAnsi="Courier New"/>
      <w:szCs w:val="21"/>
    </w:rPr>
  </w:style>
  <w:style w:type="paragraph" w:styleId="29">
    <w:name w:val="Body Text Indent 2"/>
    <w:basedOn w:val="1"/>
    <w:link w:val="128"/>
    <w:qFormat/>
    <w:uiPriority w:val="0"/>
    <w:pPr>
      <w:ind w:firstLine="630"/>
    </w:pPr>
    <w:rPr>
      <w:sz w:val="32"/>
      <w:szCs w:val="20"/>
    </w:rPr>
  </w:style>
  <w:style w:type="paragraph" w:styleId="30">
    <w:name w:val="Balloon Text"/>
    <w:basedOn w:val="1"/>
    <w:link w:val="134"/>
    <w:qFormat/>
    <w:uiPriority w:val="0"/>
    <w:rPr>
      <w:sz w:val="18"/>
      <w:szCs w:val="18"/>
    </w:rPr>
  </w:style>
  <w:style w:type="paragraph" w:styleId="31">
    <w:name w:val="footer"/>
    <w:basedOn w:val="1"/>
    <w:link w:val="135"/>
    <w:qFormat/>
    <w:uiPriority w:val="0"/>
    <w:pPr>
      <w:tabs>
        <w:tab w:val="center" w:pos="4153"/>
        <w:tab w:val="right" w:pos="8306"/>
      </w:tabs>
      <w:snapToGrid w:val="0"/>
      <w:jc w:val="left"/>
    </w:pPr>
    <w:rPr>
      <w:sz w:val="18"/>
      <w:szCs w:val="18"/>
    </w:rPr>
  </w:style>
  <w:style w:type="paragraph" w:styleId="32">
    <w:name w:val="header"/>
    <w:basedOn w:val="1"/>
    <w:link w:val="15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61"/>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38"/>
    <w:qFormat/>
    <w:uiPriority w:val="0"/>
    <w:pPr>
      <w:jc w:val="center"/>
    </w:pPr>
    <w:rPr>
      <w:sz w:val="30"/>
    </w:rPr>
  </w:style>
  <w:style w:type="paragraph" w:styleId="48">
    <w:name w:val="annotation subject"/>
    <w:basedOn w:val="18"/>
    <w:next w:val="18"/>
    <w:link w:val="123"/>
    <w:qFormat/>
    <w:uiPriority w:val="0"/>
    <w:rPr>
      <w:b/>
      <w:bCs/>
    </w:rPr>
  </w:style>
  <w:style w:type="paragraph" w:styleId="49">
    <w:name w:val="Body Text First Indent"/>
    <w:basedOn w:val="2"/>
    <w:link w:val="157"/>
    <w:qFormat/>
    <w:uiPriority w:val="0"/>
    <w:pPr>
      <w:spacing w:after="120" w:line="240" w:lineRule="auto"/>
      <w:ind w:firstLine="420" w:firstLineChars="100"/>
    </w:pPr>
    <w:rPr>
      <w:sz w:val="21"/>
    </w:rPr>
  </w:style>
  <w:style w:type="paragraph" w:styleId="50">
    <w:name w:val="Body Text First Indent 2"/>
    <w:basedOn w:val="20"/>
    <w:link w:val="14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tgt1"/>
    <w:basedOn w:val="1"/>
    <w:qFormat/>
    <w:uiPriority w:val="0"/>
    <w:pPr>
      <w:widowControl/>
      <w:spacing w:after="150"/>
      <w:jc w:val="left"/>
    </w:pPr>
    <w:rPr>
      <w:rFonts w:ascii="宋体" w:hAnsi="宋体" w:cs="宋体"/>
      <w:kern w:val="0"/>
      <w:sz w:val="24"/>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1"/>
    <w:basedOn w:val="1"/>
    <w:next w:val="26"/>
    <w:qFormat/>
    <w:uiPriority w:val="0"/>
    <w:rPr>
      <w:rFonts w:ascii="宋体" w:hAnsi="Courier New"/>
      <w:szCs w:val="20"/>
    </w:rPr>
  </w:style>
  <w:style w:type="paragraph" w:customStyle="1" w:styleId="6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F2"/>
    <w:basedOn w:val="1"/>
    <w:qFormat/>
    <w:uiPriority w:val="0"/>
    <w:pPr>
      <w:autoSpaceDE w:val="0"/>
      <w:autoSpaceDN w:val="0"/>
      <w:adjustRightInd w:val="0"/>
      <w:ind w:firstLine="601"/>
      <w:textAlignment w:val="baseline"/>
    </w:pPr>
    <w:rPr>
      <w:kern w:val="0"/>
      <w:sz w:val="24"/>
      <w:szCs w:val="20"/>
    </w:rPr>
  </w:style>
  <w:style w:type="paragraph" w:styleId="65">
    <w:name w:val="List Paragraph"/>
    <w:basedOn w:val="1"/>
    <w:qFormat/>
    <w:uiPriority w:val="34"/>
    <w:pPr>
      <w:ind w:firstLine="420" w:firstLineChars="200"/>
    </w:pPr>
    <w:rPr>
      <w:rFonts w:ascii="Calibri" w:hAnsi="Calibri"/>
      <w:szCs w:val="22"/>
    </w:rPr>
  </w:style>
  <w:style w:type="paragraph" w:customStyle="1" w:styleId="66">
    <w:name w:val="_Style 65"/>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五号正文（标准）"/>
    <w:basedOn w:val="1"/>
    <w:qFormat/>
    <w:uiPriority w:val="0"/>
    <w:pPr>
      <w:spacing w:line="360" w:lineRule="auto"/>
      <w:ind w:right="55" w:firstLine="560" w:firstLineChars="200"/>
    </w:pPr>
    <w:rPr>
      <w:rFonts w:eastAsia="仿宋_GB2312"/>
      <w:sz w:val="28"/>
      <w:szCs w:val="20"/>
    </w:rPr>
  </w:style>
  <w:style w:type="paragraph" w:customStyle="1" w:styleId="69">
    <w:name w:val="样式1"/>
    <w:basedOn w:val="1"/>
    <w:qFormat/>
    <w:uiPriority w:val="0"/>
    <w:pPr>
      <w:spacing w:before="120" w:after="120" w:line="300" w:lineRule="auto"/>
    </w:pPr>
    <w:rPr>
      <w:rFonts w:ascii="宋体" w:hAnsi="宋体"/>
      <w:b/>
      <w:sz w:val="24"/>
      <w:szCs w:val="20"/>
    </w:rPr>
  </w:style>
  <w:style w:type="paragraph" w:customStyle="1" w:styleId="70">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7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7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5">
    <w:name w:val="正文段"/>
    <w:basedOn w:val="1"/>
    <w:qFormat/>
    <w:uiPriority w:val="0"/>
    <w:pPr>
      <w:widowControl/>
      <w:snapToGrid w:val="0"/>
      <w:spacing w:afterLines="50"/>
      <w:ind w:firstLine="200" w:firstLineChars="200"/>
    </w:pPr>
    <w:rPr>
      <w:kern w:val="0"/>
      <w:sz w:val="24"/>
      <w:szCs w:val="20"/>
    </w:rPr>
  </w:style>
  <w:style w:type="paragraph" w:customStyle="1" w:styleId="76">
    <w:name w:val="标题3"/>
    <w:basedOn w:val="3"/>
    <w:link w:val="143"/>
    <w:qFormat/>
    <w:uiPriority w:val="0"/>
    <w:pPr>
      <w:spacing w:beforeLines="50" w:afterLines="50" w:line="400" w:lineRule="exact"/>
    </w:pPr>
    <w:rPr>
      <w:rFonts w:ascii="宋体" w:hAnsi="宋体"/>
      <w:sz w:val="24"/>
      <w:szCs w:val="24"/>
    </w:rPr>
  </w:style>
  <w:style w:type="paragraph" w:customStyle="1" w:styleId="77">
    <w:name w:val="正文首行缩进两字符"/>
    <w:basedOn w:val="1"/>
    <w:qFormat/>
    <w:uiPriority w:val="0"/>
    <w:pPr>
      <w:spacing w:line="360" w:lineRule="auto"/>
      <w:ind w:firstLine="200" w:firstLineChars="200"/>
    </w:pPr>
  </w:style>
  <w:style w:type="paragraph" w:customStyle="1" w:styleId="7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9">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80">
    <w:name w:val="表格"/>
    <w:basedOn w:val="1"/>
    <w:qFormat/>
    <w:uiPriority w:val="0"/>
    <w:pPr>
      <w:spacing w:line="400" w:lineRule="exact"/>
    </w:pPr>
    <w:rPr>
      <w:sz w:val="24"/>
    </w:rPr>
  </w:style>
  <w:style w:type="paragraph" w:customStyle="1" w:styleId="81">
    <w:name w:val="Char Char Char"/>
    <w:basedOn w:val="1"/>
    <w:qFormat/>
    <w:uiPriority w:val="0"/>
    <w:rPr>
      <w:rFonts w:ascii="Tahoma" w:hAnsi="Tahoma"/>
      <w:sz w:val="24"/>
      <w:szCs w:val="20"/>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Char Char Char Char Char Char Char"/>
    <w:basedOn w:val="1"/>
    <w:qFormat/>
    <w:uiPriority w:val="0"/>
  </w:style>
  <w:style w:type="paragraph" w:customStyle="1" w:styleId="8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85">
    <w:name w:val="1ji"/>
    <w:basedOn w:val="3"/>
    <w:link w:val="152"/>
    <w:qFormat/>
    <w:uiPriority w:val="0"/>
    <w:pPr>
      <w:keepLines w:val="0"/>
      <w:widowControl/>
      <w:spacing w:before="0" w:after="0" w:line="240" w:lineRule="auto"/>
      <w:jc w:val="center"/>
    </w:pPr>
    <w:rPr>
      <w:rFonts w:ascii="宋体" w:hAnsi="宋体"/>
      <w:sz w:val="36"/>
    </w:rPr>
  </w:style>
  <w:style w:type="paragraph" w:customStyle="1" w:styleId="86">
    <w:name w:val="_Style 8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8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列出段落1"/>
    <w:basedOn w:val="1"/>
    <w:semiHidden/>
    <w:qFormat/>
    <w:uiPriority w:val="34"/>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4">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00">
    <w:name w:val="_Style 99"/>
    <w:basedOn w:val="1"/>
    <w:next w:val="1"/>
    <w:link w:val="148"/>
    <w:qFormat/>
    <w:uiPriority w:val="0"/>
    <w:pPr>
      <w:pBdr>
        <w:bottom w:val="single" w:color="auto" w:sz="6" w:space="1"/>
      </w:pBdr>
      <w:jc w:val="center"/>
    </w:pPr>
    <w:rPr>
      <w:rFonts w:ascii="Arial"/>
      <w:vanish/>
      <w:sz w:val="16"/>
    </w:rPr>
  </w:style>
  <w:style w:type="paragraph" w:customStyle="1" w:styleId="101">
    <w:name w:val="默认段落字体 Para Char"/>
    <w:basedOn w:val="1"/>
    <w:qFormat/>
    <w:uiPriority w:val="0"/>
    <w:pPr>
      <w:adjustRightInd w:val="0"/>
      <w:spacing w:line="360" w:lineRule="auto"/>
    </w:pPr>
    <w:rPr>
      <w:kern w:val="0"/>
      <w:sz w:val="24"/>
      <w:szCs w:val="20"/>
    </w:rPr>
  </w:style>
  <w:style w:type="paragraph" w:customStyle="1" w:styleId="102">
    <w:name w:val="Char11"/>
    <w:basedOn w:val="1"/>
    <w:qFormat/>
    <w:uiPriority w:val="0"/>
    <w:pPr>
      <w:tabs>
        <w:tab w:val="left" w:pos="360"/>
      </w:tabs>
      <w:ind w:left="252" w:hanging="252" w:hangingChars="140"/>
    </w:pPr>
    <w:rPr>
      <w:rFonts w:ascii="宋体"/>
      <w:sz w:val="18"/>
      <w:szCs w:val="18"/>
    </w:rPr>
  </w:style>
  <w:style w:type="paragraph" w:customStyle="1" w:styleId="103">
    <w:name w:val="次小点说明 Char"/>
    <w:basedOn w:val="8"/>
    <w:qFormat/>
    <w:uiPriority w:val="0"/>
    <w:pPr>
      <w:ind w:firstLine="0"/>
    </w:pPr>
    <w:rPr>
      <w:sz w:val="24"/>
      <w:szCs w:val="24"/>
    </w:rPr>
  </w:style>
  <w:style w:type="paragraph" w:customStyle="1" w:styleId="10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05">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06">
    <w:name w:val="444"/>
    <w:basedOn w:val="1"/>
    <w:qFormat/>
    <w:uiPriority w:val="0"/>
    <w:pPr>
      <w:adjustRightInd w:val="0"/>
      <w:spacing w:line="312" w:lineRule="atLeast"/>
      <w:jc w:val="center"/>
      <w:textAlignment w:val="baseline"/>
    </w:pPr>
    <w:rPr>
      <w:b/>
      <w:kern w:val="0"/>
      <w:sz w:val="36"/>
      <w:szCs w:val="36"/>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1">
    <w:name w:val="样式 首行缩进:  2 字符"/>
    <w:basedOn w:val="1"/>
    <w:qFormat/>
    <w:uiPriority w:val="0"/>
    <w:pPr>
      <w:spacing w:line="400" w:lineRule="exact"/>
      <w:ind w:firstLine="200" w:firstLineChars="200"/>
    </w:pPr>
    <w:rPr>
      <w:rFonts w:cs="宋体"/>
      <w:sz w:val="24"/>
    </w:rPr>
  </w:style>
  <w:style w:type="paragraph" w:customStyle="1" w:styleId="112">
    <w:name w:val="Char Char Char2"/>
    <w:basedOn w:val="17"/>
    <w:qFormat/>
    <w:uiPriority w:val="0"/>
    <w:pPr>
      <w:adjustRightInd/>
      <w:spacing w:line="240" w:lineRule="auto"/>
      <w:textAlignment w:val="auto"/>
    </w:pPr>
    <w:rPr>
      <w:rFonts w:ascii="Tahoma" w:hAnsi="Tahoma"/>
      <w:kern w:val="2"/>
      <w:sz w:val="24"/>
      <w:szCs w:val="24"/>
    </w:rPr>
  </w:style>
  <w:style w:type="paragraph" w:customStyle="1" w:styleId="1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Char Char Char Char Char Char Char1"/>
    <w:basedOn w:val="1"/>
    <w:qFormat/>
    <w:uiPriority w:val="0"/>
  </w:style>
  <w:style w:type="paragraph" w:customStyle="1" w:styleId="117">
    <w:name w:val="Char1"/>
    <w:basedOn w:val="1"/>
    <w:qFormat/>
    <w:uiPriority w:val="0"/>
    <w:rPr>
      <w:szCs w:val="21"/>
    </w:rPr>
  </w:style>
  <w:style w:type="character" w:customStyle="1" w:styleId="118">
    <w:name w:val="mark8"/>
    <w:qFormat/>
    <w:uiPriority w:val="0"/>
    <w:rPr>
      <w:b/>
      <w:bCs/>
      <w:sz w:val="21"/>
      <w:szCs w:val="21"/>
    </w:rPr>
  </w:style>
  <w:style w:type="character" w:customStyle="1" w:styleId="119">
    <w:name w:val="062"/>
    <w:qFormat/>
    <w:uiPriority w:val="0"/>
    <w:rPr>
      <w:rFonts w:ascii="宋体" w:hAnsi="宋体"/>
      <w:b/>
      <w:bCs/>
      <w:sz w:val="32"/>
    </w:rPr>
  </w:style>
  <w:style w:type="character" w:customStyle="1" w:styleId="120">
    <w:name w:val="正文文本 2 Char"/>
    <w:link w:val="41"/>
    <w:qFormat/>
    <w:uiPriority w:val="0"/>
    <w:rPr>
      <w:kern w:val="2"/>
      <w:sz w:val="21"/>
      <w:szCs w:val="24"/>
    </w:rPr>
  </w:style>
  <w:style w:type="character" w:customStyle="1" w:styleId="121">
    <w:name w:val="标题 3 Char"/>
    <w:link w:val="5"/>
    <w:qFormat/>
    <w:uiPriority w:val="0"/>
    <w:rPr>
      <w:b/>
      <w:bCs/>
      <w:kern w:val="2"/>
      <w:sz w:val="32"/>
      <w:szCs w:val="32"/>
    </w:rPr>
  </w:style>
  <w:style w:type="character" w:customStyle="1" w:styleId="122">
    <w:name w:val="标题 8 Char"/>
    <w:link w:val="11"/>
    <w:qFormat/>
    <w:uiPriority w:val="0"/>
    <w:rPr>
      <w:rFonts w:ascii="Arial" w:hAnsi="Arial" w:eastAsia="黑体"/>
      <w:kern w:val="2"/>
      <w:sz w:val="24"/>
      <w:szCs w:val="24"/>
    </w:rPr>
  </w:style>
  <w:style w:type="character" w:customStyle="1" w:styleId="123">
    <w:name w:val="批注主题 Char"/>
    <w:link w:val="48"/>
    <w:qFormat/>
    <w:uiPriority w:val="0"/>
    <w:rPr>
      <w:b/>
      <w:bCs/>
      <w:kern w:val="2"/>
      <w:sz w:val="21"/>
      <w:szCs w:val="24"/>
    </w:rPr>
  </w:style>
  <w:style w:type="character" w:customStyle="1" w:styleId="124">
    <w:name w:val="case31"/>
    <w:qFormat/>
    <w:uiPriority w:val="0"/>
    <w:rPr>
      <w:rFonts w:hint="default" w:ascii="_x000B__x000C_" w:hAnsi="_x000B__x000C_"/>
      <w:sz w:val="21"/>
      <w:szCs w:val="21"/>
    </w:rPr>
  </w:style>
  <w:style w:type="character" w:customStyle="1" w:styleId="125">
    <w:name w:val="批注文字 Char"/>
    <w:link w:val="18"/>
    <w:qFormat/>
    <w:uiPriority w:val="0"/>
    <w:rPr>
      <w:kern w:val="2"/>
      <w:sz w:val="21"/>
      <w:szCs w:val="24"/>
    </w:rPr>
  </w:style>
  <w:style w:type="character" w:customStyle="1" w:styleId="126">
    <w:name w:val="style21"/>
    <w:qFormat/>
    <w:uiPriority w:val="0"/>
    <w:rPr>
      <w:sz w:val="17"/>
      <w:szCs w:val="17"/>
    </w:rPr>
  </w:style>
  <w:style w:type="character" w:customStyle="1" w:styleId="127">
    <w:name w:val="short_text1"/>
    <w:qFormat/>
    <w:uiPriority w:val="0"/>
    <w:rPr>
      <w:sz w:val="26"/>
    </w:rPr>
  </w:style>
  <w:style w:type="character" w:customStyle="1" w:styleId="128">
    <w:name w:val="正文文本缩进 2 Char"/>
    <w:link w:val="29"/>
    <w:qFormat/>
    <w:uiPriority w:val="0"/>
    <w:rPr>
      <w:kern w:val="2"/>
      <w:sz w:val="32"/>
    </w:rPr>
  </w:style>
  <w:style w:type="character" w:customStyle="1" w:styleId="129">
    <w:name w:val="标题 5 Char"/>
    <w:link w:val="7"/>
    <w:qFormat/>
    <w:uiPriority w:val="0"/>
    <w:rPr>
      <w:b/>
      <w:kern w:val="2"/>
      <w:sz w:val="28"/>
      <w:szCs w:val="24"/>
    </w:rPr>
  </w:style>
  <w:style w:type="character" w:customStyle="1" w:styleId="130">
    <w:name w:val="graytext1"/>
    <w:qFormat/>
    <w:uiPriority w:val="0"/>
    <w:rPr>
      <w:color w:val="666666"/>
    </w:rPr>
  </w:style>
  <w:style w:type="character" w:customStyle="1" w:styleId="131">
    <w:name w:val="unnamed3"/>
    <w:basedOn w:val="53"/>
    <w:qFormat/>
    <w:uiPriority w:val="0"/>
  </w:style>
  <w:style w:type="character" w:customStyle="1" w:styleId="132">
    <w:name w:val="apple-converted-space"/>
    <w:qFormat/>
    <w:uiPriority w:val="0"/>
  </w:style>
  <w:style w:type="character" w:customStyle="1" w:styleId="133">
    <w:name w:val="标题 1 Char"/>
    <w:link w:val="3"/>
    <w:qFormat/>
    <w:uiPriority w:val="9"/>
    <w:rPr>
      <w:rFonts w:eastAsia="宋体"/>
      <w:b/>
      <w:bCs/>
      <w:kern w:val="44"/>
      <w:sz w:val="44"/>
      <w:szCs w:val="44"/>
      <w:lang w:val="en-US" w:eastAsia="zh-CN" w:bidi="ar-SA"/>
    </w:rPr>
  </w:style>
  <w:style w:type="character" w:customStyle="1" w:styleId="134">
    <w:name w:val="批注框文本 Char"/>
    <w:link w:val="30"/>
    <w:qFormat/>
    <w:uiPriority w:val="0"/>
    <w:rPr>
      <w:kern w:val="2"/>
      <w:sz w:val="18"/>
      <w:szCs w:val="18"/>
    </w:rPr>
  </w:style>
  <w:style w:type="character" w:customStyle="1" w:styleId="135">
    <w:name w:val="页脚 Char"/>
    <w:link w:val="31"/>
    <w:qFormat/>
    <w:uiPriority w:val="0"/>
    <w:rPr>
      <w:kern w:val="2"/>
      <w:sz w:val="18"/>
      <w:szCs w:val="18"/>
    </w:rPr>
  </w:style>
  <w:style w:type="character" w:customStyle="1" w:styleId="136">
    <w:name w:val="font01"/>
    <w:qFormat/>
    <w:uiPriority w:val="0"/>
    <w:rPr>
      <w:rFonts w:hint="eastAsia" w:ascii="宋体" w:hAnsi="宋体" w:eastAsia="宋体"/>
      <w:color w:val="000000"/>
      <w:sz w:val="22"/>
      <w:szCs w:val="22"/>
      <w:u w:val="none"/>
    </w:rPr>
  </w:style>
  <w:style w:type="character" w:customStyle="1" w:styleId="137">
    <w:name w:val="1051"/>
    <w:qFormat/>
    <w:uiPriority w:val="0"/>
    <w:rPr>
      <w:sz w:val="21"/>
      <w:szCs w:val="21"/>
    </w:rPr>
  </w:style>
  <w:style w:type="character" w:customStyle="1" w:styleId="138">
    <w:name w:val="标题 Char"/>
    <w:link w:val="47"/>
    <w:qFormat/>
    <w:uiPriority w:val="0"/>
    <w:rPr>
      <w:kern w:val="2"/>
      <w:sz w:val="30"/>
      <w:szCs w:val="24"/>
    </w:rPr>
  </w:style>
  <w:style w:type="character" w:customStyle="1" w:styleId="139">
    <w:name w:val="small"/>
    <w:basedOn w:val="53"/>
    <w:qFormat/>
    <w:uiPriority w:val="0"/>
  </w:style>
  <w:style w:type="character" w:customStyle="1" w:styleId="140">
    <w:name w:val="HTML 预设格式 Char"/>
    <w:link w:val="44"/>
    <w:qFormat/>
    <w:uiPriority w:val="0"/>
    <w:rPr>
      <w:rFonts w:ascii="黑体" w:hAnsi="Courier New" w:eastAsia="黑体" w:cs="Courier New"/>
    </w:rPr>
  </w:style>
  <w:style w:type="character" w:customStyle="1" w:styleId="141">
    <w:name w:val="标题 4 Char"/>
    <w:link w:val="6"/>
    <w:qFormat/>
    <w:uiPriority w:val="0"/>
    <w:rPr>
      <w:rFonts w:ascii="Arial" w:hAnsi="Arial" w:eastAsia="黑体"/>
      <w:sz w:val="28"/>
    </w:rPr>
  </w:style>
  <w:style w:type="character" w:customStyle="1" w:styleId="142">
    <w:name w:val="纯文本 Char"/>
    <w:link w:val="26"/>
    <w:qFormat/>
    <w:uiPriority w:val="99"/>
    <w:rPr>
      <w:rFonts w:ascii="宋体" w:hAnsi="Courier New" w:eastAsia="宋体" w:cs="Courier New"/>
      <w:kern w:val="2"/>
      <w:sz w:val="21"/>
      <w:szCs w:val="21"/>
      <w:lang w:val="en-US" w:eastAsia="zh-CN" w:bidi="ar-SA"/>
    </w:rPr>
  </w:style>
  <w:style w:type="character" w:customStyle="1" w:styleId="143">
    <w:name w:val="标题3 Char"/>
    <w:link w:val="76"/>
    <w:qFormat/>
    <w:uiPriority w:val="0"/>
    <w:rPr>
      <w:rFonts w:ascii="宋体" w:hAnsi="宋体"/>
      <w:b/>
      <w:bCs/>
      <w:kern w:val="44"/>
      <w:sz w:val="24"/>
      <w:szCs w:val="24"/>
    </w:rPr>
  </w:style>
  <w:style w:type="character" w:customStyle="1" w:styleId="144">
    <w:name w:val="text11"/>
    <w:qFormat/>
    <w:uiPriority w:val="0"/>
    <w:rPr>
      <w:rFonts w:hint="default" w:ascii="Verdana" w:hAnsi="Verdana"/>
      <w:color w:val="4E4E4E"/>
      <w:sz w:val="18"/>
      <w:szCs w:val="18"/>
    </w:rPr>
  </w:style>
  <w:style w:type="character" w:customStyle="1" w:styleId="145">
    <w:name w:val="正文首行缩进 2 Char"/>
    <w:link w:val="50"/>
    <w:qFormat/>
    <w:uiPriority w:val="0"/>
    <w:rPr>
      <w:kern w:val="2"/>
      <w:sz w:val="21"/>
      <w:szCs w:val="24"/>
    </w:rPr>
  </w:style>
  <w:style w:type="character" w:customStyle="1" w:styleId="146">
    <w:name w:val="纯文本 Char1"/>
    <w:qFormat/>
    <w:uiPriority w:val="0"/>
    <w:rPr>
      <w:rFonts w:ascii="宋体" w:hAnsi="Courier New" w:eastAsia="宋体" w:cs="Courier New"/>
      <w:kern w:val="2"/>
      <w:sz w:val="21"/>
      <w:szCs w:val="21"/>
      <w:lang w:val="en-US" w:eastAsia="zh-CN" w:bidi="ar-SA"/>
    </w:rPr>
  </w:style>
  <w:style w:type="character" w:customStyle="1" w:styleId="147">
    <w:name w:val="文档结构图 Char"/>
    <w:link w:val="17"/>
    <w:qFormat/>
    <w:uiPriority w:val="0"/>
    <w:rPr>
      <w:sz w:val="21"/>
      <w:shd w:val="clear" w:color="auto" w:fill="000080"/>
    </w:rPr>
  </w:style>
  <w:style w:type="character" w:customStyle="1" w:styleId="148">
    <w:name w:val="z-窗体顶端 字符"/>
    <w:link w:val="100"/>
    <w:qFormat/>
    <w:uiPriority w:val="0"/>
    <w:rPr>
      <w:rFonts w:ascii="Arial"/>
      <w:vanish/>
      <w:kern w:val="2"/>
      <w:sz w:val="16"/>
      <w:szCs w:val="24"/>
    </w:rPr>
  </w:style>
  <w:style w:type="character" w:customStyle="1" w:styleId="149">
    <w:name w:val="正文文本缩进 Char"/>
    <w:link w:val="20"/>
    <w:qFormat/>
    <w:uiPriority w:val="99"/>
    <w:rPr>
      <w:rFonts w:ascii="仿宋_GB2312" w:eastAsia="仿宋_GB2312"/>
      <w:kern w:val="2"/>
      <w:sz w:val="32"/>
    </w:rPr>
  </w:style>
  <w:style w:type="character" w:customStyle="1" w:styleId="150">
    <w:name w:val="标题 6 Char"/>
    <w:link w:val="9"/>
    <w:qFormat/>
    <w:uiPriority w:val="0"/>
    <w:rPr>
      <w:rFonts w:ascii="Arial" w:hAnsi="Arial" w:eastAsia="黑体"/>
      <w:b/>
      <w:kern w:val="2"/>
      <w:sz w:val="24"/>
      <w:szCs w:val="24"/>
    </w:rPr>
  </w:style>
  <w:style w:type="character" w:customStyle="1" w:styleId="151">
    <w:name w:val="正文文本 Char"/>
    <w:link w:val="2"/>
    <w:qFormat/>
    <w:uiPriority w:val="99"/>
    <w:rPr>
      <w:kern w:val="2"/>
      <w:sz w:val="24"/>
      <w:szCs w:val="24"/>
    </w:rPr>
  </w:style>
  <w:style w:type="character" w:customStyle="1" w:styleId="152">
    <w:name w:val="1ji Char"/>
    <w:link w:val="85"/>
    <w:qFormat/>
    <w:uiPriority w:val="0"/>
    <w:rPr>
      <w:rFonts w:ascii="宋体" w:hAnsi="宋体" w:eastAsia="宋体"/>
      <w:b/>
      <w:bCs/>
      <w:kern w:val="44"/>
      <w:sz w:val="36"/>
      <w:szCs w:val="44"/>
      <w:lang w:val="en-US" w:eastAsia="zh-CN" w:bidi="ar-SA"/>
    </w:rPr>
  </w:style>
  <w:style w:type="character" w:customStyle="1" w:styleId="153">
    <w:name w:val="正文文本 3 Char"/>
    <w:link w:val="19"/>
    <w:qFormat/>
    <w:uiPriority w:val="0"/>
    <w:rPr>
      <w:b/>
      <w:bCs/>
      <w:kern w:val="2"/>
      <w:sz w:val="24"/>
      <w:szCs w:val="24"/>
    </w:rPr>
  </w:style>
  <w:style w:type="character" w:customStyle="1" w:styleId="154">
    <w:name w:val="批注文字 字符1"/>
    <w:qFormat/>
    <w:uiPriority w:val="0"/>
    <w:rPr>
      <w:kern w:val="2"/>
      <w:sz w:val="21"/>
      <w:szCs w:val="24"/>
    </w:rPr>
  </w:style>
  <w:style w:type="character" w:customStyle="1" w:styleId="155">
    <w:name w:val="日期 Char"/>
    <w:link w:val="28"/>
    <w:qFormat/>
    <w:uiPriority w:val="0"/>
    <w:rPr>
      <w:rFonts w:ascii="宋体" w:hAnsi="Courier New" w:cs="Courier New"/>
      <w:kern w:val="2"/>
      <w:sz w:val="21"/>
      <w:szCs w:val="21"/>
    </w:rPr>
  </w:style>
  <w:style w:type="character" w:customStyle="1" w:styleId="156">
    <w:name w:val="标题 2 Char"/>
    <w:link w:val="4"/>
    <w:qFormat/>
    <w:uiPriority w:val="0"/>
    <w:rPr>
      <w:rFonts w:ascii="Arial" w:hAnsi="Arial" w:eastAsia="黑体"/>
      <w:b/>
      <w:bCs/>
      <w:kern w:val="2"/>
      <w:sz w:val="32"/>
      <w:szCs w:val="32"/>
    </w:rPr>
  </w:style>
  <w:style w:type="character" w:customStyle="1" w:styleId="157">
    <w:name w:val="正文首行缩进 Char"/>
    <w:link w:val="49"/>
    <w:qFormat/>
    <w:uiPriority w:val="0"/>
    <w:rPr>
      <w:kern w:val="2"/>
      <w:sz w:val="21"/>
      <w:szCs w:val="24"/>
    </w:rPr>
  </w:style>
  <w:style w:type="character" w:customStyle="1" w:styleId="158">
    <w:name w:val="标题 9 Char"/>
    <w:link w:val="12"/>
    <w:qFormat/>
    <w:uiPriority w:val="0"/>
    <w:rPr>
      <w:rFonts w:ascii="Arial" w:hAnsi="Arial" w:eastAsia="黑体"/>
      <w:kern w:val="2"/>
      <w:sz w:val="21"/>
      <w:szCs w:val="24"/>
    </w:rPr>
  </w:style>
  <w:style w:type="character" w:customStyle="1" w:styleId="159">
    <w:name w:val="页眉 Char"/>
    <w:link w:val="32"/>
    <w:qFormat/>
    <w:uiPriority w:val="99"/>
    <w:rPr>
      <w:kern w:val="2"/>
      <w:sz w:val="18"/>
      <w:szCs w:val="18"/>
    </w:rPr>
  </w:style>
  <w:style w:type="character" w:customStyle="1" w:styleId="160">
    <w:name w:val="style11"/>
    <w:qFormat/>
    <w:uiPriority w:val="0"/>
    <w:rPr>
      <w:rFonts w:hint="default" w:ascii="Arial" w:hAnsi="Arial" w:cs="Arial"/>
    </w:rPr>
  </w:style>
  <w:style w:type="character" w:customStyle="1" w:styleId="161">
    <w:name w:val="正文文本缩进 3 Char"/>
    <w:link w:val="38"/>
    <w:qFormat/>
    <w:uiPriority w:val="0"/>
    <w:rPr>
      <w:kern w:val="2"/>
      <w:sz w:val="16"/>
      <w:szCs w:val="16"/>
    </w:rPr>
  </w:style>
  <w:style w:type="character" w:customStyle="1" w:styleId="162">
    <w:name w:val="white"/>
    <w:basedOn w:val="53"/>
    <w:qFormat/>
    <w:uiPriority w:val="0"/>
  </w:style>
  <w:style w:type="character" w:customStyle="1" w:styleId="163">
    <w:name w:val="标题 7 Char"/>
    <w:link w:val="10"/>
    <w:qFormat/>
    <w:uiPriority w:val="0"/>
    <w:rPr>
      <w:b/>
      <w:kern w:val="2"/>
      <w:sz w:val="24"/>
      <w:szCs w:val="24"/>
    </w:rPr>
  </w:style>
  <w:style w:type="character" w:customStyle="1" w:styleId="164">
    <w:name w:val="f151"/>
    <w:qFormat/>
    <w:uiPriority w:val="0"/>
    <w:rPr>
      <w:sz w:val="23"/>
      <w:szCs w:val="23"/>
    </w:rPr>
  </w:style>
  <w:style w:type="character" w:customStyle="1" w:styleId="165">
    <w:name w:val="content2"/>
    <w:basedOn w:val="53"/>
    <w:qFormat/>
    <w:uiPriority w:val="0"/>
  </w:style>
  <w:style w:type="character" w:customStyle="1" w:styleId="166">
    <w:name w:val="gray12"/>
    <w:basedOn w:val="53"/>
    <w:qFormat/>
    <w:uiPriority w:val="0"/>
  </w:style>
  <w:style w:type="character" w:customStyle="1" w:styleId="167">
    <w:name w:val="批注文字 Char2"/>
    <w:qFormat/>
    <w:uiPriority w:val="0"/>
    <w:rPr>
      <w:kern w:val="2"/>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A5504-11EE-4039-B3FB-436A99EFB1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6967</Words>
  <Characters>39713</Characters>
  <Lines>330</Lines>
  <Paragraphs>93</Paragraphs>
  <TotalTime>53</TotalTime>
  <ScaleCrop>false</ScaleCrop>
  <LinksUpToDate>false</LinksUpToDate>
  <CharactersWithSpaces>46587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2020-04-14T09:49:00Z</dcterms:created>
  <dc:creator>微软用户</dc:creator>
  <cp:lastModifiedBy>NTKO</cp:lastModifiedBy>
  <cp:lastPrinted>2016-03-22T07:52:00Z</cp:lastPrinted>
  <dcterms:modified xsi:type="dcterms:W3CDTF">2021-03-29T02:10:53Z</dcterms:modified>
  <dc:title>桂财采〔2009〕 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D6A52F45533E41D59E734B0F230A0BD4</vt:lpwstr>
  </property>
</Properties>
</file>