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黑体" w:hAnsi="黑体" w:eastAsia="黑体" w:cs="黑体"/>
          <w:color w:val="auto"/>
          <w:sz w:val="32"/>
          <w:szCs w:val="32"/>
          <w:highlight w:val="none"/>
        </w:rPr>
      </w:pPr>
      <w:r>
        <w:rPr>
          <w:rFonts w:ascii="黑体" w:hAnsi="黑体" w:eastAsia="黑体" w:cs="黑体"/>
          <w:color w:val="auto"/>
          <w:sz w:val="32"/>
          <w:szCs w:val="32"/>
          <w:highlight w:val="none"/>
        </w:rPr>
        <w:br w:type="textWrapping"/>
      </w:r>
    </w:p>
    <w:p>
      <w:pPr>
        <w:pStyle w:val="8"/>
        <w:rPr>
          <w:rFonts w:ascii="黑体" w:hAnsi="黑体" w:eastAsia="黑体" w:cs="黑体"/>
          <w:color w:val="auto"/>
          <w:sz w:val="32"/>
          <w:szCs w:val="32"/>
          <w:highlight w:val="none"/>
        </w:rPr>
      </w:pPr>
    </w:p>
    <w:p>
      <w:pPr>
        <w:rPr>
          <w:color w:val="auto"/>
          <w:highlight w:val="none"/>
        </w:rPr>
      </w:pPr>
    </w:p>
    <w:p>
      <w:pPr>
        <w:spacing w:line="600" w:lineRule="exact"/>
        <w:jc w:val="center"/>
        <w:rPr>
          <w:rFonts w:ascii="仿宋_GB2312" w:hAnsi="宋体" w:eastAsia="仿宋_GB2312"/>
          <w:color w:val="auto"/>
          <w:sz w:val="32"/>
          <w:szCs w:val="32"/>
          <w:highlight w:val="none"/>
        </w:rPr>
      </w:pPr>
    </w:p>
    <w:p>
      <w:pPr>
        <w:spacing w:beforeLines="50"/>
        <w:jc w:val="center"/>
        <w:rPr>
          <w:rFonts w:ascii="仿宋_GB2312" w:hAnsi="宋体" w:eastAsia="仿宋_GB2312"/>
          <w:b/>
          <w:color w:val="auto"/>
          <w:sz w:val="48"/>
          <w:szCs w:val="48"/>
          <w:highlight w:val="none"/>
        </w:rPr>
      </w:pPr>
    </w:p>
    <w:p>
      <w:pPr>
        <w:snapToGrid w:val="0"/>
        <w:spacing w:beforeLines="50" w:line="360" w:lineRule="auto"/>
        <w:jc w:val="center"/>
        <w:rPr>
          <w:rFonts w:ascii="华文新魏" w:hAnsi="宋体" w:eastAsia="华文新魏"/>
          <w:color w:val="auto"/>
          <w:sz w:val="72"/>
          <w:szCs w:val="72"/>
          <w:highlight w:val="none"/>
        </w:rPr>
      </w:pPr>
      <w:r>
        <w:rPr>
          <w:rFonts w:hint="eastAsia" w:ascii="宋体" w:hAnsi="宋体"/>
          <w:b/>
          <w:color w:val="auto"/>
          <w:sz w:val="72"/>
          <w:szCs w:val="72"/>
          <w:highlight w:val="none"/>
        </w:rPr>
        <w:t>公开招标采购文件</w:t>
      </w:r>
    </w:p>
    <w:p>
      <w:pPr>
        <w:snapToGrid w:val="0"/>
        <w:spacing w:beforeLines="50" w:line="360" w:lineRule="auto"/>
        <w:rPr>
          <w:rFonts w:ascii="仿宋_GB2312" w:hAnsi="宋体" w:eastAsia="仿宋_GB2312"/>
          <w:color w:val="auto"/>
          <w:sz w:val="30"/>
          <w:szCs w:val="72"/>
          <w:highlight w:val="none"/>
        </w:rPr>
      </w:pPr>
    </w:p>
    <w:p>
      <w:pPr>
        <w:snapToGrid w:val="0"/>
        <w:spacing w:beforeLines="50" w:line="360" w:lineRule="auto"/>
        <w:rPr>
          <w:rFonts w:ascii="仿宋_GB2312" w:hAnsi="宋体" w:eastAsia="仿宋_GB2312"/>
          <w:color w:val="auto"/>
          <w:sz w:val="30"/>
          <w:szCs w:val="72"/>
          <w:highlight w:val="none"/>
        </w:rPr>
      </w:pPr>
    </w:p>
    <w:p>
      <w:pPr>
        <w:pStyle w:val="25"/>
        <w:snapToGrid w:val="0"/>
        <w:spacing w:before="120" w:after="120" w:line="360" w:lineRule="auto"/>
        <w:ind w:firstLine="1193" w:firstLineChars="396"/>
        <w:rPr>
          <w:rFonts w:ascii="仿宋_GB2312" w:hAnsi="宋体" w:eastAsia="仿宋_GB2312"/>
          <w:b/>
          <w:color w:val="auto"/>
          <w:kern w:val="2"/>
          <w:sz w:val="30"/>
          <w:szCs w:val="48"/>
          <w:highlight w:val="none"/>
        </w:rPr>
      </w:pPr>
      <w:r>
        <w:rPr>
          <w:rFonts w:hint="eastAsia" w:ascii="仿宋_GB2312" w:hAnsi="宋体" w:eastAsia="仿宋_GB2312"/>
          <w:b/>
          <w:color w:val="auto"/>
          <w:kern w:val="2"/>
          <w:sz w:val="30"/>
          <w:szCs w:val="48"/>
          <w:highlight w:val="none"/>
        </w:rPr>
        <w:t xml:space="preserve">项目编号：GXZC2021-G1-001606-JGJD </w:t>
      </w:r>
    </w:p>
    <w:p>
      <w:pPr>
        <w:pStyle w:val="25"/>
        <w:snapToGrid w:val="0"/>
        <w:spacing w:before="120" w:after="120" w:line="360" w:lineRule="auto"/>
        <w:ind w:firstLine="1193" w:firstLineChars="396"/>
        <w:rPr>
          <w:rFonts w:ascii="仿宋_GB2312" w:hAnsi="宋体" w:eastAsia="仿宋_GB2312"/>
          <w:b/>
          <w:color w:val="auto"/>
          <w:kern w:val="2"/>
          <w:sz w:val="30"/>
          <w:szCs w:val="48"/>
          <w:highlight w:val="none"/>
        </w:rPr>
      </w:pPr>
      <w:r>
        <w:rPr>
          <w:rFonts w:hint="eastAsia" w:ascii="仿宋_GB2312" w:hAnsi="宋体" w:eastAsia="仿宋_GB2312"/>
          <w:b/>
          <w:color w:val="auto"/>
          <w:kern w:val="2"/>
          <w:sz w:val="30"/>
          <w:szCs w:val="48"/>
          <w:highlight w:val="none"/>
        </w:rPr>
        <w:t>采购计划支付文号：广西政采[2021]7108号</w:t>
      </w:r>
    </w:p>
    <w:p>
      <w:pPr>
        <w:pStyle w:val="25"/>
        <w:snapToGrid w:val="0"/>
        <w:spacing w:before="120" w:after="120" w:line="360" w:lineRule="auto"/>
        <w:ind w:left="2627" w:leftChars="568" w:hanging="1434" w:hangingChars="501"/>
        <w:rPr>
          <w:rFonts w:ascii="仿宋_GB2312" w:hAnsi="宋体" w:eastAsia="仿宋_GB2312"/>
          <w:color w:val="auto"/>
          <w:sz w:val="30"/>
          <w:szCs w:val="72"/>
          <w:highlight w:val="none"/>
        </w:rPr>
      </w:pPr>
      <w:r>
        <w:rPr>
          <w:rFonts w:hint="eastAsia" w:ascii="仿宋_GB2312" w:hAnsi="宋体" w:eastAsia="仿宋_GB2312" w:cs="Courier New"/>
          <w:b/>
          <w:bCs/>
          <w:color w:val="auto"/>
          <w:w w:val="95"/>
          <w:sz w:val="30"/>
          <w:szCs w:val="30"/>
          <w:highlight w:val="none"/>
        </w:rPr>
        <w:t>项目名称：</w:t>
      </w:r>
      <w:r>
        <w:rPr>
          <w:rFonts w:hint="eastAsia" w:ascii="仿宋_GB2312" w:hAnsi="宋体" w:eastAsia="仿宋_GB2312"/>
          <w:b/>
          <w:color w:val="auto"/>
          <w:sz w:val="30"/>
          <w:szCs w:val="48"/>
          <w:highlight w:val="none"/>
        </w:rPr>
        <w:t>残疾人辅助器具采购</w:t>
      </w:r>
    </w:p>
    <w:p>
      <w:pPr>
        <w:pStyle w:val="25"/>
        <w:snapToGrid w:val="0"/>
        <w:spacing w:before="120" w:after="120" w:line="360" w:lineRule="auto"/>
        <w:ind w:firstLine="1125" w:firstLineChars="393"/>
        <w:rPr>
          <w:rFonts w:ascii="仿宋_GB2312" w:hAnsi="宋体" w:eastAsia="仿宋_GB2312"/>
          <w:b/>
          <w:bCs/>
          <w:color w:val="auto"/>
          <w:w w:val="95"/>
          <w:sz w:val="30"/>
          <w:szCs w:val="30"/>
          <w:highlight w:val="none"/>
        </w:rPr>
      </w:pPr>
      <w:r>
        <w:rPr>
          <w:rFonts w:hint="eastAsia" w:ascii="仿宋_GB2312" w:hAnsi="宋体" w:eastAsia="仿宋_GB2312"/>
          <w:b/>
          <w:bCs/>
          <w:color w:val="auto"/>
          <w:w w:val="95"/>
          <w:sz w:val="30"/>
          <w:szCs w:val="30"/>
          <w:highlight w:val="none"/>
        </w:rPr>
        <w:t>采 购 人：广西壮族自治区残疾人联合会</w:t>
      </w:r>
    </w:p>
    <w:p>
      <w:pPr>
        <w:pStyle w:val="25"/>
        <w:snapToGrid w:val="0"/>
        <w:spacing w:before="120" w:after="120" w:line="360" w:lineRule="auto"/>
        <w:ind w:firstLine="1125" w:firstLineChars="393"/>
        <w:rPr>
          <w:rFonts w:ascii="仿宋_GB2312" w:hAnsi="宋体" w:eastAsia="仿宋_GB2312"/>
          <w:b/>
          <w:bCs/>
          <w:color w:val="auto"/>
          <w:w w:val="95"/>
          <w:sz w:val="30"/>
          <w:szCs w:val="30"/>
          <w:highlight w:val="none"/>
        </w:rPr>
      </w:pPr>
      <w:r>
        <w:rPr>
          <w:rFonts w:hint="eastAsia" w:ascii="仿宋_GB2312" w:hAnsi="宋体" w:eastAsia="仿宋_GB2312"/>
          <w:b/>
          <w:bCs/>
          <w:color w:val="auto"/>
          <w:w w:val="95"/>
          <w:sz w:val="30"/>
          <w:szCs w:val="30"/>
          <w:highlight w:val="none"/>
        </w:rPr>
        <w:t>采购代理机构：广西建设工程机电设备招标中心有限公司</w:t>
      </w:r>
    </w:p>
    <w:p>
      <w:pPr>
        <w:pStyle w:val="25"/>
        <w:snapToGrid w:val="0"/>
        <w:spacing w:before="120" w:after="120" w:line="360" w:lineRule="auto"/>
        <w:ind w:firstLine="2976" w:firstLineChars="1040"/>
        <w:rPr>
          <w:rFonts w:ascii="仿宋_GB2312" w:hAnsi="宋体" w:eastAsia="仿宋_GB2312"/>
          <w:b/>
          <w:bCs/>
          <w:color w:val="auto"/>
          <w:w w:val="95"/>
          <w:sz w:val="30"/>
          <w:szCs w:val="30"/>
          <w:highlight w:val="none"/>
        </w:rPr>
      </w:pPr>
    </w:p>
    <w:p>
      <w:pPr>
        <w:pStyle w:val="25"/>
        <w:snapToGrid w:val="0"/>
        <w:spacing w:before="120" w:after="120" w:line="360" w:lineRule="auto"/>
        <w:ind w:firstLine="1125" w:firstLineChars="393"/>
        <w:rPr>
          <w:rFonts w:ascii="仿宋_GB2312" w:hAnsi="宋体" w:eastAsia="仿宋_GB2312"/>
          <w:b/>
          <w:bCs/>
          <w:color w:val="auto"/>
          <w:w w:val="95"/>
          <w:sz w:val="30"/>
          <w:szCs w:val="30"/>
          <w:highlight w:val="none"/>
        </w:rPr>
      </w:pPr>
    </w:p>
    <w:p>
      <w:pPr>
        <w:pStyle w:val="25"/>
        <w:snapToGrid w:val="0"/>
        <w:spacing w:before="120" w:after="120" w:line="360" w:lineRule="auto"/>
        <w:ind w:firstLine="1125" w:firstLineChars="393"/>
        <w:rPr>
          <w:rFonts w:ascii="仿宋_GB2312" w:hAnsi="宋体" w:eastAsia="仿宋_GB2312"/>
          <w:b/>
          <w:bCs/>
          <w:color w:val="auto"/>
          <w:w w:val="95"/>
          <w:sz w:val="30"/>
          <w:szCs w:val="30"/>
          <w:highlight w:val="none"/>
        </w:rPr>
      </w:pPr>
    </w:p>
    <w:p>
      <w:pPr>
        <w:pStyle w:val="25"/>
        <w:snapToGrid w:val="0"/>
        <w:spacing w:before="120" w:after="120" w:line="360" w:lineRule="auto"/>
        <w:ind w:firstLine="841" w:firstLineChars="294"/>
        <w:rPr>
          <w:rFonts w:ascii="仿宋_GB2312" w:eastAsia="仿宋_GB2312"/>
          <w:color w:val="auto"/>
          <w:szCs w:val="20"/>
          <w:highlight w:val="none"/>
        </w:rPr>
      </w:pPr>
      <w:r>
        <w:rPr>
          <w:rFonts w:hint="eastAsia" w:ascii="仿宋_GB2312" w:hAnsi="宋体" w:eastAsia="仿宋_GB2312"/>
          <w:b/>
          <w:bCs/>
          <w:color w:val="auto"/>
          <w:w w:val="95"/>
          <w:sz w:val="30"/>
          <w:szCs w:val="30"/>
          <w:highlight w:val="none"/>
        </w:rPr>
        <w:t xml:space="preserve">              2021年5月  日</w:t>
      </w:r>
    </w:p>
    <w:p>
      <w:pPr>
        <w:pStyle w:val="25"/>
        <w:spacing w:before="120" w:after="120" w:line="360" w:lineRule="auto"/>
        <w:jc w:val="center"/>
        <w:rPr>
          <w:rFonts w:ascii="仿宋_GB2312" w:hAnsi="宋体" w:eastAsia="仿宋_GB2312"/>
          <w:color w:val="auto"/>
          <w:highlight w:val="none"/>
        </w:rPr>
      </w:pPr>
    </w:p>
    <w:p>
      <w:pPr>
        <w:pStyle w:val="25"/>
        <w:spacing w:before="120" w:after="120" w:line="360" w:lineRule="auto"/>
        <w:jc w:val="center"/>
        <w:rPr>
          <w:rFonts w:ascii="仿宋_GB2312" w:hAnsi="宋体" w:eastAsia="仿宋_GB2312"/>
          <w:color w:val="auto"/>
          <w:highlight w:val="none"/>
        </w:rPr>
      </w:pPr>
    </w:p>
    <w:p>
      <w:pPr>
        <w:pStyle w:val="25"/>
        <w:spacing w:before="120" w:after="120" w:line="360" w:lineRule="auto"/>
        <w:jc w:val="center"/>
        <w:rPr>
          <w:rFonts w:ascii="仿宋_GB2312" w:hAnsi="宋体" w:eastAsia="仿宋_GB2312"/>
          <w:color w:val="auto"/>
          <w:highlight w:val="none"/>
        </w:rPr>
      </w:pPr>
    </w:p>
    <w:p>
      <w:pPr>
        <w:pStyle w:val="25"/>
        <w:spacing w:before="120" w:after="120" w:line="360" w:lineRule="auto"/>
        <w:jc w:val="center"/>
        <w:rPr>
          <w:rFonts w:ascii="仿宋_GB2312" w:hAnsi="宋体" w:eastAsia="仿宋_GB2312"/>
          <w:color w:val="auto"/>
          <w:highlight w:val="none"/>
        </w:rPr>
      </w:pPr>
    </w:p>
    <w:p>
      <w:pPr>
        <w:pStyle w:val="25"/>
        <w:spacing w:before="120" w:after="120" w:line="360" w:lineRule="auto"/>
        <w:jc w:val="center"/>
        <w:rPr>
          <w:rFonts w:ascii="仿宋_GB2312" w:hAnsi="宋体" w:eastAsia="仿宋_GB2312"/>
          <w:color w:val="auto"/>
          <w:highlight w:val="none"/>
        </w:rPr>
      </w:pPr>
    </w:p>
    <w:p>
      <w:pPr>
        <w:pStyle w:val="25"/>
        <w:spacing w:before="120" w:after="120" w:line="360" w:lineRule="auto"/>
        <w:jc w:val="center"/>
        <w:rPr>
          <w:rFonts w:ascii="仿宋_GB2312" w:hAnsi="宋体" w:eastAsia="仿宋_GB2312"/>
          <w:b/>
          <w:color w:val="auto"/>
          <w:sz w:val="40"/>
          <w:szCs w:val="32"/>
          <w:highlight w:val="none"/>
        </w:rPr>
      </w:pPr>
      <w:r>
        <w:rPr>
          <w:rFonts w:hint="eastAsia" w:ascii="仿宋_GB2312" w:hAnsi="宋体" w:eastAsia="仿宋_GB2312"/>
          <w:b/>
          <w:color w:val="auto"/>
          <w:sz w:val="40"/>
          <w:szCs w:val="32"/>
          <w:highlight w:val="none"/>
        </w:rPr>
        <w:t>目    录</w:t>
      </w:r>
    </w:p>
    <w:p>
      <w:pPr>
        <w:pStyle w:val="39"/>
        <w:tabs>
          <w:tab w:val="right" w:leader="dot" w:pos="9800"/>
        </w:tabs>
        <w:spacing w:line="500" w:lineRule="exact"/>
        <w:rPr>
          <w:rFonts w:ascii="Calibri" w:hAnsi="Calibri"/>
          <w:color w:val="auto"/>
          <w:sz w:val="24"/>
          <w:szCs w:val="22"/>
          <w:highlight w:val="none"/>
        </w:rPr>
      </w:pPr>
      <w:r>
        <w:rPr>
          <w:rFonts w:ascii="仿宋_GB2312" w:hAnsi="宋体" w:eastAsia="仿宋_GB2312"/>
          <w:b/>
          <w:color w:val="auto"/>
          <w:sz w:val="24"/>
          <w:highlight w:val="none"/>
        </w:rPr>
        <w:fldChar w:fldCharType="begin"/>
      </w:r>
      <w:r>
        <w:rPr>
          <w:rFonts w:hint="eastAsia" w:ascii="仿宋_GB2312" w:hAnsi="宋体" w:eastAsia="仿宋_GB2312"/>
          <w:b/>
          <w:color w:val="auto"/>
          <w:sz w:val="24"/>
          <w:highlight w:val="none"/>
        </w:rPr>
        <w:instrText xml:space="preserve">TOC \o "1-2" \h \z \u</w:instrText>
      </w:r>
      <w:r>
        <w:rPr>
          <w:rFonts w:ascii="仿宋_GB2312" w:hAnsi="宋体" w:eastAsia="仿宋_GB2312"/>
          <w:b/>
          <w:color w:val="auto"/>
          <w:sz w:val="24"/>
          <w:highlight w:val="none"/>
        </w:rPr>
        <w:fldChar w:fldCharType="separate"/>
      </w:r>
      <w:r>
        <w:rPr>
          <w:color w:val="auto"/>
          <w:highlight w:val="none"/>
        </w:rPr>
        <w:fldChar w:fldCharType="begin"/>
      </w:r>
      <w:r>
        <w:rPr>
          <w:color w:val="auto"/>
          <w:highlight w:val="none"/>
        </w:rPr>
        <w:instrText xml:space="preserve"> HYPERLINK \l "_Toc50406491" </w:instrText>
      </w:r>
      <w:r>
        <w:rPr>
          <w:color w:val="auto"/>
          <w:highlight w:val="none"/>
        </w:rPr>
        <w:fldChar w:fldCharType="separate"/>
      </w:r>
      <w:r>
        <w:rPr>
          <w:rStyle w:val="53"/>
          <w:rFonts w:hint="eastAsia"/>
          <w:color w:val="auto"/>
          <w:sz w:val="24"/>
          <w:highlight w:val="none"/>
        </w:rPr>
        <w:t>第一章招标公告</w:t>
      </w:r>
      <w:r>
        <w:rPr>
          <w:color w:val="auto"/>
          <w:sz w:val="24"/>
          <w:highlight w:val="none"/>
        </w:rPr>
        <w:tab/>
      </w:r>
      <w:r>
        <w:rPr>
          <w:color w:val="auto"/>
          <w:sz w:val="24"/>
          <w:highlight w:val="none"/>
        </w:rPr>
        <w:fldChar w:fldCharType="begin"/>
      </w:r>
      <w:r>
        <w:rPr>
          <w:color w:val="auto"/>
          <w:sz w:val="24"/>
          <w:highlight w:val="none"/>
        </w:rPr>
        <w:instrText xml:space="preserve"> PAGEREF _Toc50406491 \h </w:instrText>
      </w:r>
      <w:r>
        <w:rPr>
          <w:color w:val="auto"/>
          <w:sz w:val="24"/>
          <w:highlight w:val="none"/>
        </w:rPr>
        <w:fldChar w:fldCharType="separate"/>
      </w:r>
      <w:r>
        <w:rPr>
          <w:color w:val="auto"/>
          <w:sz w:val="24"/>
          <w:highlight w:val="none"/>
        </w:rPr>
        <w:t>2</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"_Toc50406499" </w:instrText>
      </w:r>
      <w:r>
        <w:rPr>
          <w:color w:val="auto"/>
          <w:highlight w:val="none"/>
        </w:rPr>
        <w:fldChar w:fldCharType="separate"/>
      </w:r>
      <w:r>
        <w:rPr>
          <w:rStyle w:val="53"/>
          <w:rFonts w:hint="eastAsia"/>
          <w:color w:val="auto"/>
          <w:sz w:val="24"/>
          <w:highlight w:val="none"/>
        </w:rPr>
        <w:t>第二章采购需求</w:t>
      </w:r>
      <w:r>
        <w:rPr>
          <w:color w:val="auto"/>
          <w:sz w:val="24"/>
          <w:highlight w:val="none"/>
        </w:rPr>
        <w:tab/>
      </w:r>
      <w:r>
        <w:rPr>
          <w:color w:val="auto"/>
          <w:sz w:val="24"/>
          <w:highlight w:val="none"/>
        </w:rPr>
        <w:fldChar w:fldCharType="begin"/>
      </w:r>
      <w:r>
        <w:rPr>
          <w:color w:val="auto"/>
          <w:sz w:val="24"/>
          <w:highlight w:val="none"/>
        </w:rPr>
        <w:instrText xml:space="preserve"> PAGEREF _Toc50406499 \h </w:instrText>
      </w:r>
      <w:r>
        <w:rPr>
          <w:color w:val="auto"/>
          <w:sz w:val="24"/>
          <w:highlight w:val="none"/>
        </w:rPr>
        <w:fldChar w:fldCharType="separate"/>
      </w:r>
      <w:r>
        <w:rPr>
          <w:color w:val="auto"/>
          <w:sz w:val="24"/>
          <w:highlight w:val="none"/>
        </w:rPr>
        <w:t>5</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"_Toc50406500" </w:instrText>
      </w:r>
      <w:r>
        <w:rPr>
          <w:color w:val="auto"/>
          <w:highlight w:val="none"/>
        </w:rPr>
        <w:fldChar w:fldCharType="separate"/>
      </w:r>
      <w:r>
        <w:rPr>
          <w:rStyle w:val="53"/>
          <w:rFonts w:hint="eastAsia"/>
          <w:color w:val="auto"/>
          <w:sz w:val="24"/>
          <w:highlight w:val="none"/>
        </w:rPr>
        <w:t>第三章投标人须知</w:t>
      </w:r>
      <w:r>
        <w:rPr>
          <w:color w:val="auto"/>
          <w:sz w:val="24"/>
          <w:highlight w:val="none"/>
        </w:rPr>
        <w:tab/>
      </w:r>
      <w:r>
        <w:rPr>
          <w:color w:val="auto"/>
          <w:sz w:val="24"/>
          <w:highlight w:val="none"/>
        </w:rPr>
        <w:fldChar w:fldCharType="begin"/>
      </w:r>
      <w:r>
        <w:rPr>
          <w:color w:val="auto"/>
          <w:sz w:val="24"/>
          <w:highlight w:val="none"/>
        </w:rPr>
        <w:instrText xml:space="preserve"> PAGEREF _Toc50406500 \h </w:instrText>
      </w:r>
      <w:r>
        <w:rPr>
          <w:color w:val="auto"/>
          <w:sz w:val="24"/>
          <w:highlight w:val="none"/>
        </w:rPr>
        <w:fldChar w:fldCharType="separate"/>
      </w:r>
      <w:r>
        <w:rPr>
          <w:color w:val="auto"/>
          <w:sz w:val="24"/>
          <w:highlight w:val="none"/>
        </w:rPr>
        <w:t>15</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"_Toc50406501" </w:instrText>
      </w:r>
      <w:r>
        <w:rPr>
          <w:color w:val="auto"/>
          <w:highlight w:val="none"/>
        </w:rPr>
        <w:fldChar w:fldCharType="separate"/>
      </w:r>
      <w:r>
        <w:rPr>
          <w:rStyle w:val="53"/>
          <w:rFonts w:hint="eastAsia"/>
          <w:color w:val="auto"/>
          <w:sz w:val="24"/>
          <w:highlight w:val="none"/>
        </w:rPr>
        <w:t>第四章评标方法及评标标准</w:t>
      </w:r>
      <w:r>
        <w:rPr>
          <w:color w:val="auto"/>
          <w:sz w:val="24"/>
          <w:highlight w:val="none"/>
        </w:rPr>
        <w:tab/>
      </w:r>
      <w:r>
        <w:rPr>
          <w:color w:val="auto"/>
          <w:sz w:val="24"/>
          <w:highlight w:val="none"/>
        </w:rPr>
        <w:fldChar w:fldCharType="begin"/>
      </w:r>
      <w:r>
        <w:rPr>
          <w:color w:val="auto"/>
          <w:sz w:val="24"/>
          <w:highlight w:val="none"/>
        </w:rPr>
        <w:instrText xml:space="preserve"> PAGEREF _Toc50406501 \h </w:instrText>
      </w:r>
      <w:r>
        <w:rPr>
          <w:color w:val="auto"/>
          <w:sz w:val="24"/>
          <w:highlight w:val="none"/>
        </w:rPr>
        <w:fldChar w:fldCharType="separate"/>
      </w:r>
      <w:r>
        <w:rPr>
          <w:color w:val="auto"/>
          <w:sz w:val="24"/>
          <w:highlight w:val="none"/>
        </w:rPr>
        <w:t>32</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"_Toc50406502" </w:instrText>
      </w:r>
      <w:r>
        <w:rPr>
          <w:color w:val="auto"/>
          <w:highlight w:val="none"/>
        </w:rPr>
        <w:fldChar w:fldCharType="separate"/>
      </w:r>
      <w:r>
        <w:rPr>
          <w:rStyle w:val="53"/>
          <w:rFonts w:hint="eastAsia"/>
          <w:color w:val="auto"/>
          <w:sz w:val="24"/>
          <w:highlight w:val="none"/>
        </w:rPr>
        <w:t>第五章拟签订的合同文本</w:t>
      </w:r>
      <w:r>
        <w:rPr>
          <w:color w:val="auto"/>
          <w:sz w:val="24"/>
          <w:highlight w:val="none"/>
        </w:rPr>
        <w:tab/>
      </w:r>
      <w:r>
        <w:rPr>
          <w:color w:val="auto"/>
          <w:sz w:val="24"/>
          <w:highlight w:val="none"/>
        </w:rPr>
        <w:fldChar w:fldCharType="begin"/>
      </w:r>
      <w:r>
        <w:rPr>
          <w:color w:val="auto"/>
          <w:sz w:val="24"/>
          <w:highlight w:val="none"/>
        </w:rPr>
        <w:instrText xml:space="preserve"> PAGEREF _Toc50406502 \h </w:instrText>
      </w:r>
      <w:r>
        <w:rPr>
          <w:color w:val="auto"/>
          <w:sz w:val="24"/>
          <w:highlight w:val="none"/>
        </w:rPr>
        <w:fldChar w:fldCharType="separate"/>
      </w:r>
      <w:r>
        <w:rPr>
          <w:color w:val="auto"/>
          <w:sz w:val="24"/>
          <w:highlight w:val="none"/>
        </w:rPr>
        <w:t>38</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"_Toc50406503" </w:instrText>
      </w:r>
      <w:r>
        <w:rPr>
          <w:color w:val="auto"/>
          <w:highlight w:val="none"/>
        </w:rPr>
        <w:fldChar w:fldCharType="separate"/>
      </w:r>
      <w:r>
        <w:rPr>
          <w:rStyle w:val="53"/>
          <w:rFonts w:hint="eastAsia"/>
          <w:color w:val="auto"/>
          <w:sz w:val="24"/>
          <w:highlight w:val="none"/>
        </w:rPr>
        <w:t>第六章　投标文件格式</w:t>
      </w:r>
      <w:r>
        <w:rPr>
          <w:color w:val="auto"/>
          <w:sz w:val="24"/>
          <w:highlight w:val="none"/>
        </w:rPr>
        <w:tab/>
      </w:r>
      <w:r>
        <w:rPr>
          <w:color w:val="auto"/>
          <w:sz w:val="24"/>
          <w:highlight w:val="none"/>
        </w:rPr>
        <w:fldChar w:fldCharType="begin"/>
      </w:r>
      <w:r>
        <w:rPr>
          <w:color w:val="auto"/>
          <w:sz w:val="24"/>
          <w:highlight w:val="none"/>
        </w:rPr>
        <w:instrText xml:space="preserve"> PAGEREF _Toc50406503 \h </w:instrText>
      </w:r>
      <w:r>
        <w:rPr>
          <w:color w:val="auto"/>
          <w:sz w:val="24"/>
          <w:highlight w:val="none"/>
        </w:rPr>
        <w:fldChar w:fldCharType="separate"/>
      </w:r>
      <w:r>
        <w:rPr>
          <w:color w:val="auto"/>
          <w:sz w:val="24"/>
          <w:highlight w:val="none"/>
        </w:rPr>
        <w:t>43</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"_Toc50406504" </w:instrText>
      </w:r>
      <w:r>
        <w:rPr>
          <w:color w:val="auto"/>
          <w:highlight w:val="none"/>
        </w:rPr>
        <w:fldChar w:fldCharType="separate"/>
      </w:r>
      <w:r>
        <w:rPr>
          <w:rStyle w:val="53"/>
          <w:rFonts w:hint="eastAsia" w:ascii="宋体" w:hAnsi="宋体"/>
          <w:b/>
          <w:bCs/>
          <w:color w:val="auto"/>
          <w:sz w:val="24"/>
          <w:highlight w:val="none"/>
        </w:rPr>
        <w:t>一、投标文件外层包装封面格式</w:t>
      </w:r>
      <w:r>
        <w:rPr>
          <w:color w:val="auto"/>
          <w:sz w:val="24"/>
          <w:highlight w:val="none"/>
        </w:rPr>
        <w:tab/>
      </w:r>
      <w:r>
        <w:rPr>
          <w:color w:val="auto"/>
          <w:sz w:val="24"/>
          <w:highlight w:val="none"/>
        </w:rPr>
        <w:fldChar w:fldCharType="begin"/>
      </w:r>
      <w:r>
        <w:rPr>
          <w:color w:val="auto"/>
          <w:sz w:val="24"/>
          <w:highlight w:val="none"/>
        </w:rPr>
        <w:instrText xml:space="preserve"> PAGEREF _Toc50406504 \h </w:instrText>
      </w:r>
      <w:r>
        <w:rPr>
          <w:color w:val="auto"/>
          <w:sz w:val="24"/>
          <w:highlight w:val="none"/>
        </w:rPr>
        <w:fldChar w:fldCharType="separate"/>
      </w:r>
      <w:r>
        <w:rPr>
          <w:color w:val="auto"/>
          <w:sz w:val="24"/>
          <w:highlight w:val="none"/>
        </w:rPr>
        <w:t>44</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"_Toc50406505" </w:instrText>
      </w:r>
      <w:r>
        <w:rPr>
          <w:color w:val="auto"/>
          <w:highlight w:val="none"/>
        </w:rPr>
        <w:fldChar w:fldCharType="separate"/>
      </w:r>
      <w:r>
        <w:rPr>
          <w:rStyle w:val="53"/>
          <w:rFonts w:hint="eastAsia" w:ascii="宋体" w:hAnsi="宋体"/>
          <w:b/>
          <w:bCs/>
          <w:color w:val="auto"/>
          <w:sz w:val="24"/>
          <w:highlight w:val="none"/>
        </w:rPr>
        <w:t>二、报价文件格式</w:t>
      </w:r>
      <w:r>
        <w:rPr>
          <w:color w:val="auto"/>
          <w:sz w:val="24"/>
          <w:highlight w:val="none"/>
        </w:rPr>
        <w:tab/>
      </w:r>
      <w:r>
        <w:rPr>
          <w:color w:val="auto"/>
          <w:sz w:val="24"/>
          <w:highlight w:val="none"/>
        </w:rPr>
        <w:fldChar w:fldCharType="begin"/>
      </w:r>
      <w:r>
        <w:rPr>
          <w:color w:val="auto"/>
          <w:sz w:val="24"/>
          <w:highlight w:val="none"/>
        </w:rPr>
        <w:instrText xml:space="preserve"> PAGEREF _Toc50406505 \h </w:instrText>
      </w:r>
      <w:r>
        <w:rPr>
          <w:color w:val="auto"/>
          <w:sz w:val="24"/>
          <w:highlight w:val="none"/>
        </w:rPr>
        <w:fldChar w:fldCharType="separate"/>
      </w:r>
      <w:r>
        <w:rPr>
          <w:color w:val="auto"/>
          <w:sz w:val="24"/>
          <w:highlight w:val="none"/>
        </w:rPr>
        <w:t>45</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"_Toc50406506" </w:instrText>
      </w:r>
      <w:r>
        <w:rPr>
          <w:color w:val="auto"/>
          <w:highlight w:val="none"/>
        </w:rPr>
        <w:fldChar w:fldCharType="separate"/>
      </w:r>
      <w:r>
        <w:rPr>
          <w:rStyle w:val="53"/>
          <w:rFonts w:hint="eastAsia" w:ascii="宋体" w:hAnsi="宋体"/>
          <w:b/>
          <w:bCs/>
          <w:color w:val="auto"/>
          <w:sz w:val="24"/>
          <w:highlight w:val="none"/>
        </w:rPr>
        <w:t>三、资格证明文件格式</w:t>
      </w:r>
      <w:r>
        <w:rPr>
          <w:color w:val="auto"/>
          <w:sz w:val="24"/>
          <w:highlight w:val="none"/>
        </w:rPr>
        <w:tab/>
      </w:r>
      <w:r>
        <w:rPr>
          <w:color w:val="auto"/>
          <w:sz w:val="24"/>
          <w:highlight w:val="none"/>
        </w:rPr>
        <w:fldChar w:fldCharType="begin"/>
      </w:r>
      <w:r>
        <w:rPr>
          <w:color w:val="auto"/>
          <w:sz w:val="24"/>
          <w:highlight w:val="none"/>
        </w:rPr>
        <w:instrText xml:space="preserve"> PAGEREF _Toc50406506 \h </w:instrText>
      </w:r>
      <w:r>
        <w:rPr>
          <w:color w:val="auto"/>
          <w:sz w:val="24"/>
          <w:highlight w:val="none"/>
        </w:rPr>
        <w:fldChar w:fldCharType="separate"/>
      </w:r>
      <w:r>
        <w:rPr>
          <w:color w:val="auto"/>
          <w:sz w:val="24"/>
          <w:highlight w:val="none"/>
        </w:rPr>
        <w:t>49</w:t>
      </w:r>
      <w:r>
        <w:rPr>
          <w:color w:val="auto"/>
          <w:sz w:val="24"/>
          <w:highlight w:val="none"/>
        </w:rPr>
        <w:fldChar w:fldCharType="end"/>
      </w:r>
      <w:r>
        <w:rPr>
          <w:color w:val="auto"/>
          <w:sz w:val="24"/>
          <w:highlight w:val="none"/>
        </w:rPr>
        <w:fldChar w:fldCharType="end"/>
      </w:r>
    </w:p>
    <w:p>
      <w:pPr>
        <w:pStyle w:val="39"/>
        <w:tabs>
          <w:tab w:val="right" w:leader="dot" w:pos="9800"/>
        </w:tabs>
        <w:spacing w:line="500" w:lineRule="exact"/>
        <w:rPr>
          <w:rFonts w:ascii="Calibri" w:hAnsi="Calibri"/>
          <w:color w:val="auto"/>
          <w:sz w:val="24"/>
          <w:szCs w:val="22"/>
          <w:highlight w:val="none"/>
        </w:rPr>
      </w:pPr>
      <w:r>
        <w:rPr>
          <w:color w:val="auto"/>
          <w:highlight w:val="none"/>
        </w:rPr>
        <w:fldChar w:fldCharType="begin"/>
      </w:r>
      <w:r>
        <w:rPr>
          <w:color w:val="auto"/>
          <w:highlight w:val="none"/>
        </w:rPr>
        <w:instrText xml:space="preserve"> HYPERLINK \l "_Toc50406507" </w:instrText>
      </w:r>
      <w:r>
        <w:rPr>
          <w:color w:val="auto"/>
          <w:highlight w:val="none"/>
        </w:rPr>
        <w:fldChar w:fldCharType="separate"/>
      </w:r>
      <w:r>
        <w:rPr>
          <w:rStyle w:val="53"/>
          <w:rFonts w:hint="eastAsia" w:ascii="宋体" w:hAnsi="宋体"/>
          <w:b/>
          <w:bCs/>
          <w:color w:val="auto"/>
          <w:sz w:val="24"/>
          <w:highlight w:val="none"/>
        </w:rPr>
        <w:t>四、商务及技术文件格式</w:t>
      </w:r>
      <w:r>
        <w:rPr>
          <w:color w:val="auto"/>
          <w:sz w:val="24"/>
          <w:highlight w:val="none"/>
        </w:rPr>
        <w:tab/>
      </w:r>
      <w:r>
        <w:rPr>
          <w:color w:val="auto"/>
          <w:sz w:val="24"/>
          <w:highlight w:val="none"/>
        </w:rPr>
        <w:fldChar w:fldCharType="begin"/>
      </w:r>
      <w:r>
        <w:rPr>
          <w:color w:val="auto"/>
          <w:sz w:val="24"/>
          <w:highlight w:val="none"/>
        </w:rPr>
        <w:instrText xml:space="preserve"> PAGEREF _Toc50406507 \h </w:instrText>
      </w:r>
      <w:r>
        <w:rPr>
          <w:color w:val="auto"/>
          <w:sz w:val="24"/>
          <w:highlight w:val="none"/>
        </w:rPr>
        <w:fldChar w:fldCharType="separate"/>
      </w:r>
      <w:r>
        <w:rPr>
          <w:color w:val="auto"/>
          <w:sz w:val="24"/>
          <w:highlight w:val="none"/>
        </w:rPr>
        <w:t>52</w:t>
      </w:r>
      <w:r>
        <w:rPr>
          <w:color w:val="auto"/>
          <w:sz w:val="24"/>
          <w:highlight w:val="none"/>
        </w:rPr>
        <w:fldChar w:fldCharType="end"/>
      </w:r>
      <w:r>
        <w:rPr>
          <w:color w:val="auto"/>
          <w:sz w:val="24"/>
          <w:highlight w:val="none"/>
        </w:rPr>
        <w:fldChar w:fldCharType="end"/>
      </w:r>
    </w:p>
    <w:p>
      <w:pPr>
        <w:spacing w:beforeLines="50" w:line="480" w:lineRule="exact"/>
        <w:rPr>
          <w:rFonts w:ascii="仿宋_GB2312" w:hAnsi="宋体" w:eastAsia="仿宋_GB2312"/>
          <w:color w:val="auto"/>
          <w:sz w:val="24"/>
          <w:highlight w:val="none"/>
        </w:rPr>
      </w:pPr>
      <w:r>
        <w:rPr>
          <w:rFonts w:ascii="仿宋_GB2312" w:hAnsi="宋体" w:eastAsia="仿宋_GB2312"/>
          <w:b/>
          <w:color w:val="auto"/>
          <w:sz w:val="24"/>
          <w:highlight w:val="none"/>
        </w:rPr>
        <w:fldChar w:fldCharType="end"/>
      </w:r>
    </w:p>
    <w:p>
      <w:pPr>
        <w:spacing w:beforeLines="50" w:line="480" w:lineRule="exact"/>
        <w:rPr>
          <w:rFonts w:ascii="仿宋_GB2312" w:hAnsi="宋体" w:eastAsia="仿宋_GB2312"/>
          <w:color w:val="auto"/>
          <w:sz w:val="30"/>
          <w:highlight w:val="none"/>
        </w:rPr>
      </w:pPr>
    </w:p>
    <w:p>
      <w:pPr>
        <w:rPr>
          <w:color w:val="auto"/>
          <w:highlight w:val="none"/>
        </w:rPr>
      </w:pPr>
    </w:p>
    <w:p>
      <w:pPr>
        <w:spacing w:beforeLines="50" w:line="480" w:lineRule="exact"/>
        <w:rPr>
          <w:rFonts w:ascii="仿宋_GB2312" w:hAnsi="宋体" w:eastAsia="仿宋_GB2312"/>
          <w:color w:val="auto"/>
          <w:sz w:val="30"/>
          <w:highlight w:val="none"/>
        </w:rPr>
      </w:pPr>
    </w:p>
    <w:p>
      <w:pPr>
        <w:spacing w:beforeLines="50" w:line="480" w:lineRule="exact"/>
        <w:rPr>
          <w:rFonts w:ascii="仿宋_GB2312" w:hAnsi="宋体" w:eastAsia="仿宋_GB2312"/>
          <w:color w:val="auto"/>
          <w:sz w:val="30"/>
          <w:highlight w:val="none"/>
        </w:rPr>
      </w:pPr>
    </w:p>
    <w:p>
      <w:pPr>
        <w:spacing w:beforeLines="50" w:line="480" w:lineRule="exact"/>
        <w:rPr>
          <w:rFonts w:ascii="仿宋_GB2312" w:hAnsi="宋体" w:eastAsia="仿宋_GB2312"/>
          <w:color w:val="auto"/>
          <w:sz w:val="30"/>
          <w:highlight w:val="none"/>
        </w:rPr>
      </w:pPr>
    </w:p>
    <w:p>
      <w:pPr>
        <w:pStyle w:val="19"/>
        <w:ind w:firstLine="803"/>
        <w:jc w:val="center"/>
        <w:rPr>
          <w:color w:val="auto"/>
          <w:highlight w:val="none"/>
        </w:rPr>
      </w:pPr>
      <w:r>
        <w:rPr>
          <w:b/>
          <w:color w:val="auto"/>
          <w:sz w:val="40"/>
          <w:highlight w:val="none"/>
        </w:rPr>
        <w:br w:type="page"/>
      </w:r>
      <w:bookmarkStart w:id="0" w:name="_Toc254970630"/>
      <w:bookmarkStart w:id="1" w:name="_Toc254970489"/>
    </w:p>
    <w:p>
      <w:pPr>
        <w:pStyle w:val="6"/>
        <w:jc w:val="center"/>
        <w:rPr>
          <w:rFonts w:ascii="宋体"/>
          <w:color w:val="auto"/>
          <w:highlight w:val="none"/>
        </w:rPr>
      </w:pPr>
      <w:bookmarkStart w:id="2" w:name="_Toc50406491"/>
      <w:r>
        <w:rPr>
          <w:rFonts w:hint="eastAsia"/>
          <w:color w:val="auto"/>
          <w:highlight w:val="none"/>
        </w:rPr>
        <w:t>第一章</w:t>
      </w:r>
      <w:bookmarkEnd w:id="0"/>
      <w:bookmarkEnd w:id="1"/>
      <w:r>
        <w:rPr>
          <w:rFonts w:hint="eastAsia"/>
          <w:color w:val="auto"/>
          <w:highlight w:val="none"/>
        </w:rPr>
        <w:t>招标公告</w:t>
      </w:r>
      <w:bookmarkEnd w:id="2"/>
    </w:p>
    <w:p>
      <w:pPr>
        <w:pBdr>
          <w:top w:val="single" w:color="auto" w:sz="4" w:space="1"/>
          <w:left w:val="single" w:color="auto" w:sz="4" w:space="4"/>
          <w:bottom w:val="single" w:color="auto" w:sz="4" w:space="1"/>
          <w:right w:val="single" w:color="auto" w:sz="4" w:space="4"/>
        </w:pBd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项目概况</w:t>
      </w:r>
    </w:p>
    <w:p>
      <w:pPr>
        <w:pBdr>
          <w:top w:val="single" w:color="auto" w:sz="4" w:space="1"/>
          <w:left w:val="single" w:color="auto" w:sz="4" w:space="4"/>
          <w:bottom w:val="single" w:color="auto" w:sz="4" w:space="1"/>
          <w:right w:val="single" w:color="auto" w:sz="4" w:space="4"/>
        </w:pBdr>
        <w:spacing w:line="360" w:lineRule="exact"/>
        <w:ind w:firstLine="420" w:firstLineChars="200"/>
        <w:rPr>
          <w:rFonts w:ascii="宋体" w:hAnsi="宋体"/>
          <w:color w:val="auto"/>
          <w:szCs w:val="21"/>
          <w:highlight w:val="none"/>
        </w:rPr>
      </w:pPr>
      <w:r>
        <w:rPr>
          <w:rFonts w:hint="eastAsia" w:ascii="宋体" w:hAnsi="宋体"/>
          <w:color w:val="auto"/>
          <w:szCs w:val="21"/>
          <w:highlight w:val="none"/>
          <w:u w:val="single"/>
        </w:rPr>
        <w:t>残疾人辅助器具采购</w:t>
      </w:r>
      <w:r>
        <w:rPr>
          <w:rFonts w:hint="eastAsia" w:ascii="宋体" w:hAnsi="宋体"/>
          <w:color w:val="auto"/>
          <w:szCs w:val="21"/>
          <w:highlight w:val="none"/>
        </w:rPr>
        <w:t>的潜在投标人应在</w:t>
      </w:r>
      <w:r>
        <w:rPr>
          <w:rFonts w:hint="eastAsia" w:ascii="宋体" w:hAnsi="宋体"/>
          <w:color w:val="auto"/>
          <w:szCs w:val="21"/>
          <w:highlight w:val="none"/>
          <w:u w:val="single"/>
        </w:rPr>
        <w:t>（广西国资交易电子招标采购平台注册会员后（广西国资交易电子招标采购平台会员注册方式具体流程请访问广西招标网（http://www.guangxibid.com.cn/）首页的常用下载窗口进行查看））</w:t>
      </w:r>
      <w:r>
        <w:rPr>
          <w:rFonts w:hint="eastAsia" w:ascii="宋体" w:hAnsi="宋体"/>
          <w:color w:val="auto"/>
          <w:szCs w:val="21"/>
          <w:highlight w:val="none"/>
        </w:rPr>
        <w:t>获取招标文件，并于</w:t>
      </w:r>
      <w:r>
        <w:rPr>
          <w:rFonts w:hint="eastAsia" w:ascii="宋体" w:hAnsi="宋体"/>
          <w:color w:val="auto"/>
          <w:szCs w:val="21"/>
          <w:highlight w:val="none"/>
          <w:u w:val="single"/>
        </w:rPr>
        <w:t>2021</w:t>
      </w:r>
      <w:r>
        <w:rPr>
          <w:rFonts w:hint="eastAsia" w:ascii="宋体" w:hAnsi="宋体"/>
          <w:bCs/>
          <w:color w:val="auto"/>
          <w:szCs w:val="21"/>
          <w:highlight w:val="none"/>
          <w:u w:val="single"/>
        </w:rPr>
        <w:t>年6月  日9时30分(</w:t>
      </w:r>
      <w:r>
        <w:rPr>
          <w:rFonts w:hint="eastAsia" w:ascii="宋体" w:hAnsi="宋体"/>
          <w:bCs/>
          <w:color w:val="auto"/>
          <w:szCs w:val="21"/>
          <w:highlight w:val="none"/>
        </w:rPr>
        <w:t>北京时间）前递交投标</w:t>
      </w:r>
      <w:r>
        <w:rPr>
          <w:rFonts w:ascii="宋体" w:hAnsi="宋体"/>
          <w:bCs/>
          <w:color w:val="auto"/>
          <w:szCs w:val="21"/>
          <w:highlight w:val="none"/>
        </w:rPr>
        <w:t>文件</w:t>
      </w:r>
      <w:r>
        <w:rPr>
          <w:rFonts w:hint="eastAsia" w:ascii="宋体" w:hAnsi="宋体"/>
          <w:color w:val="auto"/>
          <w:szCs w:val="21"/>
          <w:highlight w:val="none"/>
        </w:rPr>
        <w:t>。</w:t>
      </w:r>
    </w:p>
    <w:p>
      <w:pPr>
        <w:keepNext/>
        <w:keepLines/>
        <w:spacing w:before="260" w:after="260" w:line="400" w:lineRule="exact"/>
        <w:outlineLvl w:val="1"/>
        <w:rPr>
          <w:rFonts w:ascii="宋体" w:hAnsi="宋体" w:cs="宋体"/>
          <w:b/>
          <w:bCs/>
          <w:color w:val="auto"/>
          <w:szCs w:val="21"/>
          <w:highlight w:val="none"/>
        </w:rPr>
      </w:pPr>
      <w:bookmarkStart w:id="3" w:name="_Toc28359002"/>
      <w:bookmarkStart w:id="4" w:name="_Toc35393621"/>
      <w:bookmarkStart w:id="5" w:name="_Toc50406492"/>
      <w:bookmarkStart w:id="6" w:name="_Toc28359079"/>
      <w:bookmarkStart w:id="7" w:name="_Toc35393790"/>
      <w:bookmarkStart w:id="8" w:name="_Hlk24379207"/>
      <w:r>
        <w:rPr>
          <w:rFonts w:hint="eastAsia" w:ascii="宋体" w:hAnsi="宋体" w:cs="宋体"/>
          <w:b/>
          <w:bCs/>
          <w:color w:val="auto"/>
          <w:szCs w:val="21"/>
          <w:highlight w:val="none"/>
        </w:rPr>
        <w:t>一、项目基本情况</w:t>
      </w:r>
      <w:bookmarkEnd w:id="3"/>
      <w:bookmarkEnd w:id="4"/>
      <w:bookmarkEnd w:id="5"/>
      <w:bookmarkEnd w:id="6"/>
      <w:bookmarkEnd w:id="7"/>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项目编号：GXZC2021-G1-001606-JGJD</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采购计划备案文号：广西政采[2021]7108号</w:t>
      </w:r>
    </w:p>
    <w:p>
      <w:pPr>
        <w:spacing w:line="400" w:lineRule="exact"/>
        <w:ind w:firstLine="420" w:firstLineChars="200"/>
        <w:rPr>
          <w:color w:val="auto"/>
          <w:kern w:val="0"/>
          <w:highlight w:val="none"/>
        </w:rPr>
      </w:pPr>
      <w:r>
        <w:rPr>
          <w:rFonts w:hint="eastAsia" w:ascii="宋体" w:hAnsi="宋体"/>
          <w:color w:val="auto"/>
          <w:szCs w:val="21"/>
          <w:highlight w:val="none"/>
        </w:rPr>
        <w:t>项目名称：</w:t>
      </w:r>
      <w:bookmarkEnd w:id="8"/>
      <w:r>
        <w:rPr>
          <w:rFonts w:hint="eastAsia"/>
          <w:color w:val="auto"/>
          <w:kern w:val="0"/>
          <w:highlight w:val="none"/>
        </w:rPr>
        <w:t>残疾人辅助器具采购</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预算金额：1700万元</w:t>
      </w:r>
    </w:p>
    <w:p>
      <w:pPr>
        <w:spacing w:line="400" w:lineRule="exact"/>
        <w:ind w:firstLine="420" w:firstLineChars="200"/>
        <w:rPr>
          <w:rFonts w:ascii="宋体" w:hAnsi="宋体" w:cs="宋体"/>
          <w:color w:val="auto"/>
          <w:szCs w:val="21"/>
          <w:highlight w:val="none"/>
        </w:rPr>
      </w:pPr>
      <w:r>
        <w:rPr>
          <w:rFonts w:hint="eastAsia" w:ascii="宋体" w:hAnsi="宋体"/>
          <w:color w:val="auto"/>
          <w:szCs w:val="21"/>
          <w:highlight w:val="none"/>
        </w:rPr>
        <w:t>采购需求：成品辅具、使用指导、运输、配送、跟踪回访和质保服务</w:t>
      </w:r>
      <w:r>
        <w:rPr>
          <w:rFonts w:hint="eastAsia"/>
          <w:color w:val="auto"/>
          <w:highlight w:val="none"/>
        </w:rPr>
        <w:t>，</w:t>
      </w:r>
      <w:r>
        <w:rPr>
          <w:rFonts w:hint="eastAsia" w:ascii="宋体" w:hAnsi="宋体" w:cs="宋体"/>
          <w:color w:val="auto"/>
          <w:szCs w:val="21"/>
          <w:highlight w:val="none"/>
        </w:rPr>
        <w:t>具体详见本公告附件的采购需求。</w:t>
      </w:r>
    </w:p>
    <w:tbl>
      <w:tblPr>
        <w:tblStyle w:val="46"/>
        <w:tblW w:w="10312" w:type="dxa"/>
        <w:tblInd w:w="-16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1110"/>
        <w:gridCol w:w="862"/>
        <w:gridCol w:w="73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10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采购内容</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数量及单位</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简要技术需求或服务要求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A分标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s="宋体"/>
                <w:color w:val="auto"/>
                <w:szCs w:val="21"/>
                <w:highlight w:val="none"/>
              </w:rPr>
              <w:t>助行器类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助行器类13个品种等成品辅具，包括但不限于使用指导、运输、配送、跟踪回访和质保服务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B分标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轮椅代步车类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轮椅代步车类20个品种等成品辅具，包括但不限于使用指导、运输、配送、跟踪回访和质保服务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C分标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生活自理类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生活自理类37个品种等成品辅具，包括但不限于使用指导、运输、配送、跟踪回访和质保服务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D分标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生活护理类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生活护理类17个品种等成品辅具，包括但不限于使用指导、运输、配送、跟踪回访和质保服务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2" w:hRule="atLeast"/>
        </w:trPr>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E分标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助视和导盲信息类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助视和导盲信息类47个品种等成品辅具，包括但不限于使用指导、运输、配送、跟踪回访和质保服务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F分标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假肢矫形器类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假肢矫形器类40个品种等成品辅具，包括但不限于筛查评估、原材料、取模、制作、装配调试、患者及一名陪护人员往返交通以及适应性训练期间的食宿、跟踪回访和质保服务。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5" w:hRule="atLeast"/>
        </w:trPr>
        <w:tc>
          <w:tcPr>
            <w:tcW w:w="10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hAnsi="宋体"/>
                <w:color w:val="auto"/>
                <w:szCs w:val="21"/>
                <w:highlight w:val="none"/>
              </w:rPr>
            </w:pPr>
            <w:r>
              <w:rPr>
                <w:rFonts w:hint="eastAsia" w:ascii="宋体" w:hAnsi="宋体" w:cs="宋体"/>
                <w:bCs/>
                <w:color w:val="auto"/>
                <w:szCs w:val="21"/>
                <w:highlight w:val="none"/>
              </w:rPr>
              <w:t>G分标</w:t>
            </w:r>
          </w:p>
        </w:tc>
        <w:tc>
          <w:tcPr>
            <w:tcW w:w="111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助听器类</w:t>
            </w:r>
          </w:p>
        </w:tc>
        <w:tc>
          <w:tcPr>
            <w:tcW w:w="86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1项</w:t>
            </w:r>
          </w:p>
        </w:tc>
        <w:tc>
          <w:tcPr>
            <w:tcW w:w="7320" w:type="dxa"/>
            <w:tcBorders>
              <w:top w:val="single" w:color="auto" w:sz="4" w:space="0"/>
              <w:left w:val="single" w:color="auto" w:sz="4" w:space="0"/>
              <w:bottom w:val="single" w:color="auto" w:sz="4" w:space="0"/>
              <w:right w:val="single" w:color="auto" w:sz="4" w:space="0"/>
            </w:tcBorders>
            <w:noWrap/>
            <w:vAlign w:val="center"/>
          </w:tcPr>
          <w:p>
            <w:pPr>
              <w:pStyle w:val="3"/>
              <w:ind w:left="0" w:leftChars="0" w:firstLine="0" w:firstLineChars="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助听器类9个品种等成品辅具，包含但不限筛查评估、成品助听器、检测、耳模制作、试带调试、使用指导、零配件（干燥盒1个、30粒/台专用电池）、跟踪回访和质保服务。</w:t>
            </w:r>
          </w:p>
        </w:tc>
      </w:tr>
    </w:tbl>
    <w:p>
      <w:pPr>
        <w:pStyle w:val="39"/>
        <w:rPr>
          <w:color w:val="auto"/>
          <w:highlight w:val="none"/>
        </w:rPr>
      </w:pP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本项目不接受联合体投标。</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投标人可以对以上分标中二个分标进行投标，但是只能中一个标。</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合同履行期限：详见采购需求。</w:t>
      </w:r>
    </w:p>
    <w:p>
      <w:pPr>
        <w:keepNext/>
        <w:keepLines/>
        <w:numPr>
          <w:ilvl w:val="0"/>
          <w:numId w:val="3"/>
        </w:numPr>
        <w:spacing w:before="260" w:after="260" w:line="400" w:lineRule="exact"/>
        <w:outlineLvl w:val="1"/>
        <w:rPr>
          <w:rFonts w:ascii="宋体" w:hAnsi="宋体" w:cs="宋体"/>
          <w:b/>
          <w:bCs/>
          <w:color w:val="auto"/>
          <w:szCs w:val="21"/>
          <w:highlight w:val="none"/>
        </w:rPr>
      </w:pPr>
      <w:bookmarkStart w:id="9" w:name="_Toc35393791"/>
      <w:bookmarkStart w:id="10" w:name="_Toc35393622"/>
      <w:bookmarkStart w:id="11" w:name="_Toc50406493"/>
      <w:bookmarkStart w:id="12" w:name="_Toc28359003"/>
      <w:bookmarkStart w:id="13" w:name="_Toc28359080"/>
      <w:r>
        <w:rPr>
          <w:rFonts w:hint="eastAsia" w:ascii="宋体" w:hAnsi="宋体" w:cs="宋体"/>
          <w:b/>
          <w:bCs/>
          <w:color w:val="auto"/>
          <w:szCs w:val="21"/>
          <w:highlight w:val="none"/>
        </w:rPr>
        <w:t>投标人的资格要求：</w:t>
      </w:r>
      <w:bookmarkEnd w:id="9"/>
      <w:bookmarkEnd w:id="10"/>
      <w:bookmarkEnd w:id="11"/>
      <w:bookmarkEnd w:id="12"/>
      <w:bookmarkEnd w:id="13"/>
    </w:p>
    <w:p>
      <w:pPr>
        <w:pStyle w:val="10"/>
        <w:spacing w:line="360" w:lineRule="auto"/>
        <w:ind w:firstLine="0"/>
        <w:rPr>
          <w:color w:val="auto"/>
          <w:highlight w:val="none"/>
        </w:rPr>
      </w:pPr>
      <w:r>
        <w:rPr>
          <w:rFonts w:hint="eastAsia"/>
          <w:color w:val="auto"/>
          <w:highlight w:val="none"/>
        </w:rPr>
        <w:t>A、B、C、G分标：</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1.满足《中华人民共和国政府采购法》第二十二条规定；国内注册(指按国家有关规定要求注册),并在人员、设备、资金等方面具有相应的能力的供应商。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 落实政府采购政策需满足的资格要求：①政府采购促进中小企业发展；②政府采购支持采用本国产品的政策；③强制采购节能产品；优先采购节能产品、环境标志产品；④政府采购促进残疾人就业政策；⑤政府采购支持监狱企业发展；⑥扶持不发达地区和少数民族地区政策；</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 本项目的特定资格要求：具有国家主管部门颁发的有效的《医疗器械生产企业许可证》和《医疗器械生产备案表》；</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w:t>
      </w:r>
      <w:r>
        <w:rPr>
          <w:rFonts w:hint="eastAsia" w:ascii="宋体" w:hAnsi="宋体" w:cs="Arial"/>
          <w:color w:val="auto"/>
          <w:szCs w:val="21"/>
          <w:highlight w:val="none"/>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5.对在“</w:t>
      </w:r>
      <w:r>
        <w:rPr>
          <w:rFonts w:ascii="宋体" w:hAnsi="宋体"/>
          <w:color w:val="auto"/>
          <w:szCs w:val="21"/>
          <w:highlight w:val="none"/>
        </w:rPr>
        <w:t>信用中国</w:t>
      </w:r>
      <w:r>
        <w:rPr>
          <w:rFonts w:hint="eastAsia" w:ascii="宋体" w:hAnsi="宋体"/>
          <w:color w:val="auto"/>
          <w:szCs w:val="21"/>
          <w:highlight w:val="none"/>
        </w:rPr>
        <w:t>”</w:t>
      </w:r>
      <w:r>
        <w:rPr>
          <w:rFonts w:ascii="宋体" w:hAnsi="宋体"/>
          <w:color w:val="auto"/>
          <w:szCs w:val="21"/>
          <w:highlight w:val="none"/>
        </w:rPr>
        <w:t>网站(www.creditchina.gov.cn)</w:t>
      </w:r>
      <w:r>
        <w:rPr>
          <w:rFonts w:hint="eastAsia" w:ascii="宋体" w:hAnsi="宋体"/>
          <w:color w:val="auto"/>
          <w:szCs w:val="21"/>
          <w:highlight w:val="none"/>
        </w:rPr>
        <w:t xml:space="preserve"> 、中国政府采购网(www.ccgp.gov.cn) 被列入失信被执行人、重大税收违法案件当事人名单、政府采购严重违法失信行为记录名单及其他不符合《中华人民共和国政府采购法》第二十二条规定条件的供应商，不得参与政府采购活动。</w:t>
      </w:r>
    </w:p>
    <w:p>
      <w:pPr>
        <w:pStyle w:val="10"/>
        <w:spacing w:line="360" w:lineRule="auto"/>
        <w:rPr>
          <w:color w:val="auto"/>
          <w:highlight w:val="none"/>
        </w:rPr>
      </w:pPr>
      <w:r>
        <w:rPr>
          <w:rFonts w:hint="eastAsia"/>
          <w:color w:val="auto"/>
          <w:highlight w:val="none"/>
        </w:rPr>
        <w:t>6.投标人须为所投产品的原生产厂商（注：原厂商系指产品生产制造厂家，不具备产品商标和定价权的OEM代加工厂不是原厂商）。</w:t>
      </w:r>
    </w:p>
    <w:p>
      <w:pPr>
        <w:pStyle w:val="10"/>
        <w:spacing w:line="360" w:lineRule="auto"/>
        <w:rPr>
          <w:color w:val="auto"/>
          <w:highlight w:val="none"/>
        </w:rPr>
      </w:pPr>
      <w:r>
        <w:rPr>
          <w:rFonts w:hint="eastAsia"/>
          <w:color w:val="auto"/>
          <w:highlight w:val="none"/>
        </w:rPr>
        <w:t>7.不接受未购买本招标文件的供应商投标。</w:t>
      </w:r>
    </w:p>
    <w:p>
      <w:pPr>
        <w:pStyle w:val="10"/>
        <w:spacing w:line="360" w:lineRule="auto"/>
        <w:rPr>
          <w:color w:val="auto"/>
          <w:highlight w:val="none"/>
        </w:rPr>
      </w:pPr>
      <w:r>
        <w:rPr>
          <w:rFonts w:hint="eastAsia"/>
          <w:color w:val="auto"/>
          <w:highlight w:val="none"/>
        </w:rPr>
        <w:t>D、E分标：</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1.满足《中华人民共和国政府采购法》第二十二条规定；国内注册(指按国家有关规定要求注册),并在人员、设备、资金等方面具有相应的能力的供应商。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 落实政府采购政策需满足的资格要求：①政府采购促进中小企业发展；②政府采购支持采用本国产品的政策；③强制采购节能产品；优先采购节能产品、环境标志产品；④政府采购促进残疾人就业政策；⑤政府采购支持监狱企业发展；⑥扶持不发达地区和少数民族地区政策；</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 本项目的特定资格要求：具有国家主管部门颁发的有效的《医疗器械经营许可证》或第二类医疗器械经营备案凭证或《医疗器械生产许可证》或《医疗器械生产企业许可证》；</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w:t>
      </w:r>
      <w:r>
        <w:rPr>
          <w:rFonts w:hint="eastAsia" w:ascii="宋体" w:hAnsi="宋体" w:cs="Arial"/>
          <w:color w:val="auto"/>
          <w:szCs w:val="21"/>
          <w:highlight w:val="none"/>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5.对在“</w:t>
      </w:r>
      <w:r>
        <w:rPr>
          <w:rFonts w:ascii="宋体" w:hAnsi="宋体"/>
          <w:color w:val="auto"/>
          <w:szCs w:val="21"/>
          <w:highlight w:val="none"/>
        </w:rPr>
        <w:t>信用中国</w:t>
      </w:r>
      <w:r>
        <w:rPr>
          <w:rFonts w:hint="eastAsia" w:ascii="宋体" w:hAnsi="宋体"/>
          <w:color w:val="auto"/>
          <w:szCs w:val="21"/>
          <w:highlight w:val="none"/>
        </w:rPr>
        <w:t>”</w:t>
      </w:r>
      <w:r>
        <w:rPr>
          <w:rFonts w:ascii="宋体" w:hAnsi="宋体"/>
          <w:color w:val="auto"/>
          <w:szCs w:val="21"/>
          <w:highlight w:val="none"/>
        </w:rPr>
        <w:t>网站(www.creditchina.gov.cn)</w:t>
      </w:r>
      <w:r>
        <w:rPr>
          <w:rFonts w:hint="eastAsia" w:ascii="宋体" w:hAnsi="宋体"/>
          <w:color w:val="auto"/>
          <w:szCs w:val="21"/>
          <w:highlight w:val="none"/>
        </w:rPr>
        <w:t xml:space="preserve"> 、中国政府采购网(www.ccgp.gov.cn) 被列入失信被执行人、重大税收违法案件当事人名单、政府采购严重违法失信行为记录名单及其他不符合《中华人民共和国政府采购法》第二十二条规定条件的供应商，不得参与政府采购活动。</w:t>
      </w:r>
    </w:p>
    <w:p>
      <w:pPr>
        <w:pStyle w:val="10"/>
        <w:spacing w:line="360" w:lineRule="auto"/>
        <w:rPr>
          <w:rFonts w:ascii="宋体" w:hAnsi="宋体"/>
          <w:color w:val="auto"/>
          <w:szCs w:val="21"/>
          <w:highlight w:val="none"/>
        </w:rPr>
      </w:pPr>
      <w:r>
        <w:rPr>
          <w:rFonts w:hint="eastAsia" w:ascii="宋体" w:hAnsi="宋体"/>
          <w:color w:val="auto"/>
          <w:szCs w:val="21"/>
          <w:highlight w:val="none"/>
        </w:rPr>
        <w:t>6.投标人必须具有不低于50%的自主产品。</w:t>
      </w:r>
    </w:p>
    <w:p>
      <w:pPr>
        <w:pStyle w:val="10"/>
        <w:spacing w:line="360" w:lineRule="auto"/>
        <w:rPr>
          <w:rFonts w:ascii="宋体" w:hAnsi="宋体"/>
          <w:color w:val="auto"/>
          <w:szCs w:val="21"/>
          <w:highlight w:val="none"/>
        </w:rPr>
      </w:pPr>
      <w:r>
        <w:rPr>
          <w:rFonts w:hint="eastAsia" w:ascii="宋体" w:hAnsi="宋体"/>
          <w:color w:val="auto"/>
          <w:szCs w:val="21"/>
          <w:highlight w:val="none"/>
        </w:rPr>
        <w:t>7.不接受未购买本招标文件的供应商投标。</w:t>
      </w:r>
    </w:p>
    <w:p>
      <w:pPr>
        <w:pStyle w:val="10"/>
        <w:spacing w:line="360" w:lineRule="auto"/>
        <w:rPr>
          <w:color w:val="auto"/>
          <w:highlight w:val="none"/>
        </w:rPr>
      </w:pPr>
      <w:r>
        <w:rPr>
          <w:rFonts w:hint="eastAsia"/>
          <w:color w:val="auto"/>
          <w:highlight w:val="none"/>
        </w:rPr>
        <w:t>F分标：</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1.满足《中华人民共和国政府采购法》第二十二条规定；国内注册(指按国家有关规定要求注册),并在人员、设备、资金等方面具有相应的能力的供应商。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 落实政府采购政策需满足的资格要求：无；</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 本项目的特定资格要求：矫形器类须具有国家主管部门颁发的有效的一类医疗器械生产许可证和一类医疗器械经营备案凭证，假肢类须为配件生产企业，且具有国家主管部门颁发的有效的二类医疗器械经营许可证,</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w:t>
      </w:r>
      <w:r>
        <w:rPr>
          <w:rFonts w:hint="eastAsia" w:ascii="宋体" w:hAnsi="宋体" w:cs="Arial"/>
          <w:color w:val="auto"/>
          <w:szCs w:val="21"/>
          <w:highlight w:val="none"/>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5.对在“</w:t>
      </w:r>
      <w:r>
        <w:rPr>
          <w:rFonts w:ascii="宋体" w:hAnsi="宋体"/>
          <w:color w:val="auto"/>
          <w:szCs w:val="21"/>
          <w:highlight w:val="none"/>
        </w:rPr>
        <w:t>信用中国</w:t>
      </w:r>
      <w:r>
        <w:rPr>
          <w:rFonts w:hint="eastAsia" w:ascii="宋体" w:hAnsi="宋体"/>
          <w:color w:val="auto"/>
          <w:szCs w:val="21"/>
          <w:highlight w:val="none"/>
        </w:rPr>
        <w:t>”</w:t>
      </w:r>
      <w:r>
        <w:rPr>
          <w:rFonts w:ascii="宋体" w:hAnsi="宋体"/>
          <w:color w:val="auto"/>
          <w:szCs w:val="21"/>
          <w:highlight w:val="none"/>
        </w:rPr>
        <w:t>网站(www.creditchina.gov.cn)</w:t>
      </w:r>
      <w:r>
        <w:rPr>
          <w:rFonts w:hint="eastAsia" w:ascii="宋体" w:hAnsi="宋体"/>
          <w:color w:val="auto"/>
          <w:szCs w:val="21"/>
          <w:highlight w:val="none"/>
        </w:rPr>
        <w:t xml:space="preserve"> 、中国政府采购网(www.ccgp.gov.cn) 被列入失信被执行人、重大税收违法案件当事人名单、政府采购严重违法失信行为记录名单及其他不符合《中华人民共和国政府采购法》第二十二条规定条件的供应商，不得参与政府采购活动。</w:t>
      </w:r>
    </w:p>
    <w:p>
      <w:pPr>
        <w:pStyle w:val="10"/>
        <w:spacing w:line="360" w:lineRule="auto"/>
        <w:rPr>
          <w:color w:val="auto"/>
          <w:highlight w:val="none"/>
        </w:rPr>
      </w:pPr>
      <w:r>
        <w:rPr>
          <w:rFonts w:hint="eastAsia"/>
          <w:color w:val="auto"/>
          <w:highlight w:val="none"/>
        </w:rPr>
        <w:t>6.投标人须为所投产品的原生产厂商（注：原厂商系指产品生产制造厂家，不具备产品商标和定价权的OEM代加工厂不是原厂商）。</w:t>
      </w:r>
    </w:p>
    <w:p>
      <w:pPr>
        <w:keepNext/>
        <w:keepLines/>
        <w:spacing w:line="360" w:lineRule="auto"/>
        <w:ind w:firstLine="420" w:firstLineChars="200"/>
        <w:outlineLvl w:val="1"/>
        <w:rPr>
          <w:rFonts w:ascii="宋体" w:hAnsi="宋体"/>
          <w:color w:val="auto"/>
          <w:szCs w:val="21"/>
          <w:highlight w:val="none"/>
        </w:rPr>
      </w:pPr>
      <w:bookmarkStart w:id="14" w:name="_Toc50406494"/>
      <w:bookmarkStart w:id="15" w:name="_Toc28359081"/>
      <w:bookmarkStart w:id="16" w:name="_Toc35393792"/>
      <w:bookmarkStart w:id="17" w:name="_Toc35393623"/>
      <w:bookmarkStart w:id="18" w:name="_Toc28359004"/>
      <w:r>
        <w:rPr>
          <w:rFonts w:hint="eastAsia"/>
          <w:color w:val="auto"/>
          <w:highlight w:val="none"/>
        </w:rPr>
        <w:t>7.</w:t>
      </w:r>
      <w:r>
        <w:rPr>
          <w:rFonts w:hint="eastAsia" w:ascii="宋体" w:hAnsi="宋体"/>
          <w:color w:val="auto"/>
          <w:szCs w:val="21"/>
          <w:highlight w:val="none"/>
        </w:rPr>
        <w:t>不接受未购买本招标文件的供应商投标。</w:t>
      </w:r>
    </w:p>
    <w:p>
      <w:pPr>
        <w:pStyle w:val="10"/>
        <w:rPr>
          <w:color w:val="auto"/>
          <w:highlight w:val="none"/>
        </w:rPr>
      </w:pPr>
    </w:p>
    <w:p>
      <w:pPr>
        <w:keepNext/>
        <w:keepLines/>
        <w:spacing w:after="260" w:line="400" w:lineRule="exact"/>
        <w:outlineLvl w:val="1"/>
        <w:rPr>
          <w:rFonts w:ascii="宋体" w:hAnsi="宋体" w:cs="宋体"/>
          <w:b/>
          <w:bCs/>
          <w:color w:val="auto"/>
          <w:szCs w:val="21"/>
          <w:highlight w:val="none"/>
        </w:rPr>
      </w:pPr>
      <w:r>
        <w:rPr>
          <w:rFonts w:hint="eastAsia" w:ascii="宋体" w:hAnsi="宋体" w:cs="宋体"/>
          <w:b/>
          <w:bCs/>
          <w:color w:val="auto"/>
          <w:szCs w:val="21"/>
          <w:highlight w:val="none"/>
        </w:rPr>
        <w:t>三、获取招标文件</w:t>
      </w:r>
      <w:bookmarkEnd w:id="14"/>
      <w:bookmarkEnd w:id="15"/>
      <w:bookmarkEnd w:id="16"/>
      <w:bookmarkEnd w:id="17"/>
      <w:bookmarkEnd w:id="18"/>
    </w:p>
    <w:p>
      <w:pPr>
        <w:spacing w:line="400" w:lineRule="exact"/>
        <w:ind w:firstLine="522" w:firstLineChars="249"/>
        <w:rPr>
          <w:rFonts w:hint="eastAsia" w:ascii="宋体" w:hAnsi="宋体" w:cs="Times New Roman"/>
          <w:color w:val="auto"/>
          <w:szCs w:val="21"/>
          <w:highlight w:val="none"/>
          <w:lang w:eastAsia="zh-CN"/>
        </w:rPr>
      </w:pPr>
      <w:bookmarkStart w:id="19" w:name="_Toc28359005"/>
      <w:bookmarkStart w:id="20" w:name="_Toc28359082"/>
      <w:bookmarkStart w:id="21" w:name="_Toc35393624"/>
      <w:bookmarkStart w:id="22" w:name="_Toc35393793"/>
      <w:bookmarkStart w:id="23" w:name="_Toc50406495"/>
      <w:r>
        <w:rPr>
          <w:rFonts w:hint="eastAsia" w:ascii="宋体" w:hAnsi="宋体" w:cs="Times New Roman"/>
          <w:color w:val="auto"/>
          <w:szCs w:val="21"/>
          <w:highlight w:val="none"/>
          <w:lang w:eastAsia="zh-CN"/>
        </w:rPr>
        <w:t>1、时间：202</w:t>
      </w:r>
      <w:r>
        <w:rPr>
          <w:rFonts w:hint="eastAsia" w:ascii="宋体" w:hAnsi="宋体" w:cs="Times New Roman"/>
          <w:color w:val="auto"/>
          <w:szCs w:val="21"/>
          <w:highlight w:val="none"/>
          <w:lang w:val="en-US" w:eastAsia="zh-CN"/>
        </w:rPr>
        <w:t>1</w:t>
      </w:r>
      <w:r>
        <w:rPr>
          <w:rFonts w:hint="eastAsia" w:ascii="宋体" w:hAnsi="宋体" w:cs="Times New Roman"/>
          <w:color w:val="auto"/>
          <w:szCs w:val="21"/>
          <w:highlight w:val="none"/>
          <w:lang w:eastAsia="zh-CN"/>
        </w:rPr>
        <w:t>年</w:t>
      </w:r>
      <w:r>
        <w:rPr>
          <w:rFonts w:hint="eastAsia" w:ascii="宋体" w:hAnsi="宋体" w:cs="Times New Roman"/>
          <w:color w:val="auto"/>
          <w:szCs w:val="21"/>
          <w:highlight w:val="none"/>
          <w:lang w:val="en-US" w:eastAsia="zh-CN"/>
        </w:rPr>
        <w:t xml:space="preserve">  </w:t>
      </w:r>
      <w:r>
        <w:rPr>
          <w:rFonts w:hint="eastAsia" w:ascii="宋体" w:hAnsi="宋体" w:cs="Times New Roman"/>
          <w:color w:val="auto"/>
          <w:szCs w:val="21"/>
          <w:highlight w:val="none"/>
          <w:lang w:eastAsia="zh-CN"/>
        </w:rPr>
        <w:t>月</w:t>
      </w:r>
      <w:r>
        <w:rPr>
          <w:rFonts w:hint="eastAsia" w:ascii="宋体" w:hAnsi="宋体" w:cs="Times New Roman"/>
          <w:color w:val="auto"/>
          <w:szCs w:val="21"/>
          <w:highlight w:val="none"/>
          <w:lang w:val="en-US" w:eastAsia="zh-CN"/>
        </w:rPr>
        <w:t xml:space="preserve">  </w:t>
      </w:r>
      <w:r>
        <w:rPr>
          <w:rFonts w:hint="eastAsia" w:ascii="宋体" w:hAnsi="宋体" w:cs="Times New Roman"/>
          <w:color w:val="auto"/>
          <w:szCs w:val="21"/>
          <w:highlight w:val="none"/>
          <w:lang w:eastAsia="zh-CN"/>
        </w:rPr>
        <w:t>日至202</w:t>
      </w:r>
      <w:r>
        <w:rPr>
          <w:rFonts w:hint="eastAsia" w:ascii="宋体" w:hAnsi="宋体" w:cs="Times New Roman"/>
          <w:color w:val="auto"/>
          <w:szCs w:val="21"/>
          <w:highlight w:val="none"/>
          <w:lang w:val="en-US" w:eastAsia="zh-CN"/>
        </w:rPr>
        <w:t>1</w:t>
      </w:r>
      <w:r>
        <w:rPr>
          <w:rFonts w:hint="eastAsia" w:ascii="宋体" w:hAnsi="宋体" w:cs="Times New Roman"/>
          <w:color w:val="auto"/>
          <w:szCs w:val="21"/>
          <w:highlight w:val="none"/>
          <w:lang w:eastAsia="zh-CN"/>
        </w:rPr>
        <w:t>年</w:t>
      </w:r>
      <w:r>
        <w:rPr>
          <w:rFonts w:hint="eastAsia" w:ascii="宋体" w:hAnsi="宋体" w:cs="Times New Roman"/>
          <w:color w:val="auto"/>
          <w:szCs w:val="21"/>
          <w:highlight w:val="none"/>
          <w:lang w:val="en-US" w:eastAsia="zh-CN"/>
        </w:rPr>
        <w:t xml:space="preserve">  </w:t>
      </w:r>
      <w:r>
        <w:rPr>
          <w:rFonts w:hint="eastAsia" w:ascii="宋体" w:hAnsi="宋体" w:cs="Times New Roman"/>
          <w:color w:val="auto"/>
          <w:szCs w:val="21"/>
          <w:highlight w:val="none"/>
          <w:lang w:eastAsia="zh-CN"/>
        </w:rPr>
        <w:t>月</w:t>
      </w:r>
      <w:r>
        <w:rPr>
          <w:rFonts w:hint="eastAsia" w:ascii="宋体" w:hAnsi="宋体" w:cs="Times New Roman"/>
          <w:color w:val="auto"/>
          <w:szCs w:val="21"/>
          <w:highlight w:val="none"/>
          <w:lang w:val="en-US" w:eastAsia="zh-CN"/>
        </w:rPr>
        <w:t xml:space="preserve">  </w:t>
      </w:r>
      <w:r>
        <w:rPr>
          <w:rFonts w:hint="eastAsia" w:ascii="宋体" w:hAnsi="宋体" w:cs="Times New Roman"/>
          <w:color w:val="auto"/>
          <w:szCs w:val="21"/>
          <w:highlight w:val="none"/>
          <w:lang w:eastAsia="zh-CN"/>
        </w:rPr>
        <w:t>日18时前；</w:t>
      </w:r>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eastAsia="zh-CN"/>
        </w:rPr>
        <w:t xml:space="preserve">2、地点：南宁市青秀区金湖路52-1号东方曼哈顿三楼广西国资招投标中心； </w:t>
      </w:r>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eastAsia="zh-CN"/>
        </w:rPr>
        <w:t>3、方式：在线完成购买采购文件，凭缴费记录或电子发票到现场领取纸质采购文件（本项目采购文件以纸质为准）；</w:t>
      </w:r>
      <w:bookmarkStart w:id="158" w:name="_GoBack"/>
      <w:bookmarkEnd w:id="158"/>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val="en-US" w:eastAsia="zh-CN"/>
        </w:rPr>
        <w:t>4、</w:t>
      </w:r>
      <w:r>
        <w:rPr>
          <w:rFonts w:hint="eastAsia" w:ascii="宋体" w:hAnsi="宋体" w:cs="Times New Roman"/>
          <w:color w:val="auto"/>
          <w:szCs w:val="21"/>
          <w:highlight w:val="none"/>
          <w:lang w:eastAsia="zh-CN"/>
        </w:rPr>
        <w:t>售价：</w:t>
      </w:r>
      <w:r>
        <w:rPr>
          <w:rFonts w:hint="eastAsia" w:ascii="宋体" w:hAnsi="宋体" w:cs="Times New Roman"/>
          <w:color w:val="auto"/>
          <w:szCs w:val="21"/>
          <w:highlight w:val="none"/>
          <w:lang w:val="en-US" w:eastAsia="zh-CN"/>
        </w:rPr>
        <w:t>300</w:t>
      </w:r>
      <w:r>
        <w:rPr>
          <w:rFonts w:hint="eastAsia" w:ascii="宋体" w:hAnsi="宋体" w:cs="Times New Roman"/>
          <w:color w:val="auto"/>
          <w:szCs w:val="21"/>
          <w:highlight w:val="none"/>
          <w:lang w:eastAsia="zh-CN"/>
        </w:rPr>
        <w:t>元</w:t>
      </w:r>
      <w:r>
        <w:rPr>
          <w:rFonts w:hint="eastAsia" w:ascii="宋体" w:hAnsi="宋体" w:cs="Times New Roman"/>
          <w:color w:val="auto"/>
          <w:szCs w:val="21"/>
          <w:highlight w:val="none"/>
          <w:lang w:val="en-US" w:eastAsia="zh-CN"/>
        </w:rPr>
        <w:t>/套</w:t>
      </w:r>
      <w:r>
        <w:rPr>
          <w:rFonts w:hint="eastAsia" w:ascii="宋体" w:hAnsi="宋体" w:cs="Times New Roman"/>
          <w:color w:val="auto"/>
          <w:szCs w:val="21"/>
          <w:highlight w:val="none"/>
          <w:lang w:eastAsia="zh-CN"/>
        </w:rPr>
        <w:t>，售后不退。</w:t>
      </w:r>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val="en-US" w:eastAsia="zh-CN"/>
        </w:rPr>
        <w:t>5</w:t>
      </w:r>
      <w:r>
        <w:rPr>
          <w:rFonts w:hint="eastAsia" w:ascii="宋体" w:hAnsi="宋体" w:cs="Times New Roman"/>
          <w:color w:val="auto"/>
          <w:szCs w:val="21"/>
          <w:highlight w:val="none"/>
          <w:lang w:eastAsia="zh-CN"/>
        </w:rPr>
        <w:t xml:space="preserve">、用户注册及平台使用咨询：广西国资交易电子招标采购平台 </w:t>
      </w:r>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eastAsia="zh-CN"/>
        </w:rPr>
        <w:t xml:space="preserve">办公时间：周一至周五，上午 8:00-12:00,下午15:00-18:00 </w:t>
      </w:r>
    </w:p>
    <w:p>
      <w:pPr>
        <w:spacing w:line="400" w:lineRule="exact"/>
        <w:ind w:firstLine="522" w:firstLineChars="249"/>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eastAsia="zh-CN"/>
        </w:rPr>
        <w:t xml:space="preserve">地址：南宁市青秀区金湖路52-1号东方曼哈顿三楼广西国资招投标中心 </w:t>
      </w:r>
    </w:p>
    <w:p>
      <w:pPr>
        <w:spacing w:line="400" w:lineRule="exact"/>
        <w:ind w:firstLine="522" w:firstLineChars="249"/>
        <w:rPr>
          <w:rFonts w:ascii="宋体" w:hAnsi="宋体" w:cs="宋体"/>
          <w:color w:val="auto"/>
          <w:szCs w:val="21"/>
          <w:highlight w:val="none"/>
        </w:rPr>
      </w:pPr>
      <w:r>
        <w:rPr>
          <w:rFonts w:hint="eastAsia" w:ascii="宋体" w:hAnsi="宋体" w:cs="Times New Roman"/>
          <w:color w:val="auto"/>
          <w:szCs w:val="21"/>
          <w:highlight w:val="none"/>
          <w:lang w:eastAsia="zh-CN"/>
        </w:rPr>
        <w:t>电话： 0771-5579209    QQ群：286811625</w:t>
      </w:r>
    </w:p>
    <w:p>
      <w:pPr>
        <w:keepNext/>
        <w:keepLines/>
        <w:spacing w:before="260" w:after="260" w:line="400" w:lineRule="exact"/>
        <w:outlineLvl w:val="1"/>
        <w:rPr>
          <w:rFonts w:ascii="宋体" w:hAnsi="宋体" w:cs="宋体"/>
          <w:b/>
          <w:bCs/>
          <w:color w:val="auto"/>
          <w:szCs w:val="21"/>
          <w:highlight w:val="none"/>
        </w:rPr>
      </w:pPr>
      <w:r>
        <w:rPr>
          <w:rFonts w:hint="eastAsia" w:ascii="宋体" w:hAnsi="宋体" w:cs="宋体"/>
          <w:b/>
          <w:bCs/>
          <w:color w:val="auto"/>
          <w:szCs w:val="21"/>
          <w:highlight w:val="none"/>
        </w:rPr>
        <w:t>四、提交投标文件</w:t>
      </w:r>
      <w:bookmarkEnd w:id="19"/>
      <w:bookmarkEnd w:id="20"/>
      <w:r>
        <w:rPr>
          <w:rFonts w:hint="eastAsia" w:ascii="宋体" w:hAnsi="宋体" w:cs="宋体"/>
          <w:b/>
          <w:bCs/>
          <w:color w:val="auto"/>
          <w:szCs w:val="21"/>
          <w:highlight w:val="none"/>
        </w:rPr>
        <w:t>截止时间、开标时间和地点</w:t>
      </w:r>
      <w:bookmarkEnd w:id="21"/>
      <w:bookmarkEnd w:id="22"/>
      <w:bookmarkEnd w:id="23"/>
    </w:p>
    <w:p>
      <w:pPr>
        <w:spacing w:line="400" w:lineRule="exact"/>
        <w:ind w:firstLine="522" w:firstLineChars="249"/>
        <w:rPr>
          <w:rFonts w:ascii="宋体" w:hAnsi="宋体"/>
          <w:color w:val="auto"/>
          <w:szCs w:val="21"/>
          <w:highlight w:val="none"/>
        </w:rPr>
      </w:pPr>
      <w:bookmarkStart w:id="24" w:name="_Toc35393625"/>
      <w:bookmarkStart w:id="25" w:name="_Toc28359084"/>
      <w:bookmarkStart w:id="26" w:name="_Toc35393794"/>
      <w:bookmarkStart w:id="27" w:name="_Toc28359007"/>
      <w:r>
        <w:rPr>
          <w:rFonts w:hint="eastAsia" w:ascii="宋体" w:hAnsi="宋体"/>
          <w:color w:val="auto"/>
          <w:szCs w:val="21"/>
          <w:highlight w:val="none"/>
        </w:rPr>
        <w:t>1.提交投标文件截止时间和开标时间：</w:t>
      </w:r>
      <w:r>
        <w:rPr>
          <w:rFonts w:hint="eastAsia" w:ascii="宋体" w:hAnsi="宋体"/>
          <w:color w:val="auto"/>
          <w:szCs w:val="21"/>
          <w:highlight w:val="none"/>
          <w:u w:val="single"/>
        </w:rPr>
        <w:t>2021年6月 日9时30分 00 秒（北京时间）。</w:t>
      </w:r>
    </w:p>
    <w:p>
      <w:pPr>
        <w:spacing w:line="400" w:lineRule="exact"/>
        <w:ind w:firstLine="522" w:firstLineChars="249"/>
        <w:rPr>
          <w:rFonts w:ascii="宋体" w:hAnsi="宋体"/>
          <w:color w:val="auto"/>
          <w:szCs w:val="21"/>
          <w:highlight w:val="none"/>
        </w:rPr>
      </w:pPr>
      <w:r>
        <w:rPr>
          <w:rFonts w:hint="eastAsia" w:ascii="宋体" w:hAnsi="宋体"/>
          <w:color w:val="auto"/>
          <w:szCs w:val="21"/>
          <w:highlight w:val="none"/>
        </w:rPr>
        <w:t>2.投标文件提交起止时间：</w:t>
      </w:r>
      <w:r>
        <w:rPr>
          <w:rFonts w:hint="eastAsia" w:ascii="宋体" w:hAnsi="宋体"/>
          <w:color w:val="auto"/>
          <w:szCs w:val="21"/>
          <w:highlight w:val="none"/>
          <w:u w:val="single"/>
        </w:rPr>
        <w:t>2021 年6月  日9时00分 00 秒至 9时 30分00秒。</w:t>
      </w:r>
    </w:p>
    <w:p>
      <w:pPr>
        <w:spacing w:line="400" w:lineRule="exact"/>
        <w:ind w:firstLine="522" w:firstLineChars="249"/>
        <w:rPr>
          <w:rFonts w:ascii="宋体" w:hAnsi="宋体"/>
          <w:color w:val="auto"/>
          <w:szCs w:val="21"/>
          <w:highlight w:val="none"/>
        </w:rPr>
      </w:pPr>
      <w:r>
        <w:rPr>
          <w:rFonts w:hint="eastAsia" w:ascii="宋体" w:hAnsi="宋体"/>
          <w:color w:val="auto"/>
          <w:szCs w:val="21"/>
          <w:highlight w:val="none"/>
        </w:rPr>
        <w:t>3.投标和开标地点：广西建设工程机电设备招标中心有限公司（南宁市青秀区金湖北路 52-1 号东方曼哈顿三楼广西国资招投标中心开标室，具体以开标大屏幕安排为准。）。</w:t>
      </w:r>
    </w:p>
    <w:p>
      <w:pPr>
        <w:spacing w:line="400" w:lineRule="exact"/>
        <w:ind w:firstLine="522" w:firstLineChars="249"/>
        <w:rPr>
          <w:b/>
          <w:color w:val="auto"/>
          <w:sz w:val="22"/>
          <w:szCs w:val="22"/>
          <w:highlight w:val="none"/>
        </w:rPr>
      </w:pPr>
      <w:r>
        <w:rPr>
          <w:rFonts w:hint="eastAsia" w:ascii="宋体" w:hAnsi="宋体"/>
          <w:color w:val="auto"/>
          <w:szCs w:val="21"/>
          <w:highlight w:val="none"/>
        </w:rPr>
        <w:t>注：投标人应在投标文件提交截止时间内，将投标文件密封送达投标地点，未在规定时间内送达或未按照招标文件要求密封的投标文件，将予以拒收。</w:t>
      </w:r>
    </w:p>
    <w:p>
      <w:pPr>
        <w:keepNext/>
        <w:keepLines/>
        <w:spacing w:before="260" w:after="260" w:line="400" w:lineRule="exact"/>
        <w:outlineLvl w:val="1"/>
        <w:rPr>
          <w:rFonts w:ascii="宋体" w:hAnsi="宋体" w:cs="宋体"/>
          <w:b/>
          <w:bCs/>
          <w:color w:val="auto"/>
          <w:szCs w:val="21"/>
          <w:highlight w:val="none"/>
        </w:rPr>
      </w:pPr>
      <w:bookmarkStart w:id="28" w:name="_Toc50406496"/>
      <w:r>
        <w:rPr>
          <w:rFonts w:hint="eastAsia" w:ascii="宋体" w:hAnsi="宋体" w:cs="宋体"/>
          <w:b/>
          <w:bCs/>
          <w:color w:val="auto"/>
          <w:szCs w:val="21"/>
          <w:highlight w:val="none"/>
        </w:rPr>
        <w:t>五、公告期限</w:t>
      </w:r>
      <w:bookmarkEnd w:id="24"/>
      <w:bookmarkEnd w:id="25"/>
      <w:bookmarkEnd w:id="26"/>
      <w:bookmarkEnd w:id="27"/>
      <w:bookmarkEnd w:id="28"/>
    </w:p>
    <w:p>
      <w:pPr>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自本公告发布之日起5个工作日。</w:t>
      </w:r>
    </w:p>
    <w:p>
      <w:pPr>
        <w:keepNext/>
        <w:keepLines/>
        <w:spacing w:line="400" w:lineRule="exact"/>
        <w:outlineLvl w:val="1"/>
        <w:rPr>
          <w:rFonts w:ascii="宋体" w:hAnsi="宋体" w:cs="宋体"/>
          <w:b/>
          <w:bCs/>
          <w:color w:val="auto"/>
          <w:szCs w:val="21"/>
          <w:highlight w:val="none"/>
        </w:rPr>
      </w:pPr>
      <w:bookmarkStart w:id="29" w:name="_Toc50406497"/>
      <w:bookmarkStart w:id="30" w:name="_Toc35393626"/>
      <w:bookmarkStart w:id="31" w:name="_Toc35393795"/>
      <w:r>
        <w:rPr>
          <w:rFonts w:hint="eastAsia" w:ascii="宋体" w:hAnsi="宋体" w:cs="宋体"/>
          <w:b/>
          <w:bCs/>
          <w:color w:val="auto"/>
          <w:szCs w:val="21"/>
          <w:highlight w:val="none"/>
        </w:rPr>
        <w:t>六、其他补充事宜</w:t>
      </w:r>
      <w:bookmarkEnd w:id="29"/>
      <w:bookmarkEnd w:id="30"/>
      <w:bookmarkEnd w:id="31"/>
    </w:p>
    <w:p>
      <w:pPr>
        <w:snapToGrid w:val="0"/>
        <w:spacing w:line="400" w:lineRule="exact"/>
        <w:ind w:firstLine="472" w:firstLineChars="225"/>
        <w:jc w:val="left"/>
        <w:rPr>
          <w:rFonts w:ascii="宋体" w:hAnsi="宋体"/>
          <w:color w:val="auto"/>
          <w:szCs w:val="21"/>
          <w:highlight w:val="none"/>
        </w:rPr>
      </w:pPr>
      <w:r>
        <w:rPr>
          <w:rFonts w:hint="eastAsia" w:ascii="宋体" w:hAnsi="宋体"/>
          <w:color w:val="auto"/>
          <w:szCs w:val="21"/>
          <w:highlight w:val="none"/>
        </w:rPr>
        <w:t>1.投标保证金</w:t>
      </w:r>
    </w:p>
    <w:p>
      <w:pPr>
        <w:snapToGrid w:val="0"/>
        <w:spacing w:line="400" w:lineRule="exact"/>
        <w:ind w:firstLine="472" w:firstLineChars="225"/>
        <w:jc w:val="left"/>
        <w:rPr>
          <w:rFonts w:ascii="宋体" w:hAnsi="宋体"/>
          <w:color w:val="auto"/>
          <w:szCs w:val="21"/>
          <w:highlight w:val="none"/>
        </w:rPr>
      </w:pPr>
      <w:r>
        <w:rPr>
          <w:rFonts w:hint="eastAsia" w:ascii="宋体" w:hAnsi="宋体"/>
          <w:color w:val="auto"/>
          <w:szCs w:val="21"/>
          <w:highlight w:val="none"/>
        </w:rPr>
        <w:t>（1）金额（人民币）：每分标：贰万元整,不得少于规定金额交纳，否则投标无效。</w:t>
      </w:r>
    </w:p>
    <w:p>
      <w:pPr>
        <w:snapToGrid w:val="0"/>
        <w:spacing w:line="400" w:lineRule="exact"/>
        <w:ind w:firstLine="472" w:firstLineChars="225"/>
        <w:jc w:val="left"/>
        <w:rPr>
          <w:rFonts w:ascii="宋体" w:hAnsi="宋体"/>
          <w:color w:val="auto"/>
          <w:szCs w:val="21"/>
          <w:highlight w:val="none"/>
        </w:rPr>
      </w:pPr>
      <w:r>
        <w:rPr>
          <w:rFonts w:hint="eastAsia" w:ascii="宋体" w:hAnsi="宋体"/>
          <w:color w:val="auto"/>
          <w:szCs w:val="21"/>
          <w:highlight w:val="none"/>
        </w:rPr>
        <w:t>（2）投标保证金的交纳方式：银行转账、支票、汇票、本票或者银行、保险机构出具的保函，禁止</w:t>
      </w:r>
    </w:p>
    <w:p>
      <w:pPr>
        <w:snapToGrid w:val="0"/>
        <w:spacing w:line="400" w:lineRule="exact"/>
        <w:ind w:firstLine="472" w:firstLineChars="225"/>
        <w:jc w:val="left"/>
        <w:rPr>
          <w:rFonts w:ascii="宋体" w:hAnsi="宋体"/>
          <w:color w:val="auto"/>
          <w:szCs w:val="21"/>
          <w:highlight w:val="none"/>
        </w:rPr>
      </w:pPr>
      <w:r>
        <w:rPr>
          <w:rFonts w:hint="eastAsia" w:ascii="宋体" w:hAnsi="宋体"/>
          <w:color w:val="auto"/>
          <w:szCs w:val="21"/>
          <w:highlight w:val="none"/>
        </w:rPr>
        <w:t>采用现钞方式。采用银行转账方式的，在投标截止时间前按分标交至采购代理机构指定账户并且到账【</w:t>
      </w:r>
      <w:r>
        <w:rPr>
          <w:rFonts w:hint="eastAsia" w:ascii="宋体" w:hAnsi="宋体" w:cs="宋体"/>
          <w:color w:val="auto"/>
          <w:kern w:val="0"/>
          <w:szCs w:val="21"/>
          <w:highlight w:val="none"/>
        </w:rPr>
        <w:t>开户银行：</w:t>
      </w:r>
      <w:r>
        <w:rPr>
          <w:rFonts w:hint="eastAsia" w:ascii="宋体" w:hAnsi="宋体" w:cs="宋体"/>
          <w:color w:val="auto"/>
          <w:kern w:val="0"/>
          <w:szCs w:val="21"/>
          <w:highlight w:val="none"/>
          <w:u w:val="single"/>
        </w:rPr>
        <w:t xml:space="preserve"> 招商银行南宁分行营业部 </w:t>
      </w:r>
      <w:r>
        <w:rPr>
          <w:rFonts w:hint="eastAsia" w:ascii="宋体" w:hAnsi="宋体" w:cs="宋体"/>
          <w:color w:val="auto"/>
          <w:kern w:val="0"/>
          <w:szCs w:val="21"/>
          <w:highlight w:val="none"/>
        </w:rPr>
        <w:t>，开户名称：</w:t>
      </w:r>
      <w:r>
        <w:rPr>
          <w:rFonts w:hint="eastAsia" w:ascii="宋体" w:hAnsi="宋体" w:cs="宋体"/>
          <w:color w:val="auto"/>
          <w:kern w:val="0"/>
          <w:szCs w:val="21"/>
          <w:highlight w:val="none"/>
          <w:u w:val="single"/>
        </w:rPr>
        <w:t xml:space="preserve"> 广西建设工程机电设备招标中心有限公司</w:t>
      </w:r>
      <w:r>
        <w:rPr>
          <w:rFonts w:hint="eastAsia" w:ascii="宋体" w:hAnsi="宋体" w:cs="宋体"/>
          <w:color w:val="auto"/>
          <w:kern w:val="0"/>
          <w:szCs w:val="21"/>
          <w:highlight w:val="none"/>
        </w:rPr>
        <w:t>，银行账号：</w:t>
      </w:r>
      <w:r>
        <w:rPr>
          <w:rFonts w:hint="eastAsia" w:ascii="宋体" w:hAnsi="宋体" w:cs="宋体"/>
          <w:color w:val="auto"/>
          <w:kern w:val="0"/>
          <w:szCs w:val="21"/>
          <w:highlight w:val="none"/>
          <w:u w:val="single"/>
        </w:rPr>
        <w:t xml:space="preserve">  7719 0142 3310 201 </w:t>
      </w:r>
      <w:r>
        <w:rPr>
          <w:rFonts w:hint="eastAsia" w:ascii="宋体" w:hAnsi="宋体"/>
          <w:color w:val="auto"/>
          <w:szCs w:val="21"/>
          <w:highlight w:val="none"/>
        </w:rPr>
        <w:t>】，采用支票、汇票、本票或者保函等方式的，在投标截止时间前，投标人应当递交单独密封的支票、汇票、本票或者保函原件。否则视为无效投标保证金。</w:t>
      </w:r>
    </w:p>
    <w:p>
      <w:pPr>
        <w:snapToGrid w:val="0"/>
        <w:spacing w:line="400" w:lineRule="exact"/>
        <w:ind w:firstLine="420" w:firstLineChars="200"/>
        <w:jc w:val="left"/>
        <w:rPr>
          <w:rFonts w:ascii="宋体" w:hAnsi="宋体" w:cs="Arial"/>
          <w:color w:val="auto"/>
          <w:szCs w:val="21"/>
          <w:highlight w:val="none"/>
        </w:rPr>
      </w:pPr>
      <w:r>
        <w:rPr>
          <w:rFonts w:hint="eastAsia" w:ascii="宋体" w:hAnsi="宋体"/>
          <w:color w:val="auto"/>
          <w:szCs w:val="21"/>
          <w:highlight w:val="none"/>
        </w:rPr>
        <w:t>2.</w:t>
      </w:r>
      <w:r>
        <w:rPr>
          <w:rFonts w:hint="eastAsia" w:ascii="宋体" w:hAnsi="宋体" w:cs="Arial"/>
          <w:color w:val="auto"/>
          <w:szCs w:val="21"/>
          <w:highlight w:val="none"/>
        </w:rPr>
        <w:t xml:space="preserve"> 网上查询地址：www.ccgp.gov.cn（中国政府采购网），www.zfcg.gxzf.gov.cn（广西壮族自治区政府采购网）。</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3. 本项目需要落实的政府采购政策：</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1）政府采购促进中小企业发展。</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2）政府采购支持采用本国产品的政策。</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3）强制采购节能产品；优先采购节能产品、环境标志产品。</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4）政府采购促进残疾人就业政策。</w:t>
      </w:r>
    </w:p>
    <w:p>
      <w:pPr>
        <w:spacing w:line="400" w:lineRule="exact"/>
        <w:ind w:left="495"/>
        <w:jc w:val="left"/>
        <w:rPr>
          <w:rFonts w:ascii="宋体" w:hAnsi="宋体"/>
          <w:color w:val="auto"/>
          <w:szCs w:val="21"/>
          <w:highlight w:val="none"/>
        </w:rPr>
      </w:pPr>
      <w:r>
        <w:rPr>
          <w:rFonts w:hint="eastAsia" w:ascii="宋体" w:hAnsi="宋体"/>
          <w:color w:val="auto"/>
          <w:szCs w:val="21"/>
          <w:highlight w:val="none"/>
        </w:rPr>
        <w:t>5）政府采购支持监狱企业发展。</w:t>
      </w:r>
    </w:p>
    <w:p>
      <w:pPr>
        <w:keepNext/>
        <w:keepLines/>
        <w:spacing w:before="260" w:after="260" w:line="400" w:lineRule="exact"/>
        <w:jc w:val="left"/>
        <w:outlineLvl w:val="1"/>
        <w:rPr>
          <w:rFonts w:ascii="宋体" w:hAnsi="宋体" w:cs="宋体"/>
          <w:b/>
          <w:bCs/>
          <w:color w:val="auto"/>
          <w:szCs w:val="21"/>
          <w:highlight w:val="none"/>
        </w:rPr>
      </w:pPr>
      <w:bookmarkStart w:id="32" w:name="_Toc28359008"/>
      <w:bookmarkStart w:id="33" w:name="_Toc35393796"/>
      <w:bookmarkStart w:id="34" w:name="_Toc50406498"/>
      <w:bookmarkStart w:id="35" w:name="_Toc35393627"/>
      <w:bookmarkStart w:id="36" w:name="_Toc28359085"/>
      <w:r>
        <w:rPr>
          <w:rFonts w:hint="eastAsia" w:ascii="宋体" w:hAnsi="宋体" w:cs="宋体"/>
          <w:b/>
          <w:bCs/>
          <w:color w:val="auto"/>
          <w:szCs w:val="21"/>
          <w:highlight w:val="none"/>
        </w:rPr>
        <w:t>七、对本次招标提出询问，请按</w:t>
      </w:r>
      <w:r>
        <w:rPr>
          <w:rFonts w:ascii="宋体" w:hAnsi="宋体" w:cs="宋体"/>
          <w:b/>
          <w:bCs/>
          <w:color w:val="auto"/>
          <w:szCs w:val="21"/>
          <w:highlight w:val="none"/>
        </w:rPr>
        <w:t>以下方式</w:t>
      </w:r>
      <w:r>
        <w:rPr>
          <w:rFonts w:hint="eastAsia" w:ascii="宋体" w:hAnsi="宋体" w:cs="宋体"/>
          <w:b/>
          <w:bCs/>
          <w:color w:val="auto"/>
          <w:szCs w:val="21"/>
          <w:highlight w:val="none"/>
        </w:rPr>
        <w:t>联系。</w:t>
      </w:r>
      <w:bookmarkEnd w:id="32"/>
      <w:bookmarkEnd w:id="33"/>
      <w:bookmarkEnd w:id="34"/>
      <w:bookmarkEnd w:id="35"/>
      <w:bookmarkEnd w:id="36"/>
    </w:p>
    <w:p>
      <w:pPr>
        <w:widowControl/>
        <w:tabs>
          <w:tab w:val="left" w:pos="142"/>
          <w:tab w:val="left" w:pos="284"/>
        </w:tabs>
        <w:spacing w:line="400" w:lineRule="exact"/>
        <w:ind w:left="-5" w:leftChars="-69" w:hanging="140" w:hangingChars="67"/>
        <w:jc w:val="left"/>
        <w:rPr>
          <w:rFonts w:ascii="宋体" w:hAnsi="宋体"/>
          <w:color w:val="auto"/>
          <w:szCs w:val="21"/>
          <w:highlight w:val="none"/>
        </w:rPr>
      </w:pPr>
      <w:r>
        <w:rPr>
          <w:rFonts w:hint="eastAsia" w:ascii="宋体" w:hAnsi="宋体" w:cs="宋体"/>
          <w:color w:val="auto"/>
          <w:szCs w:val="21"/>
          <w:highlight w:val="none"/>
        </w:rPr>
        <w:t>　　　1.采购人信息</w:t>
      </w:r>
    </w:p>
    <w:p>
      <w:pPr>
        <w:widowControl/>
        <w:tabs>
          <w:tab w:val="left" w:pos="142"/>
          <w:tab w:val="left" w:pos="284"/>
        </w:tabs>
        <w:spacing w:line="400" w:lineRule="exact"/>
        <w:ind w:left="-5" w:leftChars="-69" w:hanging="140" w:hangingChars="67"/>
        <w:jc w:val="left"/>
        <w:rPr>
          <w:rFonts w:ascii="宋体" w:hAnsi="宋体"/>
          <w:color w:val="auto"/>
          <w:szCs w:val="21"/>
          <w:highlight w:val="none"/>
        </w:rPr>
      </w:pPr>
      <w:r>
        <w:rPr>
          <w:rFonts w:hint="eastAsia" w:ascii="宋体" w:hAnsi="宋体"/>
          <w:color w:val="auto"/>
          <w:szCs w:val="21"/>
          <w:highlight w:val="none"/>
        </w:rPr>
        <w:t xml:space="preserve">      名 称：广西壮族自治区残疾人联合会     </w:t>
      </w:r>
    </w:p>
    <w:p>
      <w:pPr>
        <w:widowControl/>
        <w:tabs>
          <w:tab w:val="left" w:pos="142"/>
          <w:tab w:val="left" w:pos="284"/>
        </w:tabs>
        <w:spacing w:line="400" w:lineRule="exact"/>
        <w:ind w:left="65" w:leftChars="31" w:firstLine="482" w:firstLineChars="230"/>
        <w:jc w:val="left"/>
        <w:rPr>
          <w:rFonts w:ascii="宋体" w:hAnsi="宋体"/>
          <w:color w:val="auto"/>
          <w:szCs w:val="21"/>
          <w:highlight w:val="none"/>
        </w:rPr>
      </w:pPr>
      <w:r>
        <w:rPr>
          <w:rFonts w:hint="eastAsia" w:ascii="宋体" w:hAnsi="宋体"/>
          <w:color w:val="auto"/>
          <w:szCs w:val="21"/>
          <w:highlight w:val="none"/>
        </w:rPr>
        <w:t>地址：南宁市西乡塘区罗文大道48号</w:t>
      </w:r>
    </w:p>
    <w:p>
      <w:pPr>
        <w:widowControl/>
        <w:tabs>
          <w:tab w:val="left" w:pos="142"/>
          <w:tab w:val="left" w:pos="284"/>
        </w:tabs>
        <w:spacing w:line="400" w:lineRule="exact"/>
        <w:ind w:left="-5" w:leftChars="-69" w:hanging="140" w:hangingChars="67"/>
        <w:jc w:val="left"/>
        <w:rPr>
          <w:rFonts w:ascii="宋体" w:hAnsi="宋体"/>
          <w:color w:val="auto"/>
          <w:szCs w:val="21"/>
          <w:highlight w:val="none"/>
        </w:rPr>
      </w:pPr>
      <w:r>
        <w:rPr>
          <w:rFonts w:hint="eastAsia" w:ascii="宋体" w:hAnsi="宋体"/>
          <w:color w:val="auto"/>
          <w:szCs w:val="21"/>
          <w:highlight w:val="none"/>
        </w:rPr>
        <w:t xml:space="preserve">      联系方式：</w:t>
      </w:r>
      <w:bookmarkStart w:id="37" w:name="_Toc28359086"/>
      <w:bookmarkStart w:id="38" w:name="_Toc28359009"/>
      <w:r>
        <w:rPr>
          <w:rFonts w:hint="eastAsia" w:ascii="宋体" w:hAnsi="宋体"/>
          <w:color w:val="auto"/>
          <w:szCs w:val="21"/>
          <w:highlight w:val="none"/>
        </w:rPr>
        <w:t>方工      联系电话：0771-5579355</w:t>
      </w:r>
    </w:p>
    <w:p>
      <w:pPr>
        <w:widowControl/>
        <w:tabs>
          <w:tab w:val="left" w:pos="142"/>
          <w:tab w:val="left" w:pos="284"/>
        </w:tabs>
        <w:spacing w:line="400" w:lineRule="exact"/>
        <w:ind w:left="-4" w:leftChars="-2" w:firstLine="525" w:firstLineChars="250"/>
        <w:jc w:val="left"/>
        <w:rPr>
          <w:rFonts w:ascii="宋体" w:hAnsi="宋体"/>
          <w:color w:val="auto"/>
          <w:szCs w:val="21"/>
          <w:highlight w:val="none"/>
        </w:rPr>
      </w:pPr>
      <w:r>
        <w:rPr>
          <w:rFonts w:hint="eastAsia" w:ascii="宋体" w:hAnsi="宋体" w:cs="宋体"/>
          <w:color w:val="auto"/>
          <w:szCs w:val="21"/>
          <w:highlight w:val="none"/>
        </w:rPr>
        <w:t>2.采购代理机构信息</w:t>
      </w:r>
      <w:bookmarkEnd w:id="37"/>
      <w:bookmarkEnd w:id="38"/>
    </w:p>
    <w:p>
      <w:pPr>
        <w:tabs>
          <w:tab w:val="left" w:pos="142"/>
          <w:tab w:val="left" w:pos="284"/>
        </w:tabs>
        <w:spacing w:line="400" w:lineRule="exact"/>
        <w:ind w:left="-5" w:leftChars="-69" w:hanging="140" w:hangingChars="67"/>
        <w:jc w:val="left"/>
        <w:rPr>
          <w:rFonts w:ascii="宋体" w:hAnsi="宋体" w:cs="宋体"/>
          <w:color w:val="auto"/>
          <w:kern w:val="0"/>
          <w:szCs w:val="21"/>
          <w:highlight w:val="none"/>
        </w:rPr>
      </w:pPr>
      <w:r>
        <w:rPr>
          <w:rFonts w:hint="eastAsia" w:ascii="宋体" w:hAnsi="宋体"/>
          <w:color w:val="auto"/>
          <w:szCs w:val="21"/>
          <w:highlight w:val="none"/>
        </w:rPr>
        <w:t xml:space="preserve">      名 称：</w:t>
      </w:r>
      <w:r>
        <w:rPr>
          <w:rFonts w:hint="eastAsia" w:ascii="宋体" w:hAnsi="宋体" w:cs="宋体"/>
          <w:color w:val="auto"/>
          <w:kern w:val="0"/>
          <w:szCs w:val="21"/>
          <w:highlight w:val="none"/>
        </w:rPr>
        <w:t>广西建设工程机电设备招标中心有限公司</w:t>
      </w:r>
    </w:p>
    <w:p>
      <w:pPr>
        <w:tabs>
          <w:tab w:val="left" w:pos="142"/>
          <w:tab w:val="left" w:pos="284"/>
        </w:tabs>
        <w:spacing w:line="400" w:lineRule="exact"/>
        <w:ind w:left="65" w:leftChars="31" w:firstLine="482" w:firstLineChars="230"/>
        <w:jc w:val="left"/>
        <w:rPr>
          <w:rFonts w:ascii="宋体" w:hAnsi="宋体"/>
          <w:color w:val="auto"/>
          <w:szCs w:val="21"/>
          <w:highlight w:val="none"/>
        </w:rPr>
      </w:pPr>
      <w:r>
        <w:rPr>
          <w:rFonts w:hint="eastAsia" w:ascii="宋体" w:hAnsi="宋体"/>
          <w:color w:val="auto"/>
          <w:szCs w:val="21"/>
          <w:highlight w:val="none"/>
        </w:rPr>
        <w:t>地　址：</w:t>
      </w:r>
      <w:r>
        <w:rPr>
          <w:rFonts w:hint="eastAsia"/>
          <w:color w:val="auto"/>
          <w:spacing w:val="-4"/>
          <w:highlight w:val="none"/>
        </w:rPr>
        <w:t>南宁市纬武路165号</w:t>
      </w:r>
    </w:p>
    <w:p>
      <w:pPr>
        <w:tabs>
          <w:tab w:val="left" w:pos="142"/>
          <w:tab w:val="left" w:pos="284"/>
        </w:tabs>
        <w:spacing w:line="400" w:lineRule="exact"/>
        <w:ind w:left="65" w:leftChars="31" w:firstLine="482" w:firstLineChars="230"/>
        <w:jc w:val="left"/>
        <w:rPr>
          <w:rFonts w:ascii="宋体" w:hAnsi="宋体"/>
          <w:color w:val="auto"/>
          <w:szCs w:val="21"/>
          <w:highlight w:val="none"/>
        </w:rPr>
      </w:pPr>
      <w:r>
        <w:rPr>
          <w:rFonts w:hint="eastAsia" w:ascii="宋体" w:hAnsi="宋体"/>
          <w:color w:val="auto"/>
          <w:szCs w:val="21"/>
          <w:highlight w:val="none"/>
        </w:rPr>
        <w:t>联系方式：</w:t>
      </w:r>
      <w:bookmarkStart w:id="39" w:name="_Toc28359010"/>
      <w:bookmarkStart w:id="40" w:name="_Toc28359087"/>
      <w:r>
        <w:rPr>
          <w:rFonts w:hint="eastAsia" w:ascii="宋体" w:hAnsi="宋体"/>
          <w:color w:val="auto"/>
          <w:szCs w:val="21"/>
          <w:highlight w:val="none"/>
        </w:rPr>
        <w:t xml:space="preserve">18078099679、0771-2819799 </w:t>
      </w:r>
    </w:p>
    <w:p>
      <w:pPr>
        <w:tabs>
          <w:tab w:val="left" w:pos="142"/>
          <w:tab w:val="left" w:pos="284"/>
        </w:tabs>
        <w:spacing w:line="400" w:lineRule="exact"/>
        <w:ind w:left="-5" w:leftChars="-69" w:hanging="140" w:hangingChars="67"/>
        <w:jc w:val="left"/>
        <w:rPr>
          <w:rFonts w:ascii="宋体" w:hAnsi="宋体"/>
          <w:color w:val="auto"/>
          <w:szCs w:val="21"/>
          <w:highlight w:val="none"/>
          <w:u w:val="single"/>
        </w:rPr>
      </w:pPr>
      <w:r>
        <w:rPr>
          <w:rFonts w:hint="eastAsia" w:ascii="宋体" w:hAnsi="宋体" w:cs="宋体"/>
          <w:color w:val="auto"/>
          <w:szCs w:val="21"/>
          <w:highlight w:val="none"/>
        </w:rPr>
        <w:t xml:space="preserve">      3.项目</w:t>
      </w:r>
      <w:r>
        <w:rPr>
          <w:rFonts w:ascii="宋体" w:hAnsi="宋体" w:cs="宋体"/>
          <w:color w:val="auto"/>
          <w:szCs w:val="21"/>
          <w:highlight w:val="none"/>
        </w:rPr>
        <w:t>联系方式</w:t>
      </w:r>
      <w:bookmarkEnd w:id="39"/>
      <w:bookmarkEnd w:id="40"/>
    </w:p>
    <w:p>
      <w:pPr>
        <w:tabs>
          <w:tab w:val="left" w:pos="142"/>
          <w:tab w:val="left" w:pos="284"/>
        </w:tabs>
        <w:spacing w:line="400" w:lineRule="exact"/>
        <w:ind w:left="-5" w:leftChars="-69" w:hanging="140" w:hangingChars="67"/>
        <w:jc w:val="left"/>
        <w:rPr>
          <w:rFonts w:ascii="宋体" w:hAnsi="宋体"/>
          <w:color w:val="auto"/>
          <w:szCs w:val="21"/>
          <w:highlight w:val="none"/>
        </w:rPr>
      </w:pPr>
      <w:r>
        <w:rPr>
          <w:rFonts w:hint="eastAsia" w:ascii="宋体" w:hAnsi="宋体"/>
          <w:color w:val="auto"/>
          <w:szCs w:val="21"/>
          <w:highlight w:val="none"/>
        </w:rPr>
        <w:t xml:space="preserve">      项目联系人：莫工</w:t>
      </w:r>
    </w:p>
    <w:p>
      <w:pPr>
        <w:tabs>
          <w:tab w:val="left" w:pos="142"/>
          <w:tab w:val="left" w:pos="284"/>
        </w:tabs>
        <w:spacing w:line="400" w:lineRule="exact"/>
        <w:ind w:left="-5" w:leftChars="-69" w:hanging="140" w:hangingChars="67"/>
        <w:jc w:val="left"/>
        <w:rPr>
          <w:rFonts w:ascii="宋体" w:hAnsi="宋体"/>
          <w:color w:val="auto"/>
          <w:szCs w:val="21"/>
          <w:highlight w:val="none"/>
        </w:rPr>
      </w:pPr>
      <w:r>
        <w:rPr>
          <w:rFonts w:hint="eastAsia" w:ascii="宋体" w:hAnsi="宋体"/>
          <w:color w:val="auto"/>
          <w:szCs w:val="21"/>
          <w:highlight w:val="none"/>
        </w:rPr>
        <w:t xml:space="preserve">      电　话： 18078099679、0771-2819799</w:t>
      </w:r>
    </w:p>
    <w:p>
      <w:pPr>
        <w:tabs>
          <w:tab w:val="left" w:pos="142"/>
          <w:tab w:val="left" w:pos="284"/>
        </w:tabs>
        <w:spacing w:line="400" w:lineRule="exact"/>
        <w:ind w:left="-4" w:leftChars="-2" w:firstLine="525" w:firstLineChars="250"/>
        <w:jc w:val="left"/>
        <w:rPr>
          <w:rFonts w:ascii="宋体" w:hAnsi="宋体"/>
          <w:color w:val="auto"/>
          <w:szCs w:val="21"/>
          <w:highlight w:val="none"/>
        </w:rPr>
      </w:pPr>
      <w:r>
        <w:rPr>
          <w:rFonts w:hint="eastAsia" w:ascii="宋体" w:hAnsi="宋体"/>
          <w:color w:val="auto"/>
          <w:szCs w:val="21"/>
          <w:highlight w:val="none"/>
        </w:rPr>
        <w:t>4.政府采购监督管理部门：</w:t>
      </w:r>
    </w:p>
    <w:p>
      <w:pPr>
        <w:snapToGrid w:val="0"/>
        <w:spacing w:line="400" w:lineRule="exact"/>
        <w:ind w:firstLine="420" w:firstLineChars="200"/>
        <w:jc w:val="left"/>
        <w:rPr>
          <w:color w:val="auto"/>
          <w:highlight w:val="none"/>
        </w:rPr>
      </w:pPr>
      <w:r>
        <w:rPr>
          <w:rFonts w:hint="eastAsia"/>
          <w:color w:val="auto"/>
          <w:highlight w:val="none"/>
        </w:rPr>
        <w:t xml:space="preserve">广西壮族自治区财政厅政府采购监督管理处；联系电话：0771-5331544 </w:t>
      </w:r>
    </w:p>
    <w:p>
      <w:pPr>
        <w:snapToGrid w:val="0"/>
        <w:spacing w:line="400" w:lineRule="exact"/>
        <w:ind w:firstLine="404" w:firstLineChars="200"/>
        <w:jc w:val="left"/>
        <w:rPr>
          <w:rFonts w:ascii="宋体" w:hAnsi="宋体" w:cs="Arial"/>
          <w:b/>
          <w:color w:val="auto"/>
          <w:szCs w:val="21"/>
          <w:highlight w:val="none"/>
        </w:rPr>
      </w:pPr>
      <w:r>
        <w:rPr>
          <w:rFonts w:hint="eastAsia"/>
          <w:color w:val="auto"/>
          <w:spacing w:val="-4"/>
          <w:highlight w:val="none"/>
        </w:rPr>
        <w:t xml:space="preserve">地址：广西南宁市青秀区桃源路 </w:t>
      </w:r>
      <w:r>
        <w:rPr>
          <w:rFonts w:hint="eastAsia"/>
          <w:color w:val="auto"/>
          <w:highlight w:val="none"/>
        </w:rPr>
        <w:t>69</w:t>
      </w:r>
      <w:r>
        <w:rPr>
          <w:rFonts w:hint="eastAsia"/>
          <w:color w:val="auto"/>
          <w:spacing w:val="-26"/>
          <w:highlight w:val="none"/>
        </w:rPr>
        <w:t xml:space="preserve"> 号</w:t>
      </w:r>
    </w:p>
    <w:p>
      <w:pPr>
        <w:snapToGrid w:val="0"/>
        <w:spacing w:line="400" w:lineRule="exact"/>
        <w:ind w:firstLine="525" w:firstLineChars="249"/>
        <w:jc w:val="left"/>
        <w:rPr>
          <w:rFonts w:ascii="宋体" w:hAnsi="宋体" w:cs="Arial"/>
          <w:b/>
          <w:color w:val="auto"/>
          <w:szCs w:val="21"/>
          <w:highlight w:val="none"/>
        </w:rPr>
      </w:pPr>
    </w:p>
    <w:p>
      <w:pPr>
        <w:snapToGrid w:val="0"/>
        <w:spacing w:line="400" w:lineRule="exact"/>
        <w:ind w:left="238"/>
        <w:jc w:val="right"/>
        <w:rPr>
          <w:rFonts w:ascii="宋体" w:hAnsi="宋体" w:cs="Arial"/>
          <w:color w:val="auto"/>
          <w:szCs w:val="21"/>
          <w:highlight w:val="none"/>
        </w:rPr>
      </w:pPr>
      <w:r>
        <w:rPr>
          <w:rFonts w:hint="eastAsia" w:ascii="宋体" w:hAnsi="宋体" w:cs="Arial"/>
          <w:color w:val="auto"/>
          <w:szCs w:val="21"/>
          <w:highlight w:val="none"/>
        </w:rPr>
        <w:t>广西建设工程机电设备招标中心有限公司</w:t>
      </w:r>
    </w:p>
    <w:p>
      <w:pPr>
        <w:snapToGrid w:val="0"/>
        <w:spacing w:line="400" w:lineRule="exact"/>
        <w:ind w:left="238"/>
        <w:jc w:val="right"/>
        <w:rPr>
          <w:rFonts w:ascii="仿宋_GB2312" w:hAnsi="宋体" w:eastAsia="仿宋_GB2312"/>
          <w:color w:val="auto"/>
          <w:sz w:val="24"/>
          <w:szCs w:val="20"/>
          <w:highlight w:val="none"/>
        </w:rPr>
      </w:pPr>
      <w:r>
        <w:rPr>
          <w:rFonts w:hint="eastAsia" w:ascii="宋体" w:hAnsi="宋体"/>
          <w:color w:val="auto"/>
          <w:szCs w:val="21"/>
          <w:highlight w:val="none"/>
        </w:rPr>
        <w:t>2021年 5月日</w:t>
      </w:r>
      <w:r>
        <w:rPr>
          <w:rFonts w:ascii="宋体" w:hAnsi="宋体"/>
          <w:color w:val="auto"/>
          <w:szCs w:val="21"/>
          <w:highlight w:val="none"/>
        </w:rPr>
        <w:br w:type="page"/>
      </w:r>
    </w:p>
    <w:p>
      <w:pPr>
        <w:pStyle w:val="6"/>
        <w:jc w:val="center"/>
        <w:rPr>
          <w:color w:val="auto"/>
          <w:highlight w:val="none"/>
        </w:rPr>
      </w:pPr>
      <w:bookmarkStart w:id="41" w:name="_Toc50406499"/>
    </w:p>
    <w:p>
      <w:pPr>
        <w:pStyle w:val="6"/>
        <w:jc w:val="center"/>
        <w:rPr>
          <w:color w:val="auto"/>
          <w:sz w:val="30"/>
          <w:szCs w:val="30"/>
          <w:highlight w:val="none"/>
        </w:rPr>
      </w:pPr>
      <w:r>
        <w:rPr>
          <w:rFonts w:hint="eastAsia"/>
          <w:color w:val="auto"/>
          <w:highlight w:val="none"/>
        </w:rPr>
        <w:t>第二章采购需求</w:t>
      </w:r>
      <w:bookmarkEnd w:id="41"/>
    </w:p>
    <w:p>
      <w:pPr>
        <w:pStyle w:val="25"/>
        <w:snapToGrid w:val="0"/>
        <w:jc w:val="left"/>
        <w:outlineLvl w:val="0"/>
        <w:rPr>
          <w:rFonts w:hAnsi="宋体"/>
          <w:b/>
          <w:color w:val="auto"/>
          <w:sz w:val="24"/>
          <w:szCs w:val="24"/>
          <w:highlight w:val="none"/>
        </w:rPr>
      </w:pPr>
      <w:bookmarkStart w:id="42" w:name="_Toc254970490"/>
      <w:bookmarkStart w:id="43" w:name="_Toc254970631"/>
      <w:r>
        <w:rPr>
          <w:rFonts w:hint="eastAsia" w:hAnsi="宋体"/>
          <w:b/>
          <w:color w:val="auto"/>
          <w:sz w:val="24"/>
          <w:szCs w:val="24"/>
          <w:highlight w:val="none"/>
        </w:rPr>
        <w:t>说明：</w:t>
      </w:r>
    </w:p>
    <w:p>
      <w:pPr>
        <w:pStyle w:val="25"/>
        <w:snapToGrid w:val="0"/>
        <w:spacing w:line="360" w:lineRule="auto"/>
        <w:ind w:firstLine="422" w:firstLineChars="200"/>
        <w:jc w:val="left"/>
        <w:outlineLvl w:val="0"/>
        <w:rPr>
          <w:rFonts w:hAnsi="宋体"/>
          <w:b/>
          <w:color w:val="auto"/>
          <w:sz w:val="21"/>
          <w:highlight w:val="none"/>
        </w:rPr>
      </w:pPr>
      <w:r>
        <w:rPr>
          <w:rFonts w:hint="eastAsia" w:hAnsi="宋体"/>
          <w:b/>
          <w:color w:val="auto"/>
          <w:sz w:val="21"/>
          <w:highlight w:val="none"/>
        </w:rPr>
        <w:t>1、招标采购文件中标注 “▲” 号的条款为实质性条款或指标、要求，必须满足或优于，否则投标无效。</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2、投标人必须自行为其投标产品侵犯其他投标人或专利人的专利成果承担相应法律责任；同时，具有产品专利的投标人应在其投标文件中提供与其自有产品专利相关的有效证明材料，否则，不能就其产品的专利在本项目投标过程中被侵权问题提出异议。</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3、根据《关于调整优化节能产品、环境标志产品政府采购执行机制的通知》（财库〔2019〕9号），对政府采购节能产品、环境标志产品实施品目清单管理，依据品目清单和认证证书实施政府优先采购和强制采购。若本项目拟采购的货物属于强制采购的品目清单范围的，投标人在投标文件中必须提供所投产品经国家确定的认证机构出具的、处于有效期之内的节能产品认证证书复印件（加盖投标人公章），否则其投标无效。经国家确定的认证机构名录以市场监管总局发布的参与实施政府采购节能产品、环境标志产品认证机构名录为准。</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4、招标采购文件中所要求提供的证明材料，如为英文文本的请同时提供中文译本。</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5、投标人所投标货物或服务如国家有强制性要求的按国家规定执行，并提供相关证明材料。</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6、本采购需求中技术要求所使用的标准或应用标准如与投标人所执行的标准不一致时，按最新标准或较高标准执行。</w:t>
      </w:r>
    </w:p>
    <w:p>
      <w:pPr>
        <w:pStyle w:val="25"/>
        <w:snapToGrid w:val="0"/>
        <w:spacing w:line="360" w:lineRule="auto"/>
        <w:ind w:firstLine="420" w:firstLineChars="200"/>
        <w:jc w:val="left"/>
        <w:outlineLvl w:val="0"/>
        <w:rPr>
          <w:rFonts w:hAnsi="宋体"/>
          <w:color w:val="auto"/>
          <w:sz w:val="21"/>
          <w:highlight w:val="none"/>
        </w:rPr>
      </w:pPr>
      <w:r>
        <w:rPr>
          <w:rFonts w:hint="eastAsia" w:hAnsi="宋体"/>
          <w:color w:val="auto"/>
          <w:sz w:val="21"/>
          <w:highlight w:val="none"/>
        </w:rPr>
        <w:t>7、本项目货物不接受进口产品（即通过中国海关报关验放进入中国境内且产自关境外的产品）参与投标，如有此类产品参与投标的做无效投标处理。</w:t>
      </w:r>
    </w:p>
    <w:p>
      <w:pPr>
        <w:pStyle w:val="2"/>
        <w:spacing w:line="360" w:lineRule="auto"/>
        <w:ind w:firstLine="420" w:firstLineChars="200"/>
        <w:rPr>
          <w:rFonts w:hAnsi="宋体"/>
          <w:color w:val="auto"/>
          <w:sz w:val="21"/>
          <w:szCs w:val="21"/>
          <w:highlight w:val="none"/>
        </w:rPr>
      </w:pPr>
      <w:r>
        <w:rPr>
          <w:rFonts w:hint="eastAsia" w:hAnsi="宋体"/>
          <w:color w:val="auto"/>
          <w:sz w:val="21"/>
          <w:szCs w:val="21"/>
          <w:highlight w:val="none"/>
        </w:rPr>
        <w:t>8、</w:t>
      </w:r>
      <w:r>
        <w:rPr>
          <w:rFonts w:hint="eastAsia" w:hAnsi="宋体"/>
          <w:b/>
          <w:color w:val="auto"/>
          <w:sz w:val="21"/>
          <w:szCs w:val="21"/>
          <w:highlight w:val="none"/>
        </w:rPr>
        <w:t xml:space="preserve">本项目核心产品为：A分标 </w:t>
      </w:r>
      <w:r>
        <w:rPr>
          <w:rFonts w:hint="eastAsia" w:hAnsi="宋体"/>
          <w:b/>
          <w:color w:val="auto"/>
          <w:sz w:val="21"/>
          <w:szCs w:val="21"/>
          <w:highlight w:val="none"/>
          <w:u w:val="single"/>
        </w:rPr>
        <w:t>第六项</w:t>
      </w:r>
      <w:r>
        <w:rPr>
          <w:rFonts w:hint="eastAsia" w:hAnsi="宋体"/>
          <w:b/>
          <w:color w:val="auto"/>
          <w:sz w:val="21"/>
          <w:szCs w:val="21"/>
          <w:highlight w:val="none"/>
        </w:rPr>
        <w:t xml:space="preserve">；B分标 </w:t>
      </w:r>
      <w:r>
        <w:rPr>
          <w:rFonts w:hint="eastAsia" w:hAnsi="宋体"/>
          <w:b/>
          <w:color w:val="auto"/>
          <w:sz w:val="21"/>
          <w:szCs w:val="21"/>
          <w:highlight w:val="none"/>
          <w:u w:val="single"/>
        </w:rPr>
        <w:t>第二项、第十三项；</w:t>
      </w:r>
      <w:r>
        <w:rPr>
          <w:rFonts w:hint="eastAsia" w:hAnsi="宋体"/>
          <w:b/>
          <w:color w:val="auto"/>
          <w:sz w:val="21"/>
          <w:szCs w:val="21"/>
          <w:highlight w:val="none"/>
        </w:rPr>
        <w:t xml:space="preserve">C分标 </w:t>
      </w:r>
      <w:r>
        <w:rPr>
          <w:rFonts w:hint="eastAsia" w:hAnsi="宋体"/>
          <w:b/>
          <w:color w:val="auto"/>
          <w:sz w:val="21"/>
          <w:szCs w:val="21"/>
          <w:highlight w:val="none"/>
          <w:u w:val="single"/>
        </w:rPr>
        <w:t>第一项；</w:t>
      </w:r>
      <w:r>
        <w:rPr>
          <w:rFonts w:hint="eastAsia" w:hAnsi="宋体"/>
          <w:b/>
          <w:color w:val="auto"/>
          <w:sz w:val="21"/>
          <w:szCs w:val="21"/>
          <w:highlight w:val="none"/>
        </w:rPr>
        <w:t>D分标</w:t>
      </w:r>
      <w:r>
        <w:rPr>
          <w:rFonts w:hint="eastAsia" w:hAnsi="宋体"/>
          <w:b/>
          <w:color w:val="auto"/>
          <w:sz w:val="21"/>
          <w:szCs w:val="21"/>
          <w:highlight w:val="none"/>
          <w:u w:val="single"/>
        </w:rPr>
        <w:t>第十七项；</w:t>
      </w:r>
      <w:r>
        <w:rPr>
          <w:rFonts w:hint="eastAsia" w:hAnsi="宋体"/>
          <w:b/>
          <w:color w:val="auto"/>
          <w:sz w:val="21"/>
          <w:szCs w:val="21"/>
          <w:highlight w:val="none"/>
        </w:rPr>
        <w:t xml:space="preserve">E分标 </w:t>
      </w:r>
      <w:r>
        <w:rPr>
          <w:rFonts w:hint="eastAsia" w:hAnsi="宋体"/>
          <w:b/>
          <w:color w:val="auto"/>
          <w:sz w:val="21"/>
          <w:szCs w:val="21"/>
          <w:highlight w:val="none"/>
          <w:u w:val="single"/>
        </w:rPr>
        <w:t>第三十五项、第四十二项；</w:t>
      </w:r>
      <w:r>
        <w:rPr>
          <w:rFonts w:hint="eastAsia" w:hAnsi="宋体"/>
          <w:b/>
          <w:color w:val="auto"/>
          <w:sz w:val="21"/>
          <w:szCs w:val="21"/>
          <w:highlight w:val="none"/>
        </w:rPr>
        <w:t xml:space="preserve">F分标 </w:t>
      </w:r>
      <w:r>
        <w:rPr>
          <w:rFonts w:hint="eastAsia" w:hAnsi="宋体"/>
          <w:b/>
          <w:color w:val="auto"/>
          <w:sz w:val="21"/>
          <w:szCs w:val="21"/>
          <w:highlight w:val="none"/>
          <w:u w:val="single"/>
        </w:rPr>
        <w:t>第二十九项；</w:t>
      </w:r>
      <w:r>
        <w:rPr>
          <w:rFonts w:hint="eastAsia" w:hAnsi="宋体"/>
          <w:b/>
          <w:color w:val="auto"/>
          <w:sz w:val="21"/>
          <w:szCs w:val="21"/>
          <w:highlight w:val="none"/>
        </w:rPr>
        <w:t xml:space="preserve">G分标 </w:t>
      </w:r>
      <w:r>
        <w:rPr>
          <w:rFonts w:hint="eastAsia" w:hAnsi="宋体"/>
          <w:b/>
          <w:color w:val="auto"/>
          <w:sz w:val="21"/>
          <w:szCs w:val="21"/>
          <w:highlight w:val="none"/>
          <w:u w:val="single"/>
        </w:rPr>
        <w:t>第二项；</w:t>
      </w:r>
      <w:r>
        <w:rPr>
          <w:rFonts w:hint="eastAsia" w:hAnsi="宋体"/>
          <w:color w:val="auto"/>
          <w:sz w:val="21"/>
          <w:szCs w:val="21"/>
          <w:highlight w:val="none"/>
        </w:rPr>
        <w:t>提供相同品牌核心产品且通过资格审查、符合性审查的不同投标人参加同一合同项下投标的，按一家投标人计算，评审后得分最高的同品牌投标人获得中标人推荐资格；评审得分相同的，由采购人自主选定一个投标人获得中标人推荐资格，其他同品牌投标人不作为中标候选人。</w:t>
      </w:r>
    </w:p>
    <w:p>
      <w:pPr>
        <w:spacing w:line="360" w:lineRule="auto"/>
        <w:ind w:firstLine="431"/>
        <w:rPr>
          <w:rFonts w:hAnsi="宋体"/>
          <w:b/>
          <w:bCs/>
          <w:color w:val="auto"/>
          <w:kern w:val="0"/>
          <w:szCs w:val="21"/>
          <w:highlight w:val="none"/>
        </w:rPr>
      </w:pPr>
      <w:r>
        <w:rPr>
          <w:rFonts w:hint="eastAsia" w:hAnsi="宋体"/>
          <w:color w:val="auto"/>
          <w:szCs w:val="21"/>
          <w:highlight w:val="none"/>
        </w:rPr>
        <w:t>9、</w:t>
      </w:r>
      <w:r>
        <w:rPr>
          <w:rFonts w:hint="eastAsia" w:hAnsi="宋体"/>
          <w:b/>
          <w:bCs/>
          <w:color w:val="auto"/>
          <w:kern w:val="0"/>
          <w:szCs w:val="21"/>
          <w:highlight w:val="none"/>
        </w:rPr>
        <w:t>本项目投标人可投2个分标，但只能中一个分标。</w:t>
      </w:r>
      <w:r>
        <w:rPr>
          <w:rFonts w:hAnsi="宋体"/>
          <w:b/>
          <w:bCs/>
          <w:color w:val="auto"/>
          <w:kern w:val="0"/>
          <w:szCs w:val="21"/>
          <w:highlight w:val="none"/>
        </w:rPr>
        <w:t>本项目</w:t>
      </w:r>
      <w:r>
        <w:rPr>
          <w:rFonts w:hint="eastAsia" w:hAnsi="宋体"/>
          <w:b/>
          <w:bCs/>
          <w:color w:val="auto"/>
          <w:kern w:val="0"/>
          <w:szCs w:val="21"/>
          <w:highlight w:val="none"/>
        </w:rPr>
        <w:t>按照A-B-C-D-E-F-G分标的顺序依次评标</w:t>
      </w:r>
      <w:r>
        <w:rPr>
          <w:rFonts w:hAnsi="宋体"/>
          <w:b/>
          <w:bCs/>
          <w:color w:val="auto"/>
          <w:kern w:val="0"/>
          <w:szCs w:val="21"/>
          <w:highlight w:val="none"/>
        </w:rPr>
        <w:t>，在</w:t>
      </w:r>
      <w:r>
        <w:rPr>
          <w:rFonts w:hint="eastAsia" w:hAnsi="宋体"/>
          <w:b/>
          <w:bCs/>
          <w:color w:val="auto"/>
          <w:kern w:val="0"/>
          <w:szCs w:val="21"/>
          <w:highlight w:val="none"/>
        </w:rPr>
        <w:t>分标一</w:t>
      </w:r>
      <w:r>
        <w:rPr>
          <w:rFonts w:hAnsi="宋体"/>
          <w:b/>
          <w:bCs/>
          <w:color w:val="auto"/>
          <w:kern w:val="0"/>
          <w:szCs w:val="21"/>
          <w:highlight w:val="none"/>
        </w:rPr>
        <w:t>被</w:t>
      </w:r>
      <w:r>
        <w:rPr>
          <w:rFonts w:hint="eastAsia" w:hAnsi="宋体"/>
          <w:b/>
          <w:bCs/>
          <w:color w:val="auto"/>
          <w:kern w:val="0"/>
          <w:szCs w:val="21"/>
          <w:highlight w:val="none"/>
        </w:rPr>
        <w:t>确定</w:t>
      </w:r>
      <w:r>
        <w:rPr>
          <w:rFonts w:hAnsi="宋体"/>
          <w:b/>
          <w:bCs/>
          <w:color w:val="auto"/>
          <w:kern w:val="0"/>
          <w:szCs w:val="21"/>
          <w:highlight w:val="none"/>
        </w:rPr>
        <w:t>为</w:t>
      </w:r>
      <w:r>
        <w:rPr>
          <w:rFonts w:hint="eastAsia" w:hAnsi="宋体"/>
          <w:b/>
          <w:bCs/>
          <w:color w:val="auto"/>
          <w:kern w:val="0"/>
          <w:szCs w:val="21"/>
          <w:highlight w:val="none"/>
        </w:rPr>
        <w:t>中标人</w:t>
      </w:r>
      <w:r>
        <w:rPr>
          <w:rFonts w:hAnsi="宋体"/>
          <w:b/>
          <w:bCs/>
          <w:color w:val="auto"/>
          <w:kern w:val="0"/>
          <w:szCs w:val="21"/>
          <w:highlight w:val="none"/>
        </w:rPr>
        <w:t>的</w:t>
      </w:r>
      <w:r>
        <w:rPr>
          <w:rFonts w:hint="eastAsia" w:hAnsi="宋体"/>
          <w:b/>
          <w:bCs/>
          <w:color w:val="auto"/>
          <w:kern w:val="0"/>
          <w:szCs w:val="21"/>
          <w:highlight w:val="none"/>
        </w:rPr>
        <w:t>投标人</w:t>
      </w:r>
      <w:r>
        <w:rPr>
          <w:rFonts w:hAnsi="宋体"/>
          <w:b/>
          <w:bCs/>
          <w:color w:val="auto"/>
          <w:kern w:val="0"/>
          <w:szCs w:val="21"/>
          <w:highlight w:val="none"/>
        </w:rPr>
        <w:t>，不得成为</w:t>
      </w:r>
      <w:r>
        <w:rPr>
          <w:rFonts w:hint="eastAsia" w:hAnsi="宋体"/>
          <w:b/>
          <w:bCs/>
          <w:color w:val="auto"/>
          <w:kern w:val="0"/>
          <w:szCs w:val="21"/>
          <w:highlight w:val="none"/>
        </w:rPr>
        <w:t>分标二和后续分标</w:t>
      </w:r>
      <w:r>
        <w:rPr>
          <w:rFonts w:hAnsi="宋体"/>
          <w:b/>
          <w:bCs/>
          <w:color w:val="auto"/>
          <w:kern w:val="0"/>
          <w:szCs w:val="21"/>
          <w:highlight w:val="none"/>
        </w:rPr>
        <w:t>的</w:t>
      </w:r>
      <w:r>
        <w:rPr>
          <w:rFonts w:hint="eastAsia" w:hAnsi="宋体"/>
          <w:b/>
          <w:bCs/>
          <w:color w:val="auto"/>
          <w:kern w:val="0"/>
          <w:szCs w:val="21"/>
          <w:highlight w:val="none"/>
        </w:rPr>
        <w:t>中标人</w:t>
      </w:r>
      <w:r>
        <w:rPr>
          <w:rFonts w:hAnsi="宋体"/>
          <w:b/>
          <w:bCs/>
          <w:color w:val="auto"/>
          <w:kern w:val="0"/>
          <w:szCs w:val="21"/>
          <w:highlight w:val="none"/>
        </w:rPr>
        <w:t>。以此类推。</w:t>
      </w:r>
    </w:p>
    <w:p>
      <w:pPr>
        <w:pStyle w:val="10"/>
        <w:spacing w:line="360" w:lineRule="auto"/>
        <w:rPr>
          <w:rFonts w:hint="eastAsia" w:hAnsi="宋体"/>
          <w:b/>
          <w:bCs/>
          <w:color w:val="auto"/>
          <w:kern w:val="0"/>
          <w:szCs w:val="21"/>
          <w:highlight w:val="none"/>
        </w:rPr>
      </w:pPr>
      <w:r>
        <w:rPr>
          <w:rFonts w:hint="eastAsia" w:hAnsi="宋体"/>
          <w:b/>
          <w:bCs/>
          <w:color w:val="auto"/>
          <w:kern w:val="0"/>
          <w:szCs w:val="21"/>
          <w:highlight w:val="none"/>
        </w:rPr>
        <w:t>10、单项报价超过预算单价为无效报价。本项目采购预算只作为参考价格，实际预算金额为年度财政性资金和彩票公益金资金之和，合同金额以实际采购量结算。</w:t>
      </w:r>
    </w:p>
    <w:p>
      <w:pPr>
        <w:pStyle w:val="10"/>
        <w:spacing w:line="360" w:lineRule="auto"/>
        <w:rPr>
          <w:rFonts w:hint="eastAsia" w:hAnsi="宋体"/>
          <w:b/>
          <w:bCs/>
          <w:color w:val="auto"/>
          <w:kern w:val="0"/>
          <w:szCs w:val="21"/>
          <w:highlight w:val="none"/>
        </w:rPr>
      </w:pPr>
      <w:r>
        <w:rPr>
          <w:rFonts w:hint="eastAsia" w:hAnsi="宋体"/>
          <w:b/>
          <w:bCs/>
          <w:color w:val="auto"/>
          <w:kern w:val="0"/>
          <w:szCs w:val="21"/>
          <w:highlight w:val="none"/>
          <w:lang w:val="en-US" w:eastAsia="zh-CN"/>
        </w:rPr>
        <w:t>11、</w:t>
      </w:r>
      <w:r>
        <w:rPr>
          <w:rFonts w:hint="eastAsia" w:hAnsi="宋体"/>
          <w:b/>
          <w:bCs/>
          <w:color w:val="auto"/>
          <w:kern w:val="0"/>
          <w:szCs w:val="21"/>
          <w:highlight w:val="none"/>
        </w:rPr>
        <w:t>本项目采购标的对应的中小企业划分标准所属行业为</w:t>
      </w:r>
      <w:r>
        <w:rPr>
          <w:rFonts w:hint="eastAsia" w:hAnsi="宋体"/>
          <w:b/>
          <w:bCs/>
          <w:color w:val="auto"/>
          <w:kern w:val="0"/>
          <w:szCs w:val="21"/>
          <w:highlight w:val="none"/>
          <w:lang w:eastAsia="zh-CN"/>
        </w:rPr>
        <w:t>工</w:t>
      </w:r>
      <w:r>
        <w:rPr>
          <w:rFonts w:hint="eastAsia" w:hAnsi="宋体"/>
          <w:b/>
          <w:bCs/>
          <w:color w:val="auto"/>
          <w:kern w:val="0"/>
          <w:szCs w:val="21"/>
          <w:highlight w:val="none"/>
        </w:rPr>
        <w:t>业。</w:t>
      </w:r>
    </w:p>
    <w:p>
      <w:pPr>
        <w:spacing w:line="360" w:lineRule="auto"/>
        <w:ind w:firstLine="426" w:firstLineChars="202"/>
        <w:jc w:val="left"/>
        <w:rPr>
          <w:b/>
          <w:color w:val="auto"/>
          <w:highlight w:val="none"/>
        </w:rPr>
      </w:pPr>
    </w:p>
    <w:p>
      <w:pPr>
        <w:ind w:firstLine="426" w:firstLineChars="202"/>
        <w:jc w:val="left"/>
        <w:rPr>
          <w:b/>
          <w:color w:val="auto"/>
          <w:highlight w:val="none"/>
        </w:rPr>
      </w:pPr>
    </w:p>
    <w:p>
      <w:pPr>
        <w:ind w:firstLine="426" w:firstLineChars="202"/>
        <w:jc w:val="left"/>
        <w:rPr>
          <w:b/>
          <w:color w:val="auto"/>
          <w:highlight w:val="none"/>
        </w:rPr>
      </w:pPr>
    </w:p>
    <w:p>
      <w:pPr>
        <w:ind w:firstLine="426" w:firstLineChars="202"/>
        <w:jc w:val="left"/>
        <w:rPr>
          <w:b/>
          <w:color w:val="auto"/>
          <w:highlight w:val="none"/>
        </w:rPr>
      </w:pPr>
    </w:p>
    <w:p>
      <w:pPr>
        <w:ind w:firstLine="426" w:firstLineChars="202"/>
        <w:jc w:val="left"/>
        <w:rPr>
          <w:b/>
          <w:color w:val="auto"/>
          <w:highlight w:val="none"/>
        </w:rPr>
      </w:pPr>
      <w:r>
        <w:rPr>
          <w:b/>
          <w:color w:val="auto"/>
          <w:highlight w:val="none"/>
        </w:rPr>
        <w:t>A</w:t>
      </w:r>
      <w:r>
        <w:rPr>
          <w:rFonts w:hint="eastAsia"/>
          <w:b/>
          <w:color w:val="auto"/>
          <w:highlight w:val="none"/>
        </w:rPr>
        <w:t>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3"/>
        <w:gridCol w:w="966"/>
        <w:gridCol w:w="99"/>
        <w:gridCol w:w="6105"/>
        <w:gridCol w:w="783"/>
        <w:gridCol w:w="9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序号</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名称</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参考型号规格或配置技术参数</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单位</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1</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四角手杖</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1.手柄长度≧127mm；总宽度≧38mm；总高：795-897mm；</w:t>
            </w:r>
          </w:p>
          <w:p>
            <w:pPr>
              <w:widowControl/>
              <w:spacing w:line="320" w:lineRule="exact"/>
              <w:jc w:val="left"/>
              <w:textAlignment w:val="center"/>
              <w:rPr>
                <w:rFonts w:ascii="宋体" w:hAnsi="宋体" w:cs="宋体"/>
                <w:b/>
                <w:color w:val="auto"/>
                <w:szCs w:val="21"/>
                <w:highlight w:val="none"/>
              </w:rPr>
            </w:pPr>
            <w:r>
              <w:rPr>
                <w:rFonts w:hint="eastAsia" w:ascii="宋体" w:hAnsi="宋体" w:cs="宋体"/>
                <w:color w:val="auto"/>
                <w:kern w:val="0"/>
                <w:szCs w:val="21"/>
                <w:highlight w:val="none"/>
              </w:rPr>
              <w:t xml:space="preserve">2.最大静载荷≧100kg；                                                                                3.采用轻质铝合金；                                              4.架脚：配橡胶防滑脚垫；                                                     5.特点：高度可调节，方便携带。                                                </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2</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单脚手杖</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1.手柄长度≧127mm；总宽度≧38mm；总高：700-925mm；</w:t>
            </w:r>
          </w:p>
          <w:p>
            <w:pPr>
              <w:widowControl/>
              <w:spacing w:line="320" w:lineRule="exact"/>
              <w:jc w:val="left"/>
              <w:textAlignment w:val="center"/>
              <w:rPr>
                <w:rFonts w:ascii="宋体" w:hAnsi="宋体" w:cs="宋体"/>
                <w:b/>
                <w:color w:val="auto"/>
                <w:szCs w:val="21"/>
                <w:highlight w:val="none"/>
              </w:rPr>
            </w:pPr>
            <w:r>
              <w:rPr>
                <w:rFonts w:hint="eastAsia" w:ascii="宋体" w:hAnsi="宋体" w:cs="宋体"/>
                <w:color w:val="auto"/>
                <w:kern w:val="0"/>
                <w:szCs w:val="21"/>
                <w:highlight w:val="none"/>
              </w:rPr>
              <w:t>2.最大静载荷≧100kg；                                                                         3.采用轻质铝合金为主要材料；                                                 4.架脚：高度可调节，配橡胶防滑脚垫。</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3</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三脚手杖（带坐）</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b/>
                <w:color w:val="auto"/>
                <w:szCs w:val="21"/>
                <w:highlight w:val="none"/>
              </w:rPr>
            </w:pPr>
            <w:r>
              <w:rPr>
                <w:rFonts w:hint="eastAsia" w:ascii="宋体" w:hAnsi="宋体" w:cs="宋体"/>
                <w:color w:val="auto"/>
                <w:kern w:val="0"/>
                <w:szCs w:val="21"/>
                <w:highlight w:val="none"/>
              </w:rPr>
              <w:t>1.产品尺寸：47×28×85cm；                                                                                              2.最大载荷≧100kg；                                                                                  3.主架：采用铝合金材质，表面亮面处理；                                                                                                4.把手：发泡手把，美观舒适；                                                               5.脚管：钢质脚管；                                                                                                     6.脚垫：三角着地，配橡胶防滑脚垫，安全可靠。</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4</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肘杖（成人、铝合金可调）</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b/>
                <w:color w:val="auto"/>
                <w:szCs w:val="21"/>
                <w:highlight w:val="none"/>
              </w:rPr>
            </w:pPr>
            <w:r>
              <w:rPr>
                <w:rFonts w:hint="eastAsia" w:ascii="宋体" w:hAnsi="宋体" w:cs="宋体"/>
                <w:color w:val="auto"/>
                <w:kern w:val="0"/>
                <w:szCs w:val="21"/>
                <w:highlight w:val="none"/>
              </w:rPr>
              <w:t>1.手柄长度：100-120mm；                                                                                                                                2.产品尺寸：193×99×736-965mm，稳定性佳；                                                                           3.肘拐杖向内稳定性能不小于1.5度，向外稳定性能不小于4.0度。</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5</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肘杖（儿童、铝合金可调）</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b/>
                <w:color w:val="auto"/>
                <w:szCs w:val="21"/>
                <w:highlight w:val="none"/>
              </w:rPr>
            </w:pPr>
            <w:r>
              <w:rPr>
                <w:rFonts w:hint="eastAsia" w:ascii="宋体" w:hAnsi="宋体" w:cs="宋体"/>
                <w:color w:val="auto"/>
                <w:kern w:val="0"/>
                <w:szCs w:val="21"/>
                <w:highlight w:val="none"/>
              </w:rPr>
              <w:t xml:space="preserve">1.尺寸：总长17cm、总宽10cm、总高86～116cm；                                                                                                                   2.肘托手柄：采用人体工程学设计理念，使用高强度工程塑胶材料模压密合而成，舒适耐用；                                                                                                                           3.支脚：采用轻质铝合金为主要材料，管料规格：直径≧19mm，壁厚≧1.2 mm；表面亮面处理；   </w:t>
            </w:r>
            <w:r>
              <w:rPr>
                <w:rFonts w:hint="eastAsia" w:ascii="宋体" w:hAnsi="宋体" w:eastAsia="宋体" w:cs="宋体"/>
                <w:color w:val="auto"/>
                <w:kern w:val="0"/>
                <w:szCs w:val="21"/>
                <w:highlight w:val="none"/>
              </w:rPr>
              <w:t xml:space="preserve">                                                                                                4.性能：高度可调；配耐磨橡胶防</w:t>
            </w:r>
            <w:r>
              <w:rPr>
                <w:rFonts w:hint="eastAsia" w:ascii="宋体" w:hAnsi="宋体" w:cs="宋体"/>
                <w:color w:val="auto"/>
                <w:kern w:val="0"/>
                <w:szCs w:val="21"/>
                <w:highlight w:val="none"/>
              </w:rPr>
              <w:t>滑脚垫，着地性能好，稳定性佳。</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6</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腋杖（成人、铝合金可调）</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 xml:space="preserve">1.主体采用铝合金管；                                                                                                          2.管材表面为光亮阳极氧化处理；                                                                                                          3.高度可调节，调节范围在110-135cm,腋托最小长度为19cm,腋托中心宽度为2.8cm,手柄最小直径为23mm，腋托最高点与基准线间垂直距离为20mm，手柄间高度可调，支脚底部直径≧35mm，底部（出去凹槽或凸起）厚度≧10mm,配高档橡胶防滑、耐磨脚垫，内有金属垫片。                                                         </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7</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腋杖（成人、钢质可调）</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eastAsia="宋体" w:cs="宋体"/>
                <w:color w:val="auto"/>
                <w:szCs w:val="21"/>
                <w:highlight w:val="none"/>
              </w:rPr>
              <w:t xml:space="preserve">1. 符合ISO11334-1《单臂操作助行器要求和试验方法第1部分：腋拐杖》国家标准；    </w:t>
            </w:r>
            <w:r>
              <w:rPr>
                <w:rFonts w:hint="eastAsia" w:ascii="宋体" w:hAnsi="宋体" w:cs="宋体"/>
                <w:color w:val="auto"/>
                <w:szCs w:val="21"/>
                <w:highlight w:val="none"/>
              </w:rPr>
              <w:t xml:space="preserve">                                                                                       2.主架：表面抛光处理，高度可调；                                                                                          3.架脚：采用不锈钢为主要材料，表面抛光处理，管料规格为：直径≧22 mm，厚度≧0.95 mm；                                                                    4.高度可调，配耐用橡胶防滑支脚垫，着地性能好，稳定性佳，摩擦系数高；                                                                                   5.腋托：采用橡胶为主要材料，防滑、弹性佳，舒适耐用；                                                                           6.总长≧203mm；                                                                                   7.总宽≦43mm；                                                                                        8.总高1140-1330mm；                                                                                   9.手柄长度100mm；                                                       10.最大静载荷≧100kg。</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8</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腋杖（儿童、铝合金可调）</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 符合ISO11334-1《单臂操作助行器要求和试验方法第1部分：腋拐杖》国家标准；                                                                    2.最大静载荷≧100kg；                                                                            3.主架：采用轻质铝合金为主要材料，表面氧化处理，美观耐用，使用方便；                                                                             4.支脚：高度可调，配耐用橡胶防滑脚垫，有弹性，着地性能好，稳定性佳；                                                                            5.手把：采用高密度泡沫塑料，防滑、舒适；                                                               6.腋托套：采用高密度泡沫塑料，防滑、舒适。</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副</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9</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助行器（成人、升降折叠两轮）</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 xml:space="preserve">1.总长≧620mm，总宽≧500mm，总高：780-960mm;                                                                           2.最大静载荷≧100kg；                                                                                     3.铝合金材料，表面氧化处理，可折叠；                                                         4.4寸PP+PVC前轮。                                                                                     </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台</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10</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助行器（成人、升降折叠扭动式）</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1.总长≧570mm，总宽≧600mm，总高：745-920mm，手柄长度≧107mm，最大宽度≧530mm，最大回转直径≧725mm；                                                                                            2.最大静载荷≧100kg；                                                                        3.铝合金材料，表面氧化处理，可折叠。</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台</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11</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助行器（成人、阶梯式）</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1.符合GB/T 14728.1-2006《框式助行架》国家标准；                                                                           2.主架：选用高强度铝合金为主要材料，管料规格：直径≧25mm，厚度≧1.2mm；主架表面采用氧化处理；                                                                                       3.架脚：选用高强度铝合金为主要材料，管料规格：直径≧28mm，厚度≧1.2mm；主架表面采用氧化处理；                                                                                         4.把手：高低两组把手，采用高密度泡沫塑料，防滑、舒适；                                                                                                          5.性能：手撑步进式可折叠，采用阶梯式结构，带辅助坐姿与站姿转换的功能。高度可调，脚管高度可调节，适合1.55m～1.80m人群使用；配耐用优质橡胶防滑脚垫，有弹性着地性能好，稳定性佳，表面摩擦系数高；                                                                                    6.总长≧60cm；                                                                                 7.总宽≧48cm；                                                                            8.总高82～100cm；                                                                                   9.上扶手宽≧48cm；                                                                                   10.下扶手宽≧50cm；                                                                                                          11.折叠宽度≦12cm；                                                                                12.最大载荷≧100kg。</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台</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szCs w:val="21"/>
                <w:highlight w:val="none"/>
              </w:rPr>
              <w:t>12</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助行器（儿童、升降四轮）</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1.主架选用高强度铝合金焊接而成，表面彩色喷漆处理，管直径≥25mm，壁厚≥1.2mm，可折叠主架；                                                                                        2.四脚配有伸缩管，高度可调节；                                                                             3.把手采用彩色发泡防滑手把，防滑、舒适不易脱手；                                                                         4.前后脚均配有优质脚轮，表面摩擦系数高，防滑性能好；后脚轮配有单向轴承，具有单向行驶功能；                                                                                                          5.技术参数：尺</w:t>
            </w:r>
            <w:r>
              <w:rPr>
                <w:rFonts w:hint="eastAsia" w:ascii="宋体" w:hAnsi="宋体" w:eastAsia="宋体" w:cs="宋体"/>
                <w:color w:val="auto"/>
                <w:szCs w:val="21"/>
                <w:highlight w:val="none"/>
              </w:rPr>
              <w:t>寸690mm×560mm×500mm-580mm，</w:t>
            </w:r>
            <w:r>
              <w:rPr>
                <w:rFonts w:hint="eastAsia" w:ascii="宋体" w:hAnsi="宋体" w:cs="宋体"/>
                <w:color w:val="auto"/>
                <w:szCs w:val="21"/>
                <w:highlight w:val="none"/>
              </w:rPr>
              <w:t>误差±5%；折叠宽度≦200mm；最大载重≥100kg。</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台</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b/>
                <w:color w:val="auto"/>
                <w:szCs w:val="21"/>
                <w:highlight w:val="none"/>
              </w:rPr>
            </w:pPr>
            <w:r>
              <w:rPr>
                <w:rFonts w:hint="eastAsia" w:ascii="宋体" w:hAnsi="宋体" w:cs="宋体"/>
                <w:color w:val="auto"/>
                <w:kern w:val="0"/>
                <w:szCs w:val="21"/>
                <w:highlight w:val="none"/>
              </w:rPr>
              <w:t>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13</w:t>
            </w:r>
          </w:p>
        </w:tc>
        <w:tc>
          <w:tcPr>
            <w:tcW w:w="1065"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儿童多功能助行器</w:t>
            </w:r>
          </w:p>
        </w:tc>
        <w:tc>
          <w:tcPr>
            <w:tcW w:w="61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1.总宽57CM，总长83CM；                                                                    2.臂撑高度44*66CM 胸撑高度53-75CM                                                        3.车体高度38-46CM                                                                            4.车体体重6.3KG                                                                       5.适合胸部35-71CM周长                                                                        6.产品材质铝合金主体                                                                        7.承重值34㎏                                                                                  8.铝合金主体结构，表面烤漆处理。                                                               9.产品实现了模组化设计,助行器主架可单独使用,也可选购座垫/护腰/臂盘/脚套/脚踝保护装置/头枕/餐盘等配套部件组合使用.                                                                            10.人性化脚轮多功能设计：可控制滑行速度、控制单向与万向滑行、控制滑动与剎停，安全、省力。                                                                                      11.脚轮设计旋转锁：可避免滑轮旋转。                                                                         12.脚轮设计滑轮制动器：会让滑轮完全无法转动                                                                 13.脚轮设计滑轮阻力器：提高阻力可限制有力的孩童移动过快速或突然移动。                                                                             14.脚轮设计方向锁：可让滑轮只朝一个方向转动，可帮助想要往前走，却被滑轮往后推的孩童。                                                                  15.腿撑提供保护及支撑力，可以调节步幅大小。                                                                       16臀撑提供支撑力并可以实现舒适度。                                                               17.臂撑提供支撑力并实现了最大化调节舒适度的功能。</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18.人性化胸撑设计，贴身保护儿童，提供必要支撑力。</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szCs w:val="21"/>
                <w:highlight w:val="none"/>
              </w:rPr>
              <w:t>19.独有的踝撑设计，可有效控制剪刀腿现象，可调节步伐长短。                                                                           20.产品实现了快速拆卸，免工具安装。                                                                       21.主体车架可以折叠，便于搬运</w:t>
            </w:r>
          </w:p>
        </w:tc>
        <w:tc>
          <w:tcPr>
            <w:tcW w:w="78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台</w:t>
            </w:r>
          </w:p>
        </w:tc>
        <w:tc>
          <w:tcPr>
            <w:tcW w:w="9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6000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960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4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7852"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7852"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1" w:hRule="atLeast"/>
        </w:trPr>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785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785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785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成品辅具、使用指导、运输配送、备品备件、跟踪回访、质保服务、使用指导、培训、技术支持、验收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960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7951"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4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7852"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2、投标产品中涉及国家专项审批的，投标人在投标文件中需提供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7852" w:type="dxa"/>
            <w:gridSpan w:val="3"/>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74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785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第六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▲2、第6项、第11项投标产品需提供</w:t>
            </w:r>
            <w:r>
              <w:rPr>
                <w:rFonts w:hint="eastAsia" w:ascii="宋体" w:hAnsi="宋体" w:eastAsia="宋体" w:cs="宋体"/>
                <w:color w:val="auto"/>
                <w:sz w:val="21"/>
                <w:szCs w:val="21"/>
                <w:highlight w:val="none"/>
                <w:lang w:val="en-US" w:eastAsia="zh-CN"/>
              </w:rPr>
              <w:t>省级及以上相关专业质量监督检验部门出具的检测报告</w:t>
            </w:r>
            <w:r>
              <w:rPr>
                <w:rFonts w:hint="eastAsia" w:ascii="宋体" w:hAnsi="宋体" w:eastAsia="宋体" w:cs="宋体"/>
                <w:color w:val="auto"/>
                <w:sz w:val="21"/>
                <w:szCs w:val="21"/>
                <w:highlight w:val="none"/>
              </w:rPr>
              <w:t>，检测报告的检测时间为三年（2019年、2020年、2021年）。</w:t>
            </w:r>
          </w:p>
        </w:tc>
      </w:tr>
    </w:tbl>
    <w:p>
      <w:pPr>
        <w:spacing w:line="400" w:lineRule="exact"/>
        <w:ind w:firstLine="426" w:firstLineChars="202"/>
        <w:jc w:val="left"/>
        <w:rPr>
          <w:b/>
          <w:color w:val="auto"/>
          <w:szCs w:val="21"/>
          <w:highlight w:val="none"/>
        </w:rPr>
      </w:pPr>
    </w:p>
    <w:p>
      <w:pPr>
        <w:pStyle w:val="8"/>
        <w:rPr>
          <w:color w:val="auto"/>
          <w:highlight w:val="none"/>
        </w:rPr>
      </w:pPr>
      <w:r>
        <w:rPr>
          <w:color w:val="auto"/>
          <w:highlight w:val="none"/>
        </w:rPr>
        <w:br w:type="page"/>
      </w:r>
    </w:p>
    <w:p>
      <w:pPr>
        <w:spacing w:line="400" w:lineRule="exact"/>
        <w:ind w:firstLine="426" w:firstLineChars="202"/>
        <w:jc w:val="left"/>
        <w:rPr>
          <w:b/>
          <w:color w:val="auto"/>
          <w:szCs w:val="21"/>
          <w:highlight w:val="none"/>
        </w:rPr>
      </w:pPr>
      <w:r>
        <w:rPr>
          <w:rFonts w:hint="eastAsia"/>
          <w:b/>
          <w:color w:val="auto"/>
          <w:szCs w:val="21"/>
          <w:highlight w:val="none"/>
        </w:rPr>
        <w:t>B分标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897"/>
        <w:gridCol w:w="95"/>
        <w:gridCol w:w="141"/>
        <w:gridCol w:w="6025"/>
        <w:gridCol w:w="838"/>
        <w:gridCol w:w="10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701"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02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838"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103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手摇三轮车（手动平摇式）</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（1）产品尺寸：总长1775mm、总宽775mm、总高1060mm（允许</w:t>
            </w:r>
            <w:r>
              <w:rPr>
                <w:rFonts w:hint="eastAsia" w:ascii="Times New Roman" w:hAnsi="Times New Roman" w:eastAsia="宋体" w:cs="Times New Roman"/>
                <w:color w:val="auto"/>
                <w:szCs w:val="21"/>
                <w:highlight w:val="none"/>
              </w:rPr>
              <w:t>误差±5mm）；</w:t>
            </w:r>
          </w:p>
          <w:p>
            <w:pPr>
              <w:widowControl/>
              <w:spacing w:line="320" w:lineRule="exact"/>
              <w:jc w:val="left"/>
              <w:textAlignment w:val="center"/>
              <w:rPr>
                <w:color w:val="auto"/>
                <w:szCs w:val="21"/>
                <w:highlight w:val="none"/>
              </w:rPr>
            </w:pPr>
            <w:r>
              <w:rPr>
                <w:rFonts w:hint="eastAsia"/>
                <w:color w:val="auto"/>
                <w:szCs w:val="21"/>
                <w:highlight w:val="none"/>
              </w:rPr>
              <w:t>（2）车架材质钢质，管直径≥22mm，壁厚≥1.5mm，表面喷塑处理；</w:t>
            </w:r>
          </w:p>
          <w:p>
            <w:pPr>
              <w:widowControl/>
              <w:spacing w:line="320" w:lineRule="exact"/>
              <w:jc w:val="left"/>
              <w:textAlignment w:val="center"/>
              <w:rPr>
                <w:color w:val="auto"/>
                <w:szCs w:val="21"/>
                <w:highlight w:val="none"/>
              </w:rPr>
            </w:pPr>
            <w:r>
              <w:rPr>
                <w:rFonts w:hint="eastAsia"/>
                <w:color w:val="auto"/>
                <w:szCs w:val="21"/>
                <w:highlight w:val="none"/>
              </w:rPr>
              <w:t>（3）手动平摇式，左手掌握方向，右手平摇，可前进、后退，前后均配有刹车装置；</w:t>
            </w:r>
          </w:p>
          <w:p>
            <w:pPr>
              <w:widowControl/>
              <w:spacing w:line="320" w:lineRule="exact"/>
              <w:jc w:val="left"/>
              <w:textAlignment w:val="center"/>
              <w:rPr>
                <w:color w:val="auto"/>
                <w:szCs w:val="21"/>
                <w:highlight w:val="none"/>
              </w:rPr>
            </w:pPr>
            <w:r>
              <w:rPr>
                <w:rFonts w:hint="eastAsia"/>
                <w:color w:val="auto"/>
                <w:szCs w:val="21"/>
                <w:highlight w:val="none"/>
              </w:rPr>
              <w:t>（4）座宽≥440mm，软座，带有加厚海绵，乘坐舒适、透气性好，座面平整；                                                                                         （5）座背高≥450mm，材质为优质PU或高强度牛津纺布,内衬优质海绵，缝边牢固整齐，无褶皱、跳线破损等；                                                                                                                   （6）扶手高度设计合理，材料为优质皮革，带有护板功能；</w:t>
            </w:r>
          </w:p>
          <w:p>
            <w:pPr>
              <w:widowControl/>
              <w:spacing w:line="320" w:lineRule="exact"/>
              <w:jc w:val="left"/>
              <w:textAlignment w:val="center"/>
              <w:rPr>
                <w:color w:val="auto"/>
                <w:szCs w:val="21"/>
                <w:highlight w:val="none"/>
              </w:rPr>
            </w:pPr>
            <w:r>
              <w:rPr>
                <w:rFonts w:hint="eastAsia"/>
                <w:color w:val="auto"/>
                <w:szCs w:val="21"/>
                <w:highlight w:val="none"/>
              </w:rPr>
              <w:t>（7）前后轮为直径24英寸实心轮胎，轮辐钢质，采用13#的36根辐条；</w:t>
            </w:r>
          </w:p>
          <w:p>
            <w:pPr>
              <w:widowControl/>
              <w:spacing w:line="320" w:lineRule="exact"/>
              <w:jc w:val="left"/>
              <w:textAlignment w:val="center"/>
              <w:rPr>
                <w:color w:val="auto"/>
                <w:szCs w:val="21"/>
                <w:highlight w:val="none"/>
              </w:rPr>
            </w:pPr>
            <w:r>
              <w:rPr>
                <w:rFonts w:hint="eastAsia"/>
                <w:color w:val="auto"/>
                <w:szCs w:val="21"/>
                <w:highlight w:val="none"/>
              </w:rPr>
              <w:t>（8）脚踏板带波点防滑功能；</w:t>
            </w:r>
          </w:p>
          <w:p>
            <w:pPr>
              <w:widowControl/>
              <w:spacing w:line="320" w:lineRule="exact"/>
              <w:jc w:val="left"/>
              <w:textAlignment w:val="center"/>
              <w:rPr>
                <w:color w:val="auto"/>
                <w:szCs w:val="21"/>
                <w:highlight w:val="none"/>
              </w:rPr>
            </w:pPr>
            <w:r>
              <w:rPr>
                <w:rFonts w:hint="eastAsia"/>
                <w:color w:val="auto"/>
                <w:szCs w:val="21"/>
                <w:highlight w:val="none"/>
              </w:rPr>
              <w:t>（9）驻坡性能≥6°；</w:t>
            </w:r>
          </w:p>
          <w:p>
            <w:pPr>
              <w:widowControl/>
              <w:spacing w:line="320" w:lineRule="exact"/>
              <w:jc w:val="left"/>
              <w:textAlignment w:val="center"/>
              <w:rPr>
                <w:color w:val="auto"/>
                <w:szCs w:val="21"/>
                <w:highlight w:val="none"/>
              </w:rPr>
            </w:pPr>
            <w:r>
              <w:rPr>
                <w:rFonts w:hint="eastAsia"/>
                <w:color w:val="auto"/>
                <w:szCs w:val="21"/>
                <w:highlight w:val="none"/>
              </w:rPr>
              <w:t>（10）承重≥100kg。</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普通轮椅（钢制）</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（1）产品尺寸：总长≥960mm、总宽630mm、总高910mm，折叠宽度330mm、座位宽度460mm、座位深度400mm、座位离地高度480mm、扶手高度190mm、扶手间距450mm、靠背高度410mm、脚踏板离地高度180mm、最大载荷≥100kg；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（2）车架：高强度钢管材料，主体承重结构管直径≥19mm、壁厚≥1.2mm，采用高承重双工字结构、侧方焊接支撑管，增加安全性能；固定斜扶手、活动上翻脚托，表面电镀或喷涂处理，车架可折叠；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（3）前轮：6英寸高品质黑色前轮，配高强度金属拐臂；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（4）后轮：20英寸实心轮或充气轮胎，高强度塑料手扶圈（手直接驱动轮椅时使用）；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（7）座面安装：安装牢固紧绷以防吊床效应。(测试时在座面前端中心点悬挂500g重物，座面最低点与座面安装平面距离不超过30mm）；</w:t>
            </w:r>
          </w:p>
          <w:p>
            <w:pPr>
              <w:widowControl/>
              <w:spacing w:line="320" w:lineRule="exact"/>
              <w:jc w:val="left"/>
              <w:textAlignment w:val="center"/>
              <w:rPr>
                <w:color w:val="auto"/>
                <w:szCs w:val="21"/>
                <w:highlight w:val="none"/>
              </w:rPr>
            </w:pPr>
            <w:r>
              <w:rPr>
                <w:rFonts w:hint="eastAsia"/>
                <w:color w:val="auto"/>
                <w:szCs w:val="21"/>
                <w:highlight w:val="none"/>
              </w:rPr>
              <w:t>（8）扶手：配优质扶手垫、塑料护板；</w:t>
            </w:r>
          </w:p>
          <w:p>
            <w:pPr>
              <w:widowControl/>
              <w:spacing w:line="320" w:lineRule="exact"/>
              <w:jc w:val="left"/>
              <w:textAlignment w:val="center"/>
              <w:rPr>
                <w:color w:val="auto"/>
                <w:szCs w:val="21"/>
                <w:highlight w:val="none"/>
              </w:rPr>
            </w:pPr>
            <w:r>
              <w:rPr>
                <w:rFonts w:hint="eastAsia"/>
                <w:color w:val="auto"/>
                <w:szCs w:val="21"/>
                <w:highlight w:val="none"/>
              </w:rPr>
              <w:t>（9）脚托：铝合金踏板，配铝合金顶杆，高度3档可调，配有小腿带；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（10）安全带：座位配有可调安全带。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普通轮椅（铝合金）</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（1）产品尺寸：总长1030mm、总宽680mm、总高895mm，折叠宽度330mm、座位宽度460mm、座位深度400mm、座位离地高度480mm、扶手高度245mm、扶手间距450mm、靠背高度400mm、脚踏板离地高度180mm、最大载荷≥100kg；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（2）车架：采用高强度铝合金材质，主体承重结构管直径≥22mm、壁厚≥2.0mm，采用高承重双工字结构、阶梯式固定扶手，安全性能好，表面阳极氧化或喷涂处理，车架可折叠；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（3）前轮：8英寸高品质前轮，配高强度金属拐臂；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（4）后轮：24英寸PU实心轮或充气轮胎，高强度塑料手扶圈（手直接驱动轮椅时使用）；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（7）座面安装：安装牢固紧绷以防吊床效应。(测试时在座面前端中心点悬挂500g重物，座面最低点与座面安装平面距离不超过30mm）；</w:t>
            </w:r>
          </w:p>
          <w:p>
            <w:pPr>
              <w:widowControl/>
              <w:spacing w:line="320" w:lineRule="exact"/>
              <w:jc w:val="left"/>
              <w:textAlignment w:val="center"/>
              <w:rPr>
                <w:color w:val="auto"/>
                <w:szCs w:val="21"/>
                <w:highlight w:val="none"/>
              </w:rPr>
            </w:pPr>
            <w:r>
              <w:rPr>
                <w:rFonts w:hint="eastAsia"/>
                <w:color w:val="auto"/>
                <w:szCs w:val="21"/>
                <w:highlight w:val="none"/>
              </w:rPr>
              <w:t>（8）扶手：配优质扶手垫、ABS塑料护板；</w:t>
            </w:r>
          </w:p>
          <w:p>
            <w:pPr>
              <w:widowControl/>
              <w:spacing w:line="320" w:lineRule="exact"/>
              <w:jc w:val="left"/>
              <w:textAlignment w:val="center"/>
              <w:rPr>
                <w:color w:val="auto"/>
                <w:szCs w:val="21"/>
                <w:highlight w:val="none"/>
              </w:rPr>
            </w:pPr>
            <w:r>
              <w:rPr>
                <w:rFonts w:hint="eastAsia"/>
                <w:color w:val="auto"/>
                <w:szCs w:val="21"/>
                <w:highlight w:val="none"/>
              </w:rPr>
              <w:t xml:space="preserve">（9）脚托：塑料脚踏板，高度可调，配有小腿带；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普通轮椅（钢制带座厕）</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（1）产品尺寸：总长1050mm、总宽620mm、总高890mm，折叠宽度230mm，座位宽度460mm，座位距地面高度490mm，最大载荷≥100kg；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（2）车架：采用高强度钢管材料，主体承重结构管直径≥22mm、壁厚≥1.2mm，采用固定扶手，安全性能好，表面电镀或喷涂处理，车架可折叠；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（3）前轮：8英寸高品质前轮，配高强度金属拐臂；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（4）后轮：24英寸实心轮或充气轮胎，高强度塑料手扶圈（手直接驱动轮椅时使用）；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 xml:space="preserve">（6）座靠垫：带坐便器前抽拉式坐便垫，可拆卸，坐垫防水，易于清洗，内置U型开口厕孔，配大容量PVC光面厕桶，厕桶可拆，便于清洗；             </w:t>
            </w:r>
          </w:p>
          <w:p>
            <w:pPr>
              <w:widowControl/>
              <w:spacing w:line="320" w:lineRule="exact"/>
              <w:jc w:val="left"/>
              <w:textAlignment w:val="center"/>
              <w:rPr>
                <w:color w:val="auto"/>
                <w:szCs w:val="21"/>
                <w:highlight w:val="none"/>
              </w:rPr>
            </w:pPr>
            <w:r>
              <w:rPr>
                <w:rFonts w:hint="eastAsia"/>
                <w:color w:val="auto"/>
                <w:szCs w:val="21"/>
                <w:highlight w:val="none"/>
              </w:rPr>
              <w:t>（7）扶手：配优质PVC扶手垫、配有不锈钢护板；</w:t>
            </w:r>
          </w:p>
          <w:p>
            <w:pPr>
              <w:widowControl/>
              <w:spacing w:line="320" w:lineRule="exact"/>
              <w:jc w:val="left"/>
              <w:textAlignment w:val="center"/>
              <w:rPr>
                <w:color w:val="auto"/>
                <w:szCs w:val="21"/>
                <w:highlight w:val="none"/>
              </w:rPr>
            </w:pPr>
            <w:r>
              <w:rPr>
                <w:rFonts w:hint="eastAsia"/>
                <w:color w:val="auto"/>
                <w:szCs w:val="21"/>
                <w:highlight w:val="none"/>
              </w:rPr>
              <w:t>（8）脚托：铝合金脚踏板，高度可调，配有小腿带；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5</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普通轮椅（铝合金带座厕）</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（1）产品尺寸：总长1040mm、总宽660mm±20mm、总高870mm，折叠宽度330mm、座位宽度460mm、座位深度400mm、座位离地高度510mm、扶手高度245mm、扶手间距450mm、靠背高度400mm、脚踏板离地高度180mm、最大载荷≥100kg；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（2）车架：采用高强度铝合金材料，主体承重结构管直径≥22mm、壁厚≥2.0mm，采用固定扶手，安全性能好，表面电镀或喷涂处理，车架可折叠；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（3）前轮：8英寸高品质前轮，配高强度金属拐臂；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（4）后轮：24英寸PU实心轮或充气轮胎，高强度塑料手扶圈（手直接驱动轮椅时使用）；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 xml:space="preserve">（6）座靠垫：带坐便器前抽拉式坐便垫，可拆卸，坐垫防水，易于清洗，内置U型开口厕孔，配大容量PVC光面厕桶，厕桶可拆，便于清洗；             </w:t>
            </w:r>
          </w:p>
          <w:p>
            <w:pPr>
              <w:widowControl/>
              <w:spacing w:line="320" w:lineRule="exact"/>
              <w:jc w:val="left"/>
              <w:textAlignment w:val="center"/>
              <w:rPr>
                <w:color w:val="auto"/>
                <w:szCs w:val="21"/>
                <w:highlight w:val="none"/>
              </w:rPr>
            </w:pPr>
            <w:r>
              <w:rPr>
                <w:rFonts w:hint="eastAsia"/>
                <w:color w:val="auto"/>
                <w:szCs w:val="21"/>
                <w:highlight w:val="none"/>
              </w:rPr>
              <w:t>（7）扶手：配优质PVC扶手垫、配有不锈钢护板；</w:t>
            </w:r>
          </w:p>
          <w:p>
            <w:pPr>
              <w:widowControl/>
              <w:spacing w:line="320" w:lineRule="exact"/>
              <w:jc w:val="left"/>
              <w:textAlignment w:val="center"/>
              <w:rPr>
                <w:color w:val="auto"/>
                <w:szCs w:val="21"/>
                <w:highlight w:val="none"/>
              </w:rPr>
            </w:pPr>
            <w:r>
              <w:rPr>
                <w:rFonts w:hint="eastAsia"/>
                <w:color w:val="auto"/>
                <w:szCs w:val="21"/>
                <w:highlight w:val="none"/>
              </w:rPr>
              <w:t>（8）脚托：塑料脚踏板，高度可调，配有小腿带；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6</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儿童普通轮椅（钢制）</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（1）产品尺寸：总长980mm、总宽545mm、总高870mm，折叠宽度330mm、座位宽度350mm、座位深度360mm、座位离地高度500mm、扶手高度245mm、扶手间距340mm、靠背高度400mm、脚踏板离地高度100mm、最大载荷≥100kg；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（2）车架：高强度钢管材料，主体承重结构管直径≥22mm、壁厚≥1.2mm，采用固定扶手，安全性能好，表面电镀或喷涂处理，车架可折叠；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（3）前轮：6英寸高品质前轮，配高强度塑料拐臂；</w:t>
            </w:r>
          </w:p>
          <w:p>
            <w:pPr>
              <w:widowControl/>
              <w:spacing w:line="320" w:lineRule="exact"/>
              <w:jc w:val="left"/>
              <w:textAlignment w:val="center"/>
              <w:rPr>
                <w:color w:val="auto"/>
                <w:szCs w:val="21"/>
                <w:highlight w:val="none"/>
              </w:rPr>
            </w:pPr>
            <w:r>
              <w:rPr>
                <w:rFonts w:hint="eastAsia"/>
                <w:color w:val="auto"/>
                <w:szCs w:val="21"/>
                <w:highlight w:val="none"/>
              </w:rPr>
              <w:t>（4）后轮：22英寸实心轮或充气轮胎，高强度铝合金手扶圈（手直接驱动轮椅时使用）；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（7）扶手：配优质PVC扶手垫、配有不锈钢护板；</w:t>
            </w:r>
          </w:p>
          <w:p>
            <w:pPr>
              <w:widowControl/>
              <w:spacing w:line="320" w:lineRule="exact"/>
              <w:jc w:val="left"/>
              <w:textAlignment w:val="center"/>
              <w:rPr>
                <w:color w:val="auto"/>
                <w:szCs w:val="21"/>
                <w:highlight w:val="none"/>
              </w:rPr>
            </w:pPr>
            <w:r>
              <w:rPr>
                <w:rFonts w:hint="eastAsia"/>
                <w:color w:val="auto"/>
                <w:szCs w:val="21"/>
                <w:highlight w:val="none"/>
              </w:rPr>
              <w:t>（8）脚托：铝合金踏板，高度可调，配有小腿带；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7</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儿童普通轮椅（铝合金</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（1）产品尺寸：总长850mm、总宽560mm、总高860mm，折叠宽度310mm、座位宽度350mm,最大载荷≥100kg；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（2）车架：采用高强度铝合金材料，主体承重结构管直径≥22mm、壁厚≥2.0mm，采用高承重双工字结构、固定扶手，安全性能好，表面阳极氧化或喷涂处理，车架可折叠；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（3）前轮：6英寸高品质PU前轮，配高强度金属拐臂；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（4）后轮：22英寸PU实心轮，高强度铝合金手扶圈（手直接驱动轮椅时使用）；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（7）扶手：配优质PU扶手垫、配有不锈钢护板；</w:t>
            </w:r>
          </w:p>
          <w:p>
            <w:pPr>
              <w:widowControl/>
              <w:spacing w:line="320" w:lineRule="exact"/>
              <w:jc w:val="left"/>
              <w:textAlignment w:val="center"/>
              <w:rPr>
                <w:color w:val="auto"/>
                <w:szCs w:val="21"/>
                <w:highlight w:val="none"/>
              </w:rPr>
            </w:pPr>
            <w:r>
              <w:rPr>
                <w:rFonts w:hint="eastAsia"/>
                <w:color w:val="auto"/>
                <w:szCs w:val="21"/>
                <w:highlight w:val="none"/>
              </w:rPr>
              <w:t xml:space="preserve">（8）脚托：塑料踏板，高度可调，配有小腿带；   </w:t>
            </w:r>
          </w:p>
          <w:p>
            <w:pPr>
              <w:widowControl/>
              <w:spacing w:line="320" w:lineRule="exact"/>
              <w:jc w:val="left"/>
              <w:textAlignment w:val="center"/>
              <w:rPr>
                <w:color w:val="auto"/>
                <w:szCs w:val="21"/>
                <w:highlight w:val="none"/>
              </w:rPr>
            </w:pPr>
            <w:r>
              <w:rPr>
                <w:rFonts w:hint="eastAsia"/>
                <w:color w:val="auto"/>
                <w:szCs w:val="21"/>
                <w:highlight w:val="none"/>
              </w:rPr>
              <w:t>（9）安全带：座位配有可调安全带。</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8</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护理轮椅（钢制）</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（1）产品尺寸：总长990mm、总宽615mm、总高910mm，折叠宽度330mm、座位宽度460mm、座位深度400mm、座位离地高度480mm、扶手高度190mm、扶手间距450mm、靠背高度410mm、脚踏板离地高度180mm、最大载荷≥100kg；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（2）车架：高强度钢管材料，主体承重结构管直径≥19mm、壁厚≥1.2mm，采用高承重双工字结构、侧方焊接支撑管，增加安全性能；固定斜扶手、可折手把，活动上翻脚托，表面电镀或喷涂处理，车架可折叠；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（3）前轮：6英寸高品质PU前轮，配高强度金属拐臂；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（4）后轮：12英寸高品质PU实心轮，塑料轮毂；</w:t>
            </w:r>
          </w:p>
          <w:p>
            <w:pPr>
              <w:widowControl/>
              <w:spacing w:line="320" w:lineRule="exact"/>
              <w:jc w:val="left"/>
              <w:textAlignment w:val="center"/>
              <w:rPr>
                <w:color w:val="auto"/>
                <w:szCs w:val="21"/>
                <w:highlight w:val="none"/>
              </w:rPr>
            </w:pPr>
            <w:r>
              <w:rPr>
                <w:rFonts w:hint="eastAsia"/>
                <w:color w:val="auto"/>
                <w:szCs w:val="21"/>
                <w:highlight w:val="none"/>
              </w:rPr>
              <w:t>（5）刹车：带钢制手动驻刹；制动后不能高于座面；推动把手装有联动刹车装置，带自锁功能；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（7）扶手：配优质扶手垫、塑料护板；</w:t>
            </w:r>
          </w:p>
          <w:p>
            <w:pPr>
              <w:widowControl/>
              <w:spacing w:line="320" w:lineRule="exact"/>
              <w:jc w:val="left"/>
              <w:textAlignment w:val="center"/>
              <w:rPr>
                <w:color w:val="auto"/>
                <w:szCs w:val="21"/>
                <w:highlight w:val="none"/>
              </w:rPr>
            </w:pPr>
            <w:r>
              <w:rPr>
                <w:rFonts w:hint="eastAsia"/>
                <w:color w:val="auto"/>
                <w:szCs w:val="21"/>
                <w:highlight w:val="none"/>
              </w:rPr>
              <w:t>（8）脚托：铝合金踏板，配铝合金顶杆，高度3档可调，配有小腿带；</w:t>
            </w:r>
          </w:p>
          <w:p>
            <w:pPr>
              <w:widowControl/>
              <w:spacing w:line="320" w:lineRule="exact"/>
              <w:jc w:val="left"/>
              <w:textAlignment w:val="center"/>
              <w:rPr>
                <w:color w:val="auto"/>
                <w:szCs w:val="21"/>
                <w:highlight w:val="none"/>
              </w:rPr>
            </w:pPr>
            <w:r>
              <w:rPr>
                <w:rFonts w:hint="eastAsia"/>
                <w:color w:val="auto"/>
                <w:szCs w:val="21"/>
                <w:highlight w:val="none"/>
              </w:rPr>
              <w:t>（9）安全带：座位配有可调安全带。</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9</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护理轮椅（铝合金）</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（1）产品尺寸：总长980mm、总宽620mm、总高900mm，折叠宽度330mm、座位宽度460mm、座位深度400 mm、座位离地高度490mm、扶手高度190mm、扶手间距450mm、靠背高度400mm、脚踏板离地高度150mm、最大载荷≥100kg；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19mm、壁厚≥2.0mm，采用高承重双工字结构、侧方焊接支撑管，增加安全性能；固定斜扶手、可折推动把手、活动上翻脚托，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（4）后轮：20英寸实心轮或充气轮胎，高强度塑料手扶圈（手直接驱动轮椅时使用）；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（5）刹车：带铝合金手动驻刹；制动后不能高于座面；推动把手装有联动刹车装置，带自锁功能；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（6）座靠垫：座椅及靠背为软座、软靠背,缝边牢固整齐，无褶皱、跳线和破损等缺陷；</w:t>
            </w:r>
          </w:p>
          <w:p>
            <w:pPr>
              <w:widowControl/>
              <w:spacing w:line="320" w:lineRule="exact"/>
              <w:jc w:val="left"/>
              <w:textAlignment w:val="center"/>
              <w:rPr>
                <w:color w:val="auto"/>
                <w:szCs w:val="21"/>
                <w:highlight w:val="none"/>
              </w:rPr>
            </w:pPr>
            <w:r>
              <w:rPr>
                <w:rFonts w:hint="eastAsia"/>
                <w:color w:val="auto"/>
                <w:szCs w:val="21"/>
                <w:highlight w:val="none"/>
              </w:rPr>
              <w:t>（7）座面安装：安装牢固紧绷以防吊床效应。(测试时在座面前端中心点悬挂500g重物，座面最低点与座面安装平面距离不超过30mm）；</w:t>
            </w:r>
          </w:p>
          <w:p>
            <w:pPr>
              <w:widowControl/>
              <w:spacing w:line="320" w:lineRule="exact"/>
              <w:jc w:val="left"/>
              <w:textAlignment w:val="center"/>
              <w:rPr>
                <w:color w:val="auto"/>
                <w:szCs w:val="21"/>
                <w:highlight w:val="none"/>
              </w:rPr>
            </w:pPr>
            <w:r>
              <w:rPr>
                <w:rFonts w:hint="eastAsia"/>
                <w:color w:val="auto"/>
                <w:szCs w:val="21"/>
                <w:highlight w:val="none"/>
              </w:rPr>
              <w:t>（8）扶手：配优质扶手垫、塑料护板；</w:t>
            </w:r>
          </w:p>
          <w:p>
            <w:pPr>
              <w:widowControl/>
              <w:spacing w:line="320" w:lineRule="exact"/>
              <w:jc w:val="left"/>
              <w:textAlignment w:val="center"/>
              <w:rPr>
                <w:color w:val="auto"/>
                <w:szCs w:val="21"/>
                <w:highlight w:val="none"/>
              </w:rPr>
            </w:pPr>
            <w:r>
              <w:rPr>
                <w:rFonts w:hint="eastAsia"/>
                <w:color w:val="auto"/>
                <w:szCs w:val="21"/>
                <w:highlight w:val="none"/>
              </w:rPr>
              <w:t>（9）脚托：铝合金踏板，配铝合金顶杆，高度3档可调，配有小腿带；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（10）安全带：座位配有可调安全带。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10</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高靠背轮椅（钢制带座厕）</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（1）产品尺寸：总长1180mm，总宽640mm，总高1300mm(含头枕架)，座位宽度440mm±20mm，座位离地高度490mm，最大载荷≥100kg；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（2）车架：选用A3钢质材料，钢管直径≥19mm，壁厚≥1.2 mm，采用可折叠式结构，安全性能好；车架表面采用电镀或喷涂处理；座椅靠背可控制气弹簧或拉栓自由后仰90°-180°，让乘坐者后躺时更舒适，抬起方便；                                                                                                         （3）前轮：8英寸塑料轮毂配高品质实心轮胎，配置高强度金属前轮叉；</w:t>
            </w:r>
          </w:p>
          <w:p>
            <w:pPr>
              <w:widowControl/>
              <w:spacing w:line="320" w:lineRule="exact"/>
              <w:jc w:val="left"/>
              <w:textAlignment w:val="center"/>
              <w:rPr>
                <w:color w:val="auto"/>
                <w:szCs w:val="21"/>
                <w:highlight w:val="none"/>
              </w:rPr>
            </w:pPr>
            <w:r>
              <w:rPr>
                <w:rFonts w:hint="eastAsia"/>
                <w:color w:val="auto"/>
                <w:szCs w:val="21"/>
                <w:highlight w:val="none"/>
              </w:rPr>
              <w:t>（4）后轮：24英寸实心轮胎，带高强度金属手轮（手直接驱动手轮时使用）；</w:t>
            </w:r>
          </w:p>
          <w:p>
            <w:pPr>
              <w:widowControl/>
              <w:spacing w:line="320" w:lineRule="exact"/>
              <w:jc w:val="left"/>
              <w:textAlignment w:val="center"/>
              <w:rPr>
                <w:color w:val="auto"/>
                <w:szCs w:val="21"/>
                <w:highlight w:val="none"/>
              </w:rPr>
            </w:pPr>
            <w:r>
              <w:rPr>
                <w:rFonts w:hint="eastAsia"/>
                <w:color w:val="auto"/>
                <w:szCs w:val="21"/>
                <w:highlight w:val="none"/>
              </w:rPr>
              <w:t>（5）刹车：配备钢制手动驻刹，驻车装置制动后不能高于座面；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（6）座靠垫：座靠垫为皮革软座靠垫，材质选用高强度、透气性能好的帆布，座面平整，无褶皱、跳线和破损等缺陷；角度调节位置固定可靠，配置弧形软质头枕；</w:t>
            </w:r>
          </w:p>
          <w:p>
            <w:pPr>
              <w:widowControl/>
              <w:spacing w:line="320" w:lineRule="exact"/>
              <w:jc w:val="left"/>
              <w:textAlignment w:val="center"/>
              <w:rPr>
                <w:color w:val="auto"/>
                <w:szCs w:val="21"/>
                <w:highlight w:val="none"/>
              </w:rPr>
            </w:pPr>
            <w:r>
              <w:rPr>
                <w:rFonts w:hint="eastAsia"/>
                <w:color w:val="auto"/>
                <w:szCs w:val="21"/>
                <w:highlight w:val="none"/>
              </w:rPr>
              <w:t>（7）扶手：采用加长式扶手，带餐桌；</w:t>
            </w:r>
          </w:p>
          <w:p>
            <w:pPr>
              <w:widowControl/>
              <w:spacing w:line="320" w:lineRule="exact"/>
              <w:jc w:val="left"/>
              <w:textAlignment w:val="center"/>
              <w:rPr>
                <w:color w:val="auto"/>
                <w:szCs w:val="21"/>
                <w:highlight w:val="none"/>
              </w:rPr>
            </w:pPr>
            <w:r>
              <w:rPr>
                <w:rFonts w:hint="eastAsia"/>
                <w:color w:val="auto"/>
                <w:szCs w:val="21"/>
                <w:highlight w:val="none"/>
              </w:rPr>
              <w:t>（8）护板：选用钢制护板；</w:t>
            </w:r>
          </w:p>
          <w:p>
            <w:pPr>
              <w:widowControl/>
              <w:spacing w:line="320" w:lineRule="exact"/>
              <w:jc w:val="left"/>
              <w:textAlignment w:val="center"/>
              <w:rPr>
                <w:color w:val="auto"/>
                <w:szCs w:val="21"/>
                <w:highlight w:val="none"/>
              </w:rPr>
            </w:pPr>
            <w:r>
              <w:rPr>
                <w:rFonts w:hint="eastAsia"/>
                <w:color w:val="auto"/>
                <w:szCs w:val="21"/>
                <w:highlight w:val="none"/>
              </w:rPr>
              <w:t xml:space="preserve">（9）脚托：拆装式电镀或喷涂长脚托，高度可调，抬高角度可与座面达180°，并有重力自锁装置，腿垫为软质材料，配置高品质脚踏板；                                                                             （10）带深座便桶，便桶可拆卸便于清洗。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11</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高靠背轮椅（铝合金带座厕）</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（1）产品尺寸：总长1260mm，总宽645mm，总高1230mm(含头枕架)，折叠宽度340mm、座位宽度460mm、靠背高度450mm，最大载荷≥100kg；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（2）车架：选用铝合金材料，主架直径≥22mm，主架壁厚≥2.0 mm，采用可折叠式结构，安全性能好；车架表面采用氧化或喷涂处理；座椅靠背可控制气弹簧自由后仰93°-180°让乘坐者后躺时更舒适，抬起方便；</w:t>
            </w:r>
          </w:p>
          <w:p>
            <w:pPr>
              <w:widowControl/>
              <w:spacing w:line="320" w:lineRule="exact"/>
              <w:jc w:val="left"/>
              <w:textAlignment w:val="center"/>
              <w:rPr>
                <w:color w:val="auto"/>
                <w:szCs w:val="21"/>
                <w:highlight w:val="none"/>
              </w:rPr>
            </w:pPr>
            <w:r>
              <w:rPr>
                <w:rFonts w:hint="eastAsia"/>
                <w:color w:val="auto"/>
                <w:szCs w:val="21"/>
                <w:highlight w:val="none"/>
              </w:rPr>
              <w:t>（3）前轮：8英寸塑料轮毂配高品质实心轮胎，配置高强度金属前轮叉；</w:t>
            </w:r>
          </w:p>
          <w:p>
            <w:pPr>
              <w:widowControl/>
              <w:spacing w:line="320" w:lineRule="exact"/>
              <w:jc w:val="left"/>
              <w:textAlignment w:val="center"/>
              <w:rPr>
                <w:color w:val="auto"/>
                <w:szCs w:val="21"/>
                <w:highlight w:val="none"/>
              </w:rPr>
            </w:pPr>
            <w:r>
              <w:rPr>
                <w:rFonts w:hint="eastAsia"/>
                <w:color w:val="auto"/>
                <w:szCs w:val="21"/>
                <w:highlight w:val="none"/>
              </w:rPr>
              <w:t>（4）后轮：24英寸PU轮胎，带高强度塑料手轮（手直接驱动手轮时使用）；</w:t>
            </w:r>
          </w:p>
          <w:p>
            <w:pPr>
              <w:widowControl/>
              <w:spacing w:line="320" w:lineRule="exact"/>
              <w:jc w:val="left"/>
              <w:textAlignment w:val="center"/>
              <w:rPr>
                <w:color w:val="auto"/>
                <w:szCs w:val="21"/>
                <w:highlight w:val="none"/>
              </w:rPr>
            </w:pPr>
            <w:r>
              <w:rPr>
                <w:rFonts w:hint="eastAsia"/>
                <w:color w:val="auto"/>
                <w:szCs w:val="21"/>
                <w:highlight w:val="none"/>
              </w:rPr>
              <w:t>（5）刹车：配备铝合金肘节式驻刹，驻车装置制动后不能高于座面；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（6）座靠垫：材料为人造革，内置海绵，采用带坐便器前抽拉式坐便垫，配置可单独拆洗的U型枕头；</w:t>
            </w:r>
          </w:p>
          <w:p>
            <w:pPr>
              <w:widowControl/>
              <w:spacing w:line="320" w:lineRule="exact"/>
              <w:jc w:val="left"/>
              <w:textAlignment w:val="center"/>
              <w:rPr>
                <w:color w:val="auto"/>
                <w:szCs w:val="21"/>
                <w:highlight w:val="none"/>
              </w:rPr>
            </w:pPr>
            <w:r>
              <w:rPr>
                <w:rFonts w:hint="eastAsia"/>
                <w:color w:val="auto"/>
                <w:szCs w:val="21"/>
                <w:highlight w:val="none"/>
              </w:rPr>
              <w:t>（7）扶手：采用加长活动拆装式扶手，拆卸方便，带餐桌；</w:t>
            </w:r>
          </w:p>
          <w:p>
            <w:pPr>
              <w:widowControl/>
              <w:spacing w:line="320" w:lineRule="exact"/>
              <w:jc w:val="left"/>
              <w:textAlignment w:val="center"/>
              <w:rPr>
                <w:color w:val="auto"/>
                <w:szCs w:val="21"/>
                <w:highlight w:val="none"/>
              </w:rPr>
            </w:pPr>
            <w:r>
              <w:rPr>
                <w:rFonts w:hint="eastAsia"/>
                <w:color w:val="auto"/>
                <w:szCs w:val="21"/>
                <w:highlight w:val="none"/>
              </w:rPr>
              <w:t>（8）选用塑料护板；</w:t>
            </w:r>
          </w:p>
          <w:p>
            <w:pPr>
              <w:widowControl/>
              <w:spacing w:line="320" w:lineRule="exact"/>
              <w:jc w:val="left"/>
              <w:textAlignment w:val="center"/>
              <w:rPr>
                <w:color w:val="auto"/>
                <w:szCs w:val="21"/>
                <w:highlight w:val="none"/>
              </w:rPr>
            </w:pPr>
            <w:r>
              <w:rPr>
                <w:rFonts w:hint="eastAsia"/>
                <w:color w:val="auto"/>
                <w:szCs w:val="21"/>
                <w:highlight w:val="none"/>
              </w:rPr>
              <w:t>（9）拆装式铝合金长脚托，高度可调，抬高的角度可与座面达180°，有重力自锁装置，腿垫为软质材料；配置高品质塑料脚踏板；（10）带深座便桶，便桶可拆卸便于清洗。</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12</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功能轮椅（钢制、活动、可调节扶手和脚踏）</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（1）产品尺寸：总长1050mm、总宽620mm、总高900mm，折叠宽度310mm、座位宽度460mm、座位深度400mm、座位离地高度500mm、扶手高度240mm、扶手间距450mm、靠背高度400mm、脚踏板离地高度150mm、最大载荷≥100kg；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（2）车架：高强度钢管材料，主体承重结构管直径≥22mm、壁厚≥1.2mm，采用高承重双工字结构；表面电镀或喷涂处理，车架可折叠；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（3）前轮：8英寸高品质前轮，配高强度金属拐臂；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（4）后轮：24英寸实心轮或充气轮胎，高强度金属手扶圈（手直接驱动轮椅时使用）；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（5）刹车：带金属手动驻刹；制动后不能高于座面；</w:t>
            </w:r>
          </w:p>
          <w:p>
            <w:pPr>
              <w:widowControl/>
              <w:spacing w:line="320" w:lineRule="exact"/>
              <w:jc w:val="left"/>
              <w:textAlignment w:val="center"/>
              <w:rPr>
                <w:color w:val="auto"/>
                <w:szCs w:val="21"/>
                <w:highlight w:val="none"/>
              </w:rPr>
            </w:pPr>
            <w:r>
              <w:rPr>
                <w:rFonts w:hint="eastAsia"/>
                <w:color w:val="auto"/>
                <w:szCs w:val="21"/>
                <w:highlight w:val="none"/>
              </w:rPr>
              <w:t>（6）座靠垫：采用软座，高强度透气性好的材质、中间夹层≥400d的帆布，外包≥600d，座面平整，不应有皱褶、跳线和破损等缺陷；</w:t>
            </w:r>
          </w:p>
          <w:p>
            <w:pPr>
              <w:widowControl/>
              <w:spacing w:line="320" w:lineRule="exact"/>
              <w:jc w:val="left"/>
              <w:textAlignment w:val="center"/>
              <w:rPr>
                <w:color w:val="auto"/>
                <w:szCs w:val="21"/>
                <w:highlight w:val="none"/>
              </w:rPr>
            </w:pPr>
            <w:r>
              <w:rPr>
                <w:rFonts w:hint="eastAsia"/>
                <w:color w:val="auto"/>
                <w:szCs w:val="21"/>
                <w:highlight w:val="none"/>
              </w:rPr>
              <w:t>（7）扶手：采用活动后翻式弯扶手，可以直接旋转至靠背后方，配置高品质PU扶手垫；</w:t>
            </w:r>
          </w:p>
          <w:p>
            <w:pPr>
              <w:widowControl/>
              <w:spacing w:line="320" w:lineRule="exact"/>
              <w:jc w:val="left"/>
              <w:textAlignment w:val="center"/>
              <w:rPr>
                <w:color w:val="auto"/>
                <w:szCs w:val="21"/>
                <w:highlight w:val="none"/>
              </w:rPr>
            </w:pPr>
            <w:r>
              <w:rPr>
                <w:rFonts w:hint="eastAsia"/>
                <w:color w:val="auto"/>
                <w:szCs w:val="21"/>
                <w:highlight w:val="none"/>
              </w:rPr>
              <w:t>（8）脚托：脚托支架内外可旋转、可拆装并易于操作；铝合金脚踏板，高度可调，配有小腿带；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13</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功能轮椅（铝合金、活动、可调节扶手和脚踏）</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（1）产品尺寸：总长1040mm、总宽645mm、总高890mm、折叠宽度330mm、座位宽度460mm、座位深度400mm、座位离地高度510mm、扶手间距450mm、靠背高度400mm、脚踏板离地高度180mm、最大载荷≥100kg；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（2）车架：高强度铝合金材质，主体承重结构管直径≥22mm、壁厚≥2.0mm，采用高承重双工字结构；表面阳极氧化或烤漆处理，车架可折叠；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（3）前轮：8英寸高品质前轮，配高强度金属拐臂；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（4）后轮：24英寸PU实心轮或充气轮胎，高强度塑料手扶圈（手直接驱动轮椅时使用）；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（5）刹车：带金属手动驻刹；制动后不能高于座面；推动把手装有联动刹车装置，带自锁功能；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（6）座靠垫：采用软座，高强度透气性好的材质、中间夹层≥400d的帆布，外包≥600d，座面平整，不应有皱褶、跳线和破损等缺陷；配独立透气防滑海绵座垫，厚度大于50mm，密度30-40d；</w:t>
            </w:r>
          </w:p>
          <w:p>
            <w:pPr>
              <w:widowControl/>
              <w:spacing w:line="320" w:lineRule="exact"/>
              <w:jc w:val="left"/>
              <w:textAlignment w:val="center"/>
              <w:rPr>
                <w:color w:val="auto"/>
                <w:szCs w:val="21"/>
                <w:highlight w:val="none"/>
              </w:rPr>
            </w:pPr>
            <w:r>
              <w:rPr>
                <w:rFonts w:hint="eastAsia"/>
                <w:color w:val="auto"/>
                <w:szCs w:val="21"/>
                <w:highlight w:val="none"/>
              </w:rPr>
              <w:t>（7）座面安装：安装牢固紧绷以防吊床效应 。（测试时在座面前端中心点悬挂500g重物，座面最低点与座面安装平面距离不超过30mm）；</w:t>
            </w:r>
          </w:p>
          <w:p>
            <w:pPr>
              <w:widowControl/>
              <w:spacing w:line="320" w:lineRule="exact"/>
              <w:jc w:val="left"/>
              <w:textAlignment w:val="center"/>
              <w:rPr>
                <w:color w:val="auto"/>
                <w:szCs w:val="21"/>
                <w:highlight w:val="none"/>
              </w:rPr>
            </w:pPr>
            <w:r>
              <w:rPr>
                <w:rFonts w:hint="eastAsia"/>
                <w:color w:val="auto"/>
                <w:szCs w:val="21"/>
                <w:highlight w:val="none"/>
              </w:rPr>
              <w:t>（8）扶手：采用活动后翻式升降扶手，可以直接旋转至靠背后方，配置高品质PU扶手垫；</w:t>
            </w:r>
          </w:p>
          <w:p>
            <w:pPr>
              <w:widowControl/>
              <w:spacing w:line="320" w:lineRule="exact"/>
              <w:jc w:val="left"/>
              <w:textAlignment w:val="center"/>
              <w:rPr>
                <w:color w:val="auto"/>
                <w:szCs w:val="21"/>
                <w:highlight w:val="none"/>
              </w:rPr>
            </w:pPr>
            <w:r>
              <w:rPr>
                <w:rFonts w:hint="eastAsia"/>
                <w:color w:val="auto"/>
                <w:szCs w:val="21"/>
                <w:highlight w:val="none"/>
              </w:rPr>
              <w:t>（9）脚托：脚托支架内外可旋转、可拆装并易于操作；塑料脚踏板，高度可调，配有小腿带；</w:t>
            </w:r>
          </w:p>
          <w:p>
            <w:pPr>
              <w:widowControl/>
              <w:spacing w:line="320" w:lineRule="exact"/>
              <w:jc w:val="left"/>
              <w:textAlignment w:val="center"/>
              <w:rPr>
                <w:color w:val="auto"/>
                <w:szCs w:val="21"/>
                <w:highlight w:val="none"/>
              </w:rPr>
            </w:pPr>
            <w:r>
              <w:rPr>
                <w:rFonts w:hint="eastAsia"/>
                <w:color w:val="auto"/>
                <w:szCs w:val="21"/>
                <w:highlight w:val="none"/>
              </w:rPr>
              <w:t xml:space="preserve">（10）安全带：座位配有可调安全带。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14</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功能轮椅</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（1）产品尺寸：总长1020mm、总宽690mm、总高920mm、折叠宽度390mm、座位宽度460mm、座位深度400mm、座位离地高度500mm、扶手间距455mm、靠背高度400mm、最大载荷≥100kg；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（2）车架：高强度铝合金材质，主体承重结构管直径≥22mm、壁厚≥2.0mm，采用高承重双工字结构；表面阳极氧化或烤漆处理，车架可折叠；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（3）前轮：6英寸高品质前轮，配高强度塑料拐臂；</w:t>
            </w:r>
          </w:p>
          <w:p>
            <w:pPr>
              <w:widowControl/>
              <w:spacing w:line="320" w:lineRule="exact"/>
              <w:jc w:val="left"/>
              <w:textAlignment w:val="center"/>
              <w:rPr>
                <w:color w:val="auto"/>
                <w:szCs w:val="21"/>
                <w:highlight w:val="none"/>
              </w:rPr>
            </w:pPr>
            <w:r>
              <w:rPr>
                <w:rFonts w:hint="eastAsia"/>
                <w:color w:val="auto"/>
                <w:szCs w:val="21"/>
                <w:highlight w:val="none"/>
              </w:rPr>
              <w:t>（4）后轮：22英寸PU实心轮，配高强度轮合金手轮；可快速拆装；</w:t>
            </w:r>
          </w:p>
          <w:p>
            <w:pPr>
              <w:widowControl/>
              <w:spacing w:line="320" w:lineRule="exact"/>
              <w:jc w:val="left"/>
              <w:textAlignment w:val="center"/>
              <w:rPr>
                <w:color w:val="auto"/>
                <w:szCs w:val="21"/>
                <w:highlight w:val="none"/>
              </w:rPr>
            </w:pPr>
            <w:r>
              <w:rPr>
                <w:rFonts w:hint="eastAsia"/>
                <w:color w:val="auto"/>
                <w:szCs w:val="21"/>
                <w:highlight w:val="none"/>
              </w:rPr>
              <w:t>（5）辅助轮：6英寸高品质辅助轮，当大轮拆卸以后，可用辅助轮行走；</w:t>
            </w:r>
          </w:p>
          <w:p>
            <w:pPr>
              <w:widowControl/>
              <w:spacing w:line="320" w:lineRule="exact"/>
              <w:jc w:val="left"/>
              <w:textAlignment w:val="center"/>
              <w:rPr>
                <w:color w:val="auto"/>
                <w:szCs w:val="21"/>
                <w:highlight w:val="none"/>
              </w:rPr>
            </w:pPr>
            <w:r>
              <w:rPr>
                <w:rFonts w:hint="eastAsia"/>
                <w:color w:val="auto"/>
                <w:szCs w:val="21"/>
                <w:highlight w:val="none"/>
              </w:rPr>
              <w:t>（6）刹车：带金属手动驻刹；制动后不能高于座面；推动把手装有联动刹车装置，带自锁功能；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（7）座靠垫： 采用可拆彩色软靠背、彩色软座垫，缝边牢固整齐，不应有褶皱、跳线和破损等缺陷；靠背材料为牛津尼龙布内置海绵，顶部加加强支撑带；座垫材料为牛津尼龙布内置海绵，中间需有大于400d的帆布夹层；</w:t>
            </w:r>
          </w:p>
          <w:p>
            <w:pPr>
              <w:widowControl/>
              <w:spacing w:line="320" w:lineRule="exact"/>
              <w:jc w:val="left"/>
              <w:textAlignment w:val="center"/>
              <w:rPr>
                <w:color w:val="auto"/>
                <w:szCs w:val="21"/>
                <w:highlight w:val="none"/>
              </w:rPr>
            </w:pPr>
            <w:r>
              <w:rPr>
                <w:rFonts w:hint="eastAsia"/>
                <w:color w:val="auto"/>
                <w:szCs w:val="21"/>
                <w:highlight w:val="none"/>
              </w:rPr>
              <w:t>（8）座面安装：安装牢固紧绷以防吊床效应 。（测试时在座面前端中心点悬挂500g重物，座面最低点与座面安装平面距离不超过30mm）；</w:t>
            </w:r>
          </w:p>
          <w:p>
            <w:pPr>
              <w:widowControl/>
              <w:spacing w:line="320" w:lineRule="exact"/>
              <w:jc w:val="left"/>
              <w:textAlignment w:val="center"/>
              <w:rPr>
                <w:color w:val="auto"/>
                <w:szCs w:val="21"/>
                <w:highlight w:val="none"/>
              </w:rPr>
            </w:pPr>
            <w:r>
              <w:rPr>
                <w:rFonts w:hint="eastAsia"/>
                <w:color w:val="auto"/>
                <w:szCs w:val="21"/>
                <w:highlight w:val="none"/>
              </w:rPr>
              <w:t>（9）扶手：扶手采用活动扶手，可后翻、可拆卸，配置高品质PU扶手垫；</w:t>
            </w:r>
          </w:p>
          <w:p>
            <w:pPr>
              <w:widowControl/>
              <w:spacing w:line="320" w:lineRule="exact"/>
              <w:jc w:val="left"/>
              <w:textAlignment w:val="center"/>
              <w:rPr>
                <w:color w:val="auto"/>
                <w:szCs w:val="21"/>
                <w:highlight w:val="none"/>
              </w:rPr>
            </w:pPr>
            <w:r>
              <w:rPr>
                <w:rFonts w:hint="eastAsia"/>
                <w:color w:val="auto"/>
                <w:szCs w:val="21"/>
                <w:highlight w:val="none"/>
              </w:rPr>
              <w:t>（10）护板：选用透明塑料护板；</w:t>
            </w:r>
          </w:p>
          <w:p>
            <w:pPr>
              <w:widowControl/>
              <w:spacing w:line="320" w:lineRule="exact"/>
              <w:jc w:val="left"/>
              <w:textAlignment w:val="center"/>
              <w:rPr>
                <w:color w:val="auto"/>
                <w:szCs w:val="21"/>
                <w:highlight w:val="none"/>
              </w:rPr>
            </w:pPr>
            <w:r>
              <w:rPr>
                <w:rFonts w:hint="eastAsia"/>
                <w:color w:val="auto"/>
                <w:szCs w:val="21"/>
                <w:highlight w:val="none"/>
              </w:rPr>
              <w:t xml:space="preserve">（11）脚托：脚托支架内外可旋转、可拆装并易于操作；塑料脚踏板，高度可调，配有小腿带； </w:t>
            </w:r>
          </w:p>
          <w:p>
            <w:pPr>
              <w:widowControl/>
              <w:spacing w:line="320" w:lineRule="exact"/>
              <w:jc w:val="left"/>
              <w:textAlignment w:val="center"/>
              <w:rPr>
                <w:color w:val="auto"/>
                <w:szCs w:val="21"/>
                <w:highlight w:val="none"/>
              </w:rPr>
            </w:pPr>
            <w:r>
              <w:rPr>
                <w:rFonts w:hint="eastAsia"/>
                <w:color w:val="auto"/>
                <w:szCs w:val="21"/>
                <w:highlight w:val="none"/>
              </w:rPr>
              <w:t xml:space="preserve">（12）安全带：座位配有可调安全带。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15</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儿童功能轮椅（铝合金、活动、可调节扶手和脚踏）</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（1）产品尺寸：总长850mm、总宽520mm、总高880mm，折叠宽度330mm、座位宽度350mm，最大载荷≥100kg；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（2）车架：高强度铝合金材质，主体承重结构管直径≥22mm、壁厚≥2.0mm，表面阳极氧化或烤漆处理，车架可折叠；</w:t>
            </w:r>
          </w:p>
          <w:p>
            <w:pPr>
              <w:widowControl/>
              <w:spacing w:line="320" w:lineRule="exact"/>
              <w:jc w:val="left"/>
              <w:textAlignment w:val="center"/>
              <w:rPr>
                <w:color w:val="auto"/>
                <w:szCs w:val="21"/>
                <w:highlight w:val="none"/>
              </w:rPr>
            </w:pPr>
            <w:r>
              <w:rPr>
                <w:rFonts w:hint="eastAsia"/>
                <w:color w:val="auto"/>
                <w:szCs w:val="21"/>
                <w:highlight w:val="none"/>
              </w:rPr>
              <w:t>（3）前轮：6英寸高品质前轮，配高强度金属拐臂；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（4）后轮：22英寸PU实心轮或充气轮胎，高强度ABS塑料手扶圈（手直接驱动轮椅时使用）；</w:t>
            </w:r>
          </w:p>
          <w:p>
            <w:pPr>
              <w:widowControl/>
              <w:spacing w:line="320" w:lineRule="exact"/>
              <w:jc w:val="left"/>
              <w:textAlignment w:val="center"/>
              <w:rPr>
                <w:color w:val="auto"/>
                <w:szCs w:val="21"/>
                <w:highlight w:val="none"/>
              </w:rPr>
            </w:pPr>
            <w:r>
              <w:rPr>
                <w:rFonts w:hint="eastAsia"/>
                <w:color w:val="auto"/>
                <w:szCs w:val="21"/>
                <w:highlight w:val="none"/>
              </w:rPr>
              <w:t>（5）刹车：带金属手动驻刹；制动后不能高于座面；推动把手装有联动刹车装置，带自锁功能；</w:t>
            </w:r>
          </w:p>
          <w:p>
            <w:pPr>
              <w:widowControl/>
              <w:spacing w:line="320" w:lineRule="exact"/>
              <w:jc w:val="left"/>
              <w:textAlignment w:val="center"/>
              <w:rPr>
                <w:color w:val="auto"/>
                <w:szCs w:val="21"/>
                <w:highlight w:val="none"/>
              </w:rPr>
            </w:pPr>
            <w:r>
              <w:rPr>
                <w:rFonts w:hint="eastAsia"/>
                <w:color w:val="auto"/>
                <w:szCs w:val="21"/>
                <w:highlight w:val="none"/>
              </w:rPr>
              <w:t>（6）座靠垫：采用软座，高强度透气性好的材质、中间夹层≥400d的帆布，外包≥600d，座面平整，不应有皱褶、跳线和破损等缺陷；配独立透气防滑海绵座垫，厚度大于50mm，密度30-40d；</w:t>
            </w:r>
          </w:p>
          <w:p>
            <w:pPr>
              <w:widowControl/>
              <w:spacing w:line="320" w:lineRule="exact"/>
              <w:jc w:val="left"/>
              <w:textAlignment w:val="center"/>
              <w:rPr>
                <w:color w:val="auto"/>
                <w:szCs w:val="21"/>
                <w:highlight w:val="none"/>
              </w:rPr>
            </w:pPr>
            <w:r>
              <w:rPr>
                <w:rFonts w:hint="eastAsia"/>
                <w:color w:val="auto"/>
                <w:szCs w:val="21"/>
                <w:highlight w:val="none"/>
              </w:rPr>
              <w:t>（7）扶手：采用活动后翻式升降扶手，可以直接旋转至靠背后方，配置高品质PU扶手垫；</w:t>
            </w:r>
          </w:p>
          <w:p>
            <w:pPr>
              <w:widowControl/>
              <w:spacing w:line="320" w:lineRule="exact"/>
              <w:jc w:val="left"/>
              <w:textAlignment w:val="center"/>
              <w:rPr>
                <w:color w:val="auto"/>
                <w:szCs w:val="21"/>
                <w:highlight w:val="none"/>
              </w:rPr>
            </w:pPr>
            <w:r>
              <w:rPr>
                <w:rFonts w:hint="eastAsia"/>
                <w:color w:val="auto"/>
                <w:szCs w:val="21"/>
                <w:highlight w:val="none"/>
              </w:rPr>
              <w:t>（8）脚托：活动拆脚，脚托支架可旋转，脚踏板采用偏心装置锁紧，高度可调节；</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（9）安全带：蝴蝶型安全带。    </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16</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运动式生活轮椅</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（1）产品尺寸：座宽需提供多个尺寸可选，可根据使用者情况提供合适尺寸。总长856mm、总宽≥585mm、总高760mm，最小回转半径：565mm，最大载重≥100kg。                                                                                                                                    （2）车架选用高强度特种铝型材焊接而成，具有强度高，重量轻的特性，表面经氧化处理后具有不掉色，抗老化不生锈的功能；</w:t>
            </w:r>
          </w:p>
          <w:p>
            <w:pPr>
              <w:widowControl/>
              <w:spacing w:line="320" w:lineRule="exact"/>
              <w:jc w:val="left"/>
              <w:textAlignment w:val="center"/>
              <w:rPr>
                <w:color w:val="auto"/>
                <w:szCs w:val="21"/>
                <w:highlight w:val="none"/>
              </w:rPr>
            </w:pPr>
            <w:r>
              <w:rPr>
                <w:rFonts w:hint="eastAsia"/>
                <w:color w:val="auto"/>
                <w:szCs w:val="21"/>
                <w:highlight w:val="none"/>
              </w:rPr>
              <w:t>（3）靠背角度完全按人体腰部生理弯曲度来设计，为人体提供最佳支撑；</w:t>
            </w:r>
          </w:p>
          <w:p>
            <w:pPr>
              <w:widowControl/>
              <w:spacing w:line="320" w:lineRule="exact"/>
              <w:jc w:val="left"/>
              <w:textAlignment w:val="center"/>
              <w:rPr>
                <w:color w:val="auto"/>
                <w:szCs w:val="21"/>
                <w:highlight w:val="none"/>
              </w:rPr>
            </w:pPr>
            <w:r>
              <w:rPr>
                <w:rFonts w:hint="eastAsia"/>
                <w:color w:val="auto"/>
                <w:szCs w:val="21"/>
                <w:highlight w:val="none"/>
              </w:rPr>
              <w:t>（4）座垫/靠垫：采用600D牛津布的车缝成型，抗拉强度高，海绵软垫可根据不同身材使用者对轮椅座位高度的不同要求而配置相适应的厚度；</w:t>
            </w:r>
          </w:p>
          <w:p>
            <w:pPr>
              <w:widowControl/>
              <w:spacing w:line="320" w:lineRule="exact"/>
              <w:jc w:val="left"/>
              <w:textAlignment w:val="center"/>
              <w:rPr>
                <w:color w:val="auto"/>
                <w:szCs w:val="21"/>
                <w:highlight w:val="none"/>
              </w:rPr>
            </w:pPr>
            <w:r>
              <w:rPr>
                <w:rFonts w:hint="eastAsia"/>
                <w:color w:val="auto"/>
                <w:szCs w:val="21"/>
                <w:highlight w:val="none"/>
              </w:rPr>
              <w:t>（5）安全装置：采用肘节式刹车，刹车装置制动后不高于座位面，方便快捷、安全；</w:t>
            </w:r>
          </w:p>
          <w:p>
            <w:pPr>
              <w:widowControl/>
              <w:spacing w:line="320" w:lineRule="exact"/>
              <w:jc w:val="left"/>
              <w:textAlignment w:val="center"/>
              <w:rPr>
                <w:color w:val="auto"/>
                <w:szCs w:val="21"/>
                <w:highlight w:val="none"/>
              </w:rPr>
            </w:pPr>
            <w:r>
              <w:rPr>
                <w:rFonts w:hint="eastAsia"/>
                <w:color w:val="auto"/>
                <w:szCs w:val="21"/>
                <w:highlight w:val="none"/>
              </w:rPr>
              <w:t>（6）前置耐磨4寸PVC万向前轮配铝合金前轮叉；后置24寸快拆充气轮，焊接铝圈、充气轮胎、高强快拆后轮轴、带轻质高强铝手轮；</w:t>
            </w:r>
          </w:p>
          <w:p>
            <w:pPr>
              <w:widowControl/>
              <w:spacing w:line="320" w:lineRule="exact"/>
              <w:jc w:val="left"/>
              <w:textAlignment w:val="center"/>
              <w:rPr>
                <w:color w:val="auto"/>
                <w:szCs w:val="21"/>
                <w:highlight w:val="none"/>
              </w:rPr>
            </w:pPr>
            <w:r>
              <w:rPr>
                <w:rFonts w:hint="eastAsia"/>
                <w:color w:val="auto"/>
                <w:szCs w:val="21"/>
                <w:highlight w:val="none"/>
              </w:rPr>
              <w:t>（7）防反轮：塑料防反轮支架，铝合金防反轮支承杆，防反轮高度可调。</w:t>
            </w:r>
          </w:p>
          <w:p>
            <w:pPr>
              <w:widowControl/>
              <w:spacing w:line="320" w:lineRule="exact"/>
              <w:jc w:val="left"/>
              <w:textAlignment w:val="center"/>
              <w:rPr>
                <w:color w:val="auto"/>
                <w:szCs w:val="21"/>
                <w:highlight w:val="none"/>
              </w:rPr>
            </w:pPr>
            <w:r>
              <w:rPr>
                <w:rFonts w:hint="eastAsia"/>
                <w:color w:val="auto"/>
                <w:szCs w:val="21"/>
                <w:highlight w:val="none"/>
              </w:rPr>
              <w:t>（8）脚踏板：高强度铝合金型材加工组合成型，高度上下可调；</w:t>
            </w:r>
          </w:p>
          <w:p>
            <w:pPr>
              <w:widowControl/>
              <w:spacing w:line="320" w:lineRule="exact"/>
              <w:jc w:val="left"/>
              <w:textAlignment w:val="center"/>
              <w:rPr>
                <w:color w:val="auto"/>
                <w:szCs w:val="21"/>
                <w:highlight w:val="none"/>
              </w:rPr>
            </w:pPr>
            <w:r>
              <w:rPr>
                <w:rFonts w:hint="eastAsia"/>
                <w:color w:val="auto"/>
                <w:szCs w:val="21"/>
                <w:highlight w:val="none"/>
              </w:rPr>
              <w:t>（9）配行李网、行李架；</w:t>
            </w:r>
          </w:p>
          <w:p>
            <w:pPr>
              <w:widowControl/>
              <w:spacing w:line="320" w:lineRule="exact"/>
              <w:jc w:val="left"/>
              <w:textAlignment w:val="center"/>
              <w:rPr>
                <w:color w:val="auto"/>
                <w:szCs w:val="21"/>
                <w:highlight w:val="none"/>
              </w:rPr>
            </w:pPr>
            <w:r>
              <w:rPr>
                <w:rFonts w:hint="eastAsia"/>
                <w:color w:val="auto"/>
                <w:szCs w:val="21"/>
                <w:highlight w:val="none"/>
              </w:rPr>
              <w:t>（10）可折叠式车架,方便携带出行，且能节省占用空间位置。</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17</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脑瘫轮椅</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（1）产品尺寸：总长987mm、总宽493mm、总高974mm，最大载荷≥100kg；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（2）车架：高强度铝合金材质，主体承重结构管直径≥22mm、壁厚≥1.5mm，表面采用彩色喷涂处理；活动扶手，可拆装脚托，整车可折叠；座位能自动弹起及安全锁定；座椅整体可后倾达35°；</w:t>
            </w:r>
          </w:p>
          <w:p>
            <w:pPr>
              <w:widowControl/>
              <w:spacing w:line="320" w:lineRule="exact"/>
              <w:jc w:val="left"/>
              <w:textAlignment w:val="center"/>
              <w:rPr>
                <w:color w:val="auto"/>
                <w:szCs w:val="21"/>
                <w:highlight w:val="none"/>
              </w:rPr>
            </w:pPr>
            <w:r>
              <w:rPr>
                <w:rFonts w:hint="eastAsia"/>
                <w:color w:val="auto"/>
                <w:szCs w:val="21"/>
                <w:highlight w:val="none"/>
              </w:rPr>
              <w:t>（3）前轮：6英寸塑料轮毂配高品质实心橡胶轮胎，配高强度金属拐臂；</w:t>
            </w:r>
          </w:p>
          <w:p>
            <w:pPr>
              <w:widowControl/>
              <w:spacing w:line="320" w:lineRule="exact"/>
              <w:jc w:val="left"/>
              <w:textAlignment w:val="center"/>
              <w:rPr>
                <w:color w:val="auto"/>
                <w:szCs w:val="21"/>
                <w:highlight w:val="none"/>
              </w:rPr>
            </w:pPr>
            <w:r>
              <w:rPr>
                <w:rFonts w:hint="eastAsia"/>
                <w:color w:val="auto"/>
                <w:szCs w:val="21"/>
                <w:highlight w:val="none"/>
              </w:rPr>
              <w:t>（4）后轮：16英寸塑料轮毂配PU轮胎）；</w:t>
            </w:r>
          </w:p>
          <w:p>
            <w:pPr>
              <w:widowControl/>
              <w:spacing w:line="320" w:lineRule="exact"/>
              <w:jc w:val="left"/>
              <w:textAlignment w:val="center"/>
              <w:rPr>
                <w:color w:val="auto"/>
                <w:szCs w:val="21"/>
                <w:highlight w:val="none"/>
              </w:rPr>
            </w:pPr>
            <w:r>
              <w:rPr>
                <w:rFonts w:hint="eastAsia"/>
                <w:color w:val="auto"/>
                <w:szCs w:val="21"/>
                <w:highlight w:val="none"/>
              </w:rPr>
              <w:t>（5）刹车：铝合金手动驻刹；且配置带自锁功能的后把手联动刹车；</w:t>
            </w:r>
          </w:p>
          <w:p>
            <w:pPr>
              <w:widowControl/>
              <w:spacing w:line="320" w:lineRule="exact"/>
              <w:jc w:val="left"/>
              <w:textAlignment w:val="center"/>
              <w:rPr>
                <w:color w:val="auto"/>
                <w:szCs w:val="21"/>
                <w:highlight w:val="none"/>
              </w:rPr>
            </w:pPr>
            <w:r>
              <w:rPr>
                <w:rFonts w:hint="eastAsia"/>
                <w:color w:val="auto"/>
                <w:szCs w:val="21"/>
                <w:highlight w:val="none"/>
              </w:rPr>
              <w:t>（6）座靠垫：面料选用优质高强度防水牛津布，垫芯选用优质高回弹海绵，坐垫带分腿器；</w:t>
            </w:r>
          </w:p>
          <w:p>
            <w:pPr>
              <w:widowControl/>
              <w:spacing w:line="320" w:lineRule="exact"/>
              <w:jc w:val="left"/>
              <w:textAlignment w:val="center"/>
              <w:rPr>
                <w:color w:val="auto"/>
                <w:szCs w:val="21"/>
                <w:highlight w:val="none"/>
              </w:rPr>
            </w:pPr>
            <w:r>
              <w:rPr>
                <w:rFonts w:hint="eastAsia"/>
                <w:color w:val="auto"/>
                <w:szCs w:val="21"/>
                <w:highlight w:val="none"/>
              </w:rPr>
              <w:t>（7）扶手：配置PU扶手垫，可拆装，高度可调；</w:t>
            </w:r>
          </w:p>
          <w:p>
            <w:pPr>
              <w:widowControl/>
              <w:spacing w:line="320" w:lineRule="exact"/>
              <w:jc w:val="left"/>
              <w:textAlignment w:val="center"/>
              <w:rPr>
                <w:color w:val="auto"/>
                <w:szCs w:val="21"/>
                <w:highlight w:val="none"/>
              </w:rPr>
            </w:pPr>
            <w:r>
              <w:rPr>
                <w:rFonts w:hint="eastAsia"/>
                <w:color w:val="auto"/>
                <w:szCs w:val="21"/>
                <w:highlight w:val="none"/>
              </w:rPr>
              <w:t>（8）护板：选用海绵护板，左右护板间距可调，适合不同年龄（体形）的儿童使用；</w:t>
            </w:r>
          </w:p>
          <w:p>
            <w:pPr>
              <w:widowControl/>
              <w:spacing w:line="320" w:lineRule="exact"/>
              <w:jc w:val="left"/>
              <w:textAlignment w:val="center"/>
              <w:rPr>
                <w:color w:val="auto"/>
                <w:szCs w:val="21"/>
                <w:highlight w:val="none"/>
              </w:rPr>
            </w:pPr>
            <w:r>
              <w:rPr>
                <w:rFonts w:hint="eastAsia"/>
                <w:color w:val="auto"/>
                <w:szCs w:val="21"/>
                <w:highlight w:val="none"/>
              </w:rPr>
              <w:t>（9）脚托：高度可调，适合不同年龄（体形）的儿童使用；配置足跟带防止使用者脚掌滑落。</w:t>
            </w:r>
          </w:p>
          <w:p>
            <w:pPr>
              <w:widowControl/>
              <w:spacing w:line="320" w:lineRule="exact"/>
              <w:jc w:val="left"/>
              <w:textAlignment w:val="center"/>
              <w:rPr>
                <w:color w:val="auto"/>
                <w:szCs w:val="21"/>
                <w:highlight w:val="none"/>
              </w:rPr>
            </w:pPr>
            <w:r>
              <w:rPr>
                <w:rFonts w:hint="eastAsia"/>
                <w:color w:val="auto"/>
                <w:szCs w:val="21"/>
                <w:highlight w:val="none"/>
              </w:rPr>
              <w:t>（10）头枕：张开角度可调，高度可调；</w:t>
            </w:r>
          </w:p>
          <w:p>
            <w:pPr>
              <w:widowControl/>
              <w:spacing w:line="320" w:lineRule="exact"/>
              <w:jc w:val="left"/>
              <w:textAlignment w:val="center"/>
              <w:rPr>
                <w:color w:val="auto"/>
                <w:szCs w:val="21"/>
                <w:highlight w:val="none"/>
              </w:rPr>
            </w:pPr>
            <w:r>
              <w:rPr>
                <w:rFonts w:hint="eastAsia"/>
                <w:color w:val="auto"/>
                <w:szCs w:val="21"/>
                <w:highlight w:val="none"/>
              </w:rPr>
              <w:t>（11）肩垫：高强度金属肩垫骨架，左右肩垫间距无级调节，高度两档调节；</w:t>
            </w:r>
          </w:p>
          <w:p>
            <w:pPr>
              <w:widowControl/>
              <w:spacing w:line="320" w:lineRule="exact"/>
              <w:jc w:val="left"/>
              <w:textAlignment w:val="center"/>
              <w:rPr>
                <w:color w:val="auto"/>
                <w:szCs w:val="21"/>
                <w:highlight w:val="none"/>
              </w:rPr>
            </w:pPr>
            <w:r>
              <w:rPr>
                <w:rFonts w:hint="eastAsia"/>
                <w:color w:val="auto"/>
                <w:szCs w:val="21"/>
                <w:highlight w:val="none"/>
              </w:rPr>
              <w:t>（12）限位垫：座垫配有限位垫，配置高强度金属限位垫骨架，且前后位置可调；</w:t>
            </w:r>
          </w:p>
          <w:p>
            <w:pPr>
              <w:widowControl/>
              <w:spacing w:line="320" w:lineRule="exact"/>
              <w:jc w:val="left"/>
              <w:textAlignment w:val="center"/>
              <w:rPr>
                <w:color w:val="auto"/>
                <w:szCs w:val="21"/>
                <w:highlight w:val="none"/>
              </w:rPr>
            </w:pPr>
            <w:r>
              <w:rPr>
                <w:rFonts w:hint="eastAsia"/>
                <w:color w:val="auto"/>
                <w:szCs w:val="21"/>
                <w:highlight w:val="none"/>
              </w:rPr>
              <w:t>（13）轮椅配防后倾翻支架，配可拆卸餐桌板，配头枕并上下左右可调整；</w:t>
            </w:r>
          </w:p>
          <w:p>
            <w:pPr>
              <w:widowControl/>
              <w:spacing w:line="320" w:lineRule="exact"/>
              <w:jc w:val="left"/>
              <w:textAlignment w:val="center"/>
              <w:rPr>
                <w:color w:val="auto"/>
                <w:szCs w:val="21"/>
                <w:highlight w:val="none"/>
              </w:rPr>
            </w:pPr>
            <w:r>
              <w:rPr>
                <w:rFonts w:hint="eastAsia"/>
                <w:color w:val="auto"/>
                <w:szCs w:val="21"/>
                <w:highlight w:val="none"/>
              </w:rPr>
              <w:t xml:space="preserve"> (14)防倾翻装置 轮椅配置高度可调的防倾翻装置；</w:t>
            </w:r>
          </w:p>
          <w:p>
            <w:pPr>
              <w:widowControl/>
              <w:spacing w:line="320" w:lineRule="exact"/>
              <w:jc w:val="left"/>
              <w:textAlignment w:val="center"/>
              <w:rPr>
                <w:color w:val="auto"/>
                <w:szCs w:val="21"/>
                <w:highlight w:val="none"/>
              </w:rPr>
            </w:pPr>
            <w:r>
              <w:rPr>
                <w:rFonts w:hint="eastAsia"/>
                <w:color w:val="auto"/>
                <w:szCs w:val="21"/>
                <w:highlight w:val="none"/>
              </w:rPr>
              <w:t>脚踏装置 防倾翻装置上装有脚踏位置，方便护理人员推行轮椅上下台阶；</w:t>
            </w:r>
          </w:p>
          <w:p>
            <w:pPr>
              <w:widowControl/>
              <w:spacing w:line="320" w:lineRule="exact"/>
              <w:jc w:val="left"/>
              <w:textAlignment w:val="center"/>
              <w:rPr>
                <w:color w:val="auto"/>
                <w:szCs w:val="21"/>
                <w:highlight w:val="none"/>
              </w:rPr>
            </w:pPr>
            <w:r>
              <w:rPr>
                <w:rFonts w:hint="eastAsia"/>
                <w:color w:val="auto"/>
                <w:szCs w:val="21"/>
                <w:highlight w:val="none"/>
              </w:rPr>
              <w:t>（15）安全带：配有蝴蝶型脊柱姿势矫正安全带，座位配可调盆骨姿势矫正安全带;可跟进使用者需要配置加强防护装置。</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18</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脑瘫轮椅（0-6岁</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1.产品应符合GB/T13800-2009《手动轮椅车》国家标准。</w:t>
            </w:r>
          </w:p>
          <w:p>
            <w:pPr>
              <w:widowControl/>
              <w:spacing w:line="320" w:lineRule="exact"/>
              <w:jc w:val="left"/>
              <w:textAlignment w:val="center"/>
              <w:rPr>
                <w:color w:val="auto"/>
                <w:szCs w:val="21"/>
                <w:highlight w:val="none"/>
              </w:rPr>
            </w:pPr>
            <w:r>
              <w:rPr>
                <w:rFonts w:hint="eastAsia"/>
                <w:color w:val="auto"/>
                <w:szCs w:val="21"/>
                <w:highlight w:val="none"/>
              </w:rPr>
              <w:t>2.针对本次招标，GB/T13800-2009《手动轮椅车》国家标准中规格、类型及其他不确定的请按以下要求执行：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（1）产品尺寸：总长920mm、总宽440mm、总高1040mm，座位宽度300mm、座位深度360mm、座位离地高度490mm、靠背高度580mm，最大载荷≥100kg；</w:t>
            </w:r>
          </w:p>
          <w:p>
            <w:pPr>
              <w:widowControl/>
              <w:spacing w:line="320" w:lineRule="exact"/>
              <w:jc w:val="left"/>
              <w:textAlignment w:val="center"/>
              <w:rPr>
                <w:color w:val="auto"/>
                <w:szCs w:val="21"/>
                <w:highlight w:val="none"/>
              </w:rPr>
            </w:pPr>
            <w:r>
              <w:rPr>
                <w:rFonts w:hint="eastAsia"/>
                <w:color w:val="auto"/>
                <w:szCs w:val="21"/>
                <w:highlight w:val="none"/>
              </w:rPr>
              <w:t>（2）车架：高强度铝合金材质，主体承重结构管直径≥22mm、壁厚≥1.5mm，由铝管通过氩弧焊焊接组合成型，且经过热处理提高强度，安全性能好；表面阳极氧化或烤漆处理；车架为可折叠结构，运输、储存方便；</w:t>
            </w:r>
          </w:p>
          <w:p>
            <w:pPr>
              <w:widowControl/>
              <w:spacing w:line="320" w:lineRule="exact"/>
              <w:jc w:val="left"/>
              <w:textAlignment w:val="center"/>
              <w:rPr>
                <w:color w:val="auto"/>
                <w:szCs w:val="21"/>
                <w:highlight w:val="none"/>
              </w:rPr>
            </w:pPr>
            <w:r>
              <w:rPr>
                <w:rFonts w:hint="eastAsia"/>
                <w:color w:val="auto"/>
                <w:szCs w:val="21"/>
                <w:highlight w:val="none"/>
              </w:rPr>
              <w:t>（3）座椅角度调节：座位架和靠背架由可控气弹簧和滑杆支撑，通过开关控制气弹簧长度可调节座位架角度，座垫与地面后倾角度调节范围约为0-30°；座位与靠背角度调节范围约为95-150°；</w:t>
            </w:r>
          </w:p>
          <w:p>
            <w:pPr>
              <w:widowControl/>
              <w:spacing w:line="320" w:lineRule="exact"/>
              <w:jc w:val="left"/>
              <w:textAlignment w:val="center"/>
              <w:rPr>
                <w:color w:val="auto"/>
                <w:szCs w:val="21"/>
                <w:highlight w:val="none"/>
              </w:rPr>
            </w:pPr>
            <w:r>
              <w:rPr>
                <w:rFonts w:hint="eastAsia"/>
                <w:color w:val="auto"/>
                <w:szCs w:val="21"/>
                <w:highlight w:val="none"/>
              </w:rPr>
              <w:t>（4）座椅：座椅采用汽车儿童安全座椅，座椅支架的材料为无毒、无污染塑料，无过敏成分，安全、强度高、质量轻；表面由高级透气布料包裹，舒适、安全可靠；座椅配有安全带，安全带上面肩部和腹部的位置有海绵垫，长时间使用时可保持其舒适性；枕头可调节高度；</w:t>
            </w:r>
          </w:p>
          <w:p>
            <w:pPr>
              <w:widowControl/>
              <w:spacing w:line="320" w:lineRule="exact"/>
              <w:jc w:val="left"/>
              <w:textAlignment w:val="center"/>
              <w:rPr>
                <w:color w:val="auto"/>
                <w:szCs w:val="21"/>
                <w:highlight w:val="none"/>
              </w:rPr>
            </w:pPr>
            <w:r>
              <w:rPr>
                <w:rFonts w:hint="eastAsia"/>
                <w:color w:val="auto"/>
                <w:szCs w:val="21"/>
                <w:highlight w:val="none"/>
              </w:rPr>
              <w:t>（5）前轮：6英寸（150mm）前轮，配置为高强度工程塑料轮毂、免充气橡胶实心轮胎，耐磨；</w:t>
            </w:r>
          </w:p>
          <w:p>
            <w:pPr>
              <w:widowControl/>
              <w:spacing w:line="320" w:lineRule="exact"/>
              <w:jc w:val="left"/>
              <w:textAlignment w:val="center"/>
              <w:rPr>
                <w:color w:val="auto"/>
                <w:szCs w:val="21"/>
                <w:highlight w:val="none"/>
              </w:rPr>
            </w:pPr>
            <w:r>
              <w:rPr>
                <w:rFonts w:hint="eastAsia"/>
                <w:color w:val="auto"/>
                <w:szCs w:val="21"/>
                <w:highlight w:val="none"/>
              </w:rPr>
              <w:t>（6）后轮：12英寸（300mm）后轮配置为高强度工程塑料轮毂PU轮胎；</w:t>
            </w:r>
          </w:p>
          <w:p>
            <w:pPr>
              <w:widowControl/>
              <w:spacing w:line="320" w:lineRule="exact"/>
              <w:jc w:val="left"/>
              <w:textAlignment w:val="center"/>
              <w:rPr>
                <w:color w:val="auto"/>
                <w:szCs w:val="21"/>
                <w:highlight w:val="none"/>
              </w:rPr>
            </w:pPr>
            <w:r>
              <w:rPr>
                <w:rFonts w:hint="eastAsia"/>
                <w:color w:val="auto"/>
                <w:szCs w:val="21"/>
                <w:highlight w:val="none"/>
              </w:rPr>
              <w:t>（7）刹车：椅配有脚踩式驻车刹车，助推者只需在推轮椅的位置轻轻踩下刹车控制杆便能驻停轮椅；</w:t>
            </w:r>
          </w:p>
          <w:p>
            <w:pPr>
              <w:widowControl/>
              <w:spacing w:line="320" w:lineRule="exact"/>
              <w:jc w:val="left"/>
              <w:textAlignment w:val="center"/>
              <w:rPr>
                <w:color w:val="auto"/>
                <w:szCs w:val="21"/>
                <w:highlight w:val="none"/>
              </w:rPr>
            </w:pPr>
            <w:r>
              <w:rPr>
                <w:rFonts w:hint="eastAsia"/>
                <w:color w:val="auto"/>
                <w:szCs w:val="21"/>
                <w:highlight w:val="none"/>
              </w:rPr>
              <w:t>（8）脚踏：轮椅配有脚踏板，脚踏板高度可调节，且为可翻起结构，且方便使用者上下轮椅；</w:t>
            </w:r>
          </w:p>
          <w:p>
            <w:pPr>
              <w:widowControl/>
              <w:spacing w:line="320" w:lineRule="exact"/>
              <w:jc w:val="left"/>
              <w:textAlignment w:val="center"/>
              <w:rPr>
                <w:color w:val="auto"/>
                <w:szCs w:val="21"/>
                <w:highlight w:val="none"/>
              </w:rPr>
            </w:pPr>
            <w:r>
              <w:rPr>
                <w:rFonts w:hint="eastAsia"/>
                <w:color w:val="auto"/>
                <w:szCs w:val="21"/>
                <w:highlight w:val="none"/>
              </w:rPr>
              <w:t xml:space="preserve">（9）安全带：座位配有可调安全带；  </w:t>
            </w:r>
          </w:p>
          <w:p>
            <w:pPr>
              <w:widowControl/>
              <w:spacing w:line="320" w:lineRule="exact"/>
              <w:jc w:val="left"/>
              <w:textAlignment w:val="center"/>
              <w:rPr>
                <w:color w:val="auto"/>
                <w:szCs w:val="21"/>
                <w:highlight w:val="none"/>
              </w:rPr>
            </w:pPr>
            <w:r>
              <w:rPr>
                <w:rFonts w:hint="eastAsia"/>
                <w:color w:val="auto"/>
                <w:szCs w:val="21"/>
                <w:highlight w:val="none"/>
              </w:rPr>
              <w:t>（10）防倾装置：轮椅配防倾翻支架，可防止轮椅出现向后倾翻的危险；</w:t>
            </w:r>
          </w:p>
          <w:p>
            <w:pPr>
              <w:widowControl/>
              <w:spacing w:line="320" w:lineRule="exact"/>
              <w:jc w:val="left"/>
              <w:textAlignment w:val="center"/>
              <w:rPr>
                <w:rFonts w:asciiTheme="minorEastAsia" w:hAnsiTheme="minorEastAsia" w:eastAsiaTheme="minorEastAsia"/>
                <w:b/>
                <w:color w:val="auto"/>
                <w:szCs w:val="21"/>
                <w:highlight w:val="none"/>
              </w:rPr>
            </w:pPr>
            <w:r>
              <w:rPr>
                <w:rFonts w:hint="eastAsia"/>
                <w:color w:val="auto"/>
                <w:szCs w:val="21"/>
                <w:highlight w:val="none"/>
              </w:rPr>
              <w:t>（11）餐板：轮椅可配装餐板供用餐使用。</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19</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电动轮椅（室内型、钢制</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1.产品符合GB/T12996-2012《电动轮椅车》国家标准要求。</w:t>
            </w:r>
          </w:p>
          <w:p>
            <w:pPr>
              <w:widowControl/>
              <w:spacing w:line="320" w:lineRule="exact"/>
              <w:jc w:val="left"/>
              <w:textAlignment w:val="center"/>
              <w:rPr>
                <w:color w:val="auto"/>
                <w:szCs w:val="21"/>
                <w:highlight w:val="none"/>
              </w:rPr>
            </w:pPr>
            <w:r>
              <w:rPr>
                <w:rFonts w:hint="eastAsia"/>
                <w:color w:val="auto"/>
                <w:szCs w:val="21"/>
                <w:highlight w:val="none"/>
              </w:rPr>
              <w:t>2.针对本次招标，GB/T12996-2012《电动轮椅车》国家标准中规格、类型及其他不确定的，请按以下要求执行: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（1）产品为电动四轮轮椅。</w:t>
            </w:r>
          </w:p>
          <w:p>
            <w:pPr>
              <w:widowControl/>
              <w:spacing w:line="320" w:lineRule="exact"/>
              <w:jc w:val="left"/>
              <w:textAlignment w:val="center"/>
              <w:rPr>
                <w:color w:val="auto"/>
                <w:szCs w:val="21"/>
                <w:highlight w:val="none"/>
              </w:rPr>
            </w:pPr>
            <w:r>
              <w:rPr>
                <w:rFonts w:hint="eastAsia"/>
                <w:color w:val="auto"/>
                <w:szCs w:val="21"/>
                <w:highlight w:val="none"/>
              </w:rPr>
              <w:t>（2）产品尺寸：总长1060mm、总宽660mm、总高940mm，折叠宽度390mm、座位宽度460mm、座位深度400mm、座位离地高度500mm、靠背高度400mm、最大载荷≥100kg；</w:t>
            </w:r>
          </w:p>
          <w:p>
            <w:pPr>
              <w:widowControl/>
              <w:spacing w:line="320" w:lineRule="exact"/>
              <w:jc w:val="left"/>
              <w:textAlignment w:val="center"/>
              <w:rPr>
                <w:color w:val="auto"/>
                <w:szCs w:val="21"/>
                <w:highlight w:val="none"/>
              </w:rPr>
            </w:pPr>
            <w:r>
              <w:rPr>
                <w:rFonts w:hint="eastAsia"/>
                <w:color w:val="auto"/>
                <w:szCs w:val="21"/>
                <w:highlight w:val="none"/>
              </w:rPr>
              <w:t>（3）车架：高强度钢管材料，主体承重结构管直径≥22mm、壁厚≥1.2mm，表面处理为烤漆表面或镀铬处理，带有折背功能，存放体积小，运输方便；</w:t>
            </w:r>
          </w:p>
          <w:p>
            <w:pPr>
              <w:widowControl/>
              <w:spacing w:line="320" w:lineRule="exact"/>
              <w:jc w:val="left"/>
              <w:textAlignment w:val="center"/>
              <w:rPr>
                <w:color w:val="auto"/>
                <w:szCs w:val="21"/>
                <w:highlight w:val="none"/>
              </w:rPr>
            </w:pPr>
            <w:r>
              <w:rPr>
                <w:rFonts w:hint="eastAsia"/>
                <w:color w:val="auto"/>
                <w:szCs w:val="21"/>
                <w:highlight w:val="none"/>
              </w:rPr>
              <w:t>（4）由操纵手柄控制行驶方向、速度、转向和制动，操纵手柄为万向无限度控制器；</w:t>
            </w:r>
          </w:p>
          <w:p>
            <w:pPr>
              <w:widowControl/>
              <w:spacing w:line="320" w:lineRule="exact"/>
              <w:jc w:val="left"/>
              <w:textAlignment w:val="center"/>
              <w:rPr>
                <w:color w:val="auto"/>
                <w:szCs w:val="21"/>
                <w:highlight w:val="none"/>
              </w:rPr>
            </w:pPr>
            <w:r>
              <w:rPr>
                <w:rFonts w:hint="eastAsia"/>
                <w:color w:val="auto"/>
                <w:szCs w:val="21"/>
                <w:highlight w:val="none"/>
              </w:rPr>
              <w:t>（5）净重50KG±2，电机150w×2，带电磁刹车；采用铅酸电池24V21Ah，充电器3.0A，安全制动1.0m；；</w:t>
            </w:r>
          </w:p>
          <w:p>
            <w:pPr>
              <w:widowControl/>
              <w:spacing w:line="320" w:lineRule="exact"/>
              <w:jc w:val="left"/>
              <w:textAlignment w:val="center"/>
              <w:rPr>
                <w:color w:val="auto"/>
                <w:szCs w:val="21"/>
                <w:highlight w:val="none"/>
              </w:rPr>
            </w:pPr>
            <w:r>
              <w:rPr>
                <w:rFonts w:hint="eastAsia"/>
                <w:color w:val="auto"/>
                <w:szCs w:val="21"/>
                <w:highlight w:val="none"/>
              </w:rPr>
              <w:t>（6）续行里程不低于20 km(±10%)，最大爬坡能力≥8°，最高时速为6km/h ；</w:t>
            </w:r>
          </w:p>
          <w:p>
            <w:pPr>
              <w:widowControl/>
              <w:spacing w:line="320" w:lineRule="exact"/>
              <w:jc w:val="left"/>
              <w:textAlignment w:val="center"/>
              <w:rPr>
                <w:color w:val="auto"/>
                <w:szCs w:val="21"/>
                <w:highlight w:val="none"/>
              </w:rPr>
            </w:pPr>
            <w:r>
              <w:rPr>
                <w:rFonts w:hint="eastAsia"/>
                <w:color w:val="auto"/>
                <w:szCs w:val="21"/>
                <w:highlight w:val="none"/>
              </w:rPr>
              <w:t>（7）具有工作状态和电量显示、具有倒车功能，具有电量显示功能、速度调节功能、喇叭功能，具有离合装置便于无动力时推动轮椅，带有电子刹车以保证行驶安全；</w:t>
            </w:r>
          </w:p>
          <w:p>
            <w:pPr>
              <w:widowControl/>
              <w:spacing w:line="320" w:lineRule="exact"/>
              <w:jc w:val="left"/>
              <w:textAlignment w:val="center"/>
              <w:rPr>
                <w:color w:val="auto"/>
                <w:szCs w:val="21"/>
                <w:highlight w:val="none"/>
              </w:rPr>
            </w:pPr>
            <w:r>
              <w:rPr>
                <w:rFonts w:hint="eastAsia"/>
                <w:color w:val="auto"/>
                <w:szCs w:val="21"/>
                <w:highlight w:val="none"/>
              </w:rPr>
              <w:t>（8）轮椅的座椅及靠背为软座、软靠背，材料为牛津尼龙布，坐垫采用双层坐垫，下坐垫中间使用高密400d的涤纶帆布夹层，上层坐垫中使用加厚海绵，坐垫长期使用不易变形或下榻；缝边牢固整齐，无褶皱、跳线和破损等缺陷；配有安全带；</w:t>
            </w:r>
          </w:p>
          <w:p>
            <w:pPr>
              <w:widowControl/>
              <w:spacing w:line="320" w:lineRule="exact"/>
              <w:jc w:val="left"/>
              <w:textAlignment w:val="center"/>
              <w:rPr>
                <w:color w:val="auto"/>
                <w:szCs w:val="21"/>
                <w:highlight w:val="none"/>
              </w:rPr>
            </w:pPr>
            <w:r>
              <w:rPr>
                <w:rFonts w:hint="eastAsia"/>
                <w:color w:val="auto"/>
                <w:szCs w:val="21"/>
                <w:highlight w:val="none"/>
              </w:rPr>
              <w:t>（9）上翻活动扶手，配置高品质PU扶手垫；</w:t>
            </w:r>
          </w:p>
          <w:p>
            <w:pPr>
              <w:widowControl/>
              <w:spacing w:line="320" w:lineRule="exact"/>
              <w:jc w:val="left"/>
              <w:textAlignment w:val="center"/>
              <w:rPr>
                <w:color w:val="auto"/>
                <w:szCs w:val="21"/>
                <w:highlight w:val="none"/>
              </w:rPr>
            </w:pPr>
            <w:r>
              <w:rPr>
                <w:rFonts w:hint="eastAsia"/>
                <w:color w:val="auto"/>
                <w:szCs w:val="21"/>
                <w:highlight w:val="none"/>
              </w:rPr>
              <w:t>（10）脚踏板可旋转，可拆卸，方便用者上下车使用；</w:t>
            </w:r>
          </w:p>
          <w:p>
            <w:pPr>
              <w:widowControl/>
              <w:spacing w:line="320" w:lineRule="exact"/>
              <w:jc w:val="left"/>
              <w:textAlignment w:val="center"/>
              <w:rPr>
                <w:color w:val="auto"/>
                <w:szCs w:val="21"/>
                <w:highlight w:val="none"/>
              </w:rPr>
            </w:pPr>
            <w:r>
              <w:rPr>
                <w:rFonts w:hint="eastAsia"/>
                <w:color w:val="auto"/>
                <w:szCs w:val="21"/>
                <w:highlight w:val="none"/>
              </w:rPr>
              <w:t>（11）前轮为直径8英寸的加宽高品质橡胶轮胎，配置高强度工程塑料轮毂；</w:t>
            </w:r>
          </w:p>
          <w:p>
            <w:pPr>
              <w:widowControl/>
              <w:spacing w:line="320" w:lineRule="exact"/>
              <w:jc w:val="left"/>
              <w:textAlignment w:val="center"/>
              <w:rPr>
                <w:color w:val="auto"/>
                <w:szCs w:val="21"/>
                <w:highlight w:val="none"/>
              </w:rPr>
            </w:pPr>
            <w:r>
              <w:rPr>
                <w:rFonts w:hint="eastAsia"/>
                <w:color w:val="auto"/>
                <w:szCs w:val="21"/>
                <w:highlight w:val="none"/>
              </w:rPr>
              <w:t>（12）后轮为16英寸充气轮胎，配置为高强度铝合金轮毂；</w:t>
            </w:r>
          </w:p>
          <w:p>
            <w:pPr>
              <w:widowControl/>
              <w:spacing w:line="320" w:lineRule="exact"/>
              <w:jc w:val="left"/>
              <w:textAlignment w:val="center"/>
              <w:rPr>
                <w:color w:val="auto"/>
                <w:szCs w:val="21"/>
                <w:highlight w:val="none"/>
              </w:rPr>
            </w:pPr>
            <w:r>
              <w:rPr>
                <w:rFonts w:hint="eastAsia"/>
                <w:color w:val="auto"/>
                <w:szCs w:val="21"/>
                <w:highlight w:val="none"/>
              </w:rPr>
              <w:t>（13）轮椅带有防后翻装置。</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4000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20</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电动轮椅（室内型、铝合金制）</w:t>
            </w:r>
          </w:p>
        </w:tc>
        <w:tc>
          <w:tcPr>
            <w:tcW w:w="602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1.产品符合GB/T12996-2012《电动轮椅车》国家标准要求。</w:t>
            </w:r>
          </w:p>
          <w:p>
            <w:pPr>
              <w:widowControl/>
              <w:spacing w:line="320" w:lineRule="exact"/>
              <w:jc w:val="left"/>
              <w:textAlignment w:val="center"/>
              <w:rPr>
                <w:color w:val="auto"/>
                <w:szCs w:val="21"/>
                <w:highlight w:val="none"/>
              </w:rPr>
            </w:pPr>
            <w:r>
              <w:rPr>
                <w:rFonts w:hint="eastAsia"/>
                <w:color w:val="auto"/>
                <w:szCs w:val="21"/>
                <w:highlight w:val="none"/>
              </w:rPr>
              <w:t>2.针对本次招标，GB/T12996-2012《电动轮椅车》国家标准中规格、类型及其他不确定的，请按以下要求执行:</w:t>
            </w:r>
          </w:p>
          <w:p>
            <w:pPr>
              <w:widowControl/>
              <w:spacing w:line="320" w:lineRule="exact"/>
              <w:jc w:val="left"/>
              <w:textAlignment w:val="center"/>
              <w:rPr>
                <w:color w:val="auto"/>
                <w:szCs w:val="21"/>
                <w:highlight w:val="none"/>
              </w:rPr>
            </w:pPr>
            <w:r>
              <w:rPr>
                <w:rFonts w:hint="eastAsia"/>
                <w:color w:val="auto"/>
                <w:szCs w:val="21"/>
                <w:highlight w:val="none"/>
              </w:rPr>
              <w:t>（1）产品为电动四轮轮椅。</w:t>
            </w:r>
          </w:p>
          <w:p>
            <w:pPr>
              <w:widowControl/>
              <w:spacing w:line="320" w:lineRule="exact"/>
              <w:jc w:val="left"/>
              <w:textAlignment w:val="center"/>
              <w:rPr>
                <w:color w:val="auto"/>
                <w:szCs w:val="21"/>
                <w:highlight w:val="none"/>
              </w:rPr>
            </w:pPr>
            <w:r>
              <w:rPr>
                <w:rFonts w:hint="eastAsia"/>
                <w:color w:val="auto"/>
                <w:szCs w:val="21"/>
                <w:highlight w:val="none"/>
              </w:rPr>
              <w:t>（2）产品尺寸：总长1060mm、总宽660mm、总高910mm，折叠宽度390mm、座位宽度460mm、座位深度400mm、座位离地高度480mm、靠背高度420 mm、最大载荷≥100kg；</w:t>
            </w:r>
          </w:p>
          <w:p>
            <w:pPr>
              <w:widowControl/>
              <w:spacing w:line="320" w:lineRule="exact"/>
              <w:jc w:val="left"/>
              <w:textAlignment w:val="center"/>
              <w:rPr>
                <w:color w:val="auto"/>
                <w:szCs w:val="21"/>
                <w:highlight w:val="none"/>
              </w:rPr>
            </w:pPr>
            <w:r>
              <w:rPr>
                <w:rFonts w:hint="eastAsia"/>
                <w:color w:val="auto"/>
                <w:szCs w:val="21"/>
                <w:highlight w:val="none"/>
              </w:rPr>
              <w:t>（3）车架：高强度铝合金材质，主体承重结构管直径≥22mm、壁厚≥2.0mm，表面处理为烤漆表面或镀铬处理，带有折背功能，存放体积小，运输方便；</w:t>
            </w:r>
          </w:p>
          <w:p>
            <w:pPr>
              <w:widowControl/>
              <w:spacing w:line="320" w:lineRule="exact"/>
              <w:jc w:val="left"/>
              <w:textAlignment w:val="center"/>
              <w:rPr>
                <w:color w:val="auto"/>
                <w:szCs w:val="21"/>
                <w:highlight w:val="none"/>
              </w:rPr>
            </w:pPr>
            <w:r>
              <w:rPr>
                <w:rFonts w:hint="eastAsia"/>
                <w:color w:val="auto"/>
                <w:szCs w:val="21"/>
                <w:highlight w:val="none"/>
              </w:rPr>
              <w:t>（4）由操纵手柄控制行驶方向、速度、转向和制动，操纵手柄为万向无限度控制器；</w:t>
            </w:r>
          </w:p>
          <w:p>
            <w:pPr>
              <w:widowControl/>
              <w:spacing w:line="320" w:lineRule="exact"/>
              <w:jc w:val="left"/>
              <w:textAlignment w:val="center"/>
              <w:rPr>
                <w:color w:val="auto"/>
                <w:szCs w:val="21"/>
                <w:highlight w:val="none"/>
              </w:rPr>
            </w:pPr>
            <w:r>
              <w:rPr>
                <w:rFonts w:hint="eastAsia"/>
                <w:color w:val="auto"/>
                <w:szCs w:val="21"/>
                <w:highlight w:val="none"/>
              </w:rPr>
              <w:t>（5）净重25KG±2，采用200w×2电机无刷电机，涡轮蜗杆变速，行驶平稳，爬坡能力强，噪音小；带电磁刹车；采用侧挂型锂电池，容量≥15AH，充电器3.0A，安全制动1.0m；</w:t>
            </w:r>
          </w:p>
          <w:p>
            <w:pPr>
              <w:widowControl/>
              <w:spacing w:line="320" w:lineRule="exact"/>
              <w:jc w:val="left"/>
              <w:textAlignment w:val="center"/>
              <w:rPr>
                <w:color w:val="auto"/>
                <w:szCs w:val="21"/>
                <w:highlight w:val="none"/>
              </w:rPr>
            </w:pPr>
            <w:r>
              <w:rPr>
                <w:rFonts w:hint="eastAsia"/>
                <w:color w:val="auto"/>
                <w:szCs w:val="21"/>
                <w:highlight w:val="none"/>
              </w:rPr>
              <w:t>（6）续行里程不低于17km(±10%)，最大爬坡能力≥8°，最高时速为6km/h ；</w:t>
            </w:r>
          </w:p>
          <w:p>
            <w:pPr>
              <w:widowControl/>
              <w:spacing w:line="320" w:lineRule="exact"/>
              <w:jc w:val="left"/>
              <w:textAlignment w:val="center"/>
              <w:rPr>
                <w:color w:val="auto"/>
                <w:szCs w:val="21"/>
                <w:highlight w:val="none"/>
              </w:rPr>
            </w:pPr>
            <w:r>
              <w:rPr>
                <w:rFonts w:hint="eastAsia"/>
                <w:color w:val="auto"/>
                <w:szCs w:val="21"/>
                <w:highlight w:val="none"/>
              </w:rPr>
              <w:t>（7）具有工作状态和电量显示、具有倒车功能，具有电量显示功能、速度调节功能、喇叭功能，具有离合装置便于无动力时推动轮椅，带有电子刹车以保证行驶安全；</w:t>
            </w:r>
          </w:p>
          <w:p>
            <w:pPr>
              <w:widowControl/>
              <w:spacing w:line="320" w:lineRule="exact"/>
              <w:jc w:val="left"/>
              <w:textAlignment w:val="center"/>
              <w:rPr>
                <w:color w:val="auto"/>
                <w:szCs w:val="21"/>
                <w:highlight w:val="none"/>
              </w:rPr>
            </w:pPr>
            <w:r>
              <w:rPr>
                <w:rFonts w:hint="eastAsia"/>
                <w:color w:val="auto"/>
                <w:szCs w:val="21"/>
                <w:highlight w:val="none"/>
              </w:rPr>
              <w:t>（8）轮椅的座椅及靠背为软座、软靠背，材料为牛津尼龙布，坐垫采用双层坐垫，下坐垫中间使用高密400d的涤纶帆布夹层，上层坐垫中使用加厚海绵，坐垫长期使用不易变形或下榻；缝边牢固整齐，无褶皱、跳线和破损等缺陷；配有安全带；</w:t>
            </w:r>
          </w:p>
          <w:p>
            <w:pPr>
              <w:widowControl/>
              <w:spacing w:line="320" w:lineRule="exact"/>
              <w:jc w:val="left"/>
              <w:textAlignment w:val="center"/>
              <w:rPr>
                <w:color w:val="auto"/>
                <w:szCs w:val="21"/>
                <w:highlight w:val="none"/>
              </w:rPr>
            </w:pPr>
            <w:r>
              <w:rPr>
                <w:rFonts w:hint="eastAsia"/>
                <w:color w:val="auto"/>
                <w:szCs w:val="21"/>
                <w:highlight w:val="none"/>
              </w:rPr>
              <w:t>（9）后翻式活动扶手，配置高品质PU扶手垫；</w:t>
            </w:r>
          </w:p>
          <w:p>
            <w:pPr>
              <w:widowControl/>
              <w:spacing w:line="320" w:lineRule="exact"/>
              <w:jc w:val="left"/>
              <w:textAlignment w:val="center"/>
              <w:rPr>
                <w:color w:val="auto"/>
                <w:szCs w:val="21"/>
                <w:highlight w:val="none"/>
              </w:rPr>
            </w:pPr>
            <w:r>
              <w:rPr>
                <w:rFonts w:hint="eastAsia"/>
                <w:color w:val="auto"/>
                <w:szCs w:val="21"/>
                <w:highlight w:val="none"/>
              </w:rPr>
              <w:t>（10）活动脚托，脚托可上翻，配高强度塑料脚踏板，脚踏板高度可调节；</w:t>
            </w:r>
          </w:p>
          <w:p>
            <w:pPr>
              <w:widowControl/>
              <w:spacing w:line="320" w:lineRule="exact"/>
              <w:jc w:val="left"/>
              <w:textAlignment w:val="center"/>
              <w:rPr>
                <w:color w:val="auto"/>
                <w:szCs w:val="21"/>
                <w:highlight w:val="none"/>
              </w:rPr>
            </w:pPr>
            <w:r>
              <w:rPr>
                <w:rFonts w:hint="eastAsia"/>
                <w:color w:val="auto"/>
                <w:szCs w:val="21"/>
                <w:highlight w:val="none"/>
              </w:rPr>
              <w:t>（11）前轮为直径8英寸的加宽高品质橡胶轮胎，配置高强度工程塑料轮毂；</w:t>
            </w:r>
          </w:p>
          <w:p>
            <w:pPr>
              <w:widowControl/>
              <w:spacing w:line="320" w:lineRule="exact"/>
              <w:jc w:val="left"/>
              <w:textAlignment w:val="center"/>
              <w:rPr>
                <w:color w:val="auto"/>
                <w:szCs w:val="21"/>
                <w:highlight w:val="none"/>
              </w:rPr>
            </w:pPr>
            <w:r>
              <w:rPr>
                <w:rFonts w:hint="eastAsia"/>
                <w:color w:val="auto"/>
                <w:szCs w:val="21"/>
                <w:highlight w:val="none"/>
              </w:rPr>
              <w:t>（12）后轮为12英寸实心后轮，配置为高强度铝合金轮毂；</w:t>
            </w:r>
          </w:p>
          <w:p>
            <w:pPr>
              <w:widowControl/>
              <w:spacing w:line="320" w:lineRule="exact"/>
              <w:jc w:val="left"/>
              <w:textAlignment w:val="center"/>
              <w:rPr>
                <w:color w:val="auto"/>
                <w:szCs w:val="21"/>
                <w:highlight w:val="none"/>
              </w:rPr>
            </w:pPr>
            <w:r>
              <w:rPr>
                <w:rFonts w:hint="eastAsia"/>
                <w:color w:val="auto"/>
                <w:szCs w:val="21"/>
                <w:highlight w:val="none"/>
              </w:rPr>
              <w:t>（13）轮椅带有防后翻装置。</w:t>
            </w:r>
          </w:p>
        </w:tc>
        <w:tc>
          <w:tcPr>
            <w:tcW w:w="83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辆</w:t>
            </w:r>
          </w:p>
        </w:tc>
        <w:tc>
          <w:tcPr>
            <w:tcW w:w="103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701"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8034" w:type="dxa"/>
            <w:gridSpan w:val="4"/>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8034" w:type="dxa"/>
            <w:gridSpan w:val="4"/>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8034"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8034"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8034"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成品辅具、使用指导、运输配送、备品备件、跟踪回访、质保服务、使用指导、培训、技术支持、验收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701"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72"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8129" w:type="dxa"/>
            <w:gridSpan w:val="5"/>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701"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8034" w:type="dxa"/>
            <w:gridSpan w:val="4"/>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2、投标产品中涉及国家专项审批的，投标人在投标文件中需提供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8034" w:type="dxa"/>
            <w:gridSpan w:val="4"/>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8034" w:type="dxa"/>
            <w:gridSpan w:val="4"/>
            <w:tcBorders>
              <w:top w:val="single" w:color="auto" w:sz="4" w:space="0"/>
              <w:left w:val="single" w:color="auto" w:sz="4" w:space="0"/>
              <w:bottom w:val="single" w:color="auto" w:sz="4" w:space="0"/>
              <w:right w:val="single" w:color="auto" w:sz="4" w:space="0"/>
            </w:tcBorders>
            <w:noWrap/>
            <w:vAlign w:val="center"/>
          </w:tcPr>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第二项、第十三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8"/>
              <w:jc w:val="both"/>
              <w:rPr>
                <w:rFonts w:ascii="宋体" w:hAnsi="宋体" w:cs="宋体"/>
                <w:color w:val="auto"/>
                <w:szCs w:val="21"/>
                <w:highlight w:val="none"/>
              </w:rPr>
            </w:pPr>
            <w:r>
              <w:rPr>
                <w:rFonts w:hint="eastAsia" w:ascii="宋体" w:hAnsi="宋体" w:eastAsia="宋体" w:cs="宋体"/>
                <w:color w:val="auto"/>
                <w:sz w:val="21"/>
                <w:szCs w:val="21"/>
                <w:highlight w:val="none"/>
              </w:rPr>
              <w:t>▲2、第2项、第3项、第9项、第13项、第14项投标产品需提供</w:t>
            </w:r>
            <w:r>
              <w:rPr>
                <w:rFonts w:hint="eastAsia" w:ascii="宋体" w:hAnsi="宋体" w:eastAsia="宋体" w:cs="宋体"/>
                <w:color w:val="auto"/>
                <w:sz w:val="21"/>
                <w:szCs w:val="21"/>
                <w:highlight w:val="none"/>
                <w:lang w:val="en-US" w:eastAsia="zh-CN"/>
              </w:rPr>
              <w:t>省级及以上相关专业质量监督检验部门出具的检测报告</w:t>
            </w:r>
            <w:r>
              <w:rPr>
                <w:rFonts w:hint="eastAsia" w:ascii="宋体" w:hAnsi="宋体" w:eastAsia="宋体" w:cs="宋体"/>
                <w:color w:val="auto"/>
                <w:sz w:val="21"/>
                <w:szCs w:val="21"/>
                <w:highlight w:val="none"/>
              </w:rPr>
              <w:t>，检测报告的检测时间为三年（2019年、2020年、2021年）。</w:t>
            </w:r>
          </w:p>
        </w:tc>
      </w:tr>
    </w:tbl>
    <w:p>
      <w:pPr>
        <w:spacing w:line="400" w:lineRule="exact"/>
        <w:ind w:firstLine="424" w:firstLineChars="202"/>
        <w:jc w:val="left"/>
        <w:rPr>
          <w:rFonts w:ascii="宋体" w:hAnsi="宋体"/>
          <w:color w:val="auto"/>
          <w:szCs w:val="21"/>
          <w:highlight w:val="none"/>
        </w:rPr>
      </w:pPr>
    </w:p>
    <w:p>
      <w:pPr>
        <w:rPr>
          <w:rFonts w:ascii="Arial" w:hAnsi="Arial" w:eastAsia="黑体"/>
          <w:color w:val="auto"/>
          <w:kern w:val="0"/>
          <w:highlight w:val="none"/>
        </w:rPr>
      </w:pPr>
    </w:p>
    <w:p>
      <w:pPr>
        <w:spacing w:line="400" w:lineRule="exact"/>
        <w:ind w:firstLine="426" w:firstLineChars="202"/>
        <w:jc w:val="left"/>
        <w:rPr>
          <w:b/>
          <w:color w:val="auto"/>
          <w:szCs w:val="21"/>
          <w:highlight w:val="none"/>
        </w:rPr>
      </w:pPr>
      <w:r>
        <w:rPr>
          <w:rFonts w:hint="eastAsia"/>
          <w:b/>
          <w:color w:val="auto"/>
          <w:szCs w:val="21"/>
          <w:highlight w:val="none"/>
        </w:rPr>
        <w:t>C分标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029"/>
        <w:gridCol w:w="104"/>
        <w:gridCol w:w="6340"/>
        <w:gridCol w:w="610"/>
        <w:gridCol w:w="170"/>
        <w:gridCol w:w="105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86"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34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61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1228"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ascii="宋体" w:hAnsi="宋体" w:cs="宋体"/>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座便椅（成人、铝合金高度可调节）</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1.产品符合GB/T 24434-2009座便椅(凳)要求。                                                                                                        2.便盆平置时，最小容积≥2500ml；水平倾斜20°时，最小容积≥1000ml；                                                                                                                            3.便盆采用PE或者PP材料，表面设计应光滑平整易于清洗，装卸应灵活方便。                                                    4.产品尺寸：520×570×700-800mm；                                                                                                                                                       5.座位深度：430mm；手柄长度：370mm；                                                                                                                                                  6.最大静载荷≧100kg；                                                                                                 7.支架：由铝管组合成型，表面氧化处理；                                                                                                                                                                             8.椅腿：高度可调节，配橡胶防滑脚垫。</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座便椅（成人、钢质折叠高度可调节）</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1.产品符合Q/DF6-2004《卫生用具》企业设计生产执行标准；                                                                                                                                               2.便盆采用HD-PE工程塑料，表面设计应光滑平整易于清洗，装卸应灵活方便；                                                                                                                                       3.座宽450mm，厕板采用HD-PE工程塑料；                                                                                                              4.座高44-54cm之间可调节；                                                                               5.最大静载荷≧100kg；                                                                                                                                6.支架：由钢管焊接组合成型；                                                               7.椅脚：高度可调节，配橡胶防滑脚垫，可折叠。</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座便椅（成人、钢管带轮高度可调节）</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 xml:space="preserve">1.产品符合Q/DF6-2004《卫生用具》企业设计生产执行标准；                                                                                                                                                    2.便盆采用HD-PE工程塑料，表面设计应光滑平整易于清洗，装卸应灵活方便；                                                                                                                        3.座宽450mm，厕板采用HD-PE工程塑料；                                                                                                                                         4.座高44-54cm之间可调节；                                                                                 5.最大静载荷≧100kg；                                                                                                                                 6.支架：由钢管焊接组合成型；                                                                                    7.配脚轮，方便移动，且后轮有刹车功能，稳定性佳。                                        </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座便椅（儿童）</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1.产品符合Q/DF6-2009《卫生用具》企业设计生产执行标准；                                                                                                                              2.便盆采用HD-PE工程塑料，表面设计应光滑平整易于清洗，装卸应灵活方便；                                                                                                                             3.座宽350mm，厕板采用HD-PE工程塑料；                                                                                      4.座高在29-36．5cm之间可调节；                                                                                                                                              5.最大静载荷≧100kg；                                                                                            6.支架：由钢管焊接组合成型；                                                                                                        7.椅脚：高度可调节，配橡胶防滑脚垫。</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洗浴椅/凳（椅）</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 xml:space="preserve">1.符合Q/DF6-2004《卫生用具》企业设计生产执行标准；                                                                                                                                    2.主架：选用高强度铝合金材料，管直径≧25mm，厚度≧1.2mm；表面采用氧化处理；座板和背板均为高强度HD-PE板，易清洁，防菌，舒适耐用；                                                                                                                     3.脚管：采用高强度铝合金材料，管直径≧28mm，管厚度≧1.2mm；表面采用氧化处理；高度可调，带高度调节孔。后脚垫材质为耐磨、有弹性、表面摩擦系数较高的防滑橡胶材料；                                                                                                      4.扶手：采用可快速拆卸结构，配泡棉握把，手感舒适，防滑性能好；                                                                                                                               5.靠背：靠背可快速拆卸，靠背深度可调；                                                                                               6.总长51-54cm；                                                                        7.总宽53cm；                                                                     8.总高72--85cm；                                                                                                              9.扶手宽50cm；                                                                                   10.靠背高度≧35cm；                                                              11.座位宽度40cm；                                                                                          12.座位深度37-40cm；                                                                                                                         13.座位离地面高度41-54cm；                                                                 14.最大载荷≧100kg。                                                                        </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洗浴椅/凳（带靠背椅）</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highlight w:val="none"/>
              </w:rPr>
            </w:pPr>
            <w:r>
              <w:rPr>
                <w:rFonts w:hint="eastAsia"/>
                <w:color w:val="auto"/>
                <w:szCs w:val="21"/>
                <w:highlight w:val="none"/>
              </w:rPr>
              <w:t>1.椅架：铝管组合成型，便面氧化处理，可拆装，座板和背板均为吹塑座板，舒适耐用；                                                                                                                     2.椅脚：高度可调，配橡胶防滑脚垫；                                                                                                                      3.最大载荷≧100kg。</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洗浴椅/凳（四轮椅）</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1.主架/靠背：采用轻质铝合金为主要材料，靠背可拆；                                                                                                   2.座板/扶手：采用HD-PE工程塑料，扶手可旋后；                                                                                  3.脚踏：采用轻质铝合金为主要材料；                                                                                                      4.椅脚：4寸前轮万向带刹功能，后轮6寸；                                                            5.最大载荷≧100kg。</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洗浴椅/凳（凳）</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1.车架选用铝型材焊接而成;                                                                                                                                                   2.车架四脚配有伸缩管，随意调节适用高度，5档调节高度；                                                                                                                              3.四脚都套有特制喇叭型耐磨防滑胶脚。                                                                                                         4.PE中空吹塑成形高强度环保工程塑料开口座板和靠背板，表面具有防滑功能，且容易清洗。座板有漏水孔。                                                                                                    5.扶手、后背可拆出成洗浴凳。整体可拆卸，方便运输与储存；                                                                                                        6.承重≧100kg。</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多功能护理床（双摇翻身）</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1.床体采用冷轧钢材焊接，无毒无污染，抗老化，总负载≧260kg；                                                                                                                                                      2.床头、尾板采用PE高级工程塑料，装卸方便；                                                                                                                                               3.摇手柄转动灵活，并有两极空转限制装置；                                                                                                            4.四个高强度、高抗磨万向脚轮，对角制动。超静音医用脚轮，带刹车，噪音小，安全性能好；                                                                                           5.配铝合金护栏，不锈钢可调输液杆。选配床垫、餐板；                                                                                                                                          6.腿部上升40°，背部上升75°；                                                                                                                                                                          7.规格：1900mm×960mm×500mm；                                                                                                               8.承重量≧175kg。</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多功能护理床（ABS双摇）</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 xml:space="preserve">1.产品尺寸：长213cm、宽96cm、高48cm、床面高45cm、背部提升角度0-80°、腿部提升角度0-40°、净重63kg，最大承重：300kg；                                                                                                        2.主架/材质：床框纵梁采用专用方管60×30×1.5(mm) ，床框横梁专用方管60×60×1.5(mm)，床脚采用50×50×1.5（mm）方管焊接，床体涂覆为二度磷化静电粉体涂装，防锈全处理烤漆。背板双支撑卸力结构，均匀分散压力，可卸压力三分之二于床梁，最大限度减少螺杆受力，有效延长螺杆及病床使用寿命。四角配备PVC防撞包角。                                                                                  3.床头/尾板：采用进口 ABS注塑成型，弧线形欧式款设计，中间带颜色装饰胶板，有暗藏自动锁定装置，稳定可靠，对称式快速直插式结构，可快速拆卸，满足临床急救需求；尾板外侧有病人信息卡插槽；                                                                                                            4.摇杆：隐藏式摇手设计，操作轻松自如，可灵活调节患者背部、腿部体位；摇杆带限位保护装置，且有双向无极限到位保护功能，操作轻松自如，可灵活调节患者背部、腿部体位；配大方得体的塑料摇手，防尘结构，隐藏式设计，操作轻松自如，安全可靠，使用轻松无噪音；                                                                          5.护栏：铝合金下座、手柄，六支合金支柱，采用一键易起式开关，操作简便；美观大方、坚固耐用，不使用时可轻松旋下，具有防夹手功能；                                                                                      6.脚轮：5寸脚轮，插杆式固定方式，插杆直径≥28mm；脚轮骨架采用航空铝材压铸成型，内置全封闭自润滑轴承，不需加油护理，防异物卷入；轮面采用TPR高分子耐磨材料，耐磨，无噪音；  </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2400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床护栏杆</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1、材质：铝合金横杆、不锈钢立柱、加厚铁制方管底杆；                                                         2、规格：展开长146×38cm、折叠长180×13cm，高35cm，六档折叠式；                                                           3、产品特点：安装简单，通用性强，90度一键折叠，上下床方便安全，折叠锁死键内置高强度弹簧，圆滑处理不伤手，不夹手。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床护扶手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规格:长62.5cm 宽33.5cm,手握高度53cm,最大承重160KG，配2条固定绳长428cm，扶手是铝合金材质，底板abs塑胶材质</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轮椅桌</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1.主架：采用铁材质为主要材料，表面喷涂处理，配4个耐用万向脚轮，后轮制动，高度可无极调节下压时自锁；                                                                             2.餐板：采用木质为主要材料，表面贴防火材料，桌面高度可调节；                                                           3.规格：总长760cm、总宽40cm、总高77-127cm（允许误差±5%），桌面宽38cm、桌面长77cm，最大载荷20kg；</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张</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站立架（儿童）</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 xml:space="preserve">1.产品尺寸：长115cm、宽60cm、高83cm；前倾角度：0-40°、胸垫宽度22-32cm、臀垫宽度22-32cm、腿垫宽度22-32cm、餐板尺寸60*38cm、净重23kg；                                                                                                        2.主架：选用国家标准型A3方形钢焊接而成。                                                             3.胸垫/臀垫/腿垫：所有垫块均为模具发泡成形PU垫；                                                                      4.脚轮：配有直径80 mm （3英寸）带刹实心轮；                                                                                    5.脚踏板：优质木材表面清漆、高密度夹板。                                                                          6.性能：可根据患者的体型，将腿、臀以及胸部的垫块调整至合适的高度，还可根据患者腿部萎缩的不同角度进行定位调整。产品适合7岁以下、下肢瘫痪儿童，进行直立和前倾站立训练，防止肌肉萎缩，增强肌力；    </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台</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站立架（成人）</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1、主架加厚钢管，带胸托；配有脚踏板，脚踏板6档角度调节进行腿部训练；长宽高：870mm*710mm*1020mm-1250mm,桌面高度可调，</w:t>
            </w:r>
          </w:p>
          <w:p>
            <w:pPr>
              <w:widowControl/>
              <w:spacing w:line="320" w:lineRule="exact"/>
              <w:jc w:val="left"/>
              <w:textAlignment w:val="center"/>
              <w:rPr>
                <w:color w:val="auto"/>
                <w:szCs w:val="21"/>
                <w:highlight w:val="none"/>
              </w:rPr>
            </w:pPr>
            <w:r>
              <w:rPr>
                <w:rFonts w:hint="eastAsia"/>
                <w:color w:val="auto"/>
                <w:szCs w:val="21"/>
                <w:highlight w:val="none"/>
              </w:rPr>
              <w:t>2、伸缩式全不锈钢加皮革面托板，作用防胸部前倾，背部有背托：杆式弧形固定托板，腿部双膝凹糟固定托板，臀下位置及大腿位置有约束带，小腿及脚踝部位有约束带，配可升降桌面，根据身高可调，</w:t>
            </w:r>
          </w:p>
          <w:p>
            <w:pPr>
              <w:widowControl/>
              <w:spacing w:line="320" w:lineRule="exact"/>
              <w:jc w:val="left"/>
              <w:textAlignment w:val="center"/>
              <w:rPr>
                <w:color w:val="auto"/>
                <w:szCs w:val="21"/>
                <w:highlight w:val="none"/>
              </w:rPr>
            </w:pPr>
            <w:r>
              <w:rPr>
                <w:rFonts w:hint="eastAsia"/>
                <w:color w:val="auto"/>
                <w:szCs w:val="21"/>
                <w:highlight w:val="none"/>
              </w:rPr>
              <w:t>3、适用于因截瘫、脑瘫等站立功能障碍者进行强制站立、直立训练。</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台</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马桶增高器(扶手不带盖）</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1、规格：座长41cm×座宽50cm×座高11cm，便孔直径24.5cm；                                                           2、材质：环保无毒PP材料；                                                                  3、产品特点：使用方便，安装简单，易清洁。</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个</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马桶增高器(扶手带盖）</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1、规格：座长47×座宽54×座高16cm，扶手间距56cm，便孔直径23cm；                                                           2、材质：环保无毒PP材料；</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个</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1.规格：长38（厘米）</w:t>
            </w:r>
          </w:p>
          <w:p>
            <w:pPr>
              <w:widowControl/>
              <w:spacing w:line="320" w:lineRule="exact"/>
              <w:jc w:val="left"/>
              <w:textAlignment w:val="center"/>
              <w:rPr>
                <w:color w:val="auto"/>
                <w:szCs w:val="21"/>
                <w:highlight w:val="none"/>
              </w:rPr>
            </w:pPr>
            <w:r>
              <w:rPr>
                <w:rFonts w:hint="eastAsia"/>
                <w:color w:val="auto"/>
                <w:szCs w:val="21"/>
                <w:highlight w:val="none"/>
              </w:rPr>
              <w:t>2.材质：直径35mm管径。外包材质：尼龙材质。内管材质：不锈钢管径28mm，管壁≧1.2mm厚。</w:t>
            </w:r>
          </w:p>
          <w:p>
            <w:pPr>
              <w:widowControl/>
              <w:spacing w:line="320" w:lineRule="exact"/>
              <w:jc w:val="left"/>
              <w:textAlignment w:val="center"/>
              <w:rPr>
                <w:color w:val="auto"/>
                <w:szCs w:val="21"/>
                <w:highlight w:val="none"/>
              </w:rPr>
            </w:pPr>
            <w:r>
              <w:rPr>
                <w:rFonts w:hint="eastAsia"/>
                <w:color w:val="auto"/>
                <w:szCs w:val="21"/>
                <w:highlight w:val="none"/>
              </w:rPr>
              <w:t>3.其他：防滑颗粒把手：3.5mm颗粒0.6mm高。承重≥200kg（实体墙安装）。安装方式：4颗8mm膨胀螺丝×2。防滑扶手上有两个夜光圈（无毒荧光材料）。加厚底板：一体成型304不锈钢。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4.特点：抗菌尼龙，防滑设计，防静电，常温把手。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1.规格：长58（厘米）</w:t>
            </w:r>
          </w:p>
          <w:p>
            <w:pPr>
              <w:widowControl/>
              <w:spacing w:line="320" w:lineRule="exact"/>
              <w:jc w:val="left"/>
              <w:textAlignment w:val="center"/>
              <w:rPr>
                <w:color w:val="auto"/>
                <w:szCs w:val="21"/>
                <w:highlight w:val="none"/>
              </w:rPr>
            </w:pPr>
            <w:r>
              <w:rPr>
                <w:rFonts w:hint="eastAsia"/>
                <w:color w:val="auto"/>
                <w:szCs w:val="21"/>
                <w:highlight w:val="none"/>
              </w:rPr>
              <w:t>2.材质：直径35mm管径。外包材质：尼龙材质。内管材质：不锈钢管径28mm，管壁≧1.2mm厚。</w:t>
            </w:r>
          </w:p>
          <w:p>
            <w:pPr>
              <w:widowControl/>
              <w:spacing w:line="320" w:lineRule="exact"/>
              <w:jc w:val="left"/>
              <w:textAlignment w:val="center"/>
              <w:rPr>
                <w:color w:val="auto"/>
                <w:szCs w:val="21"/>
                <w:highlight w:val="none"/>
              </w:rPr>
            </w:pPr>
            <w:r>
              <w:rPr>
                <w:rFonts w:hint="eastAsia"/>
                <w:color w:val="auto"/>
                <w:szCs w:val="21"/>
                <w:highlight w:val="none"/>
              </w:rPr>
              <w:t>3.其他：防滑颗粒把手：3.5mm颗粒0.6mm高。承重≥200kg（实体墙安装）。安装方式：4颗8mm膨胀螺丝×2。防滑扶手上有两个夜光圈（无毒荧光材料）。加厚底板：一体成型304不锈钢。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4.特点：抗菌尼龙，防滑设计，防静电，常温把手。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1.规格：长78（厘米）</w:t>
            </w:r>
          </w:p>
          <w:p>
            <w:pPr>
              <w:widowControl/>
              <w:spacing w:line="320" w:lineRule="exact"/>
              <w:jc w:val="left"/>
              <w:textAlignment w:val="center"/>
              <w:rPr>
                <w:color w:val="auto"/>
                <w:szCs w:val="21"/>
                <w:highlight w:val="none"/>
              </w:rPr>
            </w:pPr>
            <w:r>
              <w:rPr>
                <w:rFonts w:hint="eastAsia"/>
                <w:color w:val="auto"/>
                <w:szCs w:val="21"/>
                <w:highlight w:val="none"/>
              </w:rPr>
              <w:t>2.材质：直径35mm管径。外包材质：尼龙材质。内管材质：不锈钢管径28mm，管壁≧1.2mm厚。</w:t>
            </w:r>
          </w:p>
          <w:p>
            <w:pPr>
              <w:widowControl/>
              <w:spacing w:line="320" w:lineRule="exact"/>
              <w:jc w:val="left"/>
              <w:textAlignment w:val="center"/>
              <w:rPr>
                <w:color w:val="auto"/>
                <w:szCs w:val="21"/>
                <w:highlight w:val="none"/>
              </w:rPr>
            </w:pPr>
            <w:r>
              <w:rPr>
                <w:rFonts w:hint="eastAsia"/>
                <w:color w:val="auto"/>
                <w:szCs w:val="21"/>
                <w:highlight w:val="none"/>
              </w:rPr>
              <w:t>3.其他：防滑颗粒把手：3.5mm颗粒0.6mm高。承重≥200kg（实体墙安装）。安装方式：4颗8mm膨胀螺丝×2。防滑扶手上有两个夜光圈（无毒荧光材料）。加厚底板：一体成型304不锈钢。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4.特点：抗菌尼龙，防滑设计，防静电，常温把手。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扶手（一字型不锈钢）</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1.规格：长78厘米，直径32mm,离墙68mm，孔距45mm。</w:t>
            </w:r>
          </w:p>
          <w:p>
            <w:pPr>
              <w:widowControl/>
              <w:spacing w:line="320" w:lineRule="exact"/>
              <w:jc w:val="left"/>
              <w:textAlignment w:val="center"/>
              <w:rPr>
                <w:color w:val="auto"/>
                <w:szCs w:val="21"/>
                <w:highlight w:val="none"/>
              </w:rPr>
            </w:pPr>
            <w:r>
              <w:rPr>
                <w:rFonts w:hint="eastAsia"/>
                <w:color w:val="auto"/>
                <w:szCs w:val="21"/>
                <w:highlight w:val="none"/>
              </w:rPr>
              <w:t>2.材质：整体SUS304不锈钢，管壁厚≧1.2mm,整体表面全部抛光。</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扶手（一字型不锈钢）</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1.规格：长58厘米，直径32mm,离墙68mm，孔距45mm。</w:t>
            </w:r>
          </w:p>
          <w:p>
            <w:pPr>
              <w:widowControl/>
              <w:spacing w:line="320" w:lineRule="exact"/>
              <w:jc w:val="left"/>
              <w:textAlignment w:val="center"/>
              <w:rPr>
                <w:color w:val="auto"/>
                <w:szCs w:val="21"/>
                <w:highlight w:val="none"/>
              </w:rPr>
            </w:pPr>
            <w:r>
              <w:rPr>
                <w:rFonts w:hint="eastAsia"/>
                <w:color w:val="auto"/>
                <w:szCs w:val="21"/>
                <w:highlight w:val="none"/>
              </w:rPr>
              <w:t>2.材质：整体SUS304不锈钢，管壁厚≧1.2mm,整体表面全部抛光。</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扶手（一字型不锈钢）</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1.规格：长38厘米，直径32mm,离墙68mm，孔距45mm。</w:t>
            </w:r>
          </w:p>
          <w:p>
            <w:pPr>
              <w:widowControl/>
              <w:spacing w:line="320" w:lineRule="exact"/>
              <w:jc w:val="left"/>
              <w:textAlignment w:val="center"/>
              <w:rPr>
                <w:color w:val="auto"/>
                <w:szCs w:val="21"/>
                <w:highlight w:val="none"/>
              </w:rPr>
            </w:pPr>
            <w:r>
              <w:rPr>
                <w:rFonts w:hint="eastAsia"/>
                <w:color w:val="auto"/>
                <w:szCs w:val="21"/>
                <w:highlight w:val="none"/>
              </w:rPr>
              <w:t>2.材质：整体SUS304不锈钢，管壁厚≧1.2mm,整体表面全部抛光。</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40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L型扶手（90度)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1.规格：站姿拉握用竖杆700mm，坐姿起身用横杆500mm。</w:t>
            </w:r>
          </w:p>
          <w:p>
            <w:pPr>
              <w:widowControl/>
              <w:spacing w:line="320" w:lineRule="exact"/>
              <w:jc w:val="left"/>
              <w:textAlignment w:val="center"/>
              <w:rPr>
                <w:color w:val="auto"/>
                <w:szCs w:val="21"/>
                <w:highlight w:val="none"/>
              </w:rPr>
            </w:pPr>
            <w:r>
              <w:rPr>
                <w:rFonts w:hint="eastAsia"/>
                <w:color w:val="auto"/>
                <w:szCs w:val="21"/>
                <w:highlight w:val="none"/>
              </w:rPr>
              <w:t>2.材质：内管材质：不锈钢。外管材质：尼龙。整体管径35mm，内管径28mm，≧1.3mm厚内置不锈钢管，底座2mm厚度SUS304材质，紧固螺丝M10*20规格SUS304材质，安装螺丝直径8×55mm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3.其他：承重：≧200kg。竖杆、横杆两端有两个夜光圈（无毒荧光材料）。把手防滑颗粒：3.5mm颗粒0.6mm高。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L型扶手（90度)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1.规格：站姿拉握用竖杆600mm，坐姿起身用横杆400mm。</w:t>
            </w:r>
          </w:p>
          <w:p>
            <w:pPr>
              <w:widowControl/>
              <w:spacing w:line="320" w:lineRule="exact"/>
              <w:jc w:val="left"/>
              <w:textAlignment w:val="center"/>
              <w:rPr>
                <w:color w:val="auto"/>
                <w:szCs w:val="21"/>
                <w:highlight w:val="none"/>
              </w:rPr>
            </w:pPr>
            <w:r>
              <w:rPr>
                <w:rFonts w:hint="eastAsia"/>
                <w:color w:val="auto"/>
                <w:szCs w:val="21"/>
                <w:highlight w:val="none"/>
              </w:rPr>
              <w:t>2.材质：内管材质：不锈钢。外管材质：尼龙。整体管径35mm，内管径28mm，≧1.3mm厚内置不锈钢管，底座2mm厚度SUS304材质，紧固螺丝M10*20规格SUS304材质，安装螺丝直径8×55mm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3.其他：承重：≧200kg。竖杆、横杆两端有两个夜光圈（无毒荧光材料）。把手防滑颗粒：3.5mm颗粒0.6mm高。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140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L型扶手（90度)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1.规格：站姿拉握用竖杆700mm，坐姿起身用横杆700mm。</w:t>
            </w:r>
          </w:p>
          <w:p>
            <w:pPr>
              <w:widowControl/>
              <w:spacing w:line="320" w:lineRule="exact"/>
              <w:jc w:val="left"/>
              <w:textAlignment w:val="center"/>
              <w:rPr>
                <w:color w:val="auto"/>
                <w:szCs w:val="21"/>
                <w:highlight w:val="none"/>
              </w:rPr>
            </w:pPr>
            <w:r>
              <w:rPr>
                <w:rFonts w:hint="eastAsia"/>
                <w:color w:val="auto"/>
                <w:szCs w:val="21"/>
                <w:highlight w:val="none"/>
              </w:rPr>
              <w:t>2.材质：内管材质：不锈钢。外管材质：尼龙。整体管径35mm，内管径28mm，≧1.3mm厚内置不锈钢管，底座2mm厚度SUS304材质，紧固螺丝M10*20规格SUS304材质，安装螺丝直径8×55mm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3.其他：承重：≧200kg。竖杆、横杆两端有两个夜光圈（无毒荧光材料）。把手防滑颗粒：3.5mm颗粒0.6mm高。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L型扶手（135度)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1.规格：横杆400mm,竖杆600mm。</w:t>
            </w:r>
          </w:p>
          <w:p>
            <w:pPr>
              <w:widowControl/>
              <w:spacing w:line="320" w:lineRule="exact"/>
              <w:jc w:val="left"/>
              <w:textAlignment w:val="center"/>
              <w:rPr>
                <w:color w:val="auto"/>
                <w:szCs w:val="21"/>
                <w:highlight w:val="none"/>
              </w:rPr>
            </w:pPr>
            <w:r>
              <w:rPr>
                <w:rFonts w:hint="eastAsia"/>
                <w:color w:val="auto"/>
                <w:szCs w:val="21"/>
                <w:highlight w:val="none"/>
              </w:rPr>
              <w:t>2.材质：内管材质：SUS304不锈钢。外管材质：高强ABS+尼龙。整体管径35mm，内管径28mm，1.3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3.其他：把手防滑颗粒：3.5mm颗粒0.6mm高。竖杆、横杆两端有两个夜光圈（无毒荧光材料）。承重：≤300kg。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L型扶手（135度)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1.规格：横杆500mm,竖杆700mm。</w:t>
            </w:r>
          </w:p>
          <w:p>
            <w:pPr>
              <w:widowControl/>
              <w:spacing w:line="320" w:lineRule="exact"/>
              <w:jc w:val="left"/>
              <w:textAlignment w:val="center"/>
              <w:rPr>
                <w:color w:val="auto"/>
                <w:szCs w:val="21"/>
                <w:highlight w:val="none"/>
              </w:rPr>
            </w:pPr>
            <w:r>
              <w:rPr>
                <w:rFonts w:hint="eastAsia"/>
                <w:color w:val="auto"/>
                <w:szCs w:val="21"/>
                <w:highlight w:val="none"/>
              </w:rPr>
              <w:t>2.材质：内管材质：SUS304不锈钢。外管材质：高强ABS+尼龙。整体管径35mm，内管径28mm，1.3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3.其他：把手防滑颗粒：3.5mm颗粒0.6mm高。竖杆、横杆两端有两个夜光圈（无毒荧光材料）。承重：≤300kg。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L型扶手（135度)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1.规格：横杆450mm,竖杆450mm。</w:t>
            </w:r>
          </w:p>
          <w:p>
            <w:pPr>
              <w:widowControl/>
              <w:spacing w:line="320" w:lineRule="exact"/>
              <w:jc w:val="left"/>
              <w:textAlignment w:val="center"/>
              <w:rPr>
                <w:color w:val="auto"/>
                <w:szCs w:val="21"/>
                <w:highlight w:val="none"/>
              </w:rPr>
            </w:pPr>
            <w:r>
              <w:rPr>
                <w:rFonts w:hint="eastAsia"/>
                <w:color w:val="auto"/>
                <w:szCs w:val="21"/>
                <w:highlight w:val="none"/>
              </w:rPr>
              <w:t>2.材质：内管材质：SUS304不锈钢。外管材质：高强ABS+尼龙。整体管径35mm，内管径28mm，1.3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3.其他：把手防滑颗粒：3.5mm颗粒0.6mm高。竖杆、横杆两端有两个夜光圈（无毒荧光材料）。承重：≤300kg。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L型扶手（135度)</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1.规格：横杆500mm，竖杆700mm。</w:t>
            </w:r>
          </w:p>
          <w:p>
            <w:pPr>
              <w:widowControl/>
              <w:spacing w:line="320" w:lineRule="exact"/>
              <w:jc w:val="left"/>
              <w:textAlignment w:val="center"/>
              <w:rPr>
                <w:color w:val="auto"/>
                <w:szCs w:val="21"/>
                <w:highlight w:val="none"/>
              </w:rPr>
            </w:pPr>
            <w:r>
              <w:rPr>
                <w:rFonts w:hint="eastAsia"/>
                <w:color w:val="auto"/>
                <w:szCs w:val="21"/>
                <w:highlight w:val="none"/>
              </w:rPr>
              <w:t>2.材质：内管材质：SUS304不锈钢。外管材质：高强ABS+尼龙。整体管径35mm，内管径28mm，1.3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3.其他：把手防滑颗粒：3.5mm颗粒0.6mm高。竖杆、横杆两端有两个夜光圈（无毒荧光材料）。承重：≤300kg。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根</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U型固定扶手（有固定支脚）</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1.材质：SUS304不锈钢+ABS工字杆</w:t>
            </w:r>
          </w:p>
          <w:p>
            <w:pPr>
              <w:widowControl/>
              <w:spacing w:line="320" w:lineRule="exact"/>
              <w:jc w:val="left"/>
              <w:textAlignment w:val="center"/>
              <w:rPr>
                <w:color w:val="auto"/>
                <w:szCs w:val="21"/>
                <w:highlight w:val="none"/>
              </w:rPr>
            </w:pPr>
            <w:r>
              <w:rPr>
                <w:rFonts w:hint="eastAsia"/>
                <w:color w:val="auto"/>
                <w:szCs w:val="21"/>
                <w:highlight w:val="none"/>
              </w:rPr>
              <w:t>2.规格：主体长度60/75cm可选，支脚长度为58cm。外管直径35mm，内管直径28mm/壁厚1.2毫米±0.2mm，底座厚度3mm/6mm，底座长度为20cm,宽度为8cm。安装螺丝常规规格/304内六角规格：直径5*长60/直径8*长60mm。标准抗压120kg，左右抗压30kg。前端有两个夜光圈（无毒荧光材料）。</w:t>
            </w:r>
          </w:p>
          <w:p>
            <w:pPr>
              <w:widowControl/>
              <w:spacing w:line="320" w:lineRule="exact"/>
              <w:jc w:val="left"/>
              <w:textAlignment w:val="center"/>
              <w:rPr>
                <w:color w:val="auto"/>
                <w:szCs w:val="21"/>
                <w:highlight w:val="none"/>
              </w:rPr>
            </w:pPr>
            <w:r>
              <w:rPr>
                <w:rFonts w:hint="eastAsia"/>
                <w:color w:val="auto"/>
                <w:szCs w:val="21"/>
                <w:highlight w:val="none"/>
              </w:rPr>
              <w:t>3.其他：承重：≤300kg。横杆两端有两个夜光圈（无毒荧光材料）。把手防滑颗粒：3.5mm颗粒0.6mm高。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110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U型固定扶手（有支撑脚上翻折叠）</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1.材质：底座SUS304不锈钢工字杆</w:t>
            </w:r>
          </w:p>
          <w:p>
            <w:pPr>
              <w:widowControl/>
              <w:spacing w:line="320" w:lineRule="exact"/>
              <w:jc w:val="left"/>
              <w:textAlignment w:val="center"/>
              <w:rPr>
                <w:color w:val="auto"/>
                <w:szCs w:val="21"/>
                <w:highlight w:val="none"/>
              </w:rPr>
            </w:pPr>
            <w:r>
              <w:rPr>
                <w:rFonts w:hint="eastAsia"/>
                <w:color w:val="auto"/>
                <w:szCs w:val="21"/>
                <w:highlight w:val="none"/>
              </w:rPr>
              <w:t>2.规格：主体长度60/75cm可选,支脚长度为58cm。外管直径35mm，内管直径28mm/壁厚1.2毫米±0.2mm，底座厚度3mm/6mm，底座长度为20cm,宽度为8cm。安装螺丝常规规格/304内六角规格：直径5*长60/直径8*长60mm。标准抗压120kg，左右抗压30kg。前端有两个夜光圈（无毒荧光材料）。</w:t>
            </w:r>
          </w:p>
          <w:p>
            <w:pPr>
              <w:widowControl/>
              <w:spacing w:line="320" w:lineRule="exact"/>
              <w:jc w:val="left"/>
              <w:textAlignment w:val="center"/>
              <w:rPr>
                <w:color w:val="auto"/>
                <w:szCs w:val="21"/>
                <w:highlight w:val="none"/>
              </w:rPr>
            </w:pPr>
            <w:r>
              <w:rPr>
                <w:rFonts w:hint="eastAsia"/>
                <w:color w:val="auto"/>
                <w:szCs w:val="21"/>
                <w:highlight w:val="none"/>
              </w:rPr>
              <w:t>3.其他：承重：≤300kg。横杆两端有两个夜光圈（无毒荧光材料）。把手防滑颗粒：3.5mm颗粒0.6mm高。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U型固定扶手（固定U型）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1.材质：底座SUS304不锈钢工字杆</w:t>
            </w:r>
          </w:p>
          <w:p>
            <w:pPr>
              <w:widowControl/>
              <w:spacing w:line="320" w:lineRule="exact"/>
              <w:jc w:val="left"/>
              <w:textAlignment w:val="center"/>
              <w:rPr>
                <w:color w:val="auto"/>
                <w:szCs w:val="21"/>
                <w:highlight w:val="none"/>
              </w:rPr>
            </w:pPr>
            <w:r>
              <w:rPr>
                <w:rFonts w:hint="eastAsia"/>
                <w:color w:val="auto"/>
                <w:szCs w:val="21"/>
                <w:highlight w:val="none"/>
              </w:rPr>
              <w:t>2.规格：主体长度60/75cm可选。外管直径35mm，内管直径28mm/壁厚1.2毫米±0.2mm，底座厚度3mm/6mm，底座长度为20cm,宽度为8cm。安装螺丝常规规格/304内六角规格：直径5*长60/直径8*长60mm。标准抗压120kg，左右抗压30kg。前端有两个夜光圈（无毒荧光材料）。</w:t>
            </w:r>
          </w:p>
          <w:p>
            <w:pPr>
              <w:widowControl/>
              <w:spacing w:line="320" w:lineRule="exact"/>
              <w:jc w:val="left"/>
              <w:textAlignment w:val="center"/>
              <w:rPr>
                <w:color w:val="auto"/>
                <w:szCs w:val="21"/>
                <w:highlight w:val="none"/>
              </w:rPr>
            </w:pPr>
            <w:r>
              <w:rPr>
                <w:rFonts w:hint="eastAsia"/>
                <w:color w:val="auto"/>
                <w:szCs w:val="21"/>
                <w:highlight w:val="none"/>
              </w:rPr>
              <w:t>3.其他：承重：≧200kg。横杆两端有两个夜光圈（无毒荧光材料）。把手防滑颗粒：3.5mm颗粒0.6mm高。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 xml:space="preserve">件 </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U型固定扶手（上翻折叠）</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1.材质：底座SUS304不锈钢工字杆</w:t>
            </w:r>
          </w:p>
          <w:p>
            <w:pPr>
              <w:widowControl/>
              <w:spacing w:line="320" w:lineRule="exact"/>
              <w:jc w:val="left"/>
              <w:textAlignment w:val="center"/>
              <w:rPr>
                <w:color w:val="auto"/>
                <w:szCs w:val="21"/>
                <w:highlight w:val="none"/>
              </w:rPr>
            </w:pPr>
            <w:r>
              <w:rPr>
                <w:rFonts w:hint="eastAsia"/>
                <w:color w:val="auto"/>
                <w:szCs w:val="21"/>
                <w:highlight w:val="none"/>
              </w:rPr>
              <w:t>2.规格：主体长度60/75cm可选。外管直径35mm，内管直径28mm/壁厚1.2毫米±0.2mm，底座厚度3mm/6mm，底座长度为20cm,宽度为8cm。安装螺丝常规规格/304内六角规格：直径5*长60/直径8*长60mm。标准抗压120kg，左右抗压30kg。前端有两个夜光圈（无毒荧光材料）。</w:t>
            </w:r>
          </w:p>
          <w:p>
            <w:pPr>
              <w:widowControl/>
              <w:spacing w:line="320" w:lineRule="exact"/>
              <w:jc w:val="left"/>
              <w:textAlignment w:val="center"/>
              <w:rPr>
                <w:color w:val="auto"/>
                <w:szCs w:val="21"/>
                <w:highlight w:val="none"/>
              </w:rPr>
            </w:pPr>
            <w:r>
              <w:rPr>
                <w:rFonts w:hint="eastAsia"/>
                <w:color w:val="auto"/>
                <w:szCs w:val="21"/>
                <w:highlight w:val="none"/>
              </w:rPr>
              <w:t>3.其他：承重：≧300kg。横杆两端有两个夜光圈（无毒荧光材料）。把手防滑颗粒：3.5mm颗粒0.6mm高。</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面盆连体扶手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内管材质：不锈钢。外管材质：尼龙。整体管径35mm，内管径28mm，1.3mm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2尺寸：长（60-70）cm,宽（60-70）cm，。</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3.其他：把手防滑颗粒：3.5mm颗粒0.6mm高。竖杆、横杆两端有两个夜光圈（无毒荧光材料）。承重：≤250kg。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面盆连体扶手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内管材质：不锈钢。外管材质：尼龙。整体管径35mm，内管径28mm，1.3mm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2.尺寸：长（60-70）cm,宽（45-50）cm，高（90-100）cm。</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3.其他：把手防滑颗粒：3.5mm颗粒0.6mm高。竖杆、横杆两端有两个夜光圈（无毒荧光材料）。承重：≤250kg。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面盆连体扶手</w:t>
            </w:r>
          </w:p>
        </w:tc>
        <w:tc>
          <w:tcPr>
            <w:tcW w:w="6340"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szCs w:val="21"/>
                <w:highlight w:val="none"/>
              </w:rPr>
            </w:pPr>
            <w:r>
              <w:rPr>
                <w:rFonts w:hint="eastAsia"/>
                <w:color w:val="auto"/>
                <w:szCs w:val="21"/>
                <w:highlight w:val="none"/>
              </w:rPr>
              <w:t>1.材质：内管材质：不锈钢。外管材质：尼龙。整体管径35mm，内管径28mm，1.3mm厚内置不锈钢管，底座2mm厚度SUS304材质，紧固螺丝M10*20规格SUS304材质，安装螺丝直径8*55规格SUS304材质。304不锈钢固定底片：不锈钢垫片螺丝套件，使用M10的不锈钢螺丝锁定。</w:t>
            </w:r>
          </w:p>
          <w:p>
            <w:pPr>
              <w:widowControl/>
              <w:spacing w:line="320" w:lineRule="exact"/>
              <w:jc w:val="left"/>
              <w:textAlignment w:val="center"/>
              <w:rPr>
                <w:color w:val="auto"/>
                <w:szCs w:val="21"/>
                <w:highlight w:val="none"/>
              </w:rPr>
            </w:pPr>
            <w:r>
              <w:rPr>
                <w:rFonts w:hint="eastAsia"/>
                <w:color w:val="auto"/>
                <w:szCs w:val="21"/>
                <w:highlight w:val="none"/>
              </w:rPr>
              <w:t>2.尺寸：长（60-70）cm,宽（60-65）cm，高（70-75）cm。</w:t>
            </w:r>
          </w:p>
          <w:p>
            <w:pPr>
              <w:widowControl/>
              <w:spacing w:line="320" w:lineRule="exact"/>
              <w:jc w:val="left"/>
              <w:textAlignment w:val="center"/>
              <w:rPr>
                <w:color w:val="auto"/>
                <w:szCs w:val="21"/>
                <w:highlight w:val="none"/>
              </w:rPr>
            </w:pPr>
            <w:r>
              <w:rPr>
                <w:rFonts w:hint="eastAsia"/>
                <w:color w:val="auto"/>
                <w:szCs w:val="21"/>
                <w:highlight w:val="none"/>
              </w:rPr>
              <w:t>3.其他：把手防滑颗粒：3.5mm颗粒0.6mm高。竖杆、横杆两端有两个夜光圈（无毒荧光材料）。承重：≤250kg。</w:t>
            </w:r>
          </w:p>
          <w:p>
            <w:pPr>
              <w:widowControl/>
              <w:spacing w:line="320" w:lineRule="exact"/>
              <w:jc w:val="left"/>
              <w:textAlignment w:val="center"/>
              <w:rPr>
                <w:color w:val="auto"/>
                <w:szCs w:val="21"/>
                <w:highlight w:val="none"/>
              </w:rPr>
            </w:pPr>
            <w:r>
              <w:rPr>
                <w:rFonts w:hint="eastAsia"/>
                <w:color w:val="auto"/>
                <w:szCs w:val="21"/>
                <w:highlight w:val="none"/>
              </w:rPr>
              <w:t>4.特点：高负荷承重，抗菌尼龙，防滑设计，防静电，平衡防跌，常温把手。</w:t>
            </w:r>
          </w:p>
        </w:tc>
        <w:tc>
          <w:tcPr>
            <w:tcW w:w="780"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件</w:t>
            </w:r>
          </w:p>
        </w:tc>
        <w:tc>
          <w:tcPr>
            <w:tcW w:w="1058"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86"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8178" w:type="dxa"/>
            <w:gridSpan w:val="4"/>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8178" w:type="dxa"/>
            <w:gridSpan w:val="4"/>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3"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8178"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8178"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8178"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成品辅具、使用指导、运输配送、备品备件、跟踪回访、质保服务、使用指导、培训、技术支持、验收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2" w:hRule="atLeast"/>
        </w:trPr>
        <w:tc>
          <w:tcPr>
            <w:tcW w:w="9986"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04"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8282" w:type="dxa"/>
            <w:gridSpan w:val="5"/>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86"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8178" w:type="dxa"/>
            <w:gridSpan w:val="4"/>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2、投标产品中涉及国家专项审批的，投标人在投标文件中需提供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8178" w:type="dxa"/>
            <w:gridSpan w:val="4"/>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8178" w:type="dxa"/>
            <w:gridSpan w:val="4"/>
            <w:tcBorders>
              <w:top w:val="single" w:color="auto" w:sz="4" w:space="0"/>
              <w:left w:val="single" w:color="auto" w:sz="4" w:space="0"/>
              <w:bottom w:val="single" w:color="auto" w:sz="4" w:space="0"/>
              <w:right w:val="single" w:color="auto" w:sz="4" w:space="0"/>
            </w:tcBorders>
            <w:noWrap/>
            <w:vAlign w:val="center"/>
          </w:tcPr>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第一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8"/>
              <w:jc w:val="both"/>
              <w:rPr>
                <w:rFonts w:ascii="宋体" w:hAnsi="宋体" w:cs="宋体"/>
                <w:color w:val="auto"/>
                <w:szCs w:val="21"/>
                <w:highlight w:val="none"/>
              </w:rPr>
            </w:pPr>
            <w:r>
              <w:rPr>
                <w:rFonts w:hint="eastAsia" w:ascii="宋体" w:hAnsi="宋体" w:eastAsia="宋体" w:cs="宋体"/>
                <w:color w:val="auto"/>
                <w:sz w:val="21"/>
                <w:szCs w:val="21"/>
                <w:highlight w:val="none"/>
              </w:rPr>
              <w:t>▲2、第1项、第5项、第18项投标产品需提供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省级及以上相关专业质量监督检验部门出具的检测报告</w:t>
            </w:r>
            <w:r>
              <w:rPr>
                <w:rFonts w:hint="eastAsia" w:ascii="宋体" w:hAnsi="宋体" w:eastAsia="宋体" w:cs="宋体"/>
                <w:color w:val="auto"/>
                <w:sz w:val="21"/>
                <w:szCs w:val="21"/>
                <w:highlight w:val="none"/>
              </w:rPr>
              <w:t>，检测报告的检测时间为三年（2019年、2020年、2021年）。</w:t>
            </w:r>
          </w:p>
        </w:tc>
      </w:tr>
    </w:tbl>
    <w:p>
      <w:pPr>
        <w:spacing w:line="400" w:lineRule="exact"/>
        <w:ind w:firstLine="426" w:firstLineChars="202"/>
        <w:jc w:val="left"/>
        <w:rPr>
          <w:b/>
          <w:color w:val="auto"/>
          <w:szCs w:val="21"/>
          <w:highlight w:val="none"/>
        </w:rPr>
      </w:pPr>
    </w:p>
    <w:p>
      <w:pPr>
        <w:spacing w:line="400" w:lineRule="exact"/>
        <w:ind w:firstLine="426" w:firstLineChars="202"/>
        <w:jc w:val="left"/>
        <w:rPr>
          <w:b/>
          <w:color w:val="auto"/>
          <w:szCs w:val="21"/>
          <w:highlight w:val="none"/>
        </w:rPr>
      </w:pPr>
      <w:r>
        <w:rPr>
          <w:rFonts w:hint="eastAsia"/>
          <w:b/>
          <w:color w:val="auto"/>
          <w:szCs w:val="21"/>
          <w:highlight w:val="none"/>
        </w:rPr>
        <w:t>D分标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029"/>
        <w:gridCol w:w="104"/>
        <w:gridCol w:w="6664"/>
        <w:gridCol w:w="708"/>
        <w:gridCol w:w="81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9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664"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708"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81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防压疮床垫（充气护理）</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1.18支单管，每支单管都有单管固定座，可提供较佳的支撑力；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2.钉扣式床罩，70丹尼的防水上盖，可完全拆卸与清洗；</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3.前三管具有头枕功能；</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4.通过生物兼容性测试：细胞毒性、刺激性、皮肤过敏；</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5.坚固轻便的主机有利携带。</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防压疮床垫（充气ＰＶＣ）</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1.床垫主体为充气床垫，床垫由主机气泵、床面喷气条组成；</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2.材质：国际通用0.36mm厚度布料及尼龙PVC医用级布料组成，吸湿透气良好；</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3.主机：采用ABS工程塑料，主机充气循环系统；气泵充气性能稳定，防寒、防高温的优质橡胶软管；</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4.功能：波动、喷气、防霉、防滑、透气，有弹力，能适应坐姿产生的表面张力；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5.气条数量：24条；</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6.充气后尺寸（长×宽×高）：195×85×60cm；</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7.工作电压、频率：220V50HZ气泵压力范围：50～110mmHg气泵流量范围：5～8升/分钟，交替波动周期：10-12分钟；</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8.最大噪声≤45dB（A），超静音，省电。</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防压疮床垫（凝胶）</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1.尺寸:1735×915×16mm；</w:t>
            </w:r>
          </w:p>
          <w:p>
            <w:pPr>
              <w:widowControl/>
              <w:spacing w:line="320" w:lineRule="exac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2.材质:GEL+记忆泡棉+涼感布套；</w:t>
            </w:r>
          </w:p>
          <w:p>
            <w:pPr>
              <w:widowControl/>
              <w:spacing w:line="320" w:lineRule="exac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3.由独特的凝胶材质非常柔软且底层记忆泡棉，全面式分散身体压力，使皮层压迫減到最低，减缓皮层因受压力而影响微血管循环及代谢；</w:t>
            </w:r>
          </w:p>
          <w:p>
            <w:pPr>
              <w:widowControl/>
              <w:spacing w:line="320" w:lineRule="exac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4.身体完全被脂肪床垫温柔支撑而产生的超安定与舒适感；</w:t>
            </w:r>
          </w:p>
          <w:p>
            <w:pPr>
              <w:widowControl/>
              <w:spacing w:line="320" w:lineRule="exac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5.凝胶材质所具有的热安定特性，使床垫能维持身体平均溫度，消散使用者因长时间使用而产生的皮层燥热感。</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3000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防压疮床垫（泡棉）</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1.规格：200×90×10cm；</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2.材质:6cm记忆泡棉+4cmPU高回弹海绵；</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3.面料:针织布贴合防水TPU；</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4.波浪型记忆海绵要求无添加任何有害物质,无甲醛；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5.高级释压记忆泡绵材质，可均匀释放压力,让身体与床垫的接触压力能均匀的分散,大大的减少压疮产生；</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6.复合型结构底层采用PU高回弹泡棉给予身体安稳的支撑；</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7.面料特别采用平滑平织布,防霉抗菌，底面贴合防水TPU,防水透气,平滑平织布不易与皮肤产生剪力摩擦。</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防压疮座垫（聚氨酯）</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1.坐垫尺寸：400×400×70-120mm；</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2.坐垫符合人体工学减压设计；</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3.外型为人体工学设计，按照臀部塑型，可缓冲肢体压力；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4.坐垫内部分别由柔软型、坚硬型、底反弹型不同硬度特殊聚氨酯材料组合而成；多层次多面体的结构，充分分散人体压力，起到防褥疮效果；</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5.座垫配有聚酯纤维外罩，防水处理，配固定带；</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6.防霉、防滑、透气、可机洗，具有阻燃性、有弹力，能适应坐姿产生的表面张力；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7.坐垫防渗漏、易清洗。</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防压疮座垫（充气绒面）</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1.规格：480×480mm；</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2.功能：支撑身体的辅助用具，它能增加身体的受压面积，减少局部体位压力，减轻身体疲劳，改善局部供养条件，可以预防褥疮的产生，对褥疮的治疗有辅助作用，可用作轮椅垫、坐垫、靠垫。</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防压疮座垫（凝胶海绵）</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1.座垫臀部的位置为350×280mm的凝胶材料，其它部分为记忆海绵材料；</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2.具有良好静态支撑性能和稳定性能；材质粘稠适度，手感柔软、舒适具有防霉、抗菌性能，不含有任何过敏源；使用方便、易于固定和易于清洗和维护保养。</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张</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移乘板</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1.产品应符合GB 24436-2009《康复训练器械安全通用要求》国家标准；2.总长≧64cm总宽≧35cm厚度≧0.45cm折叠3折，最大载荷≧120kg；3.性能及结构特点：材质无毒、不含甲醛、无异味、对人体无害；注塑件表面应光滑平滑、无飞边、无缺损，无凹陷，色泽均匀；可以辅助护理人员转移卧床病人。</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块</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移乘板（带状）</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1.产品外型尺寸：80（长）×22（宽）×1（厚）cm；</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2.承载≧100kg；</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3.材质：采用加强尼龙复合板为衬板，尼龙带及绒面布料合制而成。</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块</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接尿器</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1.主要材质；天然无毒乳胶或硅胶；</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2.分男用和女用，用于残疾人因尿失禁后收集尿液；</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3.接尿器由接尿囊，导尿管，尿袋及布袋组成；</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4.腰带1条，裤兜1条，漏斗1个，尿管1根（1000士10）mm；5.1000mL尿袋（日用）一个，2000mL尿袋（夜用）一个。</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个</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便盆（成人、大便）</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1.总长：370mm、总宽：300mm、总高：100mm；</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2.材质：使用高强度工程PE塑料制作而成。</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个</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便盆（成人、女用接尿器）</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1.总长：240mm，总宽：120mm，总高：170mm；</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2.净重量：111g；3.材质：使用高强度工程PE塑料制作而成。。</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个</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便盆（成人、男用接尿器）</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1.总长：250mm，总宽：120mm，总高：120mm；</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2.净重量：92g；</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3.材质：使用高强度工程PE塑料制作而成。</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个</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成人围腰</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1.透气发泡护腰带，特殊的材质配合立体缝合技术、使护具更加贴合人体工学、更能达到保护、减轻压迫以及支撑力；</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2.车缝32粒磁石效果更佳；</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3.适用范围：适合医疗使用。</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条</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围腰（儿童）</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1.面料：锦纶100%（非纤维物质除外）里料：聚酯纤维100%（非纤维物质除外）；</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2.适用于保护腰部，缓解运动冲击。</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条</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日常生活类辅具（脑瘫患者就餐防漏餐具等）</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1.进食类辅具套装由助食叉、助食勺、助食筷、防倾碗、防漏围兜、防滑餐垫、六种产品组成；</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2.助食叉：无毒304不锈钢，塑料手柄环扣及绑带:食品级硅（橡）胶材料；</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3.助食勺：无毒304不锈钢，塑料手柄，无毒PP，软胶无毒TPE；</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4.助食筷:材质为环保ABS塑料或竹制品；</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5.防倾碗:无毒PP，食品级硅橡胶；</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6.防漏围兜：食品级硅胶；耐温：-20℃-220℃；</w:t>
            </w:r>
          </w:p>
          <w:p>
            <w:pPr>
              <w:widowControl/>
              <w:spacing w:line="320" w:lineRule="exact"/>
              <w:jc w:val="left"/>
              <w:textAlignment w:val="center"/>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7.防滑餐垫：PVC环保材料。</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套</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Cs w:val="21"/>
                <w:highlight w:val="none"/>
              </w:rPr>
            </w:pPr>
            <w:r>
              <w:rPr>
                <w:rFonts w:hint="eastAsia" w:ascii="宋体" w:hAnsi="宋体" w:cs="宋体"/>
                <w:color w:val="auto"/>
                <w:szCs w:val="21"/>
                <w:highlight w:val="none"/>
              </w:rPr>
              <w:t>17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防走失腕表</w:t>
            </w:r>
          </w:p>
        </w:tc>
        <w:tc>
          <w:tcPr>
            <w:tcW w:w="6664"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1颜色：黑色</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2.芯片：主频双核1.3GHZ          </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3.屏幕：1.4寸，电容触摸彩屏 </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4.屏幕分辨率： 240*240像素   </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5.支持拍照，支持视频通话和远程拍照     </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6..网络：支持4g的联通和移动网络，支持WIFI功能</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7. SIM卡：Nano SIM card，侧面插卡</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8. APP：支持安卓和IOS双版本</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9.内存：机身内存ROM 3GB+运行内存RAM 512MB</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10.表带：硅胶或皮革材质</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11.电池：聚合物锂电池，电池容量600mAH, 可低电量报警；采用磁吸充电，配磁吸充电器</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12.定位：GPS定位+基站定位+WIFI定位三重定位方式</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13.支持历史轨迹查询、轨迹回放，语音监护，一键求救</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14.电子围栏：以地图设定点为中心划定一个区域，区域设定半径200m-2000m，出区域及时告警提示</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15.双向通话：使用者之间可相互通话，可设置3个紧急求救电话；可设置10个亲情号码</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16.支持微聊，使用者与对应手机APP之间可以发送语音和图片</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17.实时监测使用者心率血压状况及计步和睡眠状况；内置温度计功能，支持体温测量；</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18.支持支付宝钱包，移动支付零钱管理，可设置限额，消费明细实时掌握</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19.支持远程重启和关机，便于监护人远程设置。</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20.其他功能：录音，闹钟，记步器，睡眠监测，天气，吃药提醒，找设备，手表自动更新时间等</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21.防水：IP67防水</w:t>
            </w:r>
          </w:p>
          <w:p>
            <w:pPr>
              <w:widowControl/>
              <w:spacing w:line="320" w:lineRule="exact"/>
              <w:jc w:val="left"/>
              <w:textAlignment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22.配备附件：磁吸充电器，说明书，独立包装盒</w:t>
            </w:r>
          </w:p>
        </w:tc>
        <w:tc>
          <w:tcPr>
            <w:tcW w:w="70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块</w:t>
            </w:r>
          </w:p>
        </w:tc>
        <w:tc>
          <w:tcPr>
            <w:tcW w:w="8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9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8182"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8182"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3"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818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818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818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成品辅具、使用指导、运输配送、备品备件、跟踪回访、质保服务、使用指导、培训、技术支持、验收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9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04"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8286"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9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8182"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2、投标产品中涉及国家专项审批的，投标人在投标文件中需提供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8182" w:type="dxa"/>
            <w:gridSpan w:val="3"/>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8182" w:type="dxa"/>
            <w:gridSpan w:val="3"/>
            <w:tcBorders>
              <w:top w:val="single" w:color="auto" w:sz="4" w:space="0"/>
              <w:left w:val="single" w:color="auto" w:sz="4" w:space="0"/>
              <w:bottom w:val="single" w:color="auto" w:sz="4" w:space="0"/>
              <w:right w:val="single" w:color="auto" w:sz="4" w:space="0"/>
            </w:tcBorders>
            <w:noWrap/>
            <w:vAlign w:val="center"/>
          </w:tcPr>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第十七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8"/>
              <w:jc w:val="both"/>
              <w:rPr>
                <w:rFonts w:ascii="宋体" w:hAnsi="宋体" w:cs="宋体"/>
                <w:color w:val="auto"/>
                <w:szCs w:val="21"/>
                <w:highlight w:val="none"/>
              </w:rPr>
            </w:pPr>
            <w:r>
              <w:rPr>
                <w:rFonts w:hint="eastAsia" w:ascii="宋体" w:hAnsi="宋体" w:eastAsia="宋体" w:cs="宋体"/>
                <w:color w:val="auto"/>
                <w:sz w:val="21"/>
                <w:szCs w:val="21"/>
                <w:highlight w:val="none"/>
              </w:rPr>
              <w:t>▲2、第1项、第7项、第17项投标产品需提供</w:t>
            </w:r>
            <w:r>
              <w:rPr>
                <w:rFonts w:hint="eastAsia" w:ascii="宋体" w:hAnsi="宋体" w:eastAsia="宋体" w:cs="宋体"/>
                <w:color w:val="auto"/>
                <w:sz w:val="21"/>
                <w:szCs w:val="21"/>
                <w:highlight w:val="none"/>
                <w:lang w:val="en-US" w:eastAsia="zh-CN"/>
              </w:rPr>
              <w:t>省级及以上相关专业质量监督检验部门出具的检测报告</w:t>
            </w:r>
            <w:r>
              <w:rPr>
                <w:rFonts w:hint="eastAsia" w:ascii="宋体" w:hAnsi="宋体" w:eastAsia="宋体" w:cs="宋体"/>
                <w:color w:val="auto"/>
                <w:sz w:val="21"/>
                <w:szCs w:val="21"/>
                <w:highlight w:val="none"/>
              </w:rPr>
              <w:t>，检测报告的检测时间为三年（2019年、2020年、2021年）。</w:t>
            </w:r>
          </w:p>
        </w:tc>
      </w:tr>
    </w:tbl>
    <w:p>
      <w:pPr>
        <w:pStyle w:val="8"/>
        <w:rPr>
          <w:color w:val="auto"/>
          <w:highlight w:val="none"/>
        </w:rPr>
      </w:pPr>
    </w:p>
    <w:p>
      <w:pPr>
        <w:spacing w:line="400" w:lineRule="exact"/>
        <w:ind w:firstLine="426" w:firstLineChars="202"/>
        <w:jc w:val="left"/>
        <w:rPr>
          <w:b/>
          <w:color w:val="auto"/>
          <w:szCs w:val="21"/>
          <w:highlight w:val="none"/>
        </w:rPr>
      </w:pPr>
      <w:r>
        <w:rPr>
          <w:rFonts w:hint="eastAsia"/>
          <w:b/>
          <w:color w:val="auto"/>
          <w:szCs w:val="21"/>
          <w:highlight w:val="none"/>
        </w:rPr>
        <w:t>E分标</w:t>
      </w:r>
    </w:p>
    <w:tbl>
      <w:tblPr>
        <w:tblStyle w:val="46"/>
        <w:tblW w:w="100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029"/>
        <w:gridCol w:w="104"/>
        <w:gridCol w:w="6805"/>
        <w:gridCol w:w="709"/>
        <w:gridCol w:w="70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1"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80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709"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709"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语音盲文药盒</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1、安全盛装营养品、药品，每天定时语音提醒；</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2、内含微电脑CPU芯片；</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3、仅一个按键，按一下就能定时；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4、一天可设1—8个定时点，设定、增加、修改、清零均只需一次操作；</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5、自动记忆；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6、内装CR2032钮扣电池，可用一年以上，更换方便；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7、上下盒材质：食品级PP料（百折塑胶）；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8、产品特点：上下盖结构、7个小上盖、7格底盒、小盖子上浮雕有1—7的阿拉伯数字及1—7的盲文；                                                                                                         9、产品规格：11.5×6×1.5cm；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盲杖（成人四折）</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1、杖身为铝合金材质，杖身三分之一处贴红色反光纸；                                                                                               2、手柄为TPE热塑弹性塑胶材质，防水、防晒；                                                                                     3、杖头为黑色POM聚甲醛耐磨硬质塑料；                                                                                                                                                                                    4、串联线为两根进口粗橡胶皮筋、弹性好、耐老化；</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5、杖身材料壁厚≥1mm，杖身直径≥13mm，四折叠式结构，折叠后长度：322mm，展开长度900≤L＜1200mm，表面阳极氧化处理，全反光膜覆护；</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6、配独立包装袋一个（牛津布或绒布）。</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支</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盲杖（成人四折旋转头）</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1、产品符合GB16930.1-1997《盲人手杖安全色标志》和GB16930.2-2009《盲杖技术条件》国家标准；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2、颜色：红白颜色；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3、杆身外表具有反光膜，夜间行走遇有车灯照射，杆身会自然警示反光；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4、杆身长度尺寸（mm）：1200≤L＜1500，折叠后长度322mm；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5、手柄最小长度（mm）≥150；</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6、铝合金管材外径为13mm，壁厚1mm；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7、手柄材质：环保材料，无毒、无害、无异味、不吸水、不褪色、易于清洗、防滑、绝缘；结构设计应适合盲杖使用中正确握持，不易从手中滑落；手柄上端应装有弹性腕带，并易于更换；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8、杖尖材质：耐磨、绝缘、振动传导信号，有敲击声反馈，易于更换，杖头采用耐磨性能优良的材料做成旋转头，杖头采用多向旋转设计；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9、杆身材质：杆身选用优质铝合金材质，并经阳极氧化处理，具有耐磨，不氧化的特点；</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10、手柄松紧绳进口橡胶制成,具有回弹性强,耐拉,抗老化特点；</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11、转动部件转动灵活；连接部件链接牢固；折叠部件方便折叠和打开，不应有卡滞现象；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12、铝合金管口采用软塑胶防护衬套，防止松紧绳因多次折叠发生断裂；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13、使用者可触及表面均不应有外露的锐边、尖角、刃口和毛刺；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14、正常使用时，各部件材料不应掉色，不应使皮肤、衣服着色；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15、每只盲杖配有独立包装袋。</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支</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盲杖（铝合金伸缩型）</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1、材质：铝合金材质；                                                                                                                                                                                             2、采用伸缩式连接，如同拉杆天线的连接方式；                                                                                                                                                           3、本品与以往传统的采用松紧进行连接的折叠盲杖有着根本的不同，甶于其采用金厲卡扣对每一节拉出来的盲杖进行锁定,使盲杖无论受到多大的外力都不会缩短，非常的坚固；                                                                                                      4、当用户想要将盲杖收起的时候，上面的一个按钮，向下一压，其余六节便即可收起，本品完全收缩后长度仅有29厘米左右，直径3厘米，特别容易随身携带。</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支</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盲杖（儿童三折）</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1、杖身为不锈钢材质，杖身三分之一处贴红色反光纸；                                                                                               2、手柄为TPE热塑弹性塑胶材质，防水、防晒；                                                                                     3、杖头为黑色POM聚甲醛耐磨硬质塑料；                                                                                                                                                                                    4、串联线为两根进口粗橡胶皮筋、弹性好、耐老化；</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5、杖身材料壁厚≥1mm，杖身直径≥13mm，三折叠式结构，折叠后长度：350mm，展开长度990mm，表面阳极氧化处理，全反光膜覆护；</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6、配独立包装袋一个（牛津布或绒布）。</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支</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语音导航装置</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1、用途：探测障碍物，震动提示。利于视障者出行；</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2、模式：3种模式，含1米模式，2米模式，3米模式。开机默认为1米模式；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3、范围：可配合盲杖或导盲犬使用，探测头部以上或两肩20CM宽的障碍物，出行环境好时可单独使用；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4、越靠近障碍，震动越明显。仪器与障碍物少于50厘米时（约手臂的长度），仪器强烈震动，建议停止或谨慎前进；</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5、使用时间：满电状态可使用10小时。</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语音盲文电饭煲A</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1.语音闪光提示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2.产品由电饭煲主机 全铝内胆360克，蒸格 量杯 饭勺 电源线 说明书组成</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3额定功率：不低于700W,电压220V 额定频率：50-60HZ 容量1.5L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4通电后全程具有语音提示功能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5.一键快煮自动断电控制功能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6.任何模式下按下取消键，进入安全待机模式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7.烹饪开始时一直强闪灯提示报警并语音播报3遍“正在煮饭”同时进入加热模式，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8.烹饪完成后一直强闪灯提示报警并语音播报3遍“饭已煮好”同时进入保温模式，保温模式下任何按键播报之前的”饭已煮好“语音</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语音盲文电饭煲B</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1、电压：220V； 频压：50HZ；功率：900W；配置：电饭煲、饭勺、量杯、蒸格；容量：5L；口径：22CM；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2、机身材质：电饭煲外壳采用不绣钢连体设计，不易变形；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3、特殊功能：采用数码显示微电脑控制技术，按键带盲文 ，全程语音提示，老年人及视障人士可无障碍操作；</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4、具有煮饭、快煮、煮粥、煲汤、蒸煮、蛋糕、保温、预约定时、时间增大、减小等功能，可预约1-24小时开机。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   （1）煮饭时间为45分钟，快煮时间20分钟，煮粥时间为1小时；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   （2）煲汤时间为90分钟，可以煲鸡汤、煲猪脚等；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   （3）蒸煮时间为60分钟，还可以蒸馒头等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   （4）蛋糕时间为40分钟，可以做蛋糕和各式糕点；</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   （5）预约时间可以为24小时，时间增大一次是30分，减小一次为30分钟；</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5、数码显示屏，在不同的状态下显示相应的代码或时间；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6、安全性能：防干烧、自动断电保护、手柄全包盖防烫；                                                                                 7、需提供3C认证。            </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语音盲文电压力锅</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1、产品组成：电压力锅主机、内胆，量杯、饭勺、电源线;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2、性能参数：功率1000w、容量6L、全程语音播报、LCD显示屏；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3、材质：不锈钢外壳，不锈钢盖子，食品级塑料盖子防护，铝合金饭锅；</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1）具有全程语音提示功能（可一键关闭或打开语音提示）；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2）一键功能选择键，具有煲粥、煲汤、蒸鸡、豆/蹄筋、煮饭、肉类、八宝粥、慢炖、蛋糕选择；</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3）具有时间预约功能，按下预约按键可选择小时，按下加减键可以选择分钟；</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4）任何模式下按下取消键，进入待机模式；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5）功能按钮带盲点标识及LED指示灯；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6）烹饪进行时，按下“播报时间”按键，能播报烹调剩余时间；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7）拥有自选保压功能，按下自选保压按键后，按加减按键选择保压时间；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8）拥有语音开关功能；                                                                                                            5、需提供3C认证；                                                                                     </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语音盲文电磁炉A</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1.语音盲文闪光提示电磁米炉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2.产品有电磁炉主机，单机组成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3.额定功率：不低于2300W,电压220V，额定频率：50-60HZ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4.产品材质：品牌主板和芯片 耐高温黑晶防滑面板，塑料外壳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5.具有全程闪光提示和语音播报，6个按键带盲文标识和数码显示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6.产品具有“无锅具”安全提醒，反复提醒无锅10次“请放锅具”自动断电 自动安全保护，有闪光提醒。</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7.产品具有6个按键：开关 功能 减小 增大 预约定时 节能快煮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8.5大功能选择火锅 炒菜 烧水 煲汤 蒸煮 保温 增大减小均可读报实际功率 炒菜和火锅功率可以调节8段 2300W  1900 1600 1300 1000 800  400 200W</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9.开机提示：欢迎使用 关机提示：谢谢使用</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语音盲文电磁炉B</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1、产品执行标准：GB4706.1-2005；GB4706.29-2008;</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2、产品由电磁炉主机，单机组成;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3、额定功率：不低于2300W,电压220V，额定频率：50-60HZ;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4、产品材质：品牌主板和芯片 耐高温黑金面板，塑料外壳;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5、具有全程语音播报功能，4个按键带盲文标识和数码显示;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6、产品具有“无锅具”安全提醒功能，可反复提醒无锅10次“请放锅具”,并自动断电、自动安全保护；</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7、产品具有4个按键：开关 功能 减小 增大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8、5大功能选择：火锅 炒菜 烧水 煲汤 蒸煮，增大、减小均可读报实际功率，炒菜和火锅功率可以调节8段：</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9、开机提示：欢迎使用   关机提示：谢谢使用；                                                                                                10、需提供3C认证；</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语音电水壶A</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1、闪光语音集成一体机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2、产品由壶身主机和底盘结构组成；</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3、额定功率：不低于1500W；电压220V；额定频率50-60HZ；容量：2L；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4、产品材质内胆由食品级不锈钢一体成型，304食品级不锈钢，外壳全新PP料无毒、无异味，质感好表面光滑；</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5、产品全程可语音播报，亮光闪烁指示灯，开始烧水语音提示；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6、产品独立开关上面有开和关凸点标识，简单易操作，一键操控；</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7、产品外壳具有防烫功能，使用更加安全；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8、产品具有防干烧保护功能；                                                                                                9、需提供3C认证；  </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语音电水壶B</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1）水壶全程可语音、闪光、震动提示（通电提示；开始烧水、水烧开提示；开启、关闭保温模式提示）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2）音量由小到大8段调节；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3）能自由选择声音、闪光、震动提示模式，震动选择为独立开关，方便视障、听障朋友快速上手使用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4）水壶拥有恒温主动保温功能，随时享用温水服务。</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放大镜（手持式3倍）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                                                                                      2、材质：亚克力；</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3、放大倍率：3倍；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4、照明光源：白光LED；                                                                                            5、镜片没有肉眼可见的气泡、条纹、白色结石、黑点、黄点等；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6、镜片表面无水迹、指印、油污、尘埃、霉斑等；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7、零件完整无缺，无变形；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8、外观无划痕、毛刺、飞边、塌陷等缺陷，色泽均匀一致；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9、装配正确，连接间隙均匀，用胶粘接的部位粘接牢固，表面干净无余胶；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10、印字、刻字、刻线清晰、整齐，字型美观，色调鲜明，着色牢固；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11、适用于低视力人士使用。</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放大镜（手持式5倍）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                                                                                      2、材质：亚克力；</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3、放大倍率：5倍；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4、照明光源：白光LED；                                                                                            5、镜片没有肉眼可见的气泡、条纹、白色结石、黑点、黄点等；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6、镜片表面无水迹、指印、油污、尘埃、霉斑等；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7、零件完整无缺，无变形；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8、外观无划痕、毛刺、飞边、塌陷等缺陷，色泽均匀一致；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9、装配正确，连接间隙均匀，用胶粘接的部位粘接牢固，表面干净无余胶；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10、印字、刻字、刻线清晰、整齐，字型美观，色调鲜明，着色牢固；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11、适用于低视力人士使用。</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放大镜（手持式7倍）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                                                                                      2、材质：亚克力；</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3、放大倍率：7倍；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4、照明光源：白光LED；                                                                                            5、镜片没有肉眼可见的气泡、条纹、白色结石、黑点、黄点等；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6、镜片表面无水迹、指印、油污、尘埃、霉斑等；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7、零件完整无缺，无变形；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8、外观无划痕、毛刺、飞边、塌陷等缺陷，色泽均匀一致；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9、装配正确，连接间隙均匀，用胶粘接的部位粘接牢固，表面干净无余胶；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10、印字、刻字、刻线清晰、整齐，字型美观，色调鲜明，着色牢固；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11、适用于低视力人士使用。</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放大镜（台灯式）</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2、光学性能：成像清晰，无成像弯曲、发毛、边缘带色。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3、光学部件无肉眼可见的气泡、条纹、白色结石、黑点、白点等。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4、主镜放大倍率：2-2.5倍。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5、透过率：≥95%。</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6、可折叠。</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放大镜（多功能带灯）</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1、放大倍率：2.5倍，局部5倍；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2、供电：使用4.5V、20MA、白光LED电珠，采用两节5号电池供电；</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3、照明光源：白光；LED；</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4、支架：平衡、稳定、回转灵活；</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5、视场直径：90mm。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眼镜式（近用）助视器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2、成像清晰，无成像弯曲、发毛、边缘带色；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3、无肉眼可见的气泡、条纹、白色结石、黑点、白点等；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4、镜片表面无水迹、指印、油污、尘埃、霉斑等；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5、镜片顶焦度误差符合GB10810.1-2005《眼镜镜片》“第一部分：单光和多焦点镜片”的规定；</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6、镜片顶焦度分别为：+6D、+8D、+10D、+12D、+14D、+16D、+18D、+20D、+24D、+28D、+32D；</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7、镜片材料：光学树脂；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8、镜架：金属全框；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9、镜片透射比在90%以上；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10、包装盒具有防潮、防震、防碰撞功能；</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中远距离眼镜式助视器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2、成像清晰，无成像弯曲、发毛、边缘带色；                                                                                                                                                                               3、无肉眼可见的气泡、条纹、白色结石、黑点、白点等；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4、镜片表面无水迹、指印、油污、尘埃、霉斑等；                                                                                                                                                                          5、放大倍率：2.0倍；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6、重量：不高于40克；</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7、最远可清晰观察3米处目标物；</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8、镜片尺寸：35mm；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9、镜架材质：PP；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10、镜片材质：PC、PMMA。</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单筒望远镜（单筒4倍）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符合标准Q/KJ 004-2004《助视器技术条件》要求。</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1、成像清晰，不应出现成像弯曲、发毛、边缘带色；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2、不应有肉眼可见的气泡、条纹、白色结石、黑点、白点等；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3、镜片表面不应有水迹、指印、油污、尘埃、霉斑等；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4、各调节部件运转灵活，间隙应均匀适当，方便调节；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5、放大倍率：4倍；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6、视场角：12.5°；</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7、近焦距离（指可清晰观察到目标物的最近距离）不大于250mm。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8、镜片采用全表面镀膜。</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9、物像不变形；</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单筒望远镜（单筒6倍）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2、成像清晰，不应出现成像弯曲、发毛、边缘带色；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3、不应有肉眼可见的气泡、条纹、白色结石、黑点、白点等；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4、镜片表面不应有水迹、指印、油污、尘埃、霉斑等；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5、各调节部件运转灵活，间隙应均匀适当，方便调节；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6、放大倍率：6倍；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7、视场角：9.5°；</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8、近焦距离（指可清晰观察到目标物的最近距离）不大于250mm。                                                                                                                         9、物像不变形；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10、镜片采用全表面镀膜；</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单筒望远镜（单筒8倍）</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2、成像清晰，不应出现成像弯曲、发毛、边缘带色；</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3、不应有肉眼可见的气泡、条纹、白色结石、黑点、白点等；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4、镜片表面不应有水迹、指印、油污、尘埃、霉斑等；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5、各调节部件运转灵活，间隙应均匀适当，方便调节；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6、放大倍率：8倍；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7、视场角：10.5°；</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8、近焦距离（指可清晰观察到目标物的最近距离）不大于250mm。                                                                                                                         9.物像不变形；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10、镜片采用全表面镀膜；</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滤光镜（透光率15.5%）</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1、嵌入式偏光侧片，弹性框架，不漏光；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2、透光率15.5%，过滤紫外线100%，过滤蓝光84%，偏振效率99%；</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3、适用于白内障或眼科康复患者。</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滤光镜（透光率16%）</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1、嵌入式偏光侧片，弹性框架，不漏光；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2、透光率16%，过滤紫外线100%，过滤蓝光94%，偏振效率99%；</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3、适用于白内障或眼科康复患者。</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滤光镜（透光率22%）</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1、嵌入式偏光侧片，弹性框架，不漏光；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2、透光率22%，过滤紫外线100%，过滤蓝光100%，无偏振，全部过滤550nm以下光线；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3、适用于低视力人群。</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滤光镜（透光率46%）</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1、嵌入式偏光侧片，弹性框架，不漏光；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2、透光率46%，过滤紫外线100%，过滤蓝光100%，无偏振，全部过滤511nm以下光线；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3、适用于低视力人群。</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棱镜（柱型放大镜）</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1、符合标准Q/KJ 004-2004《助视器技术条件》要求；                                                                          2、成像清晰，不应出现成像弯曲、发毛、边缘带色。                                                                                                                                    3、不应有肉眼可见的气泡、条纹、白色结石、黑点、白点等。                                                                                                                        4、镜片表面不应有水迹、指印、油污、尘埃、霉斑等。                                                                                                                                   5、各调节部件运转灵活，间隙应均匀适当，方便调节。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6、放大倍数：5倍，；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7、有效孔距；200×32mm；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便携式电子助视器（手持4.3寸）</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1、显示屏类型: 4.3英寸高清液晶显示屏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2、放大倍数：4倍~32倍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3、像素大小：VGA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4、LCD屏幕亮度1~5档可调。</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5、镜头焦距：3.5cm~6cm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6、17种色彩模式，适应不同人群需求。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7、视频输接口（AV OUT)</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8、带mini USB线（接口2.0）</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9、蜂鸣器提示音可关闭和打开。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10、折叠手柄（打开或关闭都可以使用）。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11、机子自带记忆功能，可记住关机前的用户使用习惯。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12、可插TF卡(最大支持32GB)，可进行拍照以及回放。</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13、电池供电连续工作时间：4小时以上，充电时间5~6小时。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14、电池：外置锂电池2500mAH（可拆卸）。</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15、外观尺寸：154 mm x 86 mm x 30 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16、重量：220克（含电池）</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17、产品毛重：450g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产品彩盒尺寸19.5*15*7.2cm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18、外箱尺寸：41*38.2*33.5cm  20台 /箱 重10kg</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便携式电子助视器（手持4.3寸）</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1、屏幕尺寸:4.3英寸液晶显示屏；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2、放大倍率：4-18倍；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3、具有10种高对比显示模式；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4、有记忆功能：开机后能记住上一次的操作；                                                                                                                                           5、支持语音提示，背光、补光可调，使用方便舒适；                                                                                                                                  6、具有冻屏功能，拍照后可放大、缩小、变色；                                                                                                                                                                                                                                                7、具有屏幕亮度调节功能；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8、具有视频输出端口：可连接电视及投影仪等输出设计，把内容显示在外接屏幕上。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9、自带手写支架，方便阅读和手写；                                                                                                                                              10、具有可拆卸可持续充电锂电池，一次充电可持续使用5-6小时；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11、采用智能省电设计，画面静止且无操作2分钟后自动关机，环保功能。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12、采用全新平台，极速60fps，无卡顿，无拖影，流畅阅读；</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13、采用全新智能算法，智能适应图像场景，任何环境轻松阅读；</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14、采用轻巧外形,零距离设计，支持手写，携带方便；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15、采用高端广角镜头，更大视野，显示更多文字，保障连续完整阅读；</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便携式电子助视器（手持5寸）</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1、内置4G模块，全网通话功能、GPS语音导航、5寸高清屏；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2、内置盲人读屏软件；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3、外置助视器；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4、放大倍数:4X-20X；</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5、色彩显示:8种模式；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6、定格键将动态文字或图像抓拍,可进行放大或缩小，再次按则释放文字或图像；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7、阅读线：在看报纸上的文字，自动出现阅读不同颜色的划线，方便使用者换行或进行行的跟踪阅读；</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8、所有的按键，在触摸的时候有仿真人发出声音，方便使用者.共有四种输出方式：无，普通话、粤语、英语；</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9、不需要触摸按键，只要语音就可以控制，放大，缩小，变化颜色等；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10、系统会自动记录用户的上次使用习惯；                                                                                                                                   </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900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台式电子助视器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1、摄像头：标清摄像头，光学变焦；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2、缩放功能：放大倍数2-70倍；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3、显示器：支持15寸-23寸液晶显示器(尺寸可选)；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4、图像处理：动态图像处理技术，无抖动、无拖影；</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5、16种高对比度色彩显示模式；自动对焦；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6、亮度调节功能；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7、锁定焦距功能；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8、阅读线定位辅助线、窗功能；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9、VGA输出功能；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10、附带移动阅读平台(选配)；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11、可记忆当前使用状态；</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7500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远近两用电子助视器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1、自动对焦摄像头，分辨率720P；</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2、12倍光学变焦；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3、远近两用功能，可看远、看近；</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4、可连接笔记本，电视，显示器；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5、缩放功能，放大倍数：2X-80X；</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6、处理器：高速数字信号处理器；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7、刷新速度</w:t>
            </w:r>
            <w:r>
              <w:rPr>
                <w:rStyle w:val="112"/>
                <w:rFonts w:hint="default"/>
                <w:color w:val="auto"/>
                <w:sz w:val="21"/>
                <w:szCs w:val="21"/>
                <w:highlight w:val="none"/>
              </w:rPr>
              <w:t>　</w:t>
            </w:r>
            <w:r>
              <w:rPr>
                <w:rStyle w:val="105"/>
                <w:rFonts w:hint="default"/>
                <w:color w:val="auto"/>
                <w:sz w:val="21"/>
                <w:szCs w:val="21"/>
                <w:highlight w:val="none"/>
              </w:rPr>
              <w:t>720*480</w:t>
            </w:r>
            <w:r>
              <w:rPr>
                <w:rStyle w:val="105"/>
                <w:color w:val="auto"/>
                <w:sz w:val="21"/>
                <w:szCs w:val="21"/>
                <w:highlight w:val="none"/>
              </w:rPr>
              <w:t>*</w:t>
            </w:r>
            <w:r>
              <w:rPr>
                <w:rStyle w:val="105"/>
                <w:rFonts w:hint="default"/>
                <w:color w:val="auto"/>
                <w:sz w:val="21"/>
                <w:szCs w:val="21"/>
                <w:highlight w:val="none"/>
              </w:rPr>
              <w:t>60fps; 动态图像处理技术，无抖动、无拖影；                                                                                                             8、真彩16种高对比的色彩模式</w:t>
            </w:r>
            <w:r>
              <w:rPr>
                <w:rStyle w:val="105"/>
                <w:rFonts w:hint="default"/>
                <w:color w:val="auto"/>
                <w:sz w:val="21"/>
                <w:szCs w:val="21"/>
                <w:highlight w:val="none"/>
              </w:rPr>
              <w:br w:type="textWrapping"/>
            </w:r>
            <w:r>
              <w:rPr>
                <w:rStyle w:val="105"/>
                <w:rFonts w:hint="default"/>
                <w:color w:val="auto"/>
                <w:sz w:val="21"/>
                <w:szCs w:val="21"/>
                <w:highlight w:val="none"/>
              </w:rPr>
              <w:t>9、亮度和对比度调节功能，真彩色进行亮度调节，变色模式下进行对比度调节；</w:t>
            </w:r>
            <w:r>
              <w:rPr>
                <w:rStyle w:val="105"/>
                <w:rFonts w:hint="default"/>
                <w:color w:val="auto"/>
                <w:sz w:val="21"/>
                <w:szCs w:val="21"/>
                <w:highlight w:val="none"/>
              </w:rPr>
              <w:br w:type="textWrapping"/>
            </w:r>
            <w:r>
              <w:rPr>
                <w:rStyle w:val="105"/>
                <w:rFonts w:hint="default"/>
                <w:color w:val="auto"/>
                <w:sz w:val="21"/>
                <w:szCs w:val="21"/>
                <w:highlight w:val="none"/>
              </w:rPr>
              <w:t>10、图像定格功能；</w:t>
            </w:r>
            <w:r>
              <w:rPr>
                <w:rStyle w:val="105"/>
                <w:rFonts w:hint="default"/>
                <w:color w:val="auto"/>
                <w:sz w:val="21"/>
                <w:szCs w:val="21"/>
                <w:highlight w:val="none"/>
              </w:rPr>
              <w:br w:type="textWrapping"/>
            </w:r>
            <w:r>
              <w:rPr>
                <w:rStyle w:val="105"/>
                <w:rFonts w:hint="default"/>
                <w:color w:val="auto"/>
                <w:sz w:val="21"/>
                <w:szCs w:val="21"/>
                <w:highlight w:val="none"/>
              </w:rPr>
              <w:t>11、图片存储功能（限连接</w:t>
            </w:r>
            <w:r>
              <w:rPr>
                <w:rStyle w:val="105"/>
                <w:color w:val="auto"/>
                <w:sz w:val="21"/>
                <w:szCs w:val="21"/>
                <w:highlight w:val="none"/>
              </w:rPr>
              <w:t>笔记本</w:t>
            </w:r>
            <w:r>
              <w:rPr>
                <w:rStyle w:val="105"/>
                <w:rFonts w:hint="default"/>
                <w:color w:val="auto"/>
                <w:sz w:val="21"/>
                <w:szCs w:val="21"/>
                <w:highlight w:val="none"/>
              </w:rPr>
              <w:t>时）；</w:t>
            </w:r>
            <w:r>
              <w:rPr>
                <w:rStyle w:val="105"/>
                <w:rFonts w:hint="default"/>
                <w:color w:val="auto"/>
                <w:sz w:val="21"/>
                <w:szCs w:val="21"/>
                <w:highlight w:val="none"/>
              </w:rPr>
              <w:br w:type="textWrapping"/>
            </w:r>
            <w:r>
              <w:rPr>
                <w:rStyle w:val="105"/>
                <w:rFonts w:hint="default"/>
                <w:color w:val="auto"/>
                <w:sz w:val="21"/>
                <w:szCs w:val="21"/>
                <w:highlight w:val="none"/>
              </w:rPr>
              <w:t>12、锁焦功能，锁定焦距，有利于手写时不会反复对焦；</w:t>
            </w:r>
            <w:r>
              <w:rPr>
                <w:rStyle w:val="105"/>
                <w:rFonts w:hint="default"/>
                <w:color w:val="auto"/>
                <w:sz w:val="21"/>
                <w:szCs w:val="21"/>
                <w:highlight w:val="none"/>
              </w:rPr>
              <w:br w:type="textWrapping"/>
            </w:r>
            <w:r>
              <w:rPr>
                <w:rStyle w:val="105"/>
                <w:rFonts w:hint="default"/>
                <w:color w:val="auto"/>
                <w:sz w:val="21"/>
                <w:szCs w:val="21"/>
                <w:highlight w:val="none"/>
              </w:rPr>
              <w:t>13、左右手切换功能；</w:t>
            </w:r>
            <w:r>
              <w:rPr>
                <w:rStyle w:val="105"/>
                <w:rFonts w:hint="default"/>
                <w:color w:val="auto"/>
                <w:sz w:val="21"/>
                <w:szCs w:val="21"/>
                <w:highlight w:val="none"/>
              </w:rPr>
              <w:br w:type="textWrapping"/>
            </w:r>
            <w:r>
              <w:rPr>
                <w:rStyle w:val="105"/>
                <w:rFonts w:hint="default"/>
                <w:color w:val="auto"/>
                <w:sz w:val="21"/>
                <w:szCs w:val="21"/>
                <w:highlight w:val="none"/>
              </w:rPr>
              <w:t>14、定位辅助线功能；</w:t>
            </w:r>
            <w:r>
              <w:rPr>
                <w:rStyle w:val="105"/>
                <w:rFonts w:hint="default"/>
                <w:color w:val="auto"/>
                <w:sz w:val="21"/>
                <w:szCs w:val="21"/>
                <w:highlight w:val="none"/>
              </w:rPr>
              <w:br w:type="textWrapping"/>
            </w:r>
            <w:r>
              <w:rPr>
                <w:rStyle w:val="105"/>
                <w:rFonts w:hint="default"/>
                <w:color w:val="auto"/>
                <w:sz w:val="21"/>
                <w:szCs w:val="21"/>
                <w:highlight w:val="none"/>
              </w:rPr>
              <w:t>15、记忆功能：关机时保存当前设置，并记忆惯用倍数，惯用色彩、辅助线；</w:t>
            </w:r>
            <w:r>
              <w:rPr>
                <w:rStyle w:val="105"/>
                <w:rFonts w:hint="default"/>
                <w:color w:val="auto"/>
                <w:sz w:val="21"/>
                <w:szCs w:val="21"/>
                <w:highlight w:val="none"/>
              </w:rPr>
              <w:br w:type="textWrapping"/>
            </w:r>
            <w:r>
              <w:rPr>
                <w:rStyle w:val="105"/>
                <w:rFonts w:hint="default"/>
                <w:color w:val="auto"/>
                <w:sz w:val="21"/>
                <w:szCs w:val="21"/>
                <w:highlight w:val="none"/>
              </w:rPr>
              <w:t>16、菜单功能；</w:t>
            </w:r>
            <w:r>
              <w:rPr>
                <w:rStyle w:val="105"/>
                <w:rFonts w:hint="default"/>
                <w:color w:val="auto"/>
                <w:sz w:val="21"/>
                <w:szCs w:val="21"/>
                <w:highlight w:val="none"/>
              </w:rPr>
              <w:br w:type="textWrapping"/>
            </w:r>
            <w:r>
              <w:rPr>
                <w:rStyle w:val="105"/>
                <w:rFonts w:hint="default"/>
                <w:color w:val="auto"/>
                <w:sz w:val="21"/>
                <w:szCs w:val="21"/>
                <w:highlight w:val="none"/>
              </w:rPr>
              <w:t>17、电池使用时间：5-6小时；</w:t>
            </w:r>
            <w:r>
              <w:rPr>
                <w:rStyle w:val="105"/>
                <w:rFonts w:hint="default"/>
                <w:color w:val="auto"/>
                <w:sz w:val="21"/>
                <w:szCs w:val="21"/>
                <w:highlight w:val="none"/>
              </w:rPr>
              <w:br w:type="textWrapping"/>
            </w:r>
            <w:r>
              <w:rPr>
                <w:rStyle w:val="105"/>
                <w:rFonts w:hint="default"/>
                <w:color w:val="auto"/>
                <w:sz w:val="21"/>
                <w:szCs w:val="21"/>
                <w:highlight w:val="none"/>
              </w:rPr>
              <w:t>18、电池充电时间：4-5小时；</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盲用文具（量角器、圆规、直尺、算盘、30度三角尺、等边三角尺、盲人写字板、盲笔、卷尺）</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1、套装组成：量角器、圆规、直尺、算盘、30度三角尺、等边三角尺、盲人写字板、盲笔、卷尺九件产品；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2、材质：ABS工程塑料；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3、尺寸：量角器尺寸：180*90mm，圆规尺寸：140*15mm，直尺尺寸：140*15mm，等边三角形角度：45度，直角三角尺角度：30度，算盘尺寸：158*90*10mm，盲笔尺寸：60*25mm，盲人写字板尺寸：220*45mm，卷尺长度：1.5米。</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套</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智能听书机（网络版）</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1、采用语音用户界面，视障操作全程无障碍。界面发音人、语速分别可选可调。</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2、可无障碍访问诸如纵横中文网电子书网站、新闻网站、网络收音机、音频播客、自媒体等免费资源。</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3、配套提供“无障碍云”云端内容服务系统。</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4、支持明盲融合阅读DAISY国际标准。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5、可根据视障人士个体要求，在其提供可编辑数字原稿的基础上，免费提供DAISY 3.0格式的数字图书加工服务。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6、可自动朗读txt、htm、html、doc、docx、pdf、epub等格式的电子书，发音人、语速分别可选可调。</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7、可智能识别jpg、bmp等图片数字文件中的文字并朗读。</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8、听读TXT、DAISY图书时，可对图书正文任意句子对应旁注文字笔记。</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9、集成了数字键盘，支持九宫格中文输入法。</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10、具备无障碍录音笔功能以及语音手表功能。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11、内置Wi-Fi模块。</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12、标配视力残疾人可自主拆换、可充电大容量锂电池，中等音量可连续播放10个小时以上。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13、内置8GB以上 存储空间 ，并支持256GB以内的SD存储扩展卡。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14、标配U盘连接线，并支持256GB以内的U盘。</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15、内置扬声器，并带有3.5mm标准的立体声耳机接口。</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16、可无障碍播放mp3、wma、wav、aac、ra、m4a、flac、ape、ogg等格式的音频文件。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17、可无障碍播放mp4、wmv、avi、rm、rmvb、flv、mpg、mpeg、3gp、mov等格式的视频文件。</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无线闪光语音门铃A</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1.材料：ABS 全新料，产品性能稳定，坚固耐用，表面干净；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音乐：32首高质量、清晰音乐；</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电源：室内主机使用2颗1.5V AA 电池（不含），室外按钮使用1颗12V 23A 电池（产品自带）；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指示灯：门铃可内置指示灯；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工作频率： 315MHz。</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195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无线闪光语音门铃B</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numPr>
                <w:ilvl w:val="0"/>
                <w:numId w:val="4"/>
              </w:numPr>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按键发电，不需电池，寿命20万次，空旷地遥控距离200米；                                                                                 2、开关免电池，环保省心；                                                  3、发射器防水设计；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4、超外差技术，强力抗干扰；                               </w:t>
            </w:r>
          </w:p>
          <w:p>
            <w:pPr>
              <w:widowControl/>
              <w:numPr>
                <w:ilvl w:val="0"/>
                <w:numId w:val="5"/>
              </w:numPr>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静态耗电小于0.2W；                                 </w:t>
            </w:r>
          </w:p>
          <w:p>
            <w:pPr>
              <w:widowControl/>
              <w:numPr>
                <w:ilvl w:val="0"/>
                <w:numId w:val="5"/>
              </w:numPr>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学码配对，自由组合；                                  </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7、35首门铃选曲，4级音量可调；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8、三种工作模式可以选：音乐+闪光模式，音乐+长亮15秒模式，音乐模式。</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可视门铃A</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1、超薄设计、触摸按键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2、配有防雨罩,支持挂装模式，简单易操作</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3、无辐射,低功耗,高清晰度7寸彩色图像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4、带实时监控功能,24H监控功能，可视对讲功能,免打扰功能、开锁功能,免提对讲功能,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5、配备无线震动手环，带震动和闪光功能，闪光可区分门铃或报警，提醒用户有门铃或警报已触发</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6、当有访客按门铃室外机的呼叫键时，室内的显示屏会点亮，显示室外来访人的图像，并同时响起铃声并伴有闪光，与此同时会发送无线信号到无线震动手环，提醒有访客来访</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7、室外机130W高清摄像头，具有防拆报警功能，当有人拆除室外机时，室内的显示屏会点亮，显示室外的图像，会触发无线震动手环，提醒用户有警报触发</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8、可联动光电式烟雾探测器，当室内烟雾达到浓度将触发报警，并同时会发送信号到门铃，并触发无线震动手环及无线闪光器（标配）</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9、可联动燃气报警器，当室内的天然气或煤气气体达到浓度将触发报警，并同时会发送信号到门铃，并触发无线震动手环及无线闪光器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10、无线闪光器，无论是访客来访，有人拆室外机，烟感报警，还是气感报警，都会触发无线闪光器发出强光，同时发出铃音，以声光的方式提醒用户</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11、配门磁报警器，门磁报警器安装在大门入口，在开启的状态下，只要有人推开大门，门磁报警器就会发射信号给主机，手环就会开始震动                                              12、漏水报警器，漏水报警器触发后会发射信号给主机，手环就会开始震动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13、带wifi远程版本除以上功能外还增加了：带手机APP，可手机远程可视对讲功能、手机远程监控功能、手机远程报警信号接收功能，带拍照/录像功能。</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可视门铃B</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1、触摸按键；                                                                            2、广角镜头，130W高清摄像头；                                                        3、红外夜视；                                                                      4、带对讲及防拆报警功能；                                                                         5、与室内机6芯线连接；                                                                                         6、7英寸高清屏；                                                                                                                                                                                                                7、可视对讲功能；                                                                                                                 8、实时监控功能，免打扰功能，24H监控功能                                                                                        9、两种颜色高亮LED灯提示，可区分门铃和报警信号；                                                                                10、工作频率：433.92MHz±200KHz；                                                                               11、接收距离：20米以上；                                                                                                                            12、音量四级可调：25－110dB；                                                                                  13、铃声选择：28首和旋可选；                                                                                                                14、闪光方式：高亮白色LED闪光。</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听书机</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1、屏幕4.3寸以上；                                                                                                                  2、存储：机身4G内存，支持外置TF卡；                                                                                                                                                                                    3、有TV-OUT输出接口；4、机身6个按键；                                                                                           5、支持电子书籍格式；                                                                                                                     6、有音频、视频、收音机等功能；                                                                                              7、具有录音功能；                                                                                                        8、支持简体中文、繁体中文、英文、日语；                                                                                           9、材质：ABS工程塑料，抗冲击；                                                                                                     10、全程具有语音提示功能。</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大字体震动闹钟</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1、全新设计震动闹钟；</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2、多组自由闹钟独立设置；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3、精准定铃，精准走时，兼有计时器功能（正计时或倒计时）；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4、键盘锁定：键盘锁定后，按键均无效，防止按错；</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5、闪灯提醒：有闪灯提醒；</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6、具有贪睡功能；闹铃响起后，按前面3个中的任意一个按键，5分钟后再次响起；</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7、一键止闹：闹钟响起后，按后面任意一个键闹铃关闭，同时不影响下一个闹铃响闹；</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8、电池：2节AAA7号电池。</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语音盲文震动钟</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1、适合盲人群体与聋人群体； </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2、具有震动模式；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3、具有摸触功能，触摸可获知时间，触摸点代替传统2表针，不容易走位，变形； </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4、具有语音报时功能；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5、具有年、月、日、星期提示；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6、无障碍小钟具有闹钟功能；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7、有音量增减调节；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8、具有透明盖子，可直视或打开盖子触摸获知时间；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9、防滑钟底，放桌子上或其他地方，不轻易摔坏；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10、外壳采用防滑手感塑胶，高档、环保；</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11、尺寸：108*121*82.6mm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语音提醒手表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1、洪厚的大声音报时功能；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2、具有整点报时及闹钟功能；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3、标准触摸盲点，高度为0.9mm，触摸时更加准确；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4、不锈钢多种搭配简易表带；                                                                                            5、防水表盖，防止沾水及进灰尘；                                                                                     6、手表总长：30cm。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块</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语音盲表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1.执行标准：按GB/T6044-2005《指针式石英手表》国家标准执行；</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2.产品组成：表盘和表带；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3.性能参数：</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1）工作时间：待机时间1年；</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2）供电方式：SR626纽扣电池；</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3）机芯：PC21走时机芯和电子报时机芯；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4.规格：</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1）表盘：直径38mm；</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2）表带：长184mm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5.材质：</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1）表壳采用合金 ；</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2）表带采用钢制；</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3）表盖采用石英玻璃 ；</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4）后盖采用不锈钢；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6.功能：</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1）具有语音报时功能，可播报当前时间 ；</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2）具有整点报时功能；</w:t>
            </w:r>
          </w:p>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3）具有闹铃及贪睡功能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7.包装：配有独立包装盒。</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块</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振动式提醒手表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1、正常时间功能：显示时间，日，月，星期，并可实现12/24小时的转换</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2、倒数功能：计时范围1秒至24小时之间，并有自动重复和进度响报功能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3、秒表功能：测量范围23：59：59。99。并设有自动开始功能和目标时间功能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4、闹铃功能：每日闹铃功能，并有整点报时功能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5、两地时间功能：为你显示另一个时区的时间，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6、震动功能：在开启的情况下，震动提示使用者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7、EL功能：3秒冷光</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块</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防溢报警器</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1、防溢功能：将挂钩置于容器边，呈悬挂状，液体在接触防溢开关时，即报警提示；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2、长x宽x厚：62mmx31mmx23mm。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阅读架</w:t>
            </w:r>
          </w:p>
        </w:tc>
        <w:tc>
          <w:tcPr>
            <w:tcW w:w="680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1、可调节高度、视角、用于阅读和书写；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2、ABS材质；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3、阅读板尺寸：（长*宽）约500*200mm</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709"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1"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8223"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8223"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8223"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8223"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8223"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成品辅具、使用指导、运输配送、备品备件、跟踪回访、质保服务、使用指导、培训、技术支持、验收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1"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04"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8327"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31"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8223"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2、投标产品中涉及国家专项审批的，投标人在投标文件中需提供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8223" w:type="dxa"/>
            <w:gridSpan w:val="3"/>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8223" w:type="dxa"/>
            <w:gridSpan w:val="3"/>
            <w:tcBorders>
              <w:top w:val="single" w:color="auto" w:sz="4" w:space="0"/>
              <w:left w:val="single" w:color="auto" w:sz="4" w:space="0"/>
              <w:bottom w:val="single" w:color="auto" w:sz="4" w:space="0"/>
              <w:right w:val="single" w:color="auto" w:sz="4" w:space="0"/>
            </w:tcBorders>
            <w:noWrap/>
            <w:vAlign w:val="center"/>
          </w:tcPr>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第三十五项、第四十二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8"/>
              <w:jc w:val="both"/>
              <w:rPr>
                <w:color w:val="auto"/>
                <w:szCs w:val="21"/>
                <w:highlight w:val="none"/>
              </w:rPr>
            </w:pPr>
            <w:r>
              <w:rPr>
                <w:rFonts w:hint="eastAsia" w:ascii="宋体" w:hAnsi="宋体" w:eastAsia="宋体" w:cs="宋体"/>
                <w:color w:val="auto"/>
                <w:sz w:val="21"/>
                <w:szCs w:val="21"/>
                <w:highlight w:val="none"/>
              </w:rPr>
              <w:t>▲2、第35项、第42项</w:t>
            </w:r>
            <w:r>
              <w:rPr>
                <w:rFonts w:hint="eastAsia" w:asciiTheme="minorEastAsia" w:hAnsiTheme="minorEastAsia" w:eastAsiaTheme="minorEastAsia"/>
                <w:color w:val="auto"/>
                <w:sz w:val="21"/>
                <w:szCs w:val="21"/>
                <w:highlight w:val="none"/>
              </w:rPr>
              <w:t>投标产品需提供</w:t>
            </w:r>
            <w:r>
              <w:rPr>
                <w:rFonts w:hint="eastAsia" w:asciiTheme="minorEastAsia" w:hAnsiTheme="minorEastAsia" w:eastAsiaTheme="minorEastAsia"/>
                <w:color w:val="auto"/>
                <w:sz w:val="21"/>
                <w:szCs w:val="21"/>
                <w:highlight w:val="none"/>
                <w:lang w:val="en-US" w:eastAsia="zh-CN"/>
              </w:rPr>
              <w:t>省级及以上相关专业质量监督检验部门出具的检测报告</w:t>
            </w:r>
            <w:r>
              <w:rPr>
                <w:rFonts w:hint="eastAsia" w:asciiTheme="minorEastAsia" w:hAnsiTheme="minorEastAsia" w:eastAsiaTheme="minorEastAsia"/>
                <w:color w:val="auto"/>
                <w:sz w:val="21"/>
                <w:szCs w:val="21"/>
                <w:highlight w:val="none"/>
              </w:rPr>
              <w:t>，检测报告的检测时间为三年（2019年、2020年、2021年）。</w:t>
            </w:r>
          </w:p>
        </w:tc>
      </w:tr>
    </w:tbl>
    <w:p>
      <w:pPr>
        <w:spacing w:line="400" w:lineRule="exact"/>
        <w:ind w:firstLine="426" w:firstLineChars="202"/>
        <w:jc w:val="left"/>
        <w:rPr>
          <w:b/>
          <w:color w:val="auto"/>
          <w:szCs w:val="21"/>
          <w:highlight w:val="none"/>
        </w:rPr>
      </w:pPr>
    </w:p>
    <w:p>
      <w:pPr>
        <w:pStyle w:val="8"/>
        <w:rPr>
          <w:b/>
          <w:color w:val="auto"/>
          <w:sz w:val="21"/>
          <w:szCs w:val="21"/>
          <w:highlight w:val="none"/>
        </w:rPr>
      </w:pPr>
    </w:p>
    <w:p>
      <w:pPr>
        <w:rPr>
          <w:rFonts w:ascii="Arial" w:hAnsi="Arial" w:eastAsia="黑体"/>
          <w:color w:val="auto"/>
          <w:kern w:val="0"/>
          <w:highlight w:val="none"/>
        </w:rPr>
      </w:pPr>
      <w:r>
        <w:rPr>
          <w:color w:val="auto"/>
          <w:highlight w:val="none"/>
        </w:rPr>
        <w:br w:type="page"/>
      </w:r>
    </w:p>
    <w:p>
      <w:pPr>
        <w:spacing w:line="400" w:lineRule="exact"/>
        <w:ind w:firstLine="426" w:firstLineChars="202"/>
        <w:jc w:val="left"/>
        <w:rPr>
          <w:b/>
          <w:color w:val="auto"/>
          <w:szCs w:val="21"/>
          <w:highlight w:val="none"/>
        </w:rPr>
      </w:pPr>
      <w:r>
        <w:rPr>
          <w:rFonts w:hint="eastAsia"/>
          <w:b/>
          <w:color w:val="auto"/>
          <w:szCs w:val="21"/>
          <w:highlight w:val="none"/>
        </w:rPr>
        <w:t>F分标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974"/>
        <w:gridCol w:w="159"/>
        <w:gridCol w:w="6033"/>
        <w:gridCol w:w="817"/>
        <w:gridCol w:w="9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033"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817"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942"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845"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脊柱固定矫形器（定制）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1.矫形器专用聚丙烯板材：聚丙烯材料，产品厚度3mm/4mm/5mm；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2.内衬板：EVA发泡；硬度：邵氏18°；加热温度：110℃；厚度3/4/5mm.无孔；</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3.紧固扣：材质、规格：塑料扣+不锈钢条；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4.包边条：材质、规格：聚酯纤维2.5cm×25m；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5.氨纶沙套：材质、规格：涤纶6cm×20m/8cm×20m/13cm×10m；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6.弹性绑带：材质、规格：尼龙2.5cm×25m。</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脊柱侧弯矫形器（定制）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矫形器用聚丙烯板材、聚丙烯材料，产品整体长度×宽度2000mm×1000mm，产品厚度3mm；矫形器用聚丙烯板材、聚丙烯材料，产品整体长度×宽度：2000mm×1000mm，产品厚度4mm；矫形器用聚丙烯板材、聚丙烯材料，产品整体长度×宽度：2000mm×1000mm，产品厚度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2.内衬材料材质：EVA发泡；硬度：邵氏18°；加热温度：110℃；规格：1000x1000mm，厚度3，4，5mm.无孔。</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3.紧固扣：材质、规格：塑料扣+不锈钢条；</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4.包边条：材质、规格：聚酯纤维2.5cm×25m；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5.氨纶沙套：材质、规格：涤纶6cm×20m/8cm×20m/13cm×10m；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6.弹性绑带：材质、规格：尼龙2.5cm×25m。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7.数字化取型，数字化设计，聚氨酯模块雕刻后加工。</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腰椎固定器（成品）</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主要用于腰椎术后，椎体滑脱，腰椎前凸的辅助治疗滑轮系统可以放大对腹部的压力，提供很强的稳定、固定性能。材料透气性能好，易拆下，易清洗</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精品围腰（成品）</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由板材和弹力织带组成，毛毡面反复粘连数次不起球不脱落，钩面细密平滑，不划手，易拆下，易清洗。</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个</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腕手矫形器（定制）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1.矫形器专用聚乙烯板材：产品规格：厚度为3mm/4mm/5mm。                            2.矫形器内衬板:厚度3mm，有透气孔，带背胶。                                                                                     3.搭扣：塑料扣+不锈钢环。                                                              4.魔术贴粘带：规格：宽度2.0cm，有钩面和毛面。                                                       5.子母钉：规格：ø3.4×8×9 mm 不锈钢。                                                                                                                                                 6.专用石膏绷带：石膏纤维合成材质。  </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功能护腕</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塑钢弧度，网状透气面料，分左右规格。</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肩固定带</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高分子材料，织物，金属；有可调节魔术贴。</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足矫形器（定制鞋垫）</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1.通过2D/3D扫描仪，静态，动态压力检测仪，以及步态摄像，全方位分析诊断足部受力状况，以及下肢生物力学的异常。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2.数字化加工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3.多种模块及表面覆盖材料可选。</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双</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足矫形器（成品鞋垫）</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1.透气功能材料，提供一定支持力                                                       2.规格：适合鞋码30-46码鞋                                                             </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双</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足矫形器（成品儿童矫正鞋）</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1.材质：牛皮、优质橡胶；</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2.规格：适用足长从14cm—22cm，共8种规格，分左右脚；</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3.鞋子分高帮/低帮（根据症状需要而定）；矫形鞋后跟加厚；底前掌部上翘，鞋底为加厚软底，鞋底宽过足底</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双</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踝足矫形器（定制）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1.踝关节自由活动，合金材料，产品整体高度63-78mm，螺钉规格M5X6，关节不带支条连接；</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2.矫形器专用聚乙烯板材：产品规格：厚度为3mm/4mm/5mm。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3.内衬板：EVA发泡；硬度：邵氏18°；加热温度：110℃；厚度3/4/5mm；无孔。</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踝足矫形器（成品静态</w:t>
            </w:r>
            <w:r>
              <w:rPr>
                <w:rStyle w:val="113"/>
                <w:rFonts w:hint="eastAsia" w:ascii="宋体" w:hAnsi="宋体" w:cs="宋体"/>
                <w:color w:val="auto"/>
                <w:sz w:val="21"/>
                <w:szCs w:val="21"/>
                <w:highlight w:val="none"/>
              </w:rPr>
              <w:t>AFO</w:t>
            </w:r>
            <w:r>
              <w:rPr>
                <w:rStyle w:val="105"/>
                <w:rFonts w:hint="default"/>
                <w:color w:val="auto"/>
                <w:sz w:val="21"/>
                <w:szCs w:val="21"/>
                <w:highlight w:val="none"/>
              </w:rPr>
              <w:t>）</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1.矫形器专用聚丙烯板材：产品规格：厚度为3mm/4mm/5mm。                            2.EVA矫形器内衬板:规格：有透气孔，带背胶。                                                                                     3.搭扣：塑料扣+不锈钢环。                                                              4.魔术贴粘带：规格：宽度2.0cm，有钩面和毛面。                                    5.子母钉：规格：ø3.4×8×9 mm 不锈钢。                                                                                                                                                                                                                                                                                                             6.铜铆钉（含垫片）：4×20mm                                                                    7.铝铆钉（含垫片）：4×20mm  </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680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踝足矫形器</w:t>
            </w:r>
            <w:r>
              <w:rPr>
                <w:rStyle w:val="113"/>
                <w:rFonts w:hint="eastAsia" w:ascii="宋体" w:hAnsi="宋体" w:cs="宋体"/>
                <w:color w:val="auto"/>
                <w:sz w:val="21"/>
                <w:szCs w:val="21"/>
                <w:highlight w:val="none"/>
              </w:rPr>
              <w:t>(</w:t>
            </w:r>
            <w:r>
              <w:rPr>
                <w:rStyle w:val="105"/>
                <w:rFonts w:hint="default"/>
                <w:color w:val="auto"/>
                <w:sz w:val="21"/>
                <w:szCs w:val="21"/>
                <w:highlight w:val="none"/>
              </w:rPr>
              <w:t>成品动态</w:t>
            </w:r>
            <w:r>
              <w:rPr>
                <w:rStyle w:val="113"/>
                <w:rFonts w:hint="eastAsia" w:ascii="宋体" w:hAnsi="宋体" w:cs="宋体"/>
                <w:color w:val="auto"/>
                <w:sz w:val="21"/>
                <w:szCs w:val="21"/>
                <w:highlight w:val="none"/>
              </w:rPr>
              <w:t>AFO)</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1.内衬可拆洗；                                                             2.尺码（厘米） S  M  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3.适合鞋码&lt;37 38-43 &gt;43</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1400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膝踝足矫形器（定制）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1.踝关节自由活动，合金材料，产品整体高度63-78mm，螺钉规格M5X6，关节不带支条连接；</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2.矫形器专用聚丙烯板材：聚丙烯材料，产品厚度3mm/4mm/5mm；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3.内衬板：EVA发泡；硬度：邵氏18°；加热温度：110℃；厚度3/4/5mm.无孔；</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4.材质：铝合金带关节支条、复合面料；</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5.规格：膝关节围长（cm）：28-31、31-35、35-39、39-43；</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6.落环锁膝关节合金钢材料，落环锁，上下支条长度220-410/250-390mm，支条宽度12-16mm，厚度3-5mm，铰链直径16-20mm。</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髋矫形器（成品）</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1.塑料板材制成，多种透气内衬可供患儿选择；</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2.可根据医师需求，将髋关节控制在单侧外展90°的角度；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3.可根据患者实际情况，在产品的调节底板上选择合适的孔距，以改变外展角度；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4.分为S/M/L码         </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髋矫形器（定制）</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1.矫形器专用聚丙烯板材：产品规格：厚度为3mm/4mm/5mm。                            2.EVA矫形器内衬板:规格：厚度3mm，有透气孔，带背胶。                                                                                     3.搭扣：塑料扣+不锈钢环。                                                              4.魔术贴粘带：规格：宽度2.0cm，有钩面和毛面。                                      5.髋铰链：铝合金材质，可限位，可内收30度、外展150度、屈髋90度调节。                                                                                                                                                                                                                                                                                                        6.子母钉：规格：ø3.4×8×9 mm 不锈钢。                                                                                                                                                                                                                                                                                                             7.铜铆钉（含垫片）：4×20mm                                                                    8.铝铆钉（含垫片）：4×20mm                                                                9.假肢、矫形器专用石膏绷带：材质：石膏纤维合成。                                                                     </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硅胶半足</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材质：硅胶，定制成型</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尺寸：适合足长为16-28cm，不同的宽度选择</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颜色：4个肤色可供选择</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踝离断假肢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塞姆脚板：假肢耐用并且稳定性高，聚氨酯材料制成，配备踝部粘合杨木踝，木踝根据残肢情况打磨雕刻并连接到脚板上，尺寸：23-28cm，重量：255-435g，系统高度：10mm，最大承重：100kg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树脂接受腔：主要树脂：丙烯酸材质，无异味，快速固化，制成品符合医用标准，对人体安全无害，可直接接触皮肤，规格：4.6kg/桶，粘度（20℃时）：350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其它材料包含：固化剂、颜色糊、丙纶、玻纤、成品PVA膜、碳纤维布、接受腔EVA内衬板材。</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19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小腿假肢（普及型）动踝脚板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1、动踝脚板：假肢耐用并且稳定性高，，尺寸：21-28cm，重量：255-435g，系统高度：42-49mm，最大承重：100kg ；（提供第三方检测报告）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2、动踝关节（自重≤200g，适用体重≥100Kg，适用于20cm-28cm的脚号，材质为合金；）；                                     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4、四爪连接盘：零部件组件每套独立包装；自重≤55g，适用体重≥100Kg，材质为合金；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5、合金一体管：一体化连接管、管连接头为合金材料，自重≤170g；适用体重≥100Kg；合金管长度≧200mm，壁厚度≧2mm，直径30mm；连接器为合金材质；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其它材料包含：固化剂、颜色糊、丙纶、玻纤、成品PVA膜、碳纤维布、接受腔EVA内衬板材。                                                                          7、小腿海绵: 管直径:30和34cm，材料为PUR软性泡沫外套，长度：约55cm ，颜色米黄色。</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小腿假肢（功能型）碳纤脚板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highlight w:val="none"/>
              </w:rPr>
            </w:pPr>
            <w:r>
              <w:rPr>
                <w:rFonts w:hint="eastAsia" w:ascii="宋体" w:hAnsi="宋体" w:cs="宋体"/>
                <w:color w:val="auto"/>
                <w:kern w:val="0"/>
                <w:szCs w:val="21"/>
                <w:highlight w:val="none"/>
              </w:rPr>
              <w:t>1、 碳纤脚板： 重量轻，强度高， 防尘、防污染、防溅水， 分趾碳纤仿生结构，安全稳定，左右弥补能力强，高分子聚合物足跟，尺寸：22-28cm，脚皮：窄型（22-23cm），女士适用；普通型（24-28cm）重量：343g，系统高度：49mm，最大承重：75kg（22-23cm），100kg（24-25cm），125kg（26-28cm）（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3、四爪连接盘：零部件组件每套独立包装；自重≤55g，适用体重≥100Kg，材质为合金；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4、合金一体管：一体化连接管、管连接头为合金材料，自重≤170g；适用体重≥100Kg；合金管长度≧200mm，壁厚度≧2mm，直径30mm；连接器为合金材质；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5、树脂接受腔：主要树脂：丙烯酸材质，无异味，快速固化，制成品符合医用标准，对人体安全无害，可直接接触皮肤，规格：4.6kg/桶，粘度（20℃时）：350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其它材料包含：固化剂、颜色糊、丙纶、玻纤、成品PVA膜、碳纤维布、接受腔EVA内衬板材。                                                               6、小腿海绵: 管直径:30和34cm，材料为PUR软性泡沫外套，长度：约55cm ，颜色米黄色。</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小腿假肢（功能型）动踝脚板</w:t>
            </w:r>
            <w:r>
              <w:rPr>
                <w:rStyle w:val="113"/>
                <w:rFonts w:hint="eastAsia" w:ascii="宋体" w:hAnsi="宋体" w:cs="宋体"/>
                <w:color w:val="auto"/>
                <w:sz w:val="21"/>
                <w:szCs w:val="21"/>
                <w:highlight w:val="none"/>
              </w:rPr>
              <w:t>+</w:t>
            </w:r>
            <w:r>
              <w:rPr>
                <w:rStyle w:val="105"/>
                <w:rFonts w:hint="default"/>
                <w:color w:val="auto"/>
                <w:sz w:val="21"/>
                <w:szCs w:val="21"/>
                <w:highlight w:val="none"/>
              </w:rPr>
              <w:t>硅凝胶内衬套</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 xml:space="preserve">1、动踝脚板：尺寸：21-28cm，重量：255-435g，系统高度：42-49mm，最大承重：100kg ；（提供第三方检测报告）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2、动踝关节（自重≤200g，适用体重≥100Kg，适用于20cm-28cm的脚号，材质为合金；）；                                     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4、四爪连接盘：零部件组件每套独立包装；自重≤55g，适用体重≥100Kg，材质为合金；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5、合金一体管：一体化连接管、管连接头为合金材料，自重≤170g；适用体重≥100Kg；合金管长度≧200mm，壁厚度≧2mm，直径30mm；连接器为合金材质；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其它材料包含：固化剂、颜色糊、丙纶、玻纤、成品PVA膜、碳纤维布、接受腔EVA内衬板材。</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7、小腿硅胶（凝胶）内衬套：优选织物，渐变型剖面：远端厚度、中部厚度和膝后厚度不一样，配套锁具，每套独立包装。                                                            8、小腿海绵: 管直径:30和34cm，材料为PUR软性泡沫外套，长度：约55cm ，颜色米黄色。</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小腿假肢（优越型）碳纤脚板</w:t>
            </w:r>
            <w:r>
              <w:rPr>
                <w:rStyle w:val="113"/>
                <w:rFonts w:hint="eastAsia" w:ascii="宋体" w:hAnsi="宋体" w:cs="宋体"/>
                <w:color w:val="auto"/>
                <w:sz w:val="21"/>
                <w:szCs w:val="21"/>
                <w:highlight w:val="none"/>
              </w:rPr>
              <w:t>+</w:t>
            </w:r>
            <w:r>
              <w:rPr>
                <w:rStyle w:val="105"/>
                <w:rFonts w:hint="default"/>
                <w:color w:val="auto"/>
                <w:sz w:val="21"/>
                <w:szCs w:val="21"/>
                <w:highlight w:val="none"/>
              </w:rPr>
              <w:t>硅凝胶内衬套</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highlight w:val="none"/>
              </w:rPr>
            </w:pPr>
            <w:r>
              <w:rPr>
                <w:rFonts w:hint="eastAsia" w:ascii="宋体" w:hAnsi="宋体" w:cs="宋体"/>
                <w:color w:val="auto"/>
                <w:kern w:val="0"/>
                <w:szCs w:val="21"/>
                <w:highlight w:val="none"/>
              </w:rPr>
              <w:t>1、 碳纤脚板：  重量轻，强度高， 防尘、防污染、防溅水， 分趾碳纤仿生结构，安全稳定，左右弥补能力强，高分子聚合物足跟，尺寸：22-28cm，脚皮：窄型（22-23cm），女士适用；普通型（24-28cm）重量：343g，系统高度：49mm，最大承重：75kg（22-23cm），100kg（24-25cm），125kg（26-28cm）（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3、四爪连接盘：零部件组件每套独立包装；自重≤55g，适用体重≥100Kg，材质为合金；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4、合金一体管：一体化连接管、管连接头为合金材料，自重≤170g；适用体重≥100Kg；合金管长度≧200mm，壁厚度≧2mm，直径30mm；连接器为合金材质；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5、树脂接受腔：主要树脂：丙烯酸材质，无异味，快速固化，制成品符合医用标准，对人体安全无害，可直接接触皮肤，规格：4.6kg/桶，粘度（20℃时）：350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其它材料包含：固化剂、颜色糊、丙纶、玻纤、成品PVA膜、碳纤维布、接受腔EVA内衬板材。                                                                  6、小腿硅胶（凝胶）内衬套：优选织物，渐变型剖面：远端厚度、中部厚度和膝后厚度不一样;配套锁具，每套独立包装。                                                         7、小腿海绵: 管直径:30和34cm，材料为PUR软性泡沫外套，长度：约55cm ，颜色米黄色。</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小腿假肢（优越型）碳纤脚板+硅凝胶内衬套</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碳纤脚板：高分子聚合物足跟，尺寸：22-28cm，脚皮：窄型（22-23cm），女士适用；普通型（24-28cm）重量：343g，系统高度：49mm，最大承重：75kg（22-23cm），100kg（24-25cm），125kg（26-28cm），包含脚皮（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2.锁紧管接头：自重≤80g，适用体重≤100Kg，管直径为30mm，材质为合金；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3.四爪连接盘：自重≤80g，适用体重≤100Kg，材质为合金；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4.小腿一体管：合金材料，自重≤170g，适用体重≤100Kg，长250mm±20mm，直径30mm；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5.树脂接受腔：丙烯酸材质，无异味，快速固化，制成品符合医用标准，对人体安全无害，可直接接触皮肤，规格：4.6kg/桶，粘度（20℃时）：350 mPa.s，产品通过CE认证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其它材料包含：固化剂、颜色糊、丙纶、玻纤、成品PVA膜、碳纤维布、接受腔EVA内衬板材。                                                                          6.小腿海绵: 材料为PUR软性泡沫外套，肤色。                                  7.小腿包装袜：小腿外装饰袜子：锦纶丝材质，肤色。                            8.小腿残肢袜：纯棉材质。                                                   9.小腿硅胶内衬套（锁具型）：优选织物，单向拉伸织物相对末端矩阵更有效的防止残肢窜动，在限制内衬套纵向拉伸的同时保证围长的伸展，易于适配不同的残肢形状。渐变型剖面：远端厚度、中部厚度和膝后厚度不一样，穿戴和屈膝更加舒适;配套锁具，每套独立包装。</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膝离断假肢（普及型）机械关节+动踝脚板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1、四连杆机械膝离断关节：采用优质合金钢材料精密加工而成， 屈曲角度：110度，重量：655g，材质：合金钢，系统高度：99mm，最大承重：120kg。（提供第三方检测报告）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2、动踝脚板：尺寸：21-28cm，重量：255-435g，系统高度：42-49mm，最大承重：100kg ；（提供第三方检测报告）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3、动踝关节（自重≤200g，适用体重≥100Kg，适用于20cm-28cm的脚号，材质为合金；）；                                                                    4、锁紧管接头：零部件组件每套独立包装，自重≤80g，适用体重≥100Kg，管直径为30mm，材质为合金；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其它材料包含：固化剂、颜色糊、丙纶、玻纤、成品PVA膜、碳纤维布、阀门弯管及自动排气阀门。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7、膝离断海绵：材料为PUR软性泡沫，分左右腿，长度94cm，颜色米黄色易于打磨，外形预成型。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膝离断假肢（功能型）气压关节+动踝脚板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1、新型双气压系统关节；关节质量稳定，功能齐全，容易调整； 材质颜色：关节为上部与下部铝镁合金材料，中部有灰色塑料包裹关节体，重量760克；屈曲角度：150°高度：156mm，同样的关节可以分为3种连接方式a、四棱台连接：b、螺纹头连接：c、膝离断连接；  膝关节最小屈膝夹角可达30度；  膝关节包含管连接器，外径Ф30cm； 产品经300万次动态检测，质量符合标准；（提供第三方检测报告）                             </w:t>
            </w:r>
          </w:p>
          <w:p>
            <w:pPr>
              <w:widowControl/>
              <w:spacing w:line="320" w:lineRule="exact"/>
              <w:jc w:val="left"/>
              <w:textAlignment w:val="center"/>
              <w:rPr>
                <w:color w:val="auto"/>
                <w:highlight w:val="none"/>
              </w:rPr>
            </w:pPr>
            <w:r>
              <w:rPr>
                <w:rFonts w:hint="eastAsia" w:ascii="宋体" w:hAnsi="宋体" w:cs="宋体"/>
                <w:color w:val="auto"/>
                <w:kern w:val="0"/>
                <w:szCs w:val="21"/>
                <w:highlight w:val="none"/>
              </w:rPr>
              <w:t xml:space="preserve">2、动踝脚板：假肢耐用并且稳定性高，尺寸：21-28cm，重量：255-435g，系统高度：42-49mm，最大承重：100kg ；（提供第三方检测报告）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3、动踝关节（自重≤200g，适用体重≥100Kg，适用于20cm-28cm的脚号，材质为合金；）；                                                                   4、锁紧管接头：零部件组件每套独立包装，自重≤80g，适用体重≥100Kg，管直径为30mm，材质为合金；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                                                                        7、膝离断腿海绵：材料为PUR软性泡沫，分左右腿，长度94cm，颜色米黄色易于打磨，外形预成型。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膝离断假肢（功能型）机械关节+碳纤脚板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color w:val="auto"/>
                <w:highlight w:val="none"/>
              </w:rPr>
            </w:pPr>
            <w:r>
              <w:rPr>
                <w:rFonts w:hint="eastAsia" w:ascii="宋体" w:hAnsi="宋体" w:cs="宋体"/>
                <w:color w:val="auto"/>
                <w:kern w:val="0"/>
                <w:szCs w:val="21"/>
                <w:highlight w:val="none"/>
              </w:rPr>
              <w:t>1、四连杆机械膝离断关节：采用优质合金钢材料精密加工而成， 通过调整膝轴摩擦力和伸展辅助装置来控制摆动期， 四连杆结构保证膝关节支撑期的稳定性， 关节带上端膝离断连接结构，屈曲角度：110度，重量：655g，材质：合金钢，系统高度：99mm，最大承重：120kg。（提供第三方检测报告）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2、碳纤脚板：  重量轻，强度高， 防尘、防污染、防溅水， 分趾碳纤仿生结构，安全稳定，左右弥补能力强，高分子聚合物足跟， 尺寸：22-28cm，脚皮：窄型（22-23cm），女士适用；普通型（24-28cm）重量：343g，系统高度：49mm，最大承重：75kg（22-23cm），100kg（24-25cm），125kg（26-28cm）（提供第三方检测报告）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                                                                        6、膝离断海绵：材料为PUR软性泡沫，分左右腿，长度94cm，颜色米黄色易于打磨，外形预成型。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膝离断假肢（优越性）气压关节+碳纤脚板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1、新型双气压系统关节；关节质量稳定，功能齐全，容易调整； 材质颜色：关节为上部与下部铝镁合金材料，中部有灰色塑料包裹关节体，重量760克；屈曲角度：150°高度：156mm，同样的关节可以分为3种连接方式a、四棱台连接：适合正常截肢的大腿用户；b、螺纹头连接：适合长残肢的大腿用户c、膝离断连接：适合膝离断的截肢用户； 屈曲阻尼与伸展阻尼互不干扰调整后的摆动期阻尼控制比例及和谐的摆动期伸展限位缓冲功能使步态更加自然，减少了体能的消耗；残疾人穿戴舒适方便； 适合体重100公斤以下截肢患者；膝关节最小屈膝夹角可达30度；  膝关节包含管连接器，外径Ф30cm； 产品经300万次动态检测，质量符合标准；（提供第三方检测报告）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2、碳纤脚板：重量轻，强度高 防尘、防污染、防溅水， 分趾碳纤仿生结构，高分子聚合物足跟， 尺寸：22-28cm，脚皮：窄型（22-23cm），女士适用；普通型（24-28cm）重量：343g，系统高度：49mm，最大承重：75kg（22-23cm），100kg（24-25cm），125kg（26-28cm）（提供第三方检测报告）</w:t>
            </w:r>
          </w:p>
          <w:p>
            <w:pPr>
              <w:widowControl/>
              <w:spacing w:line="320" w:lineRule="exact"/>
              <w:jc w:val="left"/>
              <w:textAlignment w:val="center"/>
              <w:rPr>
                <w:color w:val="auto"/>
                <w:highlight w:val="none"/>
              </w:rPr>
            </w:pPr>
            <w:r>
              <w:rPr>
                <w:rFonts w:hint="eastAsia" w:ascii="宋体" w:hAnsi="宋体" w:cs="宋体"/>
                <w:color w:val="auto"/>
                <w:kern w:val="0"/>
                <w:szCs w:val="21"/>
                <w:highlight w:val="none"/>
              </w:rPr>
              <w:t xml:space="preserve">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                                                                        6、膝离断海绵：材料为PUR软性泡沫，分左右腿，长度94cm，颜色米黄色易于打磨，外形预成型。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大腿假肢（普及型）：机械膝关节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1、四连杆机械关节：采用优质合金钢材料精密加工而成，屈曲角度：110度，重量：820g，材质：合金钢，系统高度：41mm，最大承重：100kg。（提供第三方检测报告）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2、动踝脚板：假肢耐用并且稳定性高，尺寸：21-28cm，重量：255-435g，系统高度：42-49mm，最大承重：100kg；（提供第三方检测报告）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3、动踝关节（自重≤200g，适用体重≥100Kg，适用于20cm-28cm的脚号，材质为合金；）；                                                4、锁紧管接头：零部件组件每套独立包装，自重≤80g，适用体重≥100Kg，管直径为30mm，材质为合金；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5、三爪连接盘：零部件组件每套独立包装；自重≤180g、适用体重≥100Kg、不锈钢材质；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8、大腿海绵：材料为PUR软性泡沫，分左右腿，长度94cm，颜色米黄色易于打磨，外形预成型。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29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大腿假肢（功能型）气压膝关节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新型双气压系统关节；材质颜色：关节为上部与下部铝镁合金材料，中部有灰色塑料包裹关节体，重量760克；屈曲角度：150°高度：156mm，同样的关节可以分为3种连接方式a、四棱台连接：适合正常截肢的大腿用户；b、螺纹头连接：适合长残肢的大腿用户c、膝离断连接：适合膝离断的截肢用户； 膝关节最小屈膝夹角可达30度；  膝关节包含管连接器，外径Ф30cm； 产品经300万次动态检测，质量符合标准；（提供第三方检测报告）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2、动踝脚板：假肢耐用并且稳定性高，适合小腿、大腿截肢、髋离断等用户以及肌力较弱的中老年用户和女性用户，尺寸：21-28cm，重量：255-435g，系统高度：42-49mm，最大承重：100kg ；（提供第三方检测报告）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3、动踝关节（自重≤200g，适用体重≥100Kg，适用于20cm-28cm的脚号，材质为合金；）；                                                       4、锁紧管接头：零部件组件每套独立包装，自重≤80g，适用体重≥100Kg，管直径为30mm，材质为合金；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5、三爪连接盘：零部件组件每套独立包装；自重≤180g、适用体重≥100Kg、不锈钢材质；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                                                                         8、大腿海绵：材料为PUR软性泡沫，分左右腿，长度94cm，颜色米黄色易于打磨，外形预成型。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大腿假肢（功能型）机械膝关节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碳纤脚板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eastAsiaTheme="minorEastAsia"/>
                <w:color w:val="auto"/>
                <w:kern w:val="0"/>
                <w:szCs w:val="21"/>
                <w:highlight w:val="none"/>
              </w:rPr>
            </w:pPr>
            <w:r>
              <w:rPr>
                <w:rFonts w:hint="eastAsia" w:ascii="宋体" w:hAnsi="宋体" w:cs="宋体"/>
                <w:color w:val="auto"/>
                <w:kern w:val="0"/>
                <w:szCs w:val="21"/>
                <w:highlight w:val="none"/>
              </w:rPr>
              <w:t>1、四连杆机械关节：采用优质合金钢材料精密加工而成， 四连杆结构保证膝关节支撑期的稳定性，屈曲角度：110度，重量：820g，材质：合金钢，系统高度：41mm，最大承重：100kg。（提供第三方检测报告）</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2、碳纤脚板： 重量轻，强度高， 防尘、防污染、防溅水， 分趾碳纤仿生结构，高分子聚合物足跟， 尺寸：22-28cm，脚皮：窄型（22-23cm），女士适用；普通型（24-28cm）重量：343g，系统高度：49mm，最大承重：75kg（22-23cm），100kg（24-25cm），125kg（26-28cm）（提供第三方检测报告）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4、三爪连接盘：零部件组件每套独立包装；自重≤180g、适用体重≥100Kg、不锈钢材质；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7、大腿海绵：材料为PUR软性泡沫，分左右腿，长度94cm，颜色米黄色易于打磨，外形预成型。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31</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大腿假肢（优越型）气压膝关节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碳纤脚板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1、新型双气压系统关节； 材质颜色：关节为上部与下部铝镁合金材料，中部有灰色塑料包裹关节体，重量760克；屈曲角度：150°高度：156mm，同样的关节可以分为3种连接方式a、四棱台连接：适合正常截肢的大腿用户；b、螺纹头连接：适合长残肢的大腿用户c、膝离断连接：适合膝离断的截肢用户； 膝关节最小屈膝夹角可达30度；  膝关节包含管连接器，外径Ф30cm； 产品经300万次动态检测，质量符合标准；（提供第三方检测报告）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2、碳纤脚板：重量轻，强度高，防尘、防污染、防溅水， 分趾碳纤仿生结构，高分子聚合物足跟，尺寸：22-28cm，脚皮：窄型（22-23cm），女士适用；普通型（24-28cm）重量：343g，系统高度：49mm，最大承重：75kg（22-23cm），100kg（24-25cm），125kg（26-28cm）（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4、三爪连接盘：零部件组件每套独立包装；自重≤180g、适用体重≥100Kg、不锈钢材质；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8、大腿海绵：材料为PUR软性泡沫，分左右腿，长度94cm，颜色米黄色易于打磨，外形预成型。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32</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大腿假肢（优越舒适型）气压膝关节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碳纤脚板</w:t>
            </w:r>
            <w:r>
              <w:rPr>
                <w:rStyle w:val="113"/>
                <w:rFonts w:hint="eastAsia" w:ascii="宋体" w:hAnsi="宋体" w:cs="宋体"/>
                <w:color w:val="auto"/>
                <w:sz w:val="21"/>
                <w:szCs w:val="21"/>
                <w:highlight w:val="none"/>
              </w:rPr>
              <w:t>+</w:t>
            </w:r>
            <w:r>
              <w:rPr>
                <w:rStyle w:val="105"/>
                <w:rFonts w:hint="default"/>
                <w:color w:val="auto"/>
                <w:sz w:val="21"/>
                <w:szCs w:val="21"/>
                <w:highlight w:val="none"/>
              </w:rPr>
              <w:t>硅胶内衬套</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1、新型双气压系统关节； 材质颜色：关节为上部与下部铝镁合金材料，中部有灰色塑料包裹关节体，重量760克；屈曲角度：150°高度：156mm，同样的关节可以分为3种连接方式a、四棱台连接：适合正常截肢的大腿用户；b、螺纹头连接：适合长残肢的大腿用户c、膝离断连接：适合膝离断的截肢用户；膝关节最小屈膝夹角可达30度；  膝关节包含管连接器，外径Ф30cm； 产品经300万次动态检测，质量符合标准；（提供第三方检测报告）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2、碳纤脚板：重量轻，强度高， 防尘、防污染、防溅水， 分趾碳纤仿生结构，高分子聚合物足跟， 尺寸：22-28cm，脚皮：窄型（22-23cm），女士适用；普通型（24-28cm）重量：343g，系统高度：49mm，最大承重：75kg（22-23cm），100kg（24-25cm），125kg（26-28cm）（提供第三方检测报告）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3、锁紧管接头：零部件组件每套独立包装，自重≤80g，适用体重≥100Kg，管直径为30mm，材质为合金；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4、三爪连接盘：零部件组件每套独立包装；自重≤180g、适用体重≥100Kg、不锈钢材质；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5、大腿一体管：合金材料、自重≤280g、适用体重≥100Kg、铝合金管长度≧400mm，管壁厚度≧2mm，直径30mm；连接器为合金材料；两者连接牢固，不松动。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其它材料包含：固化剂、颜色糊、丙纶、玻纤、成品PVA膜、碳纤维布、阀门弯管及自动排气阀门。</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 xml:space="preserve">7、大腿硅胶内衬套（锁具型）：优选织物，单向拉伸织物相对末端矩阵更有效的防止残肢窜动，在限制内衬套纵向拉伸的同时保证围长的伸展，易于适配不同的残肢形状。对称型剖面：远端厚度和近端厚度不一样，穿戴和屈膝更加舒适；配套锁具。每套独立包装                </w:t>
            </w:r>
          </w:p>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8、大腿海绵：材料为PUR软性泡沫，分左右腿，长度94cm，颜色米黄色易于打磨，外形预成型。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33</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髋离断假肢（普及型）机械髋关节</w:t>
            </w:r>
            <w:r>
              <w:rPr>
                <w:rStyle w:val="113"/>
                <w:rFonts w:hint="eastAsia" w:ascii="宋体" w:hAnsi="宋体" w:cs="宋体"/>
                <w:color w:val="auto"/>
                <w:sz w:val="21"/>
                <w:szCs w:val="21"/>
                <w:highlight w:val="none"/>
              </w:rPr>
              <w:t>+</w:t>
            </w:r>
            <w:r>
              <w:rPr>
                <w:rStyle w:val="105"/>
                <w:rFonts w:hint="default"/>
                <w:color w:val="auto"/>
                <w:sz w:val="21"/>
                <w:szCs w:val="21"/>
                <w:highlight w:val="none"/>
              </w:rPr>
              <w:t>机械膝关节</w:t>
            </w:r>
            <w:r>
              <w:rPr>
                <w:rStyle w:val="113"/>
                <w:rFonts w:hint="eastAsia" w:ascii="宋体" w:hAnsi="宋体" w:cs="宋体"/>
                <w:color w:val="auto"/>
                <w:sz w:val="21"/>
                <w:szCs w:val="21"/>
                <w:highlight w:val="none"/>
              </w:rPr>
              <w:t>+</w:t>
            </w:r>
            <w:r>
              <w:rPr>
                <w:rStyle w:val="105"/>
                <w:rFonts w:hint="default"/>
                <w:color w:val="auto"/>
                <w:sz w:val="21"/>
                <w:szCs w:val="21"/>
                <w:highlight w:val="none"/>
              </w:rPr>
              <w:t>动踝脚板</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numPr>
                <w:ilvl w:val="0"/>
                <w:numId w:val="6"/>
              </w:numPr>
              <w:spacing w:line="320" w:lineRule="exact"/>
              <w:jc w:val="left"/>
              <w:textAlignment w:val="center"/>
              <w:rPr>
                <w:color w:val="auto"/>
                <w:highlight w:val="none"/>
              </w:rPr>
            </w:pPr>
            <w:r>
              <w:rPr>
                <w:rFonts w:hint="eastAsia"/>
                <w:color w:val="auto"/>
                <w:highlight w:val="none"/>
              </w:rPr>
              <w:t>单轴轻金属带行动控制装置的下支撑式髋关节：可适合配合安全稳定的四连杆膝关节和静踝或动踝脚板， 带有助伸装置，控制摆动期， 稳定性好，可调性强，体能消耗低，屈曲角度：120度，重量：940g，最小系统高度：170mm，最大系统高度：360mm，最大承重：100kg                                                                      2、四连杆机械关节：采用优质合金钢材料精密加工而成，屈曲角度：110度，重量：820g，材质：合金钢，系统高度：41mm，最大承重：100kg。（提供第三方检测报告）</w:t>
            </w:r>
            <w:r>
              <w:rPr>
                <w:rFonts w:hint="eastAsia"/>
                <w:color w:val="auto"/>
                <w:highlight w:val="none"/>
              </w:rPr>
              <w:br w:type="textWrapping"/>
            </w:r>
            <w:r>
              <w:rPr>
                <w:rFonts w:hint="eastAsia"/>
                <w:color w:val="auto"/>
                <w:highlight w:val="none"/>
              </w:rPr>
              <w:t xml:space="preserve">3、动踝脚板：尺寸：21-28cm，重量：255-435g，系统高度：42-49mm，最大承重：100kg ；（提供第三方检测报告）                         </w:t>
            </w:r>
            <w:r>
              <w:rPr>
                <w:rFonts w:hint="eastAsia"/>
                <w:color w:val="auto"/>
                <w:highlight w:val="none"/>
              </w:rPr>
              <w:br w:type="textWrapping"/>
            </w:r>
            <w:r>
              <w:rPr>
                <w:rFonts w:hint="eastAsia"/>
                <w:color w:val="auto"/>
                <w:highlight w:val="none"/>
              </w:rPr>
              <w:t xml:space="preserve">4、动踝关节（自重≤200g，适用体重≥100Kg，适用于20cm-28cm的脚号，材质为合金；）；                                                                      5、锁紧管接头：零部件组件每套独立包装，自重≤80g，适用体重≥100Kg，管直径为30mm，材质为合金；                         </w:t>
            </w:r>
            <w:r>
              <w:rPr>
                <w:rFonts w:hint="eastAsia"/>
                <w:color w:val="auto"/>
                <w:highlight w:val="none"/>
              </w:rPr>
              <w:br w:type="textWrapping"/>
            </w:r>
            <w:r>
              <w:rPr>
                <w:rFonts w:hint="eastAsia"/>
                <w:color w:val="auto"/>
                <w:highlight w:val="none"/>
              </w:rPr>
              <w:t xml:space="preserve">6、三爪连接盘：零部件组件每套独立包装；自重≤180g、适用体重≥100Kg、不锈钢材质；                                   </w:t>
            </w:r>
            <w:r>
              <w:rPr>
                <w:rFonts w:hint="eastAsia"/>
                <w:color w:val="auto"/>
                <w:highlight w:val="none"/>
              </w:rPr>
              <w:br w:type="textWrapping"/>
            </w:r>
            <w:r>
              <w:rPr>
                <w:rFonts w:hint="eastAsia"/>
                <w:color w:val="auto"/>
                <w:highlight w:val="none"/>
              </w:rPr>
              <w:t>7、大腿一体管：合金材料、自重≤280g、适用体重≥100Kg、铝合金管长度≧400mm，管壁厚度≧2mm，直径30mm；连接器为合金材料；两者连接牢固，不松动。</w:t>
            </w:r>
            <w:r>
              <w:rPr>
                <w:rFonts w:hint="eastAsia"/>
                <w:color w:val="auto"/>
                <w:highlight w:val="none"/>
              </w:rPr>
              <w:br w:type="textWrapping"/>
            </w:r>
            <w:r>
              <w:rPr>
                <w:rFonts w:hint="eastAsia"/>
                <w:color w:val="auto"/>
                <w:highlight w:val="none"/>
              </w:rPr>
              <w:t>8、树脂接受腔：主要树脂：丙烯酸材质，无异味，快速固化，制成品符合医用标准，对人体安全无害，可直接接触皮肤，规格：4.6kg/桶，粘度（20℃时）：350 mPa.s，最高发热温度：115℃，固化后邵氏硬度为85，产品通过CE认证（提供相关CE认证证书）</w:t>
            </w:r>
            <w:r>
              <w:rPr>
                <w:rFonts w:hint="eastAsia"/>
                <w:color w:val="auto"/>
                <w:highlight w:val="none"/>
              </w:rPr>
              <w:br w:type="textWrapping"/>
            </w:r>
            <w:r>
              <w:rPr>
                <w:rFonts w:hint="eastAsia"/>
                <w:color w:val="auto"/>
                <w:highlight w:val="none"/>
              </w:rPr>
              <w:t>其它材料包含：固化剂、颜色糊、丙纶、玻纤、成品PVA膜、碳纤维布、阀门弯管及自动排气阀门。</w:t>
            </w:r>
            <w:r>
              <w:rPr>
                <w:rFonts w:hint="eastAsia"/>
                <w:color w:val="auto"/>
                <w:highlight w:val="none"/>
              </w:rPr>
              <w:br w:type="textWrapping"/>
            </w:r>
            <w:r>
              <w:rPr>
                <w:rFonts w:hint="eastAsia"/>
                <w:color w:val="auto"/>
                <w:highlight w:val="none"/>
              </w:rPr>
              <w:t>8、髋离断海绵：材料为PUR软性泡沫，分左右腿，长度94cm，颜色米黄色易于打磨，外形预成型。</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34</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手部假肢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1、装饰手皮：聚氨酯加硅胶材料，</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35</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前臂假肢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手头张开距离85mm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手指捏力5N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大拇指尖到腕关节底部的距离为149mm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大拇指可扳动打开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手头重量210g（含指套）含内外硅胶双层手皮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手头骨架采用优质合金铝，表面采用阳极处理耐腐蚀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手指头配有指套，手掌部分配有掌套，</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手头规格分为男士、女士及左、右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质保三年。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36</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腕离断假肢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手头张开距离85mm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手指捏力5N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大拇指尖到腕关节底部的距离为149mm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大拇指可扳动打开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手头重量210g（含指套）含内外硅胶双层手皮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手头骨架采用优质合金铝，表面采用阳极处理耐腐蚀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手指头配有指套，手掌部分配有掌套，可起到保护手套作用，安全美观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手头规格分为男士、女士及左、右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质保三年。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37</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前臂肌电假肢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1.接受腔采用树脂，外形为圆锥形，外观光泽、壁厚均匀；物理性能：韧性好、强度大、耐冲击强度高、1. 手头张开距离95mm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手指捏力30N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大拇指尖到腕关节底部的距离为140mm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噪音25分贝；</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手头重量280g</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肌电控制手指动作</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含电极、内置锂电池（标配两块电池）</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能耗1.3J</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外观：金属件有防锈处理，表面光滑无毛刺、鼓泡、剥落、麻点、漏底等。</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多功能电池座</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硅胶手套，分男式女式，具有耐高温，耐腐蚀，不易老化，容易清洗的特性</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质保两年（电池质保半年）                                14.树脂接受腔：主要材料树脂：丙烯酸材质，无异味，快速固化，制成品符合医用标准，对人体安全无害，可直接接触皮肤，规格：4.6kg/桶，粘度（20℃时）：350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38</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上臂假肢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手头张开距离85mm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手指捏力5N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大拇指尖到腕关节底部的距离为149mm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大拇指可扳动打开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前臂被动旋转，肘关节被动伸屈</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含内外硅胶双层手皮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手头及骨架采用优质合金铝，表面经阳极处理，耐腐蚀。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肘关节采用不锈钢制作，拨动手柄可多角度被动自锁。</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手指头配有指套，手掌部分配有掌套。</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手头规格分为男士、女士及左、右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质保三年。                                     14.树脂接受腔：主要材料树脂：丙烯酸材质，无异味，快速固化，制成品符合医用标准，对人体安全无害，可直接接触皮肤，规格：4.6kg/桶，粘度（20℃时）：350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39</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肘离断假肢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 手头张开距离85mm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手指捏力5N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大拇指尖到腕关节底部的距离为149mm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大拇指可扳动打开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前臂被动旋转，肘关节被动伸屈</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含内外硅胶双层手皮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手头及骨架采用优质合金铝，表面经阳极处理，耐腐蚀。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肘关节采用不锈钢制作，拨动手柄可多角度被动自锁。</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手指头配有指套，手掌部分配有掌套。</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手头规格分为男士、女士及左、右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上臂连接部分可选用支条或圆盘连接方式。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质保三年。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szCs w:val="21"/>
                <w:highlight w:val="none"/>
              </w:rPr>
              <w:t>40</w:t>
            </w:r>
          </w:p>
        </w:tc>
        <w:tc>
          <w:tcPr>
            <w:tcW w:w="113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肩离断假肢</w:t>
            </w:r>
          </w:p>
        </w:tc>
        <w:tc>
          <w:tcPr>
            <w:tcW w:w="6033" w:type="dxa"/>
            <w:tcBorders>
              <w:top w:val="single" w:color="auto" w:sz="4" w:space="0"/>
              <w:left w:val="single" w:color="auto" w:sz="4" w:space="0"/>
              <w:bottom w:val="single" w:color="auto" w:sz="4" w:space="0"/>
              <w:right w:val="single" w:color="auto" w:sz="4" w:space="0"/>
            </w:tcBorders>
            <w:noWrap/>
            <w:vAlign w:val="center"/>
          </w:tcPr>
          <w:p>
            <w:pPr>
              <w:widowControl/>
              <w:jc w:val="left"/>
              <w:textAlignment w:val="center"/>
              <w:rPr>
                <w:color w:val="auto"/>
                <w:highlight w:val="none"/>
              </w:rPr>
            </w:pPr>
            <w:r>
              <w:rPr>
                <w:rFonts w:hint="eastAsia" w:ascii="宋体" w:hAnsi="宋体" w:cs="宋体"/>
                <w:color w:val="auto"/>
                <w:kern w:val="0"/>
                <w:szCs w:val="21"/>
                <w:highlight w:val="none"/>
              </w:rPr>
              <w:t>1. 手头张开距离85mm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手指捏力5N</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腕关节直径Ф45mm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大拇指尖到腕关节底部的距离为149mm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大拇指可扳动打开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前臂被动旋转，肘关节被动伸屈，肩关节前后左右被动伸展。含内外硅胶双层手皮</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手头及骨架采用优质合金铝，表面经阳极处理，耐腐蚀。</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肘关节采用不锈钢制作，拨动手柄可多角度被动自锁。</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手指头配有指套，手掌部分配有掌套，安全美观</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手头规格分为男士、女士及左、右。</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质保三年。</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12.树脂接受腔：主要材料树脂：丙烯酸材质，无异味，快速固化，制成品符合医用标准，对人体安全无害，可直接接触皮肤，规格：4.6kg/桶，粘度（20℃时）：350 mPa.s，最高发热温度：115℃，固化后邵氏硬度为85，产品通过CE认证 （提供相关CE认证证书）</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其它材料包含：固化剂、颜色糊、丙纶、玻纤、成品PVA膜、碳纤维布</w:t>
            </w:r>
          </w:p>
        </w:tc>
        <w:tc>
          <w:tcPr>
            <w:tcW w:w="817"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例</w:t>
            </w:r>
          </w:p>
        </w:tc>
        <w:tc>
          <w:tcPr>
            <w:tcW w:w="942" w:type="dxa"/>
            <w:tcBorders>
              <w:top w:val="single" w:color="auto" w:sz="4" w:space="0"/>
              <w:left w:val="single" w:color="auto" w:sz="4" w:space="0"/>
              <w:bottom w:val="single" w:color="auto" w:sz="4" w:space="0"/>
              <w:right w:val="single" w:color="auto" w:sz="4" w:space="0"/>
            </w:tcBorders>
            <w:noWrap/>
            <w:vAlign w:val="center"/>
          </w:tcPr>
          <w:p>
            <w:pPr>
              <w:widowControl/>
              <w:spacing w:line="320" w:lineRule="exact"/>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7792"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7792" w:type="dxa"/>
            <w:gridSpan w:val="3"/>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p>
            <w:pPr>
              <w:spacing w:line="400" w:lineRule="exact"/>
              <w:jc w:val="left"/>
              <w:rPr>
                <w:color w:val="auto"/>
                <w:szCs w:val="21"/>
                <w:highlight w:val="none"/>
              </w:rPr>
            </w:pPr>
            <w:r>
              <w:rPr>
                <w:rFonts w:hint="eastAsia" w:ascii="宋体" w:hAnsi="宋体" w:cs="宋体"/>
                <w:color w:val="auto"/>
                <w:szCs w:val="21"/>
                <w:highlight w:val="none"/>
              </w:rPr>
              <w:t>（4）</w:t>
            </w:r>
            <w:r>
              <w:rPr>
                <w:rFonts w:hint="eastAsia" w:ascii="宋体" w:hAnsi="宋体"/>
                <w:b/>
                <w:color w:val="auto"/>
                <w:szCs w:val="21"/>
                <w:highlight w:val="none"/>
              </w:rPr>
              <w:t>本地化服务：本项目服务的对象涉及广西全区，为保证及时提供售后服务，投标人在广西区内应自设或委托至少2家具有相应资质条件的售后服务机构或服务网点（投标文件中必须提供有效的证明文件，如营业执照或房屋租赁合同复印件，委托服务的还须提供双方签字盖章的委托协议书，协议服务期限至少2年以上；提供服务机构或服务网点的场地及设备图片清单、联系人、联系电话），每个自设或委托具有相应资质条件的售后服务机构或服务网点配备辅具专业技术服务人员不少于 2名；投标文件中必须提供专业技术人员名单、身份证、专业技术证书和劳动合同复印件加盖公章。（原件备查）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3"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779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7792"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808"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7792" w:type="dxa"/>
            <w:gridSpan w:val="3"/>
            <w:tcBorders>
              <w:top w:val="single" w:color="auto" w:sz="4" w:space="0"/>
              <w:left w:val="single" w:color="auto" w:sz="4" w:space="0"/>
              <w:bottom w:val="single" w:color="auto" w:sz="4" w:space="0"/>
              <w:right w:val="single" w:color="auto" w:sz="4" w:space="0"/>
            </w:tcBorders>
            <w:noWrap/>
            <w:vAlign w:val="center"/>
          </w:tcPr>
          <w:p>
            <w:pPr>
              <w:spacing w:line="5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w:t>
            </w:r>
            <w:r>
              <w:rPr>
                <w:rFonts w:hint="eastAsia" w:asciiTheme="minorEastAsia" w:hAnsiTheme="minorEastAsia" w:eastAsiaTheme="minorEastAsia" w:cstheme="minorEastAsia"/>
                <w:color w:val="auto"/>
                <w:szCs w:val="21"/>
                <w:highlight w:val="none"/>
              </w:rPr>
              <w:t>筛查评估、原材料、取模、制作、装配调试、患者及一名陪护人员往返交通以及适应性训练期间的食宿、跟踪回访和质保服务。及其它所有相关费用列入投标报价中。采购人不再</w:t>
            </w:r>
            <w:r>
              <w:rPr>
                <w:rFonts w:hint="eastAsia" w:ascii="宋体" w:hAnsi="宋体" w:cs="宋体"/>
                <w:color w:val="auto"/>
                <w:szCs w:val="21"/>
                <w:highlight w:val="none"/>
              </w:rPr>
              <w:t>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7951"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6"/>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7951" w:type="dxa"/>
            <w:gridSpan w:val="4"/>
            <w:tcBorders>
              <w:top w:val="single" w:color="auto" w:sz="4" w:space="0"/>
              <w:left w:val="single" w:color="auto" w:sz="4" w:space="0"/>
              <w:bottom w:val="single" w:color="auto" w:sz="4" w:space="0"/>
              <w:right w:val="single" w:color="auto" w:sz="4" w:space="0"/>
            </w:tcBorders>
            <w:noWrap/>
          </w:tcPr>
          <w:p>
            <w:pPr>
              <w:numPr>
                <w:ilvl w:val="0"/>
                <w:numId w:val="7"/>
              </w:numPr>
              <w:spacing w:line="400" w:lineRule="exact"/>
              <w:rPr>
                <w:color w:val="auto"/>
                <w:szCs w:val="21"/>
                <w:highlight w:val="none"/>
              </w:rPr>
            </w:pPr>
            <w:r>
              <w:rPr>
                <w:rFonts w:hint="eastAsia"/>
                <w:color w:val="auto"/>
                <w:szCs w:val="21"/>
                <w:highlight w:val="none"/>
              </w:rPr>
              <w:t>招标文件要求提供有效检测报告复印件必须满足，评标时当技术响应表中的参数与检测报告不一致时，以检测报告为准。</w:t>
            </w:r>
          </w:p>
          <w:p>
            <w:pPr>
              <w:spacing w:line="400" w:lineRule="exact"/>
              <w:rPr>
                <w:color w:val="auto"/>
                <w:szCs w:val="21"/>
                <w:highlight w:val="none"/>
              </w:rPr>
            </w:pPr>
            <w:r>
              <w:rPr>
                <w:rFonts w:hint="eastAsia"/>
                <w:color w:val="auto"/>
                <w:szCs w:val="21"/>
                <w:highlight w:val="none"/>
              </w:rPr>
              <w:t>▲2、投标产品中涉及国家专项审批的，投标人在投标文件中需提供产品生产厂家相关医疗器械生产许可证和医疗器械注册证明细表复印件。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7951" w:type="dxa"/>
            <w:gridSpan w:val="4"/>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7951" w:type="dxa"/>
            <w:gridSpan w:val="4"/>
            <w:tcBorders>
              <w:top w:val="single" w:color="auto" w:sz="4" w:space="0"/>
              <w:left w:val="single" w:color="auto" w:sz="4" w:space="0"/>
              <w:bottom w:val="single" w:color="auto" w:sz="4" w:space="0"/>
              <w:right w:val="single" w:color="auto" w:sz="4" w:space="0"/>
            </w:tcBorders>
            <w:noWrap/>
            <w:vAlign w:val="center"/>
          </w:tcPr>
          <w:p>
            <w:pPr>
              <w:numPr>
                <w:ilvl w:val="0"/>
                <w:numId w:val="8"/>
              </w:numPr>
              <w:spacing w:line="400" w:lineRule="exact"/>
              <w:rPr>
                <w:color w:val="auto"/>
                <w:szCs w:val="21"/>
                <w:highlight w:val="none"/>
              </w:rPr>
            </w:pPr>
            <w:r>
              <w:rPr>
                <w:rFonts w:hint="eastAsia"/>
                <w:color w:val="auto"/>
                <w:szCs w:val="21"/>
                <w:highlight w:val="none"/>
              </w:rPr>
              <w:t>▲第二十九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10"/>
              <w:spacing w:line="360" w:lineRule="exact"/>
              <w:ind w:firstLine="0"/>
              <w:rPr>
                <w:color w:val="auto"/>
                <w:szCs w:val="21"/>
                <w:highlight w:val="none"/>
              </w:rPr>
            </w:pPr>
            <w:r>
              <w:rPr>
                <w:rFonts w:hint="eastAsia"/>
                <w:color w:val="auto"/>
                <w:szCs w:val="21"/>
                <w:highlight w:val="none"/>
              </w:rPr>
              <w:t>2、▲提供3名注册执业假肢制作师、注册执业矫形器制作师职业资格证书和身份证、劳动合同复印件加盖公章（原件备查）</w:t>
            </w:r>
          </w:p>
          <w:p>
            <w:pPr>
              <w:pStyle w:val="8"/>
              <w:jc w:val="both"/>
              <w:rPr>
                <w:color w:val="auto"/>
                <w:highlight w:val="none"/>
              </w:rPr>
            </w:pPr>
            <w:r>
              <w:rPr>
                <w:rFonts w:hint="eastAsia"/>
                <w:color w:val="auto"/>
                <w:sz w:val="21"/>
                <w:szCs w:val="21"/>
                <w:highlight w:val="none"/>
              </w:rPr>
              <w:t>3▲提供第三方民政部门出具的假肢生产装配或矫形器生产装配或假肢矫形器生产装配企业资格的认定文件复印件加盖公章（原件备查）。</w:t>
            </w:r>
          </w:p>
        </w:tc>
      </w:tr>
    </w:tbl>
    <w:p>
      <w:pPr>
        <w:ind w:firstLine="424" w:firstLineChars="202"/>
        <w:jc w:val="left"/>
        <w:rPr>
          <w:rFonts w:ascii="宋体" w:hAnsi="宋体"/>
          <w:color w:val="auto"/>
          <w:szCs w:val="21"/>
          <w:highlight w:val="none"/>
        </w:rPr>
      </w:pPr>
    </w:p>
    <w:p>
      <w:pPr>
        <w:pStyle w:val="10"/>
        <w:ind w:firstLine="0"/>
        <w:rPr>
          <w:color w:val="auto"/>
          <w:highlight w:val="none"/>
        </w:rPr>
      </w:pPr>
    </w:p>
    <w:p>
      <w:pPr>
        <w:pStyle w:val="10"/>
        <w:ind w:firstLine="0"/>
        <w:rPr>
          <w:color w:val="auto"/>
          <w:highlight w:val="none"/>
        </w:rPr>
      </w:pPr>
    </w:p>
    <w:p>
      <w:pPr>
        <w:spacing w:line="400" w:lineRule="exact"/>
        <w:ind w:firstLine="426" w:firstLineChars="202"/>
        <w:jc w:val="left"/>
        <w:rPr>
          <w:b/>
          <w:color w:val="auto"/>
          <w:szCs w:val="21"/>
          <w:highlight w:val="none"/>
        </w:rPr>
      </w:pPr>
      <w:r>
        <w:rPr>
          <w:rFonts w:hint="eastAsia"/>
          <w:b/>
          <w:color w:val="auto"/>
          <w:szCs w:val="21"/>
          <w:highlight w:val="none"/>
        </w:rPr>
        <w:t>G分标</w:t>
      </w:r>
    </w:p>
    <w:tbl>
      <w:tblPr>
        <w:tblStyle w:val="4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974"/>
        <w:gridCol w:w="18"/>
        <w:gridCol w:w="141"/>
        <w:gridCol w:w="6198"/>
        <w:gridCol w:w="690"/>
        <w:gridCol w:w="9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项号</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货物名称</w:t>
            </w:r>
          </w:p>
        </w:tc>
        <w:tc>
          <w:tcPr>
            <w:tcW w:w="6198"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技术参数及性能（配置）要求</w:t>
            </w:r>
          </w:p>
        </w:tc>
        <w:tc>
          <w:tcPr>
            <w:tcW w:w="69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单位</w:t>
            </w:r>
          </w:p>
        </w:tc>
        <w:tc>
          <w:tcPr>
            <w:tcW w:w="904"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1</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助听器基础款（耳背式大功率、含电池）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Theme="minorEastAsia" w:hAnsiTheme="minorEastAsia" w:eastAsiaTheme="minorEastAsia"/>
                <w:color w:val="auto"/>
                <w:szCs w:val="21"/>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*软件可见可调独立通道数：≥16个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*饱和声压级：≥135dBSPL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*满档声增益：≥75dB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防尘防水级别：≥IP67</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自然耳技术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瞬间噪声抑制功能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风噪声抑制功能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*耳鸣掩蔽功能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*中文语境优化</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 可选择验配公式数：≥4个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22. 兼容FM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23. 无线编程功能</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2</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助听器升级款（耳背式大功率、含电池）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Theme="minorEastAsia" w:hAnsiTheme="minorEastAsia" w:eastAsiaTheme="minorEastAsia"/>
                <w:color w:val="auto"/>
                <w:szCs w:val="21"/>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*软件可见可调独立通道数：≥16个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聆听程序设置：≥7个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*饱和声压级：≥140dBSPL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*满档声增益：≥84dB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感应拾音线圈最大灵敏度：≥125dB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*防尘防水级别：≥IP68</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*LED指示灯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*实时演示功能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兼容FM</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3</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助听器高配款（耳背式大功率、含电池）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color w:val="auto"/>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*软件可见可调独立通道数：≥20个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*饱和声压级：≥140dBSPL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*满档声增益：≥85dB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感应拾音线圈最大灵敏度：≥125dB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*防尘防水级别：≥IP68</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回声阻断功能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风噪声抑制功能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*LED指示灯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 *实时演示功能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22. 兼容FM</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4</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助听器基础款（耳背式超大功率、含电池）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*软件可见可调独立通道数：≥16个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*饱和声压级：≥135dBSPL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*满档声增益：≥80dB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等效输入噪声：≤8dB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防尘防水级别：≥IP67</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自然耳技术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瞬间噪声抑制功能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风噪声抑制功能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*耳鸣掩蔽功能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可选择验配公式数：≥5个</w:t>
            </w:r>
          </w:p>
          <w:p>
            <w:pPr>
              <w:widowControl/>
              <w:spacing w:line="30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21. 兼容FM</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2200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5</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助听器升级款（耳背式超大功率、含电池）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*软件可见可调独立通道数：≥16个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聆听程序设置：≥7个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*饱和声压级：≥140dBSPL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*满档声增益：≥86dB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*频率范围至少在：200-6200Hz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感应拾音线圈最大灵敏度：≥124dB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*防尘防水级别：≥IP68</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回声阻断功能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风噪声抑制功能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*LED指示灯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 *实时演示功能</w:t>
            </w:r>
          </w:p>
          <w:p>
            <w:pPr>
              <w:widowControl/>
              <w:spacing w:line="30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22. 兼容FM</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6</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助听器高配款（耳背式超大功率、含电池）</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1. 全数字信号处理耳背机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*软件可见可调独立通道数：≥20个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*饱和声压级：≥140dBSPL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*满档声增益：≥86dB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*频率范围至少在：200-6200Hz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感应拾音线圈最大灵敏度：≥120dB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*防尘防水级别：≥IP68</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回声阻断功能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风噪声抑制功能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*LED指示灯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 *实时演示功能</w:t>
            </w:r>
          </w:p>
          <w:p>
            <w:pPr>
              <w:widowControl/>
              <w:spacing w:line="300" w:lineRule="exact"/>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22. 兼容FM</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7</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耳内式助听器（基础款）</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color w:val="auto"/>
                <w:highlight w:val="none"/>
              </w:rPr>
            </w:pPr>
            <w:r>
              <w:rPr>
                <w:rFonts w:hint="eastAsia" w:ascii="宋体" w:hAnsi="宋体" w:cs="宋体"/>
                <w:color w:val="auto"/>
                <w:kern w:val="0"/>
                <w:szCs w:val="21"/>
                <w:highlight w:val="none"/>
              </w:rPr>
              <w:t>1. 全数字信号处理定制机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*软件可见可调独立通道数：≥16个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聆听程序设置：≥6个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*饱和声压级：≥120dBSPL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*满档声增益：≥60dB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感应拾音线圈最大灵敏度：≥118dB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*耳鸣掩蔽功能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*实时演示功能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兼容FM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内置测听功能</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8</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耳内式助听器（升级款）</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color w:val="auto"/>
                <w:highlight w:val="none"/>
              </w:rPr>
            </w:pPr>
            <w:r>
              <w:rPr>
                <w:rFonts w:hint="eastAsia" w:ascii="宋体" w:hAnsi="宋体" w:cs="宋体"/>
                <w:color w:val="auto"/>
                <w:kern w:val="0"/>
                <w:szCs w:val="21"/>
                <w:highlight w:val="none"/>
              </w:rPr>
              <w:t>1. 全数字信号处理定制机</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 双麦克风技术</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 *软件可见可调独立通道数：≥20个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 聆听程序设置：≥10个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 *饱和声压级：≥120dBSPL</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6. *满档声增益：≥60dB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7. *总谐波失真：≤1%</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8. *频率范围至少在：200-6500Hz</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9. 等效输入噪声：≤10dB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10. *电流量：≤1mA</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11. 感应拾音线圈最大灵敏度：≥118dB</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12. *频率转移功能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13. 声反馈抑制功能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14. 双耳同步功能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15. 回声阻断功能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16. *中文验配公式</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17. 可选择验配公式数：≥8个</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18. *耳鸣掩蔽功能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19. *实时演示功能</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20. 兼容FM</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21. 内置测听功能</w:t>
            </w:r>
          </w:p>
        </w:tc>
        <w:tc>
          <w:tcPr>
            <w:tcW w:w="69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台</w:t>
            </w: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szCs w:val="21"/>
                <w:highlight w:val="none"/>
              </w:rPr>
              <w:t>9</w:t>
            </w:r>
          </w:p>
        </w:tc>
        <w:tc>
          <w:tcPr>
            <w:tcW w:w="1133"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无线辅听系统</w:t>
            </w:r>
          </w:p>
        </w:tc>
        <w:tc>
          <w:tcPr>
            <w:tcW w:w="6198" w:type="dxa"/>
            <w:tcBorders>
              <w:top w:val="single" w:color="auto" w:sz="4" w:space="0"/>
              <w:left w:val="single" w:color="auto" w:sz="4" w:space="0"/>
              <w:bottom w:val="single" w:color="auto" w:sz="4" w:space="0"/>
              <w:right w:val="single" w:color="auto" w:sz="4" w:space="0"/>
            </w:tcBorders>
            <w:noWrap/>
            <w:vAlign w:val="center"/>
          </w:tcPr>
          <w:p>
            <w:pPr>
              <w:widowControl/>
              <w:spacing w:line="300" w:lineRule="exact"/>
              <w:jc w:val="left"/>
              <w:textAlignment w:val="center"/>
              <w:rPr>
                <w:rFonts w:ascii="宋体" w:hAnsi="宋体" w:cs="宋体"/>
                <w:color w:val="auto"/>
                <w:szCs w:val="21"/>
                <w:highlight w:val="none"/>
              </w:rPr>
            </w:pPr>
            <w:r>
              <w:rPr>
                <w:rFonts w:hint="eastAsia" w:ascii="宋体" w:hAnsi="宋体" w:cs="宋体"/>
                <w:b/>
                <w:color w:val="auto"/>
                <w:kern w:val="0"/>
                <w:szCs w:val="21"/>
                <w:highlight w:val="none"/>
              </w:rPr>
              <w:t>发射机：</w:t>
            </w:r>
            <w:r>
              <w:rPr>
                <w:rFonts w:hint="eastAsia" w:ascii="宋体" w:hAnsi="宋体" w:cs="宋体"/>
                <w:b/>
                <w:color w:val="auto"/>
                <w:kern w:val="0"/>
                <w:szCs w:val="21"/>
                <w:highlight w:val="none"/>
              </w:rPr>
              <w:br w:type="textWrapping"/>
            </w:r>
            <w:r>
              <w:rPr>
                <w:rStyle w:val="114"/>
                <w:rFonts w:hint="default"/>
                <w:color w:val="auto"/>
                <w:sz w:val="21"/>
                <w:szCs w:val="21"/>
                <w:highlight w:val="none"/>
                <w:u w:val="none"/>
              </w:rPr>
              <w:t>1：2.4GHz技术，将语音转换为无线信号并传出，直达助听设备的接收器，避免声音随距离衰减；</w:t>
            </w:r>
            <w:r>
              <w:rPr>
                <w:rStyle w:val="114"/>
                <w:rFonts w:hint="default"/>
                <w:color w:val="auto"/>
                <w:sz w:val="21"/>
                <w:szCs w:val="21"/>
                <w:highlight w:val="none"/>
                <w:u w:val="none"/>
              </w:rPr>
              <w:br w:type="textWrapping"/>
            </w:r>
            <w:r>
              <w:rPr>
                <w:rStyle w:val="114"/>
                <w:rFonts w:hint="default"/>
                <w:color w:val="auto"/>
                <w:sz w:val="21"/>
                <w:szCs w:val="21"/>
                <w:highlight w:val="none"/>
                <w:u w:val="none"/>
              </w:rPr>
              <w:t>2：具备蓝牙电话功能；</w:t>
            </w:r>
            <w:r>
              <w:rPr>
                <w:rStyle w:val="114"/>
                <w:rFonts w:hint="default"/>
                <w:color w:val="auto"/>
                <w:sz w:val="21"/>
                <w:szCs w:val="21"/>
                <w:highlight w:val="none"/>
                <w:u w:val="none"/>
              </w:rPr>
              <w:br w:type="textWrapping"/>
            </w:r>
            <w:r>
              <w:rPr>
                <w:rStyle w:val="114"/>
                <w:rFonts w:hint="default"/>
                <w:color w:val="auto"/>
                <w:sz w:val="21"/>
                <w:szCs w:val="21"/>
                <w:highlight w:val="none"/>
                <w:u w:val="none"/>
              </w:rPr>
              <w:t>3：具备麦克风手动/自动调节功能；</w:t>
            </w:r>
            <w:r>
              <w:rPr>
                <w:rStyle w:val="114"/>
                <w:rFonts w:hint="default"/>
                <w:color w:val="auto"/>
                <w:sz w:val="21"/>
                <w:szCs w:val="21"/>
                <w:highlight w:val="none"/>
                <w:u w:val="none"/>
              </w:rPr>
              <w:br w:type="textWrapping"/>
            </w:r>
            <w:r>
              <w:rPr>
                <w:rStyle w:val="114"/>
                <w:rFonts w:hint="default"/>
                <w:color w:val="auto"/>
                <w:sz w:val="21"/>
                <w:szCs w:val="21"/>
                <w:highlight w:val="none"/>
                <w:u w:val="none"/>
              </w:rPr>
              <w:t>4：可直接连接手机、电脑、电视等多媒体装置并无线发射信号；</w:t>
            </w:r>
            <w:r>
              <w:rPr>
                <w:rStyle w:val="114"/>
                <w:rFonts w:hint="default"/>
                <w:color w:val="auto"/>
                <w:sz w:val="21"/>
                <w:szCs w:val="21"/>
                <w:highlight w:val="none"/>
                <w:u w:val="none"/>
              </w:rPr>
              <w:br w:type="textWrapping"/>
            </w:r>
            <w:r>
              <w:rPr>
                <w:rStyle w:val="114"/>
                <w:rFonts w:hint="default"/>
                <w:color w:val="auto"/>
                <w:sz w:val="21"/>
                <w:szCs w:val="21"/>
                <w:highlight w:val="none"/>
                <w:u w:val="none"/>
              </w:rPr>
              <w:t>5：锂电池充电，2小时充满，可连续使用7小时；</w:t>
            </w:r>
            <w:r>
              <w:rPr>
                <w:rStyle w:val="114"/>
                <w:rFonts w:hint="default"/>
                <w:color w:val="auto"/>
                <w:sz w:val="21"/>
                <w:szCs w:val="21"/>
                <w:highlight w:val="none"/>
                <w:u w:val="none"/>
              </w:rPr>
              <w:br w:type="textWrapping"/>
            </w:r>
            <w:r>
              <w:rPr>
                <w:rStyle w:val="114"/>
                <w:rFonts w:hint="default"/>
                <w:color w:val="auto"/>
                <w:sz w:val="21"/>
                <w:szCs w:val="21"/>
                <w:highlight w:val="none"/>
                <w:u w:val="none"/>
              </w:rPr>
              <w:t>6：一键静音；</w:t>
            </w:r>
            <w:r>
              <w:rPr>
                <w:rStyle w:val="114"/>
                <w:rFonts w:hint="default"/>
                <w:color w:val="auto"/>
                <w:sz w:val="21"/>
                <w:szCs w:val="21"/>
                <w:highlight w:val="none"/>
                <w:u w:val="none"/>
              </w:rPr>
              <w:br w:type="textWrapping"/>
            </w:r>
            <w:r>
              <w:rPr>
                <w:rStyle w:val="114"/>
                <w:rFonts w:hint="default"/>
                <w:color w:val="auto"/>
                <w:sz w:val="21"/>
                <w:szCs w:val="21"/>
                <w:highlight w:val="none"/>
                <w:u w:val="none"/>
              </w:rPr>
              <w:t>7：与接收机一键连接；</w:t>
            </w:r>
            <w:r>
              <w:rPr>
                <w:rStyle w:val="114"/>
                <w:rFonts w:hint="default"/>
                <w:color w:val="auto"/>
                <w:sz w:val="21"/>
                <w:szCs w:val="21"/>
                <w:highlight w:val="none"/>
                <w:u w:val="none"/>
              </w:rPr>
              <w:br w:type="textWrapping"/>
            </w:r>
            <w:r>
              <w:rPr>
                <w:rStyle w:val="114"/>
                <w:rFonts w:hint="default"/>
                <w:color w:val="auto"/>
                <w:sz w:val="21"/>
                <w:szCs w:val="21"/>
                <w:highlight w:val="none"/>
                <w:u w:val="none"/>
              </w:rPr>
              <w:t>8：传输距离不少于20米；</w:t>
            </w:r>
            <w:r>
              <w:rPr>
                <w:rStyle w:val="114"/>
                <w:rFonts w:hint="default"/>
                <w:color w:val="auto"/>
                <w:sz w:val="21"/>
                <w:szCs w:val="21"/>
                <w:highlight w:val="none"/>
                <w:u w:val="none"/>
              </w:rPr>
              <w:br w:type="textWrapping"/>
            </w:r>
            <w:r>
              <w:rPr>
                <w:rStyle w:val="114"/>
                <w:rFonts w:hint="default"/>
                <w:color w:val="auto"/>
                <w:sz w:val="21"/>
                <w:szCs w:val="21"/>
                <w:highlight w:val="none"/>
                <w:u w:val="none"/>
              </w:rPr>
              <w:t>9：频宽：100Hz-7200Hz。</w:t>
            </w:r>
            <w:r>
              <w:rPr>
                <w:rStyle w:val="115"/>
                <w:rFonts w:hint="default"/>
                <w:color w:val="auto"/>
                <w:sz w:val="21"/>
                <w:szCs w:val="21"/>
                <w:highlight w:val="none"/>
                <w:u w:val="none"/>
              </w:rPr>
              <w:br w:type="textWrapping"/>
            </w:r>
            <w:r>
              <w:rPr>
                <w:rStyle w:val="115"/>
                <w:rFonts w:hint="default"/>
                <w:color w:val="auto"/>
                <w:sz w:val="21"/>
                <w:szCs w:val="21"/>
                <w:highlight w:val="none"/>
                <w:u w:val="none"/>
              </w:rPr>
              <w:t>接收机：</w:t>
            </w:r>
            <w:r>
              <w:rPr>
                <w:rStyle w:val="115"/>
                <w:rFonts w:hint="default"/>
                <w:color w:val="auto"/>
                <w:sz w:val="21"/>
                <w:szCs w:val="21"/>
                <w:highlight w:val="none"/>
                <w:u w:val="none"/>
              </w:rPr>
              <w:br w:type="textWrapping"/>
            </w:r>
            <w:r>
              <w:rPr>
                <w:rStyle w:val="114"/>
                <w:rFonts w:hint="default"/>
                <w:color w:val="auto"/>
                <w:sz w:val="21"/>
                <w:szCs w:val="21"/>
                <w:highlight w:val="none"/>
                <w:u w:val="none"/>
              </w:rPr>
              <w:t>1：2.4GHz技术，接收无线信号并传至助听设备，避免声音随距离衰减、噪音等其他干扰；</w:t>
            </w:r>
            <w:r>
              <w:rPr>
                <w:rStyle w:val="114"/>
                <w:rFonts w:hint="default"/>
                <w:color w:val="auto"/>
                <w:sz w:val="21"/>
                <w:szCs w:val="21"/>
                <w:highlight w:val="none"/>
                <w:u w:val="none"/>
              </w:rPr>
              <w:br w:type="textWrapping"/>
            </w:r>
            <w:r>
              <w:rPr>
                <w:rStyle w:val="114"/>
                <w:rFonts w:hint="default"/>
                <w:color w:val="auto"/>
                <w:sz w:val="21"/>
                <w:szCs w:val="21"/>
                <w:highlight w:val="none"/>
                <w:u w:val="none"/>
              </w:rPr>
              <w:t>2：接收机适用于耳背式助听器或人工耳蜗；</w:t>
            </w:r>
            <w:r>
              <w:rPr>
                <w:rStyle w:val="114"/>
                <w:rFonts w:hint="default"/>
                <w:color w:val="auto"/>
                <w:sz w:val="21"/>
                <w:szCs w:val="21"/>
                <w:highlight w:val="none"/>
                <w:u w:val="none"/>
              </w:rPr>
              <w:br w:type="textWrapping"/>
            </w:r>
            <w:r>
              <w:rPr>
                <w:rStyle w:val="114"/>
                <w:rFonts w:hint="default"/>
                <w:color w:val="auto"/>
                <w:sz w:val="21"/>
                <w:szCs w:val="21"/>
                <w:highlight w:val="none"/>
                <w:u w:val="none"/>
              </w:rPr>
              <w:t>3：自动自适应增益，随周围环境自动增加音量输入；</w:t>
            </w:r>
            <w:r>
              <w:rPr>
                <w:rStyle w:val="114"/>
                <w:rFonts w:hint="default"/>
                <w:color w:val="auto"/>
                <w:sz w:val="21"/>
                <w:szCs w:val="21"/>
                <w:highlight w:val="none"/>
                <w:u w:val="none"/>
              </w:rPr>
              <w:br w:type="textWrapping"/>
            </w:r>
            <w:r>
              <w:rPr>
                <w:rStyle w:val="114"/>
                <w:rFonts w:hint="default"/>
                <w:color w:val="auto"/>
                <w:sz w:val="21"/>
                <w:szCs w:val="21"/>
                <w:highlight w:val="none"/>
                <w:u w:val="none"/>
              </w:rPr>
              <w:t>4：与发射机一键连接；</w:t>
            </w:r>
            <w:r>
              <w:rPr>
                <w:rStyle w:val="114"/>
                <w:rFonts w:hint="default"/>
                <w:color w:val="auto"/>
                <w:sz w:val="21"/>
                <w:szCs w:val="21"/>
                <w:highlight w:val="none"/>
                <w:u w:val="none"/>
              </w:rPr>
              <w:br w:type="textWrapping"/>
            </w:r>
            <w:r>
              <w:rPr>
                <w:rStyle w:val="114"/>
                <w:rFonts w:hint="default"/>
                <w:color w:val="auto"/>
                <w:sz w:val="21"/>
                <w:szCs w:val="21"/>
                <w:highlight w:val="none"/>
                <w:u w:val="none"/>
              </w:rPr>
              <w:t>5：具有记忆功能，可自动连接；</w:t>
            </w:r>
            <w:r>
              <w:rPr>
                <w:rStyle w:val="114"/>
                <w:rFonts w:hint="default"/>
                <w:color w:val="auto"/>
                <w:sz w:val="21"/>
                <w:szCs w:val="21"/>
                <w:highlight w:val="none"/>
                <w:u w:val="none"/>
              </w:rPr>
              <w:br w:type="textWrapping"/>
            </w:r>
            <w:r>
              <w:rPr>
                <w:rStyle w:val="114"/>
                <w:rFonts w:hint="default"/>
                <w:color w:val="auto"/>
                <w:sz w:val="21"/>
                <w:szCs w:val="21"/>
                <w:highlight w:val="none"/>
                <w:u w:val="none"/>
              </w:rPr>
              <w:t>6：频宽：100Hz-7200Hz；</w:t>
            </w:r>
            <w:r>
              <w:rPr>
                <w:rStyle w:val="114"/>
                <w:rFonts w:hint="default"/>
                <w:color w:val="auto"/>
                <w:sz w:val="21"/>
                <w:szCs w:val="21"/>
                <w:highlight w:val="none"/>
                <w:u w:val="none"/>
              </w:rPr>
              <w:br w:type="textWrapping"/>
            </w:r>
            <w:r>
              <w:rPr>
                <w:rStyle w:val="114"/>
                <w:rFonts w:hint="default"/>
                <w:color w:val="auto"/>
                <w:sz w:val="21"/>
                <w:szCs w:val="21"/>
                <w:highlight w:val="none"/>
                <w:u w:val="none"/>
              </w:rPr>
              <w:t>7：外形小巧。</w:t>
            </w:r>
          </w:p>
        </w:tc>
        <w:tc>
          <w:tcPr>
            <w:tcW w:w="69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color w:val="auto"/>
                <w:szCs w:val="21"/>
                <w:highlight w:val="none"/>
              </w:rPr>
            </w:pPr>
          </w:p>
        </w:tc>
        <w:tc>
          <w:tcPr>
            <w:tcW w:w="904"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6400（一对一单耳）9200（一对二）双耳</w:t>
            </w:r>
          </w:p>
          <w:p>
            <w:pPr>
              <w:pStyle w:val="8"/>
              <w:spacing w:before="0" w:after="0"/>
              <w:rPr>
                <w:rFonts w:ascii="宋体" w:hAnsi="宋体" w:eastAsia="宋体" w:cs="宋体"/>
                <w:color w:val="auto"/>
                <w:sz w:val="18"/>
                <w:szCs w:val="18"/>
                <w:highlight w:val="none"/>
              </w:rPr>
            </w:pPr>
          </w:p>
          <w:p>
            <w:pPr>
              <w:pStyle w:val="8"/>
              <w:spacing w:before="0" w:after="0"/>
              <w:jc w:val="both"/>
              <w:rPr>
                <w:rFonts w:ascii="宋体" w:hAnsi="宋体" w:eastAsia="宋体" w:cs="宋体"/>
                <w:color w:val="auto"/>
                <w:sz w:val="18"/>
                <w:szCs w:val="18"/>
                <w:highlight w:val="none"/>
              </w:rPr>
            </w:pPr>
            <w:r>
              <w:rPr>
                <w:rFonts w:hint="eastAsia" w:ascii="宋体" w:hAnsi="宋体" w:eastAsia="宋体" w:cs="宋体"/>
                <w:color w:val="auto"/>
                <w:sz w:val="18"/>
                <w:szCs w:val="18"/>
                <w:highlight w:val="none"/>
              </w:rPr>
              <w:t>发射机3600元/台</w:t>
            </w:r>
          </w:p>
          <w:p>
            <w:pPr>
              <w:spacing w:line="360" w:lineRule="auto"/>
              <w:rPr>
                <w:rFonts w:ascii="宋体" w:hAnsi="宋体" w:cs="宋体"/>
                <w:color w:val="auto"/>
                <w:sz w:val="18"/>
                <w:szCs w:val="18"/>
                <w:highlight w:val="none"/>
              </w:rPr>
            </w:pPr>
          </w:p>
          <w:p>
            <w:pPr>
              <w:spacing w:line="360" w:lineRule="auto"/>
              <w:rPr>
                <w:color w:val="auto"/>
                <w:highlight w:val="none"/>
              </w:rPr>
            </w:pPr>
            <w:r>
              <w:rPr>
                <w:rFonts w:hint="eastAsia" w:ascii="宋体" w:hAnsi="宋体" w:cs="宋体"/>
                <w:b/>
                <w:color w:val="auto"/>
                <w:kern w:val="0"/>
                <w:sz w:val="18"/>
                <w:szCs w:val="18"/>
                <w:highlight w:val="none"/>
                <w:u w:val="single"/>
              </w:rPr>
              <w:t>接收机2800元/台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7"/>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b/>
                <w:color w:val="auto"/>
                <w:szCs w:val="21"/>
                <w:highlight w:val="none"/>
              </w:rPr>
            </w:pPr>
            <w:r>
              <w:rPr>
                <w:rFonts w:hint="eastAsia" w:ascii="宋体" w:hAnsi="宋体" w:cs="宋体"/>
                <w:b/>
                <w:color w:val="auto"/>
                <w:szCs w:val="21"/>
                <w:highlight w:val="none"/>
              </w:rPr>
              <w:t>二、</w:t>
            </w:r>
            <w:r>
              <w:rPr>
                <w:rFonts w:hint="eastAsia"/>
                <w:color w:val="auto"/>
                <w:szCs w:val="21"/>
                <w:highlight w:val="none"/>
              </w:rPr>
              <w:t>▲</w:t>
            </w:r>
            <w:r>
              <w:rPr>
                <w:rFonts w:hint="eastAsia" w:ascii="宋体" w:hAnsi="宋体" w:cs="宋体"/>
                <w:b/>
                <w:color w:val="auto"/>
                <w:szCs w:val="21"/>
                <w:highlight w:val="none"/>
              </w:rPr>
              <w:t>商务要求表</w:t>
            </w:r>
            <w:r>
              <w:rPr>
                <w:rFonts w:hint="eastAsia" w:hAnsi="宋体"/>
                <w:b/>
                <w:color w:val="auto"/>
                <w:szCs w:val="21"/>
                <w:highlight w:val="none"/>
              </w:rPr>
              <w:t>（投标人商务响应表与售后服务承诺同一内容不相符的，以低计算）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质保期</w:t>
            </w:r>
          </w:p>
        </w:tc>
        <w:tc>
          <w:tcPr>
            <w:tcW w:w="7933" w:type="dxa"/>
            <w:gridSpan w:val="4"/>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按国家有关产品“三包”规定执行“三包”，最短不得少于2年，自设备验收合格之日起计算。终身维护。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售后技术服务要求</w:t>
            </w:r>
          </w:p>
        </w:tc>
        <w:tc>
          <w:tcPr>
            <w:tcW w:w="7933" w:type="dxa"/>
            <w:gridSpan w:val="4"/>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质保期内免费维修、免费更换零部件，服务内容如下：</w:t>
            </w:r>
          </w:p>
          <w:p>
            <w:pPr>
              <w:spacing w:line="400" w:lineRule="exact"/>
              <w:rPr>
                <w:color w:val="auto"/>
                <w:szCs w:val="21"/>
                <w:highlight w:val="none"/>
              </w:rPr>
            </w:pPr>
            <w:r>
              <w:rPr>
                <w:rFonts w:hint="eastAsia"/>
                <w:color w:val="auto"/>
                <w:szCs w:val="21"/>
                <w:highlight w:val="none"/>
              </w:rPr>
              <w:t>（1）免费送货至交货地点、免费调试货物到最佳状态、免费培训操作人员。</w:t>
            </w:r>
          </w:p>
          <w:p>
            <w:pPr>
              <w:spacing w:line="400" w:lineRule="exact"/>
              <w:rPr>
                <w:color w:val="auto"/>
                <w:szCs w:val="21"/>
                <w:highlight w:val="none"/>
              </w:rPr>
            </w:pPr>
            <w:r>
              <w:rPr>
                <w:rFonts w:hint="eastAsia"/>
                <w:color w:val="auto"/>
                <w:szCs w:val="21"/>
                <w:highlight w:val="none"/>
              </w:rPr>
              <w:t>（2）维修响应：中标供应商在接到用户维修电话后3小时内响应，24小时内到达现场修理解决，并免费更换有缺陷的货物或零部件，48小时内恢复正常使用，若不能修复则应有合理应对方案。</w:t>
            </w:r>
          </w:p>
          <w:p>
            <w:pPr>
              <w:spacing w:line="400" w:lineRule="exact"/>
              <w:rPr>
                <w:color w:val="auto"/>
                <w:szCs w:val="21"/>
                <w:highlight w:val="none"/>
              </w:rPr>
            </w:pPr>
            <w:r>
              <w:rPr>
                <w:rFonts w:hint="eastAsia"/>
                <w:color w:val="auto"/>
                <w:szCs w:val="21"/>
                <w:highlight w:val="none"/>
              </w:rPr>
              <w:t>（3）中标人除承担运输、验收与培训等义务外，还将为采购人提供技术支持，包括保修期外的修理及技术指导、配件供应等。</w:t>
            </w:r>
          </w:p>
          <w:p>
            <w:pPr>
              <w:spacing w:line="400" w:lineRule="exact"/>
              <w:jc w:val="left"/>
              <w:rPr>
                <w:color w:val="auto"/>
                <w:szCs w:val="21"/>
                <w:highlight w:val="none"/>
              </w:rPr>
            </w:pPr>
            <w:r>
              <w:rPr>
                <w:rFonts w:hint="eastAsia" w:ascii="宋体" w:hAnsi="宋体" w:cs="宋体"/>
                <w:color w:val="auto"/>
                <w:szCs w:val="21"/>
                <w:highlight w:val="none"/>
              </w:rPr>
              <w:t>（4）</w:t>
            </w:r>
            <w:r>
              <w:rPr>
                <w:rFonts w:hint="eastAsia" w:ascii="宋体" w:hAnsi="宋体"/>
                <w:b/>
                <w:color w:val="auto"/>
                <w:szCs w:val="21"/>
                <w:highlight w:val="none"/>
              </w:rPr>
              <w:t>本地化服务：本项目服务的对象涉及广西全区，为保证及时提供售后服务，</w:t>
            </w:r>
            <w:r>
              <w:rPr>
                <w:rFonts w:hint="eastAsia" w:ascii="宋体" w:hAnsi="宋体" w:cs="宋体"/>
                <w:color w:val="auto"/>
                <w:szCs w:val="21"/>
                <w:highlight w:val="none"/>
              </w:rPr>
              <w:t>在本地自设或委托不少于2家具有相应资质条件的服务机构，</w:t>
            </w:r>
            <w:r>
              <w:rPr>
                <w:rFonts w:hint="eastAsia" w:ascii="宋体" w:hAnsi="宋体"/>
                <w:b/>
                <w:color w:val="auto"/>
                <w:szCs w:val="21"/>
                <w:highlight w:val="none"/>
              </w:rPr>
              <w:t>做好助听器验配售后服务，委托服务的还须提供双方签字盖章的委托协议书，协议服务期限至少2年以上，每家售后服务机构要在广西各地设有不少于7家服务网点，每家服务网点必须具备营业执照，第二类医疗器械经营备案凭证(备案范围要包含“6846”等内容) 和至少一名以上助听器验配师。</w:t>
            </w:r>
            <w:r>
              <w:rPr>
                <w:rFonts w:hint="eastAsia" w:ascii="宋体" w:hAnsi="宋体" w:cs="宋体"/>
                <w:color w:val="auto"/>
                <w:szCs w:val="21"/>
                <w:highlight w:val="none"/>
              </w:rPr>
              <w:t>需提供助听器验配师</w:t>
            </w:r>
            <w:r>
              <w:rPr>
                <w:rFonts w:hint="eastAsia"/>
                <w:color w:val="auto"/>
                <w:szCs w:val="21"/>
                <w:highlight w:val="none"/>
              </w:rPr>
              <w:t>资格证书和身份证、劳动合同复印件加盖公章</w:t>
            </w:r>
            <w:r>
              <w:rPr>
                <w:rFonts w:hint="eastAsia" w:ascii="宋体" w:hAnsi="宋体"/>
                <w:b/>
                <w:color w:val="auto"/>
                <w:szCs w:val="21"/>
                <w:highlight w:val="none"/>
              </w:rPr>
              <w:t>。(原件备查)。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3"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交货时间及地点</w:t>
            </w:r>
          </w:p>
        </w:tc>
        <w:tc>
          <w:tcPr>
            <w:tcW w:w="7933"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1、交货时间：</w:t>
            </w:r>
            <w:r>
              <w:rPr>
                <w:rFonts w:hint="eastAsia" w:ascii="宋体" w:hAnsi="宋体"/>
                <w:bCs/>
                <w:color w:val="auto"/>
                <w:szCs w:val="21"/>
                <w:highlight w:val="none"/>
              </w:rPr>
              <w:t>中标人接到采购人每次发出的订单后20个工作日内交付货物并验收合格</w:t>
            </w:r>
            <w:r>
              <w:rPr>
                <w:rFonts w:hint="eastAsia" w:ascii="宋体" w:hAnsi="宋体" w:cs="宋体"/>
                <w:color w:val="auto"/>
                <w:szCs w:val="21"/>
                <w:highlight w:val="none"/>
              </w:rPr>
              <w:t>。</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2、交货地点：采购单位县（市、区）残联指定的县（市、区）或乡镇（街道），后续配送入户由县（市、区）残联和乡镇（街道）残联负责组织完成。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付款方式</w:t>
            </w:r>
          </w:p>
        </w:tc>
        <w:tc>
          <w:tcPr>
            <w:tcW w:w="7933"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由中标供应商与广西壮族自治区残疾人联合会签订总合同，并与采购单位县（市、区）残联签订分合同。乙方根据县（市、区）残联需求按订单供货，每次订单的货物经交付验收合格后十个工作日内，由甲方按乙方中标标的物的中标单价和实际供货数量计算，以转帐方式一次性付清订单货款（无预付款）。乙方自收到货款之日起五个工作日内开具发票给甲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667" w:type="dxa"/>
            <w:gridSpan w:val="3"/>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投标报价</w:t>
            </w:r>
          </w:p>
        </w:tc>
        <w:tc>
          <w:tcPr>
            <w:tcW w:w="7933" w:type="dxa"/>
            <w:gridSpan w:val="4"/>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投标人按折让率进行报价，本项目折让率允许范围20%（含）以内，超出范围不予接受，作无效投标处理；本项目不接受零折让率的报价（例如：九折的折让率为10%；八折的折让率为20%），投标折让率必须是固定的（如10%），不得存在区间值（如：5%~10%），统一对本项目报一个投标折让率，不接受有选择的报价，且所报的投标折让率应当适用于本项目的所有投标产品。投标人报价时应充分把实施项目过程中所产生的筛查评估、成品助听器、检测、耳模制作、试带调试、使用指导、零配件（每台配备干燥盒1个、30粒专用电池）、跟踪回访和质保服务。及其它所有相关费用列入投标报价中。采购人不再针对本项目另行支付其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0" w:hRule="atLeast"/>
        </w:trPr>
        <w:tc>
          <w:tcPr>
            <w:tcW w:w="9600"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三、投标人的资信要求表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政策性加分条件</w:t>
            </w:r>
          </w:p>
        </w:tc>
        <w:tc>
          <w:tcPr>
            <w:tcW w:w="7951" w:type="dxa"/>
            <w:gridSpan w:val="5"/>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符合节能环保等国家政策要求。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00" w:type="dxa"/>
            <w:gridSpan w:val="7"/>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b/>
                <w:color w:val="auto"/>
                <w:szCs w:val="21"/>
                <w:highlight w:val="none"/>
              </w:rPr>
              <w:t>四、采购人对项目的特殊要求及说明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tcPr>
          <w:p>
            <w:pPr>
              <w:spacing w:line="400" w:lineRule="exact"/>
              <w:rPr>
                <w:rFonts w:ascii="宋体" w:hAnsi="宋体" w:cs="宋体"/>
                <w:color w:val="auto"/>
                <w:szCs w:val="21"/>
                <w:highlight w:val="none"/>
              </w:rPr>
            </w:pPr>
            <w:r>
              <w:rPr>
                <w:rFonts w:hint="eastAsia" w:ascii="宋体" w:hAnsi="宋体" w:cs="宋体"/>
                <w:color w:val="auto"/>
                <w:szCs w:val="21"/>
                <w:highlight w:val="none"/>
              </w:rPr>
              <w:t>产品资料说明文件</w:t>
            </w:r>
          </w:p>
        </w:tc>
        <w:tc>
          <w:tcPr>
            <w:tcW w:w="7951" w:type="dxa"/>
            <w:gridSpan w:val="5"/>
            <w:tcBorders>
              <w:top w:val="single" w:color="auto" w:sz="4" w:space="0"/>
              <w:left w:val="single" w:color="auto" w:sz="4" w:space="0"/>
              <w:bottom w:val="single" w:color="auto" w:sz="4" w:space="0"/>
              <w:right w:val="single" w:color="auto" w:sz="4" w:space="0"/>
            </w:tcBorders>
            <w:noWrap/>
          </w:tcPr>
          <w:p>
            <w:pPr>
              <w:spacing w:line="400" w:lineRule="exact"/>
              <w:rPr>
                <w:color w:val="auto"/>
                <w:szCs w:val="21"/>
                <w:highlight w:val="none"/>
              </w:rPr>
            </w:pPr>
            <w:r>
              <w:rPr>
                <w:rFonts w:hint="eastAsia"/>
                <w:color w:val="auto"/>
                <w:szCs w:val="21"/>
                <w:highlight w:val="none"/>
              </w:rPr>
              <w:t>1、招标文件要求提供有效检测报告复印件必须满足，评标时当技术响应表中的参数与检测报告不一致时，以检测报告为准。</w:t>
            </w:r>
          </w:p>
          <w:p>
            <w:pPr>
              <w:spacing w:line="400" w:lineRule="exact"/>
              <w:rPr>
                <w:color w:val="auto"/>
                <w:szCs w:val="21"/>
                <w:highlight w:val="none"/>
              </w:rPr>
            </w:pPr>
            <w:r>
              <w:rPr>
                <w:rFonts w:hint="eastAsia"/>
                <w:color w:val="auto"/>
                <w:szCs w:val="21"/>
                <w:highlight w:val="none"/>
              </w:rPr>
              <w:t>▲2、投标产品中涉及国家专项审批的，投标人在投标文件中需提供产品生产厂家相关医疗器械生产许可证和医疗器械注册证明细表复印件。</w:t>
            </w:r>
          </w:p>
          <w:p>
            <w:pPr>
              <w:spacing w:line="400" w:lineRule="exact"/>
              <w:rPr>
                <w:color w:val="auto"/>
                <w:szCs w:val="21"/>
                <w:highlight w:val="none"/>
              </w:rPr>
            </w:pPr>
            <w:r>
              <w:rPr>
                <w:rFonts w:hint="eastAsia"/>
                <w:color w:val="auto"/>
                <w:szCs w:val="21"/>
                <w:highlight w:val="none"/>
              </w:rPr>
              <w:t>▲3、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采购人的特殊要求及说明</w:t>
            </w:r>
          </w:p>
        </w:tc>
        <w:tc>
          <w:tcPr>
            <w:tcW w:w="7951" w:type="dxa"/>
            <w:gridSpan w:val="5"/>
            <w:tcBorders>
              <w:top w:val="single" w:color="auto" w:sz="4" w:space="0"/>
              <w:left w:val="single" w:color="auto" w:sz="4" w:space="0"/>
              <w:bottom w:val="single" w:color="auto" w:sz="4" w:space="0"/>
              <w:right w:val="single" w:color="auto" w:sz="4" w:space="0"/>
            </w:tcBorders>
            <w:noWrap/>
            <w:vAlign w:val="center"/>
          </w:tcPr>
          <w:p>
            <w:pPr>
              <w:pStyle w:val="19"/>
              <w:spacing w:line="400" w:lineRule="exact"/>
              <w:rPr>
                <w:rFonts w:ascii="宋体" w:hAnsi="宋体"/>
                <w:color w:val="auto"/>
                <w:szCs w:val="21"/>
                <w:highlight w:val="none"/>
              </w:rPr>
            </w:pPr>
            <w:r>
              <w:rPr>
                <w:rFonts w:hint="eastAsia" w:ascii="宋体" w:hAnsi="宋体" w:cs="宋体"/>
                <w:color w:val="auto"/>
                <w:szCs w:val="21"/>
                <w:highlight w:val="none"/>
              </w:rPr>
              <w:t>▲本项目未办理进口产品的相关审批手续，不接受进口产品（即通过中国海关报关验放进入中国境内且产自关境外的产品）参与投标，如有此类产品参与投标的，作无效投标处理。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649" w:type="dxa"/>
            <w:gridSpan w:val="2"/>
            <w:tcBorders>
              <w:top w:val="single" w:color="auto" w:sz="4" w:space="0"/>
              <w:left w:val="single" w:color="auto" w:sz="4" w:space="0"/>
              <w:bottom w:val="single" w:color="auto" w:sz="4" w:space="0"/>
              <w:right w:val="single" w:color="auto" w:sz="4" w:space="0"/>
            </w:tcBorders>
            <w:noWrap/>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其他要求</w:t>
            </w:r>
          </w:p>
        </w:tc>
        <w:tc>
          <w:tcPr>
            <w:tcW w:w="7951" w:type="dxa"/>
            <w:gridSpan w:val="5"/>
            <w:tcBorders>
              <w:top w:val="single" w:color="auto" w:sz="4" w:space="0"/>
              <w:left w:val="single" w:color="auto" w:sz="4" w:space="0"/>
              <w:bottom w:val="single" w:color="auto" w:sz="4" w:space="0"/>
              <w:right w:val="single" w:color="auto" w:sz="4" w:space="0"/>
            </w:tcBorders>
            <w:noWrap/>
            <w:vAlign w:val="center"/>
          </w:tcPr>
          <w:p>
            <w:pPr>
              <w:spacing w:line="400" w:lineRule="exact"/>
              <w:rPr>
                <w:color w:val="auto"/>
                <w:szCs w:val="21"/>
                <w:highlight w:val="none"/>
              </w:rPr>
            </w:pPr>
            <w:r>
              <w:rPr>
                <w:rFonts w:hint="eastAsia"/>
                <w:color w:val="auto"/>
                <w:szCs w:val="21"/>
                <w:highlight w:val="none"/>
              </w:rPr>
              <w:t>1、▲第二项投标产品为核心产品，核心产品品牌相同的，视为提供相同品牌产品。提供相同品牌产品的不同投标人参加同一合同项下投标的，按一家投标人计算，以其中通过资格审查、符合性审查的不同投标人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10"/>
              <w:spacing w:line="400" w:lineRule="exact"/>
              <w:ind w:firstLine="0"/>
              <w:rPr>
                <w:rFonts w:ascii="宋体" w:hAnsi="宋体" w:cs="宋体"/>
                <w:color w:val="auto"/>
                <w:szCs w:val="21"/>
                <w:highlight w:val="none"/>
              </w:rPr>
            </w:pPr>
            <w:r>
              <w:rPr>
                <w:rFonts w:hint="eastAsia"/>
                <w:color w:val="auto"/>
                <w:szCs w:val="21"/>
                <w:highlight w:val="none"/>
              </w:rPr>
              <w:t>2、▲</w:t>
            </w:r>
            <w:r>
              <w:rPr>
                <w:rFonts w:hint="eastAsia" w:ascii="宋体" w:hAnsi="宋体" w:cs="宋体"/>
                <w:color w:val="auto"/>
                <w:szCs w:val="21"/>
                <w:highlight w:val="none"/>
              </w:rPr>
              <w:t>投标人所投助听器机型应为2020年上市产品，所投助听器，需提供2020年以后取得的产品的医疗器械注册证及医疗器械注册登记表，如无法提供或不全，将造成投标无效。</w:t>
            </w:r>
          </w:p>
          <w:p>
            <w:pPr>
              <w:pStyle w:val="10"/>
              <w:spacing w:line="400" w:lineRule="exact"/>
              <w:ind w:firstLine="0"/>
              <w:rPr>
                <w:rFonts w:ascii="宋体" w:hAnsi="宋体" w:cs="宋体"/>
                <w:color w:val="auto"/>
                <w:szCs w:val="21"/>
                <w:highlight w:val="none"/>
              </w:rPr>
            </w:pPr>
            <w:r>
              <w:rPr>
                <w:rFonts w:hint="eastAsia" w:ascii="宋体" w:hAnsi="宋体" w:cs="宋体"/>
                <w:color w:val="auto"/>
                <w:szCs w:val="21"/>
                <w:highlight w:val="none"/>
              </w:rPr>
              <w:t>3、</w:t>
            </w:r>
            <w:r>
              <w:rPr>
                <w:rFonts w:hint="eastAsia"/>
                <w:color w:val="auto"/>
                <w:szCs w:val="21"/>
                <w:highlight w:val="none"/>
              </w:rPr>
              <w:t>▲</w:t>
            </w:r>
            <w:r>
              <w:rPr>
                <w:rFonts w:hint="eastAsia" w:ascii="宋体" w:hAnsi="宋体" w:cs="宋体"/>
                <w:color w:val="auto"/>
                <w:szCs w:val="21"/>
                <w:highlight w:val="none"/>
              </w:rPr>
              <w:t>第1-7项投标产品需提供</w:t>
            </w:r>
            <w:r>
              <w:rPr>
                <w:rFonts w:hint="eastAsia" w:ascii="宋体" w:hAnsi="宋体" w:cs="宋体"/>
                <w:color w:val="auto"/>
                <w:szCs w:val="21"/>
                <w:highlight w:val="none"/>
                <w:lang w:val="en-US" w:eastAsia="zh-CN"/>
              </w:rPr>
              <w:t>省级及以上相关专业质量监督检验部门出具的检测报告</w:t>
            </w:r>
            <w:r>
              <w:rPr>
                <w:rFonts w:hint="eastAsia" w:ascii="宋体" w:hAnsi="宋体" w:cs="宋体"/>
                <w:color w:val="auto"/>
                <w:szCs w:val="21"/>
                <w:highlight w:val="none"/>
              </w:rPr>
              <w:t>，检测报告的检测时间为二年（2020年、2021年）。</w:t>
            </w:r>
          </w:p>
          <w:p>
            <w:pPr>
              <w:pStyle w:val="10"/>
              <w:spacing w:line="400" w:lineRule="exact"/>
              <w:ind w:firstLine="0"/>
              <w:rPr>
                <w:rFonts w:ascii="宋体" w:hAnsi="宋体" w:cs="宋体"/>
                <w:color w:val="auto"/>
                <w:szCs w:val="21"/>
                <w:highlight w:val="none"/>
              </w:rPr>
            </w:pPr>
            <w:r>
              <w:rPr>
                <w:rFonts w:hint="eastAsia" w:ascii="宋体" w:hAnsi="宋体" w:cs="宋体"/>
                <w:color w:val="auto"/>
                <w:szCs w:val="21"/>
                <w:highlight w:val="none"/>
              </w:rPr>
              <w:t>4、</w:t>
            </w:r>
            <w:r>
              <w:rPr>
                <w:rFonts w:hint="eastAsia"/>
                <w:color w:val="auto"/>
                <w:szCs w:val="21"/>
                <w:highlight w:val="none"/>
              </w:rPr>
              <w:t>▲每台助听器零配件需提供干燥盒1个、30粒专用电池。</w:t>
            </w:r>
          </w:p>
        </w:tc>
      </w:tr>
    </w:tbl>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p>
      <w:pPr>
        <w:pStyle w:val="10"/>
        <w:ind w:firstLine="0"/>
        <w:rPr>
          <w:color w:val="auto"/>
          <w:highlight w:val="none"/>
        </w:rPr>
      </w:pPr>
    </w:p>
    <w:bookmarkEnd w:id="42"/>
    <w:bookmarkEnd w:id="43"/>
    <w:p>
      <w:pPr>
        <w:pStyle w:val="6"/>
        <w:spacing w:before="0" w:after="0" w:line="360" w:lineRule="auto"/>
        <w:jc w:val="center"/>
        <w:rPr>
          <w:rFonts w:ascii="Calibri" w:hAnsi="Calibri"/>
          <w:color w:val="auto"/>
          <w:highlight w:val="none"/>
        </w:rPr>
      </w:pPr>
      <w:bookmarkStart w:id="44" w:name="_Toc50406500"/>
      <w:r>
        <w:rPr>
          <w:rFonts w:hint="eastAsia"/>
          <w:color w:val="auto"/>
          <w:highlight w:val="none"/>
        </w:rPr>
        <w:t>第三章投标人须知</w:t>
      </w:r>
      <w:bookmarkEnd w:id="44"/>
    </w:p>
    <w:p>
      <w:pPr>
        <w:spacing w:line="360" w:lineRule="auto"/>
        <w:jc w:val="center"/>
        <w:rPr>
          <w:color w:val="auto"/>
          <w:sz w:val="36"/>
          <w:szCs w:val="36"/>
          <w:highlight w:val="none"/>
        </w:rPr>
      </w:pPr>
      <w:bookmarkStart w:id="45" w:name="_Toc254970526"/>
      <w:bookmarkStart w:id="46" w:name="_Toc254970667"/>
      <w:r>
        <w:rPr>
          <w:rFonts w:hint="eastAsia"/>
          <w:color w:val="auto"/>
          <w:sz w:val="36"/>
          <w:szCs w:val="36"/>
          <w:highlight w:val="none"/>
        </w:rPr>
        <w:t>投标人须知前附表</w:t>
      </w:r>
      <w:bookmarkEnd w:id="45"/>
      <w:bookmarkEnd w:id="46"/>
    </w:p>
    <w:tbl>
      <w:tblPr>
        <w:tblStyle w:val="46"/>
        <w:tblW w:w="1008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4"/>
        <w:gridCol w:w="916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highlight w:val="none"/>
              </w:rPr>
            </w:pPr>
            <w:r>
              <w:rPr>
                <w:rFonts w:hint="eastAsia" w:ascii="宋体" w:hAnsi="宋体"/>
                <w:color w:val="auto"/>
                <w:spacing w:val="-6"/>
                <w:szCs w:val="21"/>
                <w:highlight w:val="none"/>
              </w:rPr>
              <w:t>条款号</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47" w:name="_5"/>
            <w:bookmarkEnd w:id="47"/>
            <w:r>
              <w:rPr>
                <w:rFonts w:hint="eastAsia" w:ascii="宋体" w:hAnsi="宋体"/>
                <w:color w:val="auto"/>
                <w:highlight w:val="none"/>
              </w:rPr>
              <w:t>5</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投标费用：投标人投标期间与投标有关的全部费用（招标文件有相关规定的除外），不论投标结果如何， 均应自行承担。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48" w:name="_8.1"/>
            <w:bookmarkEnd w:id="48"/>
            <w:bookmarkStart w:id="49" w:name="_9.2"/>
            <w:bookmarkEnd w:id="49"/>
            <w:r>
              <w:rPr>
                <w:rFonts w:hint="eastAsia" w:ascii="宋体" w:hAnsi="宋体"/>
                <w:color w:val="auto"/>
                <w:highlight w:val="none"/>
              </w:rPr>
              <w:t>6.1</w:t>
            </w:r>
          </w:p>
        </w:tc>
        <w:tc>
          <w:tcPr>
            <w:tcW w:w="9169" w:type="dxa"/>
            <w:tcBorders>
              <w:top w:val="single" w:color="auto" w:sz="4" w:space="0"/>
              <w:left w:val="single" w:color="auto" w:sz="4" w:space="0"/>
              <w:bottom w:val="single" w:color="auto" w:sz="4" w:space="0"/>
              <w:right w:val="single" w:color="auto" w:sz="4" w:space="0"/>
            </w:tcBorders>
            <w:vAlign w:val="center"/>
          </w:tcPr>
          <w:p>
            <w:pPr>
              <w:pStyle w:val="19"/>
              <w:spacing w:line="360" w:lineRule="exact"/>
              <w:rPr>
                <w:rFonts w:ascii="宋体" w:hAnsi="宋体"/>
                <w:color w:val="auto"/>
                <w:highlight w:val="none"/>
              </w:rPr>
            </w:pPr>
            <w:r>
              <w:rPr>
                <w:rFonts w:hint="eastAsia" w:ascii="宋体" w:hAnsi="宋体"/>
                <w:color w:val="auto"/>
                <w:highlight w:val="none"/>
              </w:rPr>
              <w:t>□接受联合体投标</w:t>
            </w:r>
          </w:p>
          <w:p>
            <w:pPr>
              <w:pStyle w:val="19"/>
              <w:spacing w:line="360" w:lineRule="exact"/>
              <w:rPr>
                <w:rFonts w:ascii="宋体" w:hAnsi="宋体"/>
                <w:color w:val="auto"/>
                <w:highlight w:val="none"/>
              </w:rPr>
            </w:pPr>
            <w:r>
              <w:rPr>
                <w:rFonts w:hint="eastAsia" w:ascii="宋体" w:hAnsi="宋体"/>
                <w:color w:val="auto"/>
                <w:highlight w:val="none"/>
              </w:rPr>
              <w:t>√不接受联合体投标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r>
              <w:rPr>
                <w:rFonts w:hint="eastAsia" w:ascii="宋体" w:hAnsi="宋体"/>
                <w:color w:val="auto"/>
                <w:highlight w:val="none"/>
              </w:rPr>
              <w:t>7.2</w:t>
            </w:r>
          </w:p>
        </w:tc>
        <w:tc>
          <w:tcPr>
            <w:tcW w:w="9169" w:type="dxa"/>
            <w:tcBorders>
              <w:top w:val="single" w:color="auto" w:sz="4" w:space="0"/>
              <w:left w:val="single" w:color="auto" w:sz="4" w:space="0"/>
              <w:bottom w:val="single" w:color="auto" w:sz="4" w:space="0"/>
              <w:right w:val="single" w:color="auto" w:sz="4" w:space="0"/>
            </w:tcBorders>
            <w:vAlign w:val="center"/>
          </w:tcPr>
          <w:p>
            <w:pPr>
              <w:pStyle w:val="19"/>
              <w:spacing w:line="360" w:lineRule="exact"/>
              <w:rPr>
                <w:rFonts w:ascii="宋体" w:hAnsi="宋体"/>
                <w:color w:val="auto"/>
                <w:highlight w:val="none"/>
              </w:rPr>
            </w:pPr>
            <w:r>
              <w:rPr>
                <w:rFonts w:hint="eastAsia" w:ascii="宋体" w:hAnsi="宋体"/>
                <w:color w:val="auto"/>
                <w:highlight w:val="none"/>
              </w:rPr>
              <w:t>√不允许分包</w:t>
            </w:r>
          </w:p>
          <w:p>
            <w:pPr>
              <w:pStyle w:val="19"/>
              <w:spacing w:line="360" w:lineRule="exact"/>
              <w:rPr>
                <w:rFonts w:ascii="宋体" w:hAnsi="宋体"/>
                <w:color w:val="auto"/>
                <w:highlight w:val="none"/>
                <w:u w:val="single"/>
              </w:rPr>
            </w:pPr>
            <w:r>
              <w:rPr>
                <w:rFonts w:hint="eastAsia" w:ascii="宋体" w:hAnsi="宋体"/>
                <w:color w:val="auto"/>
                <w:highlight w:val="none"/>
              </w:rPr>
              <w:t>□允许分包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r>
              <w:rPr>
                <w:rFonts w:hint="eastAsia" w:ascii="宋体" w:hAnsi="宋体"/>
                <w:color w:val="auto"/>
                <w:highlight w:val="none"/>
              </w:rPr>
              <w:t>9.2</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递交质疑函方式：</w:t>
            </w:r>
            <w:r>
              <w:rPr>
                <w:color w:val="auto"/>
                <w:spacing w:val="-9"/>
                <w:highlight w:val="none"/>
              </w:rPr>
              <w:t xml:space="preserve">以书面形式【含纸质材料和可编辑的 </w:t>
            </w:r>
            <w:r>
              <w:rPr>
                <w:color w:val="auto"/>
                <w:highlight w:val="none"/>
              </w:rPr>
              <w:t>word</w:t>
            </w:r>
            <w:r>
              <w:rPr>
                <w:color w:val="auto"/>
                <w:spacing w:val="-12"/>
                <w:highlight w:val="none"/>
              </w:rPr>
              <w:t xml:space="preserve"> 文档电子版，电子版可发送至邮箱：</w:t>
            </w:r>
            <w:r>
              <w:rPr>
                <w:color w:val="auto"/>
                <w:highlight w:val="none"/>
              </w:rPr>
              <w:fldChar w:fldCharType="begin"/>
            </w:r>
            <w:r>
              <w:rPr>
                <w:color w:val="auto"/>
                <w:highlight w:val="none"/>
              </w:rPr>
              <w:instrText xml:space="preserve"> HYPERLINK "mailto:hf2855737@126.com" \h </w:instrText>
            </w:r>
            <w:r>
              <w:rPr>
                <w:color w:val="auto"/>
                <w:highlight w:val="none"/>
              </w:rPr>
              <w:fldChar w:fldCharType="separate"/>
            </w:r>
            <w:r>
              <w:rPr>
                <w:rFonts w:hint="eastAsia"/>
                <w:color w:val="auto"/>
                <w:spacing w:val="-12"/>
                <w:highlight w:val="none"/>
              </w:rPr>
              <w:t>1347863981</w:t>
            </w:r>
            <w:r>
              <w:rPr>
                <w:color w:val="auto"/>
                <w:spacing w:val="-12"/>
                <w:highlight w:val="none"/>
              </w:rPr>
              <w:t>@</w:t>
            </w:r>
            <w:r>
              <w:rPr>
                <w:rFonts w:hint="eastAsia"/>
                <w:color w:val="auto"/>
                <w:spacing w:val="-12"/>
                <w:highlight w:val="none"/>
              </w:rPr>
              <w:t>qq.com</w:t>
            </w:r>
            <w:r>
              <w:rPr>
                <w:rFonts w:hint="eastAsia"/>
                <w:color w:val="auto"/>
                <w:spacing w:val="-12"/>
                <w:highlight w:val="none"/>
              </w:rPr>
              <w:fldChar w:fldCharType="end"/>
            </w:r>
            <w:r>
              <w:rPr>
                <w:color w:val="auto"/>
                <w:highlight w:val="none"/>
              </w:rPr>
              <w:t>】</w:t>
            </w:r>
          </w:p>
          <w:p>
            <w:pPr>
              <w:snapToGrid w:val="0"/>
              <w:spacing w:line="360" w:lineRule="exact"/>
              <w:rPr>
                <w:rFonts w:ascii="宋体" w:hAnsi="宋体"/>
                <w:color w:val="auto"/>
                <w:szCs w:val="21"/>
                <w:highlight w:val="none"/>
              </w:rPr>
            </w:pPr>
            <w:r>
              <w:rPr>
                <w:rFonts w:hint="eastAsia" w:ascii="宋体" w:hAnsi="宋体"/>
                <w:color w:val="auto"/>
                <w:szCs w:val="21"/>
                <w:highlight w:val="none"/>
              </w:rPr>
              <w:t>质疑联系部门及联系方式：广西建设工程机电设备招标中心有限公司，</w:t>
            </w:r>
            <w:r>
              <w:rPr>
                <w:rFonts w:ascii="宋体" w:hAnsi="宋体"/>
                <w:color w:val="auto"/>
                <w:szCs w:val="21"/>
                <w:highlight w:val="none"/>
              </w:rPr>
              <w:t>联系电话</w:t>
            </w:r>
            <w:r>
              <w:rPr>
                <w:rFonts w:hint="eastAsia" w:ascii="宋体" w:hAnsi="宋体"/>
                <w:color w:val="auto"/>
                <w:szCs w:val="21"/>
                <w:highlight w:val="none"/>
              </w:rPr>
              <w:t>：</w:t>
            </w:r>
            <w:r>
              <w:rPr>
                <w:rFonts w:hint="eastAsia" w:ascii="宋体" w:hAnsi="宋体" w:cs="Helvetica"/>
                <w:color w:val="auto"/>
                <w:szCs w:val="21"/>
                <w:highlight w:val="none"/>
              </w:rPr>
              <w:t>莫工</w:t>
            </w:r>
            <w:r>
              <w:rPr>
                <w:rFonts w:hint="eastAsia" w:ascii="宋体" w:hAnsi="宋体"/>
                <w:color w:val="auto"/>
                <w:szCs w:val="21"/>
                <w:highlight w:val="none"/>
              </w:rPr>
              <w:t xml:space="preserve"> ，0771－2819799</w:t>
            </w:r>
            <w:r>
              <w:rPr>
                <w:rFonts w:ascii="宋体" w:hAnsi="宋体"/>
                <w:color w:val="auto"/>
                <w:szCs w:val="21"/>
                <w:highlight w:val="none"/>
              </w:rPr>
              <w:t>通讯地址</w:t>
            </w:r>
            <w:r>
              <w:rPr>
                <w:rFonts w:hint="eastAsia" w:ascii="宋体" w:hAnsi="宋体" w:cs="Helvetica"/>
                <w:color w:val="auto"/>
                <w:sz w:val="28"/>
                <w:szCs w:val="28"/>
                <w:highlight w:val="none"/>
              </w:rPr>
              <w:t>：</w:t>
            </w:r>
            <w:r>
              <w:rPr>
                <w:rFonts w:hint="eastAsia"/>
                <w:color w:val="auto"/>
                <w:spacing w:val="-4"/>
                <w:highlight w:val="none"/>
              </w:rPr>
              <w:t>南宁市纬武路165号</w:t>
            </w:r>
          </w:p>
          <w:p>
            <w:pPr>
              <w:snapToGrid w:val="0"/>
              <w:spacing w:line="360" w:lineRule="exact"/>
              <w:rPr>
                <w:rFonts w:ascii="宋体" w:hAnsi="宋体"/>
                <w:color w:val="auto"/>
                <w:szCs w:val="21"/>
                <w:highlight w:val="none"/>
              </w:rPr>
            </w:pPr>
            <w:r>
              <w:rPr>
                <w:rFonts w:hint="eastAsia" w:ascii="宋体" w:hAnsi="宋体"/>
                <w:color w:val="auto"/>
                <w:szCs w:val="21"/>
                <w:highlight w:val="none"/>
              </w:rPr>
              <w:t>业务时间：每天8时30分00秒到12时00分00秒，14时30分00秒到17时 30分00秒，双休日和法定节假日不办理业务。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0" w:name="_13.1"/>
            <w:bookmarkEnd w:id="50"/>
            <w:r>
              <w:rPr>
                <w:rFonts w:hint="eastAsia" w:ascii="宋体" w:hAnsi="宋体"/>
                <w:color w:val="auto"/>
                <w:highlight w:val="none"/>
              </w:rPr>
              <w:t>13.</w:t>
            </w:r>
            <w:bookmarkStart w:id="51" w:name="_Hlt19632543"/>
            <w:r>
              <w:rPr>
                <w:rFonts w:hint="eastAsia" w:ascii="宋体" w:hAnsi="宋体"/>
                <w:color w:val="auto"/>
                <w:highlight w:val="none"/>
              </w:rPr>
              <w:t>1</w:t>
            </w:r>
            <w:bookmarkEnd w:id="51"/>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Courier New"/>
                <w:b/>
                <w:color w:val="auto"/>
                <w:szCs w:val="21"/>
                <w:highlight w:val="none"/>
              </w:rPr>
            </w:pPr>
            <w:r>
              <w:rPr>
                <w:rFonts w:hint="eastAsia" w:ascii="宋体" w:hAnsi="宋体" w:cs="Courier New"/>
                <w:b/>
                <w:color w:val="auto"/>
                <w:szCs w:val="21"/>
                <w:highlight w:val="none"/>
              </w:rPr>
              <w:t>报价文件</w:t>
            </w:r>
            <w:r>
              <w:rPr>
                <w:rFonts w:hint="eastAsia" w:ascii="宋体" w:hAnsi="宋体" w:cs="Courier New"/>
                <w:b/>
                <w:color w:val="auto"/>
                <w:sz w:val="24"/>
                <w:highlight w:val="none"/>
              </w:rPr>
              <w:t>：</w:t>
            </w:r>
          </w:p>
          <w:p>
            <w:pPr>
              <w:numPr>
                <w:ilvl w:val="0"/>
                <w:numId w:val="9"/>
              </w:numPr>
              <w:tabs>
                <w:tab w:val="left" w:pos="459"/>
              </w:tabs>
              <w:snapToGrid w:val="0"/>
              <w:spacing w:line="360" w:lineRule="exact"/>
              <w:ind w:left="459" w:hanging="39"/>
              <w:jc w:val="left"/>
              <w:rPr>
                <w:rFonts w:ascii="宋体" w:hAnsi="宋体"/>
                <w:color w:val="auto"/>
                <w:szCs w:val="21"/>
                <w:highlight w:val="none"/>
              </w:rPr>
            </w:pPr>
            <w:r>
              <w:rPr>
                <w:rFonts w:hint="eastAsia" w:ascii="宋体" w:hAnsi="宋体"/>
                <w:color w:val="auto"/>
                <w:szCs w:val="21"/>
                <w:highlight w:val="none"/>
              </w:rPr>
              <w:t>投标函（格式后附）；</w:t>
            </w:r>
            <w:r>
              <w:rPr>
                <w:rFonts w:hint="eastAsia" w:ascii="宋体" w:hAnsi="宋体"/>
                <w:b/>
                <w:color w:val="auto"/>
                <w:szCs w:val="21"/>
                <w:highlight w:val="none"/>
              </w:rPr>
              <w:t>（必须提供，否则作无效投标处理）</w:t>
            </w:r>
          </w:p>
          <w:p>
            <w:pPr>
              <w:numPr>
                <w:ilvl w:val="0"/>
                <w:numId w:val="9"/>
              </w:numPr>
              <w:tabs>
                <w:tab w:val="left" w:pos="459"/>
              </w:tabs>
              <w:snapToGrid w:val="0"/>
              <w:spacing w:line="360" w:lineRule="exact"/>
              <w:ind w:left="459" w:hanging="39"/>
              <w:jc w:val="left"/>
              <w:rPr>
                <w:rFonts w:ascii="宋体" w:hAnsi="宋体"/>
                <w:color w:val="auto"/>
                <w:szCs w:val="21"/>
                <w:highlight w:val="none"/>
              </w:rPr>
            </w:pPr>
            <w:r>
              <w:rPr>
                <w:rFonts w:hint="eastAsia" w:ascii="宋体" w:hAnsi="宋体"/>
                <w:color w:val="auto"/>
                <w:szCs w:val="21"/>
                <w:highlight w:val="none"/>
              </w:rPr>
              <w:t>开标一览表（格式后附）； （</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numPr>
                <w:ilvl w:val="0"/>
                <w:numId w:val="9"/>
              </w:numPr>
              <w:tabs>
                <w:tab w:val="left" w:pos="459"/>
              </w:tabs>
              <w:snapToGrid w:val="0"/>
              <w:spacing w:line="360" w:lineRule="exact"/>
              <w:ind w:left="459" w:hanging="39"/>
              <w:jc w:val="left"/>
              <w:rPr>
                <w:rFonts w:ascii="宋体" w:hAnsi="宋体"/>
                <w:color w:val="auto"/>
                <w:szCs w:val="21"/>
                <w:highlight w:val="none"/>
              </w:rPr>
            </w:pPr>
            <w:r>
              <w:rPr>
                <w:rFonts w:hint="eastAsia" w:ascii="宋体" w:hAnsi="宋体"/>
                <w:color w:val="auto"/>
                <w:szCs w:val="21"/>
                <w:highlight w:val="none"/>
              </w:rPr>
              <w:t>投标人针对报价需要说明的其他文件和说明（格式自拟）。</w:t>
            </w:r>
          </w:p>
          <w:p>
            <w:pPr>
              <w:snapToGrid w:val="0"/>
              <w:spacing w:line="360" w:lineRule="exact"/>
              <w:ind w:firstLine="420"/>
              <w:jc w:val="left"/>
              <w:rPr>
                <w:rFonts w:ascii="宋体" w:hAnsi="宋体"/>
                <w:color w:val="auto"/>
                <w:sz w:val="24"/>
                <w:highlight w:val="none"/>
              </w:rPr>
            </w:pPr>
            <w:r>
              <w:rPr>
                <w:rFonts w:hint="eastAsia" w:ascii="宋体" w:hAnsi="宋体"/>
                <w:color w:val="auto"/>
                <w:szCs w:val="21"/>
                <w:highlight w:val="none"/>
              </w:rPr>
              <w:t>注：投标函、开标一览表必须由法定代表人（负责人或自然人）或委托代理人在规定签章处逐一签字并加盖投标人公章，否则</w:t>
            </w:r>
            <w:r>
              <w:rPr>
                <w:rFonts w:hint="eastAsia" w:ascii="宋体" w:hAnsi="宋体" w:cs="Courier New"/>
                <w:color w:val="auto"/>
                <w:szCs w:val="21"/>
                <w:highlight w:val="none"/>
              </w:rPr>
              <w:t>作无效投标处理</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2" w:name="_13.2"/>
            <w:bookmarkEnd w:id="52"/>
            <w:r>
              <w:rPr>
                <w:rFonts w:hint="eastAsia" w:ascii="宋体" w:hAnsi="宋体"/>
                <w:color w:val="auto"/>
                <w:highlight w:val="none"/>
              </w:rPr>
              <w:t>13</w:t>
            </w:r>
            <w:bookmarkStart w:id="53" w:name="_Hlt19632532"/>
            <w:bookmarkStart w:id="54" w:name="_Hlt19632533"/>
            <w:r>
              <w:rPr>
                <w:rFonts w:hint="eastAsia" w:ascii="宋体" w:hAnsi="宋体"/>
                <w:color w:val="auto"/>
                <w:highlight w:val="none"/>
              </w:rPr>
              <w:t>.</w:t>
            </w:r>
            <w:bookmarkEnd w:id="53"/>
            <w:bookmarkEnd w:id="54"/>
            <w:r>
              <w:rPr>
                <w:rFonts w:hint="eastAsia" w:ascii="宋体" w:hAnsi="宋体"/>
                <w:color w:val="auto"/>
                <w:highlight w:val="none"/>
              </w:rPr>
              <w:t>2</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Courier New"/>
                <w:b/>
                <w:color w:val="auto"/>
                <w:szCs w:val="21"/>
                <w:highlight w:val="none"/>
              </w:rPr>
            </w:pPr>
            <w:r>
              <w:rPr>
                <w:rFonts w:hint="eastAsia" w:ascii="宋体" w:hAnsi="宋体" w:cs="Courier New"/>
                <w:b/>
                <w:color w:val="auto"/>
                <w:szCs w:val="21"/>
                <w:highlight w:val="none"/>
              </w:rPr>
              <w:t>资格证明文件</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【说明：以下文件标注有“必须提供”的请按规定在投标文件中提供，否则作无效投标处理。其他如有请提供】：</w:t>
            </w:r>
          </w:p>
          <w:p>
            <w:pPr>
              <w:numPr>
                <w:ilvl w:val="0"/>
                <w:numId w:val="10"/>
              </w:num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投标人有效的“营业执照”副本或“事业单位法人证书”副本或民办非企业单位登记证书副本复印件；(必须提供)</w:t>
            </w:r>
          </w:p>
          <w:p>
            <w:pPr>
              <w:numPr>
                <w:ilvl w:val="0"/>
                <w:numId w:val="10"/>
              </w:numPr>
              <w:snapToGrid w:val="0"/>
              <w:spacing w:line="360" w:lineRule="exact"/>
              <w:ind w:firstLine="420" w:firstLineChars="200"/>
              <w:jc w:val="left"/>
              <w:rPr>
                <w:rFonts w:ascii="宋体" w:hAnsi="宋体"/>
                <w:bCs/>
                <w:color w:val="auto"/>
                <w:highlight w:val="none"/>
              </w:rPr>
            </w:pPr>
            <w:r>
              <w:rPr>
                <w:rFonts w:hint="eastAsia" w:ascii="宋体" w:hAnsi="宋体"/>
                <w:color w:val="auto"/>
                <w:szCs w:val="21"/>
                <w:highlight w:val="none"/>
              </w:rPr>
              <w:t>每分标按投标人资格要求提供具有国家主管部门颁发的有效的《医疗器械经营企业许可证》或《第二类医疗器械经营备案凭证》或《医疗器械生产企业许可证》或《医疗器械生产备案表》复印件,同时加盖公章。</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3）投标截止之日前半年内连续三个月依法缴纳税费或依法免缴税费（包括无纳税记录或零报税）的证明（新成立的且不足三个月的企业按实际提供），证明材料可以是：银行已缴纳税费凭证复印件或第三方有效的相关业务托缴凭证，或投标人所在地税务部门出具的有效证明（复印件）；（必须提供）</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4）投标截止之日前半年内连续三个月的依法缴纳社会保险费或依法免缴社保费的相关证明（新成立的且不足三个月的企业按实际提供），证明材料可以是：银行已缴纳社保费凭证复印件或第三方有效的相关业务托缴凭证；或投标人所在地社会保险部门出具的有效证明（复印件），不需要缴纳社会保险金的应提供投标人所在地有关行政主管部门出具相应的文件证明（复印件）；（必须提供）</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5）投标人经第三方审计的2019年度或2020年度的财务报表（账务报表至少包含资产负债表、利润表、现金流量表及其附注、加盖会计师事务所公章页）复印件（新成立的公司提供公司成立日之后次月起到投标文件递交截止前一个月的财务报表复印件）或投标截止之日前三个月内投标人基本开户银行出具的资信证明（仅提供银行出具的存款证明不能作为其银行资信证明）复印件；(必须提供)</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（6）具备履行合同所必需的设备和专业技术服务能力的承诺书；（必须提供。格式自拟；如有，请附相关证明材料）</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（7）投标人参加政府采购活动前三年内在经营活动中没有重大违法记录的书面声明原件；（格式见附件，必须提供）</w:t>
            </w:r>
          </w:p>
          <w:p>
            <w:pPr>
              <w:pStyle w:val="10"/>
              <w:rPr>
                <w:color w:val="auto"/>
                <w:highlight w:val="none"/>
              </w:rPr>
            </w:pPr>
            <w:r>
              <w:rPr>
                <w:rFonts w:hint="eastAsia" w:ascii="宋体" w:hAnsi="宋体"/>
                <w:bCs/>
                <w:color w:val="auto"/>
                <w:highlight w:val="none"/>
              </w:rPr>
              <w:t>（8）投标人具备履行合同所必需的专业设备和专业技术服务能力（供货时限、质保年限、个案适配、质保等内容）的书面承诺函；（格式自拟，必须提供）</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（9）招标文件要求的其他资格证明材料。</w:t>
            </w:r>
          </w:p>
          <w:p>
            <w:pPr>
              <w:snapToGrid w:val="0"/>
              <w:spacing w:line="360" w:lineRule="exact"/>
              <w:ind w:firstLine="420" w:firstLineChars="200"/>
              <w:jc w:val="left"/>
              <w:rPr>
                <w:rFonts w:ascii="宋体" w:hAnsi="宋体"/>
                <w:bCs/>
                <w:color w:val="auto"/>
                <w:highlight w:val="none"/>
              </w:rPr>
            </w:pPr>
            <w:r>
              <w:rPr>
                <w:rFonts w:hint="eastAsia" w:ascii="宋体" w:hAnsi="宋体"/>
                <w:bCs/>
                <w:color w:val="auto"/>
                <w:highlight w:val="none"/>
              </w:rPr>
              <w:t>注：以上材料属于复印件的，必须加盖单位公章，否则作无效投标处理。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5" w:name="_13.3"/>
            <w:bookmarkEnd w:id="55"/>
            <w:r>
              <w:rPr>
                <w:rFonts w:hint="eastAsia" w:ascii="宋体" w:hAnsi="宋体"/>
                <w:color w:val="auto"/>
                <w:highlight w:val="none"/>
              </w:rPr>
              <w:t>13.3</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Courier New"/>
                <w:b/>
                <w:color w:val="auto"/>
                <w:sz w:val="24"/>
                <w:highlight w:val="none"/>
              </w:rPr>
            </w:pPr>
            <w:r>
              <w:rPr>
                <w:rFonts w:hint="eastAsia" w:ascii="宋体" w:hAnsi="宋体" w:cs="Courier New"/>
                <w:b/>
                <w:color w:val="auto"/>
                <w:szCs w:val="21"/>
                <w:highlight w:val="none"/>
              </w:rPr>
              <w:t>商务文件</w:t>
            </w:r>
            <w:r>
              <w:rPr>
                <w:rFonts w:hint="eastAsia" w:ascii="宋体" w:hAnsi="宋体" w:cs="Courier New"/>
                <w:b/>
                <w:color w:val="auto"/>
                <w:sz w:val="24"/>
                <w:highlight w:val="none"/>
              </w:rPr>
              <w:t>：</w:t>
            </w:r>
          </w:p>
          <w:p>
            <w:pPr>
              <w:snapToGrid w:val="0"/>
              <w:spacing w:line="360" w:lineRule="exact"/>
              <w:ind w:left="413"/>
              <w:jc w:val="left"/>
              <w:rPr>
                <w:rFonts w:ascii="宋体" w:hAnsi="宋体"/>
                <w:color w:val="auto"/>
                <w:szCs w:val="21"/>
                <w:highlight w:val="none"/>
              </w:rPr>
            </w:pPr>
            <w:r>
              <w:rPr>
                <w:rFonts w:hint="eastAsia" w:ascii="宋体" w:hAnsi="宋体"/>
                <w:color w:val="auto"/>
                <w:szCs w:val="21"/>
                <w:highlight w:val="none"/>
              </w:rPr>
              <w:t>1.商务条款偏离表（格式后附）；（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exact"/>
              <w:ind w:left="413"/>
              <w:jc w:val="left"/>
              <w:rPr>
                <w:rFonts w:ascii="宋体" w:hAnsi="宋体"/>
                <w:color w:val="auto"/>
                <w:highlight w:val="none"/>
              </w:rPr>
            </w:pPr>
            <w:r>
              <w:rPr>
                <w:rFonts w:hint="eastAsia" w:ascii="宋体" w:hAnsi="宋体"/>
                <w:color w:val="auto"/>
                <w:szCs w:val="21"/>
                <w:highlight w:val="none"/>
              </w:rPr>
              <w:t>2.法定代表人(负责人或自然人)身份证明及法定代表人(负责人或自然人)有效身份证正反面复印件（格式后附）；（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exact"/>
              <w:ind w:left="413"/>
              <w:jc w:val="left"/>
              <w:rPr>
                <w:rFonts w:ascii="宋体" w:hAnsi="宋体"/>
                <w:color w:val="auto"/>
                <w:szCs w:val="21"/>
                <w:highlight w:val="none"/>
              </w:rPr>
            </w:pPr>
            <w:r>
              <w:rPr>
                <w:rFonts w:hint="eastAsia" w:ascii="宋体" w:hAnsi="宋体"/>
                <w:color w:val="auto"/>
                <w:szCs w:val="21"/>
                <w:highlight w:val="none"/>
              </w:rPr>
              <w:t>3.法定代表人(负责人或自然人)授权委托书及委托代理人有效身份证正反面复印件（格式后附）；（</w:t>
            </w:r>
            <w:r>
              <w:rPr>
                <w:rFonts w:hint="eastAsia" w:ascii="宋体" w:hAnsi="宋体"/>
                <w:b/>
                <w:color w:val="auto"/>
                <w:szCs w:val="21"/>
                <w:highlight w:val="none"/>
              </w:rPr>
              <w:t>委托时必须提供，否则作无效投标处理</w:t>
            </w:r>
            <w:r>
              <w:rPr>
                <w:rFonts w:hint="eastAsia" w:ascii="宋体" w:hAnsi="宋体"/>
                <w:color w:val="auto"/>
                <w:szCs w:val="21"/>
                <w:highlight w:val="none"/>
              </w:rPr>
              <w:t>）</w:t>
            </w:r>
          </w:p>
          <w:p>
            <w:pPr>
              <w:snapToGrid w:val="0"/>
              <w:spacing w:line="360" w:lineRule="exact"/>
              <w:ind w:left="413"/>
              <w:jc w:val="left"/>
              <w:rPr>
                <w:rFonts w:ascii="宋体" w:hAnsi="宋体"/>
                <w:color w:val="auto"/>
                <w:szCs w:val="21"/>
                <w:highlight w:val="none"/>
              </w:rPr>
            </w:pPr>
            <w:r>
              <w:rPr>
                <w:rFonts w:hint="eastAsia" w:ascii="宋体" w:hAnsi="宋体"/>
                <w:color w:val="auto"/>
                <w:szCs w:val="21"/>
                <w:highlight w:val="none"/>
              </w:rPr>
              <w:t>4. 供应商参加本项目无围标串标行为的承诺函（格式后附）</w:t>
            </w:r>
            <w:r>
              <w:rPr>
                <w:rFonts w:hint="eastAsia" w:ascii="宋体" w:hAnsi="宋体"/>
                <w:color w:val="auto"/>
                <w:highlight w:val="none"/>
              </w:rPr>
              <w:t>；</w:t>
            </w:r>
            <w:r>
              <w:rPr>
                <w:rFonts w:hint="eastAsia" w:ascii="宋体" w:hAnsi="宋体"/>
                <w:color w:val="auto"/>
                <w:szCs w:val="21"/>
                <w:highlight w:val="none"/>
              </w:rPr>
              <w:t>（</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exact"/>
              <w:ind w:left="413"/>
              <w:jc w:val="left"/>
              <w:rPr>
                <w:rFonts w:ascii="宋体" w:hAnsi="宋体"/>
                <w:color w:val="auto"/>
                <w:szCs w:val="21"/>
                <w:highlight w:val="none"/>
              </w:rPr>
            </w:pPr>
            <w:r>
              <w:rPr>
                <w:rFonts w:hint="eastAsia" w:ascii="宋体" w:hAnsi="宋体"/>
                <w:color w:val="auto"/>
                <w:highlight w:val="none"/>
              </w:rPr>
              <w:t>5.</w:t>
            </w:r>
            <w:r>
              <w:rPr>
                <w:rFonts w:hint="eastAsia" w:ascii="宋体" w:hAnsi="宋体"/>
                <w:color w:val="auto"/>
                <w:szCs w:val="21"/>
                <w:highlight w:val="none"/>
              </w:rPr>
              <w:t xml:space="preserve"> 投标人情况介绍（格式自拟）；</w:t>
            </w:r>
          </w:p>
          <w:p>
            <w:pPr>
              <w:snapToGrid w:val="0"/>
              <w:spacing w:line="360" w:lineRule="exact"/>
              <w:ind w:left="413"/>
              <w:jc w:val="left"/>
              <w:rPr>
                <w:rFonts w:ascii="宋体" w:hAnsi="宋体"/>
                <w:color w:val="auto"/>
                <w:szCs w:val="21"/>
                <w:highlight w:val="none"/>
              </w:rPr>
            </w:pPr>
            <w:r>
              <w:rPr>
                <w:rFonts w:hint="eastAsia" w:ascii="宋体" w:hAnsi="宋体"/>
                <w:color w:val="auto"/>
                <w:szCs w:val="21"/>
                <w:highlight w:val="none"/>
              </w:rPr>
              <w:t>6. 联合体协议书（格式后附）；</w:t>
            </w:r>
            <w:r>
              <w:rPr>
                <w:rFonts w:hint="eastAsia" w:ascii="宋体" w:hAnsi="宋体"/>
                <w:b/>
                <w:color w:val="auto"/>
                <w:szCs w:val="21"/>
                <w:highlight w:val="none"/>
              </w:rPr>
              <w:t>（招标公告中允许联合体投标且投标人为联合体投标时必须提供，否则作无效投标处理）</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7.投标人近三年政府采购辅具相关业绩证明文件，文件包含合同、中标通知书或采购协议书及验收报告等复印件加盖公章（原件备查）</w:t>
            </w:r>
          </w:p>
          <w:p>
            <w:pPr>
              <w:snapToGrid w:val="0"/>
              <w:spacing w:line="360" w:lineRule="exact"/>
              <w:ind w:left="413"/>
              <w:jc w:val="left"/>
              <w:rPr>
                <w:rFonts w:ascii="宋体" w:hAnsi="宋体"/>
                <w:color w:val="auto"/>
                <w:szCs w:val="21"/>
                <w:highlight w:val="none"/>
              </w:rPr>
            </w:pPr>
            <w:r>
              <w:rPr>
                <w:rFonts w:hint="eastAsia" w:ascii="宋体" w:hAnsi="宋体"/>
                <w:color w:val="auto"/>
                <w:szCs w:val="21"/>
                <w:highlight w:val="none"/>
              </w:rPr>
              <w:t>8.除招标文件规定必须提供以外，投标人认为需要提供的其他证明材料（格式自拟）。（投标</w:t>
            </w:r>
          </w:p>
          <w:p>
            <w:pPr>
              <w:snapToGrid w:val="0"/>
              <w:spacing w:line="360" w:lineRule="exact"/>
              <w:ind w:left="413"/>
              <w:jc w:val="left"/>
              <w:rPr>
                <w:rFonts w:ascii="宋体" w:hAnsi="宋体"/>
                <w:b/>
                <w:color w:val="auto"/>
                <w:szCs w:val="21"/>
                <w:highlight w:val="none"/>
              </w:rPr>
            </w:pPr>
            <w:r>
              <w:rPr>
                <w:rFonts w:hint="eastAsia" w:ascii="宋体" w:hAnsi="宋体"/>
                <w:color w:val="auto"/>
                <w:szCs w:val="21"/>
                <w:highlight w:val="none"/>
              </w:rPr>
              <w:t>人根据本招标文件第二章采购需求及第四章评标办法及评分标准提供有关证明材料）；</w:t>
            </w:r>
          </w:p>
          <w:p>
            <w:pPr>
              <w:snapToGrid w:val="0"/>
              <w:spacing w:line="360" w:lineRule="exact"/>
              <w:jc w:val="left"/>
              <w:rPr>
                <w:rFonts w:ascii="宋体" w:hAnsi="宋体" w:cs="宋体"/>
                <w:color w:val="auto"/>
                <w:szCs w:val="21"/>
                <w:highlight w:val="none"/>
              </w:rPr>
            </w:pPr>
            <w:r>
              <w:rPr>
                <w:rFonts w:hint="eastAsia" w:ascii="宋体" w:hAnsi="宋体" w:cs="宋体"/>
                <w:color w:val="auto"/>
                <w:szCs w:val="21"/>
                <w:highlight w:val="none"/>
              </w:rPr>
              <w:t>注： 1.法定代表人（负责人或自然人）授权委托书必须由法定代表人（负责人或自然人）及委托代理人签字，并加盖投标人公章，否则作无效投标处理。</w:t>
            </w:r>
          </w:p>
          <w:p>
            <w:pPr>
              <w:snapToGrid w:val="0"/>
              <w:spacing w:line="360" w:lineRule="exact"/>
              <w:ind w:firstLine="420" w:firstLineChars="200"/>
              <w:jc w:val="left"/>
              <w:rPr>
                <w:rFonts w:ascii="宋体" w:hAnsi="宋体" w:cs="Courier New"/>
                <w:b/>
                <w:color w:val="auto"/>
                <w:szCs w:val="21"/>
                <w:highlight w:val="none"/>
              </w:rPr>
            </w:pPr>
            <w:r>
              <w:rPr>
                <w:rFonts w:hint="eastAsia" w:ascii="宋体" w:hAnsi="宋体" w:cs="宋体"/>
                <w:color w:val="auto"/>
                <w:szCs w:val="21"/>
                <w:highlight w:val="none"/>
              </w:rPr>
              <w:t>2.以上材料属于复印件的，必须加盖投标人公章，否则作无效投标处理。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6" w:name="_13.4"/>
            <w:bookmarkEnd w:id="56"/>
            <w:r>
              <w:rPr>
                <w:rFonts w:hint="eastAsia" w:ascii="宋体" w:hAnsi="宋体"/>
                <w:color w:val="auto"/>
                <w:highlight w:val="none"/>
              </w:rPr>
              <w:t>13.4</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Courier New"/>
                <w:b/>
                <w:color w:val="auto"/>
                <w:sz w:val="24"/>
                <w:highlight w:val="none"/>
              </w:rPr>
            </w:pPr>
            <w:r>
              <w:rPr>
                <w:rFonts w:hint="eastAsia" w:ascii="宋体" w:hAnsi="宋体" w:cs="Courier New"/>
                <w:b/>
                <w:color w:val="auto"/>
                <w:szCs w:val="21"/>
                <w:highlight w:val="none"/>
              </w:rPr>
              <w:t>技术文件</w:t>
            </w:r>
            <w:r>
              <w:rPr>
                <w:rFonts w:hint="eastAsia" w:ascii="宋体" w:hAnsi="宋体" w:cs="Courier New"/>
                <w:b/>
                <w:color w:val="auto"/>
                <w:sz w:val="24"/>
                <w:highlight w:val="none"/>
              </w:rPr>
              <w:t>：</w:t>
            </w:r>
          </w:p>
          <w:p>
            <w:pPr>
              <w:snapToGrid w:val="0"/>
              <w:spacing w:line="360" w:lineRule="exact"/>
              <w:ind w:left="420"/>
              <w:jc w:val="left"/>
              <w:rPr>
                <w:rFonts w:ascii="宋体" w:hAnsi="宋体"/>
                <w:color w:val="auto"/>
                <w:szCs w:val="21"/>
                <w:highlight w:val="none"/>
              </w:rPr>
            </w:pPr>
            <w:r>
              <w:rPr>
                <w:rFonts w:hint="eastAsia" w:ascii="宋体" w:hAnsi="宋体"/>
                <w:color w:val="auto"/>
                <w:szCs w:val="21"/>
                <w:highlight w:val="none"/>
              </w:rPr>
              <w:t>1.技术偏离表（格式后附）；（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exact"/>
              <w:ind w:left="420"/>
              <w:jc w:val="left"/>
              <w:rPr>
                <w:rFonts w:ascii="宋体" w:hAnsi="宋体"/>
                <w:color w:val="auto"/>
                <w:szCs w:val="21"/>
                <w:highlight w:val="none"/>
              </w:rPr>
            </w:pPr>
            <w:r>
              <w:rPr>
                <w:rFonts w:hint="eastAsia" w:ascii="宋体" w:hAnsi="宋体"/>
                <w:color w:val="auto"/>
                <w:szCs w:val="21"/>
                <w:highlight w:val="none"/>
              </w:rPr>
              <w:t>2.项目实施人员一览表；</w:t>
            </w:r>
          </w:p>
          <w:p>
            <w:pPr>
              <w:snapToGrid w:val="0"/>
              <w:spacing w:line="360" w:lineRule="exact"/>
              <w:ind w:left="420"/>
              <w:jc w:val="left"/>
              <w:rPr>
                <w:rFonts w:ascii="宋体" w:hAnsi="宋体"/>
                <w:color w:val="auto"/>
                <w:szCs w:val="21"/>
                <w:highlight w:val="none"/>
              </w:rPr>
            </w:pPr>
            <w:r>
              <w:rPr>
                <w:rFonts w:hint="eastAsia" w:ascii="宋体" w:hAnsi="宋体"/>
                <w:color w:val="auto"/>
                <w:szCs w:val="21"/>
                <w:highlight w:val="none"/>
              </w:rPr>
              <w:t>3.服务方案（内容格式自拟）；</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提供所有投标单个产品的照片，照片拍摄要求：单个产品正面左前方45度方位，俯视30度拍摄的照片一张，白底，JPEG格式，图像清晰，像素≧5M，并按照“生产厂家+品名+规格型号+主要材料”内容顺序，逐项作书面说明，A4纸单面限于两个产品；</w:t>
            </w:r>
          </w:p>
          <w:p>
            <w:pPr>
              <w:snapToGrid w:val="0"/>
              <w:spacing w:line="360" w:lineRule="exact"/>
              <w:ind w:left="420"/>
              <w:jc w:val="left"/>
              <w:rPr>
                <w:rFonts w:ascii="宋体" w:hAnsi="宋体"/>
                <w:bCs/>
                <w:color w:val="auto"/>
                <w:highlight w:val="none"/>
              </w:rPr>
            </w:pPr>
            <w:r>
              <w:rPr>
                <w:rFonts w:hint="eastAsia" w:ascii="宋体" w:hAnsi="宋体"/>
                <w:color w:val="auto"/>
                <w:szCs w:val="21"/>
                <w:highlight w:val="none"/>
              </w:rPr>
              <w:t>5.除招标文件规定必须提供以外，投标人需要说明的其他文件和说明（格式自拟）。</w:t>
            </w:r>
          </w:p>
          <w:p>
            <w:pPr>
              <w:snapToGrid w:val="0"/>
              <w:spacing w:line="360" w:lineRule="exact"/>
              <w:jc w:val="left"/>
              <w:rPr>
                <w:rFonts w:ascii="宋体" w:hAnsi="宋体"/>
                <w:b/>
                <w:bCs/>
                <w:color w:val="auto"/>
                <w:sz w:val="24"/>
                <w:highlight w:val="none"/>
              </w:rPr>
            </w:pPr>
            <w:r>
              <w:rPr>
                <w:rFonts w:hint="eastAsia" w:ascii="宋体" w:hAnsi="宋体"/>
                <w:color w:val="auto"/>
                <w:szCs w:val="21"/>
                <w:highlight w:val="none"/>
              </w:rPr>
              <w:t>注： 以上材料属于复印件的，必须加盖投标人公章，否则</w:t>
            </w:r>
            <w:r>
              <w:rPr>
                <w:rFonts w:hint="eastAsia" w:ascii="宋体" w:hAnsi="宋体" w:cs="Courier New"/>
                <w:color w:val="auto"/>
                <w:szCs w:val="21"/>
                <w:highlight w:val="none"/>
              </w:rPr>
              <w:t>作无效投标处理</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7" w:name="_13.5"/>
            <w:bookmarkEnd w:id="57"/>
            <w:r>
              <w:rPr>
                <w:rFonts w:hint="eastAsia" w:ascii="宋体" w:hAnsi="宋体"/>
                <w:color w:val="auto"/>
                <w:highlight w:val="none"/>
              </w:rPr>
              <w:t>13.5</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Courier New"/>
                <w:color w:val="auto"/>
                <w:szCs w:val="21"/>
                <w:highlight w:val="none"/>
              </w:rPr>
            </w:pPr>
            <w:r>
              <w:rPr>
                <w:rFonts w:hint="eastAsia" w:ascii="宋体" w:hAnsi="宋体" w:cs="Courier New"/>
                <w:color w:val="auto"/>
                <w:szCs w:val="21"/>
                <w:highlight w:val="none"/>
              </w:rPr>
              <w:t>投标文件电子版。投标人在递交投标文件时，同时递交投标文件电子版。</w:t>
            </w:r>
          </w:p>
          <w:p>
            <w:pPr>
              <w:snapToGrid w:val="0"/>
              <w:spacing w:line="360" w:lineRule="exact"/>
              <w:ind w:left="459"/>
              <w:jc w:val="left"/>
              <w:rPr>
                <w:rFonts w:ascii="宋体" w:hAnsi="宋体" w:cs="Courier New"/>
                <w:color w:val="auto"/>
                <w:szCs w:val="21"/>
                <w:highlight w:val="none"/>
              </w:rPr>
            </w:pPr>
            <w:r>
              <w:rPr>
                <w:rFonts w:hint="eastAsia" w:ascii="宋体" w:hAnsi="宋体" w:cs="Courier New"/>
                <w:color w:val="auto"/>
                <w:szCs w:val="21"/>
                <w:highlight w:val="none"/>
              </w:rPr>
              <w:t>1.投标文件电子版内容：与纸质投标文件全部内容一致。</w:t>
            </w:r>
          </w:p>
          <w:p>
            <w:pPr>
              <w:snapToGrid w:val="0"/>
              <w:spacing w:line="360" w:lineRule="exact"/>
              <w:ind w:left="459"/>
              <w:jc w:val="left"/>
              <w:rPr>
                <w:rFonts w:ascii="宋体" w:hAnsi="宋体" w:cs="Courier New"/>
                <w:color w:val="auto"/>
                <w:szCs w:val="21"/>
                <w:highlight w:val="none"/>
              </w:rPr>
            </w:pPr>
            <w:r>
              <w:rPr>
                <w:rFonts w:hint="eastAsia" w:ascii="宋体" w:hAnsi="宋体" w:cs="Courier New"/>
                <w:color w:val="auto"/>
                <w:szCs w:val="21"/>
                <w:highlight w:val="none"/>
              </w:rPr>
              <w:t>2.投标文件电子版形式：可编辑的word文档格式1份。</w:t>
            </w:r>
          </w:p>
          <w:p>
            <w:pPr>
              <w:snapToGrid w:val="0"/>
              <w:spacing w:line="360" w:lineRule="exact"/>
              <w:ind w:left="459"/>
              <w:jc w:val="left"/>
              <w:rPr>
                <w:rFonts w:ascii="宋体" w:hAnsi="宋体" w:cs="Courier New"/>
                <w:color w:val="auto"/>
                <w:szCs w:val="21"/>
                <w:highlight w:val="none"/>
              </w:rPr>
            </w:pPr>
            <w:r>
              <w:rPr>
                <w:rFonts w:hint="eastAsia" w:ascii="宋体" w:hAnsi="宋体" w:cs="Courier New"/>
                <w:color w:val="auto"/>
                <w:szCs w:val="21"/>
                <w:highlight w:val="none"/>
              </w:rPr>
              <w:t>3.投标文件电子版密封方式：投标文件电子版光盘（或U盘）与纸质版投标文件一并装入投标文件袋中。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58" w:name="_16.2"/>
            <w:bookmarkEnd w:id="58"/>
            <w:r>
              <w:rPr>
                <w:rFonts w:hint="eastAsia" w:ascii="宋体" w:hAnsi="宋体"/>
                <w:color w:val="auto"/>
                <w:highlight w:val="none"/>
              </w:rPr>
              <w:t>16</w:t>
            </w:r>
            <w:bookmarkStart w:id="59" w:name="_Hlt19194066"/>
            <w:bookmarkStart w:id="60" w:name="_Hlt19194067"/>
            <w:bookmarkStart w:id="61" w:name="_Hlt19693759"/>
            <w:bookmarkStart w:id="62" w:name="_Hlt19693758"/>
            <w:r>
              <w:rPr>
                <w:rFonts w:hint="eastAsia" w:ascii="宋体" w:hAnsi="宋体"/>
                <w:color w:val="auto"/>
                <w:highlight w:val="none"/>
              </w:rPr>
              <w:t>.</w:t>
            </w:r>
            <w:bookmarkEnd w:id="59"/>
            <w:bookmarkEnd w:id="60"/>
            <w:bookmarkEnd w:id="61"/>
            <w:bookmarkEnd w:id="62"/>
            <w:r>
              <w:rPr>
                <w:rFonts w:hint="eastAsia" w:ascii="宋体" w:hAnsi="宋体"/>
                <w:color w:val="auto"/>
                <w:highlight w:val="none"/>
              </w:rPr>
              <w:t>2</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b/>
                <w:color w:val="auto"/>
                <w:highlight w:val="none"/>
              </w:rPr>
            </w:pPr>
            <w:r>
              <w:rPr>
                <w:rFonts w:hint="eastAsia" w:ascii="宋体" w:hAnsi="宋体"/>
                <w:color w:val="auto"/>
                <w:highlight w:val="none"/>
              </w:rPr>
              <w:t>投标报价包含本次采购所有服务内容价格，包括</w:t>
            </w:r>
            <w:r>
              <w:rPr>
                <w:rFonts w:hint="eastAsia" w:hAnsi="宋体"/>
                <w:b/>
                <w:color w:val="auto"/>
                <w:highlight w:val="none"/>
              </w:rPr>
              <w:t>实施项目过程中所产生的筛查评估、成品辅具、使用指导、取模制作、装配调试、适应训练、运输配送、回访、质保服务、备品备件、培训、技术支持、验收</w:t>
            </w:r>
            <w:r>
              <w:rPr>
                <w:rFonts w:hint="eastAsia" w:hAnsi="宋体"/>
                <w:b/>
                <w:color w:val="auto"/>
                <w:szCs w:val="21"/>
                <w:highlight w:val="none"/>
              </w:rPr>
              <w:t>及其它所有相关</w:t>
            </w:r>
            <w:r>
              <w:rPr>
                <w:rFonts w:hint="eastAsia" w:hAnsi="宋体"/>
                <w:b/>
                <w:color w:val="auto"/>
                <w:highlight w:val="none"/>
              </w:rPr>
              <w:t>费用</w:t>
            </w:r>
            <w:r>
              <w:rPr>
                <w:rFonts w:hint="eastAsia" w:ascii="宋体" w:hAnsi="宋体"/>
                <w:color w:val="auto"/>
                <w:highlight w:val="none"/>
              </w:rPr>
              <w:t>，供应商应综合考虑在投标报价中。</w:t>
            </w:r>
          </w:p>
          <w:p>
            <w:pPr>
              <w:snapToGrid w:val="0"/>
              <w:spacing w:line="360" w:lineRule="exact"/>
              <w:rPr>
                <w:rFonts w:ascii="宋体" w:hAnsi="宋体"/>
                <w:b/>
                <w:color w:val="auto"/>
                <w:highlight w:val="none"/>
              </w:rPr>
            </w:pPr>
            <w:r>
              <w:rPr>
                <w:rFonts w:hint="eastAsia" w:ascii="宋体" w:hAnsi="宋体"/>
                <w:b/>
                <w:color w:val="auto"/>
                <w:highlight w:val="none"/>
              </w:rPr>
              <w:t>√投标报价包含验收费用</w:t>
            </w:r>
          </w:p>
          <w:p>
            <w:pPr>
              <w:snapToGrid w:val="0"/>
              <w:spacing w:line="360" w:lineRule="exact"/>
              <w:rPr>
                <w:rFonts w:ascii="宋体" w:hAnsi="宋体"/>
                <w:b/>
                <w:color w:val="auto"/>
                <w:highlight w:val="none"/>
              </w:rPr>
            </w:pPr>
            <w:r>
              <w:rPr>
                <w:rFonts w:hint="eastAsia" w:ascii="宋体" w:hAnsi="宋体"/>
                <w:b/>
                <w:color w:val="auto"/>
                <w:highlight w:val="none"/>
              </w:rPr>
              <w:t>□投标报价不包含验收费用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3" w:name="_17.1"/>
            <w:bookmarkEnd w:id="63"/>
            <w:r>
              <w:rPr>
                <w:rFonts w:hint="eastAsia" w:ascii="宋体" w:hAnsi="宋体"/>
                <w:color w:val="auto"/>
                <w:highlight w:val="none"/>
              </w:rPr>
              <w:t>17.1</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投标有效期：120日。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4" w:name="_18"/>
            <w:bookmarkEnd w:id="64"/>
            <w:r>
              <w:rPr>
                <w:rFonts w:hint="eastAsia" w:ascii="宋体" w:hAnsi="宋体"/>
                <w:color w:val="auto"/>
                <w:highlight w:val="none"/>
              </w:rPr>
              <w:t>18</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b/>
                <w:color w:val="auto"/>
                <w:sz w:val="24"/>
                <w:highlight w:val="none"/>
              </w:rPr>
            </w:pPr>
            <w:r>
              <w:rPr>
                <w:rFonts w:hint="eastAsia" w:ascii="宋体" w:hAnsi="宋体"/>
                <w:color w:val="auto"/>
                <w:highlight w:val="none"/>
              </w:rPr>
              <w:t>投标保证金：见招标公告内容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5" w:name="_19.2"/>
            <w:bookmarkEnd w:id="65"/>
            <w:r>
              <w:rPr>
                <w:rFonts w:hint="eastAsia" w:ascii="宋体" w:hAnsi="宋体"/>
                <w:color w:val="auto"/>
                <w:highlight w:val="none"/>
              </w:rPr>
              <w:t>19.2</w:t>
            </w:r>
          </w:p>
        </w:tc>
        <w:tc>
          <w:tcPr>
            <w:tcW w:w="9169"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highlight w:val="none"/>
              </w:rPr>
            </w:pPr>
            <w:r>
              <w:rPr>
                <w:rFonts w:hint="eastAsia" w:ascii="宋体" w:hAnsi="宋体"/>
                <w:color w:val="auto"/>
                <w:szCs w:val="21"/>
                <w:highlight w:val="none"/>
              </w:rPr>
              <w:t>投标文件正副本份数：</w:t>
            </w:r>
            <w:r>
              <w:rPr>
                <w:rFonts w:hint="eastAsia" w:ascii="宋体" w:hAnsi="宋体" w:cs="Arial"/>
                <w:color w:val="auto"/>
                <w:szCs w:val="21"/>
                <w:highlight w:val="none"/>
              </w:rPr>
              <w:t>报价文件</w:t>
            </w:r>
            <w:r>
              <w:rPr>
                <w:rFonts w:hint="eastAsia" w:ascii="宋体" w:hAnsi="宋体"/>
                <w:color w:val="auto"/>
                <w:szCs w:val="21"/>
                <w:highlight w:val="none"/>
              </w:rPr>
              <w:t>正本</w:t>
            </w:r>
            <w:r>
              <w:rPr>
                <w:rFonts w:hint="eastAsia" w:ascii="宋体" w:hAnsi="宋体" w:cs="Arial"/>
                <w:color w:val="auto"/>
                <w:szCs w:val="21"/>
                <w:highlight w:val="none"/>
                <w:u w:val="single"/>
              </w:rPr>
              <w:t xml:space="preserve"> 一</w:t>
            </w:r>
            <w:r>
              <w:rPr>
                <w:rFonts w:hint="eastAsia" w:ascii="宋体" w:hAnsi="宋体"/>
                <w:color w:val="auto"/>
                <w:szCs w:val="21"/>
                <w:highlight w:val="none"/>
              </w:rPr>
              <w:t>份、副本</w:t>
            </w:r>
            <w:r>
              <w:rPr>
                <w:rFonts w:hint="eastAsia" w:ascii="宋体" w:hAnsi="宋体" w:cs="Arial"/>
                <w:color w:val="auto"/>
                <w:szCs w:val="21"/>
                <w:highlight w:val="none"/>
                <w:u w:val="single"/>
              </w:rPr>
              <w:t>四</w:t>
            </w:r>
            <w:r>
              <w:rPr>
                <w:rFonts w:hint="eastAsia" w:ascii="宋体" w:hAnsi="宋体"/>
                <w:color w:val="auto"/>
                <w:szCs w:val="21"/>
                <w:highlight w:val="none"/>
              </w:rPr>
              <w:t>份；</w:t>
            </w:r>
          </w:p>
          <w:p>
            <w:pPr>
              <w:autoSpaceDE w:val="0"/>
              <w:autoSpaceDN w:val="0"/>
              <w:snapToGrid w:val="0"/>
              <w:spacing w:line="360" w:lineRule="exact"/>
              <w:ind w:firstLine="1470" w:firstLineChars="700"/>
              <w:textAlignment w:val="bottom"/>
              <w:rPr>
                <w:rFonts w:ascii="宋体" w:hAnsi="宋体"/>
                <w:color w:val="auto"/>
                <w:szCs w:val="21"/>
                <w:highlight w:val="none"/>
              </w:rPr>
            </w:pPr>
            <w:r>
              <w:rPr>
                <w:rFonts w:hint="eastAsia" w:ascii="宋体" w:hAnsi="宋体"/>
                <w:color w:val="auto"/>
                <w:szCs w:val="21"/>
                <w:highlight w:val="none"/>
              </w:rPr>
              <w:t xml:space="preserve">      资格证明文件正本</w:t>
            </w:r>
            <w:r>
              <w:rPr>
                <w:rFonts w:hint="eastAsia" w:ascii="宋体" w:hAnsi="宋体" w:cs="Arial"/>
                <w:color w:val="auto"/>
                <w:szCs w:val="21"/>
                <w:highlight w:val="none"/>
                <w:u w:val="single"/>
              </w:rPr>
              <w:t>一</w:t>
            </w:r>
            <w:r>
              <w:rPr>
                <w:rFonts w:hint="eastAsia" w:ascii="宋体" w:hAnsi="宋体"/>
                <w:color w:val="auto"/>
                <w:szCs w:val="21"/>
                <w:highlight w:val="none"/>
              </w:rPr>
              <w:t>份、副本</w:t>
            </w:r>
            <w:r>
              <w:rPr>
                <w:rFonts w:hint="eastAsia" w:ascii="宋体" w:hAnsi="宋体" w:cs="Arial"/>
                <w:color w:val="auto"/>
                <w:szCs w:val="21"/>
                <w:highlight w:val="none"/>
                <w:u w:val="single"/>
              </w:rPr>
              <w:t>四</w:t>
            </w:r>
            <w:r>
              <w:rPr>
                <w:rFonts w:hint="eastAsia" w:ascii="宋体" w:hAnsi="宋体"/>
                <w:color w:val="auto"/>
                <w:szCs w:val="21"/>
                <w:highlight w:val="none"/>
              </w:rPr>
              <w:t>份；</w:t>
            </w:r>
          </w:p>
          <w:p>
            <w:pPr>
              <w:autoSpaceDE w:val="0"/>
              <w:autoSpaceDN w:val="0"/>
              <w:snapToGrid w:val="0"/>
              <w:spacing w:line="360" w:lineRule="exact"/>
              <w:ind w:firstLine="1470" w:firstLineChars="700"/>
              <w:textAlignment w:val="bottom"/>
              <w:rPr>
                <w:rFonts w:ascii="宋体" w:hAnsi="宋体"/>
                <w:color w:val="auto"/>
                <w:szCs w:val="21"/>
                <w:highlight w:val="none"/>
              </w:rPr>
            </w:pPr>
            <w:r>
              <w:rPr>
                <w:rFonts w:hint="eastAsia" w:ascii="宋体" w:hAnsi="宋体"/>
                <w:color w:val="auto"/>
                <w:szCs w:val="21"/>
                <w:highlight w:val="none"/>
              </w:rPr>
              <w:t xml:space="preserve">      商务文件和技术文件合并装订成册，正本</w:t>
            </w:r>
            <w:r>
              <w:rPr>
                <w:rFonts w:hint="eastAsia" w:ascii="宋体" w:hAnsi="宋体"/>
                <w:color w:val="auto"/>
                <w:szCs w:val="21"/>
                <w:highlight w:val="none"/>
                <w:u w:val="single"/>
              </w:rPr>
              <w:t>一</w:t>
            </w:r>
            <w:r>
              <w:rPr>
                <w:rFonts w:hint="eastAsia" w:ascii="宋体" w:hAnsi="宋体"/>
                <w:color w:val="auto"/>
                <w:szCs w:val="21"/>
                <w:highlight w:val="none"/>
              </w:rPr>
              <w:t>份、副本</w:t>
            </w:r>
            <w:r>
              <w:rPr>
                <w:rFonts w:hint="eastAsia" w:ascii="宋体" w:hAnsi="宋体" w:cs="Arial"/>
                <w:color w:val="auto"/>
                <w:szCs w:val="21"/>
                <w:highlight w:val="none"/>
                <w:u w:val="single"/>
              </w:rPr>
              <w:t>四</w:t>
            </w:r>
            <w:r>
              <w:rPr>
                <w:rFonts w:hint="eastAsia" w:ascii="宋体" w:hAnsi="宋体"/>
                <w:color w:val="auto"/>
                <w:szCs w:val="21"/>
                <w:highlight w:val="none"/>
              </w:rPr>
              <w:t>份</w:t>
            </w:r>
            <w:r>
              <w:rPr>
                <w:rFonts w:hint="eastAsia" w:ascii="宋体" w:hAnsi="宋体" w:cs="Arial"/>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6" w:name="_21.1"/>
            <w:bookmarkEnd w:id="66"/>
            <w:r>
              <w:rPr>
                <w:rFonts w:hint="eastAsia" w:ascii="宋体" w:hAnsi="宋体"/>
                <w:color w:val="auto"/>
                <w:highlight w:val="none"/>
              </w:rPr>
              <w:t>21.1</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1.投标截止时间：</w:t>
            </w:r>
            <w:r>
              <w:rPr>
                <w:rFonts w:hint="eastAsia" w:ascii="宋体" w:hAnsi="宋体"/>
                <w:color w:val="auto"/>
                <w:highlight w:val="none"/>
              </w:rPr>
              <w:t>详见《第一章公开招标公告》</w:t>
            </w:r>
          </w:p>
          <w:p>
            <w:pPr>
              <w:snapToGrid w:val="0"/>
              <w:spacing w:line="360" w:lineRule="exact"/>
              <w:rPr>
                <w:rFonts w:ascii="宋体" w:hAnsi="宋体"/>
                <w:color w:val="auto"/>
                <w:szCs w:val="21"/>
                <w:highlight w:val="none"/>
              </w:rPr>
            </w:pPr>
            <w:r>
              <w:rPr>
                <w:rFonts w:hint="eastAsia" w:ascii="宋体" w:hAnsi="宋体"/>
                <w:color w:val="auto"/>
                <w:szCs w:val="21"/>
                <w:highlight w:val="none"/>
              </w:rPr>
              <w:t>2.投标文件提交起止时间：</w:t>
            </w:r>
            <w:r>
              <w:rPr>
                <w:rFonts w:hint="eastAsia" w:ascii="宋体" w:hAnsi="宋体" w:cs="Arial"/>
                <w:color w:val="auto"/>
                <w:szCs w:val="21"/>
                <w:highlight w:val="none"/>
              </w:rPr>
              <w:t>详见《第一章公开招标公告》</w:t>
            </w:r>
          </w:p>
          <w:p>
            <w:pPr>
              <w:snapToGrid w:val="0"/>
              <w:spacing w:line="360" w:lineRule="exact"/>
              <w:rPr>
                <w:rFonts w:ascii="宋体" w:hAnsi="宋体"/>
                <w:color w:val="auto"/>
                <w:szCs w:val="21"/>
                <w:highlight w:val="none"/>
              </w:rPr>
            </w:pPr>
            <w:r>
              <w:rPr>
                <w:rFonts w:hint="eastAsia" w:ascii="宋体" w:hAnsi="宋体"/>
                <w:color w:val="auto"/>
                <w:szCs w:val="21"/>
                <w:highlight w:val="none"/>
              </w:rPr>
              <w:t>3.投标地点：详见《第一章公开招标公告》</w:t>
            </w:r>
          </w:p>
          <w:p>
            <w:pPr>
              <w:snapToGrid w:val="0"/>
              <w:spacing w:line="360" w:lineRule="exact"/>
              <w:rPr>
                <w:rFonts w:ascii="宋体" w:hAnsi="宋体"/>
                <w:color w:val="auto"/>
                <w:szCs w:val="21"/>
                <w:highlight w:val="none"/>
              </w:rPr>
            </w:pPr>
            <w:r>
              <w:rPr>
                <w:rFonts w:hint="eastAsia" w:ascii="宋体" w:hAnsi="宋体"/>
                <w:color w:val="auto"/>
                <w:szCs w:val="21"/>
                <w:highlight w:val="none"/>
              </w:rPr>
              <w:t>4.提交投标文件时须提供的材料：</w:t>
            </w:r>
          </w:p>
          <w:p>
            <w:pPr>
              <w:snapToGrid w:val="0"/>
              <w:spacing w:line="360" w:lineRule="exact"/>
              <w:rPr>
                <w:rFonts w:ascii="宋体" w:hAnsi="宋体"/>
                <w:color w:val="auto"/>
                <w:szCs w:val="21"/>
                <w:highlight w:val="none"/>
              </w:rPr>
            </w:pPr>
            <w:r>
              <w:rPr>
                <w:rFonts w:hint="eastAsia" w:ascii="宋体" w:hAnsi="宋体"/>
                <w:color w:val="auto"/>
                <w:szCs w:val="21"/>
                <w:highlight w:val="none"/>
              </w:rPr>
              <w:t>投标人法定代表人（负责人或自然人）提交投标文件的，须提供</w:t>
            </w:r>
            <w:r>
              <w:rPr>
                <w:rFonts w:ascii="宋体" w:hAnsi="宋体"/>
                <w:color w:val="auto"/>
                <w:szCs w:val="21"/>
                <w:highlight w:val="none"/>
              </w:rPr>
              <w:t>身份证原件与法定代表人（负责人或自然人）身份证明原件</w:t>
            </w:r>
            <w:r>
              <w:rPr>
                <w:rFonts w:hint="eastAsia" w:ascii="宋体" w:hAnsi="宋体"/>
                <w:color w:val="auto"/>
                <w:szCs w:val="21"/>
                <w:highlight w:val="none"/>
              </w:rPr>
              <w:t>（格式后附）；投标人委托代理人提交投标文件的，须提供身份证复印件和法定代表人（负责人或自然人）授权委托书原件。</w:t>
            </w:r>
            <w:r>
              <w:rPr>
                <w:rFonts w:hint="eastAsia" w:ascii="宋体" w:hAnsi="宋体"/>
                <w:bCs/>
                <w:color w:val="auto"/>
                <w:szCs w:val="21"/>
                <w:highlight w:val="none"/>
              </w:rPr>
              <w:t>对于材料不全或无效的，采购代理机构应当拒收。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7" w:name="_23"/>
            <w:bookmarkEnd w:id="67"/>
            <w:r>
              <w:rPr>
                <w:rFonts w:hint="eastAsia" w:ascii="宋体" w:hAnsi="宋体"/>
                <w:color w:val="auto"/>
                <w:highlight w:val="none"/>
              </w:rPr>
              <w:t>23</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1.开标时间：</w:t>
            </w:r>
            <w:r>
              <w:rPr>
                <w:rFonts w:hint="eastAsia" w:ascii="宋体" w:hAnsi="宋体"/>
                <w:color w:val="auto"/>
                <w:highlight w:val="none"/>
              </w:rPr>
              <w:t>同投标文件递交截止时间</w:t>
            </w:r>
          </w:p>
          <w:p>
            <w:pPr>
              <w:snapToGrid w:val="0"/>
              <w:spacing w:line="360" w:lineRule="exact"/>
              <w:rPr>
                <w:rFonts w:ascii="宋体" w:hAnsi="宋体"/>
                <w:color w:val="auto"/>
                <w:szCs w:val="21"/>
                <w:highlight w:val="none"/>
              </w:rPr>
            </w:pPr>
            <w:r>
              <w:rPr>
                <w:rFonts w:hint="eastAsia" w:ascii="宋体" w:hAnsi="宋体"/>
                <w:color w:val="auto"/>
                <w:szCs w:val="21"/>
                <w:highlight w:val="none"/>
              </w:rPr>
              <w:t xml:space="preserve">2.开标地点： </w:t>
            </w:r>
            <w:r>
              <w:rPr>
                <w:rFonts w:hint="eastAsia" w:ascii="宋体" w:hAnsi="宋体" w:cs="Arial"/>
                <w:color w:val="auto"/>
                <w:szCs w:val="21"/>
                <w:highlight w:val="none"/>
              </w:rPr>
              <w:t>同</w:t>
            </w:r>
            <w:r>
              <w:rPr>
                <w:rFonts w:hint="eastAsia" w:ascii="宋体" w:hAnsi="宋体"/>
                <w:color w:val="auto"/>
                <w:szCs w:val="21"/>
                <w:highlight w:val="none"/>
              </w:rPr>
              <w:t>投标地点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8" w:name="_25.3"/>
            <w:bookmarkEnd w:id="68"/>
            <w:r>
              <w:rPr>
                <w:rFonts w:hint="eastAsia" w:ascii="宋体" w:hAnsi="宋体"/>
                <w:color w:val="auto"/>
                <w:highlight w:val="none"/>
              </w:rPr>
              <w:t>25.3</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宋体" w:hAnsi="宋体" w:cs="宋体"/>
                <w:b/>
                <w:color w:val="auto"/>
                <w:sz w:val="24"/>
                <w:highlight w:val="none"/>
              </w:rPr>
            </w:pPr>
            <w:r>
              <w:rPr>
                <w:rFonts w:hint="eastAsia" w:ascii="宋体" w:hAnsi="宋体" w:cs="宋体"/>
                <w:color w:val="auto"/>
                <w:sz w:val="24"/>
                <w:highlight w:val="none"/>
              </w:rPr>
              <w:t>信用查询：</w:t>
            </w:r>
          </w:p>
          <w:p>
            <w:pPr>
              <w:snapToGrid w:val="0"/>
              <w:spacing w:line="360" w:lineRule="exact"/>
              <w:rPr>
                <w:rFonts w:ascii="宋体" w:hAnsi="宋体"/>
                <w:color w:val="auto"/>
                <w:szCs w:val="21"/>
                <w:highlight w:val="none"/>
              </w:rPr>
            </w:pPr>
            <w:r>
              <w:rPr>
                <w:rFonts w:hint="eastAsia" w:ascii="宋体" w:hAnsi="宋体"/>
                <w:color w:val="auto"/>
                <w:szCs w:val="21"/>
                <w:highlight w:val="none"/>
              </w:rPr>
              <w:t>由采购人或采购代理机构对投标人资格进行审查时进行信用查询。</w:t>
            </w:r>
          </w:p>
          <w:p>
            <w:pPr>
              <w:snapToGrid w:val="0"/>
              <w:spacing w:line="360" w:lineRule="exact"/>
              <w:rPr>
                <w:rFonts w:ascii="宋体" w:hAnsi="宋体"/>
                <w:color w:val="auto"/>
                <w:szCs w:val="21"/>
                <w:highlight w:val="none"/>
              </w:rPr>
            </w:pPr>
            <w:r>
              <w:rPr>
                <w:rFonts w:hint="eastAsia" w:ascii="宋体" w:hAnsi="宋体"/>
                <w:color w:val="auto"/>
                <w:szCs w:val="21"/>
                <w:highlight w:val="none"/>
              </w:rPr>
              <w:t>查询渠道：“信用中国”网站(www.creditchina.gov.cn)、中国政府采购网(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hint="eastAsia" w:ascii="宋体" w:hAnsi="宋体"/>
                <w:color w:val="auto"/>
                <w:szCs w:val="21"/>
                <w:highlight w:val="none"/>
              </w:rPr>
              <w:t>www.ccgp.gov.cn</w:t>
            </w:r>
            <w:r>
              <w:rPr>
                <w:rFonts w:hint="eastAsia" w:ascii="宋体" w:hAnsi="宋体"/>
                <w:color w:val="auto"/>
                <w:szCs w:val="21"/>
                <w:highlight w:val="none"/>
              </w:rPr>
              <w:fldChar w:fldCharType="end"/>
            </w:r>
            <w:r>
              <w:rPr>
                <w:rFonts w:hint="eastAsia" w:ascii="宋体" w:hAnsi="宋体"/>
                <w:color w:val="auto"/>
                <w:szCs w:val="21"/>
                <w:highlight w:val="none"/>
              </w:rPr>
              <w:t>)等</w:t>
            </w:r>
          </w:p>
          <w:p>
            <w:pPr>
              <w:snapToGrid w:val="0"/>
              <w:spacing w:line="360" w:lineRule="exact"/>
              <w:rPr>
                <w:rFonts w:ascii="宋体" w:hAnsi="宋体"/>
                <w:color w:val="auto"/>
                <w:szCs w:val="21"/>
                <w:highlight w:val="none"/>
              </w:rPr>
            </w:pPr>
            <w:r>
              <w:rPr>
                <w:rFonts w:hint="eastAsia" w:ascii="宋体" w:hAnsi="宋体"/>
                <w:color w:val="auto"/>
                <w:szCs w:val="21"/>
                <w:highlight w:val="none"/>
              </w:rPr>
              <w:t>“信用中国”网站查询内容：失信被执行人、重大税收违法案件当事人名单、政府采购严重违法失信行为记录名单查询结果或界面截图；查询或打印截止时点：同投标截止时间。</w:t>
            </w:r>
          </w:p>
          <w:p>
            <w:pPr>
              <w:snapToGrid w:val="0"/>
              <w:spacing w:line="360" w:lineRule="exact"/>
              <w:rPr>
                <w:rFonts w:ascii="宋体" w:hAnsi="宋体"/>
                <w:color w:val="auto"/>
                <w:szCs w:val="21"/>
                <w:highlight w:val="none"/>
              </w:rPr>
            </w:pPr>
            <w:r>
              <w:rPr>
                <w:rFonts w:hint="eastAsia" w:ascii="宋体" w:hAnsi="宋体"/>
                <w:color w:val="auto"/>
                <w:szCs w:val="21"/>
                <w:highlight w:val="none"/>
              </w:rPr>
              <w:t>“中国政府采购网”的查询内容：政府采购严重违法失信行为信息记录；查询或打印截止时点：递交投标文件截止时间前三年内。</w:t>
            </w:r>
          </w:p>
          <w:p>
            <w:pPr>
              <w:snapToGrid w:val="0"/>
              <w:spacing w:line="360" w:lineRule="exact"/>
              <w:rPr>
                <w:rFonts w:ascii="宋体" w:hAnsi="宋体"/>
                <w:color w:val="auto"/>
                <w:szCs w:val="21"/>
                <w:highlight w:val="none"/>
              </w:rPr>
            </w:pPr>
            <w:r>
              <w:rPr>
                <w:rFonts w:hint="eastAsia" w:ascii="宋体" w:hAnsi="宋体"/>
                <w:color w:val="auto"/>
                <w:szCs w:val="21"/>
                <w:highlight w:val="none"/>
              </w:rPr>
              <w:t>查询记录和证据留存方式：在查询网站中直接打印查询记录，打印材料作为评审资料保存。</w:t>
            </w:r>
          </w:p>
          <w:p>
            <w:pPr>
              <w:snapToGrid w:val="0"/>
              <w:spacing w:line="360" w:lineRule="exact"/>
              <w:rPr>
                <w:rFonts w:ascii="宋体" w:hAnsi="宋体"/>
                <w:b/>
                <w:color w:val="auto"/>
                <w:sz w:val="24"/>
                <w:highlight w:val="none"/>
              </w:rPr>
            </w:pPr>
            <w:r>
              <w:rPr>
                <w:rFonts w:hint="eastAsia" w:ascii="宋体" w:hAnsi="宋体"/>
                <w:color w:val="auto"/>
                <w:szCs w:val="21"/>
                <w:highlight w:val="none"/>
              </w:rPr>
              <w:t>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资格审查不通过，不得参与政府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69" w:name="_26"/>
            <w:bookmarkEnd w:id="69"/>
            <w:r>
              <w:rPr>
                <w:rFonts w:hint="eastAsia" w:ascii="宋体" w:hAnsi="宋体"/>
                <w:color w:val="auto"/>
                <w:highlight w:val="none"/>
              </w:rPr>
              <w:t>26</w:t>
            </w:r>
          </w:p>
        </w:tc>
        <w:tc>
          <w:tcPr>
            <w:tcW w:w="9169"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highlight w:val="none"/>
              </w:rPr>
            </w:pPr>
            <w:r>
              <w:rPr>
                <w:rFonts w:hint="eastAsia" w:ascii="宋体" w:hAnsi="宋体"/>
                <w:color w:val="auto"/>
                <w:highlight w:val="none"/>
              </w:rPr>
              <w:t>评标委员会的人数：</w:t>
            </w:r>
            <w:r>
              <w:rPr>
                <w:rFonts w:hint="eastAsia" w:ascii="宋体" w:hAnsi="宋体"/>
                <w:color w:val="auto"/>
                <w:highlight w:val="none"/>
                <w:u w:val="single"/>
              </w:rPr>
              <w:t>5</w:t>
            </w:r>
            <w:r>
              <w:rPr>
                <w:rFonts w:hint="eastAsia" w:ascii="宋体" w:hAnsi="宋体"/>
                <w:color w:val="auto"/>
                <w:highlight w:val="none"/>
              </w:rPr>
              <w:t>人以上（含）单数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0" w:name="_28.3"/>
            <w:bookmarkEnd w:id="70"/>
            <w:r>
              <w:rPr>
                <w:rFonts w:hint="eastAsia" w:ascii="宋体" w:hAnsi="宋体"/>
                <w:color w:val="auto"/>
                <w:highlight w:val="none"/>
              </w:rPr>
              <w:t>28.3</w:t>
            </w:r>
          </w:p>
        </w:tc>
        <w:tc>
          <w:tcPr>
            <w:tcW w:w="9169"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highlight w:val="none"/>
              </w:rPr>
            </w:pPr>
            <w:r>
              <w:rPr>
                <w:rFonts w:hint="eastAsia" w:ascii="宋体" w:hAnsi="宋体"/>
                <w:color w:val="auto"/>
                <w:highlight w:val="none"/>
              </w:rPr>
              <w:t>评标方法：</w:t>
            </w:r>
          </w:p>
          <w:p>
            <w:pPr>
              <w:autoSpaceDE w:val="0"/>
              <w:autoSpaceDN w:val="0"/>
              <w:snapToGrid w:val="0"/>
              <w:spacing w:line="360" w:lineRule="exact"/>
              <w:textAlignment w:val="bottom"/>
              <w:rPr>
                <w:rFonts w:ascii="宋体" w:hAnsi="宋体"/>
                <w:color w:val="auto"/>
                <w:highlight w:val="none"/>
              </w:rPr>
            </w:pPr>
            <w:r>
              <w:rPr>
                <w:rFonts w:hint="eastAsia" w:ascii="宋体" w:hAnsi="宋体"/>
                <w:color w:val="auto"/>
                <w:highlight w:val="none"/>
              </w:rPr>
              <w:t>☑综合评分法</w:t>
            </w:r>
          </w:p>
          <w:p>
            <w:pPr>
              <w:autoSpaceDE w:val="0"/>
              <w:autoSpaceDN w:val="0"/>
              <w:snapToGrid w:val="0"/>
              <w:spacing w:line="360" w:lineRule="exact"/>
              <w:textAlignment w:val="bottom"/>
              <w:rPr>
                <w:rFonts w:ascii="宋体" w:hAnsi="宋体"/>
                <w:color w:val="auto"/>
                <w:highlight w:val="none"/>
              </w:rPr>
            </w:pPr>
            <w:r>
              <w:rPr>
                <w:rFonts w:hint="eastAsia" w:ascii="宋体" w:hAnsi="宋体"/>
                <w:color w:val="auto"/>
                <w:highlight w:val="none"/>
              </w:rPr>
              <w:t>□最低评标价法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1" w:name="_29.2.2（2）"/>
            <w:bookmarkEnd w:id="71"/>
            <w:r>
              <w:rPr>
                <w:rFonts w:hint="eastAsia" w:ascii="宋体" w:hAnsi="宋体"/>
                <w:color w:val="auto"/>
                <w:highlight w:val="none"/>
              </w:rPr>
              <w:t>30</w:t>
            </w:r>
          </w:p>
        </w:tc>
        <w:tc>
          <w:tcPr>
            <w:tcW w:w="9169"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highlight w:val="none"/>
              </w:rPr>
            </w:pPr>
            <w:r>
              <w:rPr>
                <w:rFonts w:hint="eastAsia" w:ascii="宋体" w:hAnsi="宋体"/>
                <w:color w:val="auto"/>
                <w:highlight w:val="none"/>
              </w:rPr>
              <w:t>采购人确定中标人时，出现中标候选人并列的情形，采购人按以下的方式确定中标人：</w:t>
            </w:r>
          </w:p>
          <w:p>
            <w:pPr>
              <w:autoSpaceDE w:val="0"/>
              <w:autoSpaceDN w:val="0"/>
              <w:snapToGrid w:val="0"/>
              <w:spacing w:line="360" w:lineRule="exact"/>
              <w:textAlignment w:val="bottom"/>
              <w:rPr>
                <w:rFonts w:ascii="宋体" w:hAnsi="宋体"/>
                <w:color w:val="auto"/>
                <w:highlight w:val="none"/>
              </w:rPr>
            </w:pPr>
            <w:r>
              <w:rPr>
                <w:rFonts w:hint="eastAsia" w:ascii="宋体" w:hAnsi="宋体"/>
                <w:color w:val="auto"/>
                <w:highlight w:val="none"/>
              </w:rPr>
              <w:t xml:space="preserve">☑政策分得分高的优先、技术评分高的优先、商务评分高的优先、项目交付期短优先、故障响应时间短优先的顺序； </w:t>
            </w:r>
          </w:p>
          <w:p>
            <w:pPr>
              <w:snapToGrid w:val="0"/>
              <w:spacing w:line="360" w:lineRule="exact"/>
              <w:rPr>
                <w:rFonts w:ascii="宋体" w:hAnsi="宋体"/>
                <w:b/>
                <w:color w:val="auto"/>
                <w:szCs w:val="21"/>
                <w:highlight w:val="none"/>
              </w:rPr>
            </w:pPr>
            <w:r>
              <w:rPr>
                <w:rFonts w:hint="eastAsia" w:ascii="宋体" w:hAnsi="宋体"/>
                <w:color w:val="auto"/>
                <w:highlight w:val="none"/>
              </w:rPr>
              <w:t>□随机抽取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2" w:name="_39.1"/>
            <w:bookmarkEnd w:id="72"/>
            <w:r>
              <w:rPr>
                <w:rFonts w:hint="eastAsia" w:ascii="宋体" w:hAnsi="宋体"/>
                <w:color w:val="auto"/>
                <w:highlight w:val="none"/>
              </w:rPr>
              <w:t>35</w:t>
            </w:r>
          </w:p>
        </w:tc>
        <w:tc>
          <w:tcPr>
            <w:tcW w:w="916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b/>
                <w:color w:val="auto"/>
                <w:sz w:val="24"/>
                <w:highlight w:val="none"/>
              </w:rPr>
            </w:pPr>
            <w:r>
              <w:rPr>
                <w:rFonts w:hint="eastAsia" w:ascii="宋体" w:hAnsi="宋体"/>
                <w:color w:val="auto"/>
                <w:highlight w:val="none"/>
              </w:rPr>
              <w:t>履约保证金金额：根据《广西壮族自治区财政厅关于贯彻落实政府采购优化营商环境百日攻坚行动方案的通知》（桂财采〔2020〕49号）规定，鼓励采购人在与中小微企业签订政府采购合同时，减少或免于收取履约保证金</w:t>
            </w:r>
            <w:r>
              <w:rPr>
                <w:rFonts w:hint="eastAsia" w:ascii="宋体" w:hAnsi="宋体"/>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3" w:name="_40.1"/>
            <w:bookmarkEnd w:id="73"/>
            <w:r>
              <w:rPr>
                <w:rFonts w:hint="eastAsia" w:ascii="宋体" w:hAnsi="宋体"/>
                <w:color w:val="auto"/>
                <w:highlight w:val="none"/>
              </w:rPr>
              <w:t>36.1</w:t>
            </w:r>
          </w:p>
        </w:tc>
        <w:tc>
          <w:tcPr>
            <w:tcW w:w="9169"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highlight w:val="none"/>
              </w:rPr>
            </w:pPr>
            <w:r>
              <w:rPr>
                <w:rFonts w:hint="eastAsia" w:ascii="宋体" w:hAnsi="宋体"/>
                <w:color w:val="auto"/>
                <w:szCs w:val="21"/>
                <w:highlight w:val="none"/>
              </w:rPr>
              <w:t xml:space="preserve">签订合同携带的资格证件： </w:t>
            </w:r>
          </w:p>
          <w:p>
            <w:pPr>
              <w:autoSpaceDE w:val="0"/>
              <w:autoSpaceDN w:val="0"/>
              <w:snapToGrid w:val="0"/>
              <w:spacing w:line="360" w:lineRule="exact"/>
              <w:textAlignment w:val="bottom"/>
              <w:rPr>
                <w:rFonts w:ascii="宋体" w:hAnsi="宋体"/>
                <w:color w:val="auto"/>
                <w:szCs w:val="21"/>
                <w:highlight w:val="none"/>
              </w:rPr>
            </w:pPr>
            <w:r>
              <w:rPr>
                <w:rFonts w:hint="eastAsia" w:ascii="宋体" w:hAnsi="宋体"/>
                <w:color w:val="auto"/>
                <w:szCs w:val="21"/>
                <w:highlight w:val="none"/>
              </w:rPr>
              <w:t>委托代理人负责签订合同的，须携带授权委托书及委托代理人身份证原件等其它资格证件。</w:t>
            </w:r>
          </w:p>
          <w:p>
            <w:pPr>
              <w:autoSpaceDE w:val="0"/>
              <w:autoSpaceDN w:val="0"/>
              <w:snapToGrid w:val="0"/>
              <w:spacing w:line="360" w:lineRule="exact"/>
              <w:textAlignment w:val="bottom"/>
              <w:rPr>
                <w:rFonts w:ascii="宋体" w:hAnsi="宋体"/>
                <w:color w:val="auto"/>
                <w:szCs w:val="21"/>
                <w:highlight w:val="none"/>
              </w:rPr>
            </w:pPr>
            <w:r>
              <w:rPr>
                <w:rFonts w:hint="eastAsia" w:ascii="宋体" w:hAnsi="宋体"/>
                <w:color w:val="auto"/>
                <w:szCs w:val="21"/>
                <w:highlight w:val="none"/>
              </w:rPr>
              <w:t>法定代表人（负责人或自然人）负责签订合同的，须携带法定代表人（负责人或自然人）</w:t>
            </w:r>
            <w:r>
              <w:rPr>
                <w:rFonts w:ascii="宋体" w:hAnsi="宋体"/>
                <w:color w:val="auto"/>
                <w:szCs w:val="21"/>
                <w:highlight w:val="none"/>
              </w:rPr>
              <w:t>身份证明原件</w:t>
            </w:r>
            <w:r>
              <w:rPr>
                <w:rFonts w:hint="eastAsia" w:ascii="宋体" w:hAnsi="宋体"/>
                <w:color w:val="auto"/>
                <w:szCs w:val="21"/>
                <w:highlight w:val="none"/>
              </w:rPr>
              <w:t>及</w:t>
            </w:r>
            <w:r>
              <w:rPr>
                <w:rFonts w:ascii="宋体" w:hAnsi="宋体"/>
                <w:color w:val="auto"/>
                <w:szCs w:val="21"/>
                <w:highlight w:val="none"/>
              </w:rPr>
              <w:t>身份证原件</w:t>
            </w:r>
            <w:r>
              <w:rPr>
                <w:rFonts w:hint="eastAsia" w:ascii="宋体" w:hAnsi="宋体"/>
                <w:color w:val="auto"/>
                <w:szCs w:val="21"/>
                <w:highlight w:val="none"/>
              </w:rPr>
              <w:t>等其它资格证件。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4" w:name="_41"/>
            <w:bookmarkEnd w:id="74"/>
            <w:r>
              <w:rPr>
                <w:rFonts w:hint="eastAsia" w:ascii="宋体" w:hAnsi="宋体"/>
                <w:color w:val="auto"/>
                <w:highlight w:val="none"/>
              </w:rPr>
              <w:t>37</w:t>
            </w:r>
          </w:p>
        </w:tc>
        <w:tc>
          <w:tcPr>
            <w:tcW w:w="9169" w:type="dxa"/>
            <w:tcBorders>
              <w:top w:val="single" w:color="auto" w:sz="4" w:space="0"/>
              <w:left w:val="single" w:color="auto" w:sz="4" w:space="0"/>
              <w:bottom w:val="single" w:color="auto" w:sz="4" w:space="0"/>
              <w:right w:val="single" w:color="auto" w:sz="4" w:space="0"/>
            </w:tcBorders>
            <w:vAlign w:val="center"/>
          </w:tcPr>
          <w:p>
            <w:pPr>
              <w:pStyle w:val="25"/>
              <w:snapToGrid w:val="0"/>
              <w:spacing w:line="360" w:lineRule="exact"/>
              <w:rPr>
                <w:rFonts w:hAnsi="宋体" w:cs="Courier New"/>
                <w:color w:val="auto"/>
                <w:kern w:val="2"/>
                <w:sz w:val="21"/>
                <w:highlight w:val="none"/>
              </w:rPr>
            </w:pPr>
            <w:r>
              <w:rPr>
                <w:rFonts w:hint="eastAsia" w:hAnsi="宋体" w:cs="Courier New"/>
                <w:color w:val="auto"/>
                <w:kern w:val="2"/>
                <w:sz w:val="21"/>
                <w:highlight w:val="none"/>
              </w:rPr>
              <w:t>政府采购合同公告：根据</w:t>
            </w:r>
            <w:r>
              <w:rPr>
                <w:rFonts w:hAnsi="宋体" w:cs="Courier New"/>
                <w:color w:val="auto"/>
                <w:kern w:val="2"/>
                <w:sz w:val="21"/>
                <w:highlight w:val="none"/>
              </w:rPr>
              <w:t>《中华人民共和国政府采购法实施条例》第五十条</w:t>
            </w:r>
            <w:r>
              <w:rPr>
                <w:rFonts w:hint="eastAsia" w:hAnsi="宋体" w:cs="Courier New"/>
                <w:color w:val="auto"/>
                <w:kern w:val="2"/>
                <w:sz w:val="21"/>
                <w:highlight w:val="none"/>
              </w:rPr>
              <w:t>规定，采购人应当自政府采购合同签订之日起2个工作日内，将政府采购合同在省级以上人民政府财政部门指定的媒体上公告，</w:t>
            </w:r>
            <w:r>
              <w:rPr>
                <w:rFonts w:hAnsi="宋体" w:cs="Courier New"/>
                <w:color w:val="auto"/>
                <w:kern w:val="2"/>
                <w:sz w:val="21"/>
                <w:highlight w:val="none"/>
              </w:rPr>
              <w:t>但政府采购合同中涉及国家秘密、商业秘密的内容除外。因此请各投标人应在投标文件中注明投标内容中涉及商业秘密的部分，未注明的视为投标文件中不涉及商业秘密。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highlight w:val="none"/>
              </w:rPr>
            </w:pPr>
            <w:bookmarkStart w:id="75" w:name="_42"/>
            <w:bookmarkEnd w:id="75"/>
            <w:bookmarkStart w:id="76" w:name="_Hlt17709148"/>
            <w:r>
              <w:rPr>
                <w:rFonts w:hint="eastAsia" w:ascii="宋体" w:hAnsi="宋体"/>
                <w:color w:val="auto"/>
                <w:highlight w:val="none"/>
              </w:rPr>
              <w:t>38</w:t>
            </w:r>
            <w:bookmarkEnd w:id="76"/>
          </w:p>
        </w:tc>
        <w:tc>
          <w:tcPr>
            <w:tcW w:w="9169" w:type="dxa"/>
            <w:tcBorders>
              <w:top w:val="single" w:color="auto" w:sz="4" w:space="0"/>
              <w:left w:val="single" w:color="auto" w:sz="4" w:space="0"/>
              <w:bottom w:val="single" w:color="auto" w:sz="4" w:space="0"/>
              <w:right w:val="single" w:color="auto" w:sz="4" w:space="0"/>
            </w:tcBorders>
            <w:vAlign w:val="center"/>
          </w:tcPr>
          <w:p>
            <w:pPr>
              <w:pStyle w:val="25"/>
              <w:snapToGrid w:val="0"/>
              <w:spacing w:line="360" w:lineRule="exact"/>
              <w:rPr>
                <w:rFonts w:hAnsi="宋体" w:cs="Courier New"/>
                <w:color w:val="auto"/>
                <w:kern w:val="2"/>
                <w:sz w:val="21"/>
                <w:highlight w:val="none"/>
              </w:rPr>
            </w:pPr>
            <w:r>
              <w:rPr>
                <w:rFonts w:hint="eastAsia" w:hAnsi="宋体" w:cs="Courier New"/>
                <w:color w:val="auto"/>
                <w:kern w:val="2"/>
                <w:sz w:val="21"/>
                <w:highlight w:val="none"/>
              </w:rPr>
              <w:t>代理服务费</w:t>
            </w:r>
          </w:p>
          <w:p>
            <w:pPr>
              <w:pStyle w:val="25"/>
              <w:snapToGrid w:val="0"/>
              <w:spacing w:line="360" w:lineRule="exact"/>
              <w:ind w:firstLine="420" w:firstLineChars="200"/>
              <w:rPr>
                <w:rFonts w:hAnsi="宋体" w:cs="Courier New"/>
                <w:color w:val="auto"/>
                <w:kern w:val="2"/>
                <w:sz w:val="21"/>
                <w:highlight w:val="none"/>
              </w:rPr>
            </w:pPr>
            <w:r>
              <w:rPr>
                <w:rFonts w:hint="eastAsia" w:hAnsi="宋体" w:cs="Courier New"/>
                <w:color w:val="auto"/>
                <w:kern w:val="2"/>
                <w:sz w:val="21"/>
                <w:highlight w:val="none"/>
              </w:rPr>
              <w:t>收费标准：本项目每分标的代理服务费根据中标金额按投标人须知代理服务收费标准中规定的（</w:t>
            </w:r>
            <w:r>
              <w:rPr>
                <w:rFonts w:hint="eastAsia" w:hAnsi="宋体" w:cs="Courier New"/>
                <w:color w:val="auto"/>
                <w:kern w:val="2"/>
                <w:sz w:val="21"/>
                <w:highlight w:val="none"/>
                <w:u w:val="single"/>
              </w:rPr>
              <w:t>服务类</w:t>
            </w:r>
            <w:r>
              <w:rPr>
                <w:rFonts w:hint="eastAsia" w:hAnsi="宋体" w:cs="Courier New"/>
                <w:color w:val="auto"/>
                <w:kern w:val="2"/>
                <w:sz w:val="21"/>
                <w:highlight w:val="none"/>
              </w:rPr>
              <w:t xml:space="preserve">招标）标准采用差额定率累进/固定收费计费方式计算： </w:t>
            </w:r>
          </w:p>
          <w:p>
            <w:pPr>
              <w:pStyle w:val="25"/>
              <w:snapToGrid w:val="0"/>
              <w:spacing w:line="360" w:lineRule="exact"/>
              <w:ind w:firstLine="420" w:firstLineChars="200"/>
              <w:rPr>
                <w:rFonts w:hAnsi="宋体"/>
                <w:color w:val="auto"/>
                <w:highlight w:val="none"/>
              </w:rPr>
            </w:pPr>
            <w:r>
              <w:rPr>
                <w:rFonts w:hint="eastAsia" w:hAnsi="宋体" w:cs="Courier New"/>
                <w:color w:val="auto"/>
                <w:kern w:val="2"/>
                <w:sz w:val="21"/>
                <w:highlight w:val="none"/>
              </w:rPr>
              <w:t>√中标人支付：由中标人支付的，中标人应当在领取中标通知书前，向采购代理机构一次付清代理服务费。</w:t>
            </w:r>
            <w:r>
              <w:rPr>
                <w:rFonts w:hint="eastAsia" w:hAnsi="宋体"/>
                <w:color w:val="auto"/>
                <w:highlight w:val="none"/>
              </w:rPr>
              <w:t>中标服务费根据《招标代理服务费管理暂行办法》（计价格</w:t>
            </w:r>
            <w:r>
              <w:rPr>
                <w:rFonts w:hAnsi="宋体"/>
                <w:color w:val="auto"/>
                <w:highlight w:val="none"/>
              </w:rPr>
              <w:t>[2002]1980</w:t>
            </w:r>
            <w:r>
              <w:rPr>
                <w:rFonts w:hint="eastAsia" w:hAnsi="宋体"/>
                <w:color w:val="auto"/>
                <w:highlight w:val="none"/>
              </w:rPr>
              <w:t>号）收费标准计算，每名中标人向代理机构缴纳中标服务费15000元。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vMerge w:val="restart"/>
            <w:tcBorders>
              <w:top w:val="single" w:color="auto" w:sz="4" w:space="0"/>
              <w:left w:val="single" w:color="auto" w:sz="4" w:space="0"/>
              <w:right w:val="single" w:color="auto" w:sz="4" w:space="0"/>
            </w:tcBorders>
            <w:vAlign w:val="center"/>
          </w:tcPr>
          <w:p>
            <w:pPr>
              <w:snapToGrid w:val="0"/>
              <w:spacing w:line="360" w:lineRule="exact"/>
              <w:jc w:val="center"/>
              <w:rPr>
                <w:rFonts w:ascii="宋体" w:hAnsi="宋体"/>
                <w:color w:val="auto"/>
                <w:szCs w:val="21"/>
                <w:highlight w:val="none"/>
              </w:rPr>
            </w:pPr>
            <w:r>
              <w:rPr>
                <w:rFonts w:ascii="宋体" w:hAnsi="宋体"/>
                <w:color w:val="auto"/>
                <w:szCs w:val="21"/>
                <w:highlight w:val="none"/>
              </w:rPr>
              <w:t>补充</w:t>
            </w:r>
          </w:p>
        </w:tc>
        <w:tc>
          <w:tcPr>
            <w:tcW w:w="9169"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highlight w:val="none"/>
              </w:rPr>
            </w:pPr>
            <w:r>
              <w:rPr>
                <w:rFonts w:hint="eastAsia" w:ascii="宋体" w:hAnsi="宋体"/>
                <w:color w:val="auto"/>
                <w:szCs w:val="21"/>
                <w:highlight w:val="none"/>
              </w:rPr>
              <w:t>解释：本招标文件的解释权属于采购代理机构。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4" w:type="dxa"/>
            <w:vMerge w:val="continue"/>
            <w:tcBorders>
              <w:left w:val="single" w:color="auto" w:sz="4" w:space="0"/>
              <w:right w:val="single" w:color="auto" w:sz="4" w:space="0"/>
            </w:tcBorders>
            <w:vAlign w:val="center"/>
          </w:tcPr>
          <w:p>
            <w:pPr>
              <w:snapToGrid w:val="0"/>
              <w:spacing w:line="360" w:lineRule="exact"/>
              <w:jc w:val="center"/>
              <w:rPr>
                <w:rFonts w:ascii="宋体" w:hAnsi="宋体"/>
                <w:color w:val="auto"/>
                <w:szCs w:val="21"/>
                <w:highlight w:val="none"/>
              </w:rPr>
            </w:pPr>
          </w:p>
        </w:tc>
        <w:tc>
          <w:tcPr>
            <w:tcW w:w="916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ind w:firstLine="396" w:firstLineChars="200"/>
              <w:jc w:val="left"/>
              <w:rPr>
                <w:color w:val="auto"/>
                <w:spacing w:val="-6"/>
                <w:highlight w:val="none"/>
              </w:rPr>
            </w:pPr>
            <w:r>
              <w:rPr>
                <w:rFonts w:hint="eastAsia"/>
                <w:color w:val="auto"/>
                <w:spacing w:val="-6"/>
                <w:highlight w:val="none"/>
              </w:rPr>
              <w:t>1.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不符合要求的作投 标无效处理。</w:t>
            </w:r>
          </w:p>
          <w:p>
            <w:pPr>
              <w:widowControl/>
              <w:spacing w:line="360" w:lineRule="exact"/>
              <w:ind w:firstLine="420" w:firstLineChars="200"/>
              <w:jc w:val="left"/>
              <w:rPr>
                <w:color w:val="auto"/>
                <w:highlight w:val="none"/>
              </w:rPr>
            </w:pPr>
            <w:r>
              <w:rPr>
                <w:rFonts w:hint="eastAsia"/>
                <w:color w:val="auto"/>
                <w:highlight w:val="none"/>
              </w:rPr>
              <w:t>2.本招标文件中描述投标人的“签字”可以是投标人的法定代表人（负责人或自然人）或委托代理人亲自在招标文件规定签字处亲笔写上个人名字的行为，私章、签字章、印鉴、影印等其它形式均不能代替亲笔签字。“签章”是指由投标人的法定代表人（负责人或自然人）或委托代理人亲自在招标文件规定签章处亲笔写上个人名字及盖个人私章的行为，如招标文件规定签字处不得以法人私章代替。不符合要求的或漏签的作投标无效处理。</w:t>
            </w:r>
          </w:p>
        </w:tc>
      </w:tr>
    </w:tbl>
    <w:p>
      <w:pPr>
        <w:snapToGrid w:val="0"/>
        <w:rPr>
          <w:rFonts w:ascii="宋体" w:hAnsi="宋体"/>
          <w:color w:val="auto"/>
          <w:sz w:val="24"/>
          <w:szCs w:val="20"/>
          <w:highlight w:val="none"/>
        </w:rPr>
      </w:pPr>
    </w:p>
    <w:p>
      <w:pPr>
        <w:pStyle w:val="7"/>
        <w:jc w:val="center"/>
        <w:rPr>
          <w:color w:val="auto"/>
          <w:highlight w:val="none"/>
        </w:rPr>
      </w:pPr>
      <w:r>
        <w:rPr>
          <w:rFonts w:hint="eastAsia"/>
          <w:color w:val="auto"/>
          <w:highlight w:val="none"/>
        </w:rPr>
        <w:t>投标人须知正文</w:t>
      </w:r>
    </w:p>
    <w:p>
      <w:pPr>
        <w:pStyle w:val="7"/>
        <w:spacing w:line="360" w:lineRule="exact"/>
        <w:jc w:val="center"/>
        <w:rPr>
          <w:color w:val="auto"/>
          <w:highlight w:val="none"/>
        </w:rPr>
      </w:pPr>
      <w:r>
        <w:rPr>
          <w:rFonts w:hint="eastAsia"/>
          <w:color w:val="auto"/>
          <w:highlight w:val="none"/>
        </w:rPr>
        <w:t>一、总则</w:t>
      </w:r>
    </w:p>
    <w:p>
      <w:pPr>
        <w:pStyle w:val="9"/>
        <w:spacing w:before="0" w:after="0" w:line="360" w:lineRule="exact"/>
        <w:ind w:left="420" w:leftChars="200"/>
        <w:rPr>
          <w:rFonts w:ascii="宋体" w:hAnsi="宋体"/>
          <w:color w:val="auto"/>
          <w:sz w:val="21"/>
          <w:szCs w:val="21"/>
          <w:highlight w:val="none"/>
        </w:rPr>
      </w:pPr>
      <w:bookmarkStart w:id="77" w:name="_Toc254970668"/>
      <w:bookmarkStart w:id="78" w:name="_Toc254970527"/>
      <w:r>
        <w:rPr>
          <w:rFonts w:hint="eastAsia" w:ascii="宋体" w:hAnsi="宋体"/>
          <w:color w:val="auto"/>
          <w:sz w:val="21"/>
          <w:szCs w:val="21"/>
          <w:highlight w:val="none"/>
        </w:rPr>
        <w:t>1.适用范围</w:t>
      </w:r>
      <w:bookmarkEnd w:id="77"/>
      <w:bookmarkEnd w:id="78"/>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适用法律：本项目采购人、采购代理机构、投标人、评标委员会的相关行为均受《中华人民共和国政府采购法》、《中华人民共和国政府采购法实施条例》、《政府采购货物和服务招标投标管理办法》及本项目本级和上级财政部门政府采购有关规定的约束和保护。</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1.2本招标文件适用于</w:t>
      </w:r>
      <w:r>
        <w:rPr>
          <w:rFonts w:hint="eastAsia" w:ascii="宋体" w:hAnsi="宋体" w:cs="Arial"/>
          <w:color w:val="auto"/>
          <w:szCs w:val="21"/>
          <w:highlight w:val="none"/>
        </w:rPr>
        <w:t>本</w:t>
      </w:r>
      <w:r>
        <w:rPr>
          <w:rFonts w:hint="eastAsia" w:ascii="宋体" w:hAnsi="宋体"/>
          <w:color w:val="auto"/>
          <w:szCs w:val="21"/>
          <w:highlight w:val="none"/>
        </w:rPr>
        <w:t>项目的招标、投标、开标、评标、定标、合同签订等行为（法律、法规另有规定的，从其规定）。</w:t>
      </w:r>
    </w:p>
    <w:p>
      <w:pPr>
        <w:pStyle w:val="9"/>
        <w:spacing w:before="0" w:after="0" w:line="360" w:lineRule="exact"/>
        <w:ind w:left="420" w:leftChars="200"/>
        <w:rPr>
          <w:rFonts w:ascii="宋体" w:hAnsi="宋体"/>
          <w:color w:val="auto"/>
          <w:sz w:val="21"/>
          <w:szCs w:val="21"/>
          <w:highlight w:val="none"/>
        </w:rPr>
      </w:pPr>
      <w:bookmarkStart w:id="79" w:name="_Toc254970669"/>
      <w:bookmarkStart w:id="80" w:name="_Toc254970528"/>
      <w:r>
        <w:rPr>
          <w:rFonts w:hint="eastAsia" w:ascii="宋体" w:hAnsi="宋体"/>
          <w:color w:val="auto"/>
          <w:sz w:val="21"/>
          <w:szCs w:val="21"/>
          <w:highlight w:val="none"/>
        </w:rPr>
        <w:t>2.定义</w:t>
      </w:r>
      <w:bookmarkEnd w:id="79"/>
      <w:bookmarkEnd w:id="80"/>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2.1“采购人”是指依法进行政府采购的国家机关、事业单位、团体组织。</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2.2“采购代理机构”系指广西建设工程机电设备招标中心有限公司。</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2.3“供应商”是指向采购人提供货物、工程或者服务的法人、其他组织或者自然人。</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2.4“投标人”是指响应招标、参加投标竞争的法人、非法人组织或者自然人。</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2.5“货物”是指各种形态和种类的物品，包括原材料、燃料、设备、产品等。</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2.6“配套（售后）服务”是指包含但不限于投标人须承担的备品备件、包装、运输、装卸、保险、货到就位以及安装、调试、培训、保修以及其他类似的义务。</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2.7“书面形式”是指合同书、信件和数据电文（包括电报、电传、传真、电子数据交换和电子邮件）等可以有形地表现所载内容的形式。</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2.8“</w:t>
      </w:r>
      <w:r>
        <w:rPr>
          <w:rFonts w:hint="eastAsia" w:ascii="宋体" w:hAnsi="宋体" w:cs="宋体"/>
          <w:bCs/>
          <w:color w:val="auto"/>
          <w:szCs w:val="21"/>
          <w:highlight w:val="none"/>
        </w:rPr>
        <w:t>★</w:t>
      </w:r>
      <w:r>
        <w:rPr>
          <w:rFonts w:hint="eastAsia" w:ascii="宋体" w:hAnsi="宋体"/>
          <w:color w:val="auto"/>
          <w:szCs w:val="21"/>
          <w:highlight w:val="none"/>
        </w:rPr>
        <w:t>”是指“采购需求”中实质性要求。</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2.9 “正偏离”，是指投标文件对招标文件“采购需求”中有关条款作出优于条款要求并有利于采购人的响应情形；“负偏离”，是指投标文件对招标文件“采购需求”中有关条款作出的响应不满足条款要求导致采购人要求不能得到满足的情形。“满足”是指投标文件对招标文件“采购需求”中有关条款作出无“负偏离”或“正偏离”的情形。</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2.10 “允许负偏离的项目” 是指“采购需求”中不带“</w:t>
      </w:r>
      <w:r>
        <w:rPr>
          <w:rFonts w:hint="eastAsia" w:ascii="宋体" w:hAnsi="宋体" w:cs="宋体"/>
          <w:bCs/>
          <w:color w:val="auto"/>
          <w:szCs w:val="21"/>
          <w:highlight w:val="none"/>
        </w:rPr>
        <w:t>★</w:t>
      </w:r>
      <w:r>
        <w:rPr>
          <w:rFonts w:hint="eastAsia" w:ascii="宋体" w:hAnsi="宋体"/>
          <w:color w:val="auto"/>
          <w:szCs w:val="21"/>
          <w:highlight w:val="none"/>
        </w:rPr>
        <w:t>”的项目条款。</w:t>
      </w:r>
    </w:p>
    <w:p>
      <w:pPr>
        <w:snapToGrid w:val="0"/>
        <w:spacing w:line="360" w:lineRule="exact"/>
        <w:ind w:firstLine="396" w:firstLineChars="200"/>
        <w:jc w:val="left"/>
        <w:rPr>
          <w:rFonts w:ascii="宋体" w:hAnsi="宋体"/>
          <w:color w:val="auto"/>
          <w:spacing w:val="-6"/>
          <w:szCs w:val="21"/>
          <w:highlight w:val="none"/>
        </w:rPr>
      </w:pPr>
      <w:r>
        <w:rPr>
          <w:rFonts w:hint="eastAsia" w:ascii="宋体" w:hAnsi="宋体"/>
          <w:color w:val="auto"/>
          <w:spacing w:val="-6"/>
          <w:szCs w:val="21"/>
          <w:highlight w:val="none"/>
        </w:rPr>
        <w:t>2.11投标文件对招标文件中的实质性条款应当作出无偏离或正偏离响应，实质性条款不允许负偏离。</w:t>
      </w:r>
    </w:p>
    <w:p>
      <w:pPr>
        <w:snapToGrid w:val="0"/>
        <w:spacing w:line="360" w:lineRule="exact"/>
        <w:ind w:firstLine="420" w:firstLineChars="200"/>
        <w:jc w:val="left"/>
        <w:rPr>
          <w:rFonts w:ascii="宋体" w:hAnsi="宋体"/>
          <w:color w:val="auto"/>
          <w:szCs w:val="21"/>
          <w:highlight w:val="none"/>
        </w:rPr>
      </w:pPr>
      <w:bookmarkStart w:id="81" w:name="_Toc254970670"/>
      <w:bookmarkStart w:id="82" w:name="_Toc254970529"/>
      <w:r>
        <w:rPr>
          <w:rFonts w:hint="eastAsia" w:ascii="宋体" w:hAnsi="宋体"/>
          <w:color w:val="auto"/>
          <w:szCs w:val="21"/>
          <w:highlight w:val="none"/>
        </w:rPr>
        <w:t>2.12技术参数或配置缺项漏项的，或商务条款未承诺的视同为该项负偏离。</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3.招标方式</w:t>
      </w:r>
      <w:bookmarkEnd w:id="81"/>
      <w:bookmarkEnd w:id="82"/>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公开招标方式。</w:t>
      </w:r>
    </w:p>
    <w:p>
      <w:pPr>
        <w:pStyle w:val="9"/>
        <w:spacing w:before="0" w:after="0" w:line="360" w:lineRule="exact"/>
        <w:ind w:left="420" w:leftChars="200"/>
        <w:rPr>
          <w:rFonts w:ascii="宋体" w:hAnsi="宋体"/>
          <w:color w:val="auto"/>
          <w:sz w:val="21"/>
          <w:szCs w:val="21"/>
          <w:highlight w:val="none"/>
        </w:rPr>
      </w:pPr>
      <w:bookmarkStart w:id="83" w:name="_Toc254970530"/>
      <w:bookmarkStart w:id="84" w:name="_Toc254970671"/>
      <w:r>
        <w:rPr>
          <w:rFonts w:hint="eastAsia" w:ascii="宋体" w:hAnsi="宋体"/>
          <w:color w:val="auto"/>
          <w:sz w:val="21"/>
          <w:szCs w:val="21"/>
          <w:highlight w:val="none"/>
        </w:rPr>
        <w:t>4.投标委托</w:t>
      </w:r>
      <w:bookmarkEnd w:id="83"/>
      <w:bookmarkEnd w:id="84"/>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人代表须携带个人有效身份证件。如投标人代表不是法定代表人（负责人或自然人本人），须有法定代表人（负责人或自然人本人）出具的授权委托书（正本用原件，副本用复印件，按第六章要求格式填写）。</w:t>
      </w:r>
    </w:p>
    <w:p>
      <w:pPr>
        <w:pStyle w:val="9"/>
        <w:spacing w:before="0" w:after="0" w:line="360" w:lineRule="exact"/>
        <w:ind w:left="420" w:leftChars="200"/>
        <w:rPr>
          <w:rFonts w:ascii="宋体" w:hAnsi="宋体"/>
          <w:color w:val="auto"/>
          <w:sz w:val="21"/>
          <w:szCs w:val="21"/>
          <w:highlight w:val="none"/>
        </w:rPr>
      </w:pPr>
      <w:bookmarkStart w:id="85" w:name="_5.投标费用"/>
      <w:bookmarkEnd w:id="85"/>
      <w:bookmarkStart w:id="86" w:name="_Toc254970672"/>
      <w:bookmarkStart w:id="87" w:name="_Toc254970531"/>
      <w:r>
        <w:rPr>
          <w:rFonts w:hint="eastAsia" w:ascii="宋体" w:hAnsi="宋体"/>
          <w:color w:val="auto"/>
          <w:sz w:val="21"/>
          <w:szCs w:val="21"/>
          <w:highlight w:val="none"/>
        </w:rPr>
        <w:t>5.投标费用</w:t>
      </w:r>
      <w:bookmarkEnd w:id="86"/>
      <w:bookmarkEnd w:id="87"/>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投标费用具体定义见“投标人须知前附表”。</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6.联合体投标</w:t>
      </w:r>
    </w:p>
    <w:p>
      <w:pPr>
        <w:snapToGrid w:val="0"/>
        <w:spacing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6.1本项目是否接受联合体投标，详见“投标人须知前附表”。</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6.2联合体投标要求:</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（1）两个以上的自然人、法人或者其他组织可以组成一个联合体，以一个投标人的身份共同参加投标。</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以联合体形式参加投标的，联合体各方均应当具备《中华人民共和国政府采购法》第二十二条规定的条件。本项目有特殊要求规定投标人特定条件的，联合体各方中至少应当有一方符合招标文件规定的特定条件。</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3）联合体各方之间应当签订联合投标协议，协议书应当明确主体方（或牵头方）并明确约定联合体各方承担的工作和相应的责任（各方承担责任与义务的分工应当符合采购需求，涉及行政许可范围的内容应由具有相应资质的成员承担；否则，联合体投标无效），并将联合投标协议连同投标文件一并提交采购代理机构。联合体各方应当共同与采购人签订采购合同，就采购合同约定的事项对采购人承担连带责任。</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（4）以联合体形式参加政府采购活动的，联合体各方不得再单独参加或者与其他供应商另外组成联合体参加同一合同项下的政府采购活动。</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（5）联合体中有同类资质的供应商按照联合体分工承担相同工作的，应当按照资质等级较低的供应商确定资质等级。</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（6）联合体投标业绩、履约能力计算，按照联合体其中较高的一方认定并计算。</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（7）联合体投标的，须提供《联合体投标协议》（格式后附）。</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（8）供应商为联合体的，可以由联合体中的一方或者多方共同按规定交纳保证金，其交纳的保证金对联合体各方均具有约束力。</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（9）联合体各方均应按照招标文件的规定分别提交资格证明文件。</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 xml:space="preserve"> 6.3根据《政府采购促进中小企业发展暂行办法》第六条规定，“鼓励大中型企业和其他自然人、法人或者其他组织与小型、微型企业组成联合体共同参加非专门面向中小企业的政府采购活动。联合协议中约定，小型、微型企业的协议合同金额占到联合体协议合同总金额30%以上的，可给予联合体2%-3%的价格扣除。联合体各方均为小型、微型企业的，联合体视同为小型、微型企业享受本办法第四条、第五条规定的扶持政策。组成联合体的大中型企业和其他自然人、法人或者其他组织，与小型、微型企业之间不得存在投资关系。”</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 xml:space="preserve">7.转包与分包             </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7.1本项目不允许转包。</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7.2本项目是否允许分包详见“投标人须知前附表”。</w:t>
      </w:r>
    </w:p>
    <w:p>
      <w:pPr>
        <w:pStyle w:val="9"/>
        <w:spacing w:before="0" w:after="0" w:line="360" w:lineRule="exact"/>
        <w:ind w:left="420" w:leftChars="200"/>
        <w:rPr>
          <w:rFonts w:ascii="微软雅黑" w:hAnsi="微软雅黑" w:eastAsia="微软雅黑"/>
          <w:color w:val="auto"/>
          <w:sz w:val="24"/>
          <w:highlight w:val="none"/>
        </w:rPr>
      </w:pPr>
      <w:bookmarkStart w:id="88" w:name="_Toc254970673"/>
      <w:bookmarkStart w:id="89" w:name="_Toc254970532"/>
      <w:r>
        <w:rPr>
          <w:rFonts w:hint="eastAsia" w:ascii="微软雅黑" w:hAnsi="微软雅黑" w:eastAsia="微软雅黑"/>
          <w:color w:val="auto"/>
          <w:sz w:val="24"/>
          <w:highlight w:val="none"/>
        </w:rPr>
        <w:t>8.特别说明：</w:t>
      </w:r>
      <w:bookmarkEnd w:id="88"/>
      <w:bookmarkEnd w:id="89"/>
    </w:p>
    <w:p>
      <w:pPr>
        <w:spacing w:line="360" w:lineRule="exact"/>
        <w:ind w:firstLine="420" w:firstLineChars="200"/>
        <w:rPr>
          <w:rFonts w:ascii="宋体" w:hAnsi="宋体"/>
          <w:bCs/>
          <w:color w:val="auto"/>
          <w:szCs w:val="21"/>
          <w:highlight w:val="none"/>
        </w:rPr>
      </w:pPr>
      <w:bookmarkStart w:id="90" w:name="_8.1提供相同品牌产品且通过资格审查、符合性审查的不同投标人参加同一合"/>
      <w:bookmarkEnd w:id="90"/>
      <w:r>
        <w:rPr>
          <w:rFonts w:hint="eastAsia" w:ascii="宋体" w:hAnsi="宋体"/>
          <w:bCs/>
          <w:color w:val="auto"/>
          <w:szCs w:val="21"/>
          <w:highlight w:val="none"/>
        </w:rPr>
        <w:t>8.1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非单一产品采购项目，多家投标人提供的核心产品品牌相同的，按前款规定处理。</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8.2投标人投标所使用的资格、信誉、荣誉、业绩与企业认证必须为投标人所拥有。</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8.3投标人应仔细阅读招标文件的所有内容，按照招标文件的要求提交投标文件，并对所提供的全部资料的真实性承担法律责任。</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8.4投标人在投标活动中提供任何虚假材料,其投标无效，并报监管部门查处；中标后发现的,中标人须依照《中华人民共和国消费者权益保护法》规定赔偿采购人，且民事赔偿并不免除违法投标人的行政与刑事责任。</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8.5</w:t>
      </w:r>
      <w:r>
        <w:rPr>
          <w:rFonts w:ascii="宋体" w:hAnsi="宋体"/>
          <w:bCs/>
          <w:color w:val="auto"/>
          <w:szCs w:val="21"/>
          <w:highlight w:val="none"/>
        </w:rPr>
        <w:t>在政府采购活动中，采购人员及相关人员与</w:t>
      </w:r>
      <w:r>
        <w:rPr>
          <w:rFonts w:hint="eastAsia" w:ascii="宋体" w:hAnsi="宋体"/>
          <w:bCs/>
          <w:color w:val="auto"/>
          <w:szCs w:val="21"/>
          <w:highlight w:val="none"/>
        </w:rPr>
        <w:t>投标人</w:t>
      </w:r>
      <w:r>
        <w:rPr>
          <w:rFonts w:ascii="宋体" w:hAnsi="宋体"/>
          <w:bCs/>
          <w:color w:val="auto"/>
          <w:szCs w:val="21"/>
          <w:highlight w:val="none"/>
        </w:rPr>
        <w:t>有下列利害关系之一的，应当回避：</w:t>
      </w:r>
    </w:p>
    <w:p>
      <w:pPr>
        <w:spacing w:line="360" w:lineRule="exact"/>
        <w:ind w:firstLine="420" w:firstLineChars="200"/>
        <w:rPr>
          <w:rFonts w:ascii="宋体" w:hAnsi="宋体"/>
          <w:bCs/>
          <w:color w:val="auto"/>
          <w:szCs w:val="21"/>
          <w:highlight w:val="none"/>
        </w:rPr>
      </w:pPr>
      <w:r>
        <w:rPr>
          <w:rFonts w:ascii="宋体" w:hAnsi="宋体"/>
          <w:bCs/>
          <w:color w:val="auto"/>
          <w:szCs w:val="21"/>
          <w:highlight w:val="none"/>
        </w:rPr>
        <w:t>（</w:t>
      </w:r>
      <w:r>
        <w:rPr>
          <w:rFonts w:hint="eastAsia" w:ascii="宋体" w:hAnsi="宋体"/>
          <w:bCs/>
          <w:color w:val="auto"/>
          <w:szCs w:val="21"/>
          <w:highlight w:val="none"/>
        </w:rPr>
        <w:t>1</w:t>
      </w:r>
      <w:r>
        <w:rPr>
          <w:rFonts w:ascii="宋体" w:hAnsi="宋体"/>
          <w:bCs/>
          <w:color w:val="auto"/>
          <w:szCs w:val="21"/>
          <w:highlight w:val="none"/>
        </w:rPr>
        <w:t>）参加采购活动前3年内与</w:t>
      </w:r>
      <w:r>
        <w:rPr>
          <w:rFonts w:hint="eastAsia" w:ascii="宋体" w:hAnsi="宋体"/>
          <w:bCs/>
          <w:color w:val="auto"/>
          <w:szCs w:val="21"/>
          <w:highlight w:val="none"/>
        </w:rPr>
        <w:t>投标人</w:t>
      </w:r>
      <w:r>
        <w:rPr>
          <w:rFonts w:ascii="宋体" w:hAnsi="宋体"/>
          <w:bCs/>
          <w:color w:val="auto"/>
          <w:szCs w:val="21"/>
          <w:highlight w:val="none"/>
        </w:rPr>
        <w:t>存在劳动关系；</w:t>
      </w:r>
    </w:p>
    <w:p>
      <w:pPr>
        <w:spacing w:line="360" w:lineRule="exact"/>
        <w:ind w:firstLine="420" w:firstLineChars="200"/>
        <w:rPr>
          <w:rFonts w:ascii="宋体" w:hAnsi="宋体"/>
          <w:bCs/>
          <w:color w:val="auto"/>
          <w:szCs w:val="21"/>
          <w:highlight w:val="none"/>
        </w:rPr>
      </w:pPr>
      <w:r>
        <w:rPr>
          <w:rFonts w:ascii="宋体" w:hAnsi="宋体"/>
          <w:bCs/>
          <w:color w:val="auto"/>
          <w:szCs w:val="21"/>
          <w:highlight w:val="none"/>
        </w:rPr>
        <w:t>（</w:t>
      </w:r>
      <w:r>
        <w:rPr>
          <w:rFonts w:hint="eastAsia" w:ascii="宋体" w:hAnsi="宋体"/>
          <w:bCs/>
          <w:color w:val="auto"/>
          <w:szCs w:val="21"/>
          <w:highlight w:val="none"/>
        </w:rPr>
        <w:t>2</w:t>
      </w:r>
      <w:r>
        <w:rPr>
          <w:rFonts w:ascii="宋体" w:hAnsi="宋体"/>
          <w:bCs/>
          <w:color w:val="auto"/>
          <w:szCs w:val="21"/>
          <w:highlight w:val="none"/>
        </w:rPr>
        <w:t>）参加采购活动前3年内担任</w:t>
      </w:r>
      <w:r>
        <w:rPr>
          <w:rFonts w:hint="eastAsia" w:ascii="宋体" w:hAnsi="宋体"/>
          <w:bCs/>
          <w:color w:val="auto"/>
          <w:szCs w:val="21"/>
          <w:highlight w:val="none"/>
        </w:rPr>
        <w:t>投标人</w:t>
      </w:r>
      <w:r>
        <w:rPr>
          <w:rFonts w:ascii="宋体" w:hAnsi="宋体"/>
          <w:bCs/>
          <w:color w:val="auto"/>
          <w:szCs w:val="21"/>
          <w:highlight w:val="none"/>
        </w:rPr>
        <w:t>的董事、监事；</w:t>
      </w:r>
    </w:p>
    <w:p>
      <w:pPr>
        <w:spacing w:line="360" w:lineRule="exact"/>
        <w:ind w:firstLine="420" w:firstLineChars="200"/>
        <w:rPr>
          <w:rFonts w:ascii="宋体" w:hAnsi="宋体"/>
          <w:bCs/>
          <w:color w:val="auto"/>
          <w:szCs w:val="21"/>
          <w:highlight w:val="none"/>
        </w:rPr>
      </w:pPr>
      <w:r>
        <w:rPr>
          <w:rFonts w:ascii="宋体" w:hAnsi="宋体"/>
          <w:bCs/>
          <w:color w:val="auto"/>
          <w:szCs w:val="21"/>
          <w:highlight w:val="none"/>
        </w:rPr>
        <w:t>（</w:t>
      </w:r>
      <w:r>
        <w:rPr>
          <w:rFonts w:hint="eastAsia" w:ascii="宋体" w:hAnsi="宋体"/>
          <w:bCs/>
          <w:color w:val="auto"/>
          <w:szCs w:val="21"/>
          <w:highlight w:val="none"/>
        </w:rPr>
        <w:t>3</w:t>
      </w:r>
      <w:r>
        <w:rPr>
          <w:rFonts w:ascii="宋体" w:hAnsi="宋体"/>
          <w:bCs/>
          <w:color w:val="auto"/>
          <w:szCs w:val="21"/>
          <w:highlight w:val="none"/>
        </w:rPr>
        <w:t>）参加采购活动前3年内是</w:t>
      </w:r>
      <w:r>
        <w:rPr>
          <w:rFonts w:hint="eastAsia" w:ascii="宋体" w:hAnsi="宋体"/>
          <w:bCs/>
          <w:color w:val="auto"/>
          <w:szCs w:val="21"/>
          <w:highlight w:val="none"/>
        </w:rPr>
        <w:t>投标人</w:t>
      </w:r>
      <w:r>
        <w:rPr>
          <w:rFonts w:ascii="宋体" w:hAnsi="宋体"/>
          <w:bCs/>
          <w:color w:val="auto"/>
          <w:szCs w:val="21"/>
          <w:highlight w:val="none"/>
        </w:rPr>
        <w:t>的控股股东或者实际控制人；</w:t>
      </w:r>
    </w:p>
    <w:p>
      <w:pPr>
        <w:spacing w:line="360" w:lineRule="exact"/>
        <w:ind w:firstLine="420" w:firstLineChars="200"/>
        <w:rPr>
          <w:rFonts w:ascii="宋体" w:hAnsi="宋体"/>
          <w:bCs/>
          <w:color w:val="auto"/>
          <w:szCs w:val="21"/>
          <w:highlight w:val="none"/>
        </w:rPr>
      </w:pPr>
      <w:r>
        <w:rPr>
          <w:rFonts w:ascii="宋体" w:hAnsi="宋体"/>
          <w:bCs/>
          <w:color w:val="auto"/>
          <w:szCs w:val="21"/>
          <w:highlight w:val="none"/>
        </w:rPr>
        <w:t>（</w:t>
      </w:r>
      <w:r>
        <w:rPr>
          <w:rFonts w:hint="eastAsia" w:ascii="宋体" w:hAnsi="宋体"/>
          <w:bCs/>
          <w:color w:val="auto"/>
          <w:szCs w:val="21"/>
          <w:highlight w:val="none"/>
        </w:rPr>
        <w:t>4</w:t>
      </w:r>
      <w:r>
        <w:rPr>
          <w:rFonts w:ascii="宋体" w:hAnsi="宋体"/>
          <w:bCs/>
          <w:color w:val="auto"/>
          <w:szCs w:val="21"/>
          <w:highlight w:val="none"/>
        </w:rPr>
        <w:t>）与</w:t>
      </w:r>
      <w:r>
        <w:rPr>
          <w:rFonts w:hint="eastAsia" w:ascii="宋体" w:hAnsi="宋体"/>
          <w:bCs/>
          <w:color w:val="auto"/>
          <w:szCs w:val="21"/>
          <w:highlight w:val="none"/>
        </w:rPr>
        <w:t>投标人</w:t>
      </w:r>
      <w:r>
        <w:rPr>
          <w:rFonts w:ascii="宋体" w:hAnsi="宋体"/>
          <w:bCs/>
          <w:color w:val="auto"/>
          <w:szCs w:val="21"/>
          <w:highlight w:val="none"/>
        </w:rPr>
        <w:t>的法定代表人（负责人或自然人）或者负责人有夫妻、直系血亲、三代以内旁系血亲或者近姻亲关系；</w:t>
      </w:r>
    </w:p>
    <w:p>
      <w:pPr>
        <w:spacing w:line="360" w:lineRule="exact"/>
        <w:ind w:firstLine="420" w:firstLineChars="200"/>
        <w:rPr>
          <w:rFonts w:ascii="宋体" w:hAnsi="宋体"/>
          <w:bCs/>
          <w:color w:val="auto"/>
          <w:szCs w:val="21"/>
          <w:highlight w:val="none"/>
        </w:rPr>
      </w:pPr>
      <w:r>
        <w:rPr>
          <w:rFonts w:ascii="宋体" w:hAnsi="宋体"/>
          <w:bCs/>
          <w:color w:val="auto"/>
          <w:szCs w:val="21"/>
          <w:highlight w:val="none"/>
        </w:rPr>
        <w:t>（</w:t>
      </w:r>
      <w:r>
        <w:rPr>
          <w:rFonts w:hint="eastAsia" w:ascii="宋体" w:hAnsi="宋体"/>
          <w:bCs/>
          <w:color w:val="auto"/>
          <w:szCs w:val="21"/>
          <w:highlight w:val="none"/>
        </w:rPr>
        <w:t>5</w:t>
      </w:r>
      <w:r>
        <w:rPr>
          <w:rFonts w:ascii="宋体" w:hAnsi="宋体"/>
          <w:bCs/>
          <w:color w:val="auto"/>
          <w:szCs w:val="21"/>
          <w:highlight w:val="none"/>
        </w:rPr>
        <w:t>）与</w:t>
      </w:r>
      <w:r>
        <w:rPr>
          <w:rFonts w:hint="eastAsia" w:ascii="宋体" w:hAnsi="宋体"/>
          <w:bCs/>
          <w:color w:val="auto"/>
          <w:szCs w:val="21"/>
          <w:highlight w:val="none"/>
        </w:rPr>
        <w:t>投标人</w:t>
      </w:r>
      <w:r>
        <w:rPr>
          <w:rFonts w:ascii="宋体" w:hAnsi="宋体"/>
          <w:bCs/>
          <w:color w:val="auto"/>
          <w:szCs w:val="21"/>
          <w:highlight w:val="none"/>
        </w:rPr>
        <w:t>有其他可能影响政府采购活动公平、公正进行的关系。</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投标人</w:t>
      </w:r>
      <w:r>
        <w:rPr>
          <w:rFonts w:ascii="宋体" w:hAnsi="宋体"/>
          <w:bCs/>
          <w:color w:val="auto"/>
          <w:szCs w:val="21"/>
          <w:highlight w:val="none"/>
        </w:rPr>
        <w:t>认为采购人员及相关人员与其他</w:t>
      </w:r>
      <w:r>
        <w:rPr>
          <w:rFonts w:hint="eastAsia" w:ascii="宋体" w:hAnsi="宋体"/>
          <w:bCs/>
          <w:color w:val="auto"/>
          <w:szCs w:val="21"/>
          <w:highlight w:val="none"/>
        </w:rPr>
        <w:t>投标人</w:t>
      </w:r>
      <w:r>
        <w:rPr>
          <w:rFonts w:ascii="宋体" w:hAnsi="宋体"/>
          <w:bCs/>
          <w:color w:val="auto"/>
          <w:szCs w:val="21"/>
          <w:highlight w:val="none"/>
        </w:rPr>
        <w:t>有利害关系的，可以向采购人或者采购代理机构书面提出回避申请，并说明理由。采购人或者采购代理机构应当及时询问被申请回避人员，有利害关系的被申请回避人员应当回避。</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8.6有下列情形之一的视为投标人相互串通投标，投标文件将被视为无效：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（1）不同投标人的投标文件由同一单位或者个人编制；或不同投标人报名的IP地址一致的；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（2）不同投标人委托同一单位或者个人办理投标事宜；</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（3）不同的投标人的投标文件载明的项目管理员为同一个人；</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（4）不同投标人的投标文件异常一致或投标报价呈规律性差异；</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（5）不同投标人的投标文件相互混装；</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（6）不同投标人的投标保证金从同一单位或者个人账户转出。</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8.7供应商有下列情形之一的，属于恶意串通行为：</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（1）供应商直接或者间接从采购人或者采购代理机构处获得其他供应商的相关信息并修改其投标文件或者响应文件：</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（2）供应商按照采购人或者采购代理机构的授意撤换、修改投标文件或者响应文件；</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（3）供应商之间协商报价、技术方案等投标文件或者响应文件的实质性内容；</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（4）属于同一集团、协会、商会等组织成员的供应商按照该组织要求协同参加政府采购活动；</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（5）供应商之间事先约定一致抬高或者压低投标报价,或者在招标项目中事先约定轮流以高价位或者低价位中标,或者事先约定由某一特定供应商中标,然后再参加投标；</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（6）供应商之间商定部分供应商放弃参加政府采购活动或者放弃中标；</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（7）供应商与采购人或者采购代理机构之间、供应商相互之间，为谋求特定供应商中标或者排斥其他供应商的其他串通行为。</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8.8关联供应商不得参加同一合同项下政府采购活动，否则投标文件将被视为无效：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（1）单位负责人为同一人或者存在直接控股、管理关系的不同的供应商，不得参加同一合同项下的政府采购活动；</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（2）生产厂商授权给供应商后自己不得参加同一合同项下的政府采购活动；生产厂商对同一品牌同一型号的货物，仅能委托一个代理商参加投标。</w:t>
      </w:r>
    </w:p>
    <w:p>
      <w:pPr>
        <w:pStyle w:val="25"/>
        <w:snapToGrid w:val="0"/>
        <w:spacing w:line="360" w:lineRule="exact"/>
        <w:ind w:left="2" w:leftChars="1" w:firstLine="420" w:firstLineChars="200"/>
        <w:rPr>
          <w:rFonts w:hAnsi="宋体"/>
          <w:color w:val="auto"/>
          <w:sz w:val="21"/>
          <w:highlight w:val="none"/>
        </w:rPr>
      </w:pPr>
    </w:p>
    <w:p>
      <w:pPr>
        <w:pStyle w:val="9"/>
        <w:spacing w:before="0" w:after="0" w:line="360" w:lineRule="exact"/>
        <w:ind w:left="420" w:leftChars="200"/>
        <w:rPr>
          <w:rFonts w:ascii="宋体" w:hAnsi="宋体"/>
          <w:color w:val="auto"/>
          <w:sz w:val="21"/>
          <w:szCs w:val="21"/>
          <w:highlight w:val="none"/>
        </w:rPr>
      </w:pPr>
      <w:bookmarkStart w:id="91" w:name="_Toc254970674"/>
      <w:bookmarkStart w:id="92" w:name="_Toc254970533"/>
      <w:r>
        <w:rPr>
          <w:rFonts w:hint="eastAsia" w:ascii="宋体" w:hAnsi="宋体"/>
          <w:color w:val="auto"/>
          <w:sz w:val="21"/>
          <w:szCs w:val="21"/>
          <w:highlight w:val="none"/>
        </w:rPr>
        <w:t>9.质疑和投诉</w:t>
      </w:r>
      <w:bookmarkEnd w:id="91"/>
      <w:bookmarkEnd w:id="92"/>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9.1投标人认为招标文件、采购过程或中标结果使自己的合法权益受到损害的，应当在知道或者应知其权益受到损害之日起七个工作日内，以书面形式向采购人、采购代理机构提出质疑。权益受到损害之日是指： </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1</w:t>
      </w:r>
      <w:r>
        <w:rPr>
          <w:rFonts w:ascii="宋体" w:hAnsi="宋体"/>
          <w:color w:val="auto"/>
          <w:highlight w:val="none"/>
        </w:rPr>
        <w:t>）对可以质疑的</w:t>
      </w:r>
      <w:r>
        <w:rPr>
          <w:rFonts w:hint="eastAsia" w:ascii="宋体" w:hAnsi="宋体"/>
          <w:color w:val="auto"/>
          <w:highlight w:val="none"/>
        </w:rPr>
        <w:t>招标</w:t>
      </w:r>
      <w:r>
        <w:rPr>
          <w:rFonts w:ascii="宋体" w:hAnsi="宋体"/>
          <w:color w:val="auto"/>
          <w:highlight w:val="none"/>
        </w:rPr>
        <w:t>文件提出质疑的，为</w:t>
      </w:r>
      <w:r>
        <w:rPr>
          <w:rFonts w:hint="eastAsia" w:ascii="宋体" w:hAnsi="宋体"/>
          <w:color w:val="auto"/>
          <w:highlight w:val="none"/>
        </w:rPr>
        <w:t>招标文件公告期限届满之日</w:t>
      </w:r>
      <w:r>
        <w:rPr>
          <w:rFonts w:ascii="宋体" w:hAnsi="宋体"/>
          <w:color w:val="auto"/>
          <w:highlight w:val="none"/>
        </w:rPr>
        <w:t>；</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2</w:t>
      </w:r>
      <w:r>
        <w:rPr>
          <w:rFonts w:ascii="宋体" w:hAnsi="宋体"/>
          <w:color w:val="auto"/>
          <w:highlight w:val="none"/>
        </w:rPr>
        <w:t>）对</w:t>
      </w:r>
      <w:r>
        <w:rPr>
          <w:rFonts w:hint="eastAsia" w:ascii="宋体" w:hAnsi="宋体"/>
          <w:color w:val="auto"/>
          <w:highlight w:val="none"/>
        </w:rPr>
        <w:t>采购</w:t>
      </w:r>
      <w:r>
        <w:rPr>
          <w:rFonts w:ascii="宋体" w:hAnsi="宋体"/>
          <w:color w:val="auto"/>
          <w:highlight w:val="none"/>
        </w:rPr>
        <w:t>过程提出质疑的，为各采购程序环节结束之日；</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3</w:t>
      </w:r>
      <w:r>
        <w:rPr>
          <w:rFonts w:ascii="宋体" w:hAnsi="宋体"/>
          <w:color w:val="auto"/>
          <w:highlight w:val="none"/>
        </w:rPr>
        <w:t>）对中标结果提出质疑的，为中标结果公告期限届满之日。</w:t>
      </w:r>
    </w:p>
    <w:p>
      <w:pPr>
        <w:spacing w:line="360" w:lineRule="exact"/>
        <w:ind w:firstLine="420" w:firstLineChars="200"/>
        <w:rPr>
          <w:rFonts w:ascii="宋体" w:hAnsi="宋体"/>
          <w:color w:val="auto"/>
          <w:highlight w:val="none"/>
        </w:rPr>
      </w:pPr>
      <w:r>
        <w:rPr>
          <w:rFonts w:hint="eastAsia" w:ascii="宋体" w:hAnsi="宋体"/>
          <w:color w:val="auto"/>
          <w:highlight w:val="none"/>
        </w:rPr>
        <w:t>投标人对采购人、采购代理机构的质疑答复不满意，或者采购人、采购代理机构未在规定时间内作出答复的，可以在答复期满后十五个工作日内向同级政府采购监管部门投诉。</w:t>
      </w:r>
    </w:p>
    <w:p>
      <w:pPr>
        <w:spacing w:line="360" w:lineRule="exact"/>
        <w:ind w:firstLine="420" w:firstLineChars="200"/>
        <w:rPr>
          <w:rFonts w:ascii="宋体" w:hAnsi="宋体"/>
          <w:color w:val="auto"/>
          <w:highlight w:val="none"/>
        </w:rPr>
      </w:pPr>
      <w:bookmarkStart w:id="93" w:name="_9.2质疑、投诉应当采用书面形式，质疑函、投诉书均应明确阐述招标文件、"/>
      <w:bookmarkEnd w:id="93"/>
      <w:r>
        <w:rPr>
          <w:rFonts w:hint="eastAsia" w:ascii="宋体" w:hAnsi="宋体"/>
          <w:color w:val="auto"/>
          <w:highlight w:val="none"/>
        </w:rPr>
        <w:t xml:space="preserve"> 9.2质疑、投诉应当采用书面形式，质疑函、投诉书均应明确阐述招标文件、采购过程或中标结果中使自己合法权益受到损害的实质性内容，提供相关事实、法律依据和证据及其来源或线索，便于有关单位调查、答复和处理。</w:t>
      </w:r>
    </w:p>
    <w:p>
      <w:pPr>
        <w:spacing w:line="360" w:lineRule="exact"/>
        <w:ind w:firstLine="420" w:firstLineChars="200"/>
        <w:rPr>
          <w:rFonts w:ascii="宋体" w:hAnsi="宋体"/>
          <w:color w:val="auto"/>
          <w:highlight w:val="none"/>
        </w:rPr>
      </w:pPr>
      <w:r>
        <w:rPr>
          <w:rFonts w:ascii="宋体" w:hAnsi="宋体"/>
          <w:color w:val="auto"/>
          <w:highlight w:val="none"/>
        </w:rPr>
        <w:t>供应商提出质疑应当提交质疑函和必要的证明材料</w:t>
      </w:r>
      <w:r>
        <w:rPr>
          <w:rFonts w:hint="eastAsia" w:ascii="宋体" w:hAnsi="宋体"/>
          <w:color w:val="auto"/>
          <w:highlight w:val="none"/>
        </w:rPr>
        <w:t>，</w:t>
      </w:r>
      <w:r>
        <w:rPr>
          <w:rFonts w:ascii="宋体" w:hAnsi="宋体"/>
          <w:color w:val="auto"/>
          <w:highlight w:val="none"/>
        </w:rPr>
        <w:t>针对同一采购程序环节的质疑</w:t>
      </w:r>
      <w:r>
        <w:rPr>
          <w:rFonts w:hint="eastAsia" w:ascii="宋体" w:hAnsi="宋体"/>
          <w:color w:val="auto"/>
          <w:highlight w:val="none"/>
        </w:rPr>
        <w:t>必须</w:t>
      </w:r>
      <w:r>
        <w:rPr>
          <w:rFonts w:ascii="宋体" w:hAnsi="宋体"/>
          <w:color w:val="auto"/>
          <w:highlight w:val="none"/>
        </w:rPr>
        <w:t>在法定质疑期内一次性提出。质疑函应当包括下列内容：</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1</w:t>
      </w:r>
      <w:r>
        <w:rPr>
          <w:rFonts w:ascii="宋体" w:hAnsi="宋体"/>
          <w:color w:val="auto"/>
          <w:highlight w:val="none"/>
        </w:rPr>
        <w:t>）供应商的姓名或者名称、地址、邮编、联系人及联系电话；</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2</w:t>
      </w:r>
      <w:r>
        <w:rPr>
          <w:rFonts w:ascii="宋体" w:hAnsi="宋体"/>
          <w:color w:val="auto"/>
          <w:highlight w:val="none"/>
        </w:rPr>
        <w:t>）质疑项目的名称、编号；</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3</w:t>
      </w:r>
      <w:r>
        <w:rPr>
          <w:rFonts w:ascii="宋体" w:hAnsi="宋体"/>
          <w:color w:val="auto"/>
          <w:highlight w:val="none"/>
        </w:rPr>
        <w:t>）具体、明确的质疑事项和与质疑事项相关的请求；</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4</w:t>
      </w:r>
      <w:r>
        <w:rPr>
          <w:rFonts w:ascii="宋体" w:hAnsi="宋体"/>
          <w:color w:val="auto"/>
          <w:highlight w:val="none"/>
        </w:rPr>
        <w:t>）事实依据；</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5</w:t>
      </w:r>
      <w:r>
        <w:rPr>
          <w:rFonts w:ascii="宋体" w:hAnsi="宋体"/>
          <w:color w:val="auto"/>
          <w:highlight w:val="none"/>
        </w:rPr>
        <w:t>）必要的法律依据；</w:t>
      </w:r>
    </w:p>
    <w:p>
      <w:pPr>
        <w:spacing w:line="360" w:lineRule="exact"/>
        <w:ind w:firstLine="420" w:firstLineChars="200"/>
        <w:rPr>
          <w:rFonts w:ascii="宋体" w:hAnsi="宋体"/>
          <w:color w:val="auto"/>
          <w:highlight w:val="none"/>
        </w:rPr>
      </w:pPr>
      <w:r>
        <w:rPr>
          <w:rFonts w:ascii="宋体" w:hAnsi="宋体"/>
          <w:color w:val="auto"/>
          <w:highlight w:val="none"/>
        </w:rPr>
        <w:t>（</w:t>
      </w:r>
      <w:r>
        <w:rPr>
          <w:rFonts w:hint="eastAsia" w:ascii="宋体" w:hAnsi="宋体"/>
          <w:color w:val="auto"/>
          <w:highlight w:val="none"/>
        </w:rPr>
        <w:t>6</w:t>
      </w:r>
      <w:r>
        <w:rPr>
          <w:rFonts w:ascii="宋体" w:hAnsi="宋体"/>
          <w:color w:val="auto"/>
          <w:highlight w:val="none"/>
        </w:rPr>
        <w:t>）提出质疑的日期。</w:t>
      </w:r>
    </w:p>
    <w:p>
      <w:pPr>
        <w:spacing w:line="360" w:lineRule="exact"/>
        <w:ind w:firstLine="420" w:firstLineChars="200"/>
        <w:rPr>
          <w:rFonts w:ascii="宋体" w:hAnsi="宋体"/>
          <w:color w:val="auto"/>
          <w:highlight w:val="none"/>
        </w:rPr>
      </w:pPr>
      <w:r>
        <w:rPr>
          <w:rFonts w:ascii="宋体" w:hAnsi="宋体"/>
          <w:color w:val="auto"/>
          <w:highlight w:val="none"/>
        </w:rPr>
        <w:t>供应商为自然人的，应当由本人签字；供应商为法人或者其他组织的，应当由法定代表人（负责人或自然人）、主要负责人，或者其委托代理人签字或者盖章，并加盖公章</w:t>
      </w:r>
    </w:p>
    <w:p>
      <w:pPr>
        <w:spacing w:line="360" w:lineRule="exact"/>
        <w:ind w:firstLine="420" w:firstLineChars="200"/>
        <w:rPr>
          <w:rFonts w:ascii="宋体" w:hAnsi="宋体"/>
          <w:color w:val="auto"/>
          <w:highlight w:val="none"/>
        </w:rPr>
      </w:pPr>
      <w:r>
        <w:rPr>
          <w:rFonts w:hint="eastAsia" w:ascii="宋体" w:hAnsi="宋体"/>
          <w:color w:val="auto"/>
          <w:highlight w:val="none"/>
        </w:rPr>
        <w:t>9.3投诉的权利。质疑供应商对采购人、采购代理机构的答复不满意，或者采购人、采购代理机构未在规定时间内作出答复的，可以在答复期满后15个工作日内向本办法第六条规定的财政部门提起投诉。</w:t>
      </w:r>
    </w:p>
    <w:p>
      <w:pPr>
        <w:pStyle w:val="25"/>
        <w:snapToGrid w:val="0"/>
        <w:spacing w:line="360" w:lineRule="exact"/>
        <w:rPr>
          <w:rFonts w:hAnsi="宋体"/>
          <w:bCs/>
          <w:color w:val="auto"/>
          <w:sz w:val="21"/>
          <w:highlight w:val="none"/>
        </w:rPr>
      </w:pPr>
    </w:p>
    <w:p>
      <w:pPr>
        <w:pStyle w:val="7"/>
        <w:spacing w:line="360" w:lineRule="exact"/>
        <w:jc w:val="center"/>
        <w:rPr>
          <w:rFonts w:ascii="宋体" w:hAnsi="宋体"/>
          <w:b w:val="0"/>
          <w:color w:val="auto"/>
          <w:sz w:val="21"/>
          <w:szCs w:val="21"/>
          <w:highlight w:val="none"/>
        </w:rPr>
      </w:pPr>
      <w:bookmarkStart w:id="94" w:name="_Toc254970675"/>
      <w:bookmarkStart w:id="95" w:name="_Toc254970534"/>
      <w:r>
        <w:rPr>
          <w:rFonts w:hint="eastAsia"/>
          <w:color w:val="auto"/>
          <w:highlight w:val="none"/>
        </w:rPr>
        <w:t>二、招标文件</w:t>
      </w:r>
      <w:bookmarkEnd w:id="94"/>
      <w:bookmarkEnd w:id="95"/>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10.招标文件的构成</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（1）招标公告；</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 xml:space="preserve">（2）采购需求； </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（3）投标人须知；</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（4）评标方法及评标标准；</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（5）拟签订的合同文本；</w:t>
      </w:r>
    </w:p>
    <w:p>
      <w:pPr>
        <w:snapToGrid w:val="0"/>
        <w:spacing w:line="360" w:lineRule="exact"/>
        <w:ind w:firstLine="420"/>
        <w:jc w:val="left"/>
        <w:rPr>
          <w:rFonts w:ascii="宋体" w:hAnsi="宋体"/>
          <w:color w:val="auto"/>
          <w:szCs w:val="21"/>
          <w:highlight w:val="none"/>
        </w:rPr>
      </w:pPr>
      <w:r>
        <w:rPr>
          <w:rFonts w:hint="eastAsia" w:ascii="宋体" w:hAnsi="宋体"/>
          <w:color w:val="auto"/>
          <w:szCs w:val="21"/>
          <w:highlight w:val="none"/>
        </w:rPr>
        <w:t>（6）投标文件格式。</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 xml:space="preserve">11.招标文件的澄清与修改 </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11.1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spacing w:line="360" w:lineRule="exact"/>
        <w:ind w:firstLine="420" w:firstLineChars="200"/>
        <w:rPr>
          <w:rFonts w:ascii="宋体" w:hAnsi="宋体"/>
          <w:color w:val="auto"/>
          <w:highlight w:val="none"/>
        </w:rPr>
      </w:pPr>
      <w:r>
        <w:rPr>
          <w:rFonts w:hint="eastAsia" w:ascii="宋体" w:hAnsi="宋体"/>
          <w:color w:val="auto"/>
          <w:highlight w:val="none"/>
        </w:rPr>
        <w:t>澄清或者修改的内容可能影响投标文件编制的，采购人或者采购代理机构应当在投标截止时间至少15日前，在原公告发布媒体上发布澄清公告；不足15日的，采购人或者采购代理机构应当顺延提交投标文件的截止时间。</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11.2招标文件中有不一致的，有澄清的部分以最终的澄清更正内容为准；未澄清的，以投标须知前附表为准；投标须知前附表不涉及的内容，以编排在后的最后描述为准。</w:t>
      </w:r>
    </w:p>
    <w:p>
      <w:pPr>
        <w:spacing w:line="360" w:lineRule="exact"/>
        <w:ind w:firstLine="420" w:firstLineChars="200"/>
        <w:rPr>
          <w:rFonts w:ascii="宋体" w:hAnsi="宋体"/>
          <w:color w:val="auto"/>
          <w:highlight w:val="none"/>
        </w:rPr>
      </w:pPr>
      <w:r>
        <w:rPr>
          <w:rFonts w:hint="eastAsia" w:ascii="宋体" w:hAnsi="宋体"/>
          <w:color w:val="auto"/>
          <w:highlight w:val="none"/>
        </w:rPr>
        <w:t>11.3招标文件的澄清或者修改都应当通过采购人或者采购代理机构以法定形式发布。</w:t>
      </w:r>
    </w:p>
    <w:p>
      <w:pPr>
        <w:pStyle w:val="25"/>
        <w:snapToGrid w:val="0"/>
        <w:spacing w:line="360" w:lineRule="exact"/>
        <w:ind w:firstLine="420" w:firstLineChars="200"/>
        <w:rPr>
          <w:rFonts w:hAnsi="宋体"/>
          <w:color w:val="auto"/>
          <w:sz w:val="21"/>
          <w:highlight w:val="none"/>
        </w:rPr>
      </w:pPr>
    </w:p>
    <w:p>
      <w:pPr>
        <w:pStyle w:val="7"/>
        <w:spacing w:line="360" w:lineRule="exact"/>
        <w:jc w:val="center"/>
        <w:rPr>
          <w:rFonts w:ascii="宋体" w:hAnsi="宋体"/>
          <w:b w:val="0"/>
          <w:color w:val="auto"/>
          <w:sz w:val="21"/>
          <w:szCs w:val="21"/>
          <w:highlight w:val="none"/>
        </w:rPr>
      </w:pPr>
      <w:bookmarkStart w:id="96" w:name="_Toc254970676"/>
      <w:bookmarkStart w:id="97" w:name="_Toc254970535"/>
      <w:r>
        <w:rPr>
          <w:rFonts w:hint="eastAsia"/>
          <w:color w:val="auto"/>
          <w:highlight w:val="none"/>
        </w:rPr>
        <w:t>三、投标文件的编制</w:t>
      </w:r>
      <w:bookmarkEnd w:id="96"/>
      <w:bookmarkEnd w:id="97"/>
    </w:p>
    <w:p>
      <w:pPr>
        <w:pStyle w:val="9"/>
        <w:spacing w:before="0" w:after="0" w:line="360" w:lineRule="exact"/>
        <w:ind w:left="420" w:leftChars="200"/>
        <w:rPr>
          <w:rFonts w:ascii="宋体" w:hAnsi="宋体"/>
          <w:color w:val="auto"/>
          <w:sz w:val="21"/>
          <w:szCs w:val="21"/>
          <w:highlight w:val="none"/>
        </w:rPr>
      </w:pPr>
      <w:bookmarkStart w:id="98" w:name="_Toc254970536"/>
      <w:bookmarkStart w:id="99" w:name="_Toc254970677"/>
      <w:r>
        <w:rPr>
          <w:rFonts w:hint="eastAsia" w:ascii="宋体" w:hAnsi="宋体"/>
          <w:color w:val="auto"/>
          <w:sz w:val="21"/>
          <w:szCs w:val="21"/>
          <w:highlight w:val="none"/>
        </w:rPr>
        <w:t>12.投标文件的编制原则</w:t>
      </w:r>
    </w:p>
    <w:p>
      <w:pPr>
        <w:snapToGrid w:val="0"/>
        <w:spacing w:line="360" w:lineRule="exact"/>
        <w:ind w:firstLine="420"/>
        <w:jc w:val="left"/>
        <w:rPr>
          <w:rFonts w:ascii="宋体" w:hAnsi="宋体" w:cs="Courier New"/>
          <w:color w:val="auto"/>
          <w:szCs w:val="21"/>
          <w:highlight w:val="none"/>
        </w:rPr>
      </w:pPr>
      <w:r>
        <w:rPr>
          <w:rFonts w:ascii="宋体" w:hAnsi="宋体"/>
          <w:color w:val="auto"/>
          <w:szCs w:val="21"/>
          <w:highlight w:val="none"/>
        </w:rPr>
        <w:t>投标人应当按照招标文件的要求编制投标文件。投标文件应当对招标文件提出的要求和条件作出明确响应。</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13.投标文件的组成</w:t>
      </w:r>
      <w:bookmarkEnd w:id="98"/>
      <w:bookmarkEnd w:id="99"/>
    </w:p>
    <w:p>
      <w:pPr>
        <w:spacing w:line="360" w:lineRule="exact"/>
        <w:ind w:firstLine="420" w:firstLineChars="200"/>
        <w:rPr>
          <w:rFonts w:ascii="宋体" w:hAnsi="宋体"/>
          <w:color w:val="auto"/>
          <w:highlight w:val="none"/>
        </w:rPr>
      </w:pPr>
      <w:r>
        <w:rPr>
          <w:rFonts w:hint="eastAsia" w:ascii="宋体" w:hAnsi="宋体"/>
          <w:color w:val="auto"/>
          <w:highlight w:val="none"/>
        </w:rPr>
        <w:t>投标文件由报价文件、资格证明文件、商务文件、技术文件四部分组成。</w:t>
      </w:r>
    </w:p>
    <w:p>
      <w:pPr>
        <w:spacing w:line="360" w:lineRule="exact"/>
        <w:ind w:firstLine="420" w:firstLineChars="200"/>
        <w:rPr>
          <w:rFonts w:ascii="宋体" w:hAnsi="宋体"/>
          <w:color w:val="auto"/>
          <w:highlight w:val="none"/>
        </w:rPr>
      </w:pPr>
      <w:bookmarkStart w:id="100" w:name="_13.1报价文件:_具体材料见“投标人须知前附表”。"/>
      <w:bookmarkEnd w:id="100"/>
      <w:r>
        <w:rPr>
          <w:rFonts w:hint="eastAsia" w:ascii="宋体" w:hAnsi="宋体"/>
          <w:color w:val="auto"/>
          <w:highlight w:val="none"/>
        </w:rPr>
        <w:t>13</w:t>
      </w:r>
      <w:bookmarkStart w:id="101" w:name="_Hlt19632545"/>
      <w:r>
        <w:rPr>
          <w:rFonts w:hint="eastAsia" w:ascii="宋体" w:hAnsi="宋体"/>
          <w:color w:val="auto"/>
          <w:highlight w:val="none"/>
        </w:rPr>
        <w:t>.</w:t>
      </w:r>
      <w:bookmarkEnd w:id="101"/>
      <w:r>
        <w:rPr>
          <w:rFonts w:hint="eastAsia" w:ascii="宋体" w:hAnsi="宋体"/>
          <w:color w:val="auto"/>
          <w:highlight w:val="none"/>
        </w:rPr>
        <w:t>1报价文件：</w:t>
      </w:r>
      <w:r>
        <w:rPr>
          <w:rFonts w:ascii="宋体" w:hAnsi="宋体"/>
          <w:color w:val="auto"/>
          <w:highlight w:val="none"/>
        </w:rPr>
        <w:t xml:space="preserve"> 具体材料见“投标人须知前附表”</w:t>
      </w:r>
      <w:r>
        <w:rPr>
          <w:rFonts w:hint="eastAsia" w:ascii="宋体" w:hAnsi="宋体"/>
          <w:color w:val="auto"/>
          <w:highlight w:val="none"/>
        </w:rPr>
        <w:t>。</w:t>
      </w:r>
    </w:p>
    <w:p>
      <w:pPr>
        <w:spacing w:line="360" w:lineRule="exact"/>
        <w:ind w:firstLine="420" w:firstLineChars="200"/>
        <w:rPr>
          <w:rFonts w:ascii="宋体" w:hAnsi="宋体"/>
          <w:color w:val="auto"/>
          <w:highlight w:val="none"/>
        </w:rPr>
      </w:pPr>
      <w:bookmarkStart w:id="102" w:name="_13.2资格证明文件：具体材料见“投标人须知前附表”。"/>
      <w:bookmarkEnd w:id="102"/>
      <w:r>
        <w:rPr>
          <w:rFonts w:hint="eastAsia" w:ascii="宋体" w:hAnsi="宋体"/>
          <w:color w:val="auto"/>
          <w:highlight w:val="none"/>
        </w:rPr>
        <w:t>13.2资格证明文件：</w:t>
      </w:r>
      <w:r>
        <w:rPr>
          <w:rFonts w:ascii="宋体" w:hAnsi="宋体"/>
          <w:color w:val="auto"/>
          <w:highlight w:val="none"/>
        </w:rPr>
        <w:t>具体材料见“投标人须知前附表”</w:t>
      </w:r>
      <w:r>
        <w:rPr>
          <w:rFonts w:hint="eastAsia" w:ascii="宋体" w:hAnsi="宋体"/>
          <w:color w:val="auto"/>
          <w:highlight w:val="none"/>
        </w:rPr>
        <w:t>。</w:t>
      </w:r>
    </w:p>
    <w:p>
      <w:pPr>
        <w:spacing w:line="360" w:lineRule="exact"/>
        <w:ind w:firstLine="420" w:firstLineChars="200"/>
        <w:rPr>
          <w:rFonts w:ascii="宋体" w:hAnsi="宋体"/>
          <w:color w:val="auto"/>
          <w:highlight w:val="none"/>
        </w:rPr>
      </w:pPr>
      <w:bookmarkStart w:id="103" w:name="_13.3商务文件:_具体材料见“投标人须知前附表”。"/>
      <w:bookmarkEnd w:id="103"/>
      <w:r>
        <w:rPr>
          <w:rFonts w:hint="eastAsia" w:ascii="宋体" w:hAnsi="宋体"/>
          <w:color w:val="auto"/>
          <w:highlight w:val="none"/>
        </w:rPr>
        <w:t>13.3商务文件：</w:t>
      </w:r>
      <w:r>
        <w:rPr>
          <w:rFonts w:ascii="宋体" w:hAnsi="宋体"/>
          <w:color w:val="auto"/>
          <w:highlight w:val="none"/>
        </w:rPr>
        <w:t>具体材料见“投标人须知前附表”</w:t>
      </w:r>
      <w:r>
        <w:rPr>
          <w:rFonts w:hint="eastAsia" w:ascii="宋体" w:hAnsi="宋体"/>
          <w:color w:val="auto"/>
          <w:highlight w:val="none"/>
        </w:rPr>
        <w:t>。</w:t>
      </w:r>
    </w:p>
    <w:p>
      <w:pPr>
        <w:spacing w:line="360" w:lineRule="exact"/>
        <w:ind w:firstLine="420" w:firstLineChars="200"/>
        <w:rPr>
          <w:rFonts w:ascii="宋体" w:hAnsi="宋体"/>
          <w:color w:val="auto"/>
          <w:highlight w:val="none"/>
        </w:rPr>
      </w:pPr>
      <w:bookmarkStart w:id="104" w:name="_13.4技术文件：具体材料见“投标人须知前附表”。"/>
      <w:bookmarkEnd w:id="104"/>
      <w:r>
        <w:rPr>
          <w:rFonts w:hint="eastAsia" w:ascii="宋体" w:hAnsi="宋体"/>
          <w:color w:val="auto"/>
          <w:highlight w:val="none"/>
        </w:rPr>
        <w:t>13.4技术文件：</w:t>
      </w:r>
      <w:r>
        <w:rPr>
          <w:rFonts w:ascii="宋体" w:hAnsi="宋体"/>
          <w:color w:val="auto"/>
          <w:highlight w:val="none"/>
        </w:rPr>
        <w:t>具体材料见“投标人须知前附表”</w:t>
      </w:r>
      <w:r>
        <w:rPr>
          <w:rFonts w:hint="eastAsia" w:ascii="宋体" w:hAnsi="宋体"/>
          <w:color w:val="auto"/>
          <w:highlight w:val="none"/>
        </w:rPr>
        <w:t>。</w:t>
      </w:r>
    </w:p>
    <w:p>
      <w:pPr>
        <w:spacing w:line="360" w:lineRule="exact"/>
        <w:ind w:firstLine="420" w:firstLineChars="200"/>
        <w:rPr>
          <w:rFonts w:ascii="宋体" w:hAnsi="宋体"/>
          <w:color w:val="auto"/>
          <w:highlight w:val="none"/>
        </w:rPr>
      </w:pPr>
      <w:bookmarkStart w:id="105" w:name="_13.5投标文件电子版：具体材料见“投标人须知前附表”。"/>
      <w:bookmarkEnd w:id="105"/>
      <w:r>
        <w:rPr>
          <w:rFonts w:hint="eastAsia" w:ascii="宋体" w:hAnsi="宋体"/>
          <w:color w:val="auto"/>
          <w:highlight w:val="none"/>
        </w:rPr>
        <w:t>13.5投标文件电子版：</w:t>
      </w:r>
      <w:r>
        <w:rPr>
          <w:rFonts w:ascii="宋体" w:hAnsi="宋体"/>
          <w:color w:val="auto"/>
          <w:highlight w:val="none"/>
        </w:rPr>
        <w:t>具体材料见“投标人须知前附表”</w:t>
      </w:r>
      <w:r>
        <w:rPr>
          <w:rFonts w:hint="eastAsia" w:ascii="宋体" w:hAnsi="宋体"/>
          <w:color w:val="auto"/>
          <w:highlight w:val="none"/>
        </w:rPr>
        <w:t>。</w:t>
      </w:r>
    </w:p>
    <w:p>
      <w:pPr>
        <w:pStyle w:val="9"/>
        <w:spacing w:before="0" w:after="0" w:line="360" w:lineRule="exact"/>
        <w:ind w:left="420" w:leftChars="200"/>
        <w:rPr>
          <w:rFonts w:ascii="宋体" w:hAnsi="宋体"/>
          <w:color w:val="auto"/>
          <w:sz w:val="21"/>
          <w:szCs w:val="21"/>
          <w:highlight w:val="none"/>
        </w:rPr>
      </w:pPr>
      <w:bookmarkStart w:id="106" w:name="_Toc254970537"/>
      <w:bookmarkStart w:id="107" w:name="_Toc254970678"/>
      <w:r>
        <w:rPr>
          <w:rFonts w:hint="eastAsia" w:ascii="宋体" w:hAnsi="宋体"/>
          <w:color w:val="auto"/>
          <w:sz w:val="21"/>
          <w:szCs w:val="21"/>
          <w:highlight w:val="none"/>
        </w:rPr>
        <w:t>14.投标文件的语言及计量</w:t>
      </w:r>
      <w:bookmarkEnd w:id="106"/>
      <w:bookmarkEnd w:id="107"/>
    </w:p>
    <w:p>
      <w:pPr>
        <w:spacing w:line="360" w:lineRule="exact"/>
        <w:ind w:firstLine="420" w:firstLineChars="200"/>
        <w:rPr>
          <w:rFonts w:ascii="宋体" w:hAnsi="宋体"/>
          <w:color w:val="auto"/>
          <w:highlight w:val="none"/>
        </w:rPr>
      </w:pPr>
      <w:r>
        <w:rPr>
          <w:rFonts w:hint="eastAsia" w:ascii="宋体" w:hAnsi="宋体"/>
          <w:color w:val="auto"/>
          <w:highlight w:val="none"/>
        </w:rPr>
        <w:t>14.1语言文字：</w:t>
      </w:r>
    </w:p>
    <w:p>
      <w:pPr>
        <w:spacing w:line="360" w:lineRule="exact"/>
        <w:ind w:firstLine="420" w:firstLineChars="200"/>
        <w:rPr>
          <w:rFonts w:ascii="宋体" w:hAnsi="宋体"/>
          <w:color w:val="auto"/>
          <w:highlight w:val="none"/>
        </w:rPr>
      </w:pPr>
      <w:r>
        <w:rPr>
          <w:rFonts w:hint="eastAsia" w:ascii="宋体" w:hAnsi="宋体"/>
          <w:color w:val="auto"/>
          <w:highlight w:val="none"/>
        </w:rPr>
        <w:t>投标文件以及投标人与采购人就有关投标事宜的所有来往函电，均应以中文汉语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pPr>
        <w:spacing w:line="360" w:lineRule="exact"/>
        <w:ind w:firstLine="420" w:firstLineChars="200"/>
        <w:rPr>
          <w:rFonts w:ascii="宋体" w:hAnsi="宋体"/>
          <w:color w:val="auto"/>
          <w:highlight w:val="none"/>
        </w:rPr>
      </w:pPr>
      <w:r>
        <w:rPr>
          <w:rFonts w:hint="eastAsia" w:ascii="宋体" w:hAnsi="宋体"/>
          <w:color w:val="auto"/>
          <w:highlight w:val="none"/>
        </w:rPr>
        <w:t>14.2投标计量单位，招标文件已有明确规定的，使用招标文件规定的计量单位；招标文件没有规定的，应采用中华人民共和国法定计量单位，货币种类为人民币，否则视同未响应。</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15.投标的风险</w:t>
      </w:r>
    </w:p>
    <w:p>
      <w:pPr>
        <w:pStyle w:val="25"/>
        <w:snapToGrid w:val="0"/>
        <w:spacing w:line="360" w:lineRule="exact"/>
        <w:ind w:firstLine="420" w:firstLineChars="200"/>
        <w:jc w:val="left"/>
        <w:rPr>
          <w:rFonts w:hAnsi="宋体"/>
          <w:color w:val="auto"/>
          <w:sz w:val="21"/>
          <w:highlight w:val="none"/>
        </w:rPr>
      </w:pPr>
      <w:r>
        <w:rPr>
          <w:rFonts w:hint="eastAsia" w:hAnsi="宋体"/>
          <w:color w:val="auto"/>
          <w:sz w:val="21"/>
          <w:highlight w:val="none"/>
        </w:rPr>
        <w:t>投标人没有按照招标文件要求提供全部资料，或者投标人没有对招标文件在各方面作出实质性响应是投标人的风险，并可能导致其投标被拒绝。</w:t>
      </w:r>
    </w:p>
    <w:p>
      <w:pPr>
        <w:pStyle w:val="9"/>
        <w:spacing w:before="0" w:after="0" w:line="360" w:lineRule="exact"/>
        <w:ind w:left="420" w:leftChars="200"/>
        <w:rPr>
          <w:rFonts w:ascii="宋体" w:hAnsi="宋体"/>
          <w:color w:val="auto"/>
          <w:sz w:val="21"/>
          <w:szCs w:val="21"/>
          <w:highlight w:val="none"/>
        </w:rPr>
      </w:pPr>
      <w:bookmarkStart w:id="108" w:name="_Toc254970679"/>
      <w:bookmarkStart w:id="109" w:name="_Toc254970538"/>
      <w:r>
        <w:rPr>
          <w:rFonts w:hint="eastAsia" w:ascii="宋体" w:hAnsi="宋体"/>
          <w:color w:val="auto"/>
          <w:sz w:val="21"/>
          <w:szCs w:val="21"/>
          <w:highlight w:val="none"/>
        </w:rPr>
        <w:t>16.投标报价</w:t>
      </w:r>
      <w:bookmarkEnd w:id="108"/>
      <w:bookmarkEnd w:id="109"/>
    </w:p>
    <w:p>
      <w:pPr>
        <w:spacing w:line="360" w:lineRule="exact"/>
        <w:ind w:firstLine="420" w:firstLineChars="200"/>
        <w:rPr>
          <w:rFonts w:ascii="宋体" w:hAnsi="宋体"/>
          <w:color w:val="auto"/>
          <w:highlight w:val="none"/>
        </w:rPr>
      </w:pPr>
      <w:r>
        <w:rPr>
          <w:rFonts w:hint="eastAsia" w:ascii="宋体" w:hAnsi="宋体"/>
          <w:color w:val="auto"/>
          <w:highlight w:val="none"/>
        </w:rPr>
        <w:t>16.1投标报价应按招标文件中“开标一览表”格式填写。</w:t>
      </w:r>
    </w:p>
    <w:p>
      <w:pPr>
        <w:spacing w:line="360" w:lineRule="exact"/>
        <w:ind w:firstLine="420" w:firstLineChars="200"/>
        <w:rPr>
          <w:rFonts w:ascii="宋体" w:hAnsi="宋体"/>
          <w:color w:val="auto"/>
          <w:highlight w:val="none"/>
        </w:rPr>
      </w:pPr>
      <w:bookmarkStart w:id="110" w:name="_16.2投标报价具体定义见投标人须知前附表。"/>
      <w:bookmarkEnd w:id="110"/>
      <w:r>
        <w:rPr>
          <w:rFonts w:hint="eastAsia" w:ascii="宋体" w:hAnsi="宋体"/>
          <w:color w:val="auto"/>
          <w:highlight w:val="none"/>
        </w:rPr>
        <w:t>16.2投标报价具体包括内容见“投标人须知前附表”。</w:t>
      </w:r>
    </w:p>
    <w:p>
      <w:pPr>
        <w:spacing w:line="360" w:lineRule="exact"/>
        <w:ind w:firstLine="420" w:firstLineChars="200"/>
        <w:rPr>
          <w:rFonts w:ascii="宋体" w:hAnsi="宋体"/>
          <w:color w:val="auto"/>
          <w:highlight w:val="none"/>
        </w:rPr>
      </w:pPr>
      <w:r>
        <w:rPr>
          <w:rFonts w:hint="eastAsia" w:ascii="宋体" w:hAnsi="宋体"/>
          <w:color w:val="auto"/>
          <w:highlight w:val="none"/>
        </w:rPr>
        <w:t>16.3投标人应当就所投每个分标的全部内容分别作完整唯一总价报价，投标人应当就所投分标进行报价，不得存在漏项报价；投标人应当就所投分标的单项内容作唯一报价。</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17.投标有效期</w:t>
      </w:r>
    </w:p>
    <w:p>
      <w:pPr>
        <w:spacing w:line="360" w:lineRule="exact"/>
        <w:ind w:firstLine="420" w:firstLineChars="200"/>
        <w:rPr>
          <w:rFonts w:ascii="宋体" w:hAnsi="宋体"/>
          <w:color w:val="auto"/>
          <w:highlight w:val="none"/>
        </w:rPr>
      </w:pPr>
      <w:bookmarkStart w:id="111" w:name="_17.1投标有效期应按“投标人须知中的前附表”规定的期限。"/>
      <w:bookmarkEnd w:id="111"/>
      <w:r>
        <w:rPr>
          <w:rFonts w:hint="eastAsia" w:ascii="宋体" w:hAnsi="宋体"/>
          <w:color w:val="auto"/>
          <w:highlight w:val="none"/>
        </w:rPr>
        <w:t>17.1投标有效期应按“投标人须知前附表”规定的期限。</w:t>
      </w:r>
    </w:p>
    <w:p>
      <w:pPr>
        <w:spacing w:line="360" w:lineRule="exact"/>
        <w:ind w:firstLine="420" w:firstLineChars="200"/>
        <w:rPr>
          <w:rFonts w:ascii="宋体" w:hAnsi="宋体"/>
          <w:color w:val="auto"/>
          <w:highlight w:val="none"/>
        </w:rPr>
      </w:pPr>
      <w:r>
        <w:rPr>
          <w:rFonts w:hint="eastAsia" w:ascii="宋体" w:hAnsi="宋体"/>
          <w:color w:val="auto"/>
          <w:highlight w:val="none"/>
        </w:rPr>
        <w:t>17.2</w:t>
      </w:r>
      <w:bookmarkStart w:id="112" w:name="_Toc254970681"/>
      <w:bookmarkStart w:id="113" w:name="_Toc254970540"/>
      <w:r>
        <w:rPr>
          <w:rFonts w:hint="eastAsia" w:ascii="宋体" w:hAnsi="宋体"/>
          <w:color w:val="auto"/>
          <w:highlight w:val="none"/>
        </w:rPr>
        <w:t>投标有效期是指为保证采购人有足够的时间在开标后完成评标、定标、合同签订等工作而要求投标人提交的投标文件在一定时间内保持有效的期限。</w:t>
      </w:r>
    </w:p>
    <w:p>
      <w:pPr>
        <w:spacing w:line="360" w:lineRule="exact"/>
        <w:ind w:firstLine="420" w:firstLineChars="200"/>
        <w:rPr>
          <w:rFonts w:ascii="宋体" w:hAnsi="宋体"/>
          <w:color w:val="auto"/>
          <w:highlight w:val="none"/>
        </w:rPr>
      </w:pPr>
      <w:r>
        <w:rPr>
          <w:rFonts w:hint="eastAsia" w:ascii="宋体" w:hAnsi="宋体"/>
          <w:color w:val="auto"/>
          <w:highlight w:val="none"/>
        </w:rPr>
        <w:t>17.3投标人的投标文件在投标有效期内均保持有效。</w:t>
      </w:r>
      <w:bookmarkEnd w:id="112"/>
      <w:bookmarkEnd w:id="113"/>
    </w:p>
    <w:p>
      <w:pPr>
        <w:pStyle w:val="9"/>
        <w:spacing w:before="0" w:after="0" w:line="360" w:lineRule="exact"/>
        <w:ind w:left="420" w:leftChars="200"/>
        <w:rPr>
          <w:rFonts w:ascii="宋体" w:hAnsi="宋体"/>
          <w:color w:val="auto"/>
          <w:sz w:val="21"/>
          <w:szCs w:val="21"/>
          <w:highlight w:val="none"/>
        </w:rPr>
      </w:pPr>
      <w:bookmarkStart w:id="114" w:name="_18.投标保证金"/>
      <w:bookmarkEnd w:id="114"/>
      <w:bookmarkStart w:id="115" w:name="_Toc254970682"/>
      <w:bookmarkStart w:id="116" w:name="_Toc254970541"/>
      <w:r>
        <w:rPr>
          <w:rFonts w:hint="eastAsia" w:ascii="宋体" w:hAnsi="宋体"/>
          <w:color w:val="auto"/>
          <w:sz w:val="21"/>
          <w:szCs w:val="21"/>
          <w:highlight w:val="none"/>
        </w:rPr>
        <w:t>18.投标保证金</w:t>
      </w:r>
      <w:bookmarkEnd w:id="115"/>
      <w:bookmarkEnd w:id="116"/>
    </w:p>
    <w:p>
      <w:pPr>
        <w:spacing w:line="360" w:lineRule="exact"/>
        <w:ind w:firstLine="420" w:firstLineChars="200"/>
        <w:rPr>
          <w:rFonts w:ascii="宋体" w:hAnsi="宋体"/>
          <w:color w:val="auto"/>
          <w:highlight w:val="none"/>
        </w:rPr>
      </w:pPr>
      <w:bookmarkStart w:id="117" w:name="_Toc254970683"/>
      <w:bookmarkStart w:id="118" w:name="_Toc254970542"/>
      <w:r>
        <w:rPr>
          <w:rFonts w:hint="eastAsia" w:ascii="宋体" w:hAnsi="宋体"/>
          <w:color w:val="auto"/>
          <w:highlight w:val="none"/>
        </w:rPr>
        <w:t>18.1投标人须按规定提交投标保证金。否则，投标无效。</w:t>
      </w:r>
    </w:p>
    <w:p>
      <w:pPr>
        <w:spacing w:line="360" w:lineRule="exact"/>
        <w:ind w:firstLine="420" w:firstLineChars="200"/>
        <w:rPr>
          <w:rFonts w:ascii="宋体" w:hAnsi="宋体"/>
          <w:color w:val="auto"/>
          <w:highlight w:val="none"/>
        </w:rPr>
      </w:pPr>
      <w:r>
        <w:rPr>
          <w:rFonts w:hint="eastAsia" w:ascii="宋体" w:hAnsi="宋体"/>
          <w:color w:val="auto"/>
          <w:highlight w:val="none"/>
        </w:rPr>
        <w:t>18.2投标保证金交纳形式：电汇、转帐、汇票等非现金形式。</w:t>
      </w:r>
    </w:p>
    <w:p>
      <w:pPr>
        <w:spacing w:line="360" w:lineRule="exact"/>
        <w:ind w:firstLine="420" w:firstLineChars="200"/>
        <w:rPr>
          <w:rFonts w:ascii="宋体" w:hAnsi="宋体"/>
          <w:color w:val="auto"/>
          <w:highlight w:val="none"/>
        </w:rPr>
      </w:pPr>
      <w:r>
        <w:rPr>
          <w:rFonts w:hint="eastAsia" w:ascii="宋体" w:hAnsi="宋体"/>
          <w:color w:val="auto"/>
          <w:highlight w:val="none"/>
        </w:rPr>
        <w:t>178.3投标人应按本须知中明确的开户名称、开户银行、账号提交投标保证金，并确保其于招标公告所明确的时间内到达指定帐户上，并将银行单据复印件按要求放入投标文件中（投标保证金以实际到账为准，因此投标人在交纳投标保证金时应充分考虑保证金到达指定账户上的时间）。</w:t>
      </w:r>
    </w:p>
    <w:p>
      <w:pPr>
        <w:spacing w:line="360" w:lineRule="exact"/>
        <w:ind w:firstLine="420" w:firstLineChars="200"/>
        <w:rPr>
          <w:rFonts w:ascii="宋体" w:hAnsi="宋体"/>
          <w:color w:val="auto"/>
          <w:highlight w:val="none"/>
        </w:rPr>
      </w:pPr>
      <w:r>
        <w:rPr>
          <w:rFonts w:hint="eastAsia" w:ascii="宋体" w:hAnsi="宋体"/>
          <w:color w:val="auto"/>
          <w:highlight w:val="none"/>
        </w:rPr>
        <w:t>18.4.办理投标保证金手续时，请务必在银行进账单或电汇单的用途或空白栏上注明“保证金”字样，以免耽误投标。</w:t>
      </w:r>
    </w:p>
    <w:p>
      <w:pPr>
        <w:spacing w:line="360" w:lineRule="exact"/>
        <w:ind w:firstLine="420" w:firstLineChars="200"/>
        <w:rPr>
          <w:rFonts w:ascii="宋体" w:hAnsi="宋体"/>
          <w:color w:val="auto"/>
          <w:highlight w:val="none"/>
        </w:rPr>
      </w:pPr>
      <w:r>
        <w:rPr>
          <w:rFonts w:hint="eastAsia" w:ascii="宋体" w:hAnsi="宋体"/>
          <w:color w:val="auto"/>
          <w:highlight w:val="none"/>
        </w:rPr>
        <w:t>18.5投标保证金的退还均以转账形式退回到投标人银行账户。</w:t>
      </w:r>
    </w:p>
    <w:p>
      <w:pPr>
        <w:spacing w:line="360" w:lineRule="exact"/>
        <w:ind w:firstLine="420" w:firstLineChars="200"/>
        <w:rPr>
          <w:rFonts w:ascii="宋体" w:hAnsi="宋体"/>
          <w:color w:val="auto"/>
          <w:highlight w:val="none"/>
        </w:rPr>
      </w:pPr>
      <w:r>
        <w:rPr>
          <w:rFonts w:hint="eastAsia" w:ascii="宋体" w:hAnsi="宋体"/>
          <w:color w:val="auto"/>
          <w:highlight w:val="none"/>
        </w:rPr>
        <w:t>18.5.1未中标人的投标保证金在中标通知书发出后五个工作日内退还。</w:t>
      </w:r>
    </w:p>
    <w:p>
      <w:pPr>
        <w:spacing w:line="360" w:lineRule="exact"/>
        <w:ind w:firstLine="420" w:firstLineChars="200"/>
        <w:rPr>
          <w:rFonts w:ascii="宋体" w:hAnsi="宋体"/>
          <w:color w:val="auto"/>
          <w:highlight w:val="none"/>
        </w:rPr>
      </w:pPr>
      <w:r>
        <w:rPr>
          <w:rFonts w:hint="eastAsia" w:ascii="宋体" w:hAnsi="宋体"/>
          <w:color w:val="auto"/>
          <w:highlight w:val="none"/>
        </w:rPr>
        <w:t>18.5.2中标人的投标保证金在合同签订并送达采购代理机构存档后五个工作日内退还。</w:t>
      </w:r>
    </w:p>
    <w:p>
      <w:pPr>
        <w:spacing w:line="360" w:lineRule="exact"/>
        <w:ind w:firstLine="420" w:firstLineChars="200"/>
        <w:rPr>
          <w:rFonts w:ascii="宋体" w:hAnsi="宋体"/>
          <w:color w:val="auto"/>
          <w:highlight w:val="none"/>
        </w:rPr>
      </w:pPr>
      <w:r>
        <w:rPr>
          <w:rFonts w:hint="eastAsia" w:ascii="宋体" w:hAnsi="宋体"/>
          <w:color w:val="auto"/>
          <w:highlight w:val="none"/>
        </w:rPr>
        <w:t>18.6投标保证金不计息。</w:t>
      </w:r>
    </w:p>
    <w:p>
      <w:pPr>
        <w:spacing w:line="360" w:lineRule="exact"/>
        <w:ind w:firstLine="420" w:firstLineChars="200"/>
        <w:rPr>
          <w:rFonts w:ascii="宋体" w:hAnsi="宋体"/>
          <w:color w:val="auto"/>
          <w:highlight w:val="none"/>
        </w:rPr>
      </w:pPr>
      <w:r>
        <w:rPr>
          <w:rFonts w:hint="eastAsia" w:ascii="宋体" w:hAnsi="宋体"/>
          <w:color w:val="auto"/>
          <w:highlight w:val="none"/>
        </w:rPr>
        <w:t>18.7.投标人有下列情形之一的，投标保证金将不予退还：</w:t>
      </w:r>
    </w:p>
    <w:p>
      <w:pPr>
        <w:spacing w:line="360" w:lineRule="exact"/>
        <w:ind w:firstLine="420" w:firstLineChars="200"/>
        <w:rPr>
          <w:rFonts w:ascii="宋体" w:hAnsi="宋体"/>
          <w:color w:val="auto"/>
          <w:highlight w:val="none"/>
        </w:rPr>
      </w:pPr>
      <w:r>
        <w:rPr>
          <w:rFonts w:hint="eastAsia" w:ascii="宋体" w:hAnsi="宋体"/>
          <w:color w:val="auto"/>
          <w:highlight w:val="none"/>
        </w:rPr>
        <w:t>（1）投标人在投标有效期内撤销投标文件的；</w:t>
      </w:r>
    </w:p>
    <w:p>
      <w:pPr>
        <w:spacing w:line="360" w:lineRule="exact"/>
        <w:ind w:firstLine="420" w:firstLineChars="200"/>
        <w:rPr>
          <w:rFonts w:ascii="宋体" w:hAnsi="宋体"/>
          <w:color w:val="auto"/>
          <w:highlight w:val="none"/>
        </w:rPr>
      </w:pPr>
      <w:r>
        <w:rPr>
          <w:rFonts w:hint="eastAsia" w:ascii="宋体" w:hAnsi="宋体"/>
          <w:color w:val="auto"/>
          <w:highlight w:val="none"/>
        </w:rPr>
        <w:t>（2）未按规定提交履约保证金的；</w:t>
      </w:r>
    </w:p>
    <w:p>
      <w:pPr>
        <w:spacing w:line="360" w:lineRule="exact"/>
        <w:ind w:firstLine="420" w:firstLineChars="200"/>
        <w:rPr>
          <w:rFonts w:ascii="宋体" w:hAnsi="宋体"/>
          <w:color w:val="auto"/>
          <w:highlight w:val="none"/>
        </w:rPr>
      </w:pPr>
      <w:r>
        <w:rPr>
          <w:rFonts w:hint="eastAsia" w:ascii="宋体" w:hAnsi="宋体"/>
          <w:color w:val="auto"/>
          <w:highlight w:val="none"/>
        </w:rPr>
        <w:t>（3）投标人在投标过程中弄虚作假，提供虚假材料的；</w:t>
      </w:r>
    </w:p>
    <w:p>
      <w:pPr>
        <w:spacing w:line="360" w:lineRule="exact"/>
        <w:ind w:firstLine="420" w:firstLineChars="200"/>
        <w:rPr>
          <w:rFonts w:ascii="宋体" w:hAnsi="宋体"/>
          <w:color w:val="auto"/>
          <w:highlight w:val="none"/>
        </w:rPr>
      </w:pPr>
      <w:r>
        <w:rPr>
          <w:rFonts w:hint="eastAsia" w:ascii="宋体" w:hAnsi="宋体"/>
          <w:color w:val="auto"/>
          <w:highlight w:val="none"/>
        </w:rPr>
        <w:t>（4）中标人无正当理由不与采购人签订合同的；</w:t>
      </w:r>
    </w:p>
    <w:p>
      <w:pPr>
        <w:spacing w:line="360" w:lineRule="exact"/>
        <w:ind w:firstLine="376" w:firstLineChars="200"/>
        <w:rPr>
          <w:rFonts w:ascii="宋体" w:hAnsi="宋体"/>
          <w:color w:val="auto"/>
          <w:spacing w:val="-11"/>
          <w:highlight w:val="none"/>
        </w:rPr>
      </w:pPr>
      <w:r>
        <w:rPr>
          <w:rFonts w:hint="eastAsia" w:ascii="宋体" w:hAnsi="宋体"/>
          <w:color w:val="auto"/>
          <w:spacing w:val="-11"/>
          <w:highlight w:val="none"/>
        </w:rPr>
        <w:t>（5）将中标项目转让给他人或者在投标文件中未说明且未经招标采购人同意，将中标项目分包给他人的；</w:t>
      </w:r>
    </w:p>
    <w:p>
      <w:pPr>
        <w:spacing w:line="360" w:lineRule="exact"/>
        <w:ind w:firstLine="420" w:firstLineChars="200"/>
        <w:rPr>
          <w:rFonts w:ascii="宋体" w:hAnsi="宋体"/>
          <w:color w:val="auto"/>
          <w:highlight w:val="none"/>
        </w:rPr>
      </w:pPr>
      <w:r>
        <w:rPr>
          <w:rFonts w:hint="eastAsia" w:ascii="宋体" w:hAnsi="宋体"/>
          <w:color w:val="auto"/>
          <w:highlight w:val="none"/>
        </w:rPr>
        <w:t>（6）拒绝履行合同义务的；</w:t>
      </w:r>
    </w:p>
    <w:p>
      <w:pPr>
        <w:spacing w:line="360" w:lineRule="exact"/>
        <w:ind w:firstLine="420" w:firstLineChars="200"/>
        <w:rPr>
          <w:rFonts w:ascii="宋体" w:hAnsi="宋体"/>
          <w:color w:val="auto"/>
          <w:highlight w:val="none"/>
        </w:rPr>
      </w:pPr>
      <w:r>
        <w:rPr>
          <w:rFonts w:hint="eastAsia" w:ascii="宋体" w:hAnsi="宋体"/>
          <w:color w:val="auto"/>
          <w:highlight w:val="none"/>
        </w:rPr>
        <w:t>(7)其他严重扰乱招投标程序的。</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19.投标文件的</w:t>
      </w:r>
      <w:bookmarkEnd w:id="117"/>
      <w:bookmarkEnd w:id="118"/>
      <w:r>
        <w:rPr>
          <w:rFonts w:hint="eastAsia" w:ascii="宋体" w:hAnsi="宋体"/>
          <w:color w:val="auto"/>
          <w:sz w:val="21"/>
          <w:szCs w:val="21"/>
          <w:highlight w:val="none"/>
        </w:rPr>
        <w:t>编制</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19.1投标人应按本招标文件规定的格式和顺序编制、装订投标文件并标注页码，投标文件内容不完整、编排混乱导致投标文件被误读、漏读或者查找不到相关内容的，是投标人的责任。</w:t>
      </w:r>
    </w:p>
    <w:p>
      <w:pPr>
        <w:spacing w:line="360" w:lineRule="exact"/>
        <w:ind w:firstLine="420" w:firstLineChars="200"/>
        <w:rPr>
          <w:rFonts w:ascii="宋体" w:hAnsi="宋体"/>
          <w:color w:val="auto"/>
          <w:highlight w:val="none"/>
        </w:rPr>
      </w:pPr>
      <w:bookmarkStart w:id="119" w:name="_19.2投标文件应按报价文件、资格证明文件、商务文件、技术文件分别编制"/>
      <w:bookmarkEnd w:id="119"/>
      <w:r>
        <w:rPr>
          <w:rFonts w:hint="eastAsia" w:ascii="宋体" w:hAnsi="宋体"/>
          <w:color w:val="auto"/>
          <w:highlight w:val="none"/>
        </w:rPr>
        <w:t xml:space="preserve"> 19.2投标文件应按报价文件、资格证明文件、商务技术文件分别编制，报价文件、资格证明文件分别装订成册，商务文件和技术文件按顺序装订成册。投标文件正本一份，副本份数详见“投标人须知前附表”，投标文件的封面应注明“正本”、“副本”字样。由于投标文件装订松散而造成的丢失或其他后果由投标人自行承担。</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19.3投标文件的正本应打印或用不褪色的墨水填写，投标文件正本除本“投标人须知”中规定的可提供复印件外均须提供原件，副本可为正本签字、盖章后的复印件，但副本必须加盖骑缝章，当副本和正本不一致时，以正本为准。</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19.4投标文件须由投标人在规定位置盖公章并由法定代表人（负责人或自然人）或委托代理人签字，如多页，必须逐一逐页由法定代表人（负责人或自然人）或委托代理人签字及盖公章，否则作无效投标处理。</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19.5投标文件中标注的投标人名称应与主体资格证明（如营业执照、事业单位法人证书、执业许可证、个体工商户营业执照、自然人身份证等）和公章一致，否则作无效投标处理。</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19.6投标文件应尽量避免涂改、行间插字或删除。如果出现上述情况，改动之处应由投标人的法定代表人（负责人或自然人）或其委托代理人签字或盖章。投标文件因字迹潦草或表达不清所引起的后果由投标人承担。</w:t>
      </w:r>
    </w:p>
    <w:p>
      <w:pPr>
        <w:pStyle w:val="9"/>
        <w:numPr>
          <w:ilvl w:val="0"/>
          <w:numId w:val="0"/>
        </w:numPr>
        <w:spacing w:before="0" w:after="0" w:line="360" w:lineRule="exact"/>
        <w:ind w:firstLine="422" w:firstLineChars="200"/>
        <w:rPr>
          <w:rFonts w:ascii="宋体" w:hAnsi="宋体"/>
          <w:color w:val="auto"/>
          <w:sz w:val="21"/>
          <w:szCs w:val="21"/>
          <w:highlight w:val="none"/>
        </w:rPr>
      </w:pPr>
      <w:r>
        <w:rPr>
          <w:rFonts w:hint="eastAsia" w:ascii="宋体" w:hAnsi="宋体"/>
          <w:color w:val="auto"/>
          <w:sz w:val="21"/>
          <w:szCs w:val="21"/>
          <w:highlight w:val="none"/>
        </w:rPr>
        <w:t>20.投标文件的密封</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20.1投标文件正、副本全部装入包封袋/箱（投标文件的补充、修改可另行单独递交）中并加以密封，封口处加贴密封条必须加盖投标人公章或委托代理人签字，以示密封。</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20.2投标文件外层包装封面上应写明投标人名称、投标人地址、项目名称、项目编号、所投分标及“开标时启封”字样。</w:t>
      </w:r>
    </w:p>
    <w:p>
      <w:pPr>
        <w:spacing w:line="360" w:lineRule="exact"/>
        <w:ind w:firstLine="420" w:firstLineChars="200"/>
        <w:rPr>
          <w:rFonts w:ascii="宋体" w:hAnsi="宋体"/>
          <w:color w:val="auto"/>
          <w:highlight w:val="none"/>
        </w:rPr>
      </w:pPr>
      <w:r>
        <w:rPr>
          <w:rFonts w:hint="eastAsia" w:ascii="宋体" w:hAnsi="宋体"/>
          <w:color w:val="auto"/>
          <w:highlight w:val="none"/>
        </w:rPr>
        <w:t>20.3未按上述规定密封的投标文件将被拒收。</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21.投标文件的提交</w:t>
      </w:r>
    </w:p>
    <w:p>
      <w:pPr>
        <w:spacing w:line="360" w:lineRule="exact"/>
        <w:ind w:firstLine="420" w:firstLineChars="200"/>
        <w:rPr>
          <w:rFonts w:ascii="宋体" w:hAnsi="宋体"/>
          <w:color w:val="auto"/>
          <w:highlight w:val="none"/>
        </w:rPr>
      </w:pPr>
      <w:bookmarkStart w:id="120" w:name="_21.1投标人必须在“投标人须知中的前附表”规定的投标文件接收时间和投"/>
      <w:bookmarkEnd w:id="120"/>
      <w:r>
        <w:rPr>
          <w:rFonts w:hint="eastAsia" w:ascii="宋体" w:hAnsi="宋体"/>
          <w:color w:val="auto"/>
          <w:highlight w:val="none"/>
        </w:rPr>
        <w:t>21.1投标人必须在“投标人须知前附表”规定的投标文件接收时间和投标地点提交投标文件。</w:t>
      </w:r>
    </w:p>
    <w:p>
      <w:pPr>
        <w:spacing w:line="360" w:lineRule="exact"/>
        <w:ind w:firstLine="420" w:firstLineChars="200"/>
        <w:rPr>
          <w:rFonts w:ascii="宋体" w:hAnsi="宋体"/>
          <w:color w:val="auto"/>
          <w:highlight w:val="none"/>
        </w:rPr>
      </w:pPr>
      <w:r>
        <w:rPr>
          <w:rFonts w:hint="eastAsia" w:ascii="宋体" w:hAnsi="宋体"/>
          <w:color w:val="auto"/>
          <w:highlight w:val="none"/>
        </w:rPr>
        <w:t>21.2采购代理机构工作人员收到投标文件后，应当如实记载投标文件的送达时间和密封情况，签收保存，并向投标人出具签收回执。</w:t>
      </w:r>
    </w:p>
    <w:p>
      <w:pPr>
        <w:spacing w:line="360" w:lineRule="exact"/>
        <w:ind w:firstLine="420" w:firstLineChars="200"/>
        <w:rPr>
          <w:rFonts w:ascii="宋体" w:hAnsi="宋体"/>
          <w:color w:val="auto"/>
          <w:highlight w:val="none"/>
        </w:rPr>
      </w:pPr>
      <w:r>
        <w:rPr>
          <w:rFonts w:hint="eastAsia" w:ascii="宋体" w:hAnsi="宋体"/>
          <w:color w:val="auto"/>
          <w:highlight w:val="none"/>
        </w:rPr>
        <w:t>21.3未在规定时间内送达或者未按照招标文件要求密封或标记的投标文件，采购代理机构必须拒收。</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22. 投标文件的补充、修改与撤回</w:t>
      </w:r>
    </w:p>
    <w:p>
      <w:pPr>
        <w:snapToGrid w:val="0"/>
        <w:spacing w:line="360" w:lineRule="exact"/>
        <w:ind w:firstLine="420"/>
        <w:jc w:val="left"/>
        <w:rPr>
          <w:rFonts w:ascii="宋体" w:hAnsi="宋体"/>
          <w:color w:val="auto"/>
          <w:szCs w:val="21"/>
          <w:highlight w:val="none"/>
        </w:rPr>
      </w:pPr>
      <w:bookmarkStart w:id="121" w:name="_Toc254970684"/>
      <w:bookmarkStart w:id="122" w:name="_Toc254970543"/>
      <w:r>
        <w:rPr>
          <w:rFonts w:hint="eastAsia" w:ascii="宋体" w:hAnsi="宋体"/>
          <w:color w:val="auto"/>
          <w:szCs w:val="21"/>
          <w:highlight w:val="none"/>
        </w:rPr>
        <w:t>投标人在投标截止时间之前，可以对已提交的投标文件进行补充、修改或者撤回，并书面通知采购人或者采购代理机构。补充、修改的内容必须按照招标文件要求签署、盖章、密封和标记后，作为投标文件的组成部分。</w:t>
      </w:r>
    </w:p>
    <w:bookmarkEnd w:id="121"/>
    <w:bookmarkEnd w:id="122"/>
    <w:p>
      <w:pPr>
        <w:pStyle w:val="4"/>
        <w:snapToGrid w:val="0"/>
        <w:spacing w:line="360" w:lineRule="exact"/>
        <w:ind w:firstLine="739"/>
        <w:rPr>
          <w:rFonts w:ascii="宋体" w:hAnsi="宋体" w:eastAsia="宋体"/>
          <w:snapToGrid w:val="0"/>
          <w:color w:val="auto"/>
          <w:sz w:val="21"/>
          <w:szCs w:val="21"/>
          <w:highlight w:val="none"/>
        </w:rPr>
      </w:pPr>
    </w:p>
    <w:p>
      <w:pPr>
        <w:pStyle w:val="7"/>
        <w:spacing w:line="360" w:lineRule="exact"/>
        <w:jc w:val="center"/>
        <w:rPr>
          <w:rFonts w:ascii="宋体" w:hAnsi="宋体"/>
          <w:b w:val="0"/>
          <w:color w:val="auto"/>
          <w:sz w:val="21"/>
          <w:szCs w:val="21"/>
          <w:highlight w:val="none"/>
        </w:rPr>
      </w:pPr>
      <w:bookmarkStart w:id="123" w:name="_Toc254970685"/>
      <w:bookmarkStart w:id="124" w:name="_Toc254970544"/>
      <w:r>
        <w:rPr>
          <w:rFonts w:hint="eastAsia"/>
          <w:color w:val="auto"/>
          <w:highlight w:val="none"/>
        </w:rPr>
        <w:t>四、开标</w:t>
      </w:r>
      <w:bookmarkEnd w:id="123"/>
      <w:bookmarkEnd w:id="124"/>
    </w:p>
    <w:p>
      <w:pPr>
        <w:pStyle w:val="9"/>
        <w:spacing w:before="0" w:after="0" w:line="360" w:lineRule="exact"/>
        <w:ind w:left="420" w:leftChars="200"/>
        <w:rPr>
          <w:rFonts w:ascii="宋体" w:hAnsi="宋体"/>
          <w:color w:val="auto"/>
          <w:sz w:val="21"/>
          <w:szCs w:val="21"/>
          <w:highlight w:val="none"/>
        </w:rPr>
      </w:pPr>
      <w:bookmarkStart w:id="125" w:name="_23.开标时间和地点"/>
      <w:bookmarkEnd w:id="125"/>
      <w:r>
        <w:rPr>
          <w:rFonts w:hint="eastAsia" w:ascii="宋体" w:hAnsi="宋体"/>
          <w:color w:val="auto"/>
          <w:sz w:val="21"/>
          <w:szCs w:val="21"/>
          <w:highlight w:val="none"/>
        </w:rPr>
        <w:t>23.开标时间和地点</w:t>
      </w:r>
    </w:p>
    <w:p>
      <w:pPr>
        <w:pStyle w:val="25"/>
        <w:snapToGrid w:val="0"/>
        <w:spacing w:line="360" w:lineRule="exact"/>
        <w:ind w:firstLine="420" w:firstLineChars="200"/>
        <w:rPr>
          <w:rFonts w:hAnsi="宋体"/>
          <w:bCs/>
          <w:color w:val="auto"/>
          <w:sz w:val="21"/>
          <w:highlight w:val="none"/>
        </w:rPr>
      </w:pPr>
      <w:r>
        <w:rPr>
          <w:rFonts w:hint="eastAsia" w:hAnsi="宋体"/>
          <w:bCs/>
          <w:color w:val="auto"/>
          <w:sz w:val="21"/>
          <w:highlight w:val="none"/>
        </w:rPr>
        <w:t>采购代理机构将在“投标人须知前附表”规定的时间和地点进行开标，投标人未参加开标的，视同认可开标过程和结果。本项目开标过程实行全程录音、录像监控。</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24.开标程序：</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（1）宣布开标：开标会由采购代理机构主持，主持人宣布开标开始；</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 xml:space="preserve">（2）主持人介绍参加开标会的人员名单； </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（3）主持人宣布开标纪律；</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（4）检查文件：由各投标人检查各自的投标文件密封情况并签字确认（如因疫情情况，投标人不需到现场开标，则由采购人代表、监督检查投标文件密封性）。</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（5）唱标：经投标人确认各自投标文件密封无误后，由采购代理机构工作当众拆封，宣布投标人名称、投标价格和其他需要宣布的内容。</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（6）开标过程由采购代理机构如实记录，由参加开标的各投标人代表对开标记录进行当场校核及勘误，并签字确认。投标人代表未到场签字确认或者拒绝签字确认的，视同认可开标结果；</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7）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（8）开标结束。</w:t>
      </w:r>
    </w:p>
    <w:p>
      <w:pPr>
        <w:pStyle w:val="25"/>
        <w:snapToGrid w:val="0"/>
        <w:spacing w:line="360" w:lineRule="exact"/>
        <w:ind w:left="689" w:leftChars="228" w:hanging="210" w:hangingChars="100"/>
        <w:rPr>
          <w:rFonts w:hAnsi="宋体"/>
          <w:color w:val="auto"/>
          <w:sz w:val="21"/>
          <w:highlight w:val="none"/>
        </w:rPr>
      </w:pPr>
    </w:p>
    <w:p>
      <w:pPr>
        <w:pStyle w:val="7"/>
        <w:spacing w:line="360" w:lineRule="exact"/>
        <w:jc w:val="center"/>
        <w:rPr>
          <w:rFonts w:ascii="宋体" w:hAnsi="宋体"/>
          <w:b w:val="0"/>
          <w:color w:val="auto"/>
          <w:sz w:val="21"/>
          <w:szCs w:val="21"/>
          <w:highlight w:val="none"/>
        </w:rPr>
      </w:pPr>
      <w:r>
        <w:rPr>
          <w:rFonts w:hint="eastAsia"/>
          <w:color w:val="auto"/>
          <w:highlight w:val="none"/>
        </w:rPr>
        <w:t>五、资格审查</w:t>
      </w:r>
    </w:p>
    <w:p>
      <w:pPr>
        <w:pStyle w:val="9"/>
        <w:numPr>
          <w:ilvl w:val="0"/>
          <w:numId w:val="0"/>
        </w:numPr>
        <w:spacing w:before="0" w:after="0" w:line="360" w:lineRule="exact"/>
        <w:ind w:firstLine="422" w:firstLineChars="200"/>
        <w:rPr>
          <w:rFonts w:ascii="宋体" w:hAnsi="宋体"/>
          <w:color w:val="auto"/>
          <w:sz w:val="21"/>
          <w:szCs w:val="21"/>
          <w:highlight w:val="none"/>
        </w:rPr>
      </w:pPr>
      <w:r>
        <w:rPr>
          <w:rFonts w:hint="eastAsia" w:ascii="宋体" w:hAnsi="宋体"/>
          <w:color w:val="auto"/>
          <w:sz w:val="21"/>
          <w:szCs w:val="21"/>
          <w:highlight w:val="none"/>
        </w:rPr>
        <w:t>25.资格审查</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25.1</w:t>
      </w:r>
      <w:r>
        <w:rPr>
          <w:rFonts w:ascii="宋体" w:hAnsi="宋体"/>
          <w:color w:val="auto"/>
          <w:highlight w:val="none"/>
        </w:rPr>
        <w:t>开标结束后，</w:t>
      </w:r>
      <w:r>
        <w:rPr>
          <w:rFonts w:hint="eastAsia" w:ascii="宋体" w:hAnsi="宋体"/>
          <w:color w:val="auto"/>
          <w:highlight w:val="none"/>
        </w:rPr>
        <w:t>采购人或采购代理机构</w:t>
      </w:r>
      <w:r>
        <w:rPr>
          <w:rFonts w:ascii="宋体" w:hAnsi="宋体"/>
          <w:color w:val="auto"/>
          <w:highlight w:val="none"/>
        </w:rPr>
        <w:t>依法对投标人的资格进行审查。</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 25.2资格审查标准为本招标文件中载明对投标人资格要求的条件。本项目资格审查采用合格制，凡符合招标文件规定的投标人资格要求的投标人均通过资格审查。</w:t>
      </w:r>
    </w:p>
    <w:p>
      <w:pPr>
        <w:spacing w:line="360" w:lineRule="exact"/>
        <w:ind w:firstLine="527" w:firstLineChars="250"/>
        <w:rPr>
          <w:rFonts w:ascii="宋体" w:hAnsi="宋体"/>
          <w:b/>
          <w:color w:val="auto"/>
          <w:highlight w:val="none"/>
        </w:rPr>
      </w:pPr>
      <w:bookmarkStart w:id="126" w:name="_25.3_投标人有下列情形之一的，资格审查不通过而导致其投标无效："/>
      <w:bookmarkEnd w:id="126"/>
      <w:r>
        <w:rPr>
          <w:rFonts w:hint="eastAsia" w:ascii="宋体" w:hAnsi="宋体"/>
          <w:b/>
          <w:color w:val="auto"/>
          <w:highlight w:val="none"/>
        </w:rPr>
        <w:t>25.3 投标人有下列情形之一的，资格审查不通过而导致其投标无效：</w:t>
      </w:r>
    </w:p>
    <w:p>
      <w:pPr>
        <w:spacing w:line="360" w:lineRule="exact"/>
        <w:ind w:firstLine="422" w:firstLineChars="200"/>
        <w:rPr>
          <w:rFonts w:ascii="宋体" w:hAnsi="宋体"/>
          <w:b/>
          <w:color w:val="auto"/>
          <w:highlight w:val="none"/>
        </w:rPr>
      </w:pPr>
      <w:r>
        <w:rPr>
          <w:rFonts w:hint="eastAsia" w:ascii="宋体" w:hAnsi="宋体"/>
          <w:b/>
          <w:color w:val="auto"/>
          <w:highlight w:val="none"/>
        </w:rPr>
        <w:t>（1）不具备招标文件中规定的资格要求的；（注：其中信用查询由采购人或采购代理机构在“信用中国”网站(www.creditchina.gov.cn) 、中国政府采购网(www.ccgp.gov.cn)对投标人资格审查时进行，查询规则见“投标人须知前附表”）</w:t>
      </w:r>
    </w:p>
    <w:p>
      <w:pPr>
        <w:spacing w:line="360" w:lineRule="exact"/>
        <w:ind w:firstLine="420" w:firstLineChars="200"/>
        <w:rPr>
          <w:rFonts w:ascii="宋体" w:hAnsi="宋体"/>
          <w:color w:val="auto"/>
          <w:highlight w:val="none"/>
        </w:rPr>
      </w:pPr>
      <w:r>
        <w:rPr>
          <w:rFonts w:hint="eastAsia" w:ascii="宋体" w:hAnsi="宋体"/>
          <w:color w:val="auto"/>
          <w:highlight w:val="none"/>
        </w:rPr>
        <w:t>（2）未按招标文件规定的方式获取本招标文件的投标人；</w:t>
      </w:r>
    </w:p>
    <w:p>
      <w:pPr>
        <w:spacing w:line="360" w:lineRule="exact"/>
        <w:ind w:firstLine="420" w:firstLineChars="200"/>
        <w:rPr>
          <w:rFonts w:ascii="宋体" w:hAnsi="宋体"/>
          <w:color w:val="auto"/>
          <w:highlight w:val="none"/>
        </w:rPr>
      </w:pPr>
      <w:r>
        <w:rPr>
          <w:rFonts w:hint="eastAsia" w:ascii="宋体" w:hAnsi="宋体"/>
          <w:color w:val="auto"/>
          <w:highlight w:val="none"/>
        </w:rPr>
        <w:t>（3）投标文件未提供“投标人须知前附表”第13.2条规定“必须提供”的文件资料的或提供的文件资料不合格的；</w:t>
      </w:r>
    </w:p>
    <w:p>
      <w:pPr>
        <w:spacing w:line="360" w:lineRule="exact"/>
        <w:ind w:firstLine="420" w:firstLineChars="200"/>
        <w:rPr>
          <w:rFonts w:ascii="宋体" w:hAnsi="宋体"/>
          <w:color w:val="auto"/>
          <w:highlight w:val="none"/>
        </w:rPr>
      </w:pPr>
      <w:r>
        <w:rPr>
          <w:rFonts w:hint="eastAsia" w:ascii="宋体" w:hAnsi="宋体"/>
          <w:color w:val="auto"/>
          <w:highlight w:val="none"/>
        </w:rPr>
        <w:t>（4）未取得按照法律法规规定必须获得的行政许可证或者行政审批的经营范围；</w:t>
      </w:r>
    </w:p>
    <w:p>
      <w:pPr>
        <w:spacing w:line="360" w:lineRule="exact"/>
        <w:ind w:firstLine="420" w:firstLineChars="200"/>
        <w:rPr>
          <w:rFonts w:ascii="宋体" w:hAnsi="宋体"/>
          <w:color w:val="auto"/>
          <w:highlight w:val="none"/>
        </w:rPr>
      </w:pPr>
      <w:r>
        <w:rPr>
          <w:rFonts w:hint="eastAsia" w:ascii="宋体" w:hAnsi="宋体"/>
          <w:color w:val="auto"/>
          <w:highlight w:val="none"/>
        </w:rPr>
        <w:t>（5）违反国家法律法规规定的其他资格内容的。</w:t>
      </w:r>
    </w:p>
    <w:p>
      <w:pPr>
        <w:spacing w:line="360" w:lineRule="exact"/>
        <w:ind w:firstLine="422" w:firstLineChars="200"/>
        <w:rPr>
          <w:rFonts w:ascii="宋体" w:hAnsi="宋体"/>
          <w:b/>
          <w:color w:val="auto"/>
          <w:highlight w:val="none"/>
        </w:rPr>
      </w:pPr>
      <w:r>
        <w:rPr>
          <w:rFonts w:hint="eastAsia" w:ascii="宋体" w:hAnsi="宋体"/>
          <w:b/>
          <w:color w:val="auto"/>
          <w:highlight w:val="none"/>
        </w:rPr>
        <w:t>25.4资格审查的</w:t>
      </w:r>
      <w:r>
        <w:rPr>
          <w:rFonts w:ascii="宋体" w:hAnsi="宋体"/>
          <w:b/>
          <w:color w:val="auto"/>
          <w:highlight w:val="none"/>
        </w:rPr>
        <w:t>合格投标人不足3家的，不得评标。</w:t>
      </w:r>
    </w:p>
    <w:p>
      <w:pPr>
        <w:pStyle w:val="25"/>
        <w:snapToGrid w:val="0"/>
        <w:spacing w:line="360" w:lineRule="exact"/>
        <w:ind w:left="689" w:leftChars="228" w:hanging="210" w:hangingChars="100"/>
        <w:rPr>
          <w:rFonts w:hAnsi="宋体"/>
          <w:color w:val="auto"/>
          <w:sz w:val="21"/>
          <w:highlight w:val="none"/>
        </w:rPr>
      </w:pPr>
    </w:p>
    <w:p>
      <w:pPr>
        <w:pStyle w:val="7"/>
        <w:spacing w:line="360" w:lineRule="exact"/>
        <w:jc w:val="center"/>
        <w:rPr>
          <w:rFonts w:ascii="宋体" w:hAnsi="宋体"/>
          <w:b w:val="0"/>
          <w:color w:val="auto"/>
          <w:sz w:val="21"/>
          <w:szCs w:val="21"/>
          <w:highlight w:val="none"/>
        </w:rPr>
      </w:pPr>
      <w:r>
        <w:rPr>
          <w:rFonts w:hint="eastAsia"/>
          <w:color w:val="auto"/>
          <w:highlight w:val="none"/>
        </w:rPr>
        <w:t>六、评标</w:t>
      </w:r>
    </w:p>
    <w:p>
      <w:pPr>
        <w:pStyle w:val="9"/>
        <w:spacing w:before="0" w:after="0" w:line="360" w:lineRule="exact"/>
        <w:ind w:left="420" w:leftChars="200"/>
        <w:rPr>
          <w:rFonts w:ascii="宋体" w:hAnsi="宋体"/>
          <w:color w:val="auto"/>
          <w:sz w:val="21"/>
          <w:szCs w:val="21"/>
          <w:highlight w:val="none"/>
        </w:rPr>
      </w:pPr>
      <w:bookmarkStart w:id="127" w:name="_26.组建评标委员会"/>
      <w:bookmarkEnd w:id="127"/>
      <w:r>
        <w:rPr>
          <w:rFonts w:hint="eastAsia" w:ascii="宋体" w:hAnsi="宋体"/>
          <w:color w:val="auto"/>
          <w:sz w:val="21"/>
          <w:szCs w:val="21"/>
          <w:highlight w:val="none"/>
        </w:rPr>
        <w:t>26.组建评标委员会</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评标委员会由采购人代表和评审专家组成，人数见“投标人须知前附表”，其中评审专家不得少于成员总数的三分之二。</w:t>
      </w:r>
    </w:p>
    <w:p>
      <w:pPr>
        <w:pStyle w:val="25"/>
        <w:snapToGrid w:val="0"/>
        <w:spacing w:line="360" w:lineRule="exact"/>
        <w:ind w:left="2" w:leftChars="1" w:firstLine="420" w:firstLineChars="200"/>
        <w:rPr>
          <w:rFonts w:hAnsi="宋体"/>
          <w:color w:val="auto"/>
          <w:sz w:val="21"/>
          <w:highlight w:val="none"/>
        </w:rPr>
      </w:pPr>
      <w:r>
        <w:rPr>
          <w:rFonts w:hint="eastAsia" w:hAnsi="宋体"/>
          <w:color w:val="auto"/>
          <w:sz w:val="21"/>
          <w:highlight w:val="none"/>
        </w:rPr>
        <w:t>参加过采购项目前期咨询论证的专家，不得参加该采购项目的评审活动。</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27.评标的依据</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评标委员会以招标文件为依据对投标文件进行评审, 招标文件中没有规定的评标标准不得作为评审的依据。</w:t>
      </w:r>
    </w:p>
    <w:p>
      <w:pPr>
        <w:pStyle w:val="9"/>
        <w:numPr>
          <w:ilvl w:val="0"/>
          <w:numId w:val="0"/>
        </w:numPr>
        <w:spacing w:before="0" w:after="0" w:line="360" w:lineRule="exact"/>
        <w:ind w:firstLine="413" w:firstLineChars="196"/>
        <w:rPr>
          <w:rFonts w:ascii="宋体" w:hAnsi="宋体"/>
          <w:color w:val="auto"/>
          <w:sz w:val="21"/>
          <w:szCs w:val="21"/>
          <w:highlight w:val="none"/>
        </w:rPr>
      </w:pPr>
      <w:r>
        <w:rPr>
          <w:rFonts w:hint="eastAsia" w:ascii="宋体" w:hAnsi="宋体"/>
          <w:color w:val="auto"/>
          <w:sz w:val="21"/>
          <w:szCs w:val="21"/>
          <w:highlight w:val="none"/>
        </w:rPr>
        <w:t>28.评标原则和评标办法</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28.1评标原则。评标委员会评标时必须公平、公正、客观，不带任何倾向性和启发性；不得向外界透露任何与评标有关的内容；任何单位和个人不得干扰、影响评标的正常进行；评标委员会及有关工作人员不得私下与投标人接触，收受利害关系人的财物或其他好处。</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28.2评委表决。在评标过程中出现法律法规和招标文件均没有明确规定的情形时，由评标委员会现场协商解决，协商不一致的，由全体评委投票表决，以得票率二分之一以上专家的意见为准。</w:t>
      </w:r>
      <w:bookmarkStart w:id="128" w:name="_28.3评标方法。本项目将按须知前附表规定的评标办法进行评标，具体评标"/>
      <w:bookmarkEnd w:id="128"/>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28.3评标方法。本项目将按“投标人须知前附表”规定的评标方法进行评标，具体评标内容及评分标准等详见第四章：评标方法及评标标准。</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28.4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29.评标程序</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29.1符合性审查</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评标委员会应当对符合资格的投标人的投标文件进行投标报价、商务、技术等实质性要求符合性审查，以确定其是否满足招标文件的实质性要求。</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29.2符合性审查不通过而导致投标无效的情形</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投标人的投标文件中存在对招标文件的任何实质性要求和条件的负偏离，其投标将被视为投标无效。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29.2.1在报价评审时，如发现下列情形之一的，将被视为投标无效：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投标文件未提供“投标人须知前附表”第13.1条规定中“必须提供”的文件资料的;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未采用人民币报价或者未按照招标文件标明的币种报价的；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报价超出招标文件规定最高限价，或者超出采购预算金额的；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修正后的报价，投标人不确认的；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投标人属于本须知第29.4条第（2）项情形的；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29.2.2在商务评审时，如发现下列情形之一的，将被视为投标无效：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投标文件未按招标文件要求签署、盖章的；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 xml:space="preserve">委托代理人未能出具有效身份证明或出具的身份证明与授权委托书中的信息不符的； </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为无效投标保证金的或未按照招标文件的规定提交投标保证金的；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（4）投标文件未提供“投标人须知前附表”第13.3条规定中“必须提供”或者“委托时必须提供”的文件资料的;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（5）投标有效期、项目完成时间（交货时间、服务完成时间或服务期等）、质保期、售后服务等招标文件中标“▲”的商务条款发生负偏离的；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（6）商务评审允许负偏离的项目数超过“投标人须知前附表”规定项数的。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（7）投标文件的实质性内容未使用中文表述、使用计量单位不符合招标文件要求的；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（8）投标文件中的文件资料因填写不齐全或者内容虚假或者出现其他情形而导致被评标委员会认定无效的；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（9）投标文件含有采购人不能接受的附加条件的；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（10）未响应招标文件实质性要求的；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（11）属于投标人须知第8.6条和第8.8条（2）的情形的；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（12）法律、法规和招标文件规定的其他无效情形。</w:t>
      </w:r>
    </w:p>
    <w:p>
      <w:pPr>
        <w:spacing w:line="360" w:lineRule="exact"/>
        <w:ind w:firstLine="420" w:firstLineChars="200"/>
        <w:rPr>
          <w:rFonts w:ascii="宋体" w:hAnsi="宋体"/>
          <w:bCs/>
          <w:color w:val="auto"/>
          <w:szCs w:val="21"/>
          <w:highlight w:val="none"/>
        </w:rPr>
      </w:pPr>
      <w:bookmarkStart w:id="129" w:name="_29.2.2在技术评审时，如发现下列情形之一的，将被视为投标无效："/>
      <w:bookmarkEnd w:id="129"/>
      <w:r>
        <w:rPr>
          <w:rFonts w:hint="eastAsia" w:ascii="宋体" w:hAnsi="宋体"/>
          <w:bCs/>
          <w:color w:val="auto"/>
          <w:szCs w:val="21"/>
          <w:highlight w:val="none"/>
        </w:rPr>
        <w:t>29.2.3在技术评审时，如发现下列情形之一的，将被视为投标无效：</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（1）明显不满足招标文件要求的技术规格、安全、质量标准，或者与招标文件中标“▲”的技术指标、主要功能发生负偏离的；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（2）技术评审允许负偏离的项目数超过“投标人须知前附表”规定项数的；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（3）投标文件未提供“投标人须知前附表”第13.4条规定中“必须提供”的文件资料的;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（4）虚假投标，或者出现其他情形而导致被评标委员会认定无效的；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（5）投标技术方案不明确，招标文件未允许但存在一个或一个以上备选（替代）投标方案的。</w:t>
      </w:r>
    </w:p>
    <w:p>
      <w:pPr>
        <w:spacing w:line="360" w:lineRule="exact"/>
        <w:ind w:firstLine="420" w:firstLineChars="200"/>
        <w:rPr>
          <w:rFonts w:ascii="宋体" w:hAnsi="宋体"/>
          <w:bCs/>
          <w:color w:val="auto"/>
          <w:szCs w:val="21"/>
          <w:highlight w:val="none"/>
        </w:rPr>
      </w:pPr>
      <w:r>
        <w:rPr>
          <w:rFonts w:hint="eastAsia" w:ascii="宋体" w:hAnsi="宋体"/>
          <w:bCs/>
          <w:color w:val="auto"/>
          <w:szCs w:val="21"/>
          <w:highlight w:val="none"/>
        </w:rPr>
        <w:t>29.3澄清补正</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29.4比较与评价</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（1）评标委员会按照招标文件中规定的评标方法和评标标准，对符合性审查合格的投标文件进行商务和技术评估，综合比较与评价。</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（2）评标委员会应当独立对每个投标人的投标文件进行评价，并汇总每个投标人的得分。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ascii="宋体" w:hAnsi="宋体"/>
          <w:b/>
          <w:color w:val="auto"/>
          <w:sz w:val="24"/>
          <w:szCs w:val="21"/>
          <w:highlight w:val="none"/>
        </w:rPr>
        <w:t>评标委员会应当将其作为无效投标处理。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（3）评标委员会按照招标文件中规定的评标方法和标准计算各投标人的报价得分。在计算过程中，不得去掉最高报价或最低报价。</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（4）各投标人的得分为所有评委的有效评分的算术平均数。</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（5）评标委员会按照招标文件中的规定推荐中标候选人。</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29.5投标文件修正</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 xml:space="preserve">29.5.1投标文件报价出现前后不一致的，按照下列规定修正： </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（1）投标文件中开标一览表（报价表）内容与投标文件中相应内容不一致的，以开标一览表（报价表）为准；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（2）大写金额和小写金额不一致的，以大写金额为准；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（3）单价金额小数点或者百分比有明显错位的，以开标一览表的总价为准，并修改单价；</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（4）总价金额与按单价汇总金额不一致的，以单价金额计算结果为准。</w:t>
      </w:r>
    </w:p>
    <w:p>
      <w:pPr>
        <w:spacing w:line="360" w:lineRule="exact"/>
        <w:ind w:firstLine="482" w:firstLineChars="200"/>
        <w:rPr>
          <w:rFonts w:ascii="宋体" w:hAnsi="宋体"/>
          <w:b/>
          <w:color w:val="auto"/>
          <w:sz w:val="24"/>
          <w:szCs w:val="21"/>
          <w:highlight w:val="none"/>
        </w:rPr>
      </w:pPr>
      <w:r>
        <w:rPr>
          <w:rFonts w:hint="eastAsia" w:ascii="宋体" w:hAnsi="宋体"/>
          <w:b/>
          <w:color w:val="auto"/>
          <w:sz w:val="24"/>
          <w:szCs w:val="21"/>
          <w:highlight w:val="none"/>
        </w:rPr>
        <w:t>同时出现两种以上不一致的，按照以上（1）-（4）规定的顺序修正。修正后的报价经投标人确认后产生约束力，投标人不确认的，其投标无效。</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29.5.2经投标人确认修正后的报价若超过采购预算金额，</w:t>
      </w:r>
      <w:r>
        <w:rPr>
          <w:rFonts w:hint="eastAsia" w:ascii="宋体" w:hAnsi="宋体"/>
          <w:b/>
          <w:color w:val="auto"/>
          <w:sz w:val="24"/>
          <w:szCs w:val="21"/>
          <w:highlight w:val="none"/>
        </w:rPr>
        <w:t>投标人的投标文件作无效投标处理。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29.5.3经投标人确认修正后的报价作为签订合同的一个依据，并以此报价计算价格分。</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29.6.评标过程的监控</w:t>
      </w:r>
    </w:p>
    <w:p>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本项目评标过程实行全程录音、录像监控，投标人在评标过程中所进行的试图影响评标结果的不公正活动，</w:t>
      </w:r>
      <w:r>
        <w:rPr>
          <w:rFonts w:hint="eastAsia" w:ascii="宋体" w:hAnsi="宋体"/>
          <w:b/>
          <w:color w:val="auto"/>
          <w:sz w:val="24"/>
          <w:szCs w:val="21"/>
          <w:highlight w:val="none"/>
        </w:rPr>
        <w:t>可能导致其投标按无效处理。</w:t>
      </w:r>
    </w:p>
    <w:p>
      <w:pPr>
        <w:pStyle w:val="25"/>
        <w:snapToGrid w:val="0"/>
        <w:spacing w:line="360" w:lineRule="exact"/>
        <w:rPr>
          <w:rFonts w:hAnsi="宋体"/>
          <w:color w:val="auto"/>
          <w:sz w:val="21"/>
          <w:highlight w:val="none"/>
        </w:rPr>
      </w:pPr>
    </w:p>
    <w:p>
      <w:pPr>
        <w:pStyle w:val="7"/>
        <w:spacing w:line="360" w:lineRule="exact"/>
        <w:jc w:val="center"/>
        <w:rPr>
          <w:rFonts w:ascii="宋体" w:hAnsi="宋体"/>
          <w:b w:val="0"/>
          <w:color w:val="auto"/>
          <w:sz w:val="21"/>
          <w:szCs w:val="21"/>
          <w:highlight w:val="none"/>
        </w:rPr>
      </w:pPr>
      <w:bookmarkStart w:id="130" w:name="_Toc254970687"/>
      <w:bookmarkStart w:id="131" w:name="_Toc254970546"/>
      <w:r>
        <w:rPr>
          <w:rFonts w:hint="eastAsia"/>
          <w:color w:val="auto"/>
          <w:highlight w:val="none"/>
        </w:rPr>
        <w:t>七、</w:t>
      </w:r>
      <w:bookmarkEnd w:id="130"/>
      <w:bookmarkEnd w:id="131"/>
      <w:r>
        <w:rPr>
          <w:rFonts w:hint="eastAsia"/>
          <w:color w:val="auto"/>
          <w:highlight w:val="none"/>
        </w:rPr>
        <w:t>中标和合同</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30.中标人确定</w:t>
      </w:r>
    </w:p>
    <w:p>
      <w:pPr>
        <w:spacing w:line="360" w:lineRule="exact"/>
        <w:ind w:firstLine="420" w:firstLineChars="200"/>
        <w:rPr>
          <w:rFonts w:ascii="宋体" w:hAnsi="宋体"/>
          <w:color w:val="auto"/>
          <w:highlight w:val="none"/>
        </w:rPr>
      </w:pPr>
      <w:r>
        <w:rPr>
          <w:rFonts w:hint="eastAsia" w:ascii="宋体" w:hAnsi="宋体"/>
          <w:color w:val="auto"/>
          <w:highlight w:val="none"/>
        </w:rPr>
        <w:t>30.1采购代理机构在评标结束之日起2个工作日内将评标报告送采购人，采购人在收到评标报告之日起5个工作日内，在评标报告确定的中标候选人名单中按顺序确定中标人。中标候选人并列的，按照“投标人须知前附表”规定的方式确定中标人。</w:t>
      </w:r>
    </w:p>
    <w:p>
      <w:pPr>
        <w:spacing w:line="360" w:lineRule="exact"/>
        <w:ind w:firstLine="420" w:firstLineChars="200"/>
        <w:rPr>
          <w:rFonts w:ascii="宋体" w:hAnsi="宋体"/>
          <w:color w:val="auto"/>
          <w:highlight w:val="none"/>
        </w:rPr>
      </w:pPr>
      <w:r>
        <w:rPr>
          <w:rFonts w:hint="eastAsia" w:ascii="宋体" w:hAnsi="宋体"/>
          <w:color w:val="auto"/>
          <w:highlight w:val="none"/>
        </w:rPr>
        <w:t>采购人也可以事先授权评标委员会直接确定中标人。</w:t>
      </w:r>
    </w:p>
    <w:p>
      <w:pPr>
        <w:spacing w:line="360" w:lineRule="exact"/>
        <w:ind w:firstLine="420" w:firstLineChars="200"/>
        <w:rPr>
          <w:rFonts w:ascii="宋体" w:hAnsi="宋体"/>
          <w:color w:val="auto"/>
          <w:highlight w:val="none"/>
        </w:rPr>
      </w:pPr>
      <w:r>
        <w:rPr>
          <w:rFonts w:hint="eastAsia" w:ascii="宋体" w:hAnsi="宋体"/>
          <w:color w:val="auto"/>
          <w:highlight w:val="none"/>
        </w:rPr>
        <w:t>采购人在收到评标报告5个工作日内未按评标报告推荐的中标候选人顺序确定中标人，又不能说明合法理由的，视同按评标报告推荐的顺序确定排名第一的中标候选人为中标人。</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31.中标结果公告</w:t>
      </w:r>
    </w:p>
    <w:p>
      <w:pPr>
        <w:spacing w:line="360" w:lineRule="exact"/>
        <w:ind w:firstLine="420" w:firstLineChars="200"/>
        <w:rPr>
          <w:rFonts w:ascii="宋体" w:hAnsi="宋体"/>
          <w:color w:val="auto"/>
          <w:highlight w:val="none"/>
        </w:rPr>
      </w:pPr>
      <w:r>
        <w:rPr>
          <w:rFonts w:hint="eastAsia" w:ascii="宋体" w:hAnsi="宋体"/>
          <w:color w:val="auto"/>
          <w:highlight w:val="none"/>
        </w:rPr>
        <w:t>31.1中标人确定后，于中标人确定之日起2个工作日内，中标结果将在招标公告发布媒体上公告。采购人或采购代理发出中标通知书前，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pPr>
        <w:spacing w:line="360" w:lineRule="exact"/>
        <w:ind w:firstLine="420" w:firstLineChars="200"/>
        <w:rPr>
          <w:rFonts w:ascii="宋体" w:hAnsi="宋体"/>
          <w:color w:val="auto"/>
          <w:highlight w:val="none"/>
        </w:rPr>
      </w:pPr>
      <w:r>
        <w:rPr>
          <w:rFonts w:hint="eastAsia" w:ascii="宋体" w:hAnsi="宋体"/>
          <w:color w:val="auto"/>
          <w:highlight w:val="none"/>
        </w:rPr>
        <w:t>排名第二的中标候选人因前款规定的同样原因被取消中标资格的，采购人可以确定排名第三的中标候选人为中标人，以此类推。</w:t>
      </w:r>
    </w:p>
    <w:p>
      <w:pPr>
        <w:spacing w:line="360" w:lineRule="exact"/>
        <w:ind w:firstLine="420" w:firstLineChars="200"/>
        <w:rPr>
          <w:rFonts w:ascii="宋体" w:hAnsi="宋体"/>
          <w:color w:val="auto"/>
          <w:highlight w:val="none"/>
        </w:rPr>
      </w:pPr>
      <w:r>
        <w:rPr>
          <w:rFonts w:hint="eastAsia" w:ascii="宋体" w:hAnsi="宋体"/>
          <w:color w:val="auto"/>
          <w:highlight w:val="none"/>
        </w:rPr>
        <w:t>以上信息查询记录及相关证据与采购文件一并保存。</w:t>
      </w:r>
    </w:p>
    <w:p>
      <w:pPr>
        <w:spacing w:line="360" w:lineRule="exact"/>
        <w:ind w:firstLine="420" w:firstLineChars="200"/>
        <w:rPr>
          <w:rFonts w:ascii="宋体" w:hAnsi="宋体"/>
          <w:color w:val="auto"/>
          <w:highlight w:val="none"/>
        </w:rPr>
      </w:pPr>
      <w:r>
        <w:rPr>
          <w:rFonts w:hint="eastAsia" w:ascii="宋体" w:hAnsi="宋体"/>
          <w:color w:val="auto"/>
          <w:highlight w:val="none"/>
        </w:rPr>
        <w:t>中小企业在政府采购活动过程中，请根据自己的真实情况出具《中小企业声明函》。依法享受中小企业优惠政策的，采购人或采购代理机构在公告中标结果时，同时公告其《中小企业声明函》，接受社会监督。</w:t>
      </w:r>
    </w:p>
    <w:p>
      <w:pPr>
        <w:pStyle w:val="9"/>
        <w:numPr>
          <w:ilvl w:val="0"/>
          <w:numId w:val="0"/>
        </w:numPr>
        <w:spacing w:before="0" w:after="0" w:line="360" w:lineRule="exact"/>
        <w:ind w:firstLine="413" w:firstLineChars="196"/>
        <w:rPr>
          <w:rFonts w:ascii="宋体" w:hAnsi="宋体"/>
          <w:color w:val="auto"/>
          <w:sz w:val="21"/>
          <w:szCs w:val="21"/>
          <w:highlight w:val="none"/>
        </w:rPr>
      </w:pPr>
      <w:r>
        <w:rPr>
          <w:rFonts w:hint="eastAsia" w:ascii="宋体" w:hAnsi="宋体"/>
          <w:color w:val="auto"/>
          <w:sz w:val="21"/>
          <w:szCs w:val="21"/>
          <w:highlight w:val="none"/>
        </w:rPr>
        <w:t>32.在发布中标公告的同时，采购代理机构向中标人发出中标通知书。对未通过资格审查的投标人，应当告知其未通过的原因；采用综合评分办法评审的，还应当告知未中标人本人的评审得分与排序。</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33.合同授予标准</w:t>
      </w:r>
    </w:p>
    <w:p>
      <w:pPr>
        <w:snapToGrid w:val="0"/>
        <w:spacing w:line="360" w:lineRule="exact"/>
        <w:ind w:firstLine="420" w:firstLineChars="200"/>
        <w:rPr>
          <w:rFonts w:ascii="宋体" w:hAnsi="宋体"/>
          <w:color w:val="auto"/>
          <w:szCs w:val="21"/>
          <w:highlight w:val="none"/>
        </w:rPr>
      </w:pPr>
      <w:r>
        <w:rPr>
          <w:rFonts w:hint="eastAsia" w:ascii="宋体" w:hAnsi="宋体" w:cs="Courier New"/>
          <w:color w:val="auto"/>
          <w:szCs w:val="21"/>
          <w:highlight w:val="none"/>
        </w:rPr>
        <w:t>合同将授予被确定实质上响应招标文件要求，具备履行合同能力，综合评分排名第一的投标人（招标文件另有约定多名中标人的除外）。</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34.履约保证金</w:t>
      </w:r>
    </w:p>
    <w:p>
      <w:pPr>
        <w:spacing w:line="360" w:lineRule="exact"/>
        <w:ind w:firstLine="420" w:firstLineChars="200"/>
        <w:rPr>
          <w:rFonts w:ascii="宋体" w:hAnsi="宋体"/>
          <w:color w:val="auto"/>
          <w:highlight w:val="none"/>
        </w:rPr>
      </w:pPr>
      <w:bookmarkStart w:id="132" w:name="_39.1中标人须于签订合同前按本须知前附表规定的金额转账或电汇到指定账"/>
      <w:bookmarkEnd w:id="132"/>
      <w:r>
        <w:rPr>
          <w:rFonts w:hint="eastAsia" w:ascii="宋体" w:hAnsi="宋体"/>
          <w:color w:val="auto"/>
          <w:highlight w:val="none"/>
        </w:rPr>
        <w:t>35.1</w:t>
      </w:r>
      <w:r>
        <w:rPr>
          <w:rFonts w:hint="eastAsia" w:ascii="宋体" w:hAnsi="宋体"/>
          <w:b/>
          <w:color w:val="auto"/>
          <w:szCs w:val="21"/>
          <w:highlight w:val="none"/>
        </w:rPr>
        <w:t>根据《广西壮族自治区财政厅关于贯彻落实政府采购优化营商环境百日攻坚行动方案的通知》（桂财采〔2020〕49号）规定，鼓励采购人在与中小微企业签订政府采购合同时，减少或免于收取履约保证金</w:t>
      </w:r>
      <w:r>
        <w:rPr>
          <w:rFonts w:hint="eastAsia" w:ascii="宋体" w:hAnsi="宋体"/>
          <w:color w:val="auto"/>
          <w:highlight w:val="none"/>
        </w:rPr>
        <w:t>。</w:t>
      </w:r>
    </w:p>
    <w:p>
      <w:pPr>
        <w:pStyle w:val="9"/>
        <w:spacing w:before="0" w:after="0" w:line="360" w:lineRule="exact"/>
        <w:ind w:left="420" w:leftChars="200"/>
        <w:rPr>
          <w:rFonts w:ascii="宋体" w:hAnsi="宋体"/>
          <w:color w:val="auto"/>
          <w:sz w:val="21"/>
          <w:szCs w:val="21"/>
          <w:highlight w:val="none"/>
        </w:rPr>
      </w:pPr>
      <w:r>
        <w:rPr>
          <w:rFonts w:hint="eastAsia" w:ascii="宋体" w:hAnsi="宋体"/>
          <w:color w:val="auto"/>
          <w:sz w:val="21"/>
          <w:szCs w:val="21"/>
          <w:highlight w:val="none"/>
        </w:rPr>
        <w:t>35.签订合同</w:t>
      </w:r>
    </w:p>
    <w:p>
      <w:pPr>
        <w:spacing w:line="360" w:lineRule="exact"/>
        <w:ind w:firstLine="420" w:firstLineChars="200"/>
        <w:rPr>
          <w:rFonts w:ascii="宋体" w:hAnsi="宋体"/>
          <w:color w:val="auto"/>
          <w:highlight w:val="none"/>
        </w:rPr>
      </w:pPr>
      <w:bookmarkStart w:id="133" w:name="_40.1投标人接到中标通知书后，按须知前附表规定向采购人出示相关资格证"/>
      <w:bookmarkEnd w:id="133"/>
      <w:r>
        <w:rPr>
          <w:rFonts w:hint="eastAsia" w:ascii="宋体" w:hAnsi="宋体"/>
          <w:color w:val="auto"/>
          <w:highlight w:val="none"/>
        </w:rPr>
        <w:t>35.1投标人接到中标通知书后，按投标人须知前附表规定向采购人出示相关资格证件，经采购人核验合格后方可签订合同。</w:t>
      </w:r>
    </w:p>
    <w:p>
      <w:pPr>
        <w:spacing w:line="360" w:lineRule="exact"/>
        <w:ind w:firstLine="420" w:firstLineChars="200"/>
        <w:rPr>
          <w:rFonts w:ascii="宋体" w:hAnsi="宋体"/>
          <w:color w:val="auto"/>
          <w:highlight w:val="none"/>
        </w:rPr>
      </w:pPr>
      <w:r>
        <w:rPr>
          <w:rFonts w:hint="eastAsia" w:ascii="宋体" w:hAnsi="宋体"/>
          <w:color w:val="auto"/>
          <w:highlight w:val="none"/>
        </w:rPr>
        <w:t>35.2签订合同时间：按中标通知书规定的时间与采购人签订合同。</w:t>
      </w:r>
    </w:p>
    <w:p>
      <w:pPr>
        <w:spacing w:line="360" w:lineRule="exact"/>
        <w:ind w:firstLine="420" w:firstLineChars="200"/>
        <w:rPr>
          <w:rFonts w:ascii="宋体" w:hAnsi="宋体"/>
          <w:color w:val="auto"/>
          <w:highlight w:val="none"/>
        </w:rPr>
      </w:pPr>
      <w:r>
        <w:rPr>
          <w:rFonts w:hint="eastAsia" w:ascii="宋体" w:hAnsi="宋体"/>
          <w:color w:val="auto"/>
          <w:highlight w:val="none"/>
        </w:rPr>
        <w:t>35.3如中标人不按中标通知书的规定签订合同，其投标保证金将不予退还（如有），并报由同级政府采购监督管理部门处理。</w:t>
      </w:r>
    </w:p>
    <w:p>
      <w:pPr>
        <w:spacing w:line="360" w:lineRule="exact"/>
        <w:ind w:firstLine="420" w:firstLineChars="200"/>
        <w:rPr>
          <w:rFonts w:ascii="宋体" w:hAnsi="宋体"/>
          <w:color w:val="auto"/>
          <w:highlight w:val="none"/>
        </w:rPr>
      </w:pPr>
      <w:r>
        <w:rPr>
          <w:rFonts w:hint="eastAsia" w:ascii="宋体" w:hAnsi="宋体"/>
          <w:color w:val="auto"/>
          <w:highlight w:val="none"/>
        </w:rPr>
        <w:t>35.4中标人拒绝与采购人签订合同的，采购人可以按照评审报告推荐的中标候选人名单排序，确定下一候选人为中标人，也可以重新开展政府采购活动。</w:t>
      </w:r>
    </w:p>
    <w:p>
      <w:pPr>
        <w:pStyle w:val="9"/>
        <w:spacing w:before="0" w:after="0" w:line="360" w:lineRule="exact"/>
        <w:ind w:left="420" w:leftChars="200"/>
        <w:rPr>
          <w:rFonts w:ascii="宋体" w:hAnsi="宋体"/>
          <w:color w:val="auto"/>
          <w:sz w:val="21"/>
          <w:szCs w:val="21"/>
          <w:highlight w:val="none"/>
        </w:rPr>
      </w:pPr>
      <w:bookmarkStart w:id="134" w:name="_41.政府采购合同公告"/>
      <w:bookmarkEnd w:id="134"/>
      <w:r>
        <w:rPr>
          <w:rFonts w:hint="eastAsia" w:ascii="宋体" w:hAnsi="宋体"/>
          <w:color w:val="auto"/>
          <w:sz w:val="21"/>
          <w:szCs w:val="21"/>
          <w:highlight w:val="none"/>
        </w:rPr>
        <w:t>36.政府采购合同公告</w:t>
      </w:r>
    </w:p>
    <w:p>
      <w:pPr>
        <w:pStyle w:val="25"/>
        <w:snapToGrid w:val="0"/>
        <w:spacing w:line="360" w:lineRule="exact"/>
        <w:ind w:firstLine="420" w:firstLineChars="200"/>
        <w:rPr>
          <w:rFonts w:hAnsi="宋体"/>
          <w:color w:val="auto"/>
          <w:sz w:val="21"/>
          <w:highlight w:val="none"/>
        </w:rPr>
      </w:pPr>
      <w:r>
        <w:rPr>
          <w:rFonts w:hint="eastAsia" w:hAnsi="宋体"/>
          <w:color w:val="auto"/>
          <w:sz w:val="21"/>
          <w:highlight w:val="none"/>
        </w:rPr>
        <w:t>根据</w:t>
      </w:r>
      <w:r>
        <w:rPr>
          <w:rFonts w:hAnsi="宋体"/>
          <w:color w:val="auto"/>
          <w:sz w:val="21"/>
          <w:highlight w:val="none"/>
        </w:rPr>
        <w:t>《中华人民共和国政府采购法实施条例》第五十条</w:t>
      </w:r>
      <w:r>
        <w:rPr>
          <w:rFonts w:hint="eastAsia" w:hAnsi="宋体"/>
          <w:color w:val="auto"/>
          <w:sz w:val="21"/>
          <w:highlight w:val="none"/>
        </w:rPr>
        <w:t>及《关于进一步做好政府采购信息公开有关工作的通知》（桂财采〔2016〕7号）规定，采购人或受托采购代理机构应当自政府采购合同签订之日起2个工作日内，将政府采购合同在省级以上人民政府财政部门指定的媒体上公告，</w:t>
      </w:r>
      <w:r>
        <w:rPr>
          <w:rFonts w:hAnsi="宋体"/>
          <w:color w:val="auto"/>
          <w:sz w:val="21"/>
          <w:highlight w:val="none"/>
        </w:rPr>
        <w:t>但政府采购合同中涉及国家秘密、商业秘密的内容除外。</w:t>
      </w:r>
    </w:p>
    <w:p>
      <w:pPr>
        <w:pStyle w:val="25"/>
        <w:snapToGrid w:val="0"/>
        <w:spacing w:line="360" w:lineRule="exact"/>
        <w:ind w:firstLine="420" w:firstLineChars="200"/>
        <w:rPr>
          <w:rFonts w:hAnsi="宋体"/>
          <w:color w:val="auto"/>
          <w:sz w:val="21"/>
          <w:highlight w:val="none"/>
        </w:rPr>
      </w:pPr>
    </w:p>
    <w:p>
      <w:pPr>
        <w:pStyle w:val="7"/>
        <w:spacing w:line="360" w:lineRule="exact"/>
        <w:jc w:val="center"/>
        <w:rPr>
          <w:rFonts w:ascii="宋体" w:hAnsi="宋体"/>
          <w:b w:val="0"/>
          <w:color w:val="auto"/>
          <w:sz w:val="21"/>
          <w:szCs w:val="21"/>
          <w:highlight w:val="none"/>
        </w:rPr>
      </w:pPr>
      <w:bookmarkStart w:id="135" w:name="_八、其他事项"/>
      <w:bookmarkEnd w:id="135"/>
      <w:r>
        <w:rPr>
          <w:rFonts w:hint="eastAsia"/>
          <w:color w:val="auto"/>
          <w:highlight w:val="none"/>
        </w:rPr>
        <w:t>八、其他事项</w:t>
      </w:r>
    </w:p>
    <w:p>
      <w:pPr>
        <w:pStyle w:val="9"/>
        <w:numPr>
          <w:ilvl w:val="0"/>
          <w:numId w:val="0"/>
        </w:numPr>
        <w:spacing w:before="0" w:after="0" w:line="360" w:lineRule="exact"/>
        <w:ind w:firstLine="422" w:firstLineChars="200"/>
        <w:rPr>
          <w:rFonts w:ascii="宋体" w:hAnsi="宋体"/>
          <w:color w:val="auto"/>
          <w:sz w:val="21"/>
          <w:szCs w:val="21"/>
          <w:highlight w:val="none"/>
        </w:rPr>
      </w:pPr>
      <w:bookmarkStart w:id="136" w:name="_42.代理服务费"/>
      <w:bookmarkEnd w:id="136"/>
      <w:r>
        <w:rPr>
          <w:rFonts w:hint="eastAsia" w:ascii="宋体" w:hAnsi="宋体"/>
          <w:color w:val="auto"/>
          <w:sz w:val="21"/>
          <w:szCs w:val="21"/>
          <w:highlight w:val="none"/>
        </w:rPr>
        <w:t>37.代理服务费</w:t>
      </w:r>
    </w:p>
    <w:p>
      <w:pPr>
        <w:spacing w:line="360" w:lineRule="exact"/>
        <w:ind w:firstLine="420" w:firstLineChars="200"/>
        <w:rPr>
          <w:rFonts w:ascii="宋体" w:hAnsi="宋体"/>
          <w:color w:val="auto"/>
          <w:highlight w:val="none"/>
        </w:rPr>
      </w:pPr>
      <w:r>
        <w:rPr>
          <w:rFonts w:hint="eastAsia" w:ascii="宋体" w:hAnsi="宋体"/>
          <w:color w:val="auto"/>
          <w:highlight w:val="none"/>
        </w:rPr>
        <w:t>37.1代理服务费的收费标准、支付方、支付时限详见投标人须知前附表。</w:t>
      </w:r>
    </w:p>
    <w:p>
      <w:pPr>
        <w:spacing w:line="360" w:lineRule="exact"/>
        <w:ind w:firstLine="420" w:firstLineChars="200"/>
        <w:rPr>
          <w:rFonts w:ascii="宋体" w:hAnsi="宋体"/>
          <w:color w:val="auto"/>
          <w:highlight w:val="none"/>
        </w:rPr>
      </w:pPr>
      <w:r>
        <w:rPr>
          <w:rFonts w:hint="eastAsia" w:ascii="宋体" w:hAnsi="宋体"/>
          <w:color w:val="auto"/>
          <w:highlight w:val="none"/>
        </w:rPr>
        <w:t>37.2代理服务收费标准：每标段</w:t>
      </w:r>
      <w:r>
        <w:rPr>
          <w:rFonts w:hint="eastAsia" w:ascii="宋体" w:hAnsi="宋体"/>
          <w:color w:val="auto"/>
          <w:kern w:val="1"/>
          <w:szCs w:val="20"/>
          <w:highlight w:val="none"/>
        </w:rPr>
        <w:t>中标人</w:t>
      </w:r>
      <w:r>
        <w:rPr>
          <w:rFonts w:hint="eastAsia" w:ascii="宋体" w:hAnsi="宋体" w:cs="宋体"/>
          <w:color w:val="auto"/>
          <w:kern w:val="1"/>
          <w:sz w:val="22"/>
          <w:highlight w:val="none"/>
        </w:rPr>
        <w:t>按人民币</w:t>
      </w:r>
      <w:r>
        <w:rPr>
          <w:rFonts w:hint="eastAsia" w:ascii="宋体" w:hAnsi="宋体"/>
          <w:b/>
          <w:color w:val="auto"/>
          <w:kern w:val="1"/>
          <w:szCs w:val="20"/>
          <w:highlight w:val="none"/>
          <w:u w:val="single"/>
        </w:rPr>
        <w:t>壹万元</w:t>
      </w:r>
      <w:r>
        <w:rPr>
          <w:rFonts w:hint="eastAsia" w:ascii="宋体" w:hAnsi="宋体"/>
          <w:color w:val="auto"/>
          <w:kern w:val="1"/>
          <w:szCs w:val="21"/>
          <w:highlight w:val="none"/>
        </w:rPr>
        <w:t>收取</w:t>
      </w:r>
      <w:r>
        <w:rPr>
          <w:rFonts w:hint="eastAsia" w:hAnsi="宋体"/>
          <w:color w:val="auto"/>
          <w:kern w:val="1"/>
          <w:szCs w:val="21"/>
          <w:highlight w:val="none"/>
        </w:rPr>
        <w:t>。</w:t>
      </w:r>
    </w:p>
    <w:p>
      <w:pPr>
        <w:pStyle w:val="25"/>
        <w:snapToGrid w:val="0"/>
        <w:spacing w:line="360" w:lineRule="exact"/>
        <w:rPr>
          <w:rFonts w:hAnsi="宋体"/>
          <w:color w:val="auto"/>
          <w:sz w:val="21"/>
          <w:highlight w:val="none"/>
        </w:rPr>
      </w:pPr>
      <w:r>
        <w:rPr>
          <w:rFonts w:hint="eastAsia" w:hAnsi="宋体"/>
          <w:color w:val="auto"/>
          <w:sz w:val="21"/>
          <w:highlight w:val="none"/>
        </w:rPr>
        <w:t>注:招标代理服务收费按差额定率累进法计算。</w:t>
      </w:r>
    </w:p>
    <w:p>
      <w:pPr>
        <w:spacing w:line="360" w:lineRule="exact"/>
        <w:ind w:firstLine="420" w:firstLineChars="200"/>
        <w:rPr>
          <w:rFonts w:ascii="宋体" w:hAnsi="宋体"/>
          <w:color w:val="auto"/>
          <w:highlight w:val="none"/>
        </w:rPr>
      </w:pPr>
      <w:r>
        <w:rPr>
          <w:rFonts w:hint="eastAsia" w:ascii="宋体" w:hAnsi="宋体"/>
          <w:color w:val="auto"/>
          <w:highlight w:val="none"/>
        </w:rPr>
        <w:t>37.3采购代理机构的银行账户：</w:t>
      </w:r>
    </w:p>
    <w:p>
      <w:pPr>
        <w:spacing w:line="360" w:lineRule="exact"/>
        <w:ind w:firstLine="420" w:firstLineChars="200"/>
        <w:rPr>
          <w:rFonts w:ascii="宋体" w:hAnsi="宋体"/>
          <w:color w:val="auto"/>
          <w:highlight w:val="none"/>
        </w:rPr>
      </w:pPr>
      <w:r>
        <w:rPr>
          <w:rFonts w:hint="eastAsia" w:ascii="宋体" w:hAnsi="宋体"/>
          <w:color w:val="auto"/>
          <w:highlight w:val="none"/>
        </w:rPr>
        <w:t xml:space="preserve">开户银行：广西建设工程机电设备招标中心有限公司 </w:t>
      </w:r>
    </w:p>
    <w:p>
      <w:pPr>
        <w:spacing w:line="360" w:lineRule="exact"/>
        <w:ind w:firstLine="420" w:firstLineChars="200"/>
        <w:rPr>
          <w:rFonts w:ascii="宋体" w:hAnsi="宋体"/>
          <w:color w:val="auto"/>
          <w:highlight w:val="none"/>
        </w:rPr>
      </w:pPr>
      <w:r>
        <w:rPr>
          <w:rFonts w:hint="eastAsia" w:ascii="宋体" w:hAnsi="宋体"/>
          <w:color w:val="auto"/>
          <w:highlight w:val="none"/>
        </w:rPr>
        <w:t>银行账号： 招商银行南宁分行营业部</w:t>
      </w:r>
    </w:p>
    <w:p>
      <w:pPr>
        <w:spacing w:line="360" w:lineRule="exact"/>
        <w:ind w:firstLine="420" w:firstLineChars="200"/>
        <w:rPr>
          <w:rFonts w:ascii="宋体" w:hAnsi="宋体"/>
          <w:color w:val="auto"/>
          <w:highlight w:val="none"/>
        </w:rPr>
      </w:pPr>
      <w:r>
        <w:rPr>
          <w:rFonts w:hint="eastAsia" w:ascii="宋体" w:hAnsi="宋体"/>
          <w:color w:val="auto"/>
          <w:highlight w:val="none"/>
        </w:rPr>
        <w:t>开户行行号：7719 0142 3310 201</w:t>
      </w:r>
    </w:p>
    <w:p>
      <w:pPr>
        <w:rPr>
          <w:rFonts w:ascii="黑体" w:hAnsi="黑体" w:eastAsia="黑体" w:cs="黑体"/>
          <w:color w:val="auto"/>
          <w:kern w:val="0"/>
          <w:sz w:val="32"/>
          <w:szCs w:val="32"/>
          <w:highlight w:val="none"/>
        </w:rPr>
      </w:pPr>
      <w:r>
        <w:rPr>
          <w:rFonts w:hint="eastAsia" w:ascii="黑体" w:hAnsi="黑体" w:eastAsia="黑体" w:cs="黑体"/>
          <w:color w:val="auto"/>
          <w:kern w:val="0"/>
          <w:sz w:val="32"/>
          <w:szCs w:val="32"/>
          <w:highlight w:val="none"/>
        </w:rPr>
        <w:br w:type="page"/>
      </w:r>
    </w:p>
    <w:p>
      <w:pPr>
        <w:widowControl/>
        <w:shd w:val="clear" w:color="auto" w:fill="FFFFFF"/>
        <w:spacing w:line="480" w:lineRule="atLeast"/>
        <w:jc w:val="center"/>
        <w:rPr>
          <w:rFonts w:ascii="仿宋" w:hAnsi="仿宋" w:eastAsia="仿宋" w:cs="宋体"/>
          <w:color w:val="auto"/>
          <w:kern w:val="0"/>
          <w:sz w:val="32"/>
          <w:szCs w:val="32"/>
          <w:highlight w:val="none"/>
        </w:rPr>
      </w:pPr>
      <w:r>
        <w:rPr>
          <w:rFonts w:hint="eastAsia" w:ascii="黑体" w:hAnsi="黑体" w:eastAsia="黑体" w:cs="黑体"/>
          <w:color w:val="auto"/>
          <w:kern w:val="0"/>
          <w:sz w:val="32"/>
          <w:szCs w:val="32"/>
          <w:highlight w:val="none"/>
        </w:rPr>
        <w:t>广西壮族自治区政府采购项目合同验收书</w:t>
      </w:r>
      <w:r>
        <w:rPr>
          <w:rFonts w:hint="eastAsia" w:ascii="仿宋" w:hAnsi="仿宋" w:eastAsia="仿宋" w:cs="宋体"/>
          <w:color w:val="auto"/>
          <w:kern w:val="0"/>
          <w:sz w:val="32"/>
          <w:szCs w:val="32"/>
          <w:highlight w:val="none"/>
        </w:rPr>
        <w:t>（格式）</w:t>
      </w:r>
    </w:p>
    <w:p>
      <w:pPr>
        <w:widowControl/>
        <w:shd w:val="clear" w:color="auto" w:fill="FFFFFF"/>
        <w:spacing w:line="480" w:lineRule="atLeast"/>
        <w:jc w:val="center"/>
        <w:rPr>
          <w:rFonts w:ascii="仿宋" w:hAnsi="仿宋" w:eastAsia="仿宋" w:cs="宋体"/>
          <w:color w:val="auto"/>
          <w:kern w:val="0"/>
          <w:sz w:val="32"/>
          <w:szCs w:val="32"/>
          <w:highlight w:val="none"/>
        </w:rPr>
      </w:pPr>
    </w:p>
    <w:p>
      <w:pPr>
        <w:widowControl/>
        <w:shd w:val="clear" w:color="auto" w:fill="FFFFFF"/>
        <w:snapToGrid w:val="0"/>
        <w:spacing w:line="320" w:lineRule="atLeast"/>
        <w:ind w:firstLine="480"/>
        <w:jc w:val="left"/>
        <w:rPr>
          <w:rFonts w:ascii="宋体" w:hAnsi="宋体" w:cs="宋体"/>
          <w:color w:val="auto"/>
          <w:kern w:val="0"/>
          <w:szCs w:val="21"/>
          <w:highlight w:val="none"/>
        </w:rPr>
      </w:pPr>
      <w:r>
        <w:rPr>
          <w:rFonts w:hint="eastAsia" w:ascii="宋体" w:hAnsi="宋体" w:cs="宋体"/>
          <w:color w:val="auto"/>
          <w:kern w:val="0"/>
          <w:szCs w:val="21"/>
          <w:highlight w:val="none"/>
        </w:rPr>
        <w:t>根据政府采购项目（</w:t>
      </w:r>
      <w:r>
        <w:rPr>
          <w:rFonts w:hint="eastAsia" w:ascii="宋体" w:hAnsi="宋体" w:cs="宋体"/>
          <w:color w:val="auto"/>
          <w:kern w:val="0"/>
          <w:szCs w:val="21"/>
          <w:highlight w:val="none"/>
          <w:u w:val="single"/>
        </w:rPr>
        <w:t>采购合同编号：</w:t>
      </w:r>
      <w:r>
        <w:rPr>
          <w:rFonts w:hint="eastAsia" w:ascii="宋体" w:hAnsi="宋体" w:cs="宋体"/>
          <w:color w:val="auto"/>
          <w:kern w:val="0"/>
          <w:szCs w:val="21"/>
          <w:highlight w:val="none"/>
          <w:u w:val="single"/>
        </w:rPr>
        <w:softHyphen/>
      </w:r>
      <w:r>
        <w:rPr>
          <w:rFonts w:hint="eastAsia" w:ascii="宋体" w:hAnsi="宋体" w:cs="宋体"/>
          <w:color w:val="auto"/>
          <w:kern w:val="0"/>
          <w:szCs w:val="21"/>
          <w:highlight w:val="none"/>
        </w:rPr>
        <w:t>）的约定，我单位对（</w:t>
      </w:r>
      <w:r>
        <w:rPr>
          <w:rFonts w:hint="eastAsia" w:ascii="宋体" w:hAnsi="宋体" w:cs="宋体"/>
          <w:color w:val="auto"/>
          <w:kern w:val="0"/>
          <w:szCs w:val="21"/>
          <w:highlight w:val="none"/>
          <w:u w:val="single"/>
        </w:rPr>
        <w:t xml:space="preserve"> 项目名称 </w:t>
      </w:r>
      <w:r>
        <w:rPr>
          <w:rFonts w:hint="eastAsia" w:ascii="宋体" w:hAnsi="宋体" w:cs="宋体"/>
          <w:color w:val="auto"/>
          <w:kern w:val="0"/>
          <w:szCs w:val="21"/>
          <w:highlight w:val="none"/>
        </w:rPr>
        <w:t>） 政府采购项目中标（或成交）供应商（</w:t>
      </w:r>
      <w:r>
        <w:rPr>
          <w:rFonts w:hint="eastAsia" w:ascii="宋体" w:hAnsi="宋体" w:cs="宋体"/>
          <w:color w:val="auto"/>
          <w:kern w:val="0"/>
          <w:szCs w:val="21"/>
          <w:highlight w:val="none"/>
          <w:u w:val="single"/>
        </w:rPr>
        <w:t xml:space="preserve"> 公司名称 </w:t>
      </w:r>
      <w:r>
        <w:rPr>
          <w:rFonts w:hint="eastAsia" w:ascii="宋体" w:hAnsi="宋体" w:cs="宋体"/>
          <w:color w:val="auto"/>
          <w:kern w:val="0"/>
          <w:szCs w:val="21"/>
          <w:highlight w:val="none"/>
        </w:rPr>
        <w:t>） 提供的货物（或工程、服务）进行了验收，验收情况如下：</w:t>
      </w:r>
    </w:p>
    <w:tbl>
      <w:tblPr>
        <w:tblStyle w:val="46"/>
        <w:tblW w:w="9371" w:type="dxa"/>
        <w:jc w:val="center"/>
        <w:tblLayout w:type="fixed"/>
        <w:tblCellMar>
          <w:top w:w="0" w:type="dxa"/>
          <w:left w:w="0" w:type="dxa"/>
          <w:bottom w:w="0" w:type="dxa"/>
          <w:right w:w="0" w:type="dxa"/>
        </w:tblCellMar>
      </w:tblPr>
      <w:tblGrid>
        <w:gridCol w:w="1331"/>
        <w:gridCol w:w="1921"/>
        <w:gridCol w:w="798"/>
        <w:gridCol w:w="102"/>
        <w:gridCol w:w="2002"/>
        <w:gridCol w:w="178"/>
        <w:gridCol w:w="685"/>
        <w:gridCol w:w="2354"/>
      </w:tblGrid>
      <w:tr>
        <w:tblPrEx>
          <w:tblCellMar>
            <w:top w:w="0" w:type="dxa"/>
            <w:left w:w="0" w:type="dxa"/>
            <w:bottom w:w="0" w:type="dxa"/>
            <w:right w:w="0" w:type="dxa"/>
          </w:tblCellMar>
        </w:tblPrEx>
        <w:trPr>
          <w:trHeight w:val="497" w:hRule="atLeast"/>
          <w:jc w:val="center"/>
        </w:trPr>
        <w:tc>
          <w:tcPr>
            <w:tcW w:w="3252"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5"/>
              <w:jc w:val="center"/>
              <w:rPr>
                <w:rFonts w:ascii="Verdana" w:hAnsi="Verdana" w:cs="宋体"/>
                <w:color w:val="auto"/>
                <w:kern w:val="0"/>
                <w:szCs w:val="21"/>
                <w:highlight w:val="none"/>
              </w:rPr>
            </w:pPr>
            <w:r>
              <w:rPr>
                <w:rFonts w:ascii="Verdana" w:hAnsi="Verdana" w:cs="宋体"/>
                <w:color w:val="auto"/>
                <w:kern w:val="0"/>
                <w:szCs w:val="21"/>
                <w:highlight w:val="none"/>
              </w:rPr>
              <w:t>验收方式：</w:t>
            </w:r>
          </w:p>
        </w:tc>
        <w:tc>
          <w:tcPr>
            <w:tcW w:w="6119" w:type="dxa"/>
            <w:gridSpan w:val="6"/>
            <w:tcBorders>
              <w:top w:val="single" w:color="auto" w:sz="8" w:space="0"/>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480"/>
              <w:jc w:val="center"/>
              <w:rPr>
                <w:rFonts w:ascii="Verdana" w:hAnsi="Verdana" w:cs="宋体"/>
                <w:color w:val="auto"/>
                <w:kern w:val="0"/>
                <w:szCs w:val="21"/>
                <w:highlight w:val="none"/>
              </w:rPr>
            </w:pPr>
            <w:r>
              <w:rPr>
                <w:rFonts w:ascii="Verdana" w:hAnsi="Verdana" w:cs="宋体"/>
                <w:color w:val="auto"/>
                <w:kern w:val="0"/>
                <w:szCs w:val="21"/>
                <w:highlight w:val="none"/>
              </w:rPr>
              <w:t>□自行验收 □委托验收</w:t>
            </w:r>
          </w:p>
        </w:tc>
      </w:tr>
      <w:tr>
        <w:tblPrEx>
          <w:tblCellMar>
            <w:top w:w="0" w:type="dxa"/>
            <w:left w:w="0" w:type="dxa"/>
            <w:bottom w:w="0" w:type="dxa"/>
            <w:right w:w="0" w:type="dxa"/>
          </w:tblCellMar>
        </w:tblPrEx>
        <w:trPr>
          <w:trHeight w:val="622" w:hRule="atLeast"/>
          <w:jc w:val="center"/>
        </w:trPr>
        <w:tc>
          <w:tcPr>
            <w:tcW w:w="1331"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序号</w:t>
            </w:r>
          </w:p>
        </w:tc>
        <w:tc>
          <w:tcPr>
            <w:tcW w:w="1921"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名称</w:t>
            </w:r>
          </w:p>
        </w:tc>
        <w:tc>
          <w:tcPr>
            <w:tcW w:w="290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货物型号规格、标准及配置等（或服务内容、标准）</w:t>
            </w:r>
          </w:p>
        </w:tc>
        <w:tc>
          <w:tcPr>
            <w:tcW w:w="863" w:type="dxa"/>
            <w:gridSpan w:val="2"/>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jc w:val="center"/>
              <w:rPr>
                <w:rFonts w:ascii="Verdana" w:hAnsi="Verdana" w:cs="宋体"/>
                <w:color w:val="auto"/>
                <w:kern w:val="0"/>
                <w:szCs w:val="21"/>
                <w:highlight w:val="none"/>
              </w:rPr>
            </w:pPr>
            <w:r>
              <w:rPr>
                <w:rFonts w:ascii="Verdana" w:hAnsi="Verdana" w:cs="宋体"/>
                <w:color w:val="auto"/>
                <w:kern w:val="0"/>
                <w:szCs w:val="21"/>
                <w:highlight w:val="none"/>
              </w:rPr>
              <w:t>数量</w:t>
            </w:r>
          </w:p>
        </w:tc>
        <w:tc>
          <w:tcPr>
            <w:tcW w:w="2354"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金额</w:t>
            </w: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6154" w:type="dxa"/>
            <w:gridSpan w:val="5"/>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5"/>
              <w:jc w:val="center"/>
              <w:rPr>
                <w:rFonts w:ascii="Verdana" w:hAnsi="Verdana" w:cs="宋体"/>
                <w:color w:val="auto"/>
                <w:kern w:val="0"/>
                <w:szCs w:val="21"/>
                <w:highlight w:val="none"/>
              </w:rPr>
            </w:pPr>
            <w:r>
              <w:rPr>
                <w:rFonts w:ascii="Verdana" w:hAnsi="Verdana" w:cs="宋体"/>
                <w:color w:val="auto"/>
                <w:kern w:val="0"/>
                <w:szCs w:val="21"/>
                <w:highlight w:val="none"/>
              </w:rPr>
              <w:t>合计</w:t>
            </w: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641" w:hRule="atLeast"/>
          <w:jc w:val="center"/>
        </w:trPr>
        <w:tc>
          <w:tcPr>
            <w:tcW w:w="9371" w:type="dxa"/>
            <w:gridSpan w:val="8"/>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left"/>
              <w:rPr>
                <w:rFonts w:ascii="Verdana" w:hAnsi="Verdana" w:cs="宋体"/>
                <w:color w:val="auto"/>
                <w:kern w:val="0"/>
                <w:szCs w:val="21"/>
                <w:highlight w:val="none"/>
              </w:rPr>
            </w:pPr>
            <w:r>
              <w:rPr>
                <w:rFonts w:ascii="Verdana" w:hAnsi="Verdana" w:cs="宋体"/>
                <w:color w:val="auto"/>
                <w:kern w:val="0"/>
                <w:szCs w:val="21"/>
                <w:highlight w:val="none"/>
              </w:rPr>
              <w:t>合计大写金额：</w:t>
            </w:r>
            <w:r>
              <w:rPr>
                <w:rFonts w:hint="eastAsia" w:ascii="Verdana" w:hAnsi="Verdana" w:cs="宋体"/>
                <w:color w:val="auto"/>
                <w:kern w:val="0"/>
                <w:szCs w:val="21"/>
                <w:highlight w:val="none"/>
              </w:rPr>
              <w:t>亿</w:t>
            </w:r>
            <w:r>
              <w:rPr>
                <w:rFonts w:ascii="Verdana" w:hAnsi="Verdana" w:cs="宋体"/>
                <w:color w:val="auto"/>
                <w:kern w:val="0"/>
                <w:szCs w:val="21"/>
                <w:highlight w:val="none"/>
              </w:rPr>
              <w:t>仟佰拾万仟佰拾元</w:t>
            </w:r>
          </w:p>
        </w:tc>
      </w:tr>
      <w:tr>
        <w:tblPrEx>
          <w:tblCellMar>
            <w:top w:w="0" w:type="dxa"/>
            <w:left w:w="0" w:type="dxa"/>
            <w:bottom w:w="0" w:type="dxa"/>
            <w:right w:w="0" w:type="dxa"/>
          </w:tblCellMar>
        </w:tblPrEx>
        <w:trPr>
          <w:trHeight w:val="641" w:hRule="atLeast"/>
          <w:jc w:val="center"/>
        </w:trPr>
        <w:tc>
          <w:tcPr>
            <w:tcW w:w="1331"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实际供货日期</w:t>
            </w:r>
          </w:p>
        </w:tc>
        <w:tc>
          <w:tcPr>
            <w:tcW w:w="271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c>
          <w:tcPr>
            <w:tcW w:w="228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46"/>
              <w:jc w:val="center"/>
              <w:rPr>
                <w:rFonts w:ascii="Verdana" w:hAnsi="Verdana" w:cs="宋体"/>
                <w:color w:val="auto"/>
                <w:kern w:val="0"/>
                <w:szCs w:val="21"/>
                <w:highlight w:val="none"/>
              </w:rPr>
            </w:pPr>
            <w:r>
              <w:rPr>
                <w:rFonts w:ascii="Verdana" w:hAnsi="Verdana" w:cs="宋体"/>
                <w:color w:val="auto"/>
                <w:kern w:val="0"/>
                <w:szCs w:val="21"/>
                <w:highlight w:val="none"/>
              </w:rPr>
              <w:t>合同交货验收日期</w:t>
            </w:r>
          </w:p>
        </w:tc>
        <w:tc>
          <w:tcPr>
            <w:tcW w:w="303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693" w:hRule="atLeast"/>
          <w:jc w:val="center"/>
        </w:trPr>
        <w:tc>
          <w:tcPr>
            <w:tcW w:w="133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验收具体内容</w:t>
            </w:r>
          </w:p>
        </w:tc>
        <w:tc>
          <w:tcPr>
            <w:tcW w:w="8040" w:type="dxa"/>
            <w:gridSpan w:val="7"/>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应按采购合同、采购文件、投标响应文件及验收方案等进行验收；并核对中标或者成交供应商在安装调试等方面是否违反合同约定或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1281" w:hRule="atLeast"/>
          <w:jc w:val="center"/>
        </w:trPr>
        <w:tc>
          <w:tcPr>
            <w:tcW w:w="1331"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验收小组意见</w:t>
            </w:r>
          </w:p>
        </w:tc>
        <w:tc>
          <w:tcPr>
            <w:tcW w:w="8040"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验收结论性意见：</w:t>
            </w:r>
          </w:p>
        </w:tc>
      </w:tr>
      <w:tr>
        <w:tblPrEx>
          <w:tblCellMar>
            <w:top w:w="0" w:type="dxa"/>
            <w:left w:w="0" w:type="dxa"/>
            <w:bottom w:w="0" w:type="dxa"/>
            <w:right w:w="0" w:type="dxa"/>
          </w:tblCellMar>
        </w:tblPrEx>
        <w:trPr>
          <w:trHeight w:val="607" w:hRule="atLeast"/>
          <w:jc w:val="center"/>
        </w:trPr>
        <w:tc>
          <w:tcPr>
            <w:tcW w:w="1331" w:type="dxa"/>
            <w:vMerge w:val="continue"/>
            <w:tcBorders>
              <w:top w:val="nil"/>
              <w:left w:val="single" w:color="auto" w:sz="8" w:space="0"/>
              <w:bottom w:val="single" w:color="auto" w:sz="8" w:space="0"/>
              <w:right w:val="single" w:color="auto" w:sz="8" w:space="0"/>
            </w:tcBorders>
            <w:vAlign w:val="center"/>
          </w:tcPr>
          <w:p>
            <w:pPr>
              <w:widowControl/>
              <w:jc w:val="left"/>
              <w:rPr>
                <w:rFonts w:ascii="Verdana" w:hAnsi="Verdana" w:cs="宋体"/>
                <w:color w:val="auto"/>
                <w:kern w:val="0"/>
                <w:szCs w:val="21"/>
                <w:highlight w:val="none"/>
              </w:rPr>
            </w:pPr>
          </w:p>
        </w:tc>
        <w:tc>
          <w:tcPr>
            <w:tcW w:w="8040"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20" w:lineRule="atLeast"/>
              <w:ind w:firstLine="96"/>
              <w:jc w:val="left"/>
              <w:rPr>
                <w:rFonts w:ascii="Verdana" w:hAnsi="Verdana" w:cs="宋体"/>
                <w:color w:val="auto"/>
                <w:kern w:val="0"/>
                <w:szCs w:val="21"/>
                <w:highlight w:val="none"/>
              </w:rPr>
            </w:pPr>
            <w:r>
              <w:rPr>
                <w:rFonts w:ascii="Verdana" w:hAnsi="Verdana" w:cs="宋体"/>
                <w:color w:val="auto"/>
                <w:kern w:val="0"/>
                <w:szCs w:val="21"/>
                <w:highlight w:val="none"/>
              </w:rPr>
              <w:t>有异议的意见和说明理由：</w:t>
            </w:r>
          </w:p>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签字：</w:t>
            </w:r>
          </w:p>
        </w:tc>
      </w:tr>
      <w:tr>
        <w:tblPrEx>
          <w:tblCellMar>
            <w:top w:w="0" w:type="dxa"/>
            <w:left w:w="0" w:type="dxa"/>
            <w:bottom w:w="0" w:type="dxa"/>
            <w:right w:w="0" w:type="dxa"/>
          </w:tblCellMar>
        </w:tblPrEx>
        <w:trPr>
          <w:trHeight w:val="507"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验收小组成员签字：</w:t>
            </w:r>
          </w:p>
        </w:tc>
      </w:tr>
      <w:tr>
        <w:tblPrEx>
          <w:tblCellMar>
            <w:top w:w="0" w:type="dxa"/>
            <w:left w:w="0" w:type="dxa"/>
            <w:bottom w:w="0" w:type="dxa"/>
            <w:right w:w="0" w:type="dxa"/>
          </w:tblCellMar>
        </w:tblPrEx>
        <w:trPr>
          <w:trHeight w:val="736"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监督人员或其他相关人员签字：</w:t>
            </w:r>
          </w:p>
          <w:p>
            <w:pPr>
              <w:widowControl/>
              <w:spacing w:before="100" w:beforeAutospacing="1" w:after="100" w:afterAutospacing="1" w:line="320" w:lineRule="atLeast"/>
              <w:ind w:firstLine="74"/>
              <w:jc w:val="left"/>
              <w:rPr>
                <w:rFonts w:ascii="Verdana" w:hAnsi="Verdana" w:cs="宋体"/>
                <w:color w:val="auto"/>
                <w:kern w:val="0"/>
                <w:szCs w:val="21"/>
                <w:highlight w:val="none"/>
              </w:rPr>
            </w:pPr>
            <w:r>
              <w:rPr>
                <w:rFonts w:ascii="Verdana" w:hAnsi="Verdana" w:cs="宋体"/>
                <w:color w:val="auto"/>
                <w:kern w:val="0"/>
                <w:szCs w:val="21"/>
                <w:highlight w:val="none"/>
              </w:rPr>
              <w:t>或受邀机构的意见（盖章）：</w:t>
            </w:r>
          </w:p>
        </w:tc>
      </w:tr>
      <w:tr>
        <w:tblPrEx>
          <w:tblCellMar>
            <w:top w:w="0" w:type="dxa"/>
            <w:left w:w="0" w:type="dxa"/>
            <w:bottom w:w="0" w:type="dxa"/>
            <w:right w:w="0" w:type="dxa"/>
          </w:tblCellMar>
        </w:tblPrEx>
        <w:trPr>
          <w:trHeight w:val="758" w:hRule="atLeast"/>
          <w:jc w:val="center"/>
        </w:trPr>
        <w:tc>
          <w:tcPr>
            <w:tcW w:w="4152" w:type="dxa"/>
            <w:gridSpan w:val="4"/>
            <w:tcBorders>
              <w:top w:val="nil"/>
              <w:left w:val="single" w:color="auto" w:sz="8" w:space="0"/>
              <w:bottom w:val="single" w:color="auto" w:sz="8" w:space="0"/>
              <w:right w:val="nil"/>
            </w:tcBorders>
            <w:tcMar>
              <w:top w:w="0" w:type="dxa"/>
              <w:left w:w="108" w:type="dxa"/>
              <w:bottom w:w="0" w:type="dxa"/>
              <w:right w:w="108" w:type="dxa"/>
            </w:tcMar>
            <w:vAlign w:val="center"/>
          </w:tcPr>
          <w:p>
            <w:pPr>
              <w:widowControl/>
              <w:spacing w:before="100" w:beforeAutospacing="1" w:after="100" w:afterAutospacing="1" w:line="320" w:lineRule="atLeast"/>
              <w:ind w:firstLine="74"/>
              <w:jc w:val="left"/>
              <w:rPr>
                <w:rFonts w:ascii="Verdana" w:hAnsi="Verdana" w:cs="宋体"/>
                <w:color w:val="auto"/>
                <w:kern w:val="0"/>
                <w:szCs w:val="21"/>
                <w:highlight w:val="none"/>
              </w:rPr>
            </w:pPr>
            <w:r>
              <w:rPr>
                <w:rFonts w:ascii="Verdana" w:hAnsi="Verdana" w:cs="宋体"/>
                <w:color w:val="auto"/>
                <w:kern w:val="0"/>
                <w:szCs w:val="21"/>
                <w:highlight w:val="none"/>
              </w:rPr>
              <w:t>中标或者成交供应商负责人签字或盖章：</w:t>
            </w:r>
          </w:p>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联系电话：年月日</w:t>
            </w:r>
          </w:p>
        </w:tc>
        <w:tc>
          <w:tcPr>
            <w:tcW w:w="5219" w:type="dxa"/>
            <w:gridSpan w:val="4"/>
            <w:tcBorders>
              <w:top w:val="nil"/>
              <w:left w:val="nil"/>
              <w:bottom w:val="single" w:color="auto" w:sz="8" w:space="0"/>
              <w:right w:val="single" w:color="auto" w:sz="8" w:space="0"/>
            </w:tcBorders>
            <w:vAlign w:val="center"/>
          </w:tcPr>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采购人或受托机构的意见（盖章）：</w:t>
            </w:r>
          </w:p>
          <w:p>
            <w:pPr>
              <w:widowControl/>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联系电话：年月日</w:t>
            </w:r>
          </w:p>
        </w:tc>
      </w:tr>
    </w:tbl>
    <w:p>
      <w:pPr>
        <w:jc w:val="left"/>
        <w:rPr>
          <w:rFonts w:hAnsi="宋体"/>
          <w:color w:val="auto"/>
          <w:highlight w:val="none"/>
        </w:rPr>
      </w:pPr>
    </w:p>
    <w:p>
      <w:pPr>
        <w:pStyle w:val="25"/>
        <w:snapToGrid w:val="0"/>
        <w:spacing w:before="120" w:after="120"/>
        <w:rPr>
          <w:rFonts w:hAnsi="宋体"/>
          <w:color w:val="auto"/>
          <w:highlight w:val="none"/>
        </w:rPr>
      </w:pPr>
      <w:r>
        <w:rPr>
          <w:rFonts w:hAnsi="宋体"/>
          <w:color w:val="auto"/>
          <w:highlight w:val="none"/>
        </w:rPr>
        <w:br w:type="page"/>
      </w: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25"/>
        <w:snapToGrid w:val="0"/>
        <w:spacing w:before="120" w:after="120"/>
        <w:rPr>
          <w:rFonts w:hAnsi="宋体"/>
          <w:color w:val="auto"/>
          <w:highlight w:val="none"/>
        </w:rPr>
      </w:pPr>
    </w:p>
    <w:p>
      <w:pPr>
        <w:pStyle w:val="6"/>
        <w:jc w:val="center"/>
        <w:rPr>
          <w:color w:val="auto"/>
          <w:highlight w:val="none"/>
        </w:rPr>
      </w:pPr>
      <w:bookmarkStart w:id="137" w:name="_Toc254970689"/>
      <w:bookmarkStart w:id="138" w:name="_Toc50406501"/>
      <w:bookmarkStart w:id="139" w:name="_Toc254970548"/>
      <w:bookmarkStart w:id="140" w:name="_Toc330456896"/>
      <w:r>
        <w:rPr>
          <w:rFonts w:hint="eastAsia"/>
          <w:color w:val="auto"/>
          <w:highlight w:val="none"/>
        </w:rPr>
        <w:t>第四章评标方法及评标标准</w:t>
      </w:r>
      <w:bookmarkEnd w:id="137"/>
      <w:bookmarkEnd w:id="138"/>
      <w:bookmarkEnd w:id="139"/>
      <w:bookmarkEnd w:id="140"/>
    </w:p>
    <w:p>
      <w:pPr>
        <w:pStyle w:val="25"/>
        <w:spacing w:before="120" w:after="120"/>
        <w:outlineLvl w:val="0"/>
        <w:rPr>
          <w:rFonts w:hAnsi="宋体"/>
          <w:b/>
          <w:color w:val="auto"/>
          <w:highlight w:val="none"/>
        </w:rPr>
      </w:pPr>
      <w:bookmarkStart w:id="141" w:name="_Toc254970690"/>
      <w:bookmarkStart w:id="142" w:name="_Toc254970549"/>
    </w:p>
    <w:bookmarkEnd w:id="141"/>
    <w:bookmarkEnd w:id="142"/>
    <w:p>
      <w:pPr>
        <w:pStyle w:val="25"/>
        <w:spacing w:before="120" w:after="120"/>
        <w:outlineLvl w:val="0"/>
        <w:rPr>
          <w:rFonts w:hAnsi="宋体"/>
          <w:bCs/>
          <w:color w:val="auto"/>
          <w:sz w:val="32"/>
          <w:szCs w:val="32"/>
          <w:highlight w:val="none"/>
        </w:rPr>
      </w:pPr>
    </w:p>
    <w:p>
      <w:pPr>
        <w:pStyle w:val="25"/>
        <w:spacing w:before="120" w:after="120"/>
        <w:outlineLvl w:val="0"/>
        <w:rPr>
          <w:rFonts w:hAnsi="宋体"/>
          <w:bCs/>
          <w:color w:val="auto"/>
          <w:sz w:val="32"/>
          <w:szCs w:val="32"/>
          <w:highlight w:val="none"/>
        </w:rPr>
      </w:pPr>
    </w:p>
    <w:p>
      <w:pPr>
        <w:pStyle w:val="25"/>
        <w:spacing w:before="120" w:after="120"/>
        <w:outlineLvl w:val="0"/>
        <w:rPr>
          <w:rFonts w:hAnsi="宋体"/>
          <w:bCs/>
          <w:color w:val="auto"/>
          <w:sz w:val="32"/>
          <w:szCs w:val="32"/>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pStyle w:val="25"/>
        <w:spacing w:line="360" w:lineRule="exact"/>
        <w:rPr>
          <w:rFonts w:hAnsi="宋体"/>
          <w:b/>
          <w:color w:val="auto"/>
          <w:sz w:val="24"/>
          <w:highlight w:val="none"/>
        </w:rPr>
      </w:pPr>
    </w:p>
    <w:p>
      <w:pPr>
        <w:pStyle w:val="25"/>
        <w:spacing w:line="360" w:lineRule="exact"/>
        <w:rPr>
          <w:rFonts w:hAnsi="宋体"/>
          <w:b/>
          <w:color w:val="auto"/>
          <w:sz w:val="24"/>
          <w:highlight w:val="none"/>
        </w:rPr>
      </w:pPr>
    </w:p>
    <w:p>
      <w:pPr>
        <w:pStyle w:val="25"/>
        <w:spacing w:line="360" w:lineRule="exact"/>
        <w:rPr>
          <w:rFonts w:hAnsi="宋体"/>
          <w:b/>
          <w:color w:val="auto"/>
          <w:sz w:val="24"/>
          <w:highlight w:val="none"/>
        </w:rPr>
      </w:pPr>
    </w:p>
    <w:p>
      <w:pPr>
        <w:pStyle w:val="25"/>
        <w:spacing w:line="360" w:lineRule="exact"/>
        <w:rPr>
          <w:rFonts w:hAnsi="宋体"/>
          <w:b/>
          <w:color w:val="auto"/>
          <w:sz w:val="24"/>
          <w:highlight w:val="none"/>
        </w:rPr>
      </w:pPr>
    </w:p>
    <w:p>
      <w:pPr>
        <w:pStyle w:val="25"/>
        <w:spacing w:line="360" w:lineRule="exact"/>
        <w:rPr>
          <w:rFonts w:hAnsi="宋体"/>
          <w:bCs/>
          <w:color w:val="auto"/>
          <w:highlight w:val="none"/>
        </w:rPr>
      </w:pPr>
    </w:p>
    <w:p>
      <w:pPr>
        <w:pStyle w:val="25"/>
        <w:spacing w:line="360" w:lineRule="exact"/>
        <w:rPr>
          <w:rFonts w:hAnsi="宋体"/>
          <w:bCs/>
          <w:color w:val="auto"/>
          <w:highlight w:val="none"/>
        </w:rPr>
      </w:pPr>
    </w:p>
    <w:p>
      <w:pPr>
        <w:pStyle w:val="25"/>
        <w:spacing w:line="420" w:lineRule="exact"/>
        <w:ind w:firstLine="630" w:firstLineChars="224"/>
        <w:jc w:val="center"/>
        <w:rPr>
          <w:rFonts w:hAnsi="宋体" w:cs="宋体"/>
          <w:b/>
          <w:bCs/>
          <w:color w:val="auto"/>
          <w:sz w:val="28"/>
          <w:szCs w:val="28"/>
          <w:highlight w:val="none"/>
        </w:rPr>
      </w:pPr>
      <w:r>
        <w:rPr>
          <w:rFonts w:hint="eastAsia" w:hAnsi="宋体" w:cs="宋体"/>
          <w:b/>
          <w:bCs/>
          <w:color w:val="auto"/>
          <w:sz w:val="28"/>
          <w:szCs w:val="28"/>
          <w:highlight w:val="none"/>
        </w:rPr>
        <w:t>A、B、C、D、E分标适用</w:t>
      </w:r>
    </w:p>
    <w:p>
      <w:pPr>
        <w:pStyle w:val="25"/>
        <w:spacing w:line="420" w:lineRule="exact"/>
        <w:ind w:firstLine="472" w:firstLineChars="224"/>
        <w:rPr>
          <w:rFonts w:hAnsi="宋体" w:cs="宋体"/>
          <w:b/>
          <w:bCs/>
          <w:color w:val="auto"/>
          <w:sz w:val="21"/>
          <w:highlight w:val="none"/>
        </w:rPr>
      </w:pPr>
      <w:r>
        <w:rPr>
          <w:rFonts w:hint="eastAsia" w:hAnsi="宋体" w:cs="宋体"/>
          <w:b/>
          <w:bCs/>
          <w:color w:val="auto"/>
          <w:sz w:val="21"/>
          <w:highlight w:val="none"/>
        </w:rPr>
        <w:t>一、评标方法</w:t>
      </w:r>
    </w:p>
    <w:p>
      <w:pPr>
        <w:pStyle w:val="25"/>
        <w:spacing w:line="360" w:lineRule="exact"/>
        <w:ind w:firstLine="420"/>
        <w:rPr>
          <w:rFonts w:hAnsi="宋体" w:cs="宋体"/>
          <w:color w:val="auto"/>
          <w:sz w:val="21"/>
          <w:highlight w:val="none"/>
        </w:rPr>
      </w:pPr>
      <w:r>
        <w:rPr>
          <w:rFonts w:hint="eastAsia" w:hAnsi="宋体" w:cs="宋体"/>
          <w:color w:val="auto"/>
          <w:sz w:val="21"/>
          <w:highlight w:val="none"/>
        </w:rPr>
        <w:t>（一）综合评分法，是指投标文件满足招标文件全部实质性要求，且按照评审因素的量化指标评审得分最高的投标人为中标候选人的评标方法。</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（二）组建评标委员会</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评标委员会由采购人代表和评审专家组成，成员人数见“投标人须知前附表”，其中评审专家不得少于成员总数的三分之二。</w:t>
      </w:r>
    </w:p>
    <w:p>
      <w:pPr>
        <w:pStyle w:val="25"/>
        <w:spacing w:line="360" w:lineRule="exact"/>
        <w:ind w:firstLine="420"/>
        <w:rPr>
          <w:rFonts w:hAnsi="宋体" w:cs="宋体"/>
          <w:color w:val="auto"/>
          <w:sz w:val="21"/>
          <w:highlight w:val="none"/>
        </w:rPr>
      </w:pPr>
      <w:r>
        <w:rPr>
          <w:rFonts w:hint="eastAsia" w:hAnsi="宋体" w:cs="宋体"/>
          <w:color w:val="auto"/>
          <w:sz w:val="21"/>
          <w:highlight w:val="none"/>
        </w:rPr>
        <w:t>参加过采购项目前期咨询论证的专家，不得参加该采购项目的评审活动。</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（三）评标程序</w:t>
      </w:r>
    </w:p>
    <w:p>
      <w:pPr>
        <w:pStyle w:val="9"/>
        <w:spacing w:before="0" w:after="0" w:line="360" w:lineRule="exact"/>
        <w:ind w:left="420" w:leftChars="200"/>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1.符合性审查</w:t>
      </w:r>
    </w:p>
    <w:p>
      <w:pPr>
        <w:pStyle w:val="25"/>
        <w:snapToGrid w:val="0"/>
        <w:spacing w:line="360" w:lineRule="exact"/>
        <w:ind w:left="1" w:firstLine="420"/>
        <w:rPr>
          <w:rFonts w:hAnsi="宋体" w:cs="宋体"/>
          <w:bCs/>
          <w:color w:val="auto"/>
          <w:kern w:val="2"/>
          <w:sz w:val="21"/>
          <w:highlight w:val="none"/>
        </w:rPr>
      </w:pPr>
      <w:r>
        <w:rPr>
          <w:rFonts w:hint="eastAsia" w:hAnsi="宋体" w:cs="宋体"/>
          <w:bCs/>
          <w:color w:val="auto"/>
          <w:kern w:val="2"/>
          <w:sz w:val="21"/>
          <w:highlight w:val="none"/>
        </w:rPr>
        <w:t>评标委员会应当对符合资格的投标人的投标文件进行投标报价、商务、技术等实质性要求符合性审查，以确定其是否满足招标文件的实质性要求。</w:t>
      </w:r>
    </w:p>
    <w:p>
      <w:pPr>
        <w:pStyle w:val="9"/>
        <w:spacing w:before="0" w:after="0" w:line="360" w:lineRule="exact"/>
        <w:ind w:left="420" w:leftChars="200"/>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2.符合性审查不通过而导致投标无效的情形</w:t>
      </w:r>
    </w:p>
    <w:p>
      <w:p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投标人的投标文件中存在对招标文件的任何实质性要求和条件的负偏离，其投标将被视为投标无效。</w:t>
      </w:r>
    </w:p>
    <w:p>
      <w:pPr>
        <w:pStyle w:val="9"/>
        <w:spacing w:before="0" w:after="0" w:line="360" w:lineRule="exact"/>
        <w:ind w:left="420" w:leftChars="200"/>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2.1在报价评审时，如发现下列情形之一的，将被视为投标无效：</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投标文件未提供“投标人须知前附表”第13.1条规定中“必须提供”的文件资料的;</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未采用人民币报价或者未按照招标文件标明的币种报价的；</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报价超出招标文件规定最高限价，或者超出采购预算金额的；</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修正后的报价，投标人不确认的；</w:t>
      </w:r>
    </w:p>
    <w:p>
      <w:pPr>
        <w:pStyle w:val="10"/>
        <w:numPr>
          <w:ilvl w:val="0"/>
          <w:numId w:val="11"/>
        </w:numPr>
        <w:spacing w:line="36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投标人属于本须知第29.4条第（2）项情形的</w:t>
      </w:r>
    </w:p>
    <w:p>
      <w:pPr>
        <w:pStyle w:val="9"/>
        <w:spacing w:before="0" w:after="0" w:line="360" w:lineRule="exact"/>
        <w:ind w:left="420" w:leftChars="200"/>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2.2在商务评审时，如发现下列情形之一的，将被视为投标无效：</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投标文件未按招标文件要求签署、盖章的；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委托代理人未能出具有效身份证明或出具的身份证明与授权委托书中的信息不符的； </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为无效投标保证金的或未按照招标文件的规定提交投标保证金的；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投标文件未提供“投标人须知前附表”第13.3条规定中“必须提供”或者“委托时必须提供”的文件资料的;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投标有效期、项目完成时间（交货时间、服务完成时间或服务期等）、质保期、售后服务等招标文件中标“▲”的商务条款发生负偏离的；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商务评审允许负偏离的项目数超过“投标人须知前附表”规定项数的。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投标文件的实质性内容未使用中文表述、使用计量单位不符合招标文件要求的；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投标文件中的文件资料因填写不齐全或者内容虚假或者出现其他情形而导致被评标委员会认定无效的；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投标文件含有采购人不能接受的附加条件的；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未响应招标文件实质性要求的；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属于投标人须知第8.6条和第8.8条（2）的情形的；</w:t>
      </w:r>
    </w:p>
    <w:p>
      <w:pPr>
        <w:numPr>
          <w:ilvl w:val="0"/>
          <w:numId w:val="12"/>
        </w:numPr>
        <w:snapToGrid w:val="0"/>
        <w:spacing w:line="36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法律、法规和招标文件规定的其他无效情形。</w:t>
      </w:r>
    </w:p>
    <w:p>
      <w:pPr>
        <w:pStyle w:val="9"/>
        <w:spacing w:before="0" w:after="0" w:line="360" w:lineRule="exact"/>
        <w:ind w:left="420" w:leftChars="200"/>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2.3在技术评审时，如发现下列情形之一的，将被视为投标无效：</w:t>
      </w:r>
    </w:p>
    <w:p>
      <w:pPr>
        <w:pStyle w:val="4"/>
        <w:snapToGrid w:val="0"/>
        <w:spacing w:line="36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（1）明显不满足招标文件要求的技术规格、安全、质量标准，或者与招标文件中标“▲”的技术指标、主要功能发生负偏离的；</w:t>
      </w:r>
    </w:p>
    <w:p>
      <w:pPr>
        <w:pStyle w:val="4"/>
        <w:snapToGrid w:val="0"/>
        <w:spacing w:line="36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（2）技术评审允许负偏离的项目数超过“投标人须知前附表”规定项数的；</w:t>
      </w:r>
    </w:p>
    <w:p>
      <w:pPr>
        <w:pStyle w:val="4"/>
        <w:snapToGrid w:val="0"/>
        <w:spacing w:line="36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（3）投标文件未提供“投标人须知前附表”第13.4条规定中“必须提供”的文件资料的;</w:t>
      </w:r>
    </w:p>
    <w:p>
      <w:pPr>
        <w:pStyle w:val="4"/>
        <w:snapToGrid w:val="0"/>
        <w:spacing w:line="36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（4）虚假投标，或者出现其他情形而导致被评标委员会认定无效的；</w:t>
      </w:r>
    </w:p>
    <w:p>
      <w:pPr>
        <w:pStyle w:val="4"/>
        <w:snapToGrid w:val="0"/>
        <w:spacing w:line="360" w:lineRule="exact"/>
        <w:ind w:firstLine="411" w:firstLineChars="196"/>
        <w:rPr>
          <w:rFonts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rPr>
        <w:t>（5）投标技术方案不明确，招标文件未允许但存在一个或一个以上备选（替代）投标方案的。</w:t>
      </w:r>
    </w:p>
    <w:p>
      <w:pPr>
        <w:pStyle w:val="9"/>
        <w:spacing w:before="0" w:after="0" w:line="360" w:lineRule="exact"/>
        <w:ind w:left="420" w:leftChars="200"/>
        <w:rPr>
          <w:rFonts w:ascii="宋体" w:hAnsi="宋体" w:cs="宋体"/>
          <w:color w:val="auto"/>
          <w:sz w:val="21"/>
          <w:szCs w:val="21"/>
          <w:highlight w:val="none"/>
        </w:rPr>
      </w:pPr>
      <w:r>
        <w:rPr>
          <w:rFonts w:hint="eastAsia" w:ascii="宋体" w:hAnsi="宋体" w:cs="宋体"/>
          <w:color w:val="auto"/>
          <w:sz w:val="21"/>
          <w:szCs w:val="21"/>
          <w:highlight w:val="none"/>
        </w:rPr>
        <w:t>3.澄清补正</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pPr>
        <w:pStyle w:val="9"/>
        <w:spacing w:before="0" w:after="0" w:line="360" w:lineRule="exact"/>
        <w:ind w:left="420" w:leftChars="200"/>
        <w:rPr>
          <w:rFonts w:ascii="宋体" w:hAnsi="宋体" w:cs="宋体"/>
          <w:color w:val="auto"/>
          <w:sz w:val="21"/>
          <w:szCs w:val="21"/>
          <w:highlight w:val="none"/>
        </w:rPr>
      </w:pPr>
      <w:r>
        <w:rPr>
          <w:rFonts w:hint="eastAsia" w:ascii="宋体" w:hAnsi="宋体" w:cs="宋体"/>
          <w:color w:val="auto"/>
          <w:sz w:val="21"/>
          <w:szCs w:val="21"/>
          <w:highlight w:val="none"/>
        </w:rPr>
        <w:t>4.比较与评价</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（1）评标委员会按照招标文件中规定的评标方法和评标标准，对符合性审查合格的投标文件进行商务和技术评估，综合比较与评价。</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（2）评标委员会应当独立对每个投标人的投标文件进行评价，并汇总每个投标人的得分。</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hAnsi="宋体" w:cs="宋体"/>
          <w:b/>
          <w:color w:val="auto"/>
          <w:kern w:val="2"/>
          <w:sz w:val="21"/>
          <w:highlight w:val="none"/>
        </w:rPr>
        <w:t>评标委员会应当将其作为无效投标处理</w:t>
      </w:r>
      <w:r>
        <w:rPr>
          <w:rFonts w:hint="eastAsia" w:hAnsi="宋体" w:cs="宋体"/>
          <w:color w:val="auto"/>
          <w:sz w:val="21"/>
          <w:highlight w:val="none"/>
        </w:rPr>
        <w:t>。</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（3）评标委员会按照招标文件中规定的评标方法和标准计算各投标人的报价得分。在计算过程中，不得去掉最高报价或最低报价。</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（4）各投标人的得分为所有评委的有效评分的算术平均数。</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（5）评标委员会按照招标文件中的规定推荐中标候选人。</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pStyle w:val="9"/>
        <w:spacing w:before="0" w:after="0" w:line="360" w:lineRule="exact"/>
        <w:ind w:left="420" w:leftChars="200"/>
        <w:rPr>
          <w:rFonts w:ascii="宋体" w:hAnsi="宋体" w:cs="宋体"/>
          <w:color w:val="auto"/>
          <w:sz w:val="21"/>
          <w:szCs w:val="21"/>
          <w:highlight w:val="none"/>
        </w:rPr>
      </w:pPr>
      <w:r>
        <w:rPr>
          <w:rFonts w:hint="eastAsia" w:ascii="宋体" w:hAnsi="宋体" w:cs="宋体"/>
          <w:color w:val="auto"/>
          <w:sz w:val="21"/>
          <w:szCs w:val="21"/>
          <w:highlight w:val="none"/>
        </w:rPr>
        <w:t>5.投标文件修正</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 xml:space="preserve">5.1投标文件报价出现前后不一致的，按照下列规定修正： </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（1）投标文件中开标一览表（报价表）内容与投标文件中相应内容不一致的，以开标一览表（报价表）为准；</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（2）大写金额和小写金额不一致的，以大写金额为准；</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（3）单价金额小数点或者百分比有明显错位的，以开标一览表的总价为准，并修改单价；</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（4）总价金额与按单价汇总金额不一致的，以单价金额计算结果为准。</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同时出现两种以上不一致的，按照以上（1）-（4）规定的顺序修正。</w:t>
      </w:r>
      <w:r>
        <w:rPr>
          <w:rFonts w:hint="eastAsia" w:hAnsi="宋体" w:cs="宋体"/>
          <w:b/>
          <w:color w:val="auto"/>
          <w:sz w:val="21"/>
          <w:highlight w:val="none"/>
        </w:rPr>
        <w:t>修正后的报价经投标人确认后产生约束力，投标人不确认的，其投标无效。</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5.2经投标人确认修正后的报价若超过采购预算金额，投标人的投标文件作无效投标处理。</w:t>
      </w:r>
    </w:p>
    <w:p>
      <w:pPr>
        <w:pStyle w:val="25"/>
        <w:snapToGrid w:val="0"/>
        <w:spacing w:line="360" w:lineRule="exact"/>
        <w:ind w:firstLine="420" w:firstLineChars="200"/>
        <w:rPr>
          <w:rFonts w:hAnsi="宋体" w:cs="宋体"/>
          <w:color w:val="auto"/>
          <w:sz w:val="21"/>
          <w:highlight w:val="none"/>
        </w:rPr>
      </w:pPr>
      <w:r>
        <w:rPr>
          <w:rFonts w:hint="eastAsia" w:hAnsi="宋体" w:cs="宋体"/>
          <w:color w:val="auto"/>
          <w:sz w:val="21"/>
          <w:highlight w:val="none"/>
        </w:rPr>
        <w:t>5.3经投标人确认修正后的报价作为签订合同的一个依据，并以此报价计算价格分。</w:t>
      </w:r>
    </w:p>
    <w:p>
      <w:pPr>
        <w:pStyle w:val="9"/>
        <w:spacing w:before="0" w:after="0" w:line="360" w:lineRule="exact"/>
        <w:ind w:left="420" w:leftChars="200"/>
        <w:rPr>
          <w:rFonts w:ascii="宋体" w:hAnsi="宋体" w:cs="宋体"/>
          <w:color w:val="auto"/>
          <w:sz w:val="21"/>
          <w:szCs w:val="21"/>
          <w:highlight w:val="none"/>
        </w:rPr>
      </w:pPr>
      <w:r>
        <w:rPr>
          <w:rFonts w:hint="eastAsia" w:ascii="宋体" w:hAnsi="宋体" w:cs="宋体"/>
          <w:color w:val="auto"/>
          <w:sz w:val="21"/>
          <w:szCs w:val="21"/>
          <w:highlight w:val="none"/>
        </w:rPr>
        <w:t>6.评标过程的监控</w:t>
      </w:r>
    </w:p>
    <w:p>
      <w:pPr>
        <w:pStyle w:val="25"/>
        <w:spacing w:line="360" w:lineRule="exact"/>
        <w:ind w:firstLine="420"/>
        <w:rPr>
          <w:rFonts w:hAnsi="宋体" w:cs="宋体"/>
          <w:color w:val="auto"/>
          <w:sz w:val="21"/>
          <w:highlight w:val="none"/>
        </w:rPr>
      </w:pPr>
      <w:r>
        <w:rPr>
          <w:rFonts w:hint="eastAsia" w:hAnsi="宋体" w:cs="宋体"/>
          <w:b/>
          <w:color w:val="auto"/>
          <w:kern w:val="2"/>
          <w:sz w:val="21"/>
          <w:highlight w:val="none"/>
        </w:rPr>
        <w:t>本项目评标过程实行全程录音、录像监控，投标人在评标过程中所进行的试图影响评标结果的不公正活动，可能导致其投标按无效处理。</w:t>
      </w:r>
    </w:p>
    <w:p>
      <w:pPr>
        <w:pStyle w:val="25"/>
        <w:spacing w:line="480" w:lineRule="auto"/>
        <w:ind w:firstLine="420"/>
        <w:rPr>
          <w:rFonts w:hAnsi="宋体" w:cs="宋体"/>
          <w:color w:val="auto"/>
          <w:sz w:val="21"/>
          <w:highlight w:val="none"/>
        </w:rPr>
      </w:pPr>
    </w:p>
    <w:p>
      <w:pPr>
        <w:pStyle w:val="25"/>
        <w:spacing w:line="480" w:lineRule="auto"/>
        <w:ind w:firstLine="420"/>
        <w:rPr>
          <w:rFonts w:hAnsi="宋体" w:cs="宋体"/>
          <w:b/>
          <w:bCs/>
          <w:color w:val="auto"/>
          <w:sz w:val="21"/>
          <w:highlight w:val="none"/>
        </w:rPr>
      </w:pPr>
      <w:r>
        <w:rPr>
          <w:rFonts w:hint="eastAsia" w:hAnsi="宋体" w:cs="宋体"/>
          <w:color w:val="auto"/>
          <w:sz w:val="21"/>
          <w:highlight w:val="none"/>
        </w:rPr>
        <w:t>二、</w:t>
      </w:r>
      <w:r>
        <w:rPr>
          <w:rFonts w:hint="eastAsia" w:hAnsi="宋体" w:cs="宋体"/>
          <w:b/>
          <w:bCs/>
          <w:color w:val="auto"/>
          <w:sz w:val="21"/>
          <w:highlight w:val="none"/>
        </w:rPr>
        <w:t>评标标准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评标标准（综合评分法，计分方法按四舍五入取至百分位）</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1、价格分…………………………………………………………………………………30分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（1）投标产品按</w:t>
      </w:r>
      <w:r>
        <w:rPr>
          <w:rFonts w:hint="eastAsia" w:ascii="宋体" w:hAnsi="宋体" w:eastAsia="宋体" w:cs="宋体"/>
          <w:color w:val="auto"/>
          <w:sz w:val="24"/>
          <w:highlight w:val="none"/>
        </w:rPr>
        <w:t>《政府采购促进中小 企业发展管理办法》（财库﹝2020﹞46号）</w:t>
      </w:r>
      <w:r>
        <w:rPr>
          <w:rFonts w:hint="eastAsia" w:ascii="宋体" w:hAnsi="宋体" w:cs="宋体"/>
          <w:color w:val="auto"/>
          <w:szCs w:val="21"/>
          <w:highlight w:val="none"/>
        </w:rPr>
        <w:t>认定为小型和微型企业产品的（以投标文件提供的投标产品符合规定生产厂家有关证明材料为准），对投标价给予10%的扣除，扣除后的价格为评标价，即评标价=投标价×（1-10%）；大中型企业与小型、微型企业组成联合体投标，其中小型、微型企业的协议合同金额占到联合体协议合同总金额30%以上的，联合体投标价给予2%的扣除，扣除后的价格为评标价，即评标价=投标价×（1-2%）；投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除上述情况外，评标价=投标价。</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（2）以进入评标的最低的评标价为30分。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（3）某投标人价格得分 =（1-投标人最高投标折让率）/（1-某投标人投标折让率）×30分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备注：本项目最高折让率＜20%的，作无效投标；本项目不接受零折让率的报价。</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2、技术分………………………………………………………………………………48分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（1）设备性能分（满分</w:t>
      </w:r>
      <w:r>
        <w:rPr>
          <w:rFonts w:hint="eastAsia" w:ascii="宋体" w:hAnsi="宋体" w:cs="宋体"/>
          <w:b/>
          <w:color w:val="auto"/>
          <w:szCs w:val="21"/>
          <w:highlight w:val="none"/>
          <w:lang w:val="en-US" w:eastAsia="zh-CN"/>
        </w:rPr>
        <w:t>29</w:t>
      </w:r>
      <w:r>
        <w:rPr>
          <w:rFonts w:hint="eastAsia" w:ascii="宋体" w:hAnsi="宋体" w:cs="宋体"/>
          <w:b/>
          <w:color w:val="auto"/>
          <w:szCs w:val="21"/>
          <w:highlight w:val="none"/>
        </w:rPr>
        <w:t>分）：</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评委根据招标文件要求，对通过资格性和符合性审查进入详评的各投标人所投产品技术参数偏离情况进行独立评审，并按如下计分方式确定得分:</w:t>
      </w:r>
    </w:p>
    <w:p>
      <w:pPr>
        <w:spacing w:line="440" w:lineRule="exact"/>
        <w:rPr>
          <w:rFonts w:hint="default"/>
          <w:color w:val="auto"/>
          <w:highlight w:val="none"/>
          <w:lang w:val="en-US"/>
        </w:rPr>
      </w:pPr>
      <w:r>
        <w:rPr>
          <w:rFonts w:hint="eastAsia" w:ascii="宋体" w:hAnsi="宋体" w:cs="宋体"/>
          <w:color w:val="auto"/>
          <w:szCs w:val="21"/>
          <w:highlight w:val="none"/>
        </w:rPr>
        <w:t>提供省级（含：自治区、直辖市）相关</w:t>
      </w:r>
      <w:r>
        <w:rPr>
          <w:rFonts w:hint="eastAsia" w:ascii="宋体" w:hAnsi="宋体" w:cs="宋体"/>
          <w:color w:val="auto"/>
          <w:szCs w:val="21"/>
          <w:highlight w:val="none"/>
          <w:lang w:val="en-US" w:eastAsia="zh-CN"/>
        </w:rPr>
        <w:t>专业质量</w:t>
      </w:r>
      <w:r>
        <w:rPr>
          <w:rFonts w:hint="eastAsia" w:ascii="宋体" w:hAnsi="宋体" w:cs="宋体"/>
          <w:color w:val="auto"/>
          <w:szCs w:val="21"/>
          <w:highlight w:val="none"/>
        </w:rPr>
        <w:t>监督检验部门出具的检测报告每项得</w:t>
      </w:r>
      <w:r>
        <w:rPr>
          <w:rFonts w:hint="eastAsia" w:ascii="宋体" w:hAnsi="宋体" w:cs="宋体"/>
          <w:color w:val="auto"/>
          <w:szCs w:val="21"/>
          <w:highlight w:val="none"/>
          <w:lang w:val="en-US" w:eastAsia="zh-CN"/>
        </w:rPr>
        <w:t>0.1</w:t>
      </w:r>
      <w:r>
        <w:rPr>
          <w:rFonts w:hint="eastAsia" w:ascii="宋体" w:hAnsi="宋体" w:cs="宋体"/>
          <w:color w:val="auto"/>
          <w:szCs w:val="21"/>
          <w:highlight w:val="none"/>
        </w:rPr>
        <w:t>分；提供国家级相关</w:t>
      </w:r>
      <w:r>
        <w:rPr>
          <w:rFonts w:hint="eastAsia" w:ascii="宋体" w:hAnsi="宋体" w:cs="宋体"/>
          <w:color w:val="auto"/>
          <w:szCs w:val="21"/>
          <w:highlight w:val="none"/>
          <w:lang w:val="en-US" w:eastAsia="zh-CN"/>
        </w:rPr>
        <w:t>专业</w:t>
      </w:r>
      <w:r>
        <w:rPr>
          <w:rFonts w:hint="eastAsia" w:ascii="宋体" w:hAnsi="宋体" w:cs="宋体"/>
          <w:color w:val="auto"/>
          <w:szCs w:val="21"/>
          <w:highlight w:val="none"/>
        </w:rPr>
        <w:t>质量监督检验部门出具的检测报告每项得</w:t>
      </w:r>
      <w:r>
        <w:rPr>
          <w:rFonts w:hint="eastAsia" w:ascii="宋体" w:hAnsi="宋体" w:cs="宋体"/>
          <w:color w:val="auto"/>
          <w:szCs w:val="21"/>
          <w:highlight w:val="none"/>
          <w:lang w:val="en-US" w:eastAsia="zh-CN"/>
        </w:rPr>
        <w:t>0.33</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(本项满分5分)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一档(</w:t>
      </w:r>
      <w:r>
        <w:rPr>
          <w:rFonts w:hint="eastAsia" w:ascii="宋体" w:hAnsi="宋体" w:cs="宋体"/>
          <w:color w:val="auto"/>
          <w:szCs w:val="21"/>
          <w:highlight w:val="none"/>
          <w:lang w:val="en-US" w:eastAsia="zh-CN"/>
        </w:rPr>
        <w:t>24</w:t>
      </w:r>
      <w:r>
        <w:rPr>
          <w:rFonts w:hint="eastAsia" w:ascii="宋体" w:hAnsi="宋体" w:cs="宋体"/>
          <w:color w:val="auto"/>
          <w:szCs w:val="21"/>
          <w:highlight w:val="none"/>
        </w:rPr>
        <w:t>分):所投产品技术参数(招标文件要求提供有效检测报告复印件必须满足)无负偏离得24分。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二档(20分):所投产品技术参数(招标文件要求提供有效检测报告复印件必须满足)有2项负偏离得18分。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三档(15分):所投产品技术参数(招标文件要求提供有效检测报告复印件必须满足)有4项负偏离得12分。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四档(5分) :所投产品技术参数(招标文件要求提供有效检测报告复印件必须满足)有6项负偏离得3分。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说明：注:供应商须对本招标文件技术要求进行点对点应答，特别对有具体参数要求的指标，供应商必须提供所投设备的具体参数值。投标时提供的检测报告的检测时间为三年（2</w:t>
      </w:r>
      <w:r>
        <w:rPr>
          <w:rFonts w:ascii="宋体" w:hAnsi="宋体" w:cs="宋体"/>
          <w:color w:val="auto"/>
          <w:szCs w:val="21"/>
          <w:highlight w:val="none"/>
        </w:rPr>
        <w:t>019</w:t>
      </w:r>
      <w:r>
        <w:rPr>
          <w:rFonts w:hint="eastAsia" w:ascii="宋体" w:hAnsi="宋体" w:cs="宋体"/>
          <w:color w:val="auto"/>
          <w:szCs w:val="21"/>
          <w:highlight w:val="none"/>
        </w:rPr>
        <w:t>年、2</w:t>
      </w:r>
      <w:r>
        <w:rPr>
          <w:rFonts w:ascii="宋体" w:hAnsi="宋体" w:cs="宋体"/>
          <w:color w:val="auto"/>
          <w:szCs w:val="21"/>
          <w:highlight w:val="none"/>
        </w:rPr>
        <w:t>020</w:t>
      </w:r>
      <w:r>
        <w:rPr>
          <w:rFonts w:hint="eastAsia" w:ascii="宋体" w:hAnsi="宋体" w:cs="宋体"/>
          <w:color w:val="auto"/>
          <w:szCs w:val="21"/>
          <w:highlight w:val="none"/>
        </w:rPr>
        <w:t>年、2</w:t>
      </w:r>
      <w:r>
        <w:rPr>
          <w:rFonts w:ascii="宋体" w:hAnsi="宋体" w:cs="宋体"/>
          <w:color w:val="auto"/>
          <w:szCs w:val="21"/>
          <w:highlight w:val="none"/>
        </w:rPr>
        <w:t>021</w:t>
      </w:r>
      <w:r>
        <w:rPr>
          <w:rFonts w:hint="eastAsia" w:ascii="宋体" w:hAnsi="宋体" w:cs="宋体"/>
          <w:color w:val="auto"/>
          <w:szCs w:val="21"/>
          <w:highlight w:val="none"/>
        </w:rPr>
        <w:t>年），视为有效检测报告文件。未按招标文件要求提供有效检测报告复印件视为负偏离，如供应商投标文件对招标文件技术要求响应为无偏离，但经评标委员会认定为负偏离的，评标委员会可给予相应档次定档，漏项视为负偏离。（投标时提供检测报告原件核查。）。</w:t>
      </w:r>
    </w:p>
    <w:p>
      <w:pPr>
        <w:spacing w:line="440" w:lineRule="exact"/>
        <w:rPr>
          <w:rFonts w:ascii="宋体" w:hAnsi="宋体" w:cs="宋体"/>
          <w:color w:val="auto"/>
          <w:szCs w:val="21"/>
          <w:highlight w:val="none"/>
        </w:rPr>
      </w:pPr>
      <w:r>
        <w:rPr>
          <w:rFonts w:hint="eastAsia" w:ascii="宋体" w:hAnsi="宋体" w:cs="宋体"/>
          <w:b/>
          <w:bCs/>
          <w:color w:val="auto"/>
          <w:szCs w:val="21"/>
          <w:highlight w:val="none"/>
        </w:rPr>
        <w:t>（2）项目实施方案（满分</w:t>
      </w:r>
      <w:r>
        <w:rPr>
          <w:rFonts w:hint="eastAsia" w:ascii="宋体" w:hAnsi="宋体" w:cs="宋体"/>
          <w:b/>
          <w:bCs/>
          <w:color w:val="auto"/>
          <w:szCs w:val="21"/>
          <w:highlight w:val="none"/>
          <w:lang w:val="en-US" w:eastAsia="zh-CN"/>
        </w:rPr>
        <w:t>19</w:t>
      </w:r>
      <w:r>
        <w:rPr>
          <w:rFonts w:hint="eastAsia" w:ascii="宋体" w:hAnsi="宋体" w:cs="宋体"/>
          <w:b/>
          <w:bCs/>
          <w:color w:val="auto"/>
          <w:szCs w:val="21"/>
          <w:highlight w:val="none"/>
        </w:rPr>
        <w:t>分）：</w:t>
      </w:r>
      <w:r>
        <w:rPr>
          <w:rFonts w:hint="eastAsia" w:ascii="宋体" w:hAnsi="宋体" w:cs="宋体"/>
          <w:color w:val="auto"/>
          <w:szCs w:val="21"/>
          <w:highlight w:val="none"/>
        </w:rPr>
        <w:t xml:space="preserve"> 由评委根据该项目实施方案的编制的科学性、针对性、合理性等方面进行评审并独立打分。 ①项目实施总体规划设计方案、项目实施管理、质量管理、质量保证措施及安全管理方案很简单，评定为差，得</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 ②项目实施总体规划设计方案、项目实施管理、质量管理、质量保证措施及安全管理方案较详细，评定为一般，得 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 xml:space="preserve"> 分； ③项目实施总体规划设计方案、项目实施管理、质量管理、质量保证措施及安全管理方案很详细，具有科学性、针对性，方案较合理，评定为良好，得</w:t>
      </w:r>
      <w:r>
        <w:rPr>
          <w:rFonts w:hint="eastAsia" w:ascii="宋体" w:hAnsi="宋体" w:cs="宋体"/>
          <w:color w:val="auto"/>
          <w:szCs w:val="21"/>
          <w:highlight w:val="none"/>
          <w:lang w:val="en-US" w:eastAsia="zh-CN"/>
        </w:rPr>
        <w:t>15</w:t>
      </w:r>
      <w:r>
        <w:rPr>
          <w:rFonts w:hint="eastAsia" w:ascii="宋体" w:hAnsi="宋体" w:cs="宋体"/>
          <w:color w:val="auto"/>
          <w:szCs w:val="21"/>
          <w:highlight w:val="none"/>
        </w:rPr>
        <w:t>分； ④项目实施总体规划设计方案、项目实施管理、质量管理、质量保证措施及安全管理方案很详细，项目实施管理、质量管理、质量保正措施方案针对性强，所有方案有一定的科学性且合理的，评为优，得</w:t>
      </w:r>
      <w:r>
        <w:rPr>
          <w:rFonts w:hint="eastAsia" w:ascii="宋体" w:hAnsi="宋体" w:cs="宋体"/>
          <w:color w:val="auto"/>
          <w:szCs w:val="21"/>
          <w:highlight w:val="none"/>
          <w:lang w:val="en-US" w:eastAsia="zh-CN"/>
        </w:rPr>
        <w:t>19</w:t>
      </w:r>
      <w:r>
        <w:rPr>
          <w:rFonts w:hint="eastAsia" w:ascii="宋体" w:hAnsi="宋体" w:cs="宋体"/>
          <w:color w:val="auto"/>
          <w:szCs w:val="21"/>
          <w:highlight w:val="none"/>
        </w:rPr>
        <w:t>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 xml:space="preserve">3、售后服务方案……………………………………………………………………15分 </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售后服务方案（满分15分）：由评委根据投标文件中售后服务承诺书内容的完整性、可行性、到达故障现场时间、故障出现解决方案、定期维护（注明时间）、免费技术培训方案、保修期外维修方案、提供备品备件、其他优惠措施等方面进行独立评审并独立打分。满分15分。 ①售后服务方案简单，培训方案、服务人员配置、定期回访安排、排除故障时间、基本满足招标文件要求，得 5分； ②售后服务方案简单，培训方案、服务人员配置、定期回访安排、排除故障时间满足并优于招标文件要求得10分 ③售后服务方案详细，                                                                                                                                                                                                                                                                                                                                                         售后和验收方案完整、合理培训方案安排、有完整的项目组织机构及人员配备且合理的、提供定期回访安排、商务条款要求的服务承诺最优，得15分。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4、业绩、信誉等商务分…………………………………………………………………6分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4.1 业绩情况：（满分2分）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投标人在近三年（2018年起）需具有类似专业同类货物的销售业绩，每份合同得1分，最高2分。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4.2 资质信誉 （满分4分）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（1）投标人通过ISO9001质量管理体系认证且在有效期内的得1分；投标人需提供有效的证书复印件。</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（2）投标人通过ISO13485质量管理体系认证且在有效期内的得1分；投标人需提供有效的证书复印件。</w:t>
      </w:r>
    </w:p>
    <w:p>
      <w:pPr>
        <w:pStyle w:val="8"/>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（3）2018年1月1日起至今，投标人或制造商参与国家级残疾人辅助器具相关课题研究项目的得2分。满分2分。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5、政策功能分（节能、环保、区内产品等）…………………………………………1分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投标产品中广西产品的投标金额占总投标金额的比例达80%以上（含）的得1分，满分1分。（以投标人按“投标文件格式”要求提供的《广西工业产品声明函》为评分依据）。</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（三）总得分＝1 + 2 + 3 + 4 + 5。</w:t>
      </w:r>
    </w:p>
    <w:p>
      <w:pPr>
        <w:pStyle w:val="25"/>
        <w:spacing w:line="440" w:lineRule="exact"/>
        <w:rPr>
          <w:rFonts w:hAnsi="宋体" w:cs="宋体"/>
          <w:b/>
          <w:color w:val="auto"/>
          <w:sz w:val="21"/>
          <w:highlight w:val="none"/>
        </w:rPr>
      </w:pPr>
      <w:r>
        <w:rPr>
          <w:rFonts w:hint="eastAsia" w:hAnsi="宋体" w:cs="宋体"/>
          <w:b/>
          <w:color w:val="auto"/>
          <w:sz w:val="21"/>
          <w:highlight w:val="none"/>
        </w:rPr>
        <w:t>三、中标候选人推荐原则</w:t>
      </w:r>
    </w:p>
    <w:p>
      <w:pPr>
        <w:pStyle w:val="25"/>
        <w:spacing w:line="440" w:lineRule="exact"/>
        <w:ind w:firstLine="420"/>
        <w:rPr>
          <w:rFonts w:hAnsi="宋体" w:cs="宋体"/>
          <w:bCs/>
          <w:color w:val="auto"/>
          <w:sz w:val="21"/>
          <w:highlight w:val="none"/>
        </w:rPr>
      </w:pPr>
      <w:r>
        <w:rPr>
          <w:rFonts w:hint="eastAsia" w:hAnsi="宋体" w:cs="宋体"/>
          <w:bCs/>
          <w:color w:val="auto"/>
          <w:sz w:val="21"/>
          <w:highlight w:val="none"/>
        </w:rPr>
        <w:t>1、本项目投标人可投2个分标，但只能中一个分标。本项目按照A-B-C-D-E-F-G分标的顺序依次评标，在分标一被确定为中标人的投标人，不得成为分标二和后续分标的中标人。以此类推。</w:t>
      </w:r>
    </w:p>
    <w:p>
      <w:pPr>
        <w:pStyle w:val="25"/>
        <w:spacing w:line="440" w:lineRule="exact"/>
        <w:ind w:firstLine="420"/>
        <w:rPr>
          <w:rFonts w:hAnsi="宋体"/>
          <w:bCs/>
          <w:color w:val="auto"/>
          <w:kern w:val="2"/>
          <w:sz w:val="21"/>
          <w:highlight w:val="none"/>
        </w:rPr>
      </w:pPr>
      <w:r>
        <w:rPr>
          <w:rFonts w:hint="eastAsia" w:hAnsi="宋体" w:cs="宋体"/>
          <w:bCs/>
          <w:color w:val="auto"/>
          <w:sz w:val="21"/>
          <w:highlight w:val="none"/>
        </w:rPr>
        <w:t>2、评标委员会将根据得分由高到低排列次序（得分相同时，以投标</w:t>
      </w:r>
      <w:r>
        <w:rPr>
          <w:rFonts w:hint="eastAsia" w:hAnsi="宋体" w:cs="宋体"/>
          <w:color w:val="auto"/>
          <w:sz w:val="21"/>
          <w:highlight w:val="none"/>
        </w:rPr>
        <w:t>折让率</w:t>
      </w:r>
      <w:r>
        <w:rPr>
          <w:rFonts w:hint="eastAsia" w:hAnsi="宋体" w:cs="宋体"/>
          <w:bCs/>
          <w:color w:val="auto"/>
          <w:sz w:val="21"/>
          <w:highlight w:val="none"/>
        </w:rPr>
        <w:t>由高到低顺序排列；得分相同且投标</w:t>
      </w:r>
      <w:r>
        <w:rPr>
          <w:rFonts w:hint="eastAsia" w:hAnsi="宋体" w:cs="宋体"/>
          <w:color w:val="auto"/>
          <w:sz w:val="21"/>
          <w:highlight w:val="none"/>
        </w:rPr>
        <w:t>折让率</w:t>
      </w:r>
      <w:r>
        <w:rPr>
          <w:rFonts w:hint="eastAsia" w:hAnsi="宋体" w:cs="宋体"/>
          <w:bCs/>
          <w:color w:val="auto"/>
          <w:sz w:val="21"/>
          <w:highlight w:val="none"/>
        </w:rPr>
        <w:t>相同的，按技术指标优劣顺序排列）并推荐中标候选供应商。采购人应当确定评审委员会根据采购需求供应商入围比例推荐的中标候选人为中标人。排名第一的中标候选人放弃中标、因不可抗力提出不能履行合同，或者招标文件规定应当提交质量保证金而在规定的期限内未能提交的，采购人可以确定排名第二的中标候选人为中标人。排名第二的中标候选人因前款规定的同样原因不能签订合同的，采购人可以确定排名第三的中标候选人为中标人，其余以此类推</w:t>
      </w:r>
      <w:r>
        <w:rPr>
          <w:rFonts w:hint="eastAsia" w:hAnsi="宋体" w:cs="宋体"/>
          <w:b/>
          <w:bCs/>
          <w:color w:val="auto"/>
          <w:sz w:val="21"/>
          <w:highlight w:val="none"/>
        </w:rPr>
        <w:t>。采购人也可以决定重新采购。</w:t>
      </w:r>
      <w:r>
        <w:rPr>
          <w:b/>
          <w:bCs/>
          <w:color w:val="auto"/>
          <w:highlight w:val="none"/>
        </w:rPr>
        <w:br w:type="textWrapping"/>
      </w:r>
      <w:r>
        <w:rPr>
          <w:rFonts w:hint="eastAsia" w:hAnsi="宋体"/>
          <w:bCs/>
          <w:color w:val="auto"/>
          <w:kern w:val="2"/>
          <w:sz w:val="21"/>
          <w:highlight w:val="none"/>
        </w:rPr>
        <w:t>。</w:t>
      </w:r>
    </w:p>
    <w:p>
      <w:pPr>
        <w:pStyle w:val="25"/>
        <w:spacing w:line="440" w:lineRule="exact"/>
        <w:ind w:firstLine="540" w:firstLineChars="224"/>
        <w:rPr>
          <w:rFonts w:hAnsi="宋体" w:cs="宋体"/>
          <w:b/>
          <w:bCs/>
          <w:color w:val="auto"/>
          <w:sz w:val="28"/>
          <w:szCs w:val="28"/>
          <w:highlight w:val="none"/>
        </w:rPr>
      </w:pPr>
      <w:r>
        <w:rPr>
          <w:rFonts w:hAnsi="宋体"/>
          <w:b/>
          <w:color w:val="auto"/>
          <w:sz w:val="24"/>
          <w:highlight w:val="none"/>
        </w:rPr>
        <w:br w:type="page"/>
      </w:r>
      <w:r>
        <w:rPr>
          <w:rFonts w:hint="eastAsia" w:hAnsi="宋体" w:cs="宋体"/>
          <w:b/>
          <w:bCs/>
          <w:color w:val="auto"/>
          <w:sz w:val="28"/>
          <w:szCs w:val="28"/>
          <w:highlight w:val="none"/>
        </w:rPr>
        <w:t>F分标适用</w:t>
      </w:r>
    </w:p>
    <w:p>
      <w:pPr>
        <w:pStyle w:val="25"/>
        <w:spacing w:line="440" w:lineRule="exact"/>
        <w:ind w:firstLine="472" w:firstLineChars="224"/>
        <w:rPr>
          <w:rFonts w:hAnsi="宋体" w:cs="宋体"/>
          <w:b/>
          <w:bCs/>
          <w:color w:val="auto"/>
          <w:sz w:val="21"/>
          <w:highlight w:val="none"/>
        </w:rPr>
      </w:pPr>
      <w:r>
        <w:rPr>
          <w:rFonts w:hint="eastAsia" w:hAnsi="宋体" w:cs="宋体"/>
          <w:b/>
          <w:bCs/>
          <w:color w:val="auto"/>
          <w:sz w:val="21"/>
          <w:highlight w:val="none"/>
        </w:rPr>
        <w:t>一、评标方法</w:t>
      </w:r>
    </w:p>
    <w:p>
      <w:pPr>
        <w:pStyle w:val="25"/>
        <w:spacing w:line="440" w:lineRule="exact"/>
        <w:ind w:firstLine="420"/>
        <w:rPr>
          <w:rFonts w:hAnsi="宋体" w:cs="宋体"/>
          <w:color w:val="auto"/>
          <w:sz w:val="21"/>
          <w:highlight w:val="none"/>
        </w:rPr>
      </w:pPr>
      <w:r>
        <w:rPr>
          <w:rFonts w:hint="eastAsia" w:hAnsi="宋体" w:cs="宋体"/>
          <w:color w:val="auto"/>
          <w:sz w:val="21"/>
          <w:highlight w:val="none"/>
        </w:rPr>
        <w:t>（一）综合评分法，是指投标文件满足招标文件全部实质性要求，且按照评审因素的量化指标评审得分最高的投标人为中标候选人的评标方法。</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（二）组建评标委员会</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评标委员会由采购人代表和评审专家组成，成员人数见“投标人须知前附表”，其中评审专家不得少于成员总数的三分之二。</w:t>
      </w:r>
    </w:p>
    <w:p>
      <w:pPr>
        <w:pStyle w:val="25"/>
        <w:spacing w:line="440" w:lineRule="exact"/>
        <w:ind w:firstLine="420"/>
        <w:rPr>
          <w:rFonts w:hAnsi="宋体" w:cs="宋体"/>
          <w:color w:val="auto"/>
          <w:sz w:val="21"/>
          <w:highlight w:val="none"/>
        </w:rPr>
      </w:pPr>
      <w:r>
        <w:rPr>
          <w:rFonts w:hint="eastAsia" w:hAnsi="宋体" w:cs="宋体"/>
          <w:color w:val="auto"/>
          <w:sz w:val="21"/>
          <w:highlight w:val="none"/>
        </w:rPr>
        <w:t>参加过采购项目前期咨询论证的专家，不得参加该采购项目的评审活动。</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（三）评标程序</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1.符合性审查</w:t>
      </w:r>
    </w:p>
    <w:p>
      <w:pPr>
        <w:pStyle w:val="25"/>
        <w:snapToGrid w:val="0"/>
        <w:spacing w:line="440" w:lineRule="exact"/>
        <w:ind w:firstLine="420"/>
        <w:rPr>
          <w:rFonts w:hAnsi="宋体" w:cs="宋体"/>
          <w:bCs/>
          <w:color w:val="auto"/>
          <w:kern w:val="2"/>
          <w:sz w:val="21"/>
          <w:highlight w:val="none"/>
        </w:rPr>
      </w:pPr>
      <w:r>
        <w:rPr>
          <w:rFonts w:hint="eastAsia" w:hAnsi="宋体" w:cs="宋体"/>
          <w:bCs/>
          <w:color w:val="auto"/>
          <w:kern w:val="2"/>
          <w:sz w:val="21"/>
          <w:highlight w:val="none"/>
        </w:rPr>
        <w:t>评标委员会应当对符合资格的投标人的投标文件进行投标报价、商务、技术等实质性要求符合性审查，以确定其是否满足招标文件的实质性要求。</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2.符合性审查不通过而导致投标无效的情形</w:t>
      </w:r>
    </w:p>
    <w:p>
      <w:p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投标人的投标文件中存在对招标文件的任何实质性要求和条件的负偏离，其投标将被视为投标无效。</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2.1在报价评审时，如发现下列情形之一的，将被视为投标无效：</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投标文件未提供“投标人须知前附表”第13.1条规定中“必须提供”的文件资料的;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未采用人民币报价或者未按照招标文件标明的币种报价的；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报价超出招标文件规定最高限价，或者超出采购预算金额的；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修正后的报价，投标人不确认的；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投标人属于本须知第29.4条第（2）项情形的</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2.2在商务评审时，如发现下列情形之一的，将被视为投标无效：</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投标文件未按招标文件要求签署、盖章的；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委托代理人未能出具有效身份证明或出具的身份证明与授权委托书中的信息不符的； </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为无效投标保证金的或未按照招标文件的规定提交投标保证金的；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投标文件未提供“投标人须知前附表”第13.3条规定中“必须提供”或者“委托时必须提供”的文件资料的;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投标有效期、项目完成时间（交货时间、服务完成时间或服务期等）、质保期、售后服务等招标文件中标“▲”的商务条款发生负偏离的；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商务评审允许负偏离的项目数超过“投标人须知前附表”规定项数的。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投标文件的实质性内容未使用中文表述、使用计量单位不符合招标文件要求的；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投标文件中的文件资料因填写不齐全或者内容虚假或者出现其他情形而导致被评标委员会认定无效的；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投标文件含有采购人不能接受的附加条件的；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未响应招标文件实质性要求的；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属于投标人须知第8.6条和第8.8条（2）的情形的；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法律、法规和招标文件规定的其他无效情形。</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2.3在技术评审时，如发现下列情形之一的，将被视为投标无效：</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（1）明显不满足招标文件要求的技术规格、安全、质量标准，或者与招标文件中标“▲”的技术指标、主要功能发生负偏离的；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（2）技术评审允许负偏离的项目数超过“投标人须知前附表”规定项数的；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（3）投标文件未提供“投标人须知前附表”第13.4条规定中“必须提供”的文件资料的;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（4）虚假投标，或者出现其他情形而导致被评标委员会认定无效的；</w:t>
      </w:r>
    </w:p>
    <w:p>
      <w:pPr>
        <w:pStyle w:val="4"/>
        <w:snapToGrid w:val="0"/>
        <w:spacing w:line="440" w:lineRule="exact"/>
        <w:ind w:firstLine="411" w:firstLineChars="196"/>
        <w:rPr>
          <w:rFonts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rPr>
        <w:t>（5）投标技术方案不明确，招标文件未允许但存在一个或一个以上备选（替代）投标方案的。</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3.澄清补正</w:t>
      </w:r>
    </w:p>
    <w:p>
      <w:pPr>
        <w:snapToGrid w:val="0"/>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4.比较与评价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（1）评标委员会按照招标文件中规定的评标方法和评标标准，对符合性审查合格的投标文件进行商务和技术评估，综合比较与评价。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（2）评标委员会应当独立对每个投标人的投标文件进行评价，并汇总每个投标人的得分。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hAnsi="宋体" w:cs="宋体"/>
          <w:b/>
          <w:color w:val="auto"/>
          <w:kern w:val="2"/>
          <w:sz w:val="21"/>
          <w:highlight w:val="none"/>
        </w:rPr>
        <w:t>评标委员会应当将其作为无效投标处理</w:t>
      </w:r>
      <w:r>
        <w:rPr>
          <w:rFonts w:hint="eastAsia" w:hAnsi="宋体" w:cs="宋体"/>
          <w:color w:val="auto"/>
          <w:sz w:val="21"/>
          <w:highlight w:val="none"/>
        </w:rPr>
        <w:t>。</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（3）评标委员会按照招标文件中规定的评标方法和标准计算各投标人的报价得分。在计算过程中，不得去掉最高报价或最低报价。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（4）各投标人的得分为所有评委的有效评分的算术平均数。</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（5）评标委员会按照招标文件中的规定推荐中标候选人。</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5.投标文件修正</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 xml:space="preserve">5.1投标文件报价出现前后不一致的，按照下列规定修正： </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（1）投标文件中开标一览表（报价表）内容与投标文件中相应内容不一致的，以开标一览表（报价表）为准；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（2）大写金额和小写金额不一致的，以大写金额为准；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（3）单价金额小数点或者百分比有明显错位的，以开标一览表的总价为准，并修改单价；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（4）总价金额与按单价汇总金额不一致的，以单价金额计算结果为准。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同时出现两种以上不一致的，按照以上（1）-（4）规定的顺序修正。</w:t>
      </w:r>
      <w:r>
        <w:rPr>
          <w:rFonts w:hint="eastAsia" w:hAnsi="宋体" w:cs="宋体"/>
          <w:b/>
          <w:color w:val="auto"/>
          <w:sz w:val="21"/>
          <w:highlight w:val="none"/>
        </w:rPr>
        <w:t>修正后的报价经投标人确认后产生约束力，投标人不确认的，其投标无效。</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5.2经投标人确认修正后的报价若超过采购预算金额，投标人的投标文件作无效投标处理。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5.3经投标人确认修正后的报价作为签订合同的一个依据，并以此报价计算价格分。</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6.评标过程的监控</w:t>
      </w:r>
    </w:p>
    <w:p>
      <w:pPr>
        <w:pStyle w:val="25"/>
        <w:spacing w:line="440" w:lineRule="exact"/>
        <w:ind w:firstLine="420"/>
        <w:rPr>
          <w:rFonts w:hAnsi="宋体" w:cs="宋体"/>
          <w:color w:val="auto"/>
          <w:sz w:val="21"/>
          <w:highlight w:val="none"/>
        </w:rPr>
      </w:pPr>
      <w:r>
        <w:rPr>
          <w:rFonts w:hint="eastAsia" w:hAnsi="宋体" w:cs="宋体"/>
          <w:b/>
          <w:color w:val="auto"/>
          <w:kern w:val="2"/>
          <w:sz w:val="21"/>
          <w:highlight w:val="none"/>
        </w:rPr>
        <w:t>本项目评标过程实行全程录音、录像监控，投标人在评标过程中所进行的试图影响评标结果的不公正活动，可能导致其投标按无效处理。</w:t>
      </w:r>
    </w:p>
    <w:p>
      <w:pPr>
        <w:pStyle w:val="25"/>
        <w:spacing w:line="440" w:lineRule="exact"/>
        <w:ind w:firstLine="420"/>
        <w:rPr>
          <w:rFonts w:hAnsi="宋体" w:cs="宋体"/>
          <w:color w:val="auto"/>
          <w:sz w:val="21"/>
          <w:highlight w:val="none"/>
        </w:rPr>
      </w:pPr>
    </w:p>
    <w:p>
      <w:pPr>
        <w:pStyle w:val="25"/>
        <w:spacing w:line="440" w:lineRule="exact"/>
        <w:ind w:firstLine="420"/>
        <w:rPr>
          <w:rFonts w:hAnsi="宋体" w:cs="宋体"/>
          <w:b/>
          <w:bCs/>
          <w:color w:val="auto"/>
          <w:sz w:val="21"/>
          <w:highlight w:val="none"/>
        </w:rPr>
      </w:pPr>
      <w:r>
        <w:rPr>
          <w:rFonts w:hint="eastAsia" w:hAnsi="宋体" w:cs="宋体"/>
          <w:color w:val="auto"/>
          <w:sz w:val="21"/>
          <w:highlight w:val="none"/>
        </w:rPr>
        <w:t>二、</w:t>
      </w:r>
      <w:r>
        <w:rPr>
          <w:rFonts w:hint="eastAsia" w:hAnsi="宋体" w:cs="宋体"/>
          <w:b/>
          <w:bCs/>
          <w:color w:val="auto"/>
          <w:sz w:val="21"/>
          <w:highlight w:val="none"/>
        </w:rPr>
        <w:t>评标标准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评标标准（综合评分法，计分方法按四舍五入取至百分位）</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1、价格分…………………………………………………………………………………30分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（1）投标产品按</w:t>
      </w:r>
      <w:r>
        <w:rPr>
          <w:rFonts w:hint="eastAsia" w:ascii="宋体" w:hAnsi="宋体" w:eastAsia="宋体" w:cs="宋体"/>
          <w:color w:val="auto"/>
          <w:sz w:val="24"/>
          <w:highlight w:val="none"/>
        </w:rPr>
        <w:t>《政府采购促进中小 企业发展管理办法》（财库﹝2020﹞46号）</w:t>
      </w:r>
      <w:r>
        <w:rPr>
          <w:rFonts w:hint="eastAsia" w:ascii="宋体" w:hAnsi="宋体" w:cs="宋体"/>
          <w:color w:val="auto"/>
          <w:szCs w:val="21"/>
          <w:highlight w:val="none"/>
        </w:rPr>
        <w:t>认定为小型和微型企业产品的（以投标文件提供的投标产品符合规定生产厂家有关证明材料为准），对投标价给予10%的扣除，扣除后的价格为评标价，即评标价=投标价×（1-10%）；大中型企业与小型、微型企业组成联合体投标，其中小型、微型企业的协议合同金额占到联合体协议合同总金额30%以上的，联合体投标价给予2%的扣除，扣除后的价格为评标价，即评标价=投标价×（1-2%）；投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除上述情况外，评标价=投标价。</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（2）以进入评标的最低的评标价为30分。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（3）某投标人价格得分 =（1-投标人最高投标折让率）/（1-某投标人投标折让率）×30分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备注：本项目最高折让率＜20%的，作无效投标；本项目不接受零折让率的报价。</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2、技术分………………………………………………………………………………</w:t>
      </w:r>
      <w:r>
        <w:rPr>
          <w:rFonts w:hint="eastAsia" w:ascii="宋体" w:hAnsi="宋体" w:cs="宋体"/>
          <w:b/>
          <w:color w:val="auto"/>
          <w:szCs w:val="21"/>
          <w:highlight w:val="none"/>
          <w:lang w:val="en-US" w:eastAsia="zh-CN"/>
        </w:rPr>
        <w:t>45</w:t>
      </w:r>
      <w:r>
        <w:rPr>
          <w:rFonts w:hint="eastAsia" w:ascii="宋体" w:hAnsi="宋体" w:cs="宋体"/>
          <w:b/>
          <w:color w:val="auto"/>
          <w:szCs w:val="21"/>
          <w:highlight w:val="none"/>
        </w:rPr>
        <w:t>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（1）设备性能分（满分2</w:t>
      </w:r>
      <w:r>
        <w:rPr>
          <w:rFonts w:hint="eastAsia" w:ascii="宋体" w:hAnsi="宋体" w:cs="宋体"/>
          <w:b/>
          <w:color w:val="auto"/>
          <w:szCs w:val="21"/>
          <w:highlight w:val="none"/>
          <w:lang w:val="en-US" w:eastAsia="zh-CN"/>
        </w:rPr>
        <w:t>5</w:t>
      </w:r>
      <w:r>
        <w:rPr>
          <w:rFonts w:hint="eastAsia" w:ascii="宋体" w:hAnsi="宋体" w:cs="宋体"/>
          <w:b/>
          <w:color w:val="auto"/>
          <w:szCs w:val="21"/>
          <w:highlight w:val="none"/>
        </w:rPr>
        <w:t>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评委根据招标文件要求，对通过资格性和符合性审查进入详评的各投标人所投产品技术参数偏离情况进行独立评审，并按如下计分方式确定得分:</w:t>
      </w:r>
    </w:p>
    <w:p>
      <w:pPr>
        <w:spacing w:line="440" w:lineRule="exac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提供省级（含：自治区、直辖市）相关</w:t>
      </w:r>
      <w:r>
        <w:rPr>
          <w:rFonts w:hint="eastAsia" w:ascii="宋体" w:hAnsi="宋体" w:cs="宋体"/>
          <w:color w:val="auto"/>
          <w:szCs w:val="21"/>
          <w:highlight w:val="none"/>
          <w:lang w:val="en-US" w:eastAsia="zh-CN"/>
        </w:rPr>
        <w:t>专业质量</w:t>
      </w:r>
      <w:r>
        <w:rPr>
          <w:rFonts w:hint="eastAsia" w:ascii="宋体" w:hAnsi="宋体" w:cs="宋体"/>
          <w:color w:val="auto"/>
          <w:szCs w:val="21"/>
          <w:highlight w:val="none"/>
        </w:rPr>
        <w:t>监督检验部门出具的检测报告每项得</w:t>
      </w:r>
      <w:r>
        <w:rPr>
          <w:rFonts w:hint="eastAsia" w:ascii="宋体" w:hAnsi="宋体" w:cs="宋体"/>
          <w:color w:val="auto"/>
          <w:szCs w:val="21"/>
          <w:highlight w:val="none"/>
          <w:lang w:val="en-US" w:eastAsia="zh-CN"/>
        </w:rPr>
        <w:t>0.1</w:t>
      </w:r>
      <w:r>
        <w:rPr>
          <w:rFonts w:hint="eastAsia" w:ascii="宋体" w:hAnsi="宋体" w:cs="宋体"/>
          <w:color w:val="auto"/>
          <w:szCs w:val="21"/>
          <w:highlight w:val="none"/>
        </w:rPr>
        <w:t>分；提供国家级相关</w:t>
      </w:r>
      <w:r>
        <w:rPr>
          <w:rFonts w:hint="eastAsia" w:ascii="宋体" w:hAnsi="宋体" w:cs="宋体"/>
          <w:color w:val="auto"/>
          <w:szCs w:val="21"/>
          <w:highlight w:val="none"/>
          <w:lang w:val="en-US" w:eastAsia="zh-CN"/>
        </w:rPr>
        <w:t>专业</w:t>
      </w:r>
      <w:r>
        <w:rPr>
          <w:rFonts w:hint="eastAsia" w:ascii="宋体" w:hAnsi="宋体" w:cs="宋体"/>
          <w:color w:val="auto"/>
          <w:szCs w:val="21"/>
          <w:highlight w:val="none"/>
        </w:rPr>
        <w:t>质量监督检验部门出具的检测报告每项得</w:t>
      </w:r>
      <w:r>
        <w:rPr>
          <w:rFonts w:hint="eastAsia" w:ascii="宋体" w:hAnsi="宋体" w:cs="宋体"/>
          <w:color w:val="auto"/>
          <w:szCs w:val="21"/>
          <w:highlight w:val="none"/>
          <w:lang w:val="en-US" w:eastAsia="zh-CN"/>
        </w:rPr>
        <w:t>0.23</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本项满分5分</w:t>
      </w:r>
      <w:r>
        <w:rPr>
          <w:rFonts w:hint="eastAsia" w:ascii="宋体" w:hAnsi="宋体" w:cs="宋体"/>
          <w:color w:val="auto"/>
          <w:szCs w:val="21"/>
          <w:highlight w:val="none"/>
          <w:lang w:eastAsia="zh-CN"/>
        </w:rPr>
        <w:t>）</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一档(20分):所投产品技术参数(招标文件要求提供有效检测报告复印件必须满足)无负偏离且相关技术参数在检验报告中完整体现的得20分。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二档(15分):所投产品技术参数(招标文件要求提供有效检测报告复印件必须满足)无负偏离得15分。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三档(10分):所投产品技术参数(招标文件要求提供有效检测报告复印件必须满足)有2项负偏离得10分。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四档(5分) :所投产品技术参数(招标文件要求提供有效检测报告复印件必须满足)有4项负偏离得5分。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说明：注:供应商须对本招标文件技术要求进行点对点应答，特别对有具体参数要求的指标，供应商必须提供所投设备的具体参数值。投标时提供的检测报告的检测时间为三年（2</w:t>
      </w:r>
      <w:r>
        <w:rPr>
          <w:rFonts w:ascii="宋体" w:hAnsi="宋体" w:cs="宋体"/>
          <w:color w:val="auto"/>
          <w:szCs w:val="21"/>
          <w:highlight w:val="none"/>
        </w:rPr>
        <w:t>019</w:t>
      </w:r>
      <w:r>
        <w:rPr>
          <w:rFonts w:hint="eastAsia" w:ascii="宋体" w:hAnsi="宋体" w:cs="宋体"/>
          <w:color w:val="auto"/>
          <w:szCs w:val="21"/>
          <w:highlight w:val="none"/>
        </w:rPr>
        <w:t>年、2</w:t>
      </w:r>
      <w:r>
        <w:rPr>
          <w:rFonts w:ascii="宋体" w:hAnsi="宋体" w:cs="宋体"/>
          <w:color w:val="auto"/>
          <w:szCs w:val="21"/>
          <w:highlight w:val="none"/>
        </w:rPr>
        <w:t>020</w:t>
      </w:r>
      <w:r>
        <w:rPr>
          <w:rFonts w:hint="eastAsia" w:ascii="宋体" w:hAnsi="宋体" w:cs="宋体"/>
          <w:color w:val="auto"/>
          <w:szCs w:val="21"/>
          <w:highlight w:val="none"/>
        </w:rPr>
        <w:t>年、2</w:t>
      </w:r>
      <w:r>
        <w:rPr>
          <w:rFonts w:ascii="宋体" w:hAnsi="宋体" w:cs="宋体"/>
          <w:color w:val="auto"/>
          <w:szCs w:val="21"/>
          <w:highlight w:val="none"/>
        </w:rPr>
        <w:t>021</w:t>
      </w:r>
      <w:r>
        <w:rPr>
          <w:rFonts w:hint="eastAsia" w:ascii="宋体" w:hAnsi="宋体" w:cs="宋体"/>
          <w:color w:val="auto"/>
          <w:szCs w:val="21"/>
          <w:highlight w:val="none"/>
        </w:rPr>
        <w:t>年），视为有效检测报告文件。未按招标文件要求提供有效检测报告复印件视为负偏离，如供应商投标文件对招标文件技术要求响应为无偏离，但经评标委员会认定为负偏离的，评标委员会可给予相应档次定档，漏项视为负偏离。（投标时提供检测报告原件核查。）。</w:t>
      </w:r>
    </w:p>
    <w:p>
      <w:pPr>
        <w:spacing w:line="440" w:lineRule="exact"/>
        <w:rPr>
          <w:rFonts w:ascii="宋体" w:hAnsi="宋体" w:cs="宋体"/>
          <w:color w:val="auto"/>
          <w:szCs w:val="21"/>
          <w:highlight w:val="none"/>
        </w:rPr>
      </w:pPr>
      <w:r>
        <w:rPr>
          <w:rFonts w:hint="eastAsia" w:ascii="宋体" w:hAnsi="宋体" w:cs="宋体"/>
          <w:b/>
          <w:bCs/>
          <w:color w:val="auto"/>
          <w:szCs w:val="21"/>
          <w:highlight w:val="none"/>
        </w:rPr>
        <w:t>（2）项目实施方案（满分</w:t>
      </w:r>
      <w:r>
        <w:rPr>
          <w:rFonts w:hint="eastAsia" w:ascii="宋体" w:hAnsi="宋体" w:cs="宋体"/>
          <w:b/>
          <w:bCs/>
          <w:color w:val="auto"/>
          <w:szCs w:val="21"/>
          <w:highlight w:val="none"/>
          <w:lang w:val="en-US" w:eastAsia="zh-CN"/>
        </w:rPr>
        <w:t>20</w:t>
      </w:r>
      <w:r>
        <w:rPr>
          <w:rFonts w:hint="eastAsia" w:ascii="宋体" w:hAnsi="宋体" w:cs="宋体"/>
          <w:b/>
          <w:bCs/>
          <w:color w:val="auto"/>
          <w:szCs w:val="21"/>
          <w:highlight w:val="none"/>
        </w:rPr>
        <w:t>分）：</w:t>
      </w:r>
      <w:r>
        <w:rPr>
          <w:rFonts w:hint="eastAsia" w:ascii="宋体" w:hAnsi="宋体" w:cs="宋体"/>
          <w:color w:val="auto"/>
          <w:szCs w:val="21"/>
          <w:highlight w:val="none"/>
        </w:rPr>
        <w:t xml:space="preserve"> 由评委根据该项目实施方案的编制的科学性、针对性、合理性等方面进行评审并独立打分。 ①项目实施总体规划设计方案、项目实施管理、质量管理、质量保证措施及安全管理方案、项目装配技术方案很简单，评定为差，得5分； ②项目实施总体规划设计方案、项目实施管理、质量管理、质量保证措施及安全管理方案、项目装配技术方案较详细，评定为一般，得 10 分； ③项目实施总体规划设计方案、项目实施管理、质量管理、质量保证措施及安全管理方案、项目装配方案很详细，具有科学性、针对性，方案较合理，评定为良好，得15分； ④项目实施总体规划设计方案、项目实施管理、质量管理、质量保证措施及安全管理方案、项目装配技术方案很详细，项目实施管理、质量管理、质量保正措施方案针对性强，所有方案有一定的科学性且合理的，评为优，得20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3、售后服务方案……………………………………………………………………………22分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本项目服务的对象涉及广西全区，从投标人实力及项目实施经验等方面（包括但不限于：本地化服务、到达现场时间、解决故障时间、定期回访等）综合比较，自设或委托至少2家具有相应资质条件的服务机构，做好假肢矫形器装配服务。</w:t>
      </w:r>
      <w:r>
        <w:rPr>
          <w:rFonts w:hint="eastAsia" w:ascii="宋体" w:hAnsi="宋体"/>
          <w:b/>
          <w:color w:val="auto"/>
          <w:szCs w:val="21"/>
          <w:highlight w:val="none"/>
        </w:rPr>
        <w:t>委托服务的还须提供双方签字盖章的委托协议书，协议服务期限至少2年以上。</w:t>
      </w:r>
      <w:r>
        <w:rPr>
          <w:rFonts w:hint="eastAsia" w:ascii="宋体" w:hAnsi="宋体" w:cs="宋体"/>
          <w:color w:val="auto"/>
          <w:szCs w:val="21"/>
          <w:highlight w:val="none"/>
        </w:rPr>
        <w:t>一档：基本满足采购文件售后服务要求，售后服务方案可行，具备一定本地维护保障能力，在本地自设或委托不少于2家具有相应资质条件的服务机构，每家服务机构设有至少3人及以上的本地售后服务人员，并</w:t>
      </w:r>
      <w:r>
        <w:rPr>
          <w:rFonts w:hint="eastAsia"/>
          <w:color w:val="auto"/>
          <w:szCs w:val="21"/>
          <w:highlight w:val="none"/>
        </w:rPr>
        <w:t>提供至少2名注册执业假肢制作师或注册执业矫形器制作师职业资格证书和身份证、劳动合同复印件加盖公章</w:t>
      </w:r>
      <w:r>
        <w:rPr>
          <w:rFonts w:hint="eastAsia" w:ascii="宋体" w:hAnsi="宋体" w:cs="宋体"/>
          <w:color w:val="auto"/>
          <w:szCs w:val="21"/>
          <w:highlight w:val="none"/>
        </w:rPr>
        <w:t>得7分；二档：提供比较具体的售后服务方案的，对服务方式、方法有具体描述的，具备一定本地维护保障能力，在本地自设或委托不少于2家具有相应资质条件的服务机构，服务机构服务人员共计10人及以上，并提供</w:t>
      </w:r>
      <w:r>
        <w:rPr>
          <w:rFonts w:hint="eastAsia"/>
          <w:color w:val="auto"/>
          <w:szCs w:val="21"/>
          <w:highlight w:val="none"/>
        </w:rPr>
        <w:t>至少6名注册执业假肢制作师或注册执业矫形器制作师职业资格证书和身份证、劳动合同复印件加盖公章（需提供不少于4名注册执业假肢制作师或注册执业矫形器制作师在所属服务机构缴纳的</w:t>
      </w:r>
      <w:r>
        <w:rPr>
          <w:rFonts w:hint="eastAsia"/>
          <w:color w:val="auto"/>
          <w:szCs w:val="21"/>
          <w:highlight w:val="none"/>
          <w:lang w:val="en-US" w:eastAsia="zh-CN"/>
        </w:rPr>
        <w:t>2021年1月至3月</w:t>
      </w:r>
      <w:r>
        <w:rPr>
          <w:rFonts w:hint="eastAsia"/>
          <w:color w:val="auto"/>
          <w:szCs w:val="21"/>
          <w:highlight w:val="none"/>
        </w:rPr>
        <w:t>社保证明）</w:t>
      </w:r>
      <w:r>
        <w:rPr>
          <w:rFonts w:hint="eastAsia" w:ascii="宋体" w:hAnsi="宋体" w:cs="宋体"/>
          <w:color w:val="auto"/>
          <w:szCs w:val="21"/>
          <w:highlight w:val="none"/>
        </w:rPr>
        <w:t>得14分；三档：供应商提供详细的售后服务方案，详细说明售后工作内容、阐述清楚售后服务办法及保障体系，说明售后服务工作计划，具有较完备售后服务规范和管理制度，可操作性强，具备一定本地维护保障能力，在本地自设或委托不少于2家具有相应资质条件的服务机构，服务机构服务人员共计15人及以上，并提供</w:t>
      </w:r>
      <w:r>
        <w:rPr>
          <w:rFonts w:hint="eastAsia"/>
          <w:color w:val="auto"/>
          <w:szCs w:val="21"/>
          <w:highlight w:val="none"/>
        </w:rPr>
        <w:t>至少9名注册执业假肢制作师或注册执业矫形器制作师职业资格证书和身份证、劳动合同复印件加盖公章（需提供不少于6名注册执业假肢制作师或注册执业矫形器制作师在所属服务机构缴纳的</w:t>
      </w:r>
      <w:r>
        <w:rPr>
          <w:rFonts w:hint="eastAsia"/>
          <w:color w:val="auto"/>
          <w:szCs w:val="21"/>
          <w:highlight w:val="none"/>
          <w:lang w:val="en-US" w:eastAsia="zh-CN"/>
        </w:rPr>
        <w:t>2021年1月至3月的</w:t>
      </w:r>
      <w:r>
        <w:rPr>
          <w:rFonts w:hint="eastAsia"/>
          <w:color w:val="auto"/>
          <w:szCs w:val="21"/>
          <w:highlight w:val="none"/>
        </w:rPr>
        <w:t>社保证明）</w:t>
      </w:r>
      <w:r>
        <w:rPr>
          <w:rFonts w:hint="eastAsia" w:ascii="宋体" w:hAnsi="宋体" w:cs="宋体"/>
          <w:color w:val="auto"/>
          <w:szCs w:val="21"/>
          <w:highlight w:val="none"/>
        </w:rPr>
        <w:t>得22分。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4、业绩、信誉等商务分…………………………………………………………………7分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4.1 业绩情况：（满分3分）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投标人在近三年（2018年起）需具有类似专业同类货物的销售业绩，每份合同得1分，最高3分。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4.2 资质信誉 （满分4分）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（1）投标人通过ISO9001质量管理体系认证且在有效期内的得1分；投标人需提供有效的证书复印件。</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（2）投标人通过ISO13485质量管理体系认证且在有效期内的得1分；投标人需提供有效的证书复印件。</w:t>
      </w:r>
    </w:p>
    <w:p>
      <w:pPr>
        <w:pStyle w:val="8"/>
        <w:jc w:val="both"/>
        <w:rPr>
          <w:color w:val="auto"/>
          <w:highlight w:val="none"/>
        </w:rPr>
      </w:pPr>
      <w:r>
        <w:rPr>
          <w:rFonts w:hint="eastAsia" w:ascii="宋体" w:hAnsi="宋体" w:eastAsia="宋体" w:cs="宋体"/>
          <w:color w:val="auto"/>
          <w:sz w:val="21"/>
          <w:szCs w:val="21"/>
          <w:highlight w:val="none"/>
        </w:rPr>
        <w:t>（3）2018年1月1日起至今，投标人或制造商参与国家级残疾人辅助器具相关课题研究项目的得2分。满分2分。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5、政策功能分（节能、环保、区内产品等）…………………………………………1分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投标产品中广西产品的投标金额占总投标金额的比例达80%以上（含）的得1分，满分1分。（以投标人按“投标文件格式”要求提供的《广西工业产品声明函》为评分依据）。</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（三）总得分＝1 + 2 + 3 + 4 + 5。</w:t>
      </w:r>
    </w:p>
    <w:p>
      <w:pPr>
        <w:pStyle w:val="25"/>
        <w:spacing w:line="440" w:lineRule="exact"/>
        <w:rPr>
          <w:rFonts w:hAnsi="宋体" w:cs="宋体"/>
          <w:b/>
          <w:color w:val="auto"/>
          <w:sz w:val="21"/>
          <w:highlight w:val="none"/>
        </w:rPr>
      </w:pPr>
      <w:r>
        <w:rPr>
          <w:rFonts w:hint="eastAsia" w:hAnsi="宋体" w:cs="宋体"/>
          <w:b/>
          <w:color w:val="auto"/>
          <w:sz w:val="21"/>
          <w:highlight w:val="none"/>
        </w:rPr>
        <w:t>三、中标候选人推荐原则</w:t>
      </w:r>
    </w:p>
    <w:p>
      <w:pPr>
        <w:pStyle w:val="25"/>
        <w:spacing w:line="440" w:lineRule="exact"/>
        <w:ind w:firstLine="420"/>
        <w:rPr>
          <w:rFonts w:hAnsi="宋体" w:cs="宋体"/>
          <w:bCs/>
          <w:color w:val="auto"/>
          <w:sz w:val="21"/>
          <w:highlight w:val="none"/>
        </w:rPr>
      </w:pPr>
      <w:r>
        <w:rPr>
          <w:rFonts w:hint="eastAsia" w:hAnsi="宋体" w:cs="宋体"/>
          <w:bCs/>
          <w:color w:val="auto"/>
          <w:sz w:val="21"/>
          <w:highlight w:val="none"/>
        </w:rPr>
        <w:t>1、本项目投标人可投2个分标，但只能中一个分标。本项目按照A-B-C-D-E-F-G分标的顺序依次评标，在分标一被确定为中标人的投标人，不得成为分标二和后续分标的中标人。以此类推。</w:t>
      </w:r>
    </w:p>
    <w:p>
      <w:pPr>
        <w:spacing w:line="440" w:lineRule="exact"/>
        <w:rPr>
          <w:color w:val="auto"/>
          <w:highlight w:val="none"/>
        </w:rPr>
      </w:pPr>
      <w:r>
        <w:rPr>
          <w:rFonts w:hint="eastAsia" w:hAnsi="宋体" w:cs="宋体"/>
          <w:bCs/>
          <w:color w:val="auto"/>
          <w:highlight w:val="none"/>
        </w:rPr>
        <w:t>2、评标委员会将根据得分由高到低排列次序（得分相同时，以投标</w:t>
      </w:r>
      <w:r>
        <w:rPr>
          <w:rFonts w:hint="eastAsia" w:hAnsi="宋体" w:cs="宋体"/>
          <w:color w:val="auto"/>
          <w:highlight w:val="none"/>
        </w:rPr>
        <w:t>折让率</w:t>
      </w:r>
      <w:r>
        <w:rPr>
          <w:rFonts w:hint="eastAsia" w:hAnsi="宋体" w:cs="宋体"/>
          <w:bCs/>
          <w:color w:val="auto"/>
          <w:highlight w:val="none"/>
        </w:rPr>
        <w:t>由高到低顺序排列；得分相同且投标</w:t>
      </w:r>
      <w:r>
        <w:rPr>
          <w:rFonts w:hint="eastAsia" w:hAnsi="宋体" w:cs="宋体"/>
          <w:color w:val="auto"/>
          <w:highlight w:val="none"/>
        </w:rPr>
        <w:t>折让率</w:t>
      </w:r>
      <w:r>
        <w:rPr>
          <w:rFonts w:hint="eastAsia" w:hAnsi="宋体" w:cs="宋体"/>
          <w:bCs/>
          <w:color w:val="auto"/>
          <w:highlight w:val="none"/>
        </w:rPr>
        <w:t>相同的，按技术指标优劣顺序排列）并推荐中标候选供应商。采购人应当确定评审委员会根据采购需求供应商入围比例推荐的中标候选人为中标人。排名第一的中标候选人放弃中标、因不可抗力提出不能履行合同，或者招标文件规定应当提交质量保证金而在规定的期限内未能提交的，采购人可以确定排名第二的中标候选人为中标人。排名第二的中标候选人因前款规定的同样原因不能签订合同的，采购人可以确定排名第三的中标候选人为中标人，其余以此类推</w:t>
      </w:r>
      <w:r>
        <w:rPr>
          <w:rFonts w:hint="eastAsia" w:hAnsi="宋体" w:cs="宋体"/>
          <w:b/>
          <w:bCs/>
          <w:color w:val="auto"/>
          <w:highlight w:val="none"/>
        </w:rPr>
        <w:t>。采购人也可以决定重新采购。</w:t>
      </w:r>
      <w:r>
        <w:rPr>
          <w:b/>
          <w:bCs/>
          <w:color w:val="auto"/>
          <w:highlight w:val="none"/>
        </w:rPr>
        <w:br w:type="textWrapping"/>
      </w:r>
    </w:p>
    <w:p>
      <w:pPr>
        <w:spacing w:beforeLines="50" w:afterLines="50" w:line="440" w:lineRule="exact"/>
        <w:rPr>
          <w:rFonts w:ascii="宋体" w:hAnsi="宋体"/>
          <w:b/>
          <w:color w:val="auto"/>
          <w:sz w:val="24"/>
          <w:highlight w:val="none"/>
        </w:rPr>
      </w:pPr>
    </w:p>
    <w:p>
      <w:pPr>
        <w:spacing w:beforeLines="50" w:afterLines="50" w:line="400" w:lineRule="exact"/>
        <w:rPr>
          <w:rFonts w:ascii="宋体" w:hAnsi="宋体"/>
          <w:b/>
          <w:color w:val="auto"/>
          <w:sz w:val="24"/>
          <w:highlight w:val="none"/>
        </w:rPr>
      </w:pPr>
    </w:p>
    <w:p>
      <w:pPr>
        <w:pStyle w:val="25"/>
        <w:spacing w:line="440" w:lineRule="exact"/>
        <w:ind w:firstLine="675" w:firstLineChars="224"/>
        <w:jc w:val="center"/>
        <w:rPr>
          <w:rFonts w:hAnsi="宋体" w:cs="宋体"/>
          <w:b/>
          <w:bCs/>
          <w:color w:val="auto"/>
          <w:sz w:val="30"/>
          <w:szCs w:val="30"/>
          <w:highlight w:val="none"/>
        </w:rPr>
      </w:pPr>
      <w:bookmarkStart w:id="143" w:name="_Toc50406502"/>
      <w:r>
        <w:rPr>
          <w:rFonts w:hint="eastAsia" w:hAnsi="宋体" w:cs="宋体"/>
          <w:b/>
          <w:bCs/>
          <w:color w:val="auto"/>
          <w:sz w:val="30"/>
          <w:szCs w:val="30"/>
          <w:highlight w:val="none"/>
        </w:rPr>
        <w:t>G分标适用</w:t>
      </w:r>
    </w:p>
    <w:p>
      <w:pPr>
        <w:pStyle w:val="25"/>
        <w:spacing w:line="440" w:lineRule="exact"/>
        <w:ind w:firstLine="472" w:firstLineChars="224"/>
        <w:rPr>
          <w:rFonts w:hAnsi="宋体" w:cs="宋体"/>
          <w:b/>
          <w:bCs/>
          <w:color w:val="auto"/>
          <w:sz w:val="21"/>
          <w:highlight w:val="none"/>
        </w:rPr>
      </w:pPr>
      <w:r>
        <w:rPr>
          <w:rFonts w:hint="eastAsia" w:hAnsi="宋体" w:cs="宋体"/>
          <w:b/>
          <w:bCs/>
          <w:color w:val="auto"/>
          <w:sz w:val="21"/>
          <w:highlight w:val="none"/>
        </w:rPr>
        <w:t>一、评标方法</w:t>
      </w:r>
    </w:p>
    <w:p>
      <w:pPr>
        <w:pStyle w:val="25"/>
        <w:spacing w:line="440" w:lineRule="exact"/>
        <w:ind w:firstLine="420"/>
        <w:rPr>
          <w:rFonts w:hAnsi="宋体" w:cs="宋体"/>
          <w:color w:val="auto"/>
          <w:sz w:val="21"/>
          <w:highlight w:val="none"/>
        </w:rPr>
      </w:pPr>
      <w:r>
        <w:rPr>
          <w:rFonts w:hint="eastAsia" w:hAnsi="宋体" w:cs="宋体"/>
          <w:color w:val="auto"/>
          <w:sz w:val="21"/>
          <w:highlight w:val="none"/>
        </w:rPr>
        <w:t>（一）综合评分法，是指投标文件满足招标文件全部实质性要求，且按照评审因素的量化指标评审得分最高的投标人为中标候选人的评标方法。</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（二）组建评标委员会</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评标委员会由采购人代表和评审专家组成，成员人数见“投标人须知前附表”，其中评审专家不得少于成员总数的三分之二。</w:t>
      </w:r>
    </w:p>
    <w:p>
      <w:pPr>
        <w:pStyle w:val="25"/>
        <w:spacing w:line="440" w:lineRule="exact"/>
        <w:ind w:firstLine="420"/>
        <w:rPr>
          <w:rFonts w:hAnsi="宋体" w:cs="宋体"/>
          <w:color w:val="auto"/>
          <w:sz w:val="21"/>
          <w:highlight w:val="none"/>
        </w:rPr>
      </w:pPr>
      <w:r>
        <w:rPr>
          <w:rFonts w:hint="eastAsia" w:hAnsi="宋体" w:cs="宋体"/>
          <w:color w:val="auto"/>
          <w:sz w:val="21"/>
          <w:highlight w:val="none"/>
        </w:rPr>
        <w:t>参加过采购项目前期咨询论证的专家，不得参加该采购项目的评审活动。</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（三）评标程序</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1.符合性审查</w:t>
      </w:r>
    </w:p>
    <w:p>
      <w:pPr>
        <w:pStyle w:val="25"/>
        <w:snapToGrid w:val="0"/>
        <w:spacing w:line="440" w:lineRule="exact"/>
        <w:ind w:firstLine="420"/>
        <w:rPr>
          <w:rFonts w:hAnsi="宋体" w:cs="宋体"/>
          <w:bCs/>
          <w:color w:val="auto"/>
          <w:kern w:val="2"/>
          <w:sz w:val="21"/>
          <w:highlight w:val="none"/>
        </w:rPr>
      </w:pPr>
      <w:r>
        <w:rPr>
          <w:rFonts w:hint="eastAsia" w:hAnsi="宋体" w:cs="宋体"/>
          <w:bCs/>
          <w:color w:val="auto"/>
          <w:kern w:val="2"/>
          <w:sz w:val="21"/>
          <w:highlight w:val="none"/>
        </w:rPr>
        <w:t>评标委员会应当对符合资格的投标人的投标文件进行投标报价、商务、技术等实质性要求符合性审查，以确定其是否满足招标文件的实质性要求。</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2.符合性审查不通过而导致投标无效的情形</w:t>
      </w:r>
    </w:p>
    <w:p>
      <w:p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投标人的投标文件中存在对招标文件的任何实质性要求和条件的负偏离，其投标将被视为投标无效。</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2.1在报价评审时，如发现下列情形之一的，将被视为投标无效：</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投标文件未提供“投标人须知前附表”第13.1条规定中“必须提供”的文件资料的;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未采用人民币报价或者未按照招标文件标明的币种报价的；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报价超出招标文件规定最高限价，或者超出采购预算金额的；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修正后的报价，投标人不确认的；</w:t>
      </w:r>
    </w:p>
    <w:p>
      <w:pPr>
        <w:pStyle w:val="10"/>
        <w:numPr>
          <w:ilvl w:val="0"/>
          <w:numId w:val="11"/>
        </w:numPr>
        <w:spacing w:line="440" w:lineRule="exact"/>
        <w:ind w:firstLineChars="200"/>
        <w:rPr>
          <w:rFonts w:ascii="宋体" w:hAnsi="宋体" w:cs="宋体"/>
          <w:bCs/>
          <w:color w:val="auto"/>
          <w:szCs w:val="21"/>
          <w:highlight w:val="none"/>
        </w:rPr>
      </w:pPr>
      <w:r>
        <w:rPr>
          <w:rFonts w:hint="eastAsia" w:ascii="宋体" w:hAnsi="宋体" w:cs="宋体"/>
          <w:bCs/>
          <w:color w:val="auto"/>
          <w:szCs w:val="21"/>
          <w:highlight w:val="none"/>
        </w:rPr>
        <w:t>投标人属于本须知第29.4条第（2）项情形的</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2.2在商务评审时，如发现下列情形之一的，将被视为投标无效：</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投标文件未按招标文件要求签署、盖章的；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委托代理人未能出具有效身份证明或出具的身份证明与授权委托书中的信息不符的； </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为无效投标保证金的或未按照招标文件的规定提交投标保证金的；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投标文件未提供“投标人须知前附表”第13.3条规定中“必须提供”或者“委托时必须提供”的文件资料的;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投标有效期、项目完成时间（交货时间、服务完成时间或服务期等）、质保期、售后服务等招标文件中标“▲”的商务条款发生负偏离的；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商务评审允许负偏离的项目数超过“投标人须知前附表”规定项数的。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投标文件的实质性内容未使用中文表述、使用计量单位不符合招标文件要求的；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投标文件中的文件资料因填写不齐全或者内容虚假或者出现其他情形而导致被评标委员会认定无效的；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投标文件含有采购人不能接受的附加条件的；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未响应招标文件实质性要求的；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属于投标人须知第8.6条和第8.8条（2）的情形的；</w:t>
      </w:r>
    </w:p>
    <w:p>
      <w:pPr>
        <w:numPr>
          <w:ilvl w:val="0"/>
          <w:numId w:val="12"/>
        </w:numPr>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法律、法规和招标文件规定的其他无效情形。</w:t>
      </w:r>
    </w:p>
    <w:p>
      <w:pPr>
        <w:pStyle w:val="9"/>
        <w:spacing w:before="0" w:after="0" w:line="440" w:lineRule="exact"/>
        <w:rPr>
          <w:rFonts w:ascii="宋体" w:hAnsi="宋体" w:cs="宋体"/>
          <w:b w:val="0"/>
          <w:bCs/>
          <w:color w:val="auto"/>
          <w:sz w:val="21"/>
          <w:szCs w:val="21"/>
          <w:highlight w:val="none"/>
        </w:rPr>
      </w:pPr>
      <w:r>
        <w:rPr>
          <w:rFonts w:hint="eastAsia" w:ascii="宋体" w:hAnsi="宋体" w:cs="宋体"/>
          <w:b w:val="0"/>
          <w:bCs/>
          <w:color w:val="auto"/>
          <w:sz w:val="21"/>
          <w:szCs w:val="21"/>
          <w:highlight w:val="none"/>
        </w:rPr>
        <w:t>2.3在技术评审时，如发现下列情形之一的，将被视为投标无效：</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（1）明显不满足招标文件要求的技术规格、安全、质量标准，或者与招标文件中标“▲”的技术指标、主要功能发生负偏离的；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（2）技术评审允许负偏离的项目数超过“投标人须知前附表”规定项数的；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（3）投标文件未提供“投标人须知前附表”第13.4条规定中“必须提供”的文件资料的;</w:t>
      </w:r>
    </w:p>
    <w:p>
      <w:pPr>
        <w:pStyle w:val="4"/>
        <w:snapToGrid w:val="0"/>
        <w:spacing w:line="440" w:lineRule="exact"/>
        <w:ind w:firstLine="411" w:firstLineChars="196"/>
        <w:rPr>
          <w:rFonts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（4）虚假投标，或者出现其他情形而导致被评标委员会认定无效的；</w:t>
      </w:r>
    </w:p>
    <w:p>
      <w:pPr>
        <w:pStyle w:val="4"/>
        <w:snapToGrid w:val="0"/>
        <w:spacing w:line="440" w:lineRule="exact"/>
        <w:ind w:firstLine="411" w:firstLineChars="196"/>
        <w:rPr>
          <w:rFonts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rPr>
        <w:t>（5）投标技术方案不明确，招标文件未允许但存在一个或一个以上备选（替代）投标方案的。</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3.澄清补正</w:t>
      </w:r>
    </w:p>
    <w:p>
      <w:pPr>
        <w:snapToGrid w:val="0"/>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4.比较与评价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（1）评标委员会按照招标文件中规定的评标方法和评标标准，对符合性审查合格的投标文件进行商务和技术评估，综合比较与评价。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（2）评标委员会应当独立对每个投标人的投标文件进行评价，并汇总每个投标人的得分。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hAnsi="宋体" w:cs="宋体"/>
          <w:b/>
          <w:color w:val="auto"/>
          <w:kern w:val="2"/>
          <w:sz w:val="21"/>
          <w:highlight w:val="none"/>
        </w:rPr>
        <w:t>评标委员会应当将其作为无效投标处理</w:t>
      </w:r>
      <w:r>
        <w:rPr>
          <w:rFonts w:hint="eastAsia" w:hAnsi="宋体" w:cs="宋体"/>
          <w:color w:val="auto"/>
          <w:sz w:val="21"/>
          <w:highlight w:val="none"/>
        </w:rPr>
        <w:t>。</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（3）评标委员会按照招标文件中规定的评标方法和标准计算各投标人的报价得分。在计算过程中，不得去掉最高报价或最低报价。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（4）各投标人的得分为所有评委的有效评分的算术平均数。</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（5）评标委员会按照招标文件中的规定推荐中标候选人。</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5.投标文件修正</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 xml:space="preserve">5.1投标文件报价出现前后不一致的，按照下列规定修正： </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（1）投标文件中开标一览表（报价表）内容与投标文件中相应内容不一致的，以开标一览表（报价表）为准；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（2）大写金额和小写金额不一致的，以大写金额为准；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（3）单价金额小数点或者百分比有明显错位的，以开标一览表的总价为准，并修改单价；</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（4）总价金额与按单价汇总金额不一致的，以单价金额计算结果为准。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同时出现两种以上不一致的，按照以上（1）-（4）规定的顺序修正。</w:t>
      </w:r>
      <w:r>
        <w:rPr>
          <w:rFonts w:hint="eastAsia" w:hAnsi="宋体" w:cs="宋体"/>
          <w:b/>
          <w:color w:val="auto"/>
          <w:sz w:val="21"/>
          <w:highlight w:val="none"/>
        </w:rPr>
        <w:t>修正后的报价经投标人确认后产生约束力，投标人不确认的，其投标无效。</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5.2经投标人确认修正后的报价若超过采购预算金额，投标人的投标文件作无效投标处理。</w:t>
      </w:r>
    </w:p>
    <w:p>
      <w:pPr>
        <w:pStyle w:val="25"/>
        <w:snapToGrid w:val="0"/>
        <w:spacing w:line="440" w:lineRule="exact"/>
        <w:ind w:firstLine="420" w:firstLineChars="200"/>
        <w:rPr>
          <w:rFonts w:hAnsi="宋体" w:cs="宋体"/>
          <w:color w:val="auto"/>
          <w:sz w:val="21"/>
          <w:highlight w:val="none"/>
        </w:rPr>
      </w:pPr>
      <w:r>
        <w:rPr>
          <w:rFonts w:hint="eastAsia" w:hAnsi="宋体" w:cs="宋体"/>
          <w:color w:val="auto"/>
          <w:sz w:val="21"/>
          <w:highlight w:val="none"/>
        </w:rPr>
        <w:t>5.3经投标人确认修正后的报价作为签订合同的一个依据，并以此报价计算价格分。</w:t>
      </w:r>
    </w:p>
    <w:p>
      <w:pPr>
        <w:pStyle w:val="9"/>
        <w:spacing w:before="0" w:after="0" w:line="440" w:lineRule="exact"/>
        <w:rPr>
          <w:rFonts w:ascii="宋体" w:hAnsi="宋体" w:cs="宋体"/>
          <w:color w:val="auto"/>
          <w:sz w:val="21"/>
          <w:szCs w:val="21"/>
          <w:highlight w:val="none"/>
        </w:rPr>
      </w:pPr>
      <w:r>
        <w:rPr>
          <w:rFonts w:hint="eastAsia" w:ascii="宋体" w:hAnsi="宋体" w:cs="宋体"/>
          <w:color w:val="auto"/>
          <w:sz w:val="21"/>
          <w:szCs w:val="21"/>
          <w:highlight w:val="none"/>
        </w:rPr>
        <w:t>6.评标过程的监控</w:t>
      </w:r>
    </w:p>
    <w:p>
      <w:pPr>
        <w:pStyle w:val="25"/>
        <w:spacing w:line="440" w:lineRule="exact"/>
        <w:ind w:firstLine="420"/>
        <w:rPr>
          <w:rFonts w:hAnsi="宋体" w:cs="宋体"/>
          <w:color w:val="auto"/>
          <w:sz w:val="21"/>
          <w:highlight w:val="none"/>
        </w:rPr>
      </w:pPr>
      <w:r>
        <w:rPr>
          <w:rFonts w:hint="eastAsia" w:hAnsi="宋体" w:cs="宋体"/>
          <w:b/>
          <w:color w:val="auto"/>
          <w:kern w:val="2"/>
          <w:sz w:val="21"/>
          <w:highlight w:val="none"/>
        </w:rPr>
        <w:t>本项目评标过程实行全程录音、录像监控，投标人在评标过程中所进行的试图影响评标结果的不公正活动，可能导致其投标按无效处理。</w:t>
      </w:r>
    </w:p>
    <w:p>
      <w:pPr>
        <w:pStyle w:val="25"/>
        <w:spacing w:line="440" w:lineRule="exact"/>
        <w:ind w:firstLine="420"/>
        <w:rPr>
          <w:rFonts w:hAnsi="宋体" w:cs="宋体"/>
          <w:b/>
          <w:bCs/>
          <w:color w:val="auto"/>
          <w:sz w:val="21"/>
          <w:highlight w:val="none"/>
        </w:rPr>
      </w:pPr>
      <w:r>
        <w:rPr>
          <w:rFonts w:hint="eastAsia" w:hAnsi="宋体" w:cs="宋体"/>
          <w:color w:val="auto"/>
          <w:sz w:val="21"/>
          <w:highlight w:val="none"/>
        </w:rPr>
        <w:t>二、</w:t>
      </w:r>
      <w:r>
        <w:rPr>
          <w:rFonts w:hint="eastAsia" w:hAnsi="宋体" w:cs="宋体"/>
          <w:b/>
          <w:bCs/>
          <w:color w:val="auto"/>
          <w:sz w:val="21"/>
          <w:highlight w:val="none"/>
        </w:rPr>
        <w:t>评标标准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评标标准（综合评分法，计分方法按四舍五入取至百分位）</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1、价格分…………………………………………………………………………………30分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（1）投标产品按</w:t>
      </w:r>
      <w:r>
        <w:rPr>
          <w:rFonts w:hint="eastAsia" w:ascii="宋体" w:hAnsi="宋体" w:eastAsia="宋体" w:cs="宋体"/>
          <w:color w:val="auto"/>
          <w:sz w:val="24"/>
          <w:highlight w:val="none"/>
        </w:rPr>
        <w:t>《政府采购促进中小 企业发展管理办法》（财库﹝2020﹞46号）</w:t>
      </w:r>
      <w:r>
        <w:rPr>
          <w:rFonts w:hint="eastAsia" w:ascii="宋体" w:hAnsi="宋体" w:cs="宋体"/>
          <w:color w:val="auto"/>
          <w:szCs w:val="21"/>
          <w:highlight w:val="none"/>
        </w:rPr>
        <w:t>认定为小型和微型企业产品的（以投标文件提供的投标产品符合规定生产厂家有关证明材料为准），对投标价给予10%的扣除，扣除后的价格为评标价，即评标价=投标价×（1-10%）；大中型企业与小型、微型企业组成联合体投标，其中小型、微型企业的协议合同金额占到联合体协议合同总金额30%以上的，联合体投标价给予2%的扣除，扣除后的价格为评标价，即评标价=投标价×（1-2%）；投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除上述情况外，评标价=投标价。</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（2）以进入评标的最低的评标价为30分。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（3）某投标人价格得分 =（1-投标人最高投标折让率）/（1-某投标人投标折让率）×30分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备注：本项目最高折让率＜20%的，作无效投标；本项目不接受零折让率的报价。</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2、技术分………………………………………………………………………………52分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（1）设备性能分（满分 2</w:t>
      </w:r>
      <w:r>
        <w:rPr>
          <w:rFonts w:hint="eastAsia" w:ascii="宋体" w:hAnsi="宋体" w:cs="宋体"/>
          <w:b/>
          <w:color w:val="auto"/>
          <w:szCs w:val="21"/>
          <w:highlight w:val="none"/>
          <w:lang w:val="en-US" w:eastAsia="zh-CN"/>
        </w:rPr>
        <w:t>5</w:t>
      </w:r>
      <w:r>
        <w:rPr>
          <w:rFonts w:hint="eastAsia" w:ascii="宋体" w:hAnsi="宋体" w:cs="宋体"/>
          <w:b/>
          <w:color w:val="auto"/>
          <w:szCs w:val="21"/>
          <w:highlight w:val="none"/>
        </w:rPr>
        <w:t>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评委根据招标文件要求，对通过资格性和符合性审查进入详评的各投标人所投产品技术参数偏离情况进行独立评审，并按如下计分方式确定得分:</w:t>
      </w:r>
    </w:p>
    <w:p>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提供省级（含：自治区、直辖市）相关</w:t>
      </w:r>
      <w:r>
        <w:rPr>
          <w:rFonts w:hint="eastAsia" w:ascii="宋体" w:hAnsi="宋体" w:cs="宋体"/>
          <w:color w:val="auto"/>
          <w:szCs w:val="21"/>
          <w:highlight w:val="none"/>
          <w:lang w:val="en-US" w:eastAsia="zh-CN"/>
        </w:rPr>
        <w:t>专业质量</w:t>
      </w:r>
      <w:r>
        <w:rPr>
          <w:rFonts w:hint="eastAsia" w:ascii="宋体" w:hAnsi="宋体" w:cs="宋体"/>
          <w:color w:val="auto"/>
          <w:szCs w:val="21"/>
          <w:highlight w:val="none"/>
        </w:rPr>
        <w:t>监督检验部门出具的检测报告每项得</w:t>
      </w:r>
      <w:r>
        <w:rPr>
          <w:rFonts w:hint="eastAsia" w:ascii="宋体" w:hAnsi="宋体" w:cs="宋体"/>
          <w:color w:val="auto"/>
          <w:szCs w:val="21"/>
          <w:highlight w:val="none"/>
          <w:lang w:val="en-US" w:eastAsia="zh-CN"/>
        </w:rPr>
        <w:t>0.2</w:t>
      </w:r>
      <w:r>
        <w:rPr>
          <w:rFonts w:hint="eastAsia" w:ascii="宋体" w:hAnsi="宋体" w:cs="宋体"/>
          <w:color w:val="auto"/>
          <w:szCs w:val="21"/>
          <w:highlight w:val="none"/>
        </w:rPr>
        <w:t>分；提供国家级相关</w:t>
      </w:r>
      <w:r>
        <w:rPr>
          <w:rFonts w:hint="eastAsia" w:ascii="宋体" w:hAnsi="宋体" w:cs="宋体"/>
          <w:color w:val="auto"/>
          <w:szCs w:val="21"/>
          <w:highlight w:val="none"/>
          <w:lang w:val="en-US" w:eastAsia="zh-CN"/>
        </w:rPr>
        <w:t>专业</w:t>
      </w:r>
      <w:r>
        <w:rPr>
          <w:rFonts w:hint="eastAsia" w:ascii="宋体" w:hAnsi="宋体" w:cs="宋体"/>
          <w:color w:val="auto"/>
          <w:szCs w:val="21"/>
          <w:highlight w:val="none"/>
        </w:rPr>
        <w:t>质量监督检验部门出具的检测报告每项得</w:t>
      </w:r>
      <w:r>
        <w:rPr>
          <w:rFonts w:hint="eastAsia" w:ascii="宋体" w:hAnsi="宋体" w:cs="宋体"/>
          <w:color w:val="auto"/>
          <w:szCs w:val="21"/>
          <w:highlight w:val="none"/>
          <w:lang w:val="en-US" w:eastAsia="zh-CN"/>
        </w:rPr>
        <w:t>0.7</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本项满分5分</w:t>
      </w:r>
      <w:r>
        <w:rPr>
          <w:rFonts w:hint="eastAsia" w:ascii="宋体" w:hAnsi="宋体" w:cs="宋体"/>
          <w:color w:val="auto"/>
          <w:szCs w:val="21"/>
          <w:highlight w:val="none"/>
          <w:lang w:eastAsia="zh-CN"/>
        </w:rPr>
        <w:t>）</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一档(20分):所投产品技术参数(招标文件要求提供有效检测报告复印件必须满足)无负偏离且带*的项目在检验报告中完整体现的得20分。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二档(15分):所投产品技术参数(招标文件要求提供有效检测报告复印件必须满足)无负偏离得15分。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三档(10分):所投产品技术参数(招标文件要求提供有效检测报告复印件必须满足)有2项负偏离得10分。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四档(5分) :所投产品技术参数(招标文件要求提供有效检测报告复印件必须满足)有4项负偏离得5分。</w:t>
      </w:r>
    </w:p>
    <w:p>
      <w:pPr>
        <w:pStyle w:val="10"/>
        <w:spacing w:line="400" w:lineRule="exact"/>
        <w:ind w:firstLine="0"/>
        <w:rPr>
          <w:rFonts w:ascii="宋体" w:hAnsi="宋体" w:cs="宋体"/>
          <w:color w:val="auto"/>
          <w:szCs w:val="21"/>
          <w:highlight w:val="none"/>
        </w:rPr>
      </w:pPr>
      <w:r>
        <w:rPr>
          <w:rFonts w:hint="eastAsia" w:ascii="宋体" w:hAnsi="宋体" w:cs="宋体"/>
          <w:color w:val="auto"/>
          <w:szCs w:val="21"/>
          <w:highlight w:val="none"/>
        </w:rPr>
        <w:t>说明：注:供应商须对本招标文件技术要求进行点对点应答，特别对有具体参数要求的指标，供应商必须提供所投设备的具体参数值。投标时提供的检测报告的检测时间为二年（2</w:t>
      </w:r>
      <w:r>
        <w:rPr>
          <w:rFonts w:ascii="宋体" w:hAnsi="宋体" w:cs="宋体"/>
          <w:color w:val="auto"/>
          <w:szCs w:val="21"/>
          <w:highlight w:val="none"/>
        </w:rPr>
        <w:t>020</w:t>
      </w:r>
      <w:r>
        <w:rPr>
          <w:rFonts w:hint="eastAsia" w:ascii="宋体" w:hAnsi="宋体" w:cs="宋体"/>
          <w:color w:val="auto"/>
          <w:szCs w:val="21"/>
          <w:highlight w:val="none"/>
        </w:rPr>
        <w:t>年、2</w:t>
      </w:r>
      <w:r>
        <w:rPr>
          <w:rFonts w:ascii="宋体" w:hAnsi="宋体" w:cs="宋体"/>
          <w:color w:val="auto"/>
          <w:szCs w:val="21"/>
          <w:highlight w:val="none"/>
        </w:rPr>
        <w:t>021</w:t>
      </w:r>
      <w:r>
        <w:rPr>
          <w:rFonts w:hint="eastAsia" w:ascii="宋体" w:hAnsi="宋体" w:cs="宋体"/>
          <w:color w:val="auto"/>
          <w:szCs w:val="21"/>
          <w:highlight w:val="none"/>
        </w:rPr>
        <w:t>年），视为有效检测报告文件。未按招标文件要求提供有效检测报告复印件视为负偏离，如供应商投标文件对招标文件技术要求响应为无偏离，但经评标委员会认定为负偏离的，评标委员会可给予相应档次定档，漏项视为负偏离。（投标时提供检测报告原件核查。）投标人所投助听器机型应为2020年上市产品，所投助听器，需提供2020年以后取得的产品的医疗器械注册证及医疗器械注册登记表，如无法提供或不全，将造成投标无效。</w:t>
      </w:r>
    </w:p>
    <w:p>
      <w:pPr>
        <w:spacing w:line="440" w:lineRule="exact"/>
        <w:rPr>
          <w:rFonts w:ascii="宋体" w:hAnsi="宋体" w:cs="宋体"/>
          <w:b/>
          <w:bCs/>
          <w:color w:val="auto"/>
          <w:szCs w:val="21"/>
          <w:highlight w:val="none"/>
        </w:rPr>
      </w:pPr>
      <w:bookmarkStart w:id="144" w:name="OLE_LINK1"/>
      <w:r>
        <w:rPr>
          <w:rFonts w:hint="eastAsia" w:ascii="宋体" w:hAnsi="宋体" w:cs="宋体"/>
          <w:b/>
          <w:bCs/>
          <w:color w:val="auto"/>
          <w:szCs w:val="21"/>
          <w:highlight w:val="none"/>
        </w:rPr>
        <w:t>(2)服务保障能力分(满分</w:t>
      </w:r>
      <w:r>
        <w:rPr>
          <w:rFonts w:hint="eastAsia" w:ascii="宋体" w:hAnsi="宋体" w:cs="宋体"/>
          <w:b/>
          <w:bCs/>
          <w:color w:val="auto"/>
          <w:szCs w:val="21"/>
          <w:highlight w:val="none"/>
          <w:lang w:val="en-US" w:eastAsia="zh-CN"/>
        </w:rPr>
        <w:t>27</w:t>
      </w:r>
      <w:r>
        <w:rPr>
          <w:rFonts w:hint="eastAsia" w:ascii="宋体" w:hAnsi="宋体" w:cs="宋体"/>
          <w:b/>
          <w:bCs/>
          <w:color w:val="auto"/>
          <w:szCs w:val="21"/>
          <w:highlight w:val="none"/>
        </w:rPr>
        <w:t>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有服务保障能力但投标人提供的资料未到达标准的得2分；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一档（10分）：本项目服务的对象涉及广西全区，从投标人实力及项目实施经验等方面（包括但不限于：本地化服务、到达现场时间、解决故障时间、定期回访等）综合比较，自设或委托至少2家具有相应资质条件的服务机构，做好助听器验配售后服务，</w:t>
      </w:r>
      <w:r>
        <w:rPr>
          <w:rFonts w:hint="eastAsia" w:ascii="宋体" w:hAnsi="宋体"/>
          <w:b/>
          <w:color w:val="auto"/>
          <w:szCs w:val="21"/>
          <w:highlight w:val="none"/>
        </w:rPr>
        <w:t>委托服务的还须提供双方签字盖章的委托协议书，协议服务期限至少2年以上。</w:t>
      </w:r>
      <w:r>
        <w:rPr>
          <w:rFonts w:hint="eastAsia" w:ascii="宋体" w:hAnsi="宋体" w:cs="宋体"/>
          <w:color w:val="auto"/>
          <w:szCs w:val="21"/>
          <w:highlight w:val="none"/>
        </w:rPr>
        <w:t>每家服务机构要在广西各地设有不少于7家服务网点，每家服务网点必须具备营业执照，第二类医疗器械经营备案凭证(备案范围要包含“6846”内容) 和至少一名以上助听器验配师（需提供听器验配师</w:t>
      </w:r>
      <w:r>
        <w:rPr>
          <w:rFonts w:hint="eastAsia"/>
          <w:color w:val="auto"/>
          <w:szCs w:val="21"/>
          <w:highlight w:val="none"/>
        </w:rPr>
        <w:t>资格证书和身份证、劳动合同复印件加盖公章</w:t>
      </w:r>
      <w:r>
        <w:rPr>
          <w:rFonts w:hint="eastAsia" w:ascii="宋体" w:hAnsi="宋体" w:cs="宋体"/>
          <w:color w:val="auto"/>
          <w:szCs w:val="21"/>
          <w:highlight w:val="none"/>
        </w:rPr>
        <w:t>）。(原件备查)</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二档（</w:t>
      </w:r>
      <w:r>
        <w:rPr>
          <w:rFonts w:hint="eastAsia" w:ascii="宋体" w:hAnsi="宋体" w:cs="宋体"/>
          <w:color w:val="auto"/>
          <w:szCs w:val="21"/>
          <w:highlight w:val="none"/>
          <w:lang w:val="en-US" w:eastAsia="zh-CN"/>
        </w:rPr>
        <w:t>17</w:t>
      </w:r>
      <w:r>
        <w:rPr>
          <w:rFonts w:hint="eastAsia" w:ascii="宋体" w:hAnsi="宋体" w:cs="宋体"/>
          <w:color w:val="auto"/>
          <w:szCs w:val="21"/>
          <w:highlight w:val="none"/>
        </w:rPr>
        <w:t>分）：本项目服务的对象涉及广西全区，从投标人实力及项目实施经验等方面（包括但不限于：本地化服务、到达现场时间、解决故障时间、定期回访等）综合比较，自设或委托至少2家具有相应资质条件的服务机构，做好助听器验配售后服务，</w:t>
      </w:r>
      <w:r>
        <w:rPr>
          <w:rFonts w:hint="eastAsia" w:ascii="宋体" w:hAnsi="宋体"/>
          <w:b/>
          <w:color w:val="auto"/>
          <w:szCs w:val="21"/>
          <w:highlight w:val="none"/>
        </w:rPr>
        <w:t>委托服务的还须提供双方签字盖章的委托协议书，协议服务期限至少2年以上。</w:t>
      </w:r>
      <w:r>
        <w:rPr>
          <w:rFonts w:hint="eastAsia" w:ascii="宋体" w:hAnsi="宋体" w:cs="宋体"/>
          <w:color w:val="auto"/>
          <w:szCs w:val="21"/>
          <w:highlight w:val="none"/>
        </w:rPr>
        <w:t>服务机构合计在广西各地设有至少20家服务网点，每家服务网点必须具备营业执照，第二类医疗器械经营备案凭证(备案范围要包含“6846”内容），服务机构服务人员累计30人及以上，配备不少于20名助听器验配师（需提供助听器验配师</w:t>
      </w:r>
      <w:r>
        <w:rPr>
          <w:rFonts w:hint="eastAsia"/>
          <w:color w:val="auto"/>
          <w:szCs w:val="21"/>
          <w:highlight w:val="none"/>
        </w:rPr>
        <w:t>资格证书和身份证、劳动合同复印件加盖公章，及至少1</w:t>
      </w:r>
      <w:r>
        <w:rPr>
          <w:rFonts w:hint="eastAsia"/>
          <w:color w:val="auto"/>
          <w:szCs w:val="21"/>
          <w:highlight w:val="none"/>
          <w:lang w:val="en-US" w:eastAsia="zh-CN"/>
        </w:rPr>
        <w:t>5</w:t>
      </w:r>
      <w:r>
        <w:rPr>
          <w:rFonts w:hint="eastAsia"/>
          <w:color w:val="auto"/>
          <w:szCs w:val="21"/>
          <w:highlight w:val="none"/>
        </w:rPr>
        <w:t>名</w:t>
      </w:r>
      <w:r>
        <w:rPr>
          <w:rFonts w:hint="eastAsia" w:ascii="宋体" w:hAnsi="宋体" w:cs="宋体"/>
          <w:color w:val="auto"/>
          <w:szCs w:val="21"/>
          <w:highlight w:val="none"/>
        </w:rPr>
        <w:t>助听器验配师</w:t>
      </w:r>
      <w:r>
        <w:rPr>
          <w:rFonts w:hint="eastAsia"/>
          <w:color w:val="auto"/>
          <w:szCs w:val="21"/>
          <w:highlight w:val="none"/>
        </w:rPr>
        <w:t>在所属服务机构缴纳的</w:t>
      </w:r>
      <w:r>
        <w:rPr>
          <w:rFonts w:hint="eastAsia"/>
          <w:color w:val="auto"/>
          <w:szCs w:val="21"/>
          <w:highlight w:val="none"/>
          <w:lang w:val="en-US" w:eastAsia="zh-CN"/>
        </w:rPr>
        <w:t>2021年1月至3月</w:t>
      </w:r>
      <w:r>
        <w:rPr>
          <w:rFonts w:hint="eastAsia"/>
          <w:color w:val="auto"/>
          <w:szCs w:val="21"/>
          <w:highlight w:val="none"/>
        </w:rPr>
        <w:t>社保证明复印件加盖公章）</w:t>
      </w:r>
      <w:r>
        <w:rPr>
          <w:rFonts w:hint="eastAsia" w:ascii="宋体" w:hAnsi="宋体" w:cs="宋体"/>
          <w:color w:val="auto"/>
          <w:szCs w:val="21"/>
          <w:highlight w:val="none"/>
        </w:rPr>
        <w:t>。(原件备查)</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三档（</w:t>
      </w:r>
      <w:r>
        <w:rPr>
          <w:rFonts w:hint="eastAsia" w:ascii="宋体" w:hAnsi="宋体" w:cs="宋体"/>
          <w:color w:val="auto"/>
          <w:szCs w:val="21"/>
          <w:highlight w:val="none"/>
          <w:lang w:val="en-US" w:eastAsia="zh-CN"/>
        </w:rPr>
        <w:t>27</w:t>
      </w:r>
      <w:r>
        <w:rPr>
          <w:rFonts w:hint="eastAsia" w:ascii="宋体" w:hAnsi="宋体" w:cs="宋体"/>
          <w:color w:val="auto"/>
          <w:szCs w:val="21"/>
          <w:highlight w:val="none"/>
        </w:rPr>
        <w:t>分）：本项目服务的对象涉及广西全区，从投标人实力及项目实施经验等方面（包括但不限于：本地化服务、到达现场时间、解决故障时间、定期回访等）综合比较，自设或委托至少2家具有相应资质条件的服务机构，做好助听器验配售后服务，</w:t>
      </w:r>
      <w:r>
        <w:rPr>
          <w:rFonts w:hint="eastAsia" w:ascii="宋体" w:hAnsi="宋体"/>
          <w:b/>
          <w:color w:val="auto"/>
          <w:szCs w:val="21"/>
          <w:highlight w:val="none"/>
        </w:rPr>
        <w:t>委托服务的还须提供双方签字盖章的委托协议书，协议服务期限至少2年以上。</w:t>
      </w:r>
      <w:r>
        <w:rPr>
          <w:rFonts w:hint="eastAsia" w:ascii="宋体" w:hAnsi="宋体" w:cs="宋体"/>
          <w:color w:val="auto"/>
          <w:szCs w:val="21"/>
          <w:highlight w:val="none"/>
        </w:rPr>
        <w:t>服务机构合计在广西各地设有至少30家服务网点，每家服务网点必须具备营业执照，第二类医疗器械经营备案凭证(备案范围要包含“6846”内容），服务机构服务人员累计40人及以上，配备不少于30名助听器验配师（需提供助听器验配师</w:t>
      </w:r>
      <w:r>
        <w:rPr>
          <w:rFonts w:hint="eastAsia"/>
          <w:color w:val="auto"/>
          <w:szCs w:val="21"/>
          <w:highlight w:val="none"/>
        </w:rPr>
        <w:t>资格证书和身份证、劳动合同复印件加盖公章，及至少2</w:t>
      </w:r>
      <w:r>
        <w:rPr>
          <w:rFonts w:hint="eastAsia"/>
          <w:color w:val="auto"/>
          <w:szCs w:val="21"/>
          <w:highlight w:val="none"/>
          <w:lang w:val="en-US" w:eastAsia="zh-CN"/>
        </w:rPr>
        <w:t>5</w:t>
      </w:r>
      <w:r>
        <w:rPr>
          <w:rFonts w:hint="eastAsia"/>
          <w:color w:val="auto"/>
          <w:szCs w:val="21"/>
          <w:highlight w:val="none"/>
        </w:rPr>
        <w:t>名</w:t>
      </w:r>
      <w:r>
        <w:rPr>
          <w:rFonts w:hint="eastAsia" w:ascii="宋体" w:hAnsi="宋体" w:cs="宋体"/>
          <w:color w:val="auto"/>
          <w:szCs w:val="21"/>
          <w:highlight w:val="none"/>
        </w:rPr>
        <w:t>助听器验配师</w:t>
      </w:r>
      <w:r>
        <w:rPr>
          <w:rFonts w:hint="eastAsia"/>
          <w:color w:val="auto"/>
          <w:szCs w:val="21"/>
          <w:highlight w:val="none"/>
        </w:rPr>
        <w:t>在所属服务机构缴纳的</w:t>
      </w:r>
      <w:r>
        <w:rPr>
          <w:rFonts w:hint="eastAsia"/>
          <w:color w:val="auto"/>
          <w:szCs w:val="21"/>
          <w:highlight w:val="none"/>
          <w:lang w:val="en-US" w:eastAsia="zh-CN"/>
        </w:rPr>
        <w:t>2021年1月-3月</w:t>
      </w:r>
      <w:r>
        <w:rPr>
          <w:rFonts w:hint="eastAsia"/>
          <w:color w:val="auto"/>
          <w:szCs w:val="21"/>
          <w:highlight w:val="none"/>
        </w:rPr>
        <w:t>社保证明复印件加盖公章）</w:t>
      </w:r>
      <w:r>
        <w:rPr>
          <w:rFonts w:hint="eastAsia" w:ascii="宋体" w:hAnsi="宋体" w:cs="宋体"/>
          <w:color w:val="auto"/>
          <w:szCs w:val="21"/>
          <w:highlight w:val="none"/>
        </w:rPr>
        <w:t>。(原件备查)</w:t>
      </w:r>
    </w:p>
    <w:bookmarkEnd w:id="144"/>
    <w:p>
      <w:pPr>
        <w:spacing w:line="440" w:lineRule="exact"/>
        <w:rPr>
          <w:rFonts w:ascii="宋体" w:hAnsi="宋体" w:cs="宋体"/>
          <w:b/>
          <w:color w:val="auto"/>
          <w:szCs w:val="21"/>
          <w:highlight w:val="none"/>
        </w:rPr>
      </w:pPr>
      <w:r>
        <w:rPr>
          <w:rFonts w:hint="eastAsia" w:ascii="宋体" w:hAnsi="宋体" w:cs="宋体"/>
          <w:b/>
          <w:color w:val="auto"/>
          <w:szCs w:val="21"/>
          <w:highlight w:val="none"/>
        </w:rPr>
        <w:t xml:space="preserve">3、售后服务方案……………………………………………………………………10分 </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售后服务方案（满分 10 分）：由评委根据投标文件中售后服务承诺书内容的完整性、可行性、到达故障现场时间、故障出现解决方案、定期维护（注明时间）、免费技术培训方案、保修期外维修方案、提供备品备件、其他优惠措施等方面进行独立评审并独立打分。满分10 分。 ①售后服务方案简单，培训方案、服务人员配置、定期回访安排、排除故障时间、基本满足招标文件要求，得 3分； ②售后服务方案简单，培训方案、服务人员配置、定期回访安排、排除故障时间满足并优于招标文件要求，得6分 ③售后服务方案详细，调试方案和培训方案详细、有完整的项目组织机构及人员配备、提供定期回访安排，商务条款要求的服务承诺最优，得10分。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4、业绩、信誉等商务分…………………………………………………………………7分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4.1 业绩情况：（满分3分）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投标人在近三年（2018年起）需具有类似专业同类货物的销售业绩，每份合同得1分，最高3分。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4.2 资质信誉 （满分4分）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（1）投标人通过ISO9001质量管理体系认证且在有效期内的得1分；投标人需提供有效的证书复印件。</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（2）投标人通过ISO13485质量管理体系认证且在有效期内的得1分；投标人需提供有效的证书复印件。</w:t>
      </w:r>
    </w:p>
    <w:p>
      <w:pPr>
        <w:pStyle w:val="8"/>
        <w:jc w:val="both"/>
        <w:rPr>
          <w:color w:val="auto"/>
          <w:highlight w:val="none"/>
        </w:rPr>
      </w:pPr>
      <w:r>
        <w:rPr>
          <w:rFonts w:hint="eastAsia" w:ascii="宋体" w:hAnsi="宋体" w:eastAsia="宋体" w:cs="宋体"/>
          <w:color w:val="auto"/>
          <w:sz w:val="21"/>
          <w:szCs w:val="21"/>
          <w:highlight w:val="none"/>
        </w:rPr>
        <w:t>（3）2018年1月1日起至今，投标人或制造商参与国家级残疾人辅助器具相关课题研究项目的得2分。满分2分。</w:t>
      </w:r>
    </w:p>
    <w:p>
      <w:pPr>
        <w:spacing w:line="440" w:lineRule="exact"/>
        <w:rPr>
          <w:rFonts w:ascii="宋体" w:hAnsi="宋体" w:cs="宋体"/>
          <w:b/>
          <w:color w:val="auto"/>
          <w:szCs w:val="21"/>
          <w:highlight w:val="none"/>
        </w:rPr>
      </w:pPr>
      <w:r>
        <w:rPr>
          <w:rFonts w:hint="eastAsia" w:ascii="宋体" w:hAnsi="宋体" w:cs="宋体"/>
          <w:b/>
          <w:color w:val="auto"/>
          <w:szCs w:val="21"/>
          <w:highlight w:val="none"/>
        </w:rPr>
        <w:t>5、政策功能分（节能、环保、区内产品等）…………………………………………1分</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投标产品中广西产品的投标金额占总投标金额的比例达80%以上（含）的得1分，满分1分。（以投标人按“投标文件格式”要求提供的《广西工业产品声明函》为评分依据）。</w:t>
      </w:r>
    </w:p>
    <w:p>
      <w:pPr>
        <w:spacing w:line="440" w:lineRule="exact"/>
        <w:rPr>
          <w:rFonts w:ascii="宋体" w:hAnsi="宋体" w:cs="宋体"/>
          <w:color w:val="auto"/>
          <w:szCs w:val="21"/>
          <w:highlight w:val="none"/>
        </w:rPr>
      </w:pPr>
      <w:r>
        <w:rPr>
          <w:rFonts w:hint="eastAsia" w:ascii="宋体" w:hAnsi="宋体" w:cs="宋体"/>
          <w:color w:val="auto"/>
          <w:szCs w:val="21"/>
          <w:highlight w:val="none"/>
        </w:rPr>
        <w:t>（三）总得分＝1 + 2 + 3 + 4 + 5。</w:t>
      </w:r>
    </w:p>
    <w:p>
      <w:pPr>
        <w:pStyle w:val="25"/>
        <w:spacing w:line="440" w:lineRule="exact"/>
        <w:rPr>
          <w:rFonts w:hAnsi="宋体" w:cs="宋体"/>
          <w:b/>
          <w:color w:val="auto"/>
          <w:sz w:val="21"/>
          <w:highlight w:val="none"/>
        </w:rPr>
      </w:pPr>
      <w:r>
        <w:rPr>
          <w:rFonts w:hint="eastAsia" w:hAnsi="宋体" w:cs="宋体"/>
          <w:b/>
          <w:color w:val="auto"/>
          <w:sz w:val="21"/>
          <w:highlight w:val="none"/>
        </w:rPr>
        <w:t>三、中标候选人推荐原则</w:t>
      </w:r>
    </w:p>
    <w:p>
      <w:pPr>
        <w:pStyle w:val="25"/>
        <w:spacing w:line="440" w:lineRule="exact"/>
        <w:ind w:firstLine="420"/>
        <w:rPr>
          <w:rFonts w:hAnsi="宋体" w:cs="宋体"/>
          <w:bCs/>
          <w:color w:val="auto"/>
          <w:sz w:val="21"/>
          <w:highlight w:val="none"/>
        </w:rPr>
      </w:pPr>
      <w:r>
        <w:rPr>
          <w:rFonts w:hint="eastAsia" w:hAnsi="宋体" w:cs="宋体"/>
          <w:bCs/>
          <w:color w:val="auto"/>
          <w:sz w:val="21"/>
          <w:highlight w:val="none"/>
        </w:rPr>
        <w:t>1、本项目投标人可投2个分标，但只能中一个分标。本项目按照A-B-C-D-E-F-G分标的顺序依次评标，在分标一被确定为中标人的投标人，不得成为分标二和后续分标的中标人。以此类推。</w:t>
      </w:r>
    </w:p>
    <w:p>
      <w:pPr>
        <w:spacing w:line="440" w:lineRule="exact"/>
        <w:rPr>
          <w:color w:val="auto"/>
          <w:highlight w:val="none"/>
        </w:rPr>
      </w:pPr>
      <w:r>
        <w:rPr>
          <w:rFonts w:hint="eastAsia" w:hAnsi="宋体" w:cs="宋体"/>
          <w:bCs/>
          <w:color w:val="auto"/>
          <w:highlight w:val="none"/>
        </w:rPr>
        <w:t>2、评标委员会将根据得分由高到低排列次序（得分相同时，以投标</w:t>
      </w:r>
      <w:r>
        <w:rPr>
          <w:rFonts w:hint="eastAsia" w:hAnsi="宋体" w:cs="宋体"/>
          <w:color w:val="auto"/>
          <w:highlight w:val="none"/>
        </w:rPr>
        <w:t>折让率</w:t>
      </w:r>
      <w:r>
        <w:rPr>
          <w:rFonts w:hint="eastAsia" w:hAnsi="宋体" w:cs="宋体"/>
          <w:bCs/>
          <w:color w:val="auto"/>
          <w:highlight w:val="none"/>
        </w:rPr>
        <w:t>由高到低顺序排列；得分相同且投标</w:t>
      </w:r>
      <w:r>
        <w:rPr>
          <w:rFonts w:hint="eastAsia" w:hAnsi="宋体" w:cs="宋体"/>
          <w:color w:val="auto"/>
          <w:highlight w:val="none"/>
        </w:rPr>
        <w:t>折让率</w:t>
      </w:r>
      <w:r>
        <w:rPr>
          <w:rFonts w:hint="eastAsia" w:hAnsi="宋体" w:cs="宋体"/>
          <w:bCs/>
          <w:color w:val="auto"/>
          <w:highlight w:val="none"/>
        </w:rPr>
        <w:t>相同的，按技术指标优劣顺序排列）并推荐中标候选供应商。采购人应当确定评审委员会根据采购需求供应商入围比例推荐的中标候选人为中标人。排名第一的中标候选人放弃中标、因不可抗力提出不能履行合同，或者招标文件规定应当提交质量保证金而在规定的期限内未能提交的，采购人可以确定排名第二的中标候选人为中标人。排名第二的中标候选人因前款规定的同样原因不能签订合同的，采购人可以确定排名第三的中标候选人为中标人，其余以此类推</w:t>
      </w:r>
      <w:r>
        <w:rPr>
          <w:rFonts w:hint="eastAsia" w:hAnsi="宋体" w:cs="宋体"/>
          <w:b/>
          <w:bCs/>
          <w:color w:val="auto"/>
          <w:highlight w:val="none"/>
        </w:rPr>
        <w:t>。采购人也可以决定重新采购。</w:t>
      </w:r>
      <w:r>
        <w:rPr>
          <w:b/>
          <w:bCs/>
          <w:color w:val="auto"/>
          <w:highlight w:val="none"/>
        </w:rPr>
        <w:br w:type="textWrapping"/>
      </w: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rFonts w:hint="eastAsia"/>
          <w:color w:val="auto"/>
          <w:highlight w:val="none"/>
        </w:rPr>
      </w:pPr>
    </w:p>
    <w:p>
      <w:pPr>
        <w:pStyle w:val="6"/>
        <w:jc w:val="center"/>
        <w:rPr>
          <w:color w:val="auto"/>
          <w:highlight w:val="none"/>
        </w:rPr>
      </w:pPr>
      <w:r>
        <w:rPr>
          <w:rFonts w:hint="eastAsia"/>
          <w:color w:val="auto"/>
          <w:highlight w:val="none"/>
        </w:rPr>
        <w:t>第五章拟签订的合同文本</w:t>
      </w:r>
      <w:bookmarkEnd w:id="143"/>
    </w:p>
    <w:p>
      <w:pPr>
        <w:snapToGrid w:val="0"/>
        <w:spacing w:line="400" w:lineRule="exact"/>
        <w:jc w:val="center"/>
        <w:rPr>
          <w:rFonts w:ascii="宋体" w:hAnsi="宋体"/>
          <w:b/>
          <w:bCs/>
          <w:color w:val="auto"/>
          <w:sz w:val="32"/>
          <w:szCs w:val="32"/>
          <w:highlight w:val="none"/>
        </w:rPr>
      </w:pPr>
      <w:r>
        <w:rPr>
          <w:rFonts w:hint="eastAsia" w:ascii="宋体" w:hAnsi="宋体"/>
          <w:b/>
          <w:bCs/>
          <w:color w:val="auto"/>
          <w:sz w:val="32"/>
          <w:szCs w:val="32"/>
          <w:highlight w:val="none"/>
        </w:rPr>
        <w:t>《广西壮族自治区政府采购合同》</w:t>
      </w:r>
    </w:p>
    <w:p>
      <w:pPr>
        <w:snapToGrid w:val="0"/>
        <w:spacing w:line="400" w:lineRule="exact"/>
        <w:ind w:right="480" w:firstLine="5250" w:firstLineChars="2500"/>
        <w:rPr>
          <w:rFonts w:ascii="宋体" w:hAnsi="宋体"/>
          <w:bCs/>
          <w:color w:val="auto"/>
          <w:szCs w:val="21"/>
          <w:highlight w:val="none"/>
        </w:rPr>
      </w:pPr>
    </w:p>
    <w:p>
      <w:pPr>
        <w:snapToGrid w:val="0"/>
        <w:spacing w:line="400" w:lineRule="exact"/>
        <w:ind w:right="480" w:firstLine="5250" w:firstLineChars="2500"/>
        <w:rPr>
          <w:rFonts w:ascii="宋体" w:hAnsi="宋体"/>
          <w:bCs/>
          <w:color w:val="auto"/>
          <w:szCs w:val="21"/>
          <w:highlight w:val="none"/>
          <w:u w:val="single"/>
        </w:rPr>
      </w:pPr>
      <w:r>
        <w:rPr>
          <w:rFonts w:hint="eastAsia" w:ascii="宋体" w:hAnsi="宋体"/>
          <w:bCs/>
          <w:color w:val="auto"/>
          <w:szCs w:val="21"/>
          <w:highlight w:val="none"/>
        </w:rPr>
        <w:t>合同编号：</w:t>
      </w:r>
    </w:p>
    <w:p>
      <w:pPr>
        <w:snapToGrid w:val="0"/>
        <w:spacing w:line="400" w:lineRule="exact"/>
        <w:rPr>
          <w:rFonts w:ascii="宋体" w:hAnsi="宋体"/>
          <w:color w:val="auto"/>
          <w:szCs w:val="21"/>
          <w:highlight w:val="none"/>
        </w:rPr>
      </w:pPr>
    </w:p>
    <w:p>
      <w:pPr>
        <w:snapToGrid w:val="0"/>
        <w:spacing w:line="400" w:lineRule="exact"/>
        <w:rPr>
          <w:rFonts w:ascii="宋体" w:hAnsi="宋体"/>
          <w:color w:val="auto"/>
          <w:szCs w:val="21"/>
          <w:highlight w:val="none"/>
          <w:u w:val="single"/>
        </w:rPr>
      </w:pPr>
      <w:r>
        <w:rPr>
          <w:rFonts w:hint="eastAsia" w:ascii="宋体" w:hAnsi="宋体"/>
          <w:color w:val="auto"/>
          <w:szCs w:val="21"/>
          <w:highlight w:val="none"/>
        </w:rPr>
        <w:t>采购单位（甲方）</w:t>
      </w:r>
      <w:r>
        <w:rPr>
          <w:rFonts w:hint="eastAsia" w:ascii="宋体" w:hAnsi="宋体"/>
          <w:color w:val="auto"/>
          <w:spacing w:val="-20"/>
          <w:szCs w:val="21"/>
          <w:highlight w:val="none"/>
        </w:rPr>
        <w:t>采 购 计 划 号</w:t>
      </w:r>
      <w:r>
        <w:rPr>
          <w:rFonts w:hint="eastAsia" w:ascii="宋体" w:hAnsi="宋体"/>
          <w:color w:val="auto"/>
          <w:szCs w:val="21"/>
          <w:highlight w:val="none"/>
        </w:rPr>
        <w:t>。</w:t>
      </w:r>
    </w:p>
    <w:p>
      <w:pPr>
        <w:snapToGrid w:val="0"/>
        <w:spacing w:line="400" w:lineRule="exact"/>
        <w:rPr>
          <w:rFonts w:ascii="宋体" w:hAnsi="宋体"/>
          <w:color w:val="auto"/>
          <w:szCs w:val="21"/>
          <w:highlight w:val="none"/>
          <w:u w:val="single"/>
        </w:rPr>
      </w:pPr>
      <w:r>
        <w:rPr>
          <w:rFonts w:hint="eastAsia" w:ascii="宋体" w:hAnsi="宋体"/>
          <w:color w:val="auto"/>
          <w:szCs w:val="21"/>
          <w:highlight w:val="none"/>
        </w:rPr>
        <w:t>供 应 商（乙方）</w:t>
      </w:r>
      <w:r>
        <w:rPr>
          <w:rFonts w:hint="eastAsia" w:ascii="宋体" w:hAnsi="宋体"/>
          <w:color w:val="auto"/>
          <w:spacing w:val="-20"/>
          <w:szCs w:val="21"/>
          <w:highlight w:val="none"/>
        </w:rPr>
        <w:t>招  标  编  号</w:t>
      </w:r>
      <w:r>
        <w:rPr>
          <w:rFonts w:hint="eastAsia" w:ascii="宋体" w:hAnsi="宋体"/>
          <w:color w:val="auto"/>
          <w:szCs w:val="21"/>
          <w:highlight w:val="none"/>
        </w:rPr>
        <w:t>。</w:t>
      </w:r>
    </w:p>
    <w:p>
      <w:pPr>
        <w:snapToGrid w:val="0"/>
        <w:spacing w:line="400" w:lineRule="exact"/>
        <w:rPr>
          <w:rFonts w:ascii="宋体" w:hAnsi="宋体"/>
          <w:color w:val="auto"/>
          <w:szCs w:val="21"/>
          <w:highlight w:val="none"/>
          <w:u w:val="single"/>
        </w:rPr>
      </w:pPr>
      <w:r>
        <w:rPr>
          <w:rFonts w:hint="eastAsia" w:ascii="宋体" w:hAnsi="宋体"/>
          <w:color w:val="auto"/>
          <w:szCs w:val="21"/>
          <w:highlight w:val="none"/>
        </w:rPr>
        <w:t>签  订  地  点    签 订 时 间。</w:t>
      </w:r>
    </w:p>
    <w:p>
      <w:pPr>
        <w:snapToGrid w:val="0"/>
        <w:spacing w:line="400" w:lineRule="exact"/>
        <w:ind w:firstLine="420" w:firstLineChars="200"/>
        <w:rPr>
          <w:rFonts w:ascii="宋体" w:hAnsi="宋体"/>
          <w:color w:val="auto"/>
          <w:szCs w:val="21"/>
          <w:highlight w:val="none"/>
        </w:rPr>
      </w:pP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根据《中华人民共和国政府采购法》、《中华人民共和国民法典》等法律、法规规定，按照招投标文件（采购文件）规定条款和中标（成交）供应商承诺，甲乙双方签订本合同。</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第一条　合同标的</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1、供货一览表</w:t>
      </w:r>
    </w:p>
    <w:tbl>
      <w:tblPr>
        <w:tblStyle w:val="46"/>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3"/>
        <w:gridCol w:w="1059"/>
        <w:gridCol w:w="1233"/>
        <w:gridCol w:w="1210"/>
        <w:gridCol w:w="908"/>
        <w:gridCol w:w="668"/>
        <w:gridCol w:w="947"/>
        <w:gridCol w:w="1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709"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1233"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产品名称</w:t>
            </w:r>
          </w:p>
        </w:tc>
        <w:tc>
          <w:tcPr>
            <w:tcW w:w="1059"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商标品牌</w:t>
            </w:r>
          </w:p>
        </w:tc>
        <w:tc>
          <w:tcPr>
            <w:tcW w:w="1233"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规格型号</w:t>
            </w:r>
          </w:p>
        </w:tc>
        <w:tc>
          <w:tcPr>
            <w:tcW w:w="1210"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生产厂家</w:t>
            </w:r>
          </w:p>
        </w:tc>
        <w:tc>
          <w:tcPr>
            <w:tcW w:w="908"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数  量</w:t>
            </w:r>
          </w:p>
        </w:tc>
        <w:tc>
          <w:tcPr>
            <w:tcW w:w="668"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单位</w:t>
            </w:r>
          </w:p>
        </w:tc>
        <w:tc>
          <w:tcPr>
            <w:tcW w:w="947"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单  价</w:t>
            </w:r>
          </w:p>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（元）</w:t>
            </w:r>
          </w:p>
        </w:tc>
        <w:tc>
          <w:tcPr>
            <w:tcW w:w="1573"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金  额</w:t>
            </w:r>
          </w:p>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1233" w:type="dxa"/>
            <w:noWrap/>
            <w:vAlign w:val="center"/>
          </w:tcPr>
          <w:p>
            <w:pPr>
              <w:snapToGrid w:val="0"/>
              <w:spacing w:line="400" w:lineRule="exact"/>
              <w:jc w:val="center"/>
              <w:rPr>
                <w:rFonts w:ascii="宋体" w:hAnsi="宋体"/>
                <w:color w:val="auto"/>
                <w:szCs w:val="21"/>
                <w:highlight w:val="none"/>
              </w:rPr>
            </w:pPr>
          </w:p>
        </w:tc>
        <w:tc>
          <w:tcPr>
            <w:tcW w:w="1059" w:type="dxa"/>
            <w:noWrap/>
            <w:vAlign w:val="center"/>
          </w:tcPr>
          <w:p>
            <w:pPr>
              <w:snapToGrid w:val="0"/>
              <w:spacing w:line="400" w:lineRule="exact"/>
              <w:jc w:val="center"/>
              <w:rPr>
                <w:rFonts w:ascii="宋体" w:hAnsi="宋体"/>
                <w:color w:val="auto"/>
                <w:szCs w:val="21"/>
                <w:highlight w:val="none"/>
              </w:rPr>
            </w:pPr>
          </w:p>
        </w:tc>
        <w:tc>
          <w:tcPr>
            <w:tcW w:w="1233" w:type="dxa"/>
            <w:noWrap/>
            <w:vAlign w:val="center"/>
          </w:tcPr>
          <w:p>
            <w:pPr>
              <w:snapToGrid w:val="0"/>
              <w:spacing w:line="400" w:lineRule="exact"/>
              <w:jc w:val="center"/>
              <w:rPr>
                <w:rFonts w:ascii="宋体" w:hAnsi="宋体"/>
                <w:color w:val="auto"/>
                <w:szCs w:val="21"/>
                <w:highlight w:val="none"/>
              </w:rPr>
            </w:pPr>
          </w:p>
        </w:tc>
        <w:tc>
          <w:tcPr>
            <w:tcW w:w="1210" w:type="dxa"/>
            <w:noWrap/>
          </w:tcPr>
          <w:p>
            <w:pPr>
              <w:snapToGrid w:val="0"/>
              <w:spacing w:line="400" w:lineRule="exact"/>
              <w:jc w:val="center"/>
              <w:rPr>
                <w:rFonts w:ascii="宋体" w:hAnsi="宋体"/>
                <w:color w:val="auto"/>
                <w:szCs w:val="21"/>
                <w:highlight w:val="none"/>
              </w:rPr>
            </w:pPr>
          </w:p>
        </w:tc>
        <w:tc>
          <w:tcPr>
            <w:tcW w:w="908" w:type="dxa"/>
            <w:noWrap/>
          </w:tcPr>
          <w:p>
            <w:pPr>
              <w:snapToGrid w:val="0"/>
              <w:spacing w:line="400" w:lineRule="exact"/>
              <w:jc w:val="center"/>
              <w:rPr>
                <w:rFonts w:ascii="宋体" w:hAnsi="宋体"/>
                <w:color w:val="auto"/>
                <w:szCs w:val="21"/>
                <w:highlight w:val="none"/>
              </w:rPr>
            </w:pPr>
          </w:p>
        </w:tc>
        <w:tc>
          <w:tcPr>
            <w:tcW w:w="668" w:type="dxa"/>
            <w:noWrap/>
          </w:tcPr>
          <w:p>
            <w:pPr>
              <w:snapToGrid w:val="0"/>
              <w:spacing w:line="400" w:lineRule="exact"/>
              <w:jc w:val="center"/>
              <w:rPr>
                <w:rFonts w:ascii="宋体" w:hAnsi="宋体"/>
                <w:color w:val="auto"/>
                <w:szCs w:val="21"/>
                <w:highlight w:val="none"/>
              </w:rPr>
            </w:pPr>
          </w:p>
        </w:tc>
        <w:tc>
          <w:tcPr>
            <w:tcW w:w="947" w:type="dxa"/>
            <w:noWrap/>
            <w:vAlign w:val="center"/>
          </w:tcPr>
          <w:p>
            <w:pPr>
              <w:snapToGrid w:val="0"/>
              <w:spacing w:line="400" w:lineRule="exact"/>
              <w:jc w:val="center"/>
              <w:rPr>
                <w:rFonts w:ascii="宋体" w:hAnsi="宋体"/>
                <w:color w:val="auto"/>
                <w:szCs w:val="21"/>
                <w:highlight w:val="none"/>
              </w:rPr>
            </w:pPr>
          </w:p>
        </w:tc>
        <w:tc>
          <w:tcPr>
            <w:tcW w:w="1573" w:type="dxa"/>
            <w:noWrap/>
            <w:vAlign w:val="center"/>
          </w:tcPr>
          <w:p>
            <w:pPr>
              <w:snapToGrid w:val="0"/>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2</w:t>
            </w:r>
          </w:p>
        </w:tc>
        <w:tc>
          <w:tcPr>
            <w:tcW w:w="1233" w:type="dxa"/>
            <w:noWrap/>
            <w:vAlign w:val="center"/>
          </w:tcPr>
          <w:p>
            <w:pPr>
              <w:snapToGrid w:val="0"/>
              <w:spacing w:line="400" w:lineRule="exact"/>
              <w:jc w:val="center"/>
              <w:rPr>
                <w:rFonts w:ascii="宋体" w:hAnsi="宋体"/>
                <w:color w:val="auto"/>
                <w:szCs w:val="21"/>
                <w:highlight w:val="none"/>
              </w:rPr>
            </w:pPr>
          </w:p>
        </w:tc>
        <w:tc>
          <w:tcPr>
            <w:tcW w:w="1059" w:type="dxa"/>
            <w:noWrap/>
            <w:vAlign w:val="center"/>
          </w:tcPr>
          <w:p>
            <w:pPr>
              <w:snapToGrid w:val="0"/>
              <w:spacing w:line="400" w:lineRule="exact"/>
              <w:jc w:val="center"/>
              <w:rPr>
                <w:rFonts w:ascii="宋体" w:hAnsi="宋体"/>
                <w:color w:val="auto"/>
                <w:szCs w:val="21"/>
                <w:highlight w:val="none"/>
              </w:rPr>
            </w:pPr>
          </w:p>
        </w:tc>
        <w:tc>
          <w:tcPr>
            <w:tcW w:w="1233" w:type="dxa"/>
            <w:noWrap/>
            <w:vAlign w:val="center"/>
          </w:tcPr>
          <w:p>
            <w:pPr>
              <w:snapToGrid w:val="0"/>
              <w:spacing w:line="400" w:lineRule="exact"/>
              <w:jc w:val="center"/>
              <w:rPr>
                <w:rFonts w:ascii="宋体" w:hAnsi="宋体"/>
                <w:color w:val="auto"/>
                <w:szCs w:val="21"/>
                <w:highlight w:val="none"/>
              </w:rPr>
            </w:pPr>
          </w:p>
        </w:tc>
        <w:tc>
          <w:tcPr>
            <w:tcW w:w="1210" w:type="dxa"/>
            <w:noWrap/>
          </w:tcPr>
          <w:p>
            <w:pPr>
              <w:snapToGrid w:val="0"/>
              <w:spacing w:line="400" w:lineRule="exact"/>
              <w:jc w:val="center"/>
              <w:rPr>
                <w:rFonts w:ascii="宋体" w:hAnsi="宋体"/>
                <w:color w:val="auto"/>
                <w:szCs w:val="21"/>
                <w:highlight w:val="none"/>
              </w:rPr>
            </w:pPr>
          </w:p>
        </w:tc>
        <w:tc>
          <w:tcPr>
            <w:tcW w:w="908" w:type="dxa"/>
            <w:noWrap/>
          </w:tcPr>
          <w:p>
            <w:pPr>
              <w:snapToGrid w:val="0"/>
              <w:spacing w:line="400" w:lineRule="exact"/>
              <w:jc w:val="center"/>
              <w:rPr>
                <w:rFonts w:ascii="宋体" w:hAnsi="宋体"/>
                <w:color w:val="auto"/>
                <w:szCs w:val="21"/>
                <w:highlight w:val="none"/>
              </w:rPr>
            </w:pPr>
          </w:p>
        </w:tc>
        <w:tc>
          <w:tcPr>
            <w:tcW w:w="668" w:type="dxa"/>
            <w:noWrap/>
          </w:tcPr>
          <w:p>
            <w:pPr>
              <w:snapToGrid w:val="0"/>
              <w:spacing w:line="400" w:lineRule="exact"/>
              <w:jc w:val="center"/>
              <w:rPr>
                <w:rFonts w:ascii="宋体" w:hAnsi="宋体"/>
                <w:color w:val="auto"/>
                <w:szCs w:val="21"/>
                <w:highlight w:val="none"/>
              </w:rPr>
            </w:pPr>
          </w:p>
        </w:tc>
        <w:tc>
          <w:tcPr>
            <w:tcW w:w="947" w:type="dxa"/>
            <w:noWrap/>
            <w:vAlign w:val="center"/>
          </w:tcPr>
          <w:p>
            <w:pPr>
              <w:snapToGrid w:val="0"/>
              <w:spacing w:line="400" w:lineRule="exact"/>
              <w:jc w:val="center"/>
              <w:rPr>
                <w:rFonts w:ascii="宋体" w:hAnsi="宋体"/>
                <w:color w:val="auto"/>
                <w:szCs w:val="21"/>
                <w:highlight w:val="none"/>
              </w:rPr>
            </w:pPr>
          </w:p>
        </w:tc>
        <w:tc>
          <w:tcPr>
            <w:tcW w:w="1573" w:type="dxa"/>
            <w:noWrap/>
            <w:vAlign w:val="center"/>
          </w:tcPr>
          <w:p>
            <w:pPr>
              <w:snapToGrid w:val="0"/>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ign w:val="center"/>
          </w:tcPr>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3</w:t>
            </w:r>
          </w:p>
        </w:tc>
        <w:tc>
          <w:tcPr>
            <w:tcW w:w="1233" w:type="dxa"/>
            <w:noWrap/>
            <w:vAlign w:val="center"/>
          </w:tcPr>
          <w:p>
            <w:pPr>
              <w:snapToGrid w:val="0"/>
              <w:spacing w:line="400" w:lineRule="exact"/>
              <w:jc w:val="center"/>
              <w:rPr>
                <w:rFonts w:ascii="宋体" w:hAnsi="宋体"/>
                <w:color w:val="auto"/>
                <w:szCs w:val="21"/>
                <w:highlight w:val="none"/>
              </w:rPr>
            </w:pPr>
          </w:p>
        </w:tc>
        <w:tc>
          <w:tcPr>
            <w:tcW w:w="1059" w:type="dxa"/>
            <w:noWrap/>
            <w:vAlign w:val="center"/>
          </w:tcPr>
          <w:p>
            <w:pPr>
              <w:snapToGrid w:val="0"/>
              <w:spacing w:line="400" w:lineRule="exact"/>
              <w:jc w:val="center"/>
              <w:rPr>
                <w:rFonts w:ascii="宋体" w:hAnsi="宋体"/>
                <w:color w:val="auto"/>
                <w:szCs w:val="21"/>
                <w:highlight w:val="none"/>
              </w:rPr>
            </w:pPr>
          </w:p>
        </w:tc>
        <w:tc>
          <w:tcPr>
            <w:tcW w:w="1233" w:type="dxa"/>
            <w:noWrap/>
            <w:vAlign w:val="center"/>
          </w:tcPr>
          <w:p>
            <w:pPr>
              <w:snapToGrid w:val="0"/>
              <w:spacing w:line="400" w:lineRule="exact"/>
              <w:jc w:val="center"/>
              <w:rPr>
                <w:rFonts w:ascii="宋体" w:hAnsi="宋体"/>
                <w:color w:val="auto"/>
                <w:szCs w:val="21"/>
                <w:highlight w:val="none"/>
              </w:rPr>
            </w:pPr>
          </w:p>
        </w:tc>
        <w:tc>
          <w:tcPr>
            <w:tcW w:w="1210" w:type="dxa"/>
            <w:noWrap/>
          </w:tcPr>
          <w:p>
            <w:pPr>
              <w:snapToGrid w:val="0"/>
              <w:spacing w:line="400" w:lineRule="exact"/>
              <w:jc w:val="center"/>
              <w:rPr>
                <w:rFonts w:ascii="宋体" w:hAnsi="宋体"/>
                <w:color w:val="auto"/>
                <w:szCs w:val="21"/>
                <w:highlight w:val="none"/>
              </w:rPr>
            </w:pPr>
          </w:p>
        </w:tc>
        <w:tc>
          <w:tcPr>
            <w:tcW w:w="908" w:type="dxa"/>
            <w:noWrap/>
          </w:tcPr>
          <w:p>
            <w:pPr>
              <w:snapToGrid w:val="0"/>
              <w:spacing w:line="400" w:lineRule="exact"/>
              <w:jc w:val="center"/>
              <w:rPr>
                <w:rFonts w:ascii="宋体" w:hAnsi="宋体"/>
                <w:color w:val="auto"/>
                <w:szCs w:val="21"/>
                <w:highlight w:val="none"/>
              </w:rPr>
            </w:pPr>
          </w:p>
        </w:tc>
        <w:tc>
          <w:tcPr>
            <w:tcW w:w="668" w:type="dxa"/>
            <w:noWrap/>
          </w:tcPr>
          <w:p>
            <w:pPr>
              <w:snapToGrid w:val="0"/>
              <w:spacing w:line="400" w:lineRule="exact"/>
              <w:jc w:val="center"/>
              <w:rPr>
                <w:rFonts w:ascii="宋体" w:hAnsi="宋体"/>
                <w:color w:val="auto"/>
                <w:szCs w:val="21"/>
                <w:highlight w:val="none"/>
              </w:rPr>
            </w:pPr>
          </w:p>
        </w:tc>
        <w:tc>
          <w:tcPr>
            <w:tcW w:w="947" w:type="dxa"/>
            <w:noWrap/>
            <w:vAlign w:val="center"/>
          </w:tcPr>
          <w:p>
            <w:pPr>
              <w:snapToGrid w:val="0"/>
              <w:spacing w:line="400" w:lineRule="exact"/>
              <w:jc w:val="center"/>
              <w:rPr>
                <w:rFonts w:ascii="宋体" w:hAnsi="宋体"/>
                <w:color w:val="auto"/>
                <w:szCs w:val="21"/>
                <w:highlight w:val="none"/>
              </w:rPr>
            </w:pPr>
          </w:p>
        </w:tc>
        <w:tc>
          <w:tcPr>
            <w:tcW w:w="1573" w:type="dxa"/>
            <w:noWrap/>
            <w:vAlign w:val="center"/>
          </w:tcPr>
          <w:p>
            <w:pPr>
              <w:snapToGrid w:val="0"/>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9540" w:type="dxa"/>
            <w:gridSpan w:val="9"/>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人民币合计金额：</w:t>
            </w:r>
          </w:p>
        </w:tc>
      </w:tr>
    </w:tbl>
    <w:p>
      <w:pPr>
        <w:snapToGrid w:val="0"/>
        <w:spacing w:line="400" w:lineRule="exact"/>
        <w:ind w:right="52" w:firstLine="420" w:firstLineChars="200"/>
        <w:rPr>
          <w:rFonts w:ascii="宋体" w:hAnsi="宋体"/>
          <w:color w:val="auto"/>
          <w:szCs w:val="21"/>
          <w:highlight w:val="none"/>
        </w:rPr>
      </w:pPr>
      <w:r>
        <w:rPr>
          <w:rFonts w:hint="eastAsia" w:ascii="宋体" w:hAnsi="宋体"/>
          <w:color w:val="auto"/>
          <w:szCs w:val="21"/>
          <w:highlight w:val="none"/>
        </w:rPr>
        <w:t>2、合同合计金额包括货物价款，备件、专用工具、安装、调试、检验、技术培训及技术资料和包装、运输等全部费用。如招投标文件对其另有规定的，从其规定。</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第二条　质量保证</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1、乙方所提供的货物型号、技术规格、技术参数等质量必须与招投标文件和承诺相一致。乙方提供的节能和环保产品必须是列入政府采购清单的产品。</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2、乙方所提供的货物必须是全新、未使用的原装产品，且在正常安装、使用和保养条件下，其使用寿命期内各项指标均达到质量要求。</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第三条　权利保证</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乙方应保证所提供货物在使用时不会侵犯任何第三方的专利权、商标权、工业设计权或其他权利。</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乙方应按采购文件规定的时间向甲方提供使用货物的有关技术资料。</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乙方保证所交付的货物的所有权完全属于乙方且无任何抵押、质押、查封等产权瑕疵。</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第四条　包装和运输</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1、乙方提供的货物均应按招投标文件要求的包装材料、包装标准、包装方式进行包装，每一包装单元内应附详细的装箱单和质量合格证。</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2、货物的运输方式：</w:t>
      </w:r>
      <w:r>
        <w:rPr>
          <w:rFonts w:hint="eastAsia" w:ascii="宋体" w:hAnsi="宋体"/>
          <w:color w:val="auto"/>
          <w:szCs w:val="21"/>
          <w:highlight w:val="none"/>
          <w:u w:val="single"/>
        </w:rPr>
        <w:t xml:space="preserve">  不限   </w:t>
      </w:r>
      <w:r>
        <w:rPr>
          <w:rFonts w:hint="eastAsia" w:ascii="宋体" w:hAnsi="宋体"/>
          <w:color w:val="auto"/>
          <w:szCs w:val="21"/>
          <w:highlight w:val="none"/>
        </w:rPr>
        <w:t>。</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3、乙方负责货物运输，货物运输合理损耗及计算方法：</w:t>
      </w:r>
      <w:r>
        <w:rPr>
          <w:rFonts w:hint="eastAsia" w:ascii="宋体" w:hAnsi="宋体"/>
          <w:color w:val="auto"/>
          <w:szCs w:val="21"/>
          <w:highlight w:val="none"/>
          <w:u w:val="single"/>
        </w:rPr>
        <w:t xml:space="preserve">  本项目合同不接受损耗 </w:t>
      </w:r>
      <w:r>
        <w:rPr>
          <w:rFonts w:hint="eastAsia" w:ascii="宋体" w:hAnsi="宋体"/>
          <w:color w:val="auto"/>
          <w:szCs w:val="21"/>
          <w:highlight w:val="none"/>
        </w:rPr>
        <w:t>。</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第五条　交付和验收</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1、交货时间及地点：</w:t>
      </w:r>
      <w:r>
        <w:rPr>
          <w:rFonts w:hint="eastAsia" w:ascii="宋体" w:hAnsi="宋体"/>
          <w:color w:val="auto"/>
          <w:szCs w:val="21"/>
          <w:highlight w:val="none"/>
          <w:u w:val="single"/>
        </w:rPr>
        <w:t xml:space="preserve"> 见《商务偏离表》 </w:t>
      </w:r>
      <w:r>
        <w:rPr>
          <w:rFonts w:hint="eastAsia" w:ascii="宋体" w:hAnsi="宋体"/>
          <w:color w:val="auto"/>
          <w:szCs w:val="21"/>
          <w:highlight w:val="none"/>
        </w:rPr>
        <w:t>。</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2、乙方提供不符合招投标文件和本合同规定的货物，甲方有权拒绝接受。</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3、乙方应将所提供货物的装箱清单、用户手册、原厂保修卡、随机资料、工具和备品、备件等交付给甲方，货物属于进口产品的，供货时应同时附上中文使用说明书，如有缺失应及时补齐，否则视为逾期交货。</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4、甲方应当在到货（安装、调试完）后七个工作日内进行货物验收，逾期不验收的，乙方可视同验收合格。验收合格后由甲乙双方签署货物验收单并加盖采购单位公章，甲乙双方各执一份。</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采购人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6、甲方对验收有异议的，在验收后十个工作日内以书面形式向乙方提出，乙方应自收到甲方书面异议后</w:t>
      </w:r>
      <w:r>
        <w:rPr>
          <w:rFonts w:hint="eastAsia" w:ascii="宋体" w:hAnsi="宋体"/>
          <w:color w:val="auto"/>
          <w:szCs w:val="21"/>
          <w:highlight w:val="none"/>
          <w:u w:val="single"/>
        </w:rPr>
        <w:t xml:space="preserve"> 10个工作 </w:t>
      </w:r>
      <w:r>
        <w:rPr>
          <w:rFonts w:hint="eastAsia" w:ascii="宋体" w:hAnsi="宋体"/>
          <w:color w:val="auto"/>
          <w:szCs w:val="21"/>
          <w:highlight w:val="none"/>
        </w:rPr>
        <w:t>日内及时予以解决。</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第六条　安装和培训</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1、甲方应提供必要安装条件（如场地、电源、水源等）。</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2、乙方负责甲方有关人员的培训。培训时间、地点：</w:t>
      </w:r>
      <w:r>
        <w:rPr>
          <w:rFonts w:hint="eastAsia" w:ascii="宋体" w:hAnsi="宋体"/>
          <w:color w:val="auto"/>
          <w:szCs w:val="21"/>
          <w:highlight w:val="none"/>
          <w:u w:val="single"/>
        </w:rPr>
        <w:t>见《售后服务承诺书》。</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第七条  售后服务、质保期</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1、乙方应按照国家有关法律法规和“三包”规定以及招投标文件和本合同所附的《售后服务承诺书》，为甲方提供售后服务。</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2、货物质保期：</w:t>
      </w:r>
      <w:r>
        <w:rPr>
          <w:rFonts w:hint="eastAsia" w:ascii="宋体" w:hAnsi="宋体"/>
          <w:color w:val="auto"/>
          <w:szCs w:val="21"/>
          <w:highlight w:val="none"/>
          <w:u w:val="single"/>
        </w:rPr>
        <w:t>见《商务偏离表》分项有要求的按分项要求，分项无要求的按国家标准实行“三包”。</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3、乙方提供的服务承诺和售后服务及保修期责任等其它具体约定事项。（见合同附件）</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第八条　付款方式和保证金</w:t>
      </w:r>
    </w:p>
    <w:p>
      <w:pPr>
        <w:pStyle w:val="25"/>
        <w:snapToGrid w:val="0"/>
        <w:spacing w:line="400" w:lineRule="exact"/>
        <w:ind w:firstLine="420" w:firstLineChars="200"/>
        <w:rPr>
          <w:rFonts w:hAnsi="宋体"/>
          <w:color w:val="auto"/>
          <w:sz w:val="21"/>
          <w:highlight w:val="none"/>
        </w:rPr>
      </w:pPr>
      <w:r>
        <w:rPr>
          <w:rFonts w:hAnsi="宋体"/>
          <w:bCs/>
          <w:color w:val="auto"/>
          <w:sz w:val="21"/>
          <w:highlight w:val="none"/>
        </w:rPr>
        <w:t>1、</w:t>
      </w:r>
      <w:r>
        <w:rPr>
          <w:rFonts w:hAnsi="宋体"/>
          <w:color w:val="auto"/>
          <w:sz w:val="21"/>
          <w:highlight w:val="none"/>
        </w:rPr>
        <w:t>当采购数量与实际使用数量不一致时，乙方应根据实际使用量供货，合同的最终结算金额按实际使用量乘以成交单价进行计算。</w:t>
      </w:r>
    </w:p>
    <w:p>
      <w:pPr>
        <w:snapToGrid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2、资金性质：</w:t>
      </w:r>
      <w:r>
        <w:rPr>
          <w:rFonts w:hint="eastAsia" w:ascii="宋体" w:hAnsi="宋体"/>
          <w:color w:val="auto"/>
          <w:szCs w:val="21"/>
          <w:highlight w:val="none"/>
          <w:u w:val="single"/>
        </w:rPr>
        <w:t xml:space="preserve">  财政性资金  。</w:t>
      </w:r>
    </w:p>
    <w:p>
      <w:pPr>
        <w:snapToGrid w:val="0"/>
        <w:spacing w:line="400" w:lineRule="exact"/>
        <w:ind w:left="-61" w:leftChars="-29" w:firstLine="514" w:firstLineChars="245"/>
        <w:rPr>
          <w:rFonts w:ascii="宋体" w:hAnsi="宋体"/>
          <w:color w:val="auto"/>
          <w:szCs w:val="21"/>
          <w:highlight w:val="none"/>
          <w:u w:val="single"/>
        </w:rPr>
      </w:pPr>
      <w:r>
        <w:rPr>
          <w:rFonts w:hint="eastAsia" w:ascii="宋体" w:hAnsi="宋体"/>
          <w:color w:val="auto"/>
          <w:szCs w:val="21"/>
          <w:highlight w:val="none"/>
        </w:rPr>
        <w:t>3、付款方式：</w:t>
      </w:r>
      <w:r>
        <w:rPr>
          <w:rFonts w:hint="eastAsia" w:hAnsi="宋体" w:cs="宋体"/>
          <w:color w:val="auto"/>
          <w:kern w:val="0"/>
          <w:highlight w:val="none"/>
          <w:u w:val="single"/>
        </w:rPr>
        <w:t>由中标供应商与广西壮族自治区残疾人联合会签订总合同，并与</w:t>
      </w:r>
      <w:r>
        <w:rPr>
          <w:rFonts w:hint="eastAsia" w:hAnsi="宋体" w:cs="宋体"/>
          <w:color w:val="auto"/>
          <w:highlight w:val="none"/>
          <w:u w:val="single"/>
        </w:rPr>
        <w:t>采购单位县（市、区）残联</w:t>
      </w:r>
      <w:r>
        <w:rPr>
          <w:rFonts w:hint="eastAsia" w:hAnsi="宋体" w:cs="宋体"/>
          <w:color w:val="auto"/>
          <w:kern w:val="0"/>
          <w:highlight w:val="none"/>
          <w:u w:val="single"/>
        </w:rPr>
        <w:t>签订分合同。</w:t>
      </w:r>
      <w:r>
        <w:rPr>
          <w:rFonts w:hint="eastAsia" w:hAnsi="宋体" w:cs="宋体"/>
          <w:color w:val="auto"/>
          <w:highlight w:val="none"/>
          <w:u w:val="single"/>
        </w:rPr>
        <w:t>乙方根据甲方需求按订单供货，每次订单的货物经交付验收合格后十个工作日内，由甲方按乙方中标标的物的中标单价和实际供货数量计算，以转帐方式一次性付清订单货款（无预付款）。乙方自收到货款之日起三个工作日内开具发票给甲方</w:t>
      </w:r>
      <w:r>
        <w:rPr>
          <w:rFonts w:hint="eastAsia" w:ascii="宋体" w:hAnsi="宋体"/>
          <w:color w:val="auto"/>
          <w:szCs w:val="21"/>
          <w:highlight w:val="none"/>
          <w:u w:val="single"/>
        </w:rPr>
        <w:t>。</w:t>
      </w:r>
    </w:p>
    <w:p>
      <w:pPr>
        <w:snapToGrid w:val="0"/>
        <w:spacing w:line="400" w:lineRule="exact"/>
        <w:ind w:left="-61" w:leftChars="-29" w:firstLine="517" w:firstLineChars="245"/>
        <w:rPr>
          <w:rFonts w:ascii="宋体" w:hAnsi="宋体"/>
          <w:b/>
          <w:color w:val="auto"/>
          <w:szCs w:val="21"/>
          <w:highlight w:val="none"/>
        </w:rPr>
      </w:pPr>
      <w:r>
        <w:rPr>
          <w:rFonts w:hint="eastAsia" w:ascii="宋体" w:hAnsi="宋体"/>
          <w:b/>
          <w:color w:val="auto"/>
          <w:szCs w:val="21"/>
          <w:highlight w:val="none"/>
        </w:rPr>
        <w:t>第九条　质量保证金</w:t>
      </w:r>
    </w:p>
    <w:p>
      <w:pPr>
        <w:snapToGrid w:val="0"/>
        <w:spacing w:line="400" w:lineRule="exact"/>
        <w:ind w:left="-61" w:firstLine="514"/>
        <w:rPr>
          <w:rFonts w:ascii="宋体" w:hAnsi="宋体"/>
          <w:b/>
          <w:color w:val="auto"/>
          <w:szCs w:val="21"/>
          <w:highlight w:val="none"/>
          <w:u w:val="single"/>
        </w:rPr>
      </w:pPr>
      <w:r>
        <w:rPr>
          <w:rFonts w:hint="eastAsia" w:ascii="宋体" w:hAnsi="宋体"/>
          <w:color w:val="auto"/>
          <w:szCs w:val="21"/>
          <w:highlight w:val="none"/>
          <w:u w:val="single"/>
        </w:rPr>
        <w:t>乙方应在签订合同后五个工作日内按本合同合计金额1%比例向采购单位县（市、区）残联提交质量保证金，项目服务期满后五个工作日内无息返还。</w:t>
      </w:r>
    </w:p>
    <w:p>
      <w:pPr>
        <w:snapToGrid w:val="0"/>
        <w:spacing w:line="400" w:lineRule="exact"/>
        <w:ind w:left="-61" w:firstLine="514"/>
        <w:rPr>
          <w:rFonts w:ascii="宋体" w:hAnsi="宋体"/>
          <w:b/>
          <w:color w:val="auto"/>
          <w:szCs w:val="21"/>
          <w:highlight w:val="none"/>
        </w:rPr>
      </w:pPr>
      <w:r>
        <w:rPr>
          <w:rFonts w:hint="eastAsia" w:ascii="宋体" w:hAnsi="宋体"/>
          <w:b/>
          <w:color w:val="auto"/>
          <w:szCs w:val="21"/>
          <w:highlight w:val="none"/>
        </w:rPr>
        <w:t>第十条  税费</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本合同执行中相关的一切税费均由乙方负担。</w:t>
      </w:r>
    </w:p>
    <w:p>
      <w:pPr>
        <w:snapToGrid w:val="0"/>
        <w:spacing w:line="400" w:lineRule="exact"/>
        <w:ind w:left="-61" w:firstLine="514"/>
        <w:rPr>
          <w:rFonts w:ascii="宋体" w:hAnsi="宋体"/>
          <w:color w:val="auto"/>
          <w:szCs w:val="21"/>
          <w:highlight w:val="none"/>
        </w:rPr>
      </w:pPr>
      <w:r>
        <w:rPr>
          <w:rFonts w:hint="eastAsia" w:ascii="宋体" w:hAnsi="宋体"/>
          <w:b/>
          <w:color w:val="auto"/>
          <w:szCs w:val="21"/>
          <w:highlight w:val="none"/>
        </w:rPr>
        <w:t>第十一条  质量保证及售后服务</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1. 乙方应按采购文件规定的货物性能、技术要求、质量标准向甲方提供未经使用的全新产品。不符合要求的，根据实际情况，经双方协商，可按以下办法处理：</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⑴更换：由乙方承担所发生的全部费用。</w:t>
      </w:r>
    </w:p>
    <w:p>
      <w:pPr>
        <w:pStyle w:val="25"/>
        <w:snapToGrid w:val="0"/>
        <w:spacing w:line="400" w:lineRule="exact"/>
        <w:ind w:firstLine="420"/>
        <w:rPr>
          <w:rFonts w:hAnsi="宋体"/>
          <w:color w:val="auto"/>
          <w:sz w:val="21"/>
          <w:highlight w:val="none"/>
        </w:rPr>
      </w:pPr>
      <w:r>
        <w:rPr>
          <w:rFonts w:hAnsi="宋体"/>
          <w:color w:val="auto"/>
          <w:sz w:val="21"/>
          <w:highlight w:val="none"/>
        </w:rPr>
        <w:t>⑵贬值处理：由甲乙双方合议定价。</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⑶退货处理：乙方应退还甲方支付的合同款，同时应承担该货物的直接费用（运输、保险、检验、货款利息及银行手续费等）。</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2. 如在使用过程中发生质量问题，乙方在接到甲方通知后在</w:t>
      </w:r>
      <w:r>
        <w:rPr>
          <w:rFonts w:hAnsi="宋体"/>
          <w:color w:val="auto"/>
          <w:sz w:val="21"/>
          <w:highlight w:val="none"/>
          <w:u w:val="single"/>
        </w:rPr>
        <w:t xml:space="preserve"> 乙方售后服务承诺 </w:t>
      </w:r>
      <w:r>
        <w:rPr>
          <w:rFonts w:hAnsi="宋体"/>
          <w:color w:val="auto"/>
          <w:sz w:val="21"/>
          <w:highlight w:val="none"/>
        </w:rPr>
        <w:t>小时内到达甲方现场处理。</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3. 在质保期内，乙方应对货物出现的质量及安全问题负责处理解决并承担一切费用。</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4. 货物因人为因素出现的故障不在免费保修范围内。超过保修期的机器设备，终生维修，维修时只收部件成本费。</w:t>
      </w:r>
    </w:p>
    <w:p>
      <w:pPr>
        <w:snapToGrid w:val="0"/>
        <w:spacing w:line="400" w:lineRule="exact"/>
        <w:ind w:left="-61" w:firstLine="514"/>
        <w:rPr>
          <w:rFonts w:ascii="宋体" w:hAnsi="宋体"/>
          <w:color w:val="auto"/>
          <w:szCs w:val="21"/>
          <w:highlight w:val="none"/>
        </w:rPr>
      </w:pPr>
      <w:r>
        <w:rPr>
          <w:rFonts w:hint="eastAsia" w:ascii="宋体" w:hAnsi="宋体"/>
          <w:b/>
          <w:color w:val="auto"/>
          <w:szCs w:val="21"/>
          <w:highlight w:val="none"/>
        </w:rPr>
        <w:t>第十二条  调试和验收</w:t>
      </w:r>
    </w:p>
    <w:p>
      <w:pPr>
        <w:pStyle w:val="25"/>
        <w:snapToGrid w:val="0"/>
        <w:spacing w:line="400" w:lineRule="exact"/>
        <w:ind w:firstLine="420" w:firstLineChars="200"/>
        <w:jc w:val="left"/>
        <w:rPr>
          <w:rFonts w:hAnsi="宋体"/>
          <w:color w:val="auto"/>
          <w:sz w:val="21"/>
          <w:highlight w:val="none"/>
        </w:rPr>
      </w:pPr>
      <w:r>
        <w:rPr>
          <w:rFonts w:hAnsi="宋体"/>
          <w:color w:val="auto"/>
          <w:sz w:val="21"/>
          <w:highlight w:val="none"/>
        </w:rPr>
        <w:t>1. 甲方对乙方提交的货物依据采购文件上的技术规格要求和国家有关质量标准进行现场初步验收，外观、说明书符合采购文件技术要求的，给予签收，初步验收不合格的不予签收。货到后，甲方应当在到货（安装、调试完）后七个工作日内进行货物验收。</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2. 乙方交货前应对产品作出全面检查和对验收文件进行整理，并列出清单，作为甲方收货验收和使用的技术条件依据，检验的结果应随货物交甲方。</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3. 甲方对乙方提供的货物在使用前进行调试时，乙方需负责安装并培训甲方的使用操作人员，并协助甲方一起调试，直到符合技术要求，甲方才做最终验收。</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4. 对技术复杂的货物，甲方应请国家认可的专业检测机构参与初步验收及最终验收，并由其出具质量检测报告。</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5. 验收时乙方必须在现场，验收完毕后作出验收结果报告；验收费用由乙方负责。</w:t>
      </w:r>
    </w:p>
    <w:p>
      <w:pPr>
        <w:pStyle w:val="25"/>
        <w:snapToGrid w:val="0"/>
        <w:spacing w:line="400" w:lineRule="exact"/>
        <w:ind w:firstLine="413" w:firstLineChars="196"/>
        <w:rPr>
          <w:rFonts w:hAnsi="宋体"/>
          <w:b/>
          <w:color w:val="auto"/>
          <w:sz w:val="21"/>
          <w:highlight w:val="none"/>
        </w:rPr>
      </w:pPr>
      <w:r>
        <w:rPr>
          <w:rFonts w:hAnsi="宋体"/>
          <w:b/>
          <w:color w:val="auto"/>
          <w:sz w:val="21"/>
          <w:highlight w:val="none"/>
        </w:rPr>
        <w:t>第十三条  货物包装、发运及运输</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1. 乙方应在货物发运前对其进行满足运输距离、防潮、防震、防锈和防破损装卸等要求包装，以保证货物安全运达甲方指定地点。</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2. 使用说明书（货物属于进口产品的，供货时应同时附上中文使用说明书）、质量检验证明书、随配附件和工具以及清单一并附于货物内。</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3. 乙方在货物发运手续办理完毕后二十四小时内或货到甲方四十八小时前通知甲方，以准备接货。</w:t>
      </w:r>
    </w:p>
    <w:p>
      <w:pPr>
        <w:pStyle w:val="25"/>
        <w:snapToGrid w:val="0"/>
        <w:spacing w:line="400" w:lineRule="exact"/>
        <w:ind w:left="420" w:leftChars="200"/>
        <w:rPr>
          <w:rFonts w:hAnsi="宋体"/>
          <w:color w:val="auto"/>
          <w:sz w:val="21"/>
          <w:highlight w:val="none"/>
        </w:rPr>
      </w:pPr>
      <w:r>
        <w:rPr>
          <w:rFonts w:hAnsi="宋体"/>
          <w:color w:val="auto"/>
          <w:sz w:val="21"/>
          <w:highlight w:val="none"/>
        </w:rPr>
        <w:t>4. 货物在交付甲方前发生的风险均由乙方负责。</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5. 货物在规定的交付期限内由乙方送达甲方指定的地点视为交付，乙方同时需通知甲方货物已送达。</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第十四条　违约责任</w:t>
      </w:r>
    </w:p>
    <w:p>
      <w:pPr>
        <w:snapToGrid w:val="0"/>
        <w:spacing w:line="400" w:lineRule="exact"/>
        <w:ind w:firstLine="525" w:firstLineChars="250"/>
        <w:rPr>
          <w:rFonts w:ascii="宋体" w:hAnsi="宋体"/>
          <w:color w:val="auto"/>
          <w:szCs w:val="21"/>
          <w:highlight w:val="none"/>
        </w:rPr>
      </w:pPr>
      <w:r>
        <w:rPr>
          <w:rFonts w:hint="eastAsia" w:ascii="宋体" w:hAnsi="宋体"/>
          <w:color w:val="auto"/>
          <w:szCs w:val="21"/>
          <w:highlight w:val="none"/>
        </w:rPr>
        <w:t xml:space="preserve">1、乙方所提供的货物规格、技术标准、材料等质量不合格的，应及时更换，更换不及时的按逾期交货处罚；因质量问题甲方不同意接收的或特殊情况甲方同意接收的，乙方应向甲方支付违约货款额 5%违约金并赔偿甲方经济损失。                                       </w:t>
      </w:r>
    </w:p>
    <w:p>
      <w:pPr>
        <w:snapToGrid w:val="0"/>
        <w:spacing w:line="400" w:lineRule="exact"/>
        <w:ind w:firstLine="472" w:firstLineChars="225"/>
        <w:rPr>
          <w:rFonts w:ascii="宋体" w:hAnsi="宋体"/>
          <w:color w:val="auto"/>
          <w:szCs w:val="21"/>
          <w:highlight w:val="none"/>
        </w:rPr>
      </w:pPr>
      <w:r>
        <w:rPr>
          <w:rFonts w:hint="eastAsia" w:ascii="宋体" w:hAnsi="宋体"/>
          <w:color w:val="auto"/>
          <w:szCs w:val="21"/>
          <w:highlight w:val="none"/>
        </w:rPr>
        <w:t>2、乙方提供的货物如侵犯了第三方合法权益而引发的任何纠纷或诉讼，均由乙方负责交涉并承担全部责任。</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3、因包装、运输引起的货物损坏，按质量不合格处罚。</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4、甲方无故延期接收货物、乙方逾期交货的，每天向对方偿付违约货款额</w:t>
      </w:r>
      <w:r>
        <w:rPr>
          <w:rFonts w:hint="eastAsia" w:ascii="宋体" w:hAnsi="宋体"/>
          <w:color w:val="auto"/>
          <w:szCs w:val="21"/>
          <w:highlight w:val="none"/>
          <w:u w:val="single"/>
        </w:rPr>
        <w:t>4‰</w:t>
      </w:r>
      <w:r>
        <w:rPr>
          <w:rFonts w:hint="eastAsia" w:ascii="宋体" w:hAnsi="宋体"/>
          <w:color w:val="auto"/>
          <w:szCs w:val="21"/>
          <w:highlight w:val="none"/>
        </w:rPr>
        <w:t>违约金，但违约金累计不得超过违约货款额</w:t>
      </w:r>
      <w:r>
        <w:rPr>
          <w:rFonts w:hint="eastAsia" w:ascii="宋体" w:hAnsi="宋体"/>
          <w:color w:val="auto"/>
          <w:szCs w:val="21"/>
          <w:highlight w:val="none"/>
          <w:u w:val="single"/>
        </w:rPr>
        <w:t>5%</w:t>
      </w:r>
      <w:r>
        <w:rPr>
          <w:rFonts w:hint="eastAsia" w:ascii="宋体" w:hAnsi="宋体"/>
          <w:color w:val="auto"/>
          <w:szCs w:val="21"/>
          <w:highlight w:val="none"/>
        </w:rPr>
        <w:t>，超过</w:t>
      </w:r>
      <w:r>
        <w:rPr>
          <w:rFonts w:hint="eastAsia" w:ascii="宋体" w:hAnsi="宋体"/>
          <w:color w:val="auto"/>
          <w:szCs w:val="21"/>
          <w:highlight w:val="none"/>
          <w:u w:val="single"/>
        </w:rPr>
        <w:t xml:space="preserve"> 15 </w:t>
      </w:r>
      <w:r>
        <w:rPr>
          <w:rFonts w:hint="eastAsia" w:ascii="宋体" w:hAnsi="宋体"/>
          <w:color w:val="auto"/>
          <w:szCs w:val="21"/>
          <w:highlight w:val="none"/>
        </w:rPr>
        <w:t>天对方有权解除合同，违约方承担因此给对方造成经济损失；甲方延期付货款的，每天向乙方偿付延期货款额</w:t>
      </w:r>
      <w:r>
        <w:rPr>
          <w:rFonts w:hint="eastAsia" w:ascii="宋体" w:hAnsi="宋体"/>
          <w:color w:val="auto"/>
          <w:szCs w:val="21"/>
          <w:highlight w:val="none"/>
          <w:u w:val="single"/>
        </w:rPr>
        <w:t>4‰</w:t>
      </w:r>
      <w:r>
        <w:rPr>
          <w:rFonts w:hint="eastAsia" w:ascii="宋体" w:hAnsi="宋体"/>
          <w:color w:val="auto"/>
          <w:szCs w:val="21"/>
          <w:highlight w:val="none"/>
        </w:rPr>
        <w:t>滞纳金，但滞纳金累计不得超过延期货款额</w:t>
      </w:r>
      <w:r>
        <w:rPr>
          <w:rFonts w:hint="eastAsia" w:ascii="宋体" w:hAnsi="宋体"/>
          <w:color w:val="auto"/>
          <w:szCs w:val="21"/>
          <w:highlight w:val="none"/>
          <w:u w:val="single"/>
        </w:rPr>
        <w:t>5%</w:t>
      </w:r>
      <w:r>
        <w:rPr>
          <w:rFonts w:hint="eastAsia" w:ascii="宋体" w:hAnsi="宋体"/>
          <w:color w:val="auto"/>
          <w:szCs w:val="21"/>
          <w:highlight w:val="none"/>
        </w:rPr>
        <w:t>。</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5、乙方未按本合同和投标文件中规定的服务承诺提供售后服务的，乙方应按本合同合计金额</w:t>
      </w:r>
      <w:r>
        <w:rPr>
          <w:rFonts w:hint="eastAsia" w:ascii="宋体" w:hAnsi="宋体"/>
          <w:color w:val="auto"/>
          <w:szCs w:val="21"/>
          <w:highlight w:val="none"/>
          <w:u w:val="single"/>
        </w:rPr>
        <w:t xml:space="preserve"> 5%</w:t>
      </w:r>
      <w:r>
        <w:rPr>
          <w:rFonts w:hint="eastAsia" w:ascii="宋体" w:hAnsi="宋体"/>
          <w:color w:val="auto"/>
          <w:szCs w:val="21"/>
          <w:highlight w:val="none"/>
        </w:rPr>
        <w:t>向甲方支付违约金。</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6、乙方提供的货物在质保期内，因设计、工艺或材料的缺陷和其它质量原因造成的问题，由乙方负责，费用从质量保证金中扣除，不足另补。</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7、其它违约行为按违约货款额5%收取违约金并赔偿经济损失。</w:t>
      </w:r>
    </w:p>
    <w:p>
      <w:pPr>
        <w:pStyle w:val="25"/>
        <w:snapToGrid w:val="0"/>
        <w:spacing w:line="400" w:lineRule="exact"/>
        <w:ind w:firstLine="413" w:firstLineChars="196"/>
        <w:rPr>
          <w:rFonts w:hAnsi="宋体"/>
          <w:b/>
          <w:color w:val="auto"/>
          <w:sz w:val="21"/>
          <w:highlight w:val="none"/>
        </w:rPr>
      </w:pPr>
      <w:r>
        <w:rPr>
          <w:rFonts w:hAnsi="宋体"/>
          <w:b/>
          <w:color w:val="auto"/>
          <w:sz w:val="21"/>
          <w:highlight w:val="none"/>
        </w:rPr>
        <w:t>第十五条  不可抗力事件处理</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1. 在合同有效期内，任何一方因不可抗力事件导致不能履行合同，则合同履行期可延长，其延长期与不可抗力影响期相同。</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2. 不可抗力事件发生后，应立即通知对方，并寄送有关权威机构出具的证明。</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3. 不可抗力事件延续一百二十天以上，双方应通过友好协商，确定是否继续履行合同。</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第十六条  合同争议解决</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1、因货物质量问题发生争议的，应邀请国家认可的质量检测机构对货物质量进行鉴定。货物符合标准的，鉴定费由甲方承担；货物不符合标准的，鉴定费由乙方承担。</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2、因履行本合同引起的或与本合同有关的争议，甲乙双方应首先通过友好协商解决，如果协商不能解决，可向甲方所在地人民法院提起诉讼。</w:t>
      </w:r>
    </w:p>
    <w:p>
      <w:pPr>
        <w:snapToGrid w:val="0"/>
        <w:spacing w:line="400" w:lineRule="exact"/>
        <w:ind w:left="-61" w:firstLine="514"/>
        <w:rPr>
          <w:rFonts w:ascii="宋体" w:hAnsi="宋体"/>
          <w:color w:val="auto"/>
          <w:szCs w:val="21"/>
          <w:highlight w:val="none"/>
        </w:rPr>
      </w:pPr>
      <w:r>
        <w:rPr>
          <w:rFonts w:hint="eastAsia" w:ascii="宋体" w:hAnsi="宋体"/>
          <w:color w:val="auto"/>
          <w:szCs w:val="21"/>
          <w:highlight w:val="none"/>
        </w:rPr>
        <w:t>3、诉讼期间，本合同继续履行。</w:t>
      </w:r>
    </w:p>
    <w:p>
      <w:pPr>
        <w:pStyle w:val="25"/>
        <w:snapToGrid w:val="0"/>
        <w:spacing w:line="400" w:lineRule="exact"/>
        <w:ind w:firstLine="413" w:firstLineChars="196"/>
        <w:rPr>
          <w:rFonts w:hAnsi="宋体"/>
          <w:b/>
          <w:color w:val="auto"/>
          <w:sz w:val="21"/>
          <w:highlight w:val="none"/>
        </w:rPr>
      </w:pPr>
      <w:r>
        <w:rPr>
          <w:rFonts w:hAnsi="宋体"/>
          <w:b/>
          <w:color w:val="auto"/>
          <w:sz w:val="21"/>
          <w:highlight w:val="none"/>
        </w:rPr>
        <w:t>第十七条  合同生效及其它</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1.合同经双方法定代表人或被授权代表签字并加盖单位公章后生效。</w:t>
      </w:r>
    </w:p>
    <w:p>
      <w:pPr>
        <w:pStyle w:val="25"/>
        <w:snapToGrid w:val="0"/>
        <w:spacing w:line="400" w:lineRule="exact"/>
        <w:ind w:firstLine="420" w:firstLineChars="200"/>
        <w:rPr>
          <w:rFonts w:hAnsi="宋体"/>
          <w:color w:val="auto"/>
          <w:sz w:val="21"/>
          <w:highlight w:val="none"/>
        </w:rPr>
      </w:pPr>
      <w:r>
        <w:rPr>
          <w:rFonts w:hAnsi="宋体"/>
          <w:color w:val="auto"/>
          <w:sz w:val="21"/>
          <w:highlight w:val="none"/>
        </w:rPr>
        <w:t>2.合同执行中涉及采购资金和采购内容修改或补充的，在法规范围内，须签书面补充协议方可作为主合同不可分割的一部分。</w:t>
      </w:r>
    </w:p>
    <w:p>
      <w:pPr>
        <w:pStyle w:val="25"/>
        <w:snapToGrid w:val="0"/>
        <w:spacing w:line="400" w:lineRule="exact"/>
        <w:ind w:left="420" w:leftChars="200"/>
        <w:rPr>
          <w:rFonts w:hAnsi="宋体"/>
          <w:color w:val="auto"/>
          <w:sz w:val="21"/>
          <w:highlight w:val="none"/>
        </w:rPr>
      </w:pPr>
      <w:r>
        <w:rPr>
          <w:rFonts w:hAnsi="宋体"/>
          <w:color w:val="auto"/>
          <w:sz w:val="21"/>
          <w:highlight w:val="none"/>
        </w:rPr>
        <w:t>3.本合同未尽事宜，遵照《</w:t>
      </w:r>
      <w:r>
        <w:rPr>
          <w:rFonts w:hint="eastAsia" w:hAnsi="宋体"/>
          <w:color w:val="auto"/>
          <w:sz w:val="21"/>
          <w:highlight w:val="none"/>
        </w:rPr>
        <w:t>中华人民共和国民法典</w:t>
      </w:r>
      <w:r>
        <w:rPr>
          <w:rFonts w:hAnsi="宋体"/>
          <w:color w:val="auto"/>
          <w:sz w:val="21"/>
          <w:highlight w:val="none"/>
        </w:rPr>
        <w:t>》有关条文执行。</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第十八条　合同的变更、终止与转让</w:t>
      </w: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1、除《中华人民共和国政府采购法》第五十条规定的情形外，本合同一经签订，甲乙双方不得擅自变更、中止或终止。</w:t>
      </w:r>
    </w:p>
    <w:p>
      <w:pPr>
        <w:snapToGrid w:val="0"/>
        <w:spacing w:line="400" w:lineRule="exact"/>
        <w:ind w:left="-61" w:firstLine="514"/>
        <w:rPr>
          <w:color w:val="auto"/>
          <w:szCs w:val="21"/>
          <w:highlight w:val="none"/>
        </w:rPr>
      </w:pPr>
      <w:r>
        <w:rPr>
          <w:rFonts w:hint="eastAsia"/>
          <w:color w:val="auto"/>
          <w:szCs w:val="21"/>
          <w:highlight w:val="none"/>
        </w:rPr>
        <w:t>2、乙方不得擅自转让（无进口资格的供应商委托进口货物除外）其应履行的合同义务。</w:t>
      </w:r>
    </w:p>
    <w:p>
      <w:pPr>
        <w:snapToGrid w:val="0"/>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第十九条　签订本合同依据</w:t>
      </w:r>
    </w:p>
    <w:p>
      <w:pPr>
        <w:pStyle w:val="25"/>
        <w:snapToGrid w:val="0"/>
        <w:spacing w:line="400" w:lineRule="exact"/>
        <w:ind w:left="420" w:leftChars="200"/>
        <w:rPr>
          <w:rFonts w:hAnsi="宋体"/>
          <w:color w:val="auto"/>
          <w:sz w:val="21"/>
          <w:highlight w:val="none"/>
        </w:rPr>
      </w:pPr>
      <w:r>
        <w:rPr>
          <w:rFonts w:hAnsi="宋体"/>
          <w:color w:val="auto"/>
          <w:sz w:val="21"/>
          <w:highlight w:val="none"/>
        </w:rPr>
        <w:t>1、政府采购项目采购文件；</w:t>
      </w:r>
    </w:p>
    <w:p>
      <w:pPr>
        <w:pStyle w:val="25"/>
        <w:snapToGrid w:val="0"/>
        <w:spacing w:line="400" w:lineRule="exact"/>
        <w:ind w:left="420" w:leftChars="200"/>
        <w:rPr>
          <w:rFonts w:hAnsi="宋体"/>
          <w:color w:val="auto"/>
          <w:sz w:val="21"/>
          <w:highlight w:val="none"/>
        </w:rPr>
      </w:pPr>
      <w:r>
        <w:rPr>
          <w:rFonts w:hAnsi="宋体"/>
          <w:color w:val="auto"/>
          <w:sz w:val="21"/>
          <w:highlight w:val="none"/>
        </w:rPr>
        <w:t>2、乙方提供的采购投标（或应答）文件；</w:t>
      </w:r>
    </w:p>
    <w:p>
      <w:pPr>
        <w:pStyle w:val="25"/>
        <w:snapToGrid w:val="0"/>
        <w:spacing w:line="400" w:lineRule="exact"/>
        <w:ind w:left="420" w:leftChars="200"/>
        <w:rPr>
          <w:rFonts w:hAnsi="宋体"/>
          <w:color w:val="auto"/>
          <w:sz w:val="21"/>
          <w:highlight w:val="none"/>
        </w:rPr>
      </w:pPr>
      <w:r>
        <w:rPr>
          <w:rFonts w:hAnsi="宋体"/>
          <w:color w:val="auto"/>
          <w:sz w:val="21"/>
          <w:highlight w:val="none"/>
        </w:rPr>
        <w:t>3、投标承诺书；</w:t>
      </w:r>
    </w:p>
    <w:p>
      <w:pPr>
        <w:pStyle w:val="25"/>
        <w:snapToGrid w:val="0"/>
        <w:spacing w:line="400" w:lineRule="exact"/>
        <w:ind w:left="420" w:leftChars="200"/>
        <w:rPr>
          <w:rFonts w:hAnsi="宋体"/>
          <w:b/>
          <w:color w:val="auto"/>
          <w:sz w:val="21"/>
          <w:highlight w:val="none"/>
        </w:rPr>
      </w:pPr>
      <w:r>
        <w:rPr>
          <w:rFonts w:hAnsi="宋体"/>
          <w:color w:val="auto"/>
          <w:sz w:val="21"/>
          <w:highlight w:val="none"/>
        </w:rPr>
        <w:t>4、成交通知书。</w:t>
      </w:r>
    </w:p>
    <w:p>
      <w:pPr>
        <w:snapToGrid w:val="0"/>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第二十条　</w:t>
      </w:r>
      <w:r>
        <w:rPr>
          <w:rFonts w:hint="eastAsia" w:ascii="宋体" w:hAnsi="宋体"/>
          <w:color w:val="auto"/>
          <w:szCs w:val="21"/>
          <w:highlight w:val="none"/>
        </w:rPr>
        <w:t>本合同一式五份，具有同等法律效力，甲方三份，乙方一份，采购代理机构一份。本合同甲乙双方签字盖章后生效。</w:t>
      </w: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4"/>
        <w:gridCol w:w="4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 xml:space="preserve">甲方（章）           </w:t>
            </w:r>
          </w:p>
          <w:p>
            <w:pPr>
              <w:snapToGrid w:val="0"/>
              <w:spacing w:line="400" w:lineRule="exact"/>
              <w:rPr>
                <w:rFonts w:ascii="宋体" w:hAnsi="宋体"/>
                <w:color w:val="auto"/>
                <w:szCs w:val="21"/>
                <w:highlight w:val="none"/>
              </w:rPr>
            </w:pPr>
          </w:p>
          <w:p>
            <w:pPr>
              <w:snapToGrid w:val="0"/>
              <w:spacing w:line="400" w:lineRule="exact"/>
              <w:ind w:firstLine="945" w:firstLineChars="450"/>
              <w:jc w:val="right"/>
              <w:rPr>
                <w:rFonts w:ascii="宋体" w:hAnsi="宋体"/>
                <w:color w:val="auto"/>
                <w:szCs w:val="21"/>
                <w:highlight w:val="none"/>
              </w:rPr>
            </w:pPr>
            <w:r>
              <w:rPr>
                <w:rFonts w:hint="eastAsia" w:ascii="宋体" w:hAnsi="宋体"/>
                <w:color w:val="auto"/>
                <w:szCs w:val="21"/>
                <w:highlight w:val="none"/>
              </w:rPr>
              <w:t>年   月   日</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 xml:space="preserve">乙方（章）              </w:t>
            </w:r>
          </w:p>
          <w:p>
            <w:pPr>
              <w:snapToGrid w:val="0"/>
              <w:spacing w:line="400" w:lineRule="exact"/>
              <w:rPr>
                <w:rFonts w:ascii="宋体" w:hAnsi="宋体"/>
                <w:color w:val="auto"/>
                <w:szCs w:val="21"/>
                <w:highlight w:val="none"/>
              </w:rPr>
            </w:pPr>
          </w:p>
          <w:p>
            <w:pPr>
              <w:snapToGrid w:val="0"/>
              <w:spacing w:line="400" w:lineRule="exact"/>
              <w:jc w:val="right"/>
              <w:rPr>
                <w:rFonts w:ascii="宋体" w:hAnsi="宋体"/>
                <w:color w:val="auto"/>
                <w:szCs w:val="21"/>
                <w:highlight w:val="none"/>
              </w:rPr>
            </w:pPr>
            <w:r>
              <w:rPr>
                <w:rFonts w:hint="eastAsia" w:ascii="宋体" w:hAnsi="宋体"/>
                <w:color w:val="auto"/>
                <w:szCs w:val="21"/>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单位地址：</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法定代表人：</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委托代理人：</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电话：</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电子邮箱：</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开户银行：</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账号：</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rPr>
                <w:rFonts w:ascii="宋体" w:hAnsi="宋体"/>
                <w:color w:val="auto"/>
                <w:szCs w:val="21"/>
                <w:highlight w:val="none"/>
              </w:rPr>
            </w:pPr>
            <w:r>
              <w:rPr>
                <w:rFonts w:hint="eastAsia" w:ascii="宋体" w:hAnsi="宋体"/>
                <w:color w:val="auto"/>
                <w:szCs w:val="21"/>
                <w:highlight w:val="none"/>
              </w:rPr>
              <w:t>纳税人识别号或统一社会信用代码：</w:t>
            </w:r>
          </w:p>
        </w:tc>
        <w:tc>
          <w:tcPr>
            <w:tcW w:w="4264" w:type="dxa"/>
            <w:noWrap/>
            <w:vAlign w:val="center"/>
          </w:tcPr>
          <w:p>
            <w:pPr>
              <w:snapToGrid w:val="0"/>
              <w:rPr>
                <w:rFonts w:ascii="宋体" w:hAnsi="宋体"/>
                <w:color w:val="auto"/>
                <w:szCs w:val="21"/>
                <w:highlight w:val="none"/>
              </w:rPr>
            </w:pPr>
            <w:r>
              <w:rPr>
                <w:rFonts w:hint="eastAsia" w:ascii="宋体" w:hAnsi="宋体"/>
                <w:color w:val="auto"/>
                <w:szCs w:val="21"/>
                <w:highlight w:val="none"/>
              </w:rPr>
              <w:t>纳税人识别号或统一社会信用代码：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邮政编码：</w:t>
            </w:r>
          </w:p>
        </w:tc>
        <w:tc>
          <w:tcPr>
            <w:tcW w:w="4264" w:type="dxa"/>
            <w:noWrap/>
            <w:vAlign w:val="center"/>
          </w:tcPr>
          <w:p>
            <w:pPr>
              <w:snapToGrid w:val="0"/>
              <w:spacing w:line="400" w:lineRule="exact"/>
              <w:rPr>
                <w:rFonts w:ascii="宋体" w:hAnsi="宋体"/>
                <w:color w:val="auto"/>
                <w:szCs w:val="21"/>
                <w:highlight w:val="none"/>
              </w:rPr>
            </w:pPr>
            <w:r>
              <w:rPr>
                <w:rFonts w:hint="eastAsia" w:ascii="宋体" w:hAnsi="宋体"/>
                <w:color w:val="auto"/>
                <w:szCs w:val="21"/>
                <w:highlight w:val="none"/>
              </w:rPr>
              <w:t>邮政编码：</w:t>
            </w:r>
          </w:p>
        </w:tc>
      </w:tr>
    </w:tbl>
    <w:p>
      <w:pPr>
        <w:rPr>
          <w:color w:val="auto"/>
          <w:szCs w:val="21"/>
          <w:highlight w:val="none"/>
        </w:rPr>
      </w:pPr>
    </w:p>
    <w:p>
      <w:pPr>
        <w:snapToGrid w:val="0"/>
        <w:rPr>
          <w:rFonts w:ascii="宋体" w:hAnsi="宋体"/>
          <w:b/>
          <w:bCs/>
          <w:color w:val="auto"/>
          <w:sz w:val="32"/>
          <w:szCs w:val="32"/>
          <w:highlight w:val="none"/>
        </w:rPr>
      </w:pPr>
      <w:r>
        <w:rPr>
          <w:rFonts w:hint="eastAsia" w:ascii="宋体" w:hAnsi="宋体"/>
          <w:b/>
          <w:color w:val="auto"/>
          <w:sz w:val="24"/>
          <w:szCs w:val="22"/>
          <w:highlight w:val="none"/>
          <w:u w:val="single"/>
        </w:rPr>
        <w:t>备注：签定的合同可按照以下合同条款进行约定，招标文件中各项招标需求均可在签订合同时列入或以更优的投标文件承诺内容列入。如在签定合同过程中部分条款需要调整，经双方沟通、协商同意后调整，最终有效合同以双方签字盖章的文本为准。</w:t>
      </w: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pStyle w:val="8"/>
        <w:rPr>
          <w:rFonts w:ascii="宋体" w:hAnsi="宋体"/>
          <w:bCs/>
          <w:color w:val="auto"/>
          <w:sz w:val="32"/>
          <w:szCs w:val="32"/>
          <w:highlight w:val="none"/>
        </w:rPr>
      </w:pPr>
    </w:p>
    <w:p>
      <w:pPr>
        <w:rPr>
          <w:rFonts w:ascii="宋体" w:hAnsi="宋体"/>
          <w:bCs/>
          <w:color w:val="auto"/>
          <w:sz w:val="32"/>
          <w:szCs w:val="32"/>
          <w:highlight w:val="none"/>
        </w:rPr>
      </w:pPr>
    </w:p>
    <w:p>
      <w:pPr>
        <w:pStyle w:val="8"/>
        <w:rPr>
          <w:rFonts w:ascii="宋体" w:hAnsi="宋体"/>
          <w:bCs/>
          <w:color w:val="auto"/>
          <w:sz w:val="32"/>
          <w:szCs w:val="32"/>
          <w:highlight w:val="none"/>
        </w:rPr>
      </w:pPr>
    </w:p>
    <w:p>
      <w:pPr>
        <w:rPr>
          <w:rFonts w:ascii="宋体" w:hAnsi="宋体"/>
          <w:bCs/>
          <w:color w:val="auto"/>
          <w:sz w:val="32"/>
          <w:szCs w:val="32"/>
          <w:highlight w:val="none"/>
        </w:rPr>
      </w:pPr>
    </w:p>
    <w:p>
      <w:pPr>
        <w:pStyle w:val="8"/>
        <w:rPr>
          <w:color w:val="auto"/>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snapToGrid w:val="0"/>
        <w:jc w:val="center"/>
        <w:rPr>
          <w:rFonts w:ascii="宋体" w:hAnsi="宋体"/>
          <w:bCs/>
          <w:color w:val="auto"/>
          <w:sz w:val="32"/>
          <w:szCs w:val="32"/>
          <w:highlight w:val="none"/>
        </w:rPr>
      </w:pPr>
    </w:p>
    <w:p>
      <w:pPr>
        <w:pStyle w:val="6"/>
        <w:jc w:val="center"/>
        <w:rPr>
          <w:color w:val="auto"/>
          <w:highlight w:val="none"/>
        </w:rPr>
      </w:pPr>
      <w:bookmarkStart w:id="145" w:name="_Toc50406503"/>
      <w:r>
        <w:rPr>
          <w:rFonts w:hint="eastAsia"/>
          <w:color w:val="auto"/>
          <w:highlight w:val="none"/>
        </w:rPr>
        <w:t>第六章　投标文件格式</w:t>
      </w:r>
      <w:bookmarkEnd w:id="145"/>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color w:val="auto"/>
          <w:sz w:val="32"/>
          <w:szCs w:val="20"/>
          <w:highlight w:val="none"/>
        </w:rPr>
      </w:pPr>
    </w:p>
    <w:p>
      <w:pPr>
        <w:snapToGrid w:val="0"/>
        <w:spacing w:before="50" w:after="50"/>
        <w:outlineLvl w:val="1"/>
        <w:rPr>
          <w:rFonts w:ascii="宋体" w:hAnsi="宋体"/>
          <w:b/>
          <w:bCs/>
          <w:color w:val="auto"/>
          <w:sz w:val="24"/>
          <w:szCs w:val="20"/>
          <w:highlight w:val="none"/>
        </w:rPr>
      </w:pPr>
      <w:r>
        <w:rPr>
          <w:rFonts w:ascii="宋体" w:hAnsi="宋体"/>
          <w:color w:val="auto"/>
          <w:sz w:val="32"/>
          <w:szCs w:val="20"/>
          <w:highlight w:val="none"/>
        </w:rPr>
        <w:br w:type="page"/>
      </w:r>
      <w:bookmarkStart w:id="146" w:name="_Toc50406504"/>
      <w:bookmarkStart w:id="147" w:name="_Toc254970556"/>
      <w:bookmarkStart w:id="148" w:name="_Toc254970697"/>
      <w:r>
        <w:rPr>
          <w:rFonts w:hint="eastAsia" w:ascii="宋体" w:hAnsi="宋体"/>
          <w:b/>
          <w:bCs/>
          <w:color w:val="auto"/>
          <w:sz w:val="24"/>
          <w:highlight w:val="none"/>
        </w:rPr>
        <w:t>一、投标文件外层包装封面格式</w:t>
      </w:r>
      <w:bookmarkEnd w:id="146"/>
      <w:bookmarkEnd w:id="147"/>
      <w:bookmarkEnd w:id="148"/>
    </w:p>
    <w:p>
      <w:pPr>
        <w:snapToGrid w:val="0"/>
        <w:spacing w:beforeLines="50" w:after="50"/>
        <w:rPr>
          <w:rFonts w:ascii="宋体" w:hAnsi="宋体"/>
          <w:color w:val="auto"/>
          <w:sz w:val="24"/>
          <w:szCs w:val="20"/>
          <w:highlight w:val="none"/>
        </w:rPr>
      </w:pPr>
    </w:p>
    <w:p>
      <w:pPr>
        <w:snapToGrid w:val="0"/>
        <w:spacing w:beforeLines="50" w:after="50"/>
        <w:jc w:val="center"/>
        <w:rPr>
          <w:rFonts w:ascii="宋体" w:hAnsi="宋体"/>
          <w:bCs/>
          <w:color w:val="auto"/>
          <w:sz w:val="24"/>
          <w:szCs w:val="20"/>
          <w:highlight w:val="none"/>
        </w:rPr>
      </w:pPr>
    </w:p>
    <w:p>
      <w:pPr>
        <w:snapToGrid w:val="0"/>
        <w:spacing w:beforeLines="50" w:after="50"/>
        <w:jc w:val="center"/>
        <w:rPr>
          <w:rFonts w:ascii="宋体" w:hAnsi="宋体"/>
          <w:bCs/>
          <w:color w:val="auto"/>
          <w:sz w:val="32"/>
          <w:szCs w:val="32"/>
          <w:highlight w:val="none"/>
        </w:rPr>
      </w:pPr>
      <w:r>
        <w:rPr>
          <w:rFonts w:hint="eastAsia" w:ascii="宋体" w:hAnsi="宋体"/>
          <w:bCs/>
          <w:color w:val="auto"/>
          <w:sz w:val="32"/>
          <w:szCs w:val="32"/>
          <w:highlight w:val="none"/>
        </w:rPr>
        <w:t>投 标 文 件</w:t>
      </w:r>
    </w:p>
    <w:p>
      <w:pPr>
        <w:snapToGrid w:val="0"/>
        <w:spacing w:beforeLines="50" w:after="50"/>
        <w:rPr>
          <w:rFonts w:ascii="宋体" w:hAnsi="宋体"/>
          <w:bCs/>
          <w:color w:val="auto"/>
          <w:sz w:val="24"/>
          <w:szCs w:val="20"/>
          <w:highlight w:val="none"/>
        </w:rPr>
      </w:pPr>
    </w:p>
    <w:p>
      <w:pPr>
        <w:snapToGrid w:val="0"/>
        <w:spacing w:beforeLines="50" w:after="50"/>
        <w:rPr>
          <w:rFonts w:ascii="宋体" w:hAnsi="宋体"/>
          <w:bCs/>
          <w:color w:val="auto"/>
          <w:sz w:val="24"/>
          <w:szCs w:val="20"/>
          <w:highlight w:val="none"/>
        </w:rPr>
      </w:pPr>
    </w:p>
    <w:p>
      <w:pPr>
        <w:snapToGrid w:val="0"/>
        <w:spacing w:beforeLines="50" w:after="50"/>
        <w:rPr>
          <w:rFonts w:ascii="宋体" w:hAnsi="宋体"/>
          <w:bCs/>
          <w:color w:val="auto"/>
          <w:sz w:val="24"/>
          <w:szCs w:val="20"/>
          <w:highlight w:val="none"/>
        </w:rPr>
      </w:pPr>
    </w:p>
    <w:p>
      <w:pPr>
        <w:snapToGrid w:val="0"/>
        <w:spacing w:beforeLines="50" w:after="50"/>
        <w:rPr>
          <w:rFonts w:ascii="宋体" w:hAnsi="宋体"/>
          <w:bCs/>
          <w:color w:val="auto"/>
          <w:sz w:val="24"/>
          <w:szCs w:val="20"/>
          <w:highlight w:val="none"/>
        </w:rPr>
      </w:pPr>
    </w:p>
    <w:p>
      <w:pPr>
        <w:snapToGrid w:val="0"/>
        <w:spacing w:beforeLines="50" w:after="50"/>
        <w:rPr>
          <w:rFonts w:ascii="宋体" w:hAnsi="宋体"/>
          <w:bCs/>
          <w:color w:val="auto"/>
          <w:sz w:val="24"/>
          <w:szCs w:val="20"/>
          <w:highlight w:val="none"/>
        </w:rPr>
      </w:pPr>
    </w:p>
    <w:p>
      <w:pPr>
        <w:snapToGrid w:val="0"/>
        <w:spacing w:beforeLines="50" w:after="50"/>
        <w:rPr>
          <w:rFonts w:ascii="宋体" w:hAnsi="宋体"/>
          <w:bCs/>
          <w:color w:val="auto"/>
          <w:sz w:val="24"/>
          <w:szCs w:val="20"/>
          <w:highlight w:val="none"/>
        </w:rPr>
      </w:pPr>
    </w:p>
    <w:p>
      <w:pPr>
        <w:snapToGrid w:val="0"/>
        <w:spacing w:beforeLines="50" w:after="50"/>
        <w:ind w:firstLine="360" w:firstLineChars="150"/>
        <w:rPr>
          <w:rFonts w:ascii="宋体" w:hAnsi="宋体"/>
          <w:bCs/>
          <w:color w:val="auto"/>
          <w:sz w:val="24"/>
          <w:highlight w:val="none"/>
        </w:rPr>
      </w:pPr>
      <w:r>
        <w:rPr>
          <w:rFonts w:hint="eastAsia" w:ascii="宋体" w:hAnsi="宋体"/>
          <w:bCs/>
          <w:color w:val="auto"/>
          <w:sz w:val="24"/>
          <w:highlight w:val="none"/>
        </w:rPr>
        <w:t>项目名称：</w:t>
      </w:r>
    </w:p>
    <w:p>
      <w:pPr>
        <w:snapToGrid w:val="0"/>
        <w:spacing w:beforeLines="50" w:after="50"/>
        <w:ind w:firstLine="360" w:firstLineChars="150"/>
        <w:rPr>
          <w:rFonts w:ascii="宋体" w:hAnsi="宋体"/>
          <w:bCs/>
          <w:color w:val="auto"/>
          <w:sz w:val="24"/>
          <w:szCs w:val="20"/>
          <w:highlight w:val="none"/>
        </w:rPr>
      </w:pPr>
    </w:p>
    <w:p>
      <w:pPr>
        <w:snapToGrid w:val="0"/>
        <w:spacing w:beforeLines="50" w:after="50"/>
        <w:ind w:firstLine="360" w:firstLineChars="150"/>
        <w:rPr>
          <w:rFonts w:ascii="宋体" w:hAnsi="宋体"/>
          <w:bCs/>
          <w:color w:val="auto"/>
          <w:sz w:val="24"/>
          <w:highlight w:val="none"/>
        </w:rPr>
      </w:pPr>
      <w:r>
        <w:rPr>
          <w:rFonts w:hint="eastAsia" w:ascii="宋体" w:hAnsi="宋体"/>
          <w:bCs/>
          <w:color w:val="auto"/>
          <w:sz w:val="24"/>
          <w:highlight w:val="none"/>
        </w:rPr>
        <w:t>项目编号：</w:t>
      </w:r>
    </w:p>
    <w:p>
      <w:pPr>
        <w:snapToGrid w:val="0"/>
        <w:spacing w:beforeLines="50" w:after="50"/>
        <w:ind w:firstLine="360" w:firstLineChars="150"/>
        <w:rPr>
          <w:rFonts w:ascii="宋体" w:hAnsi="宋体"/>
          <w:bCs/>
          <w:color w:val="auto"/>
          <w:sz w:val="24"/>
          <w:szCs w:val="20"/>
          <w:highlight w:val="none"/>
        </w:rPr>
      </w:pPr>
    </w:p>
    <w:p>
      <w:pPr>
        <w:snapToGrid w:val="0"/>
        <w:spacing w:beforeLines="50" w:after="50"/>
        <w:ind w:firstLine="360" w:firstLineChars="150"/>
        <w:rPr>
          <w:rFonts w:ascii="宋体" w:hAnsi="宋体"/>
          <w:bCs/>
          <w:color w:val="auto"/>
          <w:sz w:val="24"/>
          <w:highlight w:val="none"/>
        </w:rPr>
      </w:pPr>
      <w:r>
        <w:rPr>
          <w:rFonts w:hint="eastAsia" w:ascii="宋体" w:hAnsi="宋体"/>
          <w:bCs/>
          <w:color w:val="auto"/>
          <w:sz w:val="24"/>
          <w:highlight w:val="none"/>
        </w:rPr>
        <w:t>所投分标：</w:t>
      </w:r>
    </w:p>
    <w:p>
      <w:pPr>
        <w:snapToGrid w:val="0"/>
        <w:spacing w:beforeLines="50" w:after="50"/>
        <w:rPr>
          <w:rFonts w:ascii="宋体" w:hAnsi="宋体"/>
          <w:bCs/>
          <w:color w:val="auto"/>
          <w:sz w:val="24"/>
          <w:szCs w:val="20"/>
          <w:highlight w:val="none"/>
        </w:rPr>
      </w:pPr>
    </w:p>
    <w:p>
      <w:pPr>
        <w:snapToGrid w:val="0"/>
        <w:spacing w:beforeLines="50" w:after="50"/>
        <w:ind w:firstLine="360" w:firstLineChars="150"/>
        <w:rPr>
          <w:rFonts w:ascii="宋体" w:hAnsi="宋体"/>
          <w:bCs/>
          <w:color w:val="auto"/>
          <w:sz w:val="24"/>
          <w:szCs w:val="20"/>
          <w:highlight w:val="none"/>
        </w:rPr>
      </w:pPr>
      <w:r>
        <w:rPr>
          <w:rFonts w:hint="eastAsia" w:ascii="宋体" w:hAnsi="宋体"/>
          <w:bCs/>
          <w:color w:val="auto"/>
          <w:sz w:val="24"/>
          <w:szCs w:val="20"/>
          <w:highlight w:val="none"/>
        </w:rPr>
        <w:t>投标人名称：</w:t>
      </w:r>
    </w:p>
    <w:p>
      <w:pPr>
        <w:snapToGrid w:val="0"/>
        <w:spacing w:beforeLines="50" w:after="50"/>
        <w:ind w:firstLine="360" w:firstLineChars="150"/>
        <w:rPr>
          <w:rFonts w:ascii="宋体" w:hAnsi="宋体"/>
          <w:bCs/>
          <w:color w:val="auto"/>
          <w:sz w:val="24"/>
          <w:szCs w:val="20"/>
          <w:highlight w:val="none"/>
        </w:rPr>
      </w:pPr>
    </w:p>
    <w:p>
      <w:pPr>
        <w:snapToGrid w:val="0"/>
        <w:spacing w:beforeLines="50" w:after="50"/>
        <w:ind w:firstLine="360" w:firstLineChars="150"/>
        <w:rPr>
          <w:rFonts w:ascii="宋体" w:hAnsi="宋体"/>
          <w:bCs/>
          <w:color w:val="auto"/>
          <w:sz w:val="24"/>
          <w:szCs w:val="20"/>
          <w:highlight w:val="none"/>
        </w:rPr>
      </w:pPr>
      <w:r>
        <w:rPr>
          <w:rFonts w:hint="eastAsia" w:ascii="宋体" w:hAnsi="宋体"/>
          <w:bCs/>
          <w:color w:val="auto"/>
          <w:sz w:val="24"/>
          <w:szCs w:val="20"/>
          <w:highlight w:val="none"/>
        </w:rPr>
        <w:t>投标人地址：</w:t>
      </w:r>
    </w:p>
    <w:p>
      <w:pPr>
        <w:snapToGrid w:val="0"/>
        <w:spacing w:beforeLines="50" w:after="50"/>
        <w:ind w:firstLine="360" w:firstLineChars="150"/>
        <w:rPr>
          <w:rFonts w:ascii="宋体" w:hAnsi="宋体"/>
          <w:bCs/>
          <w:color w:val="auto"/>
          <w:sz w:val="24"/>
          <w:szCs w:val="20"/>
          <w:highlight w:val="none"/>
        </w:rPr>
      </w:pPr>
    </w:p>
    <w:p>
      <w:pPr>
        <w:snapToGrid w:val="0"/>
        <w:spacing w:beforeLines="50" w:after="50"/>
        <w:ind w:firstLine="360" w:firstLineChars="150"/>
        <w:jc w:val="center"/>
        <w:rPr>
          <w:rFonts w:ascii="宋体" w:hAnsi="宋体"/>
          <w:bCs/>
          <w:color w:val="auto"/>
          <w:sz w:val="24"/>
          <w:highlight w:val="none"/>
        </w:rPr>
      </w:pPr>
      <w:r>
        <w:rPr>
          <w:rFonts w:hint="eastAsia" w:ascii="宋体" w:hAnsi="宋体"/>
          <w:bCs/>
          <w:color w:val="auto"/>
          <w:sz w:val="24"/>
          <w:szCs w:val="20"/>
          <w:highlight w:val="none"/>
        </w:rPr>
        <w:t>开标时启封</w:t>
      </w:r>
    </w:p>
    <w:p>
      <w:pPr>
        <w:snapToGrid w:val="0"/>
        <w:spacing w:beforeLines="50" w:after="50"/>
        <w:ind w:firstLine="4080" w:firstLineChars="1700"/>
        <w:rPr>
          <w:rFonts w:ascii="宋体" w:hAnsi="宋体"/>
          <w:bCs/>
          <w:color w:val="auto"/>
          <w:sz w:val="24"/>
          <w:szCs w:val="20"/>
          <w:highlight w:val="none"/>
        </w:rPr>
      </w:pPr>
    </w:p>
    <w:p>
      <w:pPr>
        <w:snapToGrid w:val="0"/>
        <w:spacing w:beforeLines="50" w:after="50"/>
        <w:ind w:firstLine="645"/>
        <w:jc w:val="left"/>
        <w:rPr>
          <w:rFonts w:ascii="宋体" w:hAnsi="宋体"/>
          <w:bCs/>
          <w:color w:val="auto"/>
          <w:sz w:val="24"/>
          <w:szCs w:val="20"/>
          <w:highlight w:val="none"/>
        </w:rPr>
      </w:pPr>
      <w:r>
        <w:rPr>
          <w:rFonts w:hint="eastAsia" w:ascii="宋体" w:hAnsi="宋体"/>
          <w:bCs/>
          <w:color w:val="auto"/>
          <w:sz w:val="24"/>
          <w:highlight w:val="none"/>
        </w:rPr>
        <w:t xml:space="preserve">                        年    月    日</w:t>
      </w:r>
    </w:p>
    <w:p>
      <w:pPr>
        <w:snapToGrid w:val="0"/>
        <w:spacing w:beforeLines="50" w:after="50"/>
        <w:jc w:val="center"/>
        <w:outlineLvl w:val="1"/>
        <w:rPr>
          <w:rFonts w:ascii="宋体" w:hAnsi="宋体"/>
          <w:color w:val="auto"/>
          <w:highlight w:val="none"/>
        </w:rPr>
      </w:pPr>
    </w:p>
    <w:p>
      <w:pPr>
        <w:snapToGrid w:val="0"/>
        <w:spacing w:beforeLines="50" w:after="50"/>
        <w:jc w:val="center"/>
        <w:outlineLvl w:val="1"/>
        <w:rPr>
          <w:rFonts w:ascii="宋体" w:hAnsi="宋体"/>
          <w:color w:val="auto"/>
          <w:highlight w:val="none"/>
        </w:rPr>
      </w:pPr>
    </w:p>
    <w:p>
      <w:pPr>
        <w:snapToGrid w:val="0"/>
        <w:spacing w:beforeLines="50" w:after="50"/>
        <w:jc w:val="center"/>
        <w:outlineLvl w:val="1"/>
        <w:rPr>
          <w:rFonts w:ascii="宋体" w:hAnsi="宋体"/>
          <w:color w:val="auto"/>
          <w:highlight w:val="none"/>
        </w:rPr>
      </w:pPr>
    </w:p>
    <w:p>
      <w:pPr>
        <w:snapToGrid w:val="0"/>
        <w:spacing w:beforeLines="50" w:after="50"/>
        <w:jc w:val="center"/>
        <w:outlineLvl w:val="1"/>
        <w:rPr>
          <w:rFonts w:ascii="宋体" w:hAnsi="宋体"/>
          <w:color w:val="auto"/>
          <w:highlight w:val="none"/>
        </w:rPr>
      </w:pPr>
      <w:r>
        <w:rPr>
          <w:rFonts w:ascii="宋体" w:hAnsi="宋体"/>
          <w:color w:val="auto"/>
          <w:highlight w:val="none"/>
        </w:rPr>
        <w:br w:type="page"/>
      </w:r>
    </w:p>
    <w:p>
      <w:pPr>
        <w:snapToGrid w:val="0"/>
        <w:spacing w:beforeLines="50" w:after="50"/>
        <w:outlineLvl w:val="1"/>
        <w:rPr>
          <w:rFonts w:ascii="宋体" w:hAnsi="宋体"/>
          <w:b/>
          <w:bCs/>
          <w:color w:val="auto"/>
          <w:sz w:val="24"/>
          <w:highlight w:val="none"/>
        </w:rPr>
      </w:pPr>
      <w:bookmarkStart w:id="149" w:name="_Toc50406505"/>
      <w:bookmarkStart w:id="150" w:name="_Toc254970557"/>
      <w:bookmarkStart w:id="151" w:name="_Toc254970698"/>
      <w:r>
        <w:rPr>
          <w:rFonts w:hint="eastAsia" w:ascii="宋体" w:hAnsi="宋体"/>
          <w:b/>
          <w:bCs/>
          <w:color w:val="auto"/>
          <w:sz w:val="24"/>
          <w:highlight w:val="none"/>
        </w:rPr>
        <w:t>二、报价文件格式</w:t>
      </w:r>
      <w:bookmarkEnd w:id="149"/>
    </w:p>
    <w:p>
      <w:pPr>
        <w:snapToGrid w:val="0"/>
        <w:spacing w:beforeLines="50" w:after="50"/>
        <w:ind w:left="142"/>
        <w:jc w:val="left"/>
        <w:rPr>
          <w:rFonts w:ascii="宋体" w:hAnsi="宋体"/>
          <w:color w:val="auto"/>
          <w:sz w:val="24"/>
          <w:szCs w:val="20"/>
          <w:highlight w:val="none"/>
        </w:rPr>
      </w:pPr>
      <w:r>
        <w:rPr>
          <w:rFonts w:hint="eastAsia" w:ascii="宋体" w:hAnsi="宋体"/>
          <w:b/>
          <w:color w:val="auto"/>
          <w:sz w:val="24"/>
          <w:highlight w:val="none"/>
        </w:rPr>
        <w:t xml:space="preserve">1. 报价文件封面格式： </w:t>
      </w:r>
    </w:p>
    <w:p>
      <w:pPr>
        <w:snapToGrid w:val="0"/>
        <w:spacing w:beforeLines="50" w:after="50" w:line="400" w:lineRule="exact"/>
        <w:rPr>
          <w:rFonts w:ascii="宋体" w:hAnsi="宋体"/>
          <w:bCs/>
          <w:color w:val="auto"/>
          <w:sz w:val="32"/>
          <w:szCs w:val="20"/>
          <w:highlight w:val="none"/>
        </w:rPr>
      </w:pPr>
      <w:r>
        <w:rPr>
          <w:rFonts w:hint="eastAsia" w:ascii="宋体" w:hAnsi="宋体"/>
          <w:bCs/>
          <w:color w:val="auto"/>
          <w:highlight w:val="none"/>
        </w:rPr>
        <w:t>正本/或副本</w:t>
      </w:r>
    </w:p>
    <w:p>
      <w:pPr>
        <w:snapToGrid w:val="0"/>
        <w:spacing w:beforeLines="50" w:after="50" w:line="400" w:lineRule="exact"/>
        <w:jc w:val="center"/>
        <w:rPr>
          <w:rFonts w:ascii="宋体" w:hAnsi="宋体"/>
          <w:bCs/>
          <w:color w:val="auto"/>
          <w:sz w:val="24"/>
          <w:szCs w:val="20"/>
          <w:highlight w:val="none"/>
        </w:rPr>
      </w:pPr>
    </w:p>
    <w:p>
      <w:pPr>
        <w:snapToGrid w:val="0"/>
        <w:spacing w:beforeLines="50" w:after="50" w:line="400" w:lineRule="exact"/>
        <w:jc w:val="center"/>
        <w:rPr>
          <w:rFonts w:ascii="宋体" w:hAnsi="宋体"/>
          <w:b/>
          <w:bCs/>
          <w:color w:val="auto"/>
          <w:sz w:val="32"/>
          <w:szCs w:val="32"/>
          <w:highlight w:val="none"/>
        </w:rPr>
      </w:pPr>
      <w:r>
        <w:rPr>
          <w:rFonts w:hint="eastAsia" w:ascii="宋体" w:hAnsi="宋体"/>
          <w:b/>
          <w:bCs/>
          <w:color w:val="auto"/>
          <w:sz w:val="32"/>
          <w:szCs w:val="32"/>
          <w:highlight w:val="none"/>
        </w:rPr>
        <w:t>报价文件</w:t>
      </w: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rPr>
          <w:rFonts w:ascii="宋体" w:hAnsi="宋体"/>
          <w:bCs/>
          <w:color w:val="auto"/>
          <w:sz w:val="24"/>
          <w:szCs w:val="20"/>
          <w:highlight w:val="none"/>
        </w:rPr>
      </w:pPr>
    </w:p>
    <w:p>
      <w:pPr>
        <w:snapToGrid w:val="0"/>
        <w:spacing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 xml:space="preserve">项目名称： </w:t>
      </w:r>
    </w:p>
    <w:p>
      <w:pPr>
        <w:snapToGrid w:val="0"/>
        <w:spacing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 xml:space="preserve">项目编号： </w:t>
      </w:r>
    </w:p>
    <w:p>
      <w:pPr>
        <w:snapToGrid w:val="0"/>
        <w:spacing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所投分标：</w:t>
      </w:r>
    </w:p>
    <w:p>
      <w:pPr>
        <w:snapToGrid w:val="0"/>
        <w:spacing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投标人名称：</w:t>
      </w:r>
    </w:p>
    <w:p>
      <w:pPr>
        <w:snapToGrid w:val="0"/>
        <w:spacing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投标人地址：</w:t>
      </w:r>
    </w:p>
    <w:p>
      <w:pPr>
        <w:pStyle w:val="10"/>
        <w:snapToGrid w:val="0"/>
        <w:spacing w:before="50" w:after="50" w:line="400" w:lineRule="exact"/>
        <w:ind w:firstLine="960" w:firstLineChars="400"/>
        <w:rPr>
          <w:rFonts w:ascii="宋体" w:hAnsi="宋体"/>
          <w:bCs/>
          <w:color w:val="auto"/>
          <w:sz w:val="24"/>
          <w:szCs w:val="24"/>
          <w:highlight w:val="none"/>
        </w:rPr>
      </w:pPr>
    </w:p>
    <w:p>
      <w:pPr>
        <w:snapToGrid w:val="0"/>
        <w:spacing w:beforeLines="50" w:after="50" w:line="400" w:lineRule="exact"/>
        <w:jc w:val="center"/>
        <w:rPr>
          <w:rFonts w:ascii="宋体" w:hAnsi="宋体"/>
          <w:color w:val="auto"/>
          <w:sz w:val="30"/>
          <w:szCs w:val="20"/>
          <w:highlight w:val="none"/>
        </w:rPr>
      </w:pPr>
      <w:r>
        <w:rPr>
          <w:rFonts w:hint="eastAsia" w:ascii="宋体" w:hAnsi="宋体"/>
          <w:color w:val="auto"/>
          <w:sz w:val="24"/>
          <w:highlight w:val="none"/>
        </w:rPr>
        <w:t xml:space="preserve">                                         年  月  日</w:t>
      </w:r>
    </w:p>
    <w:p>
      <w:pPr>
        <w:snapToGrid w:val="0"/>
        <w:spacing w:beforeLines="50" w:after="50"/>
        <w:jc w:val="left"/>
        <w:rPr>
          <w:rFonts w:ascii="宋体" w:hAnsi="宋体"/>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2.</w:t>
      </w:r>
      <w:r>
        <w:rPr>
          <w:rFonts w:hint="eastAsia" w:ascii="宋体" w:hAnsi="宋体"/>
          <w:b/>
          <w:bCs/>
          <w:color w:val="auto"/>
          <w:sz w:val="24"/>
          <w:highlight w:val="none"/>
        </w:rPr>
        <w:t>报价文件目录</w:t>
      </w:r>
    </w:p>
    <w:p>
      <w:pPr>
        <w:snapToGrid w:val="0"/>
        <w:spacing w:before="50" w:afterLines="50"/>
        <w:jc w:val="left"/>
        <w:rPr>
          <w:rFonts w:ascii="宋体" w:hAnsi="宋体"/>
          <w:b/>
          <w:color w:val="auto"/>
          <w:sz w:val="24"/>
          <w:highlight w:val="none"/>
        </w:rPr>
      </w:pPr>
      <w:r>
        <w:rPr>
          <w:rFonts w:hint="eastAsia" w:ascii="宋体" w:hAnsi="宋体"/>
          <w:color w:val="auto"/>
          <w:szCs w:val="21"/>
          <w:highlight w:val="none"/>
        </w:rPr>
        <w:t>根据招标文件规定及投标人提供的材料自行编写目录。</w:t>
      </w:r>
    </w:p>
    <w:p>
      <w:pPr>
        <w:snapToGrid w:val="0"/>
        <w:spacing w:beforeLines="50" w:after="50"/>
        <w:rPr>
          <w:rFonts w:ascii="宋体" w:hAnsi="宋体"/>
          <w:b/>
          <w:color w:val="auto"/>
          <w:sz w:val="24"/>
          <w:highlight w:val="none"/>
        </w:rPr>
      </w:pPr>
    </w:p>
    <w:p>
      <w:pPr>
        <w:snapToGrid w:val="0"/>
        <w:spacing w:beforeLines="50" w:after="50"/>
        <w:rPr>
          <w:rFonts w:ascii="宋体" w:hAnsi="宋体"/>
          <w:b/>
          <w:color w:val="auto"/>
          <w:sz w:val="24"/>
          <w:highlight w:val="none"/>
        </w:rPr>
      </w:pPr>
    </w:p>
    <w:p>
      <w:pPr>
        <w:snapToGrid w:val="0"/>
        <w:spacing w:beforeLines="50" w:after="50"/>
        <w:rPr>
          <w:rFonts w:ascii="宋体" w:hAnsi="宋体"/>
          <w:b/>
          <w:color w:val="auto"/>
          <w:sz w:val="24"/>
          <w:highlight w:val="none"/>
        </w:rPr>
      </w:pPr>
    </w:p>
    <w:p>
      <w:pPr>
        <w:snapToGrid w:val="0"/>
        <w:spacing w:beforeLines="50" w:after="50"/>
        <w:ind w:left="142"/>
        <w:jc w:val="left"/>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3. 投标函格式：</w:t>
      </w:r>
    </w:p>
    <w:p>
      <w:pPr>
        <w:snapToGrid w:val="0"/>
        <w:spacing w:beforeLines="50" w:after="50" w:line="320" w:lineRule="exact"/>
        <w:jc w:val="center"/>
        <w:rPr>
          <w:rFonts w:ascii="宋体" w:hAnsi="宋体"/>
          <w:b/>
          <w:color w:val="auto"/>
          <w:sz w:val="32"/>
          <w:szCs w:val="32"/>
          <w:highlight w:val="none"/>
        </w:rPr>
      </w:pPr>
      <w:r>
        <w:rPr>
          <w:rFonts w:hint="eastAsia" w:ascii="宋体" w:hAnsi="宋体"/>
          <w:b/>
          <w:color w:val="auto"/>
          <w:sz w:val="32"/>
          <w:szCs w:val="32"/>
          <w:highlight w:val="none"/>
        </w:rPr>
        <w:t>投 标 函</w:t>
      </w:r>
    </w:p>
    <w:p>
      <w:pPr>
        <w:snapToGrid w:val="0"/>
        <w:spacing w:beforeLines="50" w:after="50" w:line="320" w:lineRule="exact"/>
        <w:jc w:val="center"/>
        <w:rPr>
          <w:rFonts w:ascii="宋体" w:hAnsi="宋体"/>
          <w:b/>
          <w:color w:val="auto"/>
          <w:sz w:val="24"/>
          <w:szCs w:val="20"/>
          <w:highlight w:val="none"/>
        </w:rPr>
      </w:pPr>
    </w:p>
    <w:p>
      <w:pPr>
        <w:snapToGrid w:val="0"/>
        <w:spacing w:line="360" w:lineRule="exact"/>
        <w:rPr>
          <w:rFonts w:ascii="宋体" w:hAnsi="宋体"/>
          <w:color w:val="auto"/>
          <w:sz w:val="24"/>
          <w:highlight w:val="none"/>
        </w:rPr>
      </w:pPr>
      <w:r>
        <w:rPr>
          <w:rFonts w:hint="eastAsia" w:ascii="宋体" w:hAnsi="宋体"/>
          <w:color w:val="auto"/>
          <w:sz w:val="24"/>
          <w:highlight w:val="none"/>
        </w:rPr>
        <w:t>致：</w:t>
      </w:r>
      <w:r>
        <w:rPr>
          <w:rFonts w:hint="eastAsia" w:ascii="宋体" w:hAnsi="宋体"/>
          <w:color w:val="auto"/>
          <w:sz w:val="24"/>
          <w:highlight w:val="none"/>
          <w:u w:val="single"/>
        </w:rPr>
        <w:t>采购人及采购代理名称</w:t>
      </w:r>
      <w:r>
        <w:rPr>
          <w:rFonts w:hint="eastAsia" w:ascii="宋体" w:hAnsi="宋体"/>
          <w:color w:val="auto"/>
          <w:sz w:val="24"/>
          <w:highlight w:val="none"/>
        </w:rPr>
        <w:t>：</w:t>
      </w:r>
    </w:p>
    <w:p>
      <w:pPr>
        <w:snapToGrid w:val="0"/>
        <w:spacing w:line="360" w:lineRule="exact"/>
        <w:ind w:firstLine="480"/>
        <w:rPr>
          <w:rFonts w:ascii="宋体" w:hAnsi="宋体"/>
          <w:color w:val="auto"/>
          <w:sz w:val="24"/>
          <w:highlight w:val="none"/>
        </w:rPr>
      </w:pPr>
      <w:r>
        <w:rPr>
          <w:rFonts w:hint="eastAsia" w:ascii="宋体" w:hAnsi="宋体"/>
          <w:color w:val="auto"/>
          <w:sz w:val="24"/>
          <w:highlight w:val="none"/>
        </w:rPr>
        <w:t>根据贵方</w:t>
      </w:r>
      <w:r>
        <w:rPr>
          <w:rFonts w:hint="eastAsia" w:ascii="宋体" w:hAnsi="宋体"/>
          <w:color w:val="auto"/>
          <w:sz w:val="24"/>
          <w:highlight w:val="none"/>
          <w:u w:val="single"/>
        </w:rPr>
        <w:t xml:space="preserve"> 项目名称</w:t>
      </w:r>
      <w:r>
        <w:rPr>
          <w:rFonts w:hint="eastAsia" w:ascii="宋体" w:hAnsi="宋体"/>
          <w:color w:val="auto"/>
          <w:sz w:val="24"/>
          <w:highlight w:val="none"/>
        </w:rPr>
        <w:t>（项目编号：）的招标公告，签字代表</w:t>
      </w:r>
      <w:r>
        <w:rPr>
          <w:rFonts w:hint="eastAsia" w:ascii="宋体" w:hAnsi="宋体"/>
          <w:color w:val="auto"/>
          <w:sz w:val="24"/>
          <w:highlight w:val="none"/>
          <w:u w:val="single"/>
        </w:rPr>
        <w:t>（姓名）</w:t>
      </w:r>
      <w:r>
        <w:rPr>
          <w:rFonts w:hint="eastAsia" w:ascii="宋体" w:hAnsi="宋体"/>
          <w:color w:val="auto"/>
          <w:sz w:val="24"/>
          <w:highlight w:val="none"/>
        </w:rPr>
        <w:t>经正式授权并代表投标人</w:t>
      </w:r>
      <w:r>
        <w:rPr>
          <w:rFonts w:hint="eastAsia" w:ascii="宋体" w:hAnsi="宋体"/>
          <w:color w:val="auto"/>
          <w:sz w:val="24"/>
          <w:highlight w:val="none"/>
          <w:u w:val="single"/>
        </w:rPr>
        <w:t>（投标人名称）</w:t>
      </w:r>
      <w:r>
        <w:rPr>
          <w:rFonts w:hint="eastAsia" w:ascii="宋体" w:hAnsi="宋体"/>
          <w:color w:val="auto"/>
          <w:sz w:val="24"/>
          <w:highlight w:val="none"/>
        </w:rPr>
        <w:t>提交投标文件。</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据此函，签字代表宣布同意如下：</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1.我方已详细审查全部“招标文件”，包括修改文件（如有的话）以及全部参考资料和有关附件，已经了解我方对于招标文件、采购过程、采购结果有依法进行询问、质疑、投诉的权利及相关渠道和要求。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2.我方在投标之前已经与贵方进行了充分的沟通，完全理解并接受招标文件的各项规定和要求，对招标文件的合理性、合法性不再有异议。</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3.本投标有效期120日。</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4.如中标，本投标文件至本项目合同履行完毕止均保持有效，我方将按“招标文件”及政府采购法律、法规的规定履行合同责任和义务。</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5.我方同意按照贵方要求提供与投标有关的一切数据或资料。</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6.我方向贵方提交的所有投标文件、资料都是准确的和真实的。</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7.以上事项如有虚假或隐瞒，我方愿意承担一切后果，并不再寻求任何旨在减轻或免除法律责任的辩解。</w:t>
      </w:r>
    </w:p>
    <w:p>
      <w:pPr>
        <w:spacing w:line="360" w:lineRule="exact"/>
        <w:ind w:firstLine="480" w:firstLineChars="200"/>
        <w:rPr>
          <w:rFonts w:ascii="宋体" w:hAnsi="宋体"/>
          <w:color w:val="auto"/>
          <w:sz w:val="24"/>
          <w:highlight w:val="none"/>
        </w:rPr>
      </w:pPr>
      <w:r>
        <w:rPr>
          <w:rFonts w:hint="eastAsia" w:ascii="宋体" w:hAnsi="宋体"/>
          <w:color w:val="auto"/>
          <w:sz w:val="24"/>
          <w:highlight w:val="none"/>
        </w:rPr>
        <w:t>8.根据</w:t>
      </w:r>
      <w:r>
        <w:rPr>
          <w:rFonts w:ascii="宋体" w:hAnsi="宋体"/>
          <w:color w:val="auto"/>
          <w:sz w:val="24"/>
          <w:highlight w:val="none"/>
        </w:rPr>
        <w:t>《中华人民共和国政府采购法实施条例》第五十条要求对政府采购合同进行公告</w:t>
      </w:r>
      <w:r>
        <w:rPr>
          <w:rFonts w:hint="eastAsia" w:ascii="宋体" w:hAnsi="宋体"/>
          <w:color w:val="auto"/>
          <w:sz w:val="24"/>
          <w:highlight w:val="none"/>
        </w:rPr>
        <w:t>，</w:t>
      </w:r>
      <w:r>
        <w:rPr>
          <w:rFonts w:ascii="宋体" w:hAnsi="宋体"/>
          <w:color w:val="auto"/>
          <w:sz w:val="24"/>
          <w:highlight w:val="none"/>
        </w:rPr>
        <w:t>但政府采购合同中涉及国家秘密、商业秘密的内容除外。</w:t>
      </w:r>
      <w:r>
        <w:rPr>
          <w:rFonts w:hint="eastAsia" w:ascii="宋体" w:hAnsi="宋体"/>
          <w:color w:val="auto"/>
          <w:sz w:val="24"/>
          <w:highlight w:val="none"/>
        </w:rPr>
        <w:t>我方就对本次投标文件进行注明如下：（两项内容中必须选择一项）</w:t>
      </w:r>
    </w:p>
    <w:p>
      <w:pPr>
        <w:spacing w:line="360" w:lineRule="exact"/>
        <w:ind w:firstLine="480" w:firstLineChars="200"/>
        <w:rPr>
          <w:rFonts w:ascii="宋体" w:hAnsi="宋体"/>
          <w:color w:val="auto"/>
          <w:sz w:val="24"/>
          <w:highlight w:val="none"/>
        </w:rPr>
      </w:pPr>
      <w:r>
        <w:rPr>
          <w:rFonts w:hint="eastAsia" w:ascii="宋体" w:hAnsi="宋体"/>
          <w:color w:val="auto"/>
          <w:sz w:val="24"/>
          <w:highlight w:val="none"/>
        </w:rPr>
        <w:t>□我方本次投标文件</w:t>
      </w:r>
      <w:r>
        <w:rPr>
          <w:rFonts w:ascii="宋体" w:hAnsi="宋体" w:cs="宋体"/>
          <w:color w:val="auto"/>
          <w:kern w:val="0"/>
          <w:sz w:val="24"/>
          <w:highlight w:val="none"/>
        </w:rPr>
        <w:t>内容中</w:t>
      </w:r>
      <w:r>
        <w:rPr>
          <w:rFonts w:hint="eastAsia" w:ascii="宋体" w:hAnsi="宋体"/>
          <w:color w:val="auto"/>
          <w:sz w:val="24"/>
          <w:highlight w:val="none"/>
        </w:rPr>
        <w:t>未</w:t>
      </w:r>
      <w:r>
        <w:rPr>
          <w:rFonts w:ascii="宋体" w:hAnsi="宋体" w:cs="宋体"/>
          <w:color w:val="auto"/>
          <w:kern w:val="0"/>
          <w:sz w:val="24"/>
          <w:highlight w:val="none"/>
        </w:rPr>
        <w:t>涉及商业秘密</w:t>
      </w:r>
      <w:r>
        <w:rPr>
          <w:rFonts w:hint="eastAsia" w:ascii="宋体" w:hAnsi="宋体" w:cs="宋体"/>
          <w:color w:val="auto"/>
          <w:kern w:val="0"/>
          <w:sz w:val="24"/>
          <w:highlight w:val="none"/>
        </w:rPr>
        <w:t>；</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□我方本次投标文件</w:t>
      </w:r>
      <w:r>
        <w:rPr>
          <w:rFonts w:ascii="宋体" w:hAnsi="宋体" w:cs="宋体"/>
          <w:color w:val="auto"/>
          <w:kern w:val="0"/>
          <w:sz w:val="24"/>
          <w:highlight w:val="none"/>
        </w:rPr>
        <w:t>涉及商业秘密</w:t>
      </w:r>
      <w:r>
        <w:rPr>
          <w:rFonts w:hint="eastAsia" w:ascii="宋体" w:hAnsi="宋体" w:cs="宋体"/>
          <w:color w:val="auto"/>
          <w:kern w:val="0"/>
          <w:sz w:val="24"/>
          <w:highlight w:val="none"/>
        </w:rPr>
        <w:t>的</w:t>
      </w:r>
      <w:r>
        <w:rPr>
          <w:rFonts w:ascii="宋体" w:hAnsi="宋体" w:cs="宋体"/>
          <w:color w:val="auto"/>
          <w:kern w:val="0"/>
          <w:sz w:val="24"/>
          <w:highlight w:val="none"/>
        </w:rPr>
        <w:t>内容</w:t>
      </w:r>
      <w:r>
        <w:rPr>
          <w:rFonts w:hint="eastAsia" w:ascii="宋体" w:hAnsi="宋体" w:cs="宋体"/>
          <w:color w:val="auto"/>
          <w:kern w:val="0"/>
          <w:sz w:val="24"/>
          <w:highlight w:val="none"/>
        </w:rPr>
        <w:t>有：；</w:t>
      </w:r>
    </w:p>
    <w:p>
      <w:pPr>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9.与本投标有关的一切正式往来信函请寄：</w:t>
      </w:r>
    </w:p>
    <w:p>
      <w:pPr>
        <w:snapToGrid w:val="0"/>
        <w:spacing w:line="360" w:lineRule="exact"/>
        <w:rPr>
          <w:rFonts w:ascii="宋体" w:hAnsi="宋体"/>
          <w:color w:val="auto"/>
          <w:sz w:val="24"/>
          <w:highlight w:val="none"/>
          <w:u w:val="single"/>
        </w:rPr>
      </w:pPr>
      <w:r>
        <w:rPr>
          <w:rFonts w:hint="eastAsia" w:ascii="宋体" w:hAnsi="宋体"/>
          <w:color w:val="auto"/>
          <w:sz w:val="24"/>
          <w:highlight w:val="none"/>
        </w:rPr>
        <w:t>地址：            邮编：</w:t>
      </w:r>
    </w:p>
    <w:p>
      <w:pPr>
        <w:snapToGrid w:val="0"/>
        <w:spacing w:line="360" w:lineRule="exact"/>
        <w:rPr>
          <w:rFonts w:ascii="宋体" w:hAnsi="宋体"/>
          <w:color w:val="auto"/>
          <w:sz w:val="24"/>
          <w:highlight w:val="none"/>
        </w:rPr>
      </w:pPr>
      <w:r>
        <w:rPr>
          <w:rFonts w:hint="eastAsia" w:ascii="宋体" w:hAnsi="宋体"/>
          <w:color w:val="auto"/>
          <w:sz w:val="24"/>
          <w:highlight w:val="none"/>
        </w:rPr>
        <w:t>电话：            传真：</w:t>
      </w:r>
    </w:p>
    <w:p>
      <w:pPr>
        <w:snapToGrid w:val="0"/>
        <w:spacing w:line="360" w:lineRule="exact"/>
        <w:rPr>
          <w:rFonts w:ascii="宋体" w:hAnsi="宋体"/>
          <w:color w:val="auto"/>
          <w:sz w:val="24"/>
          <w:highlight w:val="none"/>
        </w:rPr>
      </w:pPr>
      <w:r>
        <w:rPr>
          <w:rFonts w:hint="eastAsia" w:ascii="宋体" w:hAnsi="宋体"/>
          <w:color w:val="auto"/>
          <w:sz w:val="24"/>
          <w:highlight w:val="none"/>
        </w:rPr>
        <w:t>投标人名称:</w:t>
      </w:r>
    </w:p>
    <w:p>
      <w:pPr>
        <w:snapToGrid w:val="0"/>
        <w:spacing w:line="360" w:lineRule="exact"/>
        <w:jc w:val="left"/>
        <w:rPr>
          <w:rFonts w:ascii="宋体" w:hAnsi="宋体"/>
          <w:color w:val="auto"/>
          <w:sz w:val="24"/>
          <w:highlight w:val="none"/>
        </w:rPr>
      </w:pPr>
      <w:r>
        <w:rPr>
          <w:rFonts w:hint="eastAsia" w:ascii="宋体" w:hAnsi="宋体"/>
          <w:color w:val="auto"/>
          <w:sz w:val="24"/>
          <w:highlight w:val="none"/>
        </w:rPr>
        <w:t xml:space="preserve">开户银行：   </w:t>
      </w:r>
    </w:p>
    <w:p>
      <w:pPr>
        <w:snapToGrid w:val="0"/>
        <w:spacing w:line="360" w:lineRule="exact"/>
        <w:jc w:val="left"/>
        <w:rPr>
          <w:rFonts w:ascii="宋体" w:hAnsi="宋体"/>
          <w:color w:val="auto"/>
          <w:sz w:val="24"/>
          <w:highlight w:val="none"/>
        </w:rPr>
      </w:pPr>
      <w:r>
        <w:rPr>
          <w:rFonts w:hint="eastAsia" w:ascii="宋体" w:hAnsi="宋体"/>
          <w:color w:val="auto"/>
          <w:sz w:val="24"/>
          <w:highlight w:val="none"/>
        </w:rPr>
        <w:t>银行帐号：</w:t>
      </w:r>
    </w:p>
    <w:p>
      <w:pPr>
        <w:snapToGrid w:val="0"/>
        <w:spacing w:line="360" w:lineRule="exact"/>
        <w:jc w:val="left"/>
        <w:rPr>
          <w:rFonts w:ascii="宋体" w:hAnsi="宋体"/>
          <w:color w:val="auto"/>
          <w:sz w:val="24"/>
          <w:highlight w:val="none"/>
        </w:rPr>
      </w:pPr>
      <w:r>
        <w:rPr>
          <w:rFonts w:hint="eastAsia" w:ascii="宋体" w:hAnsi="宋体"/>
          <w:color w:val="auto"/>
          <w:sz w:val="24"/>
          <w:highlight w:val="none"/>
        </w:rPr>
        <w:t xml:space="preserve">法定代表人或委托代理人签字:___________ </w:t>
      </w:r>
    </w:p>
    <w:p>
      <w:pPr>
        <w:pStyle w:val="25"/>
        <w:snapToGrid w:val="0"/>
        <w:spacing w:before="295" w:after="295" w:line="360" w:lineRule="exact"/>
        <w:ind w:firstLine="6840" w:firstLineChars="2850"/>
        <w:rPr>
          <w:rFonts w:hAnsi="宋体"/>
          <w:color w:val="auto"/>
          <w:sz w:val="24"/>
          <w:szCs w:val="24"/>
          <w:highlight w:val="none"/>
        </w:rPr>
      </w:pPr>
    </w:p>
    <w:p>
      <w:pPr>
        <w:pStyle w:val="25"/>
        <w:snapToGrid w:val="0"/>
        <w:spacing w:before="295" w:after="295" w:line="360" w:lineRule="exact"/>
        <w:ind w:firstLine="6840" w:firstLineChars="2850"/>
        <w:rPr>
          <w:rFonts w:hAnsi="宋体"/>
          <w:color w:val="auto"/>
          <w:sz w:val="24"/>
          <w:szCs w:val="24"/>
          <w:highlight w:val="none"/>
          <w:u w:val="single"/>
        </w:rPr>
      </w:pPr>
      <w:r>
        <w:rPr>
          <w:rFonts w:hint="eastAsia" w:hAnsi="宋体"/>
          <w:color w:val="auto"/>
          <w:sz w:val="24"/>
          <w:szCs w:val="24"/>
          <w:highlight w:val="none"/>
          <w:u w:val="single"/>
        </w:rPr>
        <w:t>（公章）</w:t>
      </w:r>
    </w:p>
    <w:p>
      <w:pPr>
        <w:pStyle w:val="25"/>
        <w:snapToGrid w:val="0"/>
        <w:spacing w:before="295" w:after="295" w:line="360" w:lineRule="exact"/>
        <w:ind w:right="480" w:firstLine="7080" w:firstLineChars="2950"/>
        <w:rPr>
          <w:rFonts w:hAnsi="宋体"/>
          <w:color w:val="auto"/>
          <w:sz w:val="24"/>
          <w:highlight w:val="none"/>
        </w:rPr>
      </w:pPr>
      <w:r>
        <w:rPr>
          <w:rFonts w:hint="eastAsia" w:hAnsi="宋体"/>
          <w:color w:val="auto"/>
          <w:sz w:val="24"/>
          <w:szCs w:val="24"/>
          <w:highlight w:val="none"/>
        </w:rPr>
        <w:t>年月日</w:t>
      </w:r>
    </w:p>
    <w:p>
      <w:pPr>
        <w:snapToGrid w:val="0"/>
        <w:spacing w:beforeLines="50" w:after="50"/>
        <w:jc w:val="left"/>
        <w:rPr>
          <w:rFonts w:ascii="宋体" w:hAnsi="宋体"/>
          <w:b/>
          <w:color w:val="auto"/>
          <w:sz w:val="24"/>
          <w:szCs w:val="20"/>
          <w:highlight w:val="none"/>
        </w:rPr>
      </w:pPr>
      <w:r>
        <w:rPr>
          <w:rFonts w:hAnsi="宋体"/>
          <w:color w:val="auto"/>
          <w:highlight w:val="none"/>
          <w:u w:val="single"/>
        </w:rPr>
        <w:br w:type="page"/>
      </w:r>
      <w:r>
        <w:rPr>
          <w:rFonts w:hint="eastAsia" w:ascii="宋体" w:hAnsi="宋体"/>
          <w:b/>
          <w:color w:val="auto"/>
          <w:sz w:val="24"/>
          <w:highlight w:val="none"/>
        </w:rPr>
        <w:t>4. 开标一览表</w:t>
      </w:r>
    </w:p>
    <w:p>
      <w:pPr>
        <w:snapToGrid w:val="0"/>
        <w:spacing w:before="50" w:after="50" w:line="360" w:lineRule="exact"/>
        <w:jc w:val="center"/>
        <w:rPr>
          <w:rFonts w:ascii="宋体" w:hAnsi="宋体"/>
          <w:b/>
          <w:color w:val="auto"/>
          <w:szCs w:val="21"/>
          <w:highlight w:val="none"/>
        </w:rPr>
      </w:pPr>
      <w:r>
        <w:rPr>
          <w:rFonts w:hint="eastAsia" w:ascii="宋体" w:hAnsi="宋体"/>
          <w:b/>
          <w:color w:val="auto"/>
          <w:szCs w:val="21"/>
          <w:highlight w:val="none"/>
        </w:rPr>
        <w:t>开标一览表</w:t>
      </w:r>
    </w:p>
    <w:p>
      <w:pPr>
        <w:snapToGrid w:val="0"/>
        <w:spacing w:before="50" w:after="50" w:line="360" w:lineRule="exact"/>
        <w:jc w:val="center"/>
        <w:rPr>
          <w:rFonts w:ascii="宋体" w:hAnsi="宋体"/>
          <w:b/>
          <w:color w:val="auto"/>
          <w:szCs w:val="21"/>
          <w:highlight w:val="none"/>
        </w:rPr>
      </w:pPr>
    </w:p>
    <w:p>
      <w:pPr>
        <w:snapToGrid w:val="0"/>
        <w:spacing w:before="50" w:after="50" w:line="360" w:lineRule="exact"/>
        <w:rPr>
          <w:rFonts w:ascii="宋体" w:hAnsi="宋体"/>
          <w:color w:val="auto"/>
          <w:szCs w:val="21"/>
          <w:highlight w:val="none"/>
          <w:u w:val="single"/>
        </w:rPr>
      </w:pPr>
      <w:r>
        <w:rPr>
          <w:rFonts w:hint="eastAsia" w:ascii="宋体" w:hAnsi="宋体"/>
          <w:color w:val="auto"/>
          <w:szCs w:val="21"/>
          <w:highlight w:val="none"/>
        </w:rPr>
        <w:t>招标编号：</w:t>
      </w:r>
    </w:p>
    <w:p>
      <w:pPr>
        <w:snapToGrid w:val="0"/>
        <w:spacing w:before="50" w:after="50" w:line="360" w:lineRule="exact"/>
        <w:rPr>
          <w:rFonts w:ascii="宋体" w:hAnsi="宋体"/>
          <w:color w:val="auto"/>
          <w:szCs w:val="21"/>
          <w:highlight w:val="none"/>
        </w:rPr>
      </w:pPr>
      <w:r>
        <w:rPr>
          <w:rFonts w:hint="eastAsia" w:ascii="宋体" w:hAnsi="宋体"/>
          <w:color w:val="auto"/>
          <w:szCs w:val="21"/>
          <w:highlight w:val="none"/>
        </w:rPr>
        <w:t>项目名称：</w:t>
      </w:r>
    </w:p>
    <w:p>
      <w:pPr>
        <w:snapToGrid w:val="0"/>
        <w:spacing w:before="50" w:after="50" w:line="360" w:lineRule="exact"/>
        <w:rPr>
          <w:rFonts w:ascii="宋体" w:hAnsi="宋体"/>
          <w:color w:val="auto"/>
          <w:szCs w:val="21"/>
          <w:highlight w:val="none"/>
        </w:rPr>
      </w:pPr>
      <w:r>
        <w:rPr>
          <w:rFonts w:hint="eastAsia" w:ascii="宋体" w:hAnsi="宋体"/>
          <w:color w:val="auto"/>
          <w:szCs w:val="21"/>
          <w:highlight w:val="none"/>
        </w:rPr>
        <w:t>分标：</w:t>
      </w:r>
      <w:r>
        <w:rPr>
          <w:rFonts w:hint="eastAsia" w:ascii="宋体" w:hAnsi="宋体"/>
          <w:color w:val="auto"/>
          <w:szCs w:val="21"/>
          <w:highlight w:val="none"/>
          <w:u w:val="single"/>
        </w:rPr>
        <w:t xml:space="preserve"> （如有）</w:t>
      </w:r>
      <w:r>
        <w:rPr>
          <w:rFonts w:hint="eastAsia" w:ascii="宋体" w:hAnsi="宋体"/>
          <w:color w:val="auto"/>
          <w:szCs w:val="21"/>
          <w:highlight w:val="none"/>
        </w:rPr>
        <w:t xml:space="preserve">                                                            单位：元</w:t>
      </w:r>
    </w:p>
    <w:tbl>
      <w:tblPr>
        <w:tblStyle w:val="46"/>
        <w:tblW w:w="0" w:type="auto"/>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1620"/>
        <w:gridCol w:w="2093"/>
        <w:gridCol w:w="1134"/>
        <w:gridCol w:w="1701"/>
        <w:gridCol w:w="1559"/>
        <w:gridCol w:w="9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00" w:type="dxa"/>
            <w:tcBorders>
              <w:top w:val="single" w:color="auto" w:sz="4" w:space="0"/>
              <w:left w:val="single" w:color="auto" w:sz="4" w:space="0"/>
              <w:bottom w:val="single" w:color="auto" w:sz="4" w:space="0"/>
              <w:right w:val="single" w:color="auto" w:sz="4" w:space="0"/>
            </w:tcBorders>
            <w:noWrap/>
            <w:vAlign w:val="center"/>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zCs w:val="21"/>
                <w:highlight w:val="none"/>
              </w:rPr>
              <w:t>序号</w:t>
            </w:r>
          </w:p>
        </w:tc>
        <w:tc>
          <w:tcPr>
            <w:tcW w:w="1620" w:type="dxa"/>
            <w:tcBorders>
              <w:top w:val="single" w:color="auto" w:sz="4" w:space="0"/>
              <w:left w:val="single" w:color="auto" w:sz="4" w:space="0"/>
              <w:bottom w:val="single" w:color="auto" w:sz="4" w:space="0"/>
              <w:right w:val="single" w:color="auto" w:sz="4" w:space="0"/>
            </w:tcBorders>
            <w:noWrap/>
            <w:vAlign w:val="center"/>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zCs w:val="21"/>
                <w:highlight w:val="none"/>
              </w:rPr>
              <w:t>货物名称</w:t>
            </w:r>
          </w:p>
        </w:tc>
        <w:tc>
          <w:tcPr>
            <w:tcW w:w="2093" w:type="dxa"/>
            <w:tcBorders>
              <w:top w:val="single" w:color="auto" w:sz="4" w:space="0"/>
              <w:left w:val="single" w:color="auto" w:sz="4" w:space="0"/>
              <w:bottom w:val="single" w:color="auto" w:sz="4" w:space="0"/>
              <w:right w:val="single" w:color="auto" w:sz="4" w:space="0"/>
            </w:tcBorders>
            <w:noWrap/>
            <w:vAlign w:val="center"/>
          </w:tcPr>
          <w:p>
            <w:pPr>
              <w:pStyle w:val="62"/>
              <w:rPr>
                <w:color w:val="auto"/>
                <w:highlight w:val="none"/>
              </w:rPr>
            </w:pPr>
            <w:r>
              <w:rPr>
                <w:rFonts w:hint="eastAsia"/>
                <w:color w:val="auto"/>
                <w:highlight w:val="none"/>
              </w:rPr>
              <w:t>品牌及厂家</w:t>
            </w: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zCs w:val="21"/>
                <w:highlight w:val="none"/>
              </w:rPr>
            </w:pPr>
            <w:r>
              <w:rPr>
                <w:rFonts w:hint="eastAsia" w:ascii="宋体" w:hAnsi="宋体"/>
                <w:color w:val="auto"/>
                <w:szCs w:val="21"/>
                <w:highlight w:val="none"/>
              </w:rPr>
              <w:t>产地</w:t>
            </w:r>
          </w:p>
        </w:tc>
        <w:tc>
          <w:tcPr>
            <w:tcW w:w="1701" w:type="dxa"/>
            <w:tcBorders>
              <w:top w:val="single" w:color="auto" w:sz="4" w:space="0"/>
              <w:left w:val="single" w:color="auto" w:sz="4" w:space="0"/>
              <w:bottom w:val="single" w:color="auto" w:sz="4" w:space="0"/>
              <w:right w:val="single" w:color="auto" w:sz="4" w:space="0"/>
            </w:tcBorders>
            <w:noWrap/>
            <w:vAlign w:val="center"/>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zCs w:val="21"/>
                <w:highlight w:val="none"/>
              </w:rPr>
              <w:t>规格型号</w:t>
            </w: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zCs w:val="21"/>
                <w:highlight w:val="none"/>
              </w:rPr>
            </w:pPr>
            <w:r>
              <w:rPr>
                <w:rFonts w:hint="eastAsia" w:ascii="宋体" w:hAnsi="宋体"/>
                <w:color w:val="auto"/>
                <w:szCs w:val="21"/>
                <w:highlight w:val="none"/>
              </w:rPr>
              <w:t>预算单价（元）</w:t>
            </w:r>
          </w:p>
        </w:tc>
        <w:tc>
          <w:tcPr>
            <w:tcW w:w="992" w:type="dxa"/>
            <w:tcBorders>
              <w:top w:val="single" w:color="auto" w:sz="4" w:space="0"/>
              <w:left w:val="single" w:color="auto" w:sz="4" w:space="0"/>
              <w:bottom w:val="single" w:color="auto" w:sz="4" w:space="0"/>
              <w:right w:val="single" w:color="auto" w:sz="4" w:space="0"/>
            </w:tcBorders>
            <w:noWrap/>
            <w:vAlign w:val="center"/>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zCs w:val="21"/>
                <w:highlight w:val="none"/>
              </w:rPr>
              <w:t>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0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2093"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701"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992"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0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2093"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701"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992"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0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2093"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701"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992"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0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2093"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701"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992"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90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620"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pacing w:val="20"/>
                <w:szCs w:val="21"/>
                <w:highlight w:val="none"/>
              </w:rPr>
              <w:t>……</w:t>
            </w:r>
          </w:p>
        </w:tc>
        <w:tc>
          <w:tcPr>
            <w:tcW w:w="2093"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701"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1559"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c>
          <w:tcPr>
            <w:tcW w:w="992" w:type="dxa"/>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2520" w:type="dxa"/>
            <w:gridSpan w:val="2"/>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pacing w:val="20"/>
                <w:szCs w:val="21"/>
                <w:highlight w:val="none"/>
              </w:rPr>
              <w:t>折让率</w:t>
            </w:r>
          </w:p>
        </w:tc>
        <w:tc>
          <w:tcPr>
            <w:tcW w:w="7479" w:type="dxa"/>
            <w:gridSpan w:val="5"/>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2520" w:type="dxa"/>
            <w:gridSpan w:val="2"/>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r>
              <w:rPr>
                <w:rFonts w:hint="eastAsia" w:ascii="宋体" w:hAnsi="宋体"/>
                <w:color w:val="auto"/>
                <w:spacing w:val="20"/>
                <w:szCs w:val="21"/>
                <w:highlight w:val="none"/>
              </w:rPr>
              <w:t>交付使用时间</w:t>
            </w:r>
          </w:p>
        </w:tc>
        <w:tc>
          <w:tcPr>
            <w:tcW w:w="7479" w:type="dxa"/>
            <w:gridSpan w:val="5"/>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jc w:val="center"/>
              <w:rPr>
                <w:rFonts w:ascii="宋体" w:hAnsi="宋体"/>
                <w:color w:val="auto"/>
                <w:spacing w:val="20"/>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9999" w:type="dxa"/>
            <w:gridSpan w:val="7"/>
            <w:tcBorders>
              <w:top w:val="single" w:color="auto" w:sz="4" w:space="0"/>
              <w:left w:val="single" w:color="auto" w:sz="4" w:space="0"/>
              <w:bottom w:val="single" w:color="auto" w:sz="4" w:space="0"/>
              <w:right w:val="single" w:color="auto" w:sz="4" w:space="0"/>
            </w:tcBorders>
            <w:noWrap/>
          </w:tcPr>
          <w:p>
            <w:pPr>
              <w:tabs>
                <w:tab w:val="left" w:pos="1418"/>
              </w:tabs>
              <w:snapToGrid w:val="0"/>
              <w:spacing w:before="50" w:after="50" w:line="360" w:lineRule="exact"/>
              <w:rPr>
                <w:rFonts w:ascii="宋体" w:hAnsi="宋体"/>
                <w:b/>
                <w:color w:val="auto"/>
                <w:spacing w:val="20"/>
                <w:szCs w:val="21"/>
                <w:highlight w:val="none"/>
              </w:rPr>
            </w:pPr>
            <w:r>
              <w:rPr>
                <w:rFonts w:hint="eastAsia" w:ascii="宋体" w:hAnsi="宋体"/>
                <w:b/>
                <w:color w:val="auto"/>
                <w:spacing w:val="20"/>
                <w:szCs w:val="21"/>
                <w:highlight w:val="none"/>
              </w:rPr>
              <w:t>备注：</w:t>
            </w:r>
            <w:r>
              <w:rPr>
                <w:rFonts w:hint="eastAsia" w:hAnsi="宋体"/>
                <w:b/>
                <w:color w:val="auto"/>
                <w:highlight w:val="none"/>
              </w:rPr>
              <w:t>（例如：九折的折让率为10%；八折的折让率为20%）</w:t>
            </w:r>
          </w:p>
        </w:tc>
      </w:tr>
    </w:tbl>
    <w:p>
      <w:pPr>
        <w:snapToGrid w:val="0"/>
        <w:spacing w:before="50" w:after="50" w:line="360" w:lineRule="exact"/>
        <w:jc w:val="left"/>
        <w:rPr>
          <w:rFonts w:ascii="宋体" w:hAnsi="宋体"/>
          <w:color w:val="auto"/>
          <w:szCs w:val="21"/>
          <w:highlight w:val="none"/>
        </w:rPr>
      </w:pPr>
      <w:r>
        <w:rPr>
          <w:rFonts w:hint="eastAsia" w:ascii="宋体" w:hAnsi="宋体"/>
          <w:color w:val="auto"/>
          <w:szCs w:val="21"/>
          <w:highlight w:val="none"/>
        </w:rPr>
        <w:t>注: 1、报价一经涂改，应在涂改处加盖单位公章或者由授权委托人签字或盖章，否则其投标作无效标处理。</w:t>
      </w:r>
    </w:p>
    <w:p>
      <w:pPr>
        <w:snapToGrid w:val="0"/>
        <w:spacing w:before="50" w:after="50"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2、如有多分标，按分标分别提供开标一览表，否则投标无效。</w:t>
      </w:r>
    </w:p>
    <w:p>
      <w:pPr>
        <w:snapToGrid w:val="0"/>
        <w:spacing w:before="50" w:after="50"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3、投标费用包括项目实施所需的人工费、服务费、运输费、安装调试费、购买及制作标书费、税费及其他一切费用。</w:t>
      </w:r>
    </w:p>
    <w:p>
      <w:pPr>
        <w:snapToGrid w:val="0"/>
        <w:spacing w:before="50" w:after="50" w:line="36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4、以上报价应与“投标报价明细表”中的“投标总价”相一致。</w:t>
      </w:r>
    </w:p>
    <w:p>
      <w:pPr>
        <w:snapToGrid w:val="0"/>
        <w:spacing w:before="50" w:after="50" w:line="360" w:lineRule="exact"/>
        <w:ind w:firstLine="420" w:firstLineChars="200"/>
        <w:rPr>
          <w:rFonts w:ascii="宋体" w:hAnsi="宋体"/>
          <w:color w:val="auto"/>
          <w:szCs w:val="21"/>
          <w:highlight w:val="none"/>
        </w:rPr>
      </w:pPr>
      <w:r>
        <w:rPr>
          <w:rFonts w:hint="eastAsia" w:ascii="宋体" w:hAnsi="宋体"/>
          <w:color w:val="auto"/>
          <w:szCs w:val="21"/>
          <w:highlight w:val="none"/>
        </w:rPr>
        <w:t>5、此表请单独信封放入投标文件袋，信封封面请注明招标编号、标项、投标人名称及“开标一览表”字样。</w:t>
      </w:r>
    </w:p>
    <w:p>
      <w:pPr>
        <w:snapToGrid w:val="0"/>
        <w:spacing w:before="50" w:after="50" w:line="360" w:lineRule="exact"/>
        <w:ind w:left="-2" w:leftChars="-1" w:right="13" w:rightChars="6" w:firstLine="420" w:firstLineChars="200"/>
        <w:rPr>
          <w:rFonts w:ascii="宋体" w:hAnsi="宋体"/>
          <w:color w:val="auto"/>
          <w:szCs w:val="21"/>
          <w:highlight w:val="none"/>
        </w:rPr>
      </w:pPr>
      <w:r>
        <w:rPr>
          <w:rFonts w:hint="eastAsia" w:ascii="宋体" w:hAnsi="宋体"/>
          <w:color w:val="auto"/>
          <w:szCs w:val="21"/>
          <w:highlight w:val="none"/>
        </w:rPr>
        <w:t>6、开标一览表内容与投标报价明细表内容不一致的，以开标一览表为准。</w:t>
      </w:r>
    </w:p>
    <w:p>
      <w:pPr>
        <w:snapToGrid w:val="0"/>
        <w:spacing w:before="50" w:after="50" w:line="360" w:lineRule="exact"/>
        <w:ind w:left="-2" w:leftChars="-1" w:right="-817" w:rightChars="-389"/>
        <w:rPr>
          <w:rFonts w:ascii="宋体" w:hAnsi="宋体"/>
          <w:color w:val="auto"/>
          <w:szCs w:val="21"/>
          <w:highlight w:val="none"/>
        </w:rPr>
      </w:pPr>
    </w:p>
    <w:p>
      <w:pPr>
        <w:snapToGrid w:val="0"/>
        <w:spacing w:before="50" w:after="50" w:line="360" w:lineRule="exact"/>
        <w:ind w:left="-2" w:leftChars="-1" w:right="-817" w:rightChars="-389"/>
        <w:rPr>
          <w:rFonts w:ascii="宋体" w:hAnsi="宋体"/>
          <w:color w:val="auto"/>
          <w:szCs w:val="21"/>
          <w:highlight w:val="none"/>
          <w:u w:val="single"/>
        </w:rPr>
      </w:pPr>
      <w:r>
        <w:rPr>
          <w:rFonts w:hint="eastAsia" w:ascii="宋体" w:hAnsi="宋体"/>
          <w:color w:val="auto"/>
          <w:szCs w:val="21"/>
          <w:highlight w:val="none"/>
        </w:rPr>
        <w:t>授权代表（签字）：</w:t>
      </w:r>
    </w:p>
    <w:p>
      <w:pPr>
        <w:snapToGrid w:val="0"/>
        <w:spacing w:before="50" w:after="50" w:line="360" w:lineRule="exact"/>
        <w:ind w:left="-21" w:leftChars="-72" w:right="-817" w:rightChars="-389" w:hanging="130" w:hangingChars="62"/>
        <w:rPr>
          <w:rFonts w:ascii="宋体" w:hAnsi="宋体"/>
          <w:color w:val="auto"/>
          <w:szCs w:val="21"/>
          <w:highlight w:val="none"/>
        </w:rPr>
      </w:pPr>
    </w:p>
    <w:p>
      <w:pPr>
        <w:snapToGrid w:val="0"/>
        <w:spacing w:beforeLines="50" w:after="50" w:line="360" w:lineRule="exact"/>
        <w:rPr>
          <w:rFonts w:ascii="宋体" w:hAnsi="宋体"/>
          <w:b/>
          <w:color w:val="auto"/>
          <w:szCs w:val="21"/>
          <w:highlight w:val="none"/>
        </w:rPr>
      </w:pPr>
      <w:r>
        <w:rPr>
          <w:rFonts w:hint="eastAsia" w:ascii="宋体" w:hAnsi="宋体"/>
          <w:color w:val="auto"/>
          <w:szCs w:val="21"/>
          <w:highlight w:val="none"/>
        </w:rPr>
        <w:t>投标人名称（盖章）：            日期：    年   月   日</w:t>
      </w:r>
    </w:p>
    <w:p>
      <w:pPr>
        <w:snapToGrid w:val="0"/>
        <w:spacing w:before="50" w:after="50" w:line="360" w:lineRule="exact"/>
        <w:ind w:firstLine="422" w:firstLineChars="200"/>
        <w:rPr>
          <w:rFonts w:ascii="宋体" w:hAnsi="宋体"/>
          <w:bCs/>
          <w:color w:val="auto"/>
          <w:sz w:val="24"/>
          <w:highlight w:val="none"/>
        </w:rPr>
      </w:pPr>
      <w:r>
        <w:rPr>
          <w:rFonts w:ascii="宋体" w:hAnsi="宋体"/>
          <w:b/>
          <w:color w:val="auto"/>
          <w:szCs w:val="21"/>
          <w:highlight w:val="none"/>
        </w:rPr>
        <w:br w:type="page"/>
      </w:r>
    </w:p>
    <w:p>
      <w:pPr>
        <w:snapToGrid w:val="0"/>
        <w:spacing w:beforeLines="50" w:after="50"/>
        <w:outlineLvl w:val="1"/>
        <w:rPr>
          <w:rFonts w:ascii="宋体" w:hAnsi="宋体"/>
          <w:b/>
          <w:bCs/>
          <w:color w:val="auto"/>
          <w:sz w:val="24"/>
          <w:highlight w:val="none"/>
        </w:rPr>
      </w:pPr>
    </w:p>
    <w:p>
      <w:pPr>
        <w:snapToGrid w:val="0"/>
        <w:spacing w:beforeLines="50" w:after="50"/>
        <w:outlineLvl w:val="1"/>
        <w:rPr>
          <w:rFonts w:ascii="宋体" w:hAnsi="宋体"/>
          <w:b/>
          <w:bCs/>
          <w:color w:val="auto"/>
          <w:sz w:val="24"/>
          <w:highlight w:val="none"/>
        </w:rPr>
      </w:pPr>
      <w:bookmarkStart w:id="152" w:name="_Toc50406506"/>
      <w:r>
        <w:rPr>
          <w:rFonts w:hint="eastAsia" w:ascii="宋体" w:hAnsi="宋体"/>
          <w:b/>
          <w:bCs/>
          <w:color w:val="auto"/>
          <w:sz w:val="24"/>
          <w:highlight w:val="none"/>
        </w:rPr>
        <w:t>三、资格证明文件格式</w:t>
      </w:r>
      <w:bookmarkEnd w:id="150"/>
      <w:bookmarkEnd w:id="151"/>
      <w:bookmarkEnd w:id="152"/>
    </w:p>
    <w:p>
      <w:pPr>
        <w:numPr>
          <w:ilvl w:val="2"/>
          <w:numId w:val="13"/>
        </w:numPr>
        <w:snapToGrid w:val="0"/>
        <w:spacing w:beforeLines="50" w:after="50"/>
        <w:ind w:left="0" w:firstLine="0"/>
        <w:jc w:val="left"/>
        <w:rPr>
          <w:rFonts w:ascii="宋体" w:hAnsi="宋体"/>
          <w:b/>
          <w:color w:val="auto"/>
          <w:sz w:val="24"/>
          <w:highlight w:val="none"/>
        </w:rPr>
      </w:pPr>
      <w:r>
        <w:rPr>
          <w:rFonts w:hint="eastAsia" w:ascii="宋体" w:hAnsi="宋体"/>
          <w:b/>
          <w:color w:val="auto"/>
          <w:sz w:val="24"/>
          <w:highlight w:val="none"/>
        </w:rPr>
        <w:t xml:space="preserve">资格证明文件封面格式： </w:t>
      </w:r>
    </w:p>
    <w:p>
      <w:pPr>
        <w:snapToGrid w:val="0"/>
        <w:spacing w:beforeLines="50" w:after="50"/>
        <w:jc w:val="right"/>
        <w:rPr>
          <w:rFonts w:ascii="宋体" w:hAnsi="宋体"/>
          <w:bCs/>
          <w:color w:val="auto"/>
          <w:sz w:val="32"/>
          <w:szCs w:val="20"/>
          <w:highlight w:val="none"/>
        </w:rPr>
      </w:pPr>
      <w:r>
        <w:rPr>
          <w:rFonts w:hint="eastAsia" w:ascii="宋体" w:hAnsi="宋体"/>
          <w:bCs/>
          <w:color w:val="auto"/>
          <w:highlight w:val="none"/>
        </w:rPr>
        <w:t>正本/副本</w:t>
      </w:r>
    </w:p>
    <w:p>
      <w:pPr>
        <w:snapToGrid w:val="0"/>
        <w:spacing w:beforeLines="50" w:after="50"/>
        <w:rPr>
          <w:rFonts w:ascii="宋体" w:hAnsi="宋体"/>
          <w:color w:val="auto"/>
          <w:sz w:val="24"/>
          <w:szCs w:val="20"/>
          <w:highlight w:val="none"/>
        </w:rPr>
      </w:pPr>
    </w:p>
    <w:p>
      <w:pPr>
        <w:snapToGrid w:val="0"/>
        <w:spacing w:beforeLines="50" w:after="50"/>
        <w:jc w:val="center"/>
        <w:rPr>
          <w:rFonts w:ascii="宋体" w:hAnsi="宋体"/>
          <w:bCs/>
          <w:color w:val="auto"/>
          <w:sz w:val="24"/>
          <w:szCs w:val="20"/>
          <w:highlight w:val="none"/>
        </w:rPr>
      </w:pPr>
      <w:r>
        <w:rPr>
          <w:rFonts w:hint="eastAsia" w:ascii="宋体" w:hAnsi="宋体"/>
          <w:bCs/>
          <w:color w:val="auto"/>
          <w:sz w:val="32"/>
          <w:szCs w:val="32"/>
          <w:highlight w:val="none"/>
        </w:rPr>
        <w:t>资格证明文件</w:t>
      </w:r>
    </w:p>
    <w:p>
      <w:pPr>
        <w:snapToGrid w:val="0"/>
        <w:spacing w:beforeLines="50" w:after="50"/>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项目名称：</w:t>
      </w:r>
    </w:p>
    <w:p>
      <w:pPr>
        <w:snapToGrid w:val="0"/>
        <w:spacing w:beforeLines="50" w:after="50"/>
        <w:ind w:firstLine="540" w:firstLineChars="225"/>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项目编号：</w:t>
      </w:r>
    </w:p>
    <w:p>
      <w:pPr>
        <w:snapToGrid w:val="0"/>
        <w:spacing w:beforeLines="50" w:after="50"/>
        <w:ind w:firstLine="540" w:firstLineChars="225"/>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所投分标：</w:t>
      </w:r>
    </w:p>
    <w:p>
      <w:pPr>
        <w:snapToGrid w:val="0"/>
        <w:spacing w:beforeLines="50" w:after="50"/>
        <w:ind w:firstLine="540" w:firstLineChars="225"/>
        <w:rPr>
          <w:rFonts w:ascii="宋体" w:hAnsi="宋体"/>
          <w:bCs/>
          <w:color w:val="auto"/>
          <w:sz w:val="24"/>
          <w:szCs w:val="20"/>
          <w:highlight w:val="none"/>
        </w:rPr>
      </w:pPr>
    </w:p>
    <w:p>
      <w:pPr>
        <w:pStyle w:val="10"/>
        <w:snapToGrid w:val="0"/>
        <w:spacing w:before="50" w:after="50"/>
        <w:ind w:firstLine="540" w:firstLineChars="225"/>
        <w:rPr>
          <w:rFonts w:ascii="宋体" w:hAnsi="宋体"/>
          <w:bCs/>
          <w:color w:val="auto"/>
          <w:sz w:val="24"/>
          <w:szCs w:val="24"/>
          <w:highlight w:val="none"/>
        </w:rPr>
      </w:pPr>
      <w:r>
        <w:rPr>
          <w:rFonts w:hint="eastAsia" w:ascii="宋体" w:hAnsi="宋体"/>
          <w:bCs/>
          <w:color w:val="auto"/>
          <w:sz w:val="24"/>
          <w:szCs w:val="24"/>
          <w:highlight w:val="none"/>
        </w:rPr>
        <w:t>投标人名称：</w:t>
      </w:r>
    </w:p>
    <w:p>
      <w:pPr>
        <w:pStyle w:val="10"/>
        <w:snapToGrid w:val="0"/>
        <w:spacing w:before="50" w:after="50"/>
        <w:ind w:firstLine="540" w:firstLineChars="225"/>
        <w:rPr>
          <w:rFonts w:ascii="宋体" w:hAnsi="宋体"/>
          <w:bCs/>
          <w:color w:val="auto"/>
          <w:sz w:val="24"/>
          <w:szCs w:val="24"/>
          <w:highlight w:val="none"/>
        </w:rPr>
      </w:pPr>
    </w:p>
    <w:p>
      <w:pPr>
        <w:pStyle w:val="10"/>
        <w:snapToGrid w:val="0"/>
        <w:spacing w:before="50" w:after="50"/>
        <w:ind w:firstLine="540" w:firstLineChars="225"/>
        <w:rPr>
          <w:rFonts w:ascii="宋体" w:hAnsi="宋体"/>
          <w:bCs/>
          <w:color w:val="auto"/>
          <w:sz w:val="24"/>
          <w:szCs w:val="24"/>
          <w:highlight w:val="none"/>
        </w:rPr>
      </w:pPr>
      <w:r>
        <w:rPr>
          <w:rFonts w:hint="eastAsia" w:ascii="宋体" w:hAnsi="宋体"/>
          <w:bCs/>
          <w:color w:val="auto"/>
          <w:sz w:val="24"/>
          <w:szCs w:val="24"/>
          <w:highlight w:val="none"/>
        </w:rPr>
        <w:t>投标人地址：</w:t>
      </w:r>
    </w:p>
    <w:p>
      <w:pPr>
        <w:pStyle w:val="10"/>
        <w:snapToGrid w:val="0"/>
        <w:spacing w:before="50" w:after="50"/>
        <w:ind w:firstLine="960" w:firstLineChars="400"/>
        <w:rPr>
          <w:rFonts w:ascii="宋体" w:hAnsi="宋体"/>
          <w:bCs/>
          <w:color w:val="auto"/>
          <w:sz w:val="24"/>
          <w:szCs w:val="24"/>
          <w:highlight w:val="none"/>
        </w:rPr>
      </w:pPr>
    </w:p>
    <w:p>
      <w:pPr>
        <w:snapToGrid w:val="0"/>
        <w:spacing w:beforeLines="50" w:after="50"/>
        <w:ind w:firstLine="645"/>
        <w:jc w:val="center"/>
        <w:rPr>
          <w:rFonts w:ascii="宋体" w:hAnsi="宋体"/>
          <w:color w:val="auto"/>
          <w:sz w:val="24"/>
          <w:highlight w:val="none"/>
        </w:rPr>
      </w:pPr>
      <w:r>
        <w:rPr>
          <w:rFonts w:hint="eastAsia" w:ascii="宋体" w:hAnsi="宋体"/>
          <w:color w:val="auto"/>
          <w:sz w:val="24"/>
          <w:highlight w:val="none"/>
        </w:rPr>
        <w:t xml:space="preserve">                        年  月  日</w:t>
      </w:r>
    </w:p>
    <w:p>
      <w:pPr>
        <w:snapToGrid w:val="0"/>
        <w:spacing w:beforeLines="50" w:after="50"/>
        <w:rPr>
          <w:rFonts w:ascii="宋体" w:hAnsi="宋体"/>
          <w:color w:val="auto"/>
          <w:sz w:val="24"/>
          <w:szCs w:val="20"/>
          <w:highlight w:val="none"/>
        </w:rPr>
      </w:pPr>
    </w:p>
    <w:p>
      <w:pPr>
        <w:snapToGrid w:val="0"/>
        <w:spacing w:beforeLines="50" w:after="50"/>
        <w:rPr>
          <w:rFonts w:ascii="宋体" w:hAnsi="宋体"/>
          <w:color w:val="auto"/>
          <w:sz w:val="24"/>
          <w:szCs w:val="20"/>
          <w:highlight w:val="none"/>
        </w:rPr>
      </w:pPr>
    </w:p>
    <w:p>
      <w:pPr>
        <w:numPr>
          <w:ilvl w:val="2"/>
          <w:numId w:val="13"/>
        </w:numPr>
        <w:snapToGrid w:val="0"/>
        <w:spacing w:beforeLines="50" w:after="50"/>
        <w:ind w:left="0" w:firstLine="0"/>
        <w:jc w:val="left"/>
        <w:rPr>
          <w:rFonts w:ascii="宋体" w:hAnsi="宋体"/>
          <w:color w:val="auto"/>
          <w:sz w:val="24"/>
          <w:szCs w:val="20"/>
          <w:highlight w:val="none"/>
        </w:rPr>
      </w:pPr>
      <w:r>
        <w:rPr>
          <w:rFonts w:ascii="宋体" w:hAnsi="宋体"/>
          <w:b/>
          <w:bCs/>
          <w:color w:val="auto"/>
          <w:sz w:val="24"/>
          <w:highlight w:val="none"/>
        </w:rPr>
        <w:br w:type="page"/>
      </w:r>
      <w:r>
        <w:rPr>
          <w:rFonts w:hint="eastAsia" w:ascii="宋体" w:hAnsi="宋体"/>
          <w:b/>
          <w:bCs/>
          <w:color w:val="auto"/>
          <w:sz w:val="24"/>
          <w:highlight w:val="none"/>
        </w:rPr>
        <w:t>资格证明文件目录</w:t>
      </w:r>
    </w:p>
    <w:p>
      <w:pPr>
        <w:snapToGrid w:val="0"/>
        <w:spacing w:beforeLines="50" w:after="50"/>
        <w:jc w:val="left"/>
        <w:rPr>
          <w:rFonts w:ascii="宋体" w:hAnsi="宋体"/>
          <w:color w:val="auto"/>
          <w:sz w:val="24"/>
          <w:szCs w:val="20"/>
          <w:highlight w:val="none"/>
        </w:rPr>
      </w:pPr>
    </w:p>
    <w:p>
      <w:pPr>
        <w:snapToGrid w:val="0"/>
        <w:ind w:firstLine="482" w:firstLineChars="200"/>
        <w:jc w:val="left"/>
        <w:rPr>
          <w:rFonts w:ascii="宋体" w:hAnsi="宋体"/>
          <w:color w:val="auto"/>
          <w:szCs w:val="21"/>
          <w:highlight w:val="none"/>
        </w:rPr>
      </w:pPr>
      <w:r>
        <w:rPr>
          <w:rFonts w:hint="eastAsia" w:ascii="宋体" w:hAnsi="宋体"/>
          <w:b/>
          <w:bCs/>
          <w:color w:val="auto"/>
          <w:sz w:val="24"/>
          <w:highlight w:val="none"/>
        </w:rPr>
        <w:t>根据招标文件规定及投标人提供的材料自行编写目录。</w:t>
      </w: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numPr>
          <w:ilvl w:val="2"/>
          <w:numId w:val="13"/>
        </w:numPr>
        <w:snapToGrid w:val="0"/>
        <w:spacing w:beforeLines="50" w:after="50"/>
        <w:ind w:left="0" w:firstLine="0"/>
        <w:jc w:val="left"/>
        <w:rPr>
          <w:rFonts w:ascii="宋体" w:hAnsi="宋体"/>
          <w:b/>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投标声明</w:t>
      </w:r>
    </w:p>
    <w:p>
      <w:pPr>
        <w:snapToGrid w:val="0"/>
        <w:spacing w:before="50" w:afterLines="50"/>
        <w:jc w:val="left"/>
        <w:rPr>
          <w:rFonts w:ascii="宋体" w:hAnsi="宋体"/>
          <w:color w:val="auto"/>
          <w:highlight w:val="none"/>
        </w:rPr>
      </w:pPr>
    </w:p>
    <w:p>
      <w:pPr>
        <w:snapToGrid w:val="0"/>
        <w:spacing w:before="50" w:afterLines="50"/>
        <w:jc w:val="center"/>
        <w:rPr>
          <w:rFonts w:ascii="宋体" w:hAnsi="宋体"/>
          <w:b/>
          <w:color w:val="auto"/>
          <w:sz w:val="52"/>
          <w:highlight w:val="none"/>
        </w:rPr>
      </w:pPr>
      <w:r>
        <w:rPr>
          <w:rFonts w:hint="eastAsia" w:ascii="宋体" w:hAnsi="宋体"/>
          <w:b/>
          <w:color w:val="auto"/>
          <w:sz w:val="40"/>
          <w:highlight w:val="none"/>
        </w:rPr>
        <w:t>投标声明</w:t>
      </w:r>
    </w:p>
    <w:p>
      <w:pPr>
        <w:snapToGrid w:val="0"/>
        <w:spacing w:line="440" w:lineRule="exact"/>
        <w:jc w:val="left"/>
        <w:rPr>
          <w:color w:val="auto"/>
          <w:sz w:val="24"/>
          <w:highlight w:val="none"/>
          <w:u w:val="single"/>
        </w:rPr>
      </w:pPr>
      <w:r>
        <w:rPr>
          <w:rFonts w:hint="eastAsia"/>
          <w:color w:val="auto"/>
          <w:sz w:val="24"/>
          <w:highlight w:val="none"/>
        </w:rPr>
        <w:t>采购人名称：</w:t>
      </w:r>
    </w:p>
    <w:p>
      <w:pPr>
        <w:snapToGrid w:val="0"/>
        <w:spacing w:line="440" w:lineRule="exact"/>
        <w:ind w:firstLine="405"/>
        <w:jc w:val="left"/>
        <w:rPr>
          <w:rFonts w:ascii="宋体" w:hAnsi="宋体"/>
          <w:color w:val="auto"/>
          <w:sz w:val="24"/>
          <w:highlight w:val="none"/>
        </w:rPr>
      </w:pPr>
      <w:r>
        <w:rPr>
          <w:rFonts w:hint="eastAsia" w:ascii="宋体" w:hAnsi="宋体"/>
          <w:color w:val="auto"/>
          <w:sz w:val="24"/>
          <w:highlight w:val="none"/>
        </w:rPr>
        <w:t>我公司参加贵单位组织项目（</w:t>
      </w:r>
      <w:r>
        <w:rPr>
          <w:rFonts w:hint="eastAsia" w:ascii="宋体" w:hAnsi="宋体"/>
          <w:color w:val="auto"/>
          <w:sz w:val="24"/>
          <w:highlight w:val="none"/>
          <w:u w:val="single"/>
        </w:rPr>
        <w:t xml:space="preserve">项目编号：         </w:t>
      </w:r>
      <w:r>
        <w:rPr>
          <w:rFonts w:hint="eastAsia" w:ascii="宋体" w:hAnsi="宋体"/>
          <w:color w:val="auto"/>
          <w:sz w:val="24"/>
          <w:highlight w:val="none"/>
        </w:rPr>
        <w:t>）的政府采购活动。我公司在此郑重声明：</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1.我公司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2.我公司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3. 我公司承诺符合《中华人民共和国政府采购法》第二十二条规定：</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（一）具有独立承担民事责任的能力；</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（二）具有良好的商业信誉和健全的财务会计制度；</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（三）具有履行合同所必需的设备和专业技术能力；</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（四）有依法缴纳税收和社会保障资金的良好记录；</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（五）参加政府采购活动前三年内，在经营活动中没有重大违法记录；</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（六）法律、行政法规规定的其他条件。</w:t>
      </w:r>
    </w:p>
    <w:p>
      <w:pPr>
        <w:snapToGrid w:val="0"/>
        <w:spacing w:line="440" w:lineRule="exact"/>
        <w:ind w:firstLine="480" w:firstLineChars="200"/>
        <w:jc w:val="left"/>
        <w:rPr>
          <w:rFonts w:ascii="宋体" w:hAnsi="宋体"/>
          <w:color w:val="auto"/>
          <w:sz w:val="24"/>
          <w:highlight w:val="none"/>
        </w:rPr>
      </w:pPr>
      <w:r>
        <w:rPr>
          <w:rFonts w:hint="eastAsia" w:ascii="宋体" w:hAnsi="宋体"/>
          <w:color w:val="auto"/>
          <w:sz w:val="24"/>
          <w:highlight w:val="none"/>
        </w:rPr>
        <w:t>4. 以上事项如有虚假或隐瞒，我方愿意承担一切后果，并不再寻求任何旨在减轻或免除法律责任的辩解。</w:t>
      </w:r>
    </w:p>
    <w:p>
      <w:pPr>
        <w:snapToGrid w:val="0"/>
        <w:spacing w:line="440" w:lineRule="exact"/>
        <w:jc w:val="left"/>
        <w:rPr>
          <w:rFonts w:ascii="宋体" w:hAnsi="宋体"/>
          <w:color w:val="auto"/>
          <w:sz w:val="24"/>
          <w:highlight w:val="none"/>
        </w:rPr>
      </w:pPr>
      <w:r>
        <w:rPr>
          <w:rFonts w:hint="eastAsia" w:ascii="宋体" w:hAnsi="宋体"/>
          <w:color w:val="auto"/>
          <w:sz w:val="24"/>
          <w:highlight w:val="none"/>
        </w:rPr>
        <w:t xml:space="preserve">    特此承诺。</w:t>
      </w:r>
    </w:p>
    <w:p>
      <w:pPr>
        <w:snapToGrid w:val="0"/>
        <w:spacing w:line="440" w:lineRule="exact"/>
        <w:jc w:val="left"/>
        <w:rPr>
          <w:rFonts w:ascii="宋体" w:hAnsi="宋体"/>
          <w:b/>
          <w:color w:val="auto"/>
          <w:sz w:val="24"/>
          <w:highlight w:val="none"/>
        </w:rPr>
      </w:pPr>
      <w:r>
        <w:rPr>
          <w:rFonts w:hint="eastAsia" w:ascii="宋体" w:hAnsi="宋体"/>
          <w:b/>
          <w:color w:val="auto"/>
          <w:sz w:val="24"/>
          <w:highlight w:val="none"/>
        </w:rPr>
        <w:t>注：投标声明必须由法定代表人在规定签章处逐一签字或盖印章并加盖投标人公章，否则作无效投标处理。</w:t>
      </w:r>
    </w:p>
    <w:p>
      <w:pPr>
        <w:snapToGrid w:val="0"/>
        <w:spacing w:before="50" w:afterLines="50"/>
        <w:jc w:val="left"/>
        <w:rPr>
          <w:rFonts w:ascii="宋体" w:hAnsi="宋体"/>
          <w:b/>
          <w:color w:val="auto"/>
          <w:sz w:val="24"/>
          <w:highlight w:val="none"/>
        </w:rPr>
      </w:pPr>
    </w:p>
    <w:p>
      <w:pPr>
        <w:snapToGrid w:val="0"/>
        <w:spacing w:before="50" w:afterLines="50"/>
        <w:jc w:val="left"/>
        <w:rPr>
          <w:rFonts w:ascii="宋体" w:hAnsi="宋体"/>
          <w:b/>
          <w:color w:val="auto"/>
          <w:sz w:val="24"/>
          <w:highlight w:val="none"/>
        </w:rPr>
      </w:pPr>
    </w:p>
    <w:p>
      <w:pPr>
        <w:snapToGrid w:val="0"/>
        <w:spacing w:before="50" w:afterLines="50"/>
        <w:jc w:val="left"/>
        <w:rPr>
          <w:rFonts w:ascii="宋体" w:hAnsi="宋体"/>
          <w:color w:val="auto"/>
          <w:sz w:val="24"/>
          <w:highlight w:val="none"/>
        </w:rPr>
      </w:pPr>
      <w:r>
        <w:rPr>
          <w:rFonts w:hint="eastAsia" w:ascii="宋体" w:hAnsi="宋体"/>
          <w:color w:val="auto"/>
          <w:sz w:val="24"/>
          <w:highlight w:val="none"/>
        </w:rPr>
        <w:t xml:space="preserve">                                          法定代表人签字：</w:t>
      </w:r>
    </w:p>
    <w:p>
      <w:pPr>
        <w:snapToGrid w:val="0"/>
        <w:spacing w:before="50" w:afterLines="50"/>
        <w:jc w:val="left"/>
        <w:rPr>
          <w:rFonts w:ascii="宋体" w:hAnsi="宋体"/>
          <w:color w:val="auto"/>
          <w:sz w:val="24"/>
          <w:highlight w:val="none"/>
        </w:rPr>
      </w:pPr>
      <w:r>
        <w:rPr>
          <w:rFonts w:hint="eastAsia" w:ascii="宋体" w:hAnsi="宋体"/>
          <w:color w:val="auto"/>
          <w:sz w:val="24"/>
          <w:highlight w:val="none"/>
        </w:rPr>
        <w:t xml:space="preserve">                                          投标人公章：</w:t>
      </w:r>
    </w:p>
    <w:p>
      <w:pPr>
        <w:snapToGrid w:val="0"/>
        <w:spacing w:before="50" w:afterLines="50"/>
        <w:jc w:val="left"/>
        <w:rPr>
          <w:rFonts w:ascii="宋体" w:hAnsi="宋体"/>
          <w:color w:val="auto"/>
          <w:highlight w:val="none"/>
        </w:rPr>
      </w:pPr>
      <w:r>
        <w:rPr>
          <w:rFonts w:hint="eastAsia" w:ascii="宋体" w:hAnsi="宋体"/>
          <w:color w:val="auto"/>
          <w:sz w:val="24"/>
          <w:highlight w:val="none"/>
        </w:rPr>
        <w:t xml:space="preserve">                                                  年    月    日</w:t>
      </w:r>
    </w:p>
    <w:p>
      <w:pPr>
        <w:snapToGrid w:val="0"/>
        <w:jc w:val="center"/>
        <w:rPr>
          <w:rFonts w:ascii="宋体" w:hAnsi="宋体"/>
          <w:b/>
          <w:color w:val="auto"/>
          <w:sz w:val="28"/>
          <w:szCs w:val="28"/>
          <w:highlight w:val="none"/>
        </w:rPr>
      </w:pPr>
      <w:r>
        <w:rPr>
          <w:rFonts w:ascii="宋体" w:hAnsi="宋体"/>
          <w:b/>
          <w:color w:val="auto"/>
          <w:sz w:val="24"/>
          <w:highlight w:val="none"/>
        </w:rPr>
        <w:br w:type="page"/>
      </w:r>
    </w:p>
    <w:p>
      <w:pPr>
        <w:snapToGrid w:val="0"/>
        <w:jc w:val="center"/>
        <w:rPr>
          <w:rFonts w:ascii="宋体" w:hAnsi="宋体"/>
          <w:b/>
          <w:color w:val="auto"/>
          <w:sz w:val="28"/>
          <w:szCs w:val="28"/>
          <w:highlight w:val="none"/>
        </w:rPr>
      </w:pPr>
    </w:p>
    <w:p>
      <w:pPr>
        <w:snapToGrid w:val="0"/>
        <w:spacing w:beforeLines="50" w:after="50"/>
        <w:outlineLvl w:val="1"/>
        <w:rPr>
          <w:rFonts w:ascii="宋体" w:hAnsi="宋体"/>
          <w:b/>
          <w:bCs/>
          <w:color w:val="auto"/>
          <w:sz w:val="24"/>
          <w:highlight w:val="none"/>
        </w:rPr>
      </w:pPr>
      <w:bookmarkStart w:id="153" w:name="_Toc50406507"/>
      <w:r>
        <w:rPr>
          <w:rFonts w:hint="eastAsia" w:ascii="宋体" w:hAnsi="宋体"/>
          <w:b/>
          <w:bCs/>
          <w:color w:val="auto"/>
          <w:sz w:val="24"/>
          <w:highlight w:val="none"/>
        </w:rPr>
        <w:t>四、商务及技术文件格式</w:t>
      </w:r>
      <w:bookmarkEnd w:id="153"/>
    </w:p>
    <w:p>
      <w:pPr>
        <w:snapToGrid w:val="0"/>
        <w:spacing w:beforeLines="50" w:after="50"/>
        <w:jc w:val="left"/>
        <w:rPr>
          <w:rFonts w:ascii="宋体" w:hAnsi="宋体"/>
          <w:b/>
          <w:color w:val="auto"/>
          <w:sz w:val="24"/>
          <w:highlight w:val="none"/>
        </w:rPr>
      </w:pPr>
    </w:p>
    <w:p>
      <w:pPr>
        <w:snapToGrid w:val="0"/>
        <w:spacing w:beforeLines="50" w:after="50"/>
        <w:jc w:val="left"/>
        <w:rPr>
          <w:rFonts w:ascii="宋体" w:hAnsi="宋体"/>
          <w:b/>
          <w:color w:val="auto"/>
          <w:sz w:val="24"/>
          <w:highlight w:val="none"/>
        </w:rPr>
      </w:pPr>
      <w:r>
        <w:rPr>
          <w:rFonts w:hint="eastAsia" w:ascii="宋体" w:hAnsi="宋体"/>
          <w:b/>
          <w:color w:val="auto"/>
          <w:sz w:val="24"/>
          <w:highlight w:val="none"/>
        </w:rPr>
        <w:t xml:space="preserve">商务及技术文件封面格式： </w:t>
      </w:r>
    </w:p>
    <w:p>
      <w:pPr>
        <w:snapToGrid w:val="0"/>
        <w:spacing w:beforeLines="50" w:after="50"/>
        <w:jc w:val="right"/>
        <w:rPr>
          <w:rFonts w:ascii="宋体" w:hAnsi="宋体"/>
          <w:bCs/>
          <w:color w:val="auto"/>
          <w:sz w:val="32"/>
          <w:szCs w:val="20"/>
          <w:highlight w:val="none"/>
        </w:rPr>
      </w:pPr>
      <w:r>
        <w:rPr>
          <w:rFonts w:hint="eastAsia" w:ascii="宋体" w:hAnsi="宋体"/>
          <w:bCs/>
          <w:color w:val="auto"/>
          <w:highlight w:val="none"/>
        </w:rPr>
        <w:t>正本/副本</w:t>
      </w:r>
    </w:p>
    <w:p>
      <w:pPr>
        <w:snapToGrid w:val="0"/>
        <w:spacing w:beforeLines="50" w:after="50"/>
        <w:rPr>
          <w:rFonts w:ascii="宋体" w:hAnsi="宋体"/>
          <w:color w:val="auto"/>
          <w:sz w:val="24"/>
          <w:szCs w:val="20"/>
          <w:highlight w:val="none"/>
        </w:rPr>
      </w:pPr>
    </w:p>
    <w:p>
      <w:pPr>
        <w:snapToGrid w:val="0"/>
        <w:spacing w:beforeLines="50" w:after="50"/>
        <w:jc w:val="center"/>
        <w:rPr>
          <w:rFonts w:ascii="宋体" w:hAnsi="宋体"/>
          <w:bCs/>
          <w:color w:val="auto"/>
          <w:sz w:val="24"/>
          <w:szCs w:val="20"/>
          <w:highlight w:val="none"/>
        </w:rPr>
      </w:pPr>
      <w:r>
        <w:rPr>
          <w:rFonts w:hint="eastAsia" w:ascii="宋体" w:hAnsi="宋体"/>
          <w:bCs/>
          <w:color w:val="auto"/>
          <w:sz w:val="32"/>
          <w:szCs w:val="32"/>
          <w:highlight w:val="none"/>
        </w:rPr>
        <w:t>商务及技术文件</w:t>
      </w:r>
    </w:p>
    <w:p>
      <w:pPr>
        <w:snapToGrid w:val="0"/>
        <w:spacing w:beforeLines="50" w:after="50"/>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项目名称：</w:t>
      </w:r>
    </w:p>
    <w:p>
      <w:pPr>
        <w:snapToGrid w:val="0"/>
        <w:spacing w:beforeLines="50" w:after="50"/>
        <w:ind w:firstLine="540" w:firstLineChars="225"/>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项目编号：</w:t>
      </w:r>
    </w:p>
    <w:p>
      <w:pPr>
        <w:snapToGrid w:val="0"/>
        <w:spacing w:beforeLines="50" w:after="50"/>
        <w:ind w:firstLine="540" w:firstLineChars="225"/>
        <w:rPr>
          <w:rFonts w:ascii="宋体" w:hAnsi="宋体"/>
          <w:bCs/>
          <w:color w:val="auto"/>
          <w:sz w:val="24"/>
          <w:szCs w:val="20"/>
          <w:highlight w:val="none"/>
        </w:rPr>
      </w:pPr>
    </w:p>
    <w:p>
      <w:pPr>
        <w:snapToGrid w:val="0"/>
        <w:spacing w:beforeLines="50" w:after="50"/>
        <w:ind w:firstLine="540" w:firstLineChars="225"/>
        <w:rPr>
          <w:rFonts w:ascii="宋体" w:hAnsi="宋体"/>
          <w:bCs/>
          <w:color w:val="auto"/>
          <w:sz w:val="24"/>
          <w:highlight w:val="none"/>
        </w:rPr>
      </w:pPr>
      <w:r>
        <w:rPr>
          <w:rFonts w:hint="eastAsia" w:ascii="宋体" w:hAnsi="宋体"/>
          <w:bCs/>
          <w:color w:val="auto"/>
          <w:sz w:val="24"/>
          <w:highlight w:val="none"/>
        </w:rPr>
        <w:t>所投分标：</w:t>
      </w:r>
    </w:p>
    <w:p>
      <w:pPr>
        <w:snapToGrid w:val="0"/>
        <w:spacing w:beforeLines="50" w:after="50"/>
        <w:ind w:firstLine="540" w:firstLineChars="225"/>
        <w:rPr>
          <w:rFonts w:ascii="宋体" w:hAnsi="宋体"/>
          <w:bCs/>
          <w:color w:val="auto"/>
          <w:sz w:val="24"/>
          <w:szCs w:val="20"/>
          <w:highlight w:val="none"/>
        </w:rPr>
      </w:pPr>
    </w:p>
    <w:p>
      <w:pPr>
        <w:pStyle w:val="10"/>
        <w:snapToGrid w:val="0"/>
        <w:spacing w:before="50" w:after="50"/>
        <w:ind w:firstLine="540" w:firstLineChars="225"/>
        <w:rPr>
          <w:rFonts w:ascii="宋体" w:hAnsi="宋体"/>
          <w:bCs/>
          <w:color w:val="auto"/>
          <w:sz w:val="24"/>
          <w:szCs w:val="24"/>
          <w:highlight w:val="none"/>
        </w:rPr>
      </w:pPr>
      <w:r>
        <w:rPr>
          <w:rFonts w:hint="eastAsia" w:ascii="宋体" w:hAnsi="宋体"/>
          <w:bCs/>
          <w:color w:val="auto"/>
          <w:sz w:val="24"/>
          <w:szCs w:val="24"/>
          <w:highlight w:val="none"/>
        </w:rPr>
        <w:t>投标人名称：</w:t>
      </w:r>
    </w:p>
    <w:p>
      <w:pPr>
        <w:pStyle w:val="10"/>
        <w:snapToGrid w:val="0"/>
        <w:spacing w:before="50" w:after="50"/>
        <w:ind w:firstLine="540" w:firstLineChars="225"/>
        <w:rPr>
          <w:rFonts w:ascii="宋体" w:hAnsi="宋体"/>
          <w:bCs/>
          <w:color w:val="auto"/>
          <w:sz w:val="24"/>
          <w:szCs w:val="24"/>
          <w:highlight w:val="none"/>
        </w:rPr>
      </w:pPr>
    </w:p>
    <w:p>
      <w:pPr>
        <w:pStyle w:val="10"/>
        <w:snapToGrid w:val="0"/>
        <w:spacing w:before="50" w:after="50"/>
        <w:ind w:firstLine="540" w:firstLineChars="225"/>
        <w:rPr>
          <w:rFonts w:ascii="宋体" w:hAnsi="宋体"/>
          <w:bCs/>
          <w:color w:val="auto"/>
          <w:sz w:val="24"/>
          <w:szCs w:val="24"/>
          <w:highlight w:val="none"/>
        </w:rPr>
      </w:pPr>
      <w:r>
        <w:rPr>
          <w:rFonts w:hint="eastAsia" w:ascii="宋体" w:hAnsi="宋体"/>
          <w:bCs/>
          <w:color w:val="auto"/>
          <w:sz w:val="24"/>
          <w:szCs w:val="24"/>
          <w:highlight w:val="none"/>
        </w:rPr>
        <w:t>投标人地址：</w:t>
      </w:r>
    </w:p>
    <w:p>
      <w:pPr>
        <w:pStyle w:val="10"/>
        <w:snapToGrid w:val="0"/>
        <w:spacing w:before="50" w:after="50"/>
        <w:ind w:firstLine="960" w:firstLineChars="400"/>
        <w:rPr>
          <w:rFonts w:ascii="宋体" w:hAnsi="宋体"/>
          <w:bCs/>
          <w:color w:val="auto"/>
          <w:sz w:val="24"/>
          <w:szCs w:val="24"/>
          <w:highlight w:val="none"/>
        </w:rPr>
      </w:pPr>
    </w:p>
    <w:p>
      <w:pPr>
        <w:snapToGrid w:val="0"/>
        <w:spacing w:beforeLines="50" w:after="50"/>
        <w:ind w:firstLine="645"/>
        <w:jc w:val="center"/>
        <w:rPr>
          <w:rFonts w:ascii="宋体" w:hAnsi="宋体"/>
          <w:color w:val="auto"/>
          <w:sz w:val="24"/>
          <w:highlight w:val="none"/>
        </w:rPr>
      </w:pPr>
      <w:r>
        <w:rPr>
          <w:rFonts w:hint="eastAsia" w:ascii="宋体" w:hAnsi="宋体"/>
          <w:color w:val="auto"/>
          <w:sz w:val="24"/>
          <w:highlight w:val="none"/>
        </w:rPr>
        <w:t xml:space="preserve">                        年  月  日</w:t>
      </w:r>
    </w:p>
    <w:p>
      <w:pPr>
        <w:snapToGrid w:val="0"/>
        <w:spacing w:beforeLines="50" w:after="50"/>
        <w:rPr>
          <w:rFonts w:ascii="宋体" w:hAnsi="宋体"/>
          <w:color w:val="auto"/>
          <w:sz w:val="24"/>
          <w:szCs w:val="20"/>
          <w:highlight w:val="none"/>
        </w:rPr>
      </w:pPr>
    </w:p>
    <w:p>
      <w:pPr>
        <w:snapToGrid w:val="0"/>
        <w:jc w:val="left"/>
        <w:rPr>
          <w:rFonts w:ascii="宋体" w:hAnsi="宋体"/>
          <w:color w:val="auto"/>
          <w:sz w:val="24"/>
          <w:szCs w:val="20"/>
          <w:highlight w:val="none"/>
        </w:rPr>
      </w:pPr>
      <w:r>
        <w:rPr>
          <w:rFonts w:ascii="宋体" w:hAnsi="宋体"/>
          <w:color w:val="auto"/>
          <w:sz w:val="24"/>
          <w:szCs w:val="20"/>
          <w:highlight w:val="none"/>
        </w:rPr>
        <w:br w:type="page"/>
      </w:r>
      <w:r>
        <w:rPr>
          <w:rFonts w:hint="eastAsia" w:ascii="宋体" w:hAnsi="宋体"/>
          <w:b/>
          <w:bCs/>
          <w:color w:val="auto"/>
          <w:sz w:val="24"/>
          <w:highlight w:val="none"/>
        </w:rPr>
        <w:t>A.商务文件目录</w:t>
      </w:r>
    </w:p>
    <w:p>
      <w:pPr>
        <w:snapToGrid w:val="0"/>
        <w:jc w:val="left"/>
        <w:rPr>
          <w:rFonts w:ascii="宋体" w:hAnsi="宋体"/>
          <w:color w:val="auto"/>
          <w:sz w:val="24"/>
          <w:szCs w:val="20"/>
          <w:highlight w:val="none"/>
        </w:rPr>
      </w:pPr>
    </w:p>
    <w:p>
      <w:pPr>
        <w:snapToGrid w:val="0"/>
        <w:spacing w:before="50" w:afterLines="50"/>
        <w:jc w:val="left"/>
        <w:rPr>
          <w:rFonts w:ascii="宋体" w:hAnsi="宋体"/>
          <w:b/>
          <w:bCs/>
          <w:color w:val="auto"/>
          <w:sz w:val="24"/>
          <w:highlight w:val="none"/>
        </w:rPr>
      </w:pPr>
      <w:r>
        <w:rPr>
          <w:rFonts w:hint="eastAsia" w:ascii="宋体" w:hAnsi="宋体"/>
          <w:b/>
          <w:bCs/>
          <w:color w:val="auto"/>
          <w:sz w:val="24"/>
          <w:highlight w:val="none"/>
        </w:rPr>
        <w:t>根据招标文件规定及投标人提供的材料自行编写目录。</w:t>
      </w:r>
    </w:p>
    <w:p>
      <w:pPr>
        <w:snapToGrid w:val="0"/>
        <w:spacing w:before="50" w:afterLines="50"/>
        <w:jc w:val="left"/>
        <w:rPr>
          <w:rFonts w:ascii="宋体" w:hAnsi="宋体"/>
          <w:color w:val="auto"/>
          <w:highlight w:val="none"/>
        </w:rPr>
      </w:pPr>
    </w:p>
    <w:p>
      <w:pPr>
        <w:snapToGrid w:val="0"/>
        <w:spacing w:beforeLines="50" w:after="50"/>
        <w:jc w:val="left"/>
        <w:rPr>
          <w:rFonts w:ascii="宋体" w:hAnsi="宋体"/>
          <w:b/>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1.法定代表人身份证明</w:t>
      </w:r>
    </w:p>
    <w:p>
      <w:pPr>
        <w:spacing w:beforeLines="100" w:afterLines="50"/>
        <w:ind w:left="540"/>
        <w:jc w:val="center"/>
        <w:rPr>
          <w:rFonts w:ascii="宋体" w:hAnsi="Courier New"/>
          <w:b/>
          <w:color w:val="auto"/>
          <w:sz w:val="32"/>
          <w:szCs w:val="32"/>
          <w:highlight w:val="none"/>
        </w:rPr>
      </w:pPr>
    </w:p>
    <w:p>
      <w:pPr>
        <w:spacing w:beforeLines="100" w:afterLines="50"/>
        <w:ind w:left="540"/>
        <w:jc w:val="center"/>
        <w:rPr>
          <w:rFonts w:ascii="黑体" w:hAnsi="宋体" w:eastAsia="黑体"/>
          <w:color w:val="auto"/>
          <w:sz w:val="24"/>
          <w:highlight w:val="none"/>
        </w:rPr>
      </w:pPr>
      <w:r>
        <w:rPr>
          <w:rFonts w:hint="eastAsia" w:ascii="宋体" w:hAnsi="Courier New"/>
          <w:b/>
          <w:color w:val="auto"/>
          <w:sz w:val="24"/>
          <w:highlight w:val="none"/>
        </w:rPr>
        <w:t>法定代表人身份证明</w:t>
      </w:r>
    </w:p>
    <w:p>
      <w:pPr>
        <w:spacing w:line="500" w:lineRule="exact"/>
        <w:ind w:left="540"/>
        <w:rPr>
          <w:rFonts w:ascii="宋体" w:hAnsi="宋体"/>
          <w:color w:val="auto"/>
          <w:sz w:val="24"/>
          <w:highlight w:val="none"/>
        </w:rPr>
      </w:pPr>
      <w:r>
        <w:rPr>
          <w:rFonts w:hint="eastAsia" w:ascii="宋体" w:hAnsi="宋体"/>
          <w:color w:val="auto"/>
          <w:sz w:val="24"/>
          <w:highlight w:val="none"/>
        </w:rPr>
        <w:t>投 标 人：</w:t>
      </w:r>
    </w:p>
    <w:p>
      <w:pPr>
        <w:spacing w:line="500" w:lineRule="exact"/>
        <w:ind w:left="540"/>
        <w:rPr>
          <w:rFonts w:ascii="宋体" w:hAnsi="宋体"/>
          <w:color w:val="auto"/>
          <w:sz w:val="24"/>
          <w:highlight w:val="none"/>
        </w:rPr>
      </w:pPr>
      <w:r>
        <w:rPr>
          <w:rFonts w:hint="eastAsia" w:ascii="宋体" w:hAnsi="宋体"/>
          <w:color w:val="auto"/>
          <w:sz w:val="24"/>
          <w:highlight w:val="none"/>
        </w:rPr>
        <w:t>地    址：</w:t>
      </w:r>
    </w:p>
    <w:p>
      <w:pPr>
        <w:spacing w:line="500" w:lineRule="exact"/>
        <w:ind w:left="540"/>
        <w:rPr>
          <w:rFonts w:ascii="宋体" w:hAnsi="宋体"/>
          <w:color w:val="auto"/>
          <w:sz w:val="24"/>
          <w:highlight w:val="none"/>
        </w:rPr>
      </w:pPr>
      <w:r>
        <w:rPr>
          <w:rFonts w:hint="eastAsia" w:ascii="宋体" w:hAnsi="宋体"/>
          <w:color w:val="auto"/>
          <w:sz w:val="24"/>
          <w:highlight w:val="none"/>
        </w:rPr>
        <w:t>成立时间：年月日</w:t>
      </w:r>
    </w:p>
    <w:p>
      <w:pPr>
        <w:spacing w:line="500" w:lineRule="exact"/>
        <w:ind w:left="540"/>
        <w:rPr>
          <w:rFonts w:ascii="宋体" w:hAnsi="宋体"/>
          <w:color w:val="auto"/>
          <w:sz w:val="24"/>
          <w:highlight w:val="none"/>
        </w:rPr>
      </w:pPr>
      <w:r>
        <w:rPr>
          <w:rFonts w:hint="eastAsia" w:ascii="宋体" w:hAnsi="宋体"/>
          <w:color w:val="auto"/>
          <w:sz w:val="24"/>
          <w:highlight w:val="none"/>
        </w:rPr>
        <w:t>经营期限：</w:t>
      </w:r>
    </w:p>
    <w:p>
      <w:pPr>
        <w:spacing w:line="500" w:lineRule="exact"/>
        <w:ind w:left="540"/>
        <w:rPr>
          <w:rFonts w:ascii="宋体" w:hAnsi="宋体"/>
          <w:color w:val="auto"/>
          <w:sz w:val="24"/>
          <w:highlight w:val="none"/>
        </w:rPr>
      </w:pPr>
      <w:r>
        <w:rPr>
          <w:rFonts w:hint="eastAsia" w:ascii="宋体" w:hAnsi="宋体"/>
          <w:color w:val="auto"/>
          <w:sz w:val="24"/>
          <w:highlight w:val="none"/>
        </w:rPr>
        <w:t>姓    名：性      别：</w:t>
      </w:r>
    </w:p>
    <w:p>
      <w:pPr>
        <w:spacing w:line="500" w:lineRule="exact"/>
        <w:ind w:left="540"/>
        <w:rPr>
          <w:rFonts w:ascii="宋体" w:hAnsi="宋体"/>
          <w:color w:val="auto"/>
          <w:sz w:val="24"/>
          <w:highlight w:val="none"/>
          <w:u w:val="single"/>
        </w:rPr>
      </w:pPr>
      <w:r>
        <w:rPr>
          <w:rFonts w:hint="eastAsia" w:ascii="宋体" w:hAnsi="宋体"/>
          <w:color w:val="auto"/>
          <w:sz w:val="24"/>
          <w:highlight w:val="none"/>
        </w:rPr>
        <w:t>年    龄：职      务：</w:t>
      </w:r>
    </w:p>
    <w:p>
      <w:pPr>
        <w:spacing w:line="500" w:lineRule="exact"/>
        <w:ind w:left="540"/>
        <w:rPr>
          <w:rFonts w:ascii="宋体" w:hAnsi="宋体"/>
          <w:color w:val="auto"/>
          <w:sz w:val="24"/>
          <w:highlight w:val="none"/>
        </w:rPr>
      </w:pPr>
      <w:r>
        <w:rPr>
          <w:rFonts w:hint="eastAsia" w:ascii="宋体" w:hAnsi="宋体"/>
          <w:color w:val="auto"/>
          <w:sz w:val="24"/>
          <w:highlight w:val="none"/>
        </w:rPr>
        <w:t>身份证</w:t>
      </w:r>
      <w:r>
        <w:rPr>
          <w:rFonts w:hint="eastAsia"/>
          <w:color w:val="auto"/>
          <w:sz w:val="24"/>
          <w:highlight w:val="none"/>
        </w:rPr>
        <w:t>号码：</w:t>
      </w:r>
    </w:p>
    <w:p>
      <w:pPr>
        <w:spacing w:line="500" w:lineRule="exact"/>
        <w:ind w:left="540"/>
        <w:rPr>
          <w:rFonts w:ascii="宋体" w:hAnsi="宋体"/>
          <w:color w:val="auto"/>
          <w:sz w:val="24"/>
          <w:highlight w:val="none"/>
        </w:rPr>
      </w:pPr>
      <w:r>
        <w:rPr>
          <w:rFonts w:hint="eastAsia" w:ascii="宋体" w:hAnsi="宋体"/>
          <w:color w:val="auto"/>
          <w:sz w:val="24"/>
          <w:highlight w:val="none"/>
        </w:rPr>
        <w:t>系（投标人名称）的法定代表人。</w:t>
      </w:r>
    </w:p>
    <w:p>
      <w:pPr>
        <w:spacing w:line="500" w:lineRule="exact"/>
        <w:ind w:left="540"/>
        <w:rPr>
          <w:rFonts w:ascii="宋体" w:hAnsi="宋体"/>
          <w:color w:val="auto"/>
          <w:sz w:val="24"/>
          <w:highlight w:val="none"/>
        </w:rPr>
      </w:pPr>
      <w:r>
        <w:rPr>
          <w:rFonts w:hint="eastAsia" w:ascii="宋体" w:hAnsi="宋体"/>
          <w:color w:val="auto"/>
          <w:sz w:val="24"/>
          <w:highlight w:val="none"/>
        </w:rPr>
        <w:t>特此证明。</w:t>
      </w:r>
    </w:p>
    <w:p>
      <w:pPr>
        <w:spacing w:line="500" w:lineRule="exact"/>
        <w:ind w:left="540"/>
        <w:rPr>
          <w:rFonts w:ascii="宋体" w:hAnsi="宋体"/>
          <w:color w:val="auto"/>
          <w:sz w:val="24"/>
          <w:highlight w:val="none"/>
        </w:rPr>
      </w:pPr>
    </w:p>
    <w:p>
      <w:pPr>
        <w:spacing w:line="500" w:lineRule="exact"/>
        <w:ind w:left="540"/>
        <w:rPr>
          <w:rFonts w:ascii="宋体" w:hAnsi="宋体"/>
          <w:color w:val="auto"/>
          <w:sz w:val="24"/>
          <w:highlight w:val="none"/>
        </w:rPr>
      </w:pPr>
    </w:p>
    <w:p>
      <w:pPr>
        <w:spacing w:line="500" w:lineRule="exact"/>
        <w:ind w:left="540"/>
        <w:rPr>
          <w:rFonts w:ascii="宋体" w:hAnsi="宋体"/>
          <w:color w:val="auto"/>
          <w:sz w:val="24"/>
          <w:highlight w:val="none"/>
        </w:rPr>
      </w:pPr>
      <w:r>
        <w:rPr>
          <w:rFonts w:hint="eastAsia" w:ascii="宋体" w:hAnsi="宋体"/>
          <w:color w:val="auto"/>
          <w:sz w:val="24"/>
          <w:highlight w:val="none"/>
        </w:rPr>
        <w:t>附件：法定代表人有效身份证正反面复印件</w:t>
      </w:r>
    </w:p>
    <w:p>
      <w:pPr>
        <w:spacing w:line="500" w:lineRule="exact"/>
        <w:ind w:left="540"/>
        <w:rPr>
          <w:rFonts w:ascii="宋体" w:hAnsi="宋体"/>
          <w:color w:val="auto"/>
          <w:sz w:val="24"/>
          <w:highlight w:val="none"/>
        </w:rPr>
      </w:pPr>
    </w:p>
    <w:p>
      <w:pPr>
        <w:wordWrap w:val="0"/>
        <w:spacing w:line="500" w:lineRule="exact"/>
        <w:ind w:left="540"/>
        <w:jc w:val="right"/>
        <w:rPr>
          <w:rFonts w:ascii="宋体" w:hAnsi="宋体"/>
          <w:color w:val="auto"/>
          <w:sz w:val="24"/>
          <w:highlight w:val="none"/>
        </w:rPr>
      </w:pPr>
      <w:r>
        <w:rPr>
          <w:rFonts w:hint="eastAsia" w:ascii="宋体" w:hAnsi="宋体"/>
          <w:color w:val="auto"/>
          <w:sz w:val="24"/>
          <w:highlight w:val="none"/>
        </w:rPr>
        <w:t>投标人：（盖单位章）</w:t>
      </w:r>
    </w:p>
    <w:p>
      <w:pPr>
        <w:spacing w:line="500" w:lineRule="exact"/>
        <w:ind w:left="540"/>
        <w:jc w:val="right"/>
        <w:rPr>
          <w:rFonts w:ascii="宋体" w:hAnsi="宋体"/>
          <w:color w:val="auto"/>
          <w:sz w:val="24"/>
          <w:highlight w:val="none"/>
        </w:rPr>
      </w:pPr>
    </w:p>
    <w:p>
      <w:pPr>
        <w:snapToGrid w:val="0"/>
        <w:spacing w:beforeLines="50" w:after="50"/>
        <w:ind w:left="540"/>
        <w:jc w:val="right"/>
        <w:rPr>
          <w:rFonts w:ascii="宋体" w:hAnsi="宋体"/>
          <w:color w:val="auto"/>
          <w:sz w:val="24"/>
          <w:highlight w:val="none"/>
        </w:rPr>
      </w:pPr>
      <w:r>
        <w:rPr>
          <w:rFonts w:hint="eastAsia" w:ascii="宋体" w:hAnsi="宋体"/>
          <w:color w:val="auto"/>
          <w:sz w:val="24"/>
          <w:highlight w:val="none"/>
        </w:rPr>
        <w:t>年月日</w:t>
      </w:r>
    </w:p>
    <w:p>
      <w:pPr>
        <w:snapToGrid w:val="0"/>
        <w:spacing w:beforeLines="50" w:after="50"/>
        <w:jc w:val="center"/>
        <w:rPr>
          <w:rFonts w:ascii="宋体" w:hAnsi="宋体"/>
          <w:b/>
          <w:color w:val="auto"/>
          <w:sz w:val="24"/>
          <w:highlight w:val="none"/>
        </w:rPr>
      </w:pPr>
    </w:p>
    <w:p>
      <w:pPr>
        <w:snapToGrid w:val="0"/>
        <w:spacing w:beforeLines="50" w:after="50"/>
        <w:jc w:val="left"/>
        <w:rPr>
          <w:rFonts w:ascii="宋体" w:hAnsi="宋体"/>
          <w:b/>
          <w:color w:val="auto"/>
          <w:sz w:val="24"/>
          <w:szCs w:val="20"/>
          <w:highlight w:val="none"/>
        </w:rPr>
      </w:pPr>
      <w:r>
        <w:rPr>
          <w:rFonts w:hint="eastAsia" w:ascii="宋体" w:hAnsi="宋体"/>
          <w:color w:val="auto"/>
          <w:sz w:val="24"/>
          <w:highlight w:val="none"/>
        </w:rPr>
        <w:t>注：自然人投标的无需提供</w:t>
      </w:r>
    </w:p>
    <w:p>
      <w:pPr>
        <w:snapToGrid w:val="0"/>
        <w:spacing w:beforeLines="50" w:after="50"/>
        <w:jc w:val="left"/>
        <w:rPr>
          <w:rFonts w:ascii="宋体" w:hAnsi="宋体"/>
          <w:b/>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2.法定代表人授权委托书格式</w:t>
      </w:r>
    </w:p>
    <w:p>
      <w:pPr>
        <w:snapToGrid w:val="0"/>
        <w:spacing w:beforeLines="50" w:after="50"/>
        <w:jc w:val="center"/>
        <w:rPr>
          <w:rFonts w:ascii="宋体" w:hAnsi="宋体"/>
          <w:b/>
          <w:color w:val="auto"/>
          <w:sz w:val="44"/>
          <w:szCs w:val="44"/>
          <w:highlight w:val="none"/>
        </w:rPr>
      </w:pPr>
    </w:p>
    <w:p>
      <w:pPr>
        <w:snapToGrid w:val="0"/>
        <w:spacing w:beforeLines="50" w:after="50"/>
        <w:jc w:val="center"/>
        <w:rPr>
          <w:rFonts w:ascii="宋体" w:hAnsi="宋体"/>
          <w:b/>
          <w:color w:val="auto"/>
          <w:sz w:val="24"/>
          <w:highlight w:val="none"/>
        </w:rPr>
      </w:pPr>
      <w:r>
        <w:rPr>
          <w:rFonts w:hint="eastAsia" w:ascii="宋体" w:hAnsi="宋体"/>
          <w:b/>
          <w:color w:val="auto"/>
          <w:sz w:val="24"/>
          <w:highlight w:val="none"/>
        </w:rPr>
        <w:t>法定代表人授权委托书（如有委托时）</w:t>
      </w:r>
    </w:p>
    <w:p>
      <w:pPr>
        <w:snapToGrid w:val="0"/>
        <w:spacing w:beforeLines="50" w:after="50"/>
        <w:jc w:val="center"/>
        <w:rPr>
          <w:rFonts w:ascii="宋体" w:hAnsi="宋体"/>
          <w:b/>
          <w:color w:val="auto"/>
          <w:sz w:val="24"/>
          <w:highlight w:val="none"/>
        </w:rPr>
      </w:pPr>
    </w:p>
    <w:p>
      <w:pPr>
        <w:snapToGrid w:val="0"/>
        <w:spacing w:line="400" w:lineRule="exact"/>
        <w:rPr>
          <w:rFonts w:ascii="宋体" w:hAnsi="宋体"/>
          <w:b/>
          <w:bCs/>
          <w:color w:val="auto"/>
          <w:sz w:val="24"/>
          <w:highlight w:val="none"/>
        </w:rPr>
      </w:pPr>
      <w:r>
        <w:rPr>
          <w:rFonts w:hint="eastAsia" w:ascii="宋体" w:hAnsi="宋体"/>
          <w:bCs/>
          <w:color w:val="auto"/>
          <w:sz w:val="24"/>
          <w:highlight w:val="none"/>
        </w:rPr>
        <w:t>致：</w:t>
      </w:r>
      <w:r>
        <w:rPr>
          <w:rFonts w:hint="eastAsia" w:ascii="宋体" w:hAnsi="宋体"/>
          <w:color w:val="auto"/>
          <w:sz w:val="24"/>
          <w:highlight w:val="none"/>
          <w:u w:val="single"/>
        </w:rPr>
        <w:t>采购人名称</w:t>
      </w:r>
      <w:r>
        <w:rPr>
          <w:rFonts w:hint="eastAsia" w:ascii="宋体" w:hAnsi="宋体"/>
          <w:color w:val="auto"/>
          <w:sz w:val="24"/>
          <w:highlight w:val="none"/>
        </w:rPr>
        <w:t>：</w:t>
      </w:r>
    </w:p>
    <w:p>
      <w:pPr>
        <w:snapToGrid w:val="0"/>
        <w:spacing w:line="400" w:lineRule="exact"/>
        <w:ind w:firstLine="566" w:firstLineChars="236"/>
        <w:rPr>
          <w:rFonts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（姓名）</w:t>
      </w:r>
      <w:r>
        <w:rPr>
          <w:rFonts w:hint="eastAsia" w:ascii="宋体" w:hAnsi="宋体"/>
          <w:color w:val="auto"/>
          <w:sz w:val="24"/>
          <w:highlight w:val="none"/>
        </w:rPr>
        <w:t>系</w:t>
      </w:r>
      <w:r>
        <w:rPr>
          <w:rFonts w:hint="eastAsia" w:ascii="宋体" w:hAnsi="宋体"/>
          <w:color w:val="auto"/>
          <w:sz w:val="24"/>
          <w:highlight w:val="none"/>
          <w:u w:val="single"/>
        </w:rPr>
        <w:t>（投标人名称）</w:t>
      </w:r>
      <w:r>
        <w:rPr>
          <w:rFonts w:hint="eastAsia" w:ascii="宋体" w:hAnsi="宋体"/>
          <w:color w:val="auto"/>
          <w:sz w:val="24"/>
          <w:highlight w:val="none"/>
        </w:rPr>
        <w:t>的法定代表人，现授权委托本单位在职职工</w:t>
      </w:r>
      <w:r>
        <w:rPr>
          <w:rFonts w:hint="eastAsia" w:ascii="宋体" w:hAnsi="宋体"/>
          <w:color w:val="auto"/>
          <w:sz w:val="24"/>
          <w:highlight w:val="none"/>
          <w:u w:val="single"/>
        </w:rPr>
        <w:t>（姓名）</w:t>
      </w:r>
      <w:r>
        <w:rPr>
          <w:rFonts w:hint="eastAsia" w:ascii="宋体" w:hAnsi="宋体"/>
          <w:color w:val="auto"/>
          <w:sz w:val="24"/>
          <w:highlight w:val="none"/>
        </w:rPr>
        <w:t>以我方的名义参加</w:t>
      </w:r>
      <w:r>
        <w:rPr>
          <w:rFonts w:hint="eastAsia" w:ascii="宋体" w:hAnsi="宋体"/>
          <w:color w:val="auto"/>
          <w:sz w:val="24"/>
          <w:highlight w:val="none"/>
          <w:u w:val="single"/>
        </w:rPr>
        <w:t xml:space="preserve">                   （项目名称）</w:t>
      </w:r>
      <w:r>
        <w:rPr>
          <w:rFonts w:hint="eastAsia" w:ascii="宋体" w:hAnsi="宋体"/>
          <w:color w:val="auto"/>
          <w:sz w:val="24"/>
          <w:highlight w:val="none"/>
        </w:rPr>
        <w:t>项目的投标活动，并代表我方全权办理针对上述项目的投标、开标、评标、签约等具体事务和签署相关文件。</w:t>
      </w:r>
    </w:p>
    <w:p>
      <w:pPr>
        <w:snapToGrid w:val="0"/>
        <w:spacing w:line="400" w:lineRule="exact"/>
        <w:rPr>
          <w:rFonts w:ascii="宋体" w:hAnsi="宋体"/>
          <w:color w:val="auto"/>
          <w:sz w:val="24"/>
          <w:highlight w:val="none"/>
        </w:rPr>
      </w:pPr>
      <w:r>
        <w:rPr>
          <w:rFonts w:hint="eastAsia" w:ascii="宋体" w:hAnsi="宋体"/>
          <w:color w:val="auto"/>
          <w:sz w:val="24"/>
          <w:highlight w:val="none"/>
        </w:rPr>
        <w:t xml:space="preserve">    我方对委托代理人的签字事项负全部责任。</w:t>
      </w:r>
    </w:p>
    <w:p>
      <w:pPr>
        <w:snapToGrid w:val="0"/>
        <w:spacing w:line="400" w:lineRule="exact"/>
        <w:ind w:firstLine="480"/>
        <w:rPr>
          <w:rFonts w:ascii="宋体" w:hAnsi="宋体"/>
          <w:color w:val="auto"/>
          <w:sz w:val="24"/>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委托代理人在授权书有效期内签署的所有文件不因授权的撤销而失效。</w:t>
      </w:r>
    </w:p>
    <w:p>
      <w:pPr>
        <w:snapToGrid w:val="0"/>
        <w:spacing w:line="400" w:lineRule="exact"/>
        <w:ind w:firstLine="480"/>
        <w:rPr>
          <w:rFonts w:ascii="宋体" w:hAnsi="宋体"/>
          <w:color w:val="auto"/>
          <w:sz w:val="24"/>
          <w:highlight w:val="none"/>
        </w:rPr>
      </w:pPr>
      <w:r>
        <w:rPr>
          <w:rFonts w:hint="eastAsia" w:ascii="宋体" w:hAnsi="宋体"/>
          <w:color w:val="auto"/>
          <w:sz w:val="24"/>
          <w:highlight w:val="none"/>
        </w:rPr>
        <w:t>委托代理人无转委托权，特此委托。</w:t>
      </w:r>
    </w:p>
    <w:p>
      <w:pPr>
        <w:snapToGrid w:val="0"/>
        <w:spacing w:line="400" w:lineRule="exact"/>
        <w:ind w:firstLine="480"/>
        <w:rPr>
          <w:rFonts w:ascii="宋体" w:hAnsi="宋体"/>
          <w:color w:val="auto"/>
          <w:sz w:val="24"/>
          <w:highlight w:val="none"/>
        </w:rPr>
      </w:pPr>
      <w:r>
        <w:rPr>
          <w:rFonts w:hint="eastAsia" w:ascii="宋体" w:hAnsi="宋体"/>
          <w:color w:val="auto"/>
          <w:sz w:val="24"/>
          <w:highlight w:val="none"/>
        </w:rPr>
        <w:t>附：法定代表人身份证明及委托代理人有效身份证正反面复印件</w:t>
      </w:r>
    </w:p>
    <w:p>
      <w:pPr>
        <w:snapToGrid w:val="0"/>
        <w:spacing w:beforeLines="50" w:after="50"/>
        <w:rPr>
          <w:rFonts w:ascii="宋体" w:hAnsi="宋体"/>
          <w:color w:val="auto"/>
          <w:sz w:val="24"/>
          <w:highlight w:val="none"/>
        </w:rPr>
      </w:pPr>
    </w:p>
    <w:p>
      <w:pPr>
        <w:snapToGrid w:val="0"/>
        <w:spacing w:beforeLines="50" w:after="50"/>
        <w:rPr>
          <w:rFonts w:ascii="宋体" w:hAnsi="宋体"/>
          <w:color w:val="auto"/>
          <w:sz w:val="24"/>
          <w:highlight w:val="none"/>
          <w:u w:val="single"/>
        </w:rPr>
      </w:pPr>
      <w:r>
        <w:rPr>
          <w:rFonts w:hint="eastAsia" w:ascii="宋体" w:hAnsi="宋体"/>
          <w:color w:val="auto"/>
          <w:sz w:val="24"/>
          <w:highlight w:val="none"/>
        </w:rPr>
        <w:t>委托代理人签字：            法定代表人签章：</w:t>
      </w:r>
    </w:p>
    <w:p>
      <w:pPr>
        <w:snapToGrid w:val="0"/>
        <w:spacing w:beforeLines="50" w:after="50"/>
        <w:rPr>
          <w:rFonts w:ascii="宋体" w:hAnsi="宋体"/>
          <w:color w:val="auto"/>
          <w:sz w:val="24"/>
          <w:highlight w:val="none"/>
        </w:rPr>
      </w:pPr>
      <w:r>
        <w:rPr>
          <w:rFonts w:hint="eastAsia" w:ascii="宋体" w:hAnsi="宋体"/>
          <w:color w:val="auto"/>
          <w:sz w:val="24"/>
          <w:highlight w:val="none"/>
        </w:rPr>
        <w:t>所在部门职务：                      职务：</w:t>
      </w:r>
    </w:p>
    <w:p>
      <w:pPr>
        <w:snapToGrid w:val="0"/>
        <w:spacing w:beforeLines="50" w:after="50"/>
        <w:rPr>
          <w:rFonts w:ascii="宋体" w:hAnsi="宋体"/>
          <w:color w:val="auto"/>
          <w:sz w:val="24"/>
          <w:highlight w:val="none"/>
        </w:rPr>
      </w:pPr>
      <w:r>
        <w:rPr>
          <w:rFonts w:hint="eastAsia" w:ascii="宋体" w:hAnsi="宋体"/>
          <w:color w:val="auto"/>
          <w:sz w:val="24"/>
          <w:highlight w:val="none"/>
        </w:rPr>
        <w:t>委托代理人身份证号码：</w:t>
      </w:r>
    </w:p>
    <w:p>
      <w:pPr>
        <w:snapToGrid w:val="0"/>
        <w:spacing w:beforeLines="50" w:after="50"/>
        <w:jc w:val="center"/>
        <w:rPr>
          <w:rFonts w:ascii="宋体" w:hAnsi="宋体"/>
          <w:color w:val="auto"/>
          <w:sz w:val="24"/>
          <w:highlight w:val="none"/>
        </w:rPr>
      </w:pPr>
      <w:r>
        <w:rPr>
          <w:rFonts w:hint="eastAsia" w:ascii="宋体" w:hAnsi="宋体"/>
          <w:color w:val="auto"/>
          <w:sz w:val="24"/>
          <w:highlight w:val="none"/>
        </w:rPr>
        <w:t xml:space="preserve">                                                投标人公章：</w:t>
      </w:r>
    </w:p>
    <w:p>
      <w:pPr>
        <w:snapToGrid w:val="0"/>
        <w:spacing w:beforeLines="50" w:after="50"/>
        <w:jc w:val="center"/>
        <w:rPr>
          <w:rFonts w:ascii="宋体" w:hAnsi="宋体"/>
          <w:color w:val="auto"/>
          <w:sz w:val="24"/>
          <w:highlight w:val="none"/>
        </w:rPr>
      </w:pPr>
      <w:r>
        <w:rPr>
          <w:rFonts w:hint="eastAsia" w:ascii="宋体" w:hAnsi="宋体"/>
          <w:color w:val="auto"/>
          <w:sz w:val="24"/>
          <w:highlight w:val="none"/>
        </w:rPr>
        <w:t xml:space="preserve">                                              年    月    日</w:t>
      </w:r>
    </w:p>
    <w:p>
      <w:pPr>
        <w:snapToGrid w:val="0"/>
        <w:spacing w:beforeLines="50" w:after="50"/>
        <w:jc w:val="center"/>
        <w:rPr>
          <w:rFonts w:ascii="宋体" w:hAnsi="宋体"/>
          <w:color w:val="auto"/>
          <w:sz w:val="24"/>
          <w:highlight w:val="none"/>
        </w:rPr>
      </w:pPr>
    </w:p>
    <w:p>
      <w:pPr>
        <w:snapToGrid w:val="0"/>
        <w:spacing w:beforeLines="50" w:after="50"/>
        <w:jc w:val="center"/>
        <w:rPr>
          <w:rFonts w:ascii="宋体" w:hAnsi="宋体"/>
          <w:color w:val="auto"/>
          <w:sz w:val="24"/>
          <w:highlight w:val="none"/>
        </w:rPr>
      </w:pPr>
    </w:p>
    <w:p>
      <w:pPr>
        <w:snapToGrid w:val="0"/>
        <w:spacing w:beforeLines="50" w:after="50"/>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50" w:afterLines="50"/>
        <w:jc w:val="left"/>
        <w:rPr>
          <w:rFonts w:ascii="宋体" w:hAnsi="宋体"/>
          <w:color w:val="auto"/>
          <w:sz w:val="24"/>
          <w:highlight w:val="none"/>
        </w:rPr>
      </w:pPr>
    </w:p>
    <w:p>
      <w:pPr>
        <w:snapToGrid w:val="0"/>
        <w:spacing w:beforeLines="50" w:after="50"/>
        <w:jc w:val="left"/>
        <w:rPr>
          <w:rFonts w:ascii="宋体" w:hAnsi="宋体"/>
          <w:b/>
          <w:color w:val="auto"/>
          <w:sz w:val="24"/>
          <w:highlight w:val="none"/>
        </w:rPr>
      </w:pPr>
    </w:p>
    <w:p>
      <w:pPr>
        <w:rPr>
          <w:rFonts w:ascii="宋体" w:hAnsi="宋体"/>
          <w:b/>
          <w:color w:val="auto"/>
          <w:sz w:val="24"/>
          <w:highlight w:val="none"/>
        </w:rPr>
      </w:pPr>
      <w:r>
        <w:rPr>
          <w:rFonts w:hint="eastAsia" w:ascii="宋体" w:hAnsi="宋体"/>
          <w:b/>
          <w:color w:val="auto"/>
          <w:sz w:val="24"/>
          <w:highlight w:val="none"/>
        </w:rPr>
        <w:br w:type="page"/>
      </w:r>
    </w:p>
    <w:p>
      <w:pPr>
        <w:snapToGrid w:val="0"/>
        <w:spacing w:beforeLines="50" w:after="50"/>
        <w:jc w:val="left"/>
        <w:rPr>
          <w:rFonts w:ascii="宋体" w:hAnsi="宋体"/>
          <w:b/>
          <w:color w:val="auto"/>
          <w:sz w:val="24"/>
          <w:highlight w:val="none"/>
        </w:rPr>
      </w:pPr>
      <w:r>
        <w:rPr>
          <w:rFonts w:hint="eastAsia" w:ascii="宋体" w:hAnsi="宋体"/>
          <w:b/>
          <w:color w:val="auto"/>
          <w:sz w:val="24"/>
          <w:highlight w:val="none"/>
        </w:rPr>
        <w:t>3.供应商参加本项目无围标串标行为的承诺函</w:t>
      </w:r>
    </w:p>
    <w:p>
      <w:pPr>
        <w:snapToGrid w:val="0"/>
        <w:spacing w:beforeLines="50" w:after="50"/>
        <w:jc w:val="left"/>
        <w:rPr>
          <w:rFonts w:ascii="宋体" w:hAnsi="宋体"/>
          <w:b/>
          <w:color w:val="auto"/>
          <w:sz w:val="28"/>
          <w:szCs w:val="28"/>
          <w:highlight w:val="none"/>
        </w:rPr>
      </w:pPr>
    </w:p>
    <w:p>
      <w:pPr>
        <w:snapToGrid w:val="0"/>
        <w:spacing w:beforeLines="50" w:after="50"/>
        <w:outlineLvl w:val="1"/>
        <w:rPr>
          <w:rFonts w:ascii="宋体" w:hAnsi="宋体"/>
          <w:color w:val="auto"/>
          <w:sz w:val="24"/>
          <w:highlight w:val="none"/>
        </w:rPr>
      </w:pPr>
    </w:p>
    <w:p>
      <w:pPr>
        <w:snapToGrid w:val="0"/>
        <w:spacing w:beforeLines="50" w:after="50"/>
        <w:ind w:left="420"/>
        <w:jc w:val="center"/>
        <w:rPr>
          <w:rFonts w:ascii="宋体" w:hAnsi="宋体"/>
          <w:b/>
          <w:color w:val="auto"/>
          <w:sz w:val="28"/>
          <w:szCs w:val="28"/>
          <w:highlight w:val="none"/>
        </w:rPr>
      </w:pPr>
      <w:r>
        <w:rPr>
          <w:rFonts w:hint="eastAsia" w:ascii="宋体" w:hAnsi="宋体"/>
          <w:b/>
          <w:color w:val="auto"/>
          <w:sz w:val="28"/>
          <w:szCs w:val="28"/>
          <w:highlight w:val="none"/>
        </w:rPr>
        <w:t>供应商参加本项目无围标串标行为的承诺函</w:t>
      </w:r>
    </w:p>
    <w:p>
      <w:pPr>
        <w:snapToGrid w:val="0"/>
        <w:spacing w:beforeLines="50" w:after="50"/>
        <w:ind w:left="420"/>
        <w:jc w:val="center"/>
        <w:rPr>
          <w:rFonts w:ascii="宋体" w:hAnsi="宋体"/>
          <w:b/>
          <w:color w:val="auto"/>
          <w:sz w:val="24"/>
          <w:highlight w:val="none"/>
        </w:rPr>
      </w:pPr>
    </w:p>
    <w:p>
      <w:pPr>
        <w:snapToGrid w:val="0"/>
        <w:spacing w:beforeLines="50" w:after="50"/>
        <w:jc w:val="left"/>
        <w:rPr>
          <w:rFonts w:ascii="宋体" w:hAnsi="宋体"/>
          <w:b/>
          <w:color w:val="auto"/>
          <w:sz w:val="24"/>
          <w:highlight w:val="none"/>
        </w:rPr>
      </w:pPr>
      <w:r>
        <w:rPr>
          <w:rFonts w:hint="eastAsia" w:ascii="宋体" w:hAnsi="宋体"/>
          <w:b/>
          <w:color w:val="auto"/>
          <w:sz w:val="24"/>
          <w:highlight w:val="none"/>
        </w:rPr>
        <w:t>一、我公司承诺无下列相互串通投标的情形：</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1.不同投标人的投标文件由同一单位或者个人编制；或不同投标人报名的IP地址一致的；</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2.不同投标人委托同一单位或者个人办理投标事宜；</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3.不同的投标人的投标文件载明的项目管理员为同一个人；</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4.不同投标人的投标文件异常一致或投标报价呈规律性差异；</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5.不同投标人的投标文件相互混装；</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6.不同投标人的投标保证金从同一单位或者个人账户转出。</w:t>
      </w:r>
    </w:p>
    <w:p>
      <w:pPr>
        <w:snapToGrid w:val="0"/>
        <w:spacing w:beforeLines="50" w:after="50"/>
        <w:jc w:val="left"/>
        <w:rPr>
          <w:rFonts w:ascii="宋体" w:hAnsi="宋体"/>
          <w:color w:val="auto"/>
          <w:sz w:val="24"/>
          <w:highlight w:val="none"/>
        </w:rPr>
      </w:pPr>
      <w:r>
        <w:rPr>
          <w:rFonts w:hint="eastAsia" w:ascii="宋体" w:hAnsi="宋体"/>
          <w:b/>
          <w:color w:val="auto"/>
          <w:sz w:val="24"/>
          <w:highlight w:val="none"/>
        </w:rPr>
        <w:t>二、我公司承诺无下列恶意串通的情形：</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1.供应商直接或者间接从采购人或者采购代理机构处获得其他供应商的相关信息并修改其投标文件或者响应文件；</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2.供应商按照采购人或者采购代理机构的授意撤换、修改投标文件或者响应文件；</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3.供应商之间协商报价、技术方案等投标文件或者响应文件的实质性内容；</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4.属于同一集团、协会、商会等组织成员的供应商按照该组织要求协同参加政府采购活动；</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5.供应商之间事先约定一致抬高或者压低投标报价,或者在招标项目中事先约定轮流以高价位或者低价位中标,或者事先约定由某一特定供应商中标,然后再参加投标；</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6.供应商之间商定部分供应商放弃参加政府采购活动或者放弃中标；</w:t>
      </w:r>
    </w:p>
    <w:p>
      <w:pPr>
        <w:snapToGrid w:val="0"/>
        <w:spacing w:beforeLines="50" w:after="50"/>
        <w:ind w:firstLine="470" w:firstLineChars="196"/>
        <w:jc w:val="left"/>
        <w:rPr>
          <w:rFonts w:ascii="宋体" w:hAnsi="宋体"/>
          <w:color w:val="auto"/>
          <w:sz w:val="24"/>
          <w:highlight w:val="none"/>
        </w:rPr>
      </w:pPr>
      <w:r>
        <w:rPr>
          <w:rFonts w:hint="eastAsia" w:ascii="宋体" w:hAnsi="宋体"/>
          <w:color w:val="auto"/>
          <w:sz w:val="24"/>
          <w:highlight w:val="none"/>
        </w:rPr>
        <w:t>7.供应商与采购人或者采购代理机构之间、供应商相互之间，为谋求特定供应商中标或者排斥其他供应商的其他串通行为。</w:t>
      </w:r>
    </w:p>
    <w:p>
      <w:pPr>
        <w:snapToGrid w:val="0"/>
        <w:spacing w:beforeLines="50" w:after="50"/>
        <w:ind w:firstLine="470" w:firstLineChars="196"/>
        <w:jc w:val="left"/>
        <w:rPr>
          <w:rFonts w:ascii="宋体" w:hAnsi="宋体"/>
          <w:color w:val="auto"/>
          <w:sz w:val="24"/>
          <w:highlight w:val="none"/>
        </w:rPr>
      </w:pPr>
    </w:p>
    <w:p>
      <w:pPr>
        <w:snapToGrid w:val="0"/>
        <w:spacing w:beforeLines="50" w:after="50"/>
        <w:ind w:firstLine="472" w:firstLineChars="196"/>
        <w:jc w:val="left"/>
        <w:rPr>
          <w:rFonts w:ascii="宋体" w:hAnsi="宋体"/>
          <w:b/>
          <w:color w:val="auto"/>
          <w:sz w:val="24"/>
          <w:highlight w:val="none"/>
        </w:rPr>
      </w:pPr>
      <w:r>
        <w:rPr>
          <w:rFonts w:hint="eastAsia" w:ascii="宋体" w:hAnsi="宋体"/>
          <w:b/>
          <w:color w:val="auto"/>
          <w:sz w:val="24"/>
          <w:highlight w:val="none"/>
        </w:rPr>
        <w:t>以上情形一经核查属实，我方愿意承担一切后果，并不再寻求任何旨在减轻或免除法律责任的辩解。</w:t>
      </w:r>
    </w:p>
    <w:p>
      <w:pPr>
        <w:pStyle w:val="25"/>
        <w:snapToGrid w:val="0"/>
        <w:spacing w:before="295" w:after="295" w:line="320" w:lineRule="exact"/>
        <w:ind w:firstLine="6840" w:firstLineChars="2850"/>
        <w:rPr>
          <w:rFonts w:hAnsi="宋体"/>
          <w:color w:val="auto"/>
          <w:sz w:val="24"/>
          <w:szCs w:val="24"/>
          <w:highlight w:val="none"/>
        </w:rPr>
      </w:pPr>
    </w:p>
    <w:p>
      <w:pPr>
        <w:pStyle w:val="25"/>
        <w:snapToGrid w:val="0"/>
        <w:spacing w:before="295" w:after="295" w:line="320" w:lineRule="exact"/>
        <w:ind w:firstLine="6840" w:firstLineChars="2850"/>
        <w:rPr>
          <w:rFonts w:hAnsi="宋体"/>
          <w:color w:val="auto"/>
          <w:sz w:val="24"/>
          <w:szCs w:val="24"/>
          <w:highlight w:val="none"/>
        </w:rPr>
      </w:pPr>
      <w:r>
        <w:rPr>
          <w:rFonts w:hint="eastAsia" w:hAnsi="宋体"/>
          <w:color w:val="auto"/>
          <w:sz w:val="24"/>
          <w:szCs w:val="24"/>
          <w:highlight w:val="none"/>
        </w:rPr>
        <w:t>投标人名称：</w:t>
      </w:r>
      <w:r>
        <w:rPr>
          <w:rFonts w:hint="eastAsia" w:hAnsi="宋体"/>
          <w:color w:val="auto"/>
          <w:sz w:val="24"/>
          <w:szCs w:val="24"/>
          <w:highlight w:val="none"/>
          <w:u w:val="single"/>
        </w:rPr>
        <w:t>（公章）</w:t>
      </w:r>
    </w:p>
    <w:p>
      <w:pPr>
        <w:pStyle w:val="25"/>
        <w:snapToGrid w:val="0"/>
        <w:spacing w:before="295" w:after="295" w:line="320" w:lineRule="exact"/>
        <w:ind w:firstLine="6840" w:firstLineChars="2850"/>
        <w:rPr>
          <w:rFonts w:hAnsi="宋体"/>
          <w:color w:val="auto"/>
          <w:sz w:val="24"/>
          <w:highlight w:val="none"/>
        </w:rPr>
        <w:sectPr>
          <w:footerReference r:id="rId6" w:type="first"/>
          <w:headerReference r:id="rId3" w:type="default"/>
          <w:footerReference r:id="rId4" w:type="default"/>
          <w:footerReference r:id="rId5" w:type="even"/>
          <w:pgSz w:w="11906" w:h="16838"/>
          <w:pgMar w:top="1134" w:right="849" w:bottom="1560" w:left="1247" w:header="851" w:footer="992" w:gutter="0"/>
          <w:pgNumType w:start="0"/>
          <w:cols w:space="720" w:num="1"/>
          <w:titlePg/>
          <w:docGrid w:linePitch="312" w:charSpace="0"/>
        </w:sectPr>
      </w:pPr>
      <w:r>
        <w:rPr>
          <w:rFonts w:hint="eastAsia" w:hAnsi="宋体"/>
          <w:color w:val="auto"/>
          <w:sz w:val="24"/>
          <w:szCs w:val="24"/>
          <w:highlight w:val="none"/>
        </w:rPr>
        <w:t xml:space="preserve"> 年  月日</w:t>
      </w:r>
    </w:p>
    <w:p>
      <w:pPr>
        <w:snapToGrid w:val="0"/>
        <w:spacing w:beforeLines="50" w:after="50"/>
        <w:jc w:val="left"/>
        <w:rPr>
          <w:rFonts w:ascii="宋体" w:hAnsi="宋体"/>
          <w:b/>
          <w:color w:val="auto"/>
          <w:sz w:val="24"/>
          <w:highlight w:val="none"/>
        </w:rPr>
      </w:pPr>
      <w:r>
        <w:rPr>
          <w:rFonts w:hint="eastAsia" w:ascii="宋体" w:hAnsi="宋体"/>
          <w:b/>
          <w:color w:val="auto"/>
          <w:sz w:val="24"/>
          <w:highlight w:val="none"/>
        </w:rPr>
        <w:t>4.投标人类似的业绩证明文件</w:t>
      </w:r>
    </w:p>
    <w:p>
      <w:pPr>
        <w:pStyle w:val="35"/>
        <w:snapToGrid w:val="0"/>
        <w:ind w:left="480" w:hanging="480"/>
        <w:rPr>
          <w:rFonts w:ascii="宋体" w:hAnsi="宋体"/>
          <w:color w:val="auto"/>
          <w:sz w:val="24"/>
          <w:highlight w:val="none"/>
        </w:rPr>
      </w:pPr>
    </w:p>
    <w:p>
      <w:pPr>
        <w:pStyle w:val="35"/>
        <w:snapToGrid w:val="0"/>
        <w:ind w:left="480" w:hanging="480"/>
        <w:rPr>
          <w:rFonts w:ascii="宋体" w:hAnsi="宋体"/>
          <w:color w:val="auto"/>
          <w:sz w:val="24"/>
          <w:highlight w:val="none"/>
        </w:rPr>
      </w:pPr>
      <w:r>
        <w:rPr>
          <w:rFonts w:hint="eastAsia" w:ascii="宋体" w:hAnsi="宋体"/>
          <w:color w:val="auto"/>
          <w:sz w:val="24"/>
          <w:highlight w:val="none"/>
        </w:rPr>
        <w:t>投标人同类项目情况一览表格式：（投标人同类项目合同复印件、用户验收报告、用户评价意见格式自拟）</w:t>
      </w:r>
    </w:p>
    <w:tbl>
      <w:tblPr>
        <w:tblStyle w:val="46"/>
        <w:tblW w:w="1456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715"/>
        <w:gridCol w:w="1559"/>
        <w:gridCol w:w="1559"/>
        <w:gridCol w:w="1418"/>
        <w:gridCol w:w="226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采购人名称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项目名称</w:t>
            </w:r>
          </w:p>
        </w:tc>
        <w:tc>
          <w:tcPr>
            <w:tcW w:w="1715"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合同</w:t>
            </w:r>
          </w:p>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金额</w:t>
            </w:r>
          </w:p>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（万元）</w:t>
            </w:r>
          </w:p>
        </w:tc>
        <w:tc>
          <w:tcPr>
            <w:tcW w:w="4536" w:type="dxa"/>
            <w:gridSpan w:val="3"/>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附件在投标文件中页码</w:t>
            </w:r>
          </w:p>
        </w:tc>
        <w:tc>
          <w:tcPr>
            <w:tcW w:w="226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采购人联系人及</w:t>
            </w:r>
          </w:p>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c>
          <w:tcPr>
            <w:tcW w:w="17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合同</w:t>
            </w: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验收报告</w:t>
            </w:r>
          </w:p>
        </w:tc>
        <w:tc>
          <w:tcPr>
            <w:tcW w:w="1418"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olor w:val="auto"/>
                <w:sz w:val="24"/>
                <w:highlight w:val="none"/>
              </w:rPr>
            </w:pPr>
            <w:r>
              <w:rPr>
                <w:rFonts w:hint="eastAsia" w:ascii="宋体" w:hAnsi="宋体"/>
                <w:color w:val="auto"/>
                <w:sz w:val="24"/>
                <w:highlight w:val="none"/>
              </w:rPr>
              <w:t>用户评价</w:t>
            </w:r>
          </w:p>
        </w:tc>
        <w:tc>
          <w:tcPr>
            <w:tcW w:w="226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1715"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17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17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17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olor w:val="auto"/>
                <w:sz w:val="24"/>
                <w:highlight w:val="none"/>
              </w:rPr>
            </w:pPr>
          </w:p>
        </w:tc>
        <w:tc>
          <w:tcPr>
            <w:tcW w:w="171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b/>
                <w:bCs/>
                <w:color w:val="auto"/>
                <w:sz w:val="24"/>
                <w:highlight w:val="none"/>
              </w:rPr>
            </w:pPr>
          </w:p>
        </w:tc>
      </w:tr>
    </w:tbl>
    <w:p>
      <w:pPr>
        <w:pStyle w:val="18"/>
        <w:snapToGrid w:val="0"/>
        <w:rPr>
          <w:rFonts w:ascii="宋体" w:hAnsi="宋体" w:eastAsia="宋体"/>
          <w:color w:val="auto"/>
          <w:sz w:val="24"/>
          <w:szCs w:val="24"/>
          <w:highlight w:val="none"/>
        </w:rPr>
      </w:pPr>
    </w:p>
    <w:p>
      <w:pPr>
        <w:pStyle w:val="18"/>
        <w:snapToGrid w:val="0"/>
        <w:rPr>
          <w:rFonts w:ascii="宋体" w:hAnsi="宋体" w:eastAsia="宋体"/>
          <w:color w:val="auto"/>
          <w:sz w:val="24"/>
          <w:szCs w:val="24"/>
          <w:highlight w:val="none"/>
          <w:u w:val="single"/>
        </w:rPr>
      </w:pPr>
      <w:r>
        <w:rPr>
          <w:rFonts w:hint="eastAsia" w:ascii="宋体" w:hAnsi="宋体" w:eastAsia="宋体"/>
          <w:color w:val="auto"/>
          <w:sz w:val="24"/>
          <w:szCs w:val="24"/>
          <w:highlight w:val="none"/>
        </w:rPr>
        <w:t>法定代表人或委托代理人签字或盖印章：</w:t>
      </w:r>
      <w:r>
        <w:rPr>
          <w:rFonts w:hint="eastAsia" w:ascii="宋体" w:hAnsi="宋体" w:eastAsia="宋体"/>
          <w:color w:val="auto"/>
          <w:sz w:val="24"/>
          <w:szCs w:val="24"/>
          <w:highlight w:val="none"/>
          <w:u w:val="single"/>
        </w:rPr>
        <w:t>　　　　　</w:t>
      </w:r>
    </w:p>
    <w:p>
      <w:pPr>
        <w:snapToGrid w:val="0"/>
        <w:spacing w:before="50"/>
        <w:ind w:right="480"/>
        <w:rPr>
          <w:rFonts w:ascii="宋体" w:hAnsi="宋体"/>
          <w:color w:val="auto"/>
          <w:sz w:val="24"/>
          <w:highlight w:val="none"/>
          <w:u w:val="single"/>
        </w:rPr>
      </w:pPr>
      <w:r>
        <w:rPr>
          <w:rFonts w:hint="eastAsia" w:ascii="宋体" w:hAnsi="宋体"/>
          <w:color w:val="auto"/>
          <w:sz w:val="24"/>
          <w:highlight w:val="none"/>
        </w:rPr>
        <w:t>投标人公章：</w:t>
      </w:r>
    </w:p>
    <w:p>
      <w:pPr>
        <w:snapToGrid w:val="0"/>
        <w:spacing w:before="50"/>
        <w:ind w:right="480"/>
        <w:rPr>
          <w:rFonts w:ascii="宋体" w:hAnsi="宋体"/>
          <w:color w:val="auto"/>
          <w:sz w:val="24"/>
          <w:highlight w:val="none"/>
        </w:rPr>
      </w:pPr>
    </w:p>
    <w:p>
      <w:pPr>
        <w:snapToGrid w:val="0"/>
        <w:spacing w:before="50"/>
        <w:ind w:right="480"/>
        <w:rPr>
          <w:rFonts w:ascii="宋体" w:hAnsi="宋体"/>
          <w:color w:val="auto"/>
          <w:sz w:val="24"/>
          <w:szCs w:val="20"/>
          <w:highlight w:val="none"/>
        </w:rPr>
      </w:pPr>
      <w:r>
        <w:rPr>
          <w:rFonts w:hint="eastAsia" w:ascii="宋体" w:hAnsi="宋体"/>
          <w:color w:val="auto"/>
          <w:sz w:val="24"/>
          <w:highlight w:val="none"/>
        </w:rPr>
        <w:t>年    月    日</w:t>
      </w:r>
    </w:p>
    <w:p>
      <w:pPr>
        <w:snapToGrid w:val="0"/>
        <w:spacing w:before="50"/>
        <w:ind w:firstLine="480" w:firstLineChars="200"/>
        <w:jc w:val="left"/>
        <w:rPr>
          <w:rFonts w:ascii="宋体" w:hAnsi="宋体"/>
          <w:color w:val="auto"/>
          <w:sz w:val="24"/>
          <w:szCs w:val="20"/>
          <w:highlight w:val="none"/>
        </w:rPr>
      </w:pPr>
    </w:p>
    <w:p>
      <w:pPr>
        <w:snapToGrid w:val="0"/>
        <w:spacing w:before="50"/>
        <w:jc w:val="left"/>
        <w:rPr>
          <w:rFonts w:ascii="宋体" w:hAnsi="宋体"/>
          <w:color w:val="auto"/>
          <w:sz w:val="24"/>
          <w:highlight w:val="none"/>
        </w:rPr>
      </w:pPr>
    </w:p>
    <w:p>
      <w:pPr>
        <w:snapToGrid w:val="0"/>
        <w:spacing w:before="50"/>
        <w:jc w:val="left"/>
        <w:rPr>
          <w:rFonts w:ascii="宋体" w:hAnsi="宋体"/>
          <w:color w:val="auto"/>
          <w:sz w:val="24"/>
          <w:highlight w:val="none"/>
        </w:rPr>
        <w:sectPr>
          <w:pgSz w:w="16838" w:h="11906" w:orient="landscape"/>
          <w:pgMar w:top="1247" w:right="1134" w:bottom="1247" w:left="1134" w:header="851" w:footer="992" w:gutter="0"/>
          <w:cols w:space="720" w:num="1"/>
          <w:docGrid w:linePitch="312" w:charSpace="0"/>
        </w:sectPr>
      </w:pPr>
    </w:p>
    <w:p>
      <w:pPr>
        <w:snapToGrid w:val="0"/>
        <w:spacing w:beforeLines="50" w:after="50"/>
        <w:jc w:val="left"/>
        <w:rPr>
          <w:rFonts w:ascii="宋体" w:hAnsi="宋体"/>
          <w:b/>
          <w:color w:val="auto"/>
          <w:sz w:val="24"/>
          <w:szCs w:val="20"/>
          <w:highlight w:val="none"/>
        </w:rPr>
      </w:pPr>
      <w:r>
        <w:rPr>
          <w:rFonts w:hint="eastAsia" w:ascii="宋体" w:hAnsi="宋体"/>
          <w:b/>
          <w:color w:val="auto"/>
          <w:sz w:val="24"/>
          <w:highlight w:val="none"/>
        </w:rPr>
        <w:t>5.商务条款偏离表格式</w:t>
      </w:r>
    </w:p>
    <w:p>
      <w:pPr>
        <w:snapToGrid w:val="0"/>
        <w:spacing w:before="50"/>
        <w:jc w:val="left"/>
        <w:rPr>
          <w:rFonts w:ascii="宋体" w:hAnsi="宋体"/>
          <w:color w:val="auto"/>
          <w:sz w:val="24"/>
          <w:highlight w:val="none"/>
        </w:rPr>
      </w:pPr>
    </w:p>
    <w:p>
      <w:pPr>
        <w:pStyle w:val="25"/>
        <w:ind w:firstLine="480" w:firstLineChars="200"/>
        <w:rPr>
          <w:color w:val="auto"/>
          <w:sz w:val="24"/>
          <w:szCs w:val="24"/>
          <w:highlight w:val="none"/>
        </w:rPr>
      </w:pPr>
      <w:r>
        <w:rPr>
          <w:rFonts w:hint="eastAsia"/>
          <w:color w:val="auto"/>
          <w:sz w:val="24"/>
          <w:szCs w:val="24"/>
          <w:highlight w:val="none"/>
        </w:rPr>
        <w:t>请</w:t>
      </w:r>
      <w:r>
        <w:rPr>
          <w:rFonts w:hint="eastAsia"/>
          <w:b/>
          <w:color w:val="auto"/>
          <w:sz w:val="24"/>
          <w:szCs w:val="24"/>
          <w:highlight w:val="none"/>
        </w:rPr>
        <w:t>逐条</w:t>
      </w:r>
      <w:r>
        <w:rPr>
          <w:rFonts w:hint="eastAsia"/>
          <w:color w:val="auto"/>
          <w:sz w:val="24"/>
          <w:szCs w:val="24"/>
          <w:highlight w:val="none"/>
        </w:rPr>
        <w:t>对应本项目招标文件第二章“采购需求”中“商务条款”的要求，详细填写相应的具体内容。“偏离说明”一栏应当选择“正偏离”、“负偏离”或“无偏离”进行填写。</w:t>
      </w:r>
    </w:p>
    <w:p>
      <w:pPr>
        <w:pStyle w:val="25"/>
        <w:rPr>
          <w:color w:val="auto"/>
          <w:sz w:val="24"/>
          <w:szCs w:val="24"/>
          <w:highlight w:val="none"/>
          <w:u w:val="single"/>
        </w:rPr>
      </w:pPr>
    </w:p>
    <w:tbl>
      <w:tblPr>
        <w:tblStyle w:val="46"/>
        <w:tblpPr w:leftFromText="180" w:rightFromText="180" w:vertAnchor="text" w:horzAnchor="margin" w:tblpXSpec="center" w:tblpY="94"/>
        <w:tblW w:w="83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3458"/>
        <w:gridCol w:w="3159"/>
        <w:gridCol w:w="11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608"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项号</w:t>
            </w:r>
          </w:p>
        </w:tc>
        <w:tc>
          <w:tcPr>
            <w:tcW w:w="3458"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招标文件的商务条款需求</w:t>
            </w:r>
          </w:p>
        </w:tc>
        <w:tc>
          <w:tcPr>
            <w:tcW w:w="3159"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投标文件承诺的商务条款</w:t>
            </w:r>
          </w:p>
        </w:tc>
        <w:tc>
          <w:tcPr>
            <w:tcW w:w="1122"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trPr>
        <w:tc>
          <w:tcPr>
            <w:tcW w:w="608"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一</w:t>
            </w:r>
          </w:p>
        </w:tc>
        <w:tc>
          <w:tcPr>
            <w:tcW w:w="3458"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3159"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1122"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trPr>
        <w:tc>
          <w:tcPr>
            <w:tcW w:w="608"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二</w:t>
            </w:r>
          </w:p>
        </w:tc>
        <w:tc>
          <w:tcPr>
            <w:tcW w:w="3458"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3159"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1122"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trPr>
        <w:tc>
          <w:tcPr>
            <w:tcW w:w="608"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w:t>
            </w:r>
          </w:p>
        </w:tc>
        <w:tc>
          <w:tcPr>
            <w:tcW w:w="3458"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3159"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1122"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p>
          <w:p>
            <w:pPr>
              <w:pStyle w:val="25"/>
              <w:rPr>
                <w:color w:val="auto"/>
                <w:sz w:val="24"/>
                <w:szCs w:val="24"/>
                <w:highlight w:val="none"/>
              </w:rPr>
            </w:pPr>
            <w:r>
              <w:rPr>
                <w:rFonts w:hint="eastAsia"/>
                <w:color w:val="auto"/>
                <w:sz w:val="24"/>
                <w:szCs w:val="24"/>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8347" w:type="dxa"/>
            <w:gridSpan w:val="4"/>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u w:val="single"/>
              </w:rPr>
              <w:t>　　</w:t>
            </w:r>
            <w:r>
              <w:rPr>
                <w:rFonts w:hint="eastAsia"/>
                <w:color w:val="auto"/>
                <w:sz w:val="24"/>
                <w:szCs w:val="24"/>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8347" w:type="dxa"/>
            <w:gridSpan w:val="4"/>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8347" w:type="dxa"/>
            <w:gridSpan w:val="4"/>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r>
              <w:rPr>
                <w:rFonts w:hint="eastAsia"/>
                <w:color w:val="auto"/>
                <w:sz w:val="24"/>
                <w:szCs w:val="24"/>
                <w:highlight w:val="none"/>
              </w:rPr>
              <w:t>法定代表人或其委托代理人（签字或盖印章）：</w:t>
            </w:r>
          </w:p>
        </w:tc>
      </w:tr>
    </w:tbl>
    <w:p>
      <w:pPr>
        <w:pStyle w:val="25"/>
        <w:rPr>
          <w:color w:val="auto"/>
          <w:sz w:val="24"/>
          <w:szCs w:val="24"/>
          <w:highlight w:val="none"/>
        </w:rPr>
      </w:pPr>
      <w:r>
        <w:rPr>
          <w:rFonts w:hint="eastAsia"/>
          <w:color w:val="auto"/>
          <w:sz w:val="24"/>
          <w:szCs w:val="24"/>
          <w:highlight w:val="none"/>
        </w:rPr>
        <w:t>注：⑴表格内容均需按要求填写并盖章，不得留空，否则按投标无效处理。</w:t>
      </w:r>
    </w:p>
    <w:p>
      <w:pPr>
        <w:pStyle w:val="25"/>
        <w:rPr>
          <w:color w:val="auto"/>
          <w:sz w:val="24"/>
          <w:szCs w:val="24"/>
          <w:highlight w:val="none"/>
        </w:rPr>
      </w:pPr>
      <w:r>
        <w:rPr>
          <w:rFonts w:hint="eastAsia"/>
          <w:color w:val="auto"/>
          <w:sz w:val="24"/>
          <w:szCs w:val="24"/>
          <w:highlight w:val="none"/>
        </w:rPr>
        <w:t>⑵如果招标文件需求有小于或大于某个数值标准时，投标文件承诺内容应当写明投标服务具体参数或商务响应承诺的具体数值，否则按投标无效处理。</w:t>
      </w:r>
    </w:p>
    <w:p>
      <w:pPr>
        <w:pStyle w:val="25"/>
        <w:rPr>
          <w:color w:val="auto"/>
          <w:sz w:val="24"/>
          <w:szCs w:val="24"/>
          <w:highlight w:val="none"/>
        </w:rPr>
      </w:pPr>
      <w:r>
        <w:rPr>
          <w:rFonts w:hint="eastAsia"/>
          <w:color w:val="auto"/>
          <w:sz w:val="24"/>
          <w:szCs w:val="24"/>
          <w:highlight w:val="none"/>
        </w:rPr>
        <w:t>⑶当投标文件的技术参数或商务内容低于招标文件要求时，供应商应当如实写明“负偏离”，否则视为虚假应标。</w:t>
      </w:r>
    </w:p>
    <w:p>
      <w:pPr>
        <w:pStyle w:val="25"/>
        <w:rPr>
          <w:rFonts w:ascii="Times New Roman" w:hAnsi="Times New Roman"/>
          <w:color w:val="auto"/>
          <w:sz w:val="21"/>
          <w:szCs w:val="20"/>
          <w:highlight w:val="none"/>
        </w:rPr>
      </w:pPr>
    </w:p>
    <w:p>
      <w:pPr>
        <w:snapToGrid w:val="0"/>
        <w:spacing w:beforeLines="50"/>
        <w:rPr>
          <w:rFonts w:ascii="宋体" w:hAnsi="宋体"/>
          <w:color w:val="auto"/>
          <w:sz w:val="24"/>
          <w:szCs w:val="20"/>
          <w:highlight w:val="none"/>
        </w:rPr>
      </w:pPr>
    </w:p>
    <w:p>
      <w:pPr>
        <w:snapToGrid w:val="0"/>
        <w:spacing w:beforeLines="50" w:after="50"/>
        <w:outlineLvl w:val="1"/>
        <w:rPr>
          <w:rFonts w:ascii="宋体" w:hAnsi="宋体"/>
          <w:b/>
          <w:bCs/>
          <w:color w:val="auto"/>
          <w:sz w:val="24"/>
          <w:highlight w:val="none"/>
        </w:rPr>
      </w:pPr>
      <w:r>
        <w:rPr>
          <w:rFonts w:ascii="宋体" w:hAnsi="宋体"/>
          <w:b/>
          <w:color w:val="auto"/>
          <w:sz w:val="28"/>
          <w:szCs w:val="28"/>
          <w:highlight w:val="none"/>
        </w:rPr>
        <w:br w:type="page"/>
      </w:r>
      <w:bookmarkStart w:id="154" w:name="_Toc50406508"/>
      <w:r>
        <w:rPr>
          <w:rFonts w:hint="eastAsia" w:ascii="宋体" w:hAnsi="宋体"/>
          <w:b/>
          <w:bCs/>
          <w:color w:val="auto"/>
          <w:sz w:val="24"/>
          <w:highlight w:val="none"/>
        </w:rPr>
        <w:t>B、技术文件目录</w:t>
      </w:r>
      <w:bookmarkEnd w:id="154"/>
    </w:p>
    <w:p>
      <w:pPr>
        <w:snapToGrid w:val="0"/>
        <w:spacing w:before="50" w:afterLines="50" w:line="280" w:lineRule="exact"/>
        <w:ind w:left="283" w:leftChars="135"/>
        <w:jc w:val="left"/>
        <w:rPr>
          <w:rFonts w:ascii="宋体" w:hAnsi="宋体"/>
          <w:b/>
          <w:bCs/>
          <w:color w:val="auto"/>
          <w:sz w:val="24"/>
          <w:highlight w:val="none"/>
        </w:rPr>
      </w:pPr>
      <w:r>
        <w:rPr>
          <w:rFonts w:hint="eastAsia" w:ascii="宋体" w:hAnsi="宋体"/>
          <w:b/>
          <w:bCs/>
          <w:color w:val="auto"/>
          <w:sz w:val="24"/>
          <w:highlight w:val="none"/>
        </w:rPr>
        <w:t>根据招标文件规定及投标人提供的材料自行编写目录。</w:t>
      </w:r>
    </w:p>
    <w:p>
      <w:pPr>
        <w:snapToGrid w:val="0"/>
        <w:spacing w:beforeLines="50" w:after="50"/>
        <w:ind w:left="142"/>
        <w:jc w:val="left"/>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6. 技术偏离表格式</w:t>
      </w:r>
    </w:p>
    <w:p>
      <w:pPr>
        <w:snapToGrid w:val="0"/>
        <w:spacing w:beforeLines="50" w:after="50"/>
        <w:ind w:left="142"/>
        <w:jc w:val="left"/>
        <w:rPr>
          <w:rFonts w:ascii="宋体" w:hAnsi="宋体"/>
          <w:b/>
          <w:color w:val="auto"/>
          <w:sz w:val="24"/>
          <w:highlight w:val="none"/>
        </w:rPr>
      </w:pPr>
    </w:p>
    <w:p>
      <w:pPr>
        <w:snapToGrid w:val="0"/>
        <w:spacing w:beforeLines="50" w:after="50"/>
        <w:ind w:left="142"/>
        <w:jc w:val="center"/>
        <w:rPr>
          <w:rFonts w:ascii="宋体" w:hAnsi="宋体"/>
          <w:b/>
          <w:color w:val="auto"/>
          <w:sz w:val="24"/>
          <w:highlight w:val="none"/>
        </w:rPr>
      </w:pPr>
      <w:r>
        <w:rPr>
          <w:rFonts w:hint="eastAsia" w:ascii="宋体" w:hAnsi="宋体"/>
          <w:b/>
          <w:color w:val="auto"/>
          <w:sz w:val="24"/>
          <w:highlight w:val="none"/>
        </w:rPr>
        <w:t>技术偏离表</w:t>
      </w:r>
    </w:p>
    <w:p>
      <w:pPr>
        <w:pStyle w:val="25"/>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请根据所投产品的实际技术参数，</w:t>
      </w:r>
      <w:r>
        <w:rPr>
          <w:rFonts w:hint="eastAsia" w:ascii="Times New Roman" w:hAnsi="Times New Roman"/>
          <w:b/>
          <w:color w:val="auto"/>
          <w:sz w:val="24"/>
          <w:szCs w:val="24"/>
          <w:highlight w:val="none"/>
        </w:rPr>
        <w:t>逐条</w:t>
      </w:r>
      <w:r>
        <w:rPr>
          <w:rFonts w:hint="eastAsia" w:ascii="Times New Roman" w:hAnsi="Times New Roman"/>
          <w:color w:val="auto"/>
          <w:sz w:val="24"/>
          <w:szCs w:val="24"/>
          <w:highlight w:val="none"/>
        </w:rPr>
        <w:t>对应本项目招标文件第二章“采购需求”中的一、采购项目需求一览表的服务需求详细填写相应的具体内容。“偏离说明”一栏应当选择“正偏离”、“负偏离”或“无偏离”进行填写</w:t>
      </w:r>
      <w:r>
        <w:rPr>
          <w:rFonts w:hint="eastAsia"/>
          <w:color w:val="auto"/>
          <w:sz w:val="24"/>
          <w:szCs w:val="24"/>
          <w:highlight w:val="none"/>
        </w:rPr>
        <w:t>。</w:t>
      </w:r>
    </w:p>
    <w:p>
      <w:pPr>
        <w:pStyle w:val="25"/>
        <w:ind w:firstLine="600" w:firstLineChars="250"/>
        <w:rPr>
          <w:rFonts w:ascii="Times New Roman" w:hAnsi="Times New Roman"/>
          <w:color w:val="auto"/>
          <w:sz w:val="24"/>
          <w:szCs w:val="24"/>
          <w:highlight w:val="none"/>
        </w:rPr>
      </w:pPr>
    </w:p>
    <w:tbl>
      <w:tblPr>
        <w:tblStyle w:val="46"/>
        <w:tblW w:w="93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
        <w:gridCol w:w="1297"/>
        <w:gridCol w:w="825"/>
        <w:gridCol w:w="1275"/>
        <w:gridCol w:w="1185"/>
        <w:gridCol w:w="825"/>
        <w:gridCol w:w="1838"/>
        <w:gridCol w:w="1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jc w:val="center"/>
        </w:trPr>
        <w:tc>
          <w:tcPr>
            <w:tcW w:w="531" w:type="dxa"/>
            <w:vMerge w:val="restart"/>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项号</w:t>
            </w:r>
          </w:p>
        </w:tc>
        <w:tc>
          <w:tcPr>
            <w:tcW w:w="3397" w:type="dxa"/>
            <w:gridSpan w:val="3"/>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招标文件采购需求</w:t>
            </w:r>
          </w:p>
        </w:tc>
        <w:tc>
          <w:tcPr>
            <w:tcW w:w="3848" w:type="dxa"/>
            <w:gridSpan w:val="3"/>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投标文件承诺</w:t>
            </w:r>
          </w:p>
        </w:tc>
        <w:tc>
          <w:tcPr>
            <w:tcW w:w="1601" w:type="dxa"/>
            <w:vMerge w:val="restart"/>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5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c>
          <w:tcPr>
            <w:tcW w:w="1297"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项目名称</w:t>
            </w:r>
          </w:p>
        </w:tc>
        <w:tc>
          <w:tcPr>
            <w:tcW w:w="825"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数量</w:t>
            </w:r>
          </w:p>
        </w:tc>
        <w:tc>
          <w:tcPr>
            <w:tcW w:w="1275"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服务需求</w:t>
            </w:r>
          </w:p>
        </w:tc>
        <w:tc>
          <w:tcPr>
            <w:tcW w:w="1185"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项目名称</w:t>
            </w:r>
          </w:p>
        </w:tc>
        <w:tc>
          <w:tcPr>
            <w:tcW w:w="825"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数量</w:t>
            </w:r>
          </w:p>
        </w:tc>
        <w:tc>
          <w:tcPr>
            <w:tcW w:w="1838" w:type="dxa"/>
            <w:tcBorders>
              <w:top w:val="single" w:color="auto" w:sz="4" w:space="0"/>
              <w:left w:val="single" w:color="auto" w:sz="4" w:space="0"/>
              <w:bottom w:val="single" w:color="auto" w:sz="4" w:space="0"/>
              <w:right w:val="single" w:color="auto" w:sz="4" w:space="0"/>
            </w:tcBorders>
            <w:vAlign w:val="center"/>
          </w:tcPr>
          <w:p>
            <w:pPr>
              <w:pStyle w:val="25"/>
              <w:jc w:val="center"/>
              <w:rPr>
                <w:color w:val="auto"/>
                <w:sz w:val="24"/>
                <w:szCs w:val="24"/>
                <w:highlight w:val="none"/>
              </w:rPr>
            </w:pPr>
            <w:r>
              <w:rPr>
                <w:rFonts w:hint="eastAsia"/>
                <w:color w:val="auto"/>
                <w:sz w:val="24"/>
                <w:szCs w:val="24"/>
                <w:highlight w:val="none"/>
              </w:rPr>
              <w:t>服务需求承诺</w:t>
            </w:r>
          </w:p>
        </w:tc>
        <w:tc>
          <w:tcPr>
            <w:tcW w:w="16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297"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825"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1185"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825"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1838"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160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297"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825"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pPr>
              <w:pStyle w:val="25"/>
              <w:rPr>
                <w:rFonts w:hAnsi="宋体"/>
                <w:color w:val="auto"/>
                <w:kern w:val="2"/>
                <w:sz w:val="24"/>
                <w:szCs w:val="24"/>
                <w:highlight w:val="none"/>
              </w:rPr>
            </w:pPr>
            <w:r>
              <w:rPr>
                <w:rFonts w:hint="eastAsia"/>
                <w:color w:val="auto"/>
                <w:sz w:val="24"/>
                <w:szCs w:val="24"/>
                <w:highlight w:val="none"/>
              </w:rPr>
              <w:t>1  ……</w:t>
            </w:r>
          </w:p>
          <w:p>
            <w:pPr>
              <w:pStyle w:val="25"/>
              <w:rPr>
                <w:color w:val="auto"/>
                <w:sz w:val="24"/>
                <w:szCs w:val="24"/>
                <w:highlight w:val="none"/>
              </w:rPr>
            </w:pPr>
            <w:r>
              <w:rPr>
                <w:rFonts w:hint="eastAsia"/>
                <w:color w:val="auto"/>
                <w:sz w:val="24"/>
                <w:szCs w:val="24"/>
                <w:highlight w:val="none"/>
              </w:rPr>
              <w:t>2  ……</w:t>
            </w:r>
          </w:p>
          <w:p>
            <w:pPr>
              <w:pStyle w:val="25"/>
              <w:rPr>
                <w:color w:val="auto"/>
                <w:sz w:val="24"/>
                <w:szCs w:val="24"/>
                <w:highlight w:val="none"/>
              </w:rPr>
            </w:pPr>
            <w:r>
              <w:rPr>
                <w:rFonts w:hint="eastAsia"/>
                <w:color w:val="auto"/>
                <w:sz w:val="24"/>
                <w:szCs w:val="24"/>
                <w:highlight w:val="none"/>
              </w:rPr>
              <w:t>3  ……</w:t>
            </w:r>
          </w:p>
          <w:p>
            <w:pPr>
              <w:pStyle w:val="25"/>
              <w:rPr>
                <w:color w:val="auto"/>
                <w:sz w:val="24"/>
                <w:szCs w:val="24"/>
                <w:highlight w:val="none"/>
              </w:rPr>
            </w:pPr>
            <w:r>
              <w:rPr>
                <w:rFonts w:hint="eastAsia"/>
                <w:color w:val="auto"/>
                <w:sz w:val="24"/>
                <w:szCs w:val="24"/>
                <w:highlight w:val="none"/>
              </w:rPr>
              <w:t>……</w:t>
            </w:r>
          </w:p>
        </w:tc>
        <w:tc>
          <w:tcPr>
            <w:tcW w:w="1185" w:type="dxa"/>
            <w:tcBorders>
              <w:top w:val="single" w:color="auto" w:sz="4" w:space="0"/>
              <w:left w:val="single" w:color="auto" w:sz="4" w:space="0"/>
              <w:bottom w:val="single" w:color="auto" w:sz="4" w:space="0"/>
              <w:right w:val="single" w:color="auto" w:sz="4" w:space="0"/>
            </w:tcBorders>
          </w:tcPr>
          <w:p>
            <w:pPr>
              <w:spacing w:line="360" w:lineRule="atLeast"/>
              <w:rPr>
                <w:color w:val="auto"/>
                <w:sz w:val="24"/>
                <w:highlight w:val="none"/>
              </w:rPr>
            </w:pPr>
          </w:p>
        </w:tc>
        <w:tc>
          <w:tcPr>
            <w:tcW w:w="825" w:type="dxa"/>
            <w:tcBorders>
              <w:top w:val="single" w:color="auto" w:sz="4" w:space="0"/>
              <w:left w:val="single" w:color="auto" w:sz="4" w:space="0"/>
              <w:bottom w:val="single" w:color="auto" w:sz="4" w:space="0"/>
              <w:right w:val="single" w:color="auto" w:sz="4" w:space="0"/>
            </w:tcBorders>
          </w:tcPr>
          <w:p>
            <w:pPr>
              <w:pStyle w:val="25"/>
              <w:rPr>
                <w:color w:val="auto"/>
                <w:sz w:val="24"/>
                <w:szCs w:val="24"/>
                <w:highlight w:val="none"/>
              </w:rPr>
            </w:pPr>
          </w:p>
        </w:tc>
        <w:tc>
          <w:tcPr>
            <w:tcW w:w="1838" w:type="dxa"/>
            <w:tcBorders>
              <w:top w:val="single" w:color="auto" w:sz="4" w:space="0"/>
              <w:left w:val="single" w:color="auto" w:sz="4" w:space="0"/>
              <w:bottom w:val="single" w:color="auto" w:sz="4" w:space="0"/>
              <w:right w:val="single" w:color="auto" w:sz="4" w:space="0"/>
            </w:tcBorders>
          </w:tcPr>
          <w:p>
            <w:pPr>
              <w:rPr>
                <w:rFonts w:ascii="宋体" w:hAnsi="宋体"/>
                <w:color w:val="auto"/>
                <w:sz w:val="24"/>
                <w:highlight w:val="none"/>
              </w:rPr>
            </w:pPr>
            <w:r>
              <w:rPr>
                <w:rFonts w:ascii="宋体" w:hAnsi="宋体"/>
                <w:color w:val="auto"/>
                <w:sz w:val="24"/>
                <w:highlight w:val="none"/>
              </w:rPr>
              <w:t>1  ……</w:t>
            </w:r>
          </w:p>
          <w:p>
            <w:pPr>
              <w:rPr>
                <w:rFonts w:ascii="宋体" w:hAnsi="宋体"/>
                <w:color w:val="auto"/>
                <w:sz w:val="24"/>
                <w:highlight w:val="none"/>
              </w:rPr>
            </w:pPr>
            <w:r>
              <w:rPr>
                <w:rFonts w:ascii="宋体" w:hAnsi="宋体"/>
                <w:color w:val="auto"/>
                <w:sz w:val="24"/>
                <w:highlight w:val="none"/>
              </w:rPr>
              <w:t>2  ……</w:t>
            </w:r>
          </w:p>
          <w:p>
            <w:pPr>
              <w:rPr>
                <w:rFonts w:ascii="宋体" w:hAnsi="宋体"/>
                <w:color w:val="auto"/>
                <w:sz w:val="24"/>
                <w:highlight w:val="none"/>
              </w:rPr>
            </w:pPr>
            <w:r>
              <w:rPr>
                <w:rFonts w:ascii="宋体" w:hAnsi="宋体"/>
                <w:color w:val="auto"/>
                <w:sz w:val="24"/>
                <w:highlight w:val="none"/>
              </w:rPr>
              <w:t>3  ……</w:t>
            </w:r>
          </w:p>
          <w:p>
            <w:pPr>
              <w:spacing w:line="360" w:lineRule="atLeast"/>
              <w:rPr>
                <w:color w:val="auto"/>
                <w:sz w:val="24"/>
                <w:highlight w:val="none"/>
              </w:rPr>
            </w:pPr>
            <w:r>
              <w:rPr>
                <w:rFonts w:ascii="宋体" w:hAnsi="宋体"/>
                <w:color w:val="auto"/>
                <w:sz w:val="24"/>
                <w:highlight w:val="none"/>
              </w:rPr>
              <w:t>……</w:t>
            </w:r>
          </w:p>
        </w:tc>
        <w:tc>
          <w:tcPr>
            <w:tcW w:w="160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w:t>
            </w:r>
          </w:p>
        </w:tc>
        <w:tc>
          <w:tcPr>
            <w:tcW w:w="1297"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838"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c>
          <w:tcPr>
            <w:tcW w:w="1601" w:type="dxa"/>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9377" w:type="dxa"/>
            <w:gridSpan w:val="8"/>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u w:val="single"/>
              </w:rPr>
              <w:t>　　</w:t>
            </w:r>
            <w:r>
              <w:rPr>
                <w:rFonts w:hint="eastAsia"/>
                <w:color w:val="auto"/>
                <w:sz w:val="24"/>
                <w:szCs w:val="24"/>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9377" w:type="dxa"/>
            <w:gridSpan w:val="8"/>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9377" w:type="dxa"/>
            <w:gridSpan w:val="8"/>
            <w:tcBorders>
              <w:top w:val="single" w:color="auto" w:sz="4" w:space="0"/>
              <w:left w:val="single" w:color="auto" w:sz="4" w:space="0"/>
              <w:bottom w:val="single" w:color="auto" w:sz="4" w:space="0"/>
              <w:right w:val="single" w:color="auto" w:sz="4" w:space="0"/>
            </w:tcBorders>
            <w:vAlign w:val="center"/>
          </w:tcPr>
          <w:p>
            <w:pPr>
              <w:pStyle w:val="25"/>
              <w:rPr>
                <w:color w:val="auto"/>
                <w:sz w:val="24"/>
                <w:szCs w:val="24"/>
                <w:highlight w:val="none"/>
              </w:rPr>
            </w:pPr>
            <w:r>
              <w:rPr>
                <w:rFonts w:hint="eastAsia"/>
                <w:color w:val="auto"/>
                <w:sz w:val="24"/>
                <w:szCs w:val="24"/>
                <w:highlight w:val="none"/>
              </w:rPr>
              <w:t>法定代表人或其委托代理人（签字或盖印章）：</w:t>
            </w:r>
          </w:p>
        </w:tc>
      </w:tr>
    </w:tbl>
    <w:p>
      <w:pPr>
        <w:pStyle w:val="25"/>
        <w:rPr>
          <w:color w:val="auto"/>
          <w:sz w:val="24"/>
          <w:szCs w:val="24"/>
          <w:highlight w:val="none"/>
        </w:rPr>
      </w:pPr>
      <w:r>
        <w:rPr>
          <w:rFonts w:hint="eastAsia"/>
          <w:color w:val="auto"/>
          <w:sz w:val="24"/>
          <w:szCs w:val="24"/>
          <w:highlight w:val="none"/>
        </w:rPr>
        <w:t>注：⑴表格内容均需按要求填写并盖章，不得留空，否则按投标无效处理。</w:t>
      </w:r>
    </w:p>
    <w:p>
      <w:pPr>
        <w:pStyle w:val="25"/>
        <w:rPr>
          <w:color w:val="auto"/>
          <w:sz w:val="24"/>
          <w:szCs w:val="24"/>
          <w:highlight w:val="none"/>
        </w:rPr>
      </w:pPr>
      <w:r>
        <w:rPr>
          <w:rFonts w:hint="eastAsia"/>
          <w:color w:val="auto"/>
          <w:sz w:val="24"/>
          <w:szCs w:val="24"/>
          <w:highlight w:val="none"/>
        </w:rPr>
        <w:t>⑵如果招标文件需求有小于或大于某个数值标准时，投标文件承诺内容应当写明投标服务具体参数或商务响应承诺的具体数值，否则按投标无效处理。</w:t>
      </w:r>
    </w:p>
    <w:p>
      <w:pPr>
        <w:pStyle w:val="25"/>
        <w:rPr>
          <w:bCs/>
          <w:color w:val="auto"/>
          <w:sz w:val="24"/>
          <w:szCs w:val="24"/>
          <w:highlight w:val="none"/>
        </w:rPr>
      </w:pPr>
      <w:r>
        <w:rPr>
          <w:rFonts w:hint="eastAsia"/>
          <w:color w:val="auto"/>
          <w:sz w:val="24"/>
          <w:szCs w:val="24"/>
          <w:highlight w:val="none"/>
        </w:rPr>
        <w:t>⑶当投标文件的技术参数或商务内容低于招标文件要求时，供应商应当如实写明“负偏离”，否则视为虚假应标。</w:t>
      </w:r>
    </w:p>
    <w:p>
      <w:pPr>
        <w:pStyle w:val="25"/>
        <w:rPr>
          <w:color w:val="auto"/>
          <w:sz w:val="22"/>
          <w:szCs w:val="22"/>
          <w:highlight w:val="none"/>
        </w:rPr>
      </w:pPr>
      <w:r>
        <w:rPr>
          <w:rFonts w:hint="eastAsia" w:ascii="Times New Roman" w:hAnsi="Times New Roman"/>
          <w:color w:val="auto"/>
          <w:highlight w:val="none"/>
        </w:rPr>
        <w:t>　</w:t>
      </w:r>
    </w:p>
    <w:p>
      <w:pPr>
        <w:snapToGrid w:val="0"/>
        <w:spacing w:beforeLines="50" w:after="50"/>
        <w:ind w:left="142"/>
        <w:jc w:val="left"/>
        <w:rPr>
          <w:rFonts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7. 项目实施人员一览表格式</w:t>
      </w:r>
    </w:p>
    <w:p>
      <w:pPr>
        <w:snapToGrid w:val="0"/>
        <w:spacing w:beforeLines="50" w:after="50"/>
        <w:ind w:left="142"/>
        <w:jc w:val="left"/>
        <w:rPr>
          <w:rFonts w:ascii="宋体" w:hAnsi="宋体"/>
          <w:b/>
          <w:color w:val="auto"/>
          <w:sz w:val="24"/>
          <w:highlight w:val="none"/>
        </w:rPr>
      </w:pPr>
    </w:p>
    <w:p>
      <w:pPr>
        <w:snapToGrid w:val="0"/>
        <w:spacing w:beforeLines="50" w:after="50"/>
        <w:ind w:left="142"/>
        <w:jc w:val="center"/>
        <w:rPr>
          <w:rFonts w:ascii="宋体" w:hAnsi="宋体"/>
          <w:b/>
          <w:color w:val="auto"/>
          <w:sz w:val="24"/>
          <w:highlight w:val="none"/>
        </w:rPr>
      </w:pPr>
      <w:r>
        <w:rPr>
          <w:rFonts w:hint="eastAsia" w:ascii="宋体" w:hAnsi="宋体"/>
          <w:b/>
          <w:color w:val="auto"/>
          <w:sz w:val="24"/>
          <w:highlight w:val="none"/>
        </w:rPr>
        <w:t>项目实施人员（拟投入人员及其技术资格）一览表</w:t>
      </w:r>
    </w:p>
    <w:tbl>
      <w:tblPr>
        <w:tblStyle w:val="46"/>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701"/>
        <w:gridCol w:w="1420"/>
        <w:gridCol w:w="169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姓名</w:t>
            </w:r>
          </w:p>
        </w:tc>
        <w:tc>
          <w:tcPr>
            <w:tcW w:w="709"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职务</w:t>
            </w:r>
          </w:p>
        </w:tc>
        <w:tc>
          <w:tcPr>
            <w:tcW w:w="1701"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专业技术资格</w:t>
            </w:r>
          </w:p>
        </w:tc>
        <w:tc>
          <w:tcPr>
            <w:tcW w:w="1420"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证书编号</w:t>
            </w:r>
          </w:p>
        </w:tc>
        <w:tc>
          <w:tcPr>
            <w:tcW w:w="1698"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参加本单位</w:t>
            </w:r>
          </w:p>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工作时间</w:t>
            </w:r>
          </w:p>
        </w:tc>
        <w:tc>
          <w:tcPr>
            <w:tcW w:w="1843" w:type="dxa"/>
            <w:vAlign w:val="center"/>
          </w:tcPr>
          <w:p>
            <w:pPr>
              <w:snapToGrid w:val="0"/>
              <w:spacing w:before="50" w:afterLines="50"/>
              <w:jc w:val="center"/>
              <w:rPr>
                <w:rFonts w:ascii="宋体" w:hAnsi="宋体"/>
                <w:color w:val="auto"/>
                <w:sz w:val="24"/>
                <w:szCs w:val="20"/>
                <w:highlight w:val="none"/>
              </w:rPr>
            </w:pPr>
            <w:r>
              <w:rPr>
                <w:rFonts w:hint="eastAsia" w:ascii="宋体" w:hAnsi="宋体"/>
                <w:color w:val="auto"/>
                <w:sz w:val="24"/>
                <w:szCs w:val="20"/>
                <w:highlight w:val="none"/>
              </w:rPr>
              <w:t>劳动合同编号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napToGrid w:val="0"/>
              <w:spacing w:before="50" w:afterLines="50"/>
              <w:jc w:val="center"/>
              <w:rPr>
                <w:rFonts w:ascii="宋体" w:hAnsi="宋体"/>
                <w:color w:val="auto"/>
                <w:sz w:val="24"/>
                <w:szCs w:val="20"/>
                <w:highlight w:val="none"/>
              </w:rPr>
            </w:pPr>
          </w:p>
        </w:tc>
        <w:tc>
          <w:tcPr>
            <w:tcW w:w="709" w:type="dxa"/>
            <w:vAlign w:val="center"/>
          </w:tcPr>
          <w:p>
            <w:pPr>
              <w:snapToGrid w:val="0"/>
              <w:spacing w:before="50" w:afterLines="50"/>
              <w:jc w:val="center"/>
              <w:rPr>
                <w:rFonts w:ascii="宋体" w:hAnsi="宋体"/>
                <w:color w:val="auto"/>
                <w:sz w:val="24"/>
                <w:szCs w:val="20"/>
                <w:highlight w:val="none"/>
              </w:rPr>
            </w:pPr>
          </w:p>
        </w:tc>
        <w:tc>
          <w:tcPr>
            <w:tcW w:w="1701" w:type="dxa"/>
            <w:vAlign w:val="center"/>
          </w:tcPr>
          <w:p>
            <w:pPr>
              <w:snapToGrid w:val="0"/>
              <w:spacing w:before="50" w:afterLines="50"/>
              <w:jc w:val="center"/>
              <w:rPr>
                <w:rFonts w:ascii="宋体" w:hAnsi="宋体"/>
                <w:b/>
                <w:bCs/>
                <w:color w:val="auto"/>
                <w:sz w:val="24"/>
                <w:szCs w:val="20"/>
                <w:highlight w:val="none"/>
              </w:rPr>
            </w:pPr>
          </w:p>
        </w:tc>
        <w:tc>
          <w:tcPr>
            <w:tcW w:w="1420" w:type="dxa"/>
            <w:vAlign w:val="center"/>
          </w:tcPr>
          <w:p>
            <w:pPr>
              <w:snapToGrid w:val="0"/>
              <w:spacing w:before="50" w:afterLines="50"/>
              <w:jc w:val="center"/>
              <w:rPr>
                <w:rFonts w:ascii="宋体" w:hAnsi="宋体"/>
                <w:b/>
                <w:bCs/>
                <w:color w:val="auto"/>
                <w:sz w:val="24"/>
                <w:szCs w:val="20"/>
                <w:highlight w:val="none"/>
              </w:rPr>
            </w:pPr>
          </w:p>
        </w:tc>
        <w:tc>
          <w:tcPr>
            <w:tcW w:w="1698" w:type="dxa"/>
            <w:vAlign w:val="center"/>
          </w:tcPr>
          <w:p>
            <w:pPr>
              <w:snapToGrid w:val="0"/>
              <w:spacing w:before="50" w:afterLines="50"/>
              <w:jc w:val="center"/>
              <w:rPr>
                <w:rFonts w:ascii="宋体" w:hAnsi="宋体"/>
                <w:b/>
                <w:bCs/>
                <w:color w:val="auto"/>
                <w:sz w:val="24"/>
                <w:szCs w:val="20"/>
                <w:highlight w:val="none"/>
              </w:rPr>
            </w:pPr>
          </w:p>
        </w:tc>
        <w:tc>
          <w:tcPr>
            <w:tcW w:w="1843" w:type="dxa"/>
            <w:vAlign w:val="center"/>
          </w:tcPr>
          <w:p>
            <w:pPr>
              <w:snapToGrid w:val="0"/>
              <w:spacing w:before="50" w:afterLines="50"/>
              <w:jc w:val="center"/>
              <w:rPr>
                <w:rFonts w:ascii="宋体" w:hAnsi="宋体"/>
                <w:b/>
                <w:bCs/>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napToGrid w:val="0"/>
              <w:spacing w:before="50" w:afterLines="50"/>
              <w:jc w:val="center"/>
              <w:rPr>
                <w:rFonts w:ascii="宋体" w:hAnsi="宋体"/>
                <w:color w:val="auto"/>
                <w:sz w:val="24"/>
                <w:szCs w:val="20"/>
                <w:highlight w:val="none"/>
              </w:rPr>
            </w:pPr>
          </w:p>
        </w:tc>
        <w:tc>
          <w:tcPr>
            <w:tcW w:w="709" w:type="dxa"/>
            <w:vAlign w:val="center"/>
          </w:tcPr>
          <w:p>
            <w:pPr>
              <w:snapToGrid w:val="0"/>
              <w:spacing w:before="50" w:afterLines="50"/>
              <w:jc w:val="center"/>
              <w:rPr>
                <w:rFonts w:ascii="宋体" w:hAnsi="宋体"/>
                <w:color w:val="auto"/>
                <w:sz w:val="24"/>
                <w:szCs w:val="20"/>
                <w:highlight w:val="none"/>
              </w:rPr>
            </w:pPr>
          </w:p>
        </w:tc>
        <w:tc>
          <w:tcPr>
            <w:tcW w:w="1701" w:type="dxa"/>
            <w:vAlign w:val="center"/>
          </w:tcPr>
          <w:p>
            <w:pPr>
              <w:snapToGrid w:val="0"/>
              <w:spacing w:before="50" w:afterLines="50"/>
              <w:jc w:val="center"/>
              <w:rPr>
                <w:rFonts w:ascii="宋体" w:hAnsi="宋体"/>
                <w:b/>
                <w:bCs/>
                <w:color w:val="auto"/>
                <w:sz w:val="24"/>
                <w:szCs w:val="20"/>
                <w:highlight w:val="none"/>
              </w:rPr>
            </w:pPr>
          </w:p>
        </w:tc>
        <w:tc>
          <w:tcPr>
            <w:tcW w:w="1420" w:type="dxa"/>
            <w:vAlign w:val="center"/>
          </w:tcPr>
          <w:p>
            <w:pPr>
              <w:snapToGrid w:val="0"/>
              <w:spacing w:before="50" w:afterLines="50"/>
              <w:jc w:val="center"/>
              <w:rPr>
                <w:rFonts w:ascii="宋体" w:hAnsi="宋体"/>
                <w:b/>
                <w:bCs/>
                <w:color w:val="auto"/>
                <w:sz w:val="24"/>
                <w:szCs w:val="20"/>
                <w:highlight w:val="none"/>
              </w:rPr>
            </w:pPr>
          </w:p>
        </w:tc>
        <w:tc>
          <w:tcPr>
            <w:tcW w:w="1698" w:type="dxa"/>
            <w:vAlign w:val="center"/>
          </w:tcPr>
          <w:p>
            <w:pPr>
              <w:snapToGrid w:val="0"/>
              <w:spacing w:before="50" w:afterLines="50"/>
              <w:jc w:val="center"/>
              <w:rPr>
                <w:rFonts w:ascii="宋体" w:hAnsi="宋体"/>
                <w:b/>
                <w:bCs/>
                <w:color w:val="auto"/>
                <w:sz w:val="24"/>
                <w:szCs w:val="20"/>
                <w:highlight w:val="none"/>
              </w:rPr>
            </w:pPr>
          </w:p>
        </w:tc>
        <w:tc>
          <w:tcPr>
            <w:tcW w:w="1843" w:type="dxa"/>
            <w:vAlign w:val="center"/>
          </w:tcPr>
          <w:p>
            <w:pPr>
              <w:snapToGrid w:val="0"/>
              <w:spacing w:before="50" w:afterLines="50"/>
              <w:jc w:val="center"/>
              <w:rPr>
                <w:rFonts w:ascii="宋体" w:hAnsi="宋体"/>
                <w:b/>
                <w:bCs/>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napToGrid w:val="0"/>
              <w:spacing w:before="50" w:afterLines="50"/>
              <w:jc w:val="center"/>
              <w:rPr>
                <w:rFonts w:ascii="宋体" w:hAnsi="宋体"/>
                <w:color w:val="auto"/>
                <w:sz w:val="24"/>
                <w:szCs w:val="20"/>
                <w:highlight w:val="none"/>
              </w:rPr>
            </w:pPr>
          </w:p>
        </w:tc>
        <w:tc>
          <w:tcPr>
            <w:tcW w:w="709" w:type="dxa"/>
            <w:vAlign w:val="center"/>
          </w:tcPr>
          <w:p>
            <w:pPr>
              <w:snapToGrid w:val="0"/>
              <w:spacing w:before="50" w:afterLines="50"/>
              <w:jc w:val="center"/>
              <w:rPr>
                <w:rFonts w:ascii="宋体" w:hAnsi="宋体"/>
                <w:color w:val="auto"/>
                <w:sz w:val="24"/>
                <w:szCs w:val="20"/>
                <w:highlight w:val="none"/>
              </w:rPr>
            </w:pPr>
          </w:p>
        </w:tc>
        <w:tc>
          <w:tcPr>
            <w:tcW w:w="1701" w:type="dxa"/>
            <w:vAlign w:val="center"/>
          </w:tcPr>
          <w:p>
            <w:pPr>
              <w:snapToGrid w:val="0"/>
              <w:spacing w:before="50" w:afterLines="50"/>
              <w:jc w:val="center"/>
              <w:rPr>
                <w:rFonts w:ascii="宋体" w:hAnsi="宋体"/>
                <w:b/>
                <w:bCs/>
                <w:color w:val="auto"/>
                <w:sz w:val="24"/>
                <w:szCs w:val="20"/>
                <w:highlight w:val="none"/>
              </w:rPr>
            </w:pPr>
          </w:p>
        </w:tc>
        <w:tc>
          <w:tcPr>
            <w:tcW w:w="1420" w:type="dxa"/>
            <w:vAlign w:val="center"/>
          </w:tcPr>
          <w:p>
            <w:pPr>
              <w:snapToGrid w:val="0"/>
              <w:spacing w:before="50" w:afterLines="50"/>
              <w:jc w:val="center"/>
              <w:rPr>
                <w:rFonts w:ascii="宋体" w:hAnsi="宋体"/>
                <w:b/>
                <w:bCs/>
                <w:color w:val="auto"/>
                <w:sz w:val="24"/>
                <w:szCs w:val="20"/>
                <w:highlight w:val="none"/>
              </w:rPr>
            </w:pPr>
          </w:p>
        </w:tc>
        <w:tc>
          <w:tcPr>
            <w:tcW w:w="1698" w:type="dxa"/>
            <w:vAlign w:val="center"/>
          </w:tcPr>
          <w:p>
            <w:pPr>
              <w:snapToGrid w:val="0"/>
              <w:spacing w:before="50" w:afterLines="50"/>
              <w:jc w:val="center"/>
              <w:rPr>
                <w:rFonts w:ascii="宋体" w:hAnsi="宋体"/>
                <w:b/>
                <w:bCs/>
                <w:color w:val="auto"/>
                <w:sz w:val="24"/>
                <w:szCs w:val="20"/>
                <w:highlight w:val="none"/>
              </w:rPr>
            </w:pPr>
          </w:p>
        </w:tc>
        <w:tc>
          <w:tcPr>
            <w:tcW w:w="1843" w:type="dxa"/>
            <w:vAlign w:val="center"/>
          </w:tcPr>
          <w:p>
            <w:pPr>
              <w:snapToGrid w:val="0"/>
              <w:spacing w:before="50" w:afterLines="50"/>
              <w:jc w:val="center"/>
              <w:rPr>
                <w:rFonts w:ascii="宋体" w:hAnsi="宋体"/>
                <w:b/>
                <w:bCs/>
                <w:color w:val="auto"/>
                <w:sz w:val="24"/>
                <w:szCs w:val="20"/>
                <w:highlight w:val="none"/>
              </w:rPr>
            </w:pPr>
          </w:p>
        </w:tc>
      </w:tr>
    </w:tbl>
    <w:p>
      <w:pPr>
        <w:snapToGrid w:val="0"/>
        <w:spacing w:before="50" w:afterLines="50"/>
        <w:jc w:val="left"/>
        <w:rPr>
          <w:rFonts w:ascii="宋体" w:hAnsi="宋体"/>
          <w:color w:val="auto"/>
          <w:sz w:val="24"/>
          <w:szCs w:val="20"/>
          <w:highlight w:val="none"/>
        </w:rPr>
      </w:pPr>
      <w:r>
        <w:rPr>
          <w:rFonts w:hint="eastAsia" w:ascii="宋体" w:hAnsi="宋体"/>
          <w:color w:val="auto"/>
          <w:sz w:val="24"/>
          <w:szCs w:val="20"/>
          <w:highlight w:val="none"/>
        </w:rPr>
        <w:t>注：在填写时，如本表格不适合投标单位的实际情况，可根据本表格式自行制表填写。</w:t>
      </w:r>
    </w:p>
    <w:p>
      <w:pPr>
        <w:snapToGrid w:val="0"/>
        <w:spacing w:before="50" w:after="50"/>
        <w:rPr>
          <w:rFonts w:ascii="宋体" w:hAnsi="宋体"/>
          <w:color w:val="auto"/>
          <w:spacing w:val="20"/>
          <w:sz w:val="24"/>
          <w:szCs w:val="20"/>
          <w:highlight w:val="none"/>
          <w:u w:val="single"/>
        </w:rPr>
      </w:pPr>
      <w:r>
        <w:rPr>
          <w:rFonts w:hint="eastAsia" w:ascii="宋体" w:hAnsi="宋体"/>
          <w:color w:val="auto"/>
          <w:sz w:val="24"/>
          <w:highlight w:val="none"/>
        </w:rPr>
        <w:t>法定代表人或委托代理人</w:t>
      </w:r>
      <w:r>
        <w:rPr>
          <w:rFonts w:hint="eastAsia" w:ascii="宋体" w:hAnsi="宋体"/>
          <w:color w:val="auto"/>
          <w:spacing w:val="20"/>
          <w:sz w:val="24"/>
          <w:highlight w:val="none"/>
        </w:rPr>
        <w:t>签字 ：</w:t>
      </w:r>
    </w:p>
    <w:p>
      <w:pPr>
        <w:snapToGrid w:val="0"/>
        <w:spacing w:before="50" w:afterLines="50"/>
        <w:jc w:val="left"/>
        <w:rPr>
          <w:rFonts w:ascii="宋体" w:hAnsi="宋体"/>
          <w:color w:val="auto"/>
          <w:spacing w:val="20"/>
          <w:sz w:val="24"/>
          <w:highlight w:val="none"/>
        </w:rPr>
      </w:pPr>
      <w:r>
        <w:rPr>
          <w:rFonts w:hint="eastAsia" w:ascii="宋体" w:hAnsi="宋体"/>
          <w:color w:val="auto"/>
          <w:spacing w:val="20"/>
          <w:sz w:val="24"/>
          <w:highlight w:val="none"/>
        </w:rPr>
        <w:t>投标人盖公章：</w:t>
      </w:r>
    </w:p>
    <w:p>
      <w:pPr>
        <w:snapToGrid w:val="0"/>
        <w:spacing w:before="50" w:afterLines="50"/>
        <w:jc w:val="left"/>
        <w:rPr>
          <w:rFonts w:ascii="宋体" w:hAnsi="宋体"/>
          <w:color w:val="auto"/>
          <w:sz w:val="24"/>
          <w:szCs w:val="20"/>
          <w:highlight w:val="none"/>
        </w:rPr>
      </w:pPr>
      <w:r>
        <w:rPr>
          <w:rFonts w:hint="eastAsia" w:ascii="宋体" w:hAnsi="宋体"/>
          <w:color w:val="auto"/>
          <w:spacing w:val="20"/>
          <w:sz w:val="24"/>
          <w:highlight w:val="none"/>
        </w:rPr>
        <w:t>日 期：</w:t>
      </w:r>
    </w:p>
    <w:p>
      <w:pPr>
        <w:snapToGrid w:val="0"/>
        <w:spacing w:before="50" w:afterLines="50"/>
        <w:jc w:val="left"/>
        <w:rPr>
          <w:rFonts w:ascii="宋体" w:hAnsi="宋体"/>
          <w:color w:val="auto"/>
          <w:sz w:val="24"/>
          <w:szCs w:val="20"/>
          <w:highlight w:val="none"/>
        </w:rPr>
      </w:pPr>
    </w:p>
    <w:p>
      <w:pPr>
        <w:snapToGrid w:val="0"/>
        <w:spacing w:beforeLines="50" w:after="50"/>
        <w:ind w:left="142"/>
        <w:jc w:val="left"/>
        <w:rPr>
          <w:rFonts w:ascii="宋体" w:hAnsi="宋体"/>
          <w:b/>
          <w:bCs/>
          <w:color w:val="auto"/>
          <w:sz w:val="24"/>
          <w:highlight w:val="none"/>
        </w:rPr>
      </w:pPr>
      <w:r>
        <w:rPr>
          <w:rFonts w:ascii="宋体" w:hAnsi="宋体"/>
          <w:b/>
          <w:color w:val="auto"/>
          <w:sz w:val="24"/>
          <w:highlight w:val="none"/>
        </w:rPr>
        <w:br w:type="page"/>
      </w:r>
      <w:r>
        <w:rPr>
          <w:rFonts w:hint="eastAsia" w:ascii="宋体" w:hAnsi="宋体"/>
          <w:b/>
          <w:bCs/>
          <w:color w:val="auto"/>
          <w:sz w:val="24"/>
          <w:highlight w:val="none"/>
        </w:rPr>
        <w:t>C、其他文书、文件格式</w:t>
      </w:r>
    </w:p>
    <w:p>
      <w:pPr>
        <w:spacing w:beforeLines="50" w:afterLines="50" w:line="400" w:lineRule="exact"/>
        <w:rPr>
          <w:rFonts w:ascii="宋体" w:hAnsi="宋体"/>
          <w:color w:val="auto"/>
          <w:sz w:val="24"/>
          <w:highlight w:val="none"/>
        </w:rPr>
      </w:pPr>
    </w:p>
    <w:p>
      <w:pPr>
        <w:snapToGrid w:val="0"/>
        <w:spacing w:beforeLines="50" w:after="50"/>
        <w:ind w:left="142"/>
        <w:jc w:val="left"/>
        <w:rPr>
          <w:rFonts w:ascii="宋体" w:hAnsi="宋体"/>
          <w:b/>
          <w:color w:val="auto"/>
          <w:spacing w:val="20"/>
          <w:sz w:val="24"/>
          <w:highlight w:val="none"/>
        </w:rPr>
      </w:pPr>
      <w:r>
        <w:rPr>
          <w:rFonts w:hint="eastAsia" w:ascii="宋体" w:hAnsi="宋体"/>
          <w:b/>
          <w:color w:val="auto"/>
          <w:spacing w:val="20"/>
          <w:sz w:val="24"/>
          <w:highlight w:val="none"/>
        </w:rPr>
        <w:t>联合投标协议书格式</w:t>
      </w:r>
    </w:p>
    <w:p>
      <w:pPr>
        <w:pStyle w:val="10"/>
        <w:overflowPunct w:val="0"/>
        <w:jc w:val="center"/>
        <w:rPr>
          <w:rFonts w:ascii="宋体" w:hAnsi="宋体"/>
          <w:color w:val="auto"/>
          <w:sz w:val="24"/>
          <w:highlight w:val="none"/>
        </w:rPr>
      </w:pPr>
      <w:r>
        <w:rPr>
          <w:rFonts w:hint="eastAsia" w:ascii="宋体" w:hAnsi="宋体"/>
          <w:color w:val="auto"/>
          <w:sz w:val="24"/>
          <w:highlight w:val="none"/>
        </w:rPr>
        <w:t>联合体协议书</w:t>
      </w:r>
    </w:p>
    <w:p>
      <w:pPr>
        <w:pStyle w:val="10"/>
        <w:overflowPunct w:val="0"/>
        <w:rPr>
          <w:rFonts w:ascii="宋体" w:hAnsi="宋体"/>
          <w:color w:val="auto"/>
          <w:sz w:val="24"/>
          <w:highlight w:val="none"/>
        </w:rPr>
      </w:pPr>
    </w:p>
    <w:p>
      <w:pPr>
        <w:pStyle w:val="10"/>
        <w:overflowPunct w:val="0"/>
        <w:spacing w:line="340" w:lineRule="exact"/>
        <w:rPr>
          <w:rFonts w:ascii="宋体" w:hAnsi="宋体"/>
          <w:color w:val="auto"/>
          <w:sz w:val="24"/>
          <w:highlight w:val="none"/>
        </w:rPr>
      </w:pPr>
      <w:r>
        <w:rPr>
          <w:rFonts w:ascii="宋体" w:hAnsi="宋体"/>
          <w:color w:val="auto"/>
          <w:sz w:val="24"/>
          <w:highlight w:val="none"/>
          <w:u w:val="single"/>
        </w:rPr>
        <w:tab/>
      </w:r>
      <w:r>
        <w:rPr>
          <w:rFonts w:hint="eastAsia" w:ascii="宋体" w:hAnsi="宋体"/>
          <w:color w:val="auto"/>
          <w:sz w:val="24"/>
          <w:highlight w:val="none"/>
        </w:rPr>
        <w:t>（所有成员单位名称）自愿组成</w:t>
      </w:r>
      <w:r>
        <w:rPr>
          <w:rFonts w:ascii="宋体" w:hAnsi="宋体"/>
          <w:color w:val="auto"/>
          <w:sz w:val="24"/>
          <w:highlight w:val="none"/>
          <w:u w:val="single"/>
        </w:rPr>
        <w:tab/>
      </w:r>
      <w:r>
        <w:rPr>
          <w:rFonts w:hint="eastAsia" w:ascii="宋体" w:hAnsi="宋体"/>
          <w:color w:val="auto"/>
          <w:sz w:val="24"/>
          <w:highlight w:val="none"/>
        </w:rPr>
        <w:t>（联合体名称）联合体，共同</w:t>
      </w:r>
    </w:p>
    <w:p>
      <w:pPr>
        <w:pStyle w:val="10"/>
        <w:overflowPunct w:val="0"/>
        <w:spacing w:line="340" w:lineRule="exact"/>
        <w:rPr>
          <w:rFonts w:ascii="宋体" w:hAnsi="宋体"/>
          <w:color w:val="auto"/>
          <w:sz w:val="24"/>
          <w:highlight w:val="none"/>
        </w:rPr>
      </w:pPr>
    </w:p>
    <w:p>
      <w:pPr>
        <w:pStyle w:val="10"/>
        <w:overflowPunct w:val="0"/>
        <w:spacing w:line="340" w:lineRule="exact"/>
        <w:rPr>
          <w:rFonts w:ascii="宋体" w:hAnsi="宋体"/>
          <w:color w:val="auto"/>
          <w:sz w:val="24"/>
          <w:highlight w:val="none"/>
        </w:rPr>
      </w:pPr>
      <w:r>
        <w:rPr>
          <w:rFonts w:hint="eastAsia" w:ascii="宋体" w:hAnsi="宋体"/>
          <w:color w:val="auto"/>
          <w:sz w:val="24"/>
          <w:highlight w:val="none"/>
        </w:rPr>
        <w:t>参加</w:t>
      </w:r>
      <w:r>
        <w:rPr>
          <w:rFonts w:ascii="宋体" w:hAnsi="宋体"/>
          <w:color w:val="auto"/>
          <w:sz w:val="24"/>
          <w:highlight w:val="none"/>
          <w:u w:val="single"/>
        </w:rPr>
        <w:tab/>
      </w:r>
      <w:r>
        <w:rPr>
          <w:rFonts w:hint="eastAsia" w:ascii="宋体" w:hAnsi="宋体"/>
          <w:color w:val="auto"/>
          <w:sz w:val="24"/>
          <w:highlight w:val="none"/>
          <w:u w:val="single"/>
        </w:rPr>
        <w:t>（项</w:t>
      </w:r>
      <w:r>
        <w:rPr>
          <w:rFonts w:hint="eastAsia" w:ascii="宋体" w:hAnsi="宋体"/>
          <w:color w:val="auto"/>
          <w:sz w:val="24"/>
          <w:highlight w:val="none"/>
        </w:rPr>
        <w:t>目名称）采购招标项目投标。现就联合体投标事宜订立如下协议。</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 xml:space="preserve">1.  </w:t>
      </w:r>
      <w:r>
        <w:rPr>
          <w:rFonts w:ascii="宋体" w:hAnsi="宋体"/>
          <w:color w:val="auto"/>
          <w:sz w:val="24"/>
          <w:highlight w:val="none"/>
          <w:u w:val="single"/>
        </w:rPr>
        <w:tab/>
      </w:r>
      <w:r>
        <w:rPr>
          <w:rFonts w:hint="eastAsia" w:ascii="宋体" w:hAnsi="宋体"/>
          <w:color w:val="auto"/>
          <w:sz w:val="24"/>
          <w:highlight w:val="none"/>
        </w:rPr>
        <w:t>（某成员单位名称）为</w:t>
      </w:r>
      <w:r>
        <w:rPr>
          <w:rFonts w:ascii="宋体" w:hAnsi="宋体"/>
          <w:color w:val="auto"/>
          <w:sz w:val="24"/>
          <w:highlight w:val="none"/>
          <w:u w:val="single"/>
        </w:rPr>
        <w:tab/>
      </w:r>
      <w:r>
        <w:rPr>
          <w:rFonts w:hint="eastAsia" w:ascii="宋体" w:hAnsi="宋体"/>
          <w:color w:val="auto"/>
          <w:sz w:val="24"/>
          <w:highlight w:val="none"/>
        </w:rPr>
        <w:t>（联合体名称）牵头人。</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联合体各成员授权牵头人代表联合体参加投标活动，签署文件及对文件的盖章，提交和接收相关的资料、信息及指示，进行合同谈判活动，负责合同实施阶段的组织和协调工作，以及处理与本招标项目有关的一切事宜。</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联合体牵头人在本项目中签署和盖章的一切文件和处理的一切事宜，联合体各成员均予以承认。联合体各成员将严格按照招标文件、投标文件和合同的要求全面履行义务，并向招标人承担连带责任。</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联合体各成员单位内部的职责分工如下：</w:t>
      </w:r>
      <w:r>
        <w:rPr>
          <w:rFonts w:ascii="宋体" w:hAnsi="宋体"/>
          <w:color w:val="auto"/>
          <w:sz w:val="24"/>
          <w:highlight w:val="none"/>
          <w:u w:val="single"/>
        </w:rPr>
        <w:tab/>
      </w:r>
      <w:r>
        <w:rPr>
          <w:rFonts w:hint="eastAsia" w:ascii="宋体" w:hAnsi="宋体"/>
          <w:color w:val="auto"/>
          <w:sz w:val="24"/>
          <w:highlight w:val="none"/>
        </w:rPr>
        <w:t>。</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5.</w:t>
      </w:r>
      <w:r>
        <w:rPr>
          <w:rFonts w:hint="eastAsia" w:ascii="宋体" w:hAnsi="宋体"/>
          <w:color w:val="auto"/>
          <w:sz w:val="24"/>
          <w:highlight w:val="none"/>
        </w:rPr>
        <w:t>本协议书自所有成员单位法定代表人（单位负责人）或其委托代理人签字或盖单位章之日起生效，合同履行完毕后自动失效。</w:t>
      </w: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6.</w:t>
      </w:r>
      <w:r>
        <w:rPr>
          <w:rFonts w:hint="eastAsia" w:ascii="宋体" w:hAnsi="宋体"/>
          <w:color w:val="auto"/>
          <w:sz w:val="24"/>
          <w:highlight w:val="none"/>
        </w:rPr>
        <w:t>本协议书一式</w:t>
      </w:r>
      <w:r>
        <w:rPr>
          <w:rFonts w:ascii="宋体" w:hAnsi="宋体"/>
          <w:color w:val="auto"/>
          <w:sz w:val="24"/>
          <w:highlight w:val="none"/>
          <w:u w:val="single"/>
        </w:rPr>
        <w:tab/>
      </w:r>
      <w:r>
        <w:rPr>
          <w:rFonts w:hint="eastAsia" w:ascii="宋体" w:hAnsi="宋体"/>
          <w:color w:val="auto"/>
          <w:sz w:val="24"/>
          <w:highlight w:val="none"/>
        </w:rPr>
        <w:t>份，联合体成员和招标人各执一份。</w:t>
      </w:r>
    </w:p>
    <w:p>
      <w:pPr>
        <w:pStyle w:val="10"/>
        <w:overflowPunct w:val="0"/>
        <w:spacing w:line="340" w:lineRule="exact"/>
        <w:ind w:firstLine="0"/>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注：本协议书由法定代表人（单位负责人）签字的，应附法定代表人（单位负责人）身份</w:t>
      </w: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证明；由委托代理人签字的，应附授权委托书。</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联合体牵头人名称：</w:t>
      </w:r>
      <w:r>
        <w:rPr>
          <w:rFonts w:ascii="宋体" w:hAnsi="宋体"/>
          <w:color w:val="auto"/>
          <w:sz w:val="24"/>
          <w:highlight w:val="none"/>
        </w:rPr>
        <w:tab/>
      </w:r>
      <w:r>
        <w:rPr>
          <w:rFonts w:hint="eastAsia" w:ascii="宋体" w:hAnsi="宋体"/>
          <w:color w:val="auto"/>
          <w:sz w:val="24"/>
          <w:highlight w:val="none"/>
        </w:rPr>
        <w:t>（盖单位章）</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法定代表人（单位负责人）或其委托代理人：</w:t>
      </w:r>
      <w:r>
        <w:rPr>
          <w:rFonts w:ascii="宋体" w:hAnsi="宋体"/>
          <w:color w:val="auto"/>
          <w:sz w:val="24"/>
          <w:highlight w:val="none"/>
        </w:rPr>
        <w:tab/>
      </w:r>
      <w:r>
        <w:rPr>
          <w:rFonts w:hint="eastAsia" w:ascii="宋体" w:hAnsi="宋体"/>
          <w:color w:val="auto"/>
          <w:sz w:val="24"/>
          <w:highlight w:val="none"/>
        </w:rPr>
        <w:t>（签字）</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联合体成员名称：</w:t>
      </w:r>
      <w:r>
        <w:rPr>
          <w:rFonts w:ascii="宋体" w:hAnsi="宋体"/>
          <w:color w:val="auto"/>
          <w:sz w:val="24"/>
          <w:highlight w:val="none"/>
        </w:rPr>
        <w:tab/>
      </w:r>
      <w:r>
        <w:rPr>
          <w:rFonts w:hint="eastAsia" w:ascii="宋体" w:hAnsi="宋体"/>
          <w:color w:val="auto"/>
          <w:sz w:val="24"/>
          <w:highlight w:val="none"/>
        </w:rPr>
        <w:t>（盖单位章）</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法定代表人（单位负责人）或其委托代理人：</w:t>
      </w:r>
      <w:r>
        <w:rPr>
          <w:rFonts w:ascii="宋体" w:hAnsi="宋体"/>
          <w:color w:val="auto"/>
          <w:sz w:val="24"/>
          <w:highlight w:val="none"/>
        </w:rPr>
        <w:tab/>
      </w:r>
      <w:r>
        <w:rPr>
          <w:rFonts w:hint="eastAsia" w:ascii="宋体" w:hAnsi="宋体"/>
          <w:color w:val="auto"/>
          <w:sz w:val="24"/>
          <w:highlight w:val="none"/>
        </w:rPr>
        <w:t>（签字）</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联合体成员名称：</w:t>
      </w:r>
      <w:r>
        <w:rPr>
          <w:rFonts w:ascii="宋体" w:hAnsi="宋体"/>
          <w:color w:val="auto"/>
          <w:sz w:val="24"/>
          <w:highlight w:val="none"/>
        </w:rPr>
        <w:tab/>
      </w:r>
      <w:r>
        <w:rPr>
          <w:rFonts w:hint="eastAsia" w:ascii="宋体" w:hAnsi="宋体"/>
          <w:color w:val="auto"/>
          <w:sz w:val="24"/>
          <w:highlight w:val="none"/>
        </w:rPr>
        <w:t>（盖单位章）</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hint="eastAsia" w:ascii="宋体" w:hAnsi="宋体"/>
          <w:color w:val="auto"/>
          <w:sz w:val="24"/>
          <w:highlight w:val="none"/>
        </w:rPr>
        <w:t>法定代表人（单位负责人）或其委托代理人：</w:t>
      </w:r>
      <w:r>
        <w:rPr>
          <w:rFonts w:ascii="宋体" w:hAnsi="宋体"/>
          <w:color w:val="auto"/>
          <w:sz w:val="24"/>
          <w:highlight w:val="none"/>
        </w:rPr>
        <w:tab/>
      </w:r>
      <w:r>
        <w:rPr>
          <w:rFonts w:hint="eastAsia" w:ascii="宋体" w:hAnsi="宋体"/>
          <w:color w:val="auto"/>
          <w:sz w:val="24"/>
          <w:highlight w:val="none"/>
        </w:rPr>
        <w:t>（签字）</w:t>
      </w: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p>
    <w:p>
      <w:pPr>
        <w:pStyle w:val="10"/>
        <w:overflowPunct w:val="0"/>
        <w:spacing w:line="340" w:lineRule="exact"/>
        <w:ind w:firstLineChars="175"/>
        <w:rPr>
          <w:rFonts w:ascii="宋体" w:hAnsi="宋体"/>
          <w:color w:val="auto"/>
          <w:sz w:val="24"/>
          <w:highlight w:val="none"/>
        </w:rPr>
      </w:pPr>
      <w:r>
        <w:rPr>
          <w:rFonts w:ascii="宋体" w:hAnsi="宋体"/>
          <w:color w:val="auto"/>
          <w:sz w:val="24"/>
          <w:highlight w:val="none"/>
        </w:rPr>
        <w:tab/>
      </w:r>
      <w:r>
        <w:rPr>
          <w:rFonts w:hint="eastAsia" w:ascii="宋体" w:hAnsi="宋体"/>
          <w:color w:val="auto"/>
          <w:sz w:val="24"/>
          <w:highlight w:val="none"/>
        </w:rPr>
        <w:t>年</w:t>
      </w:r>
      <w:r>
        <w:rPr>
          <w:rFonts w:ascii="宋体" w:hAnsi="宋体"/>
          <w:color w:val="auto"/>
          <w:sz w:val="24"/>
          <w:highlight w:val="none"/>
        </w:rPr>
        <w:tab/>
      </w:r>
      <w:r>
        <w:rPr>
          <w:rFonts w:hint="eastAsia" w:ascii="宋体" w:hAnsi="宋体"/>
          <w:color w:val="auto"/>
          <w:sz w:val="24"/>
          <w:highlight w:val="none"/>
        </w:rPr>
        <w:t>月</w:t>
      </w:r>
      <w:r>
        <w:rPr>
          <w:rFonts w:ascii="宋体" w:hAnsi="宋体"/>
          <w:color w:val="auto"/>
          <w:sz w:val="24"/>
          <w:highlight w:val="none"/>
        </w:rPr>
        <w:tab/>
      </w:r>
      <w:r>
        <w:rPr>
          <w:rFonts w:hint="eastAsia" w:ascii="宋体" w:hAnsi="宋体"/>
          <w:color w:val="auto"/>
          <w:sz w:val="24"/>
          <w:highlight w:val="none"/>
        </w:rPr>
        <w:t>日</w:t>
      </w:r>
    </w:p>
    <w:p>
      <w:pPr>
        <w:snapToGrid w:val="0"/>
        <w:spacing w:beforeLines="50" w:after="50"/>
        <w:jc w:val="left"/>
        <w:rPr>
          <w:color w:val="auto"/>
          <w:highlight w:val="none"/>
        </w:rPr>
      </w:pPr>
      <w:r>
        <w:rPr>
          <w:rFonts w:hint="eastAsia" w:ascii="宋体" w:hAnsi="宋体"/>
          <w:b/>
          <w:color w:val="auto"/>
          <w:sz w:val="24"/>
          <w:highlight w:val="none"/>
        </w:rPr>
        <w:t>8.中小企业声明函格式</w:t>
      </w:r>
    </w:p>
    <w:p>
      <w:pPr>
        <w:rPr>
          <w:color w:val="auto"/>
          <w:highlight w:val="none"/>
        </w:rPr>
      </w:pPr>
    </w:p>
    <w:p>
      <w:pPr>
        <w:spacing w:line="588" w:lineRule="exact"/>
        <w:jc w:val="center"/>
        <w:rPr>
          <w:rFonts w:ascii="宋体"/>
          <w:b/>
          <w:color w:val="auto"/>
          <w:spacing w:val="6"/>
          <w:sz w:val="32"/>
          <w:szCs w:val="32"/>
          <w:highlight w:val="none"/>
        </w:rPr>
      </w:pPr>
      <w:r>
        <w:rPr>
          <w:rFonts w:hint="eastAsia" w:ascii="宋体" w:hAnsi="宋体"/>
          <w:b/>
          <w:color w:val="auto"/>
          <w:spacing w:val="6"/>
          <w:sz w:val="32"/>
          <w:szCs w:val="32"/>
          <w:highlight w:val="none"/>
        </w:rPr>
        <w:t>中小企业声明函</w:t>
      </w:r>
    </w:p>
    <w:p>
      <w:pPr>
        <w:spacing w:line="588" w:lineRule="exact"/>
        <w:rPr>
          <w:rFonts w:ascii="宋体"/>
          <w:b/>
          <w:color w:val="auto"/>
          <w:spacing w:val="6"/>
          <w:sz w:val="30"/>
          <w:szCs w:val="30"/>
          <w:highlight w:val="none"/>
        </w:rPr>
      </w:pP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 企业发展管理办法》（财库﹝2020﹞46号）的规定，本公司（联合体）参加</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（采购单位）</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项目名称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采购活动，服务全部由符合政策要求的中小企业承接。相关企业（含联合体中的中小企业、签订分包意向协议的中小企业）的具体情况如下：</w:t>
      </w: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none"/>
          <w:lang w:val="en-US" w:eastAsia="zh-CN"/>
        </w:rPr>
        <w:t>1、</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（标的名称），属于</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（采购文件中明确的所属行业）行业；承建（承接）企业为</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（企业名称），从业人员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（中型企业、 小型企业、微型企业）； </w:t>
      </w:r>
    </w:p>
    <w:p>
      <w:pPr>
        <w:spacing w:after="0" w:line="500" w:lineRule="exact"/>
        <w:ind w:firstLine="480" w:firstLineChars="200"/>
        <w:rPr>
          <w:rFonts w:hint="eastAsia" w:ascii="宋体" w:hAnsi="宋体" w:eastAsia="宋体" w:cs="宋体"/>
          <w:color w:val="auto"/>
          <w:sz w:val="24"/>
          <w:highlight w:val="none"/>
        </w:rPr>
      </w:pP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pacing w:after="0" w:line="500" w:lineRule="exact"/>
        <w:ind w:firstLine="480" w:firstLineChars="200"/>
        <w:rPr>
          <w:rFonts w:hint="eastAsia" w:ascii="宋体" w:hAnsi="宋体" w:eastAsia="宋体" w:cs="宋体"/>
          <w:color w:val="auto"/>
          <w:sz w:val="24"/>
          <w:highlight w:val="none"/>
        </w:rPr>
      </w:pP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企业名称（盖章）：</w:t>
      </w:r>
    </w:p>
    <w:p>
      <w:pPr>
        <w:spacing w:after="0"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 期： </w:t>
      </w:r>
    </w:p>
    <w:p>
      <w:pPr>
        <w:spacing w:after="0" w:line="500" w:lineRule="exact"/>
        <w:ind w:firstLine="480" w:firstLineChars="200"/>
        <w:rPr>
          <w:rFonts w:hint="eastAsia" w:ascii="宋体" w:hAnsi="宋体" w:eastAsia="宋体" w:cs="宋体"/>
          <w:color w:val="auto"/>
          <w:sz w:val="24"/>
          <w:highlight w:val="none"/>
        </w:rPr>
      </w:pPr>
    </w:p>
    <w:p>
      <w:pPr>
        <w:spacing w:after="0" w:line="500" w:lineRule="exact"/>
        <w:ind w:firstLine="480" w:firstLineChars="200"/>
        <w:rPr>
          <w:rFonts w:hint="eastAsia" w:ascii="宋体" w:hAnsi="宋体" w:eastAsia="宋体" w:cs="宋体"/>
          <w:color w:val="auto"/>
          <w:sz w:val="24"/>
          <w:highlight w:val="none"/>
        </w:rPr>
      </w:pPr>
    </w:p>
    <w:p>
      <w:pPr>
        <w:rPr>
          <w:color w:val="auto"/>
          <w:highlight w:val="none"/>
        </w:rPr>
      </w:pPr>
      <w:r>
        <w:rPr>
          <w:rFonts w:hint="eastAsia" w:ascii="宋体" w:hAnsi="宋体" w:eastAsia="宋体" w:cs="宋体"/>
          <w:color w:val="auto"/>
          <w:sz w:val="24"/>
          <w:highlight w:val="none"/>
        </w:rPr>
        <w:t>注：从业人员、营业收入、资产总额填报上一年度数据，无上一年度数据的新成立企业可不填报。</w:t>
      </w:r>
      <w:r>
        <w:rPr>
          <w:color w:val="auto"/>
          <w:highlight w:val="none"/>
        </w:rPr>
        <w:br w:type="page"/>
      </w:r>
    </w:p>
    <w:p>
      <w:pPr>
        <w:snapToGrid w:val="0"/>
        <w:spacing w:beforeLines="50" w:after="50"/>
        <w:ind w:left="142"/>
        <w:jc w:val="left"/>
        <w:rPr>
          <w:rFonts w:ascii="宋体" w:hAnsi="宋体"/>
          <w:b/>
          <w:color w:val="auto"/>
          <w:sz w:val="24"/>
          <w:highlight w:val="none"/>
        </w:rPr>
      </w:pPr>
      <w:r>
        <w:rPr>
          <w:rFonts w:hint="eastAsia" w:ascii="宋体" w:hAnsi="宋体"/>
          <w:b/>
          <w:color w:val="auto"/>
          <w:sz w:val="24"/>
          <w:highlight w:val="none"/>
        </w:rPr>
        <w:t>9.残疾人福利性单位声明函格式</w:t>
      </w:r>
    </w:p>
    <w:p>
      <w:pPr>
        <w:spacing w:line="588" w:lineRule="exact"/>
        <w:jc w:val="center"/>
        <w:rPr>
          <w:rFonts w:ascii="仿宋_GB2312" w:eastAsia="仿宋_GB2312"/>
          <w:b/>
          <w:color w:val="auto"/>
          <w:spacing w:val="6"/>
          <w:sz w:val="32"/>
          <w:szCs w:val="32"/>
          <w:highlight w:val="none"/>
        </w:rPr>
      </w:pPr>
      <w:bookmarkStart w:id="155" w:name="OLE_LINK14"/>
      <w:bookmarkStart w:id="156" w:name="OLE_LINK13"/>
    </w:p>
    <w:p>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残疾人福利性单位声明函</w:t>
      </w:r>
    </w:p>
    <w:bookmarkEnd w:id="155"/>
    <w:bookmarkEnd w:id="156"/>
    <w:p>
      <w:pPr>
        <w:spacing w:line="588" w:lineRule="exact"/>
        <w:rPr>
          <w:rFonts w:ascii="仿宋_GB2312" w:eastAsia="仿宋_GB2312"/>
          <w:b/>
          <w:color w:val="auto"/>
          <w:spacing w:val="6"/>
          <w:sz w:val="30"/>
          <w:szCs w:val="30"/>
          <w:highlight w:val="none"/>
        </w:rPr>
      </w:pP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 141</w:t>
      </w:r>
      <w:r>
        <w:rPr>
          <w:rFonts w:hint="eastAsia" w:ascii="宋体" w:hAnsi="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w:t>
      </w:r>
      <w:r>
        <w:rPr>
          <w:rFonts w:hint="eastAsia" w:ascii="宋体" w:hAnsi="宋体"/>
          <w:color w:val="auto"/>
          <w:spacing w:val="-6"/>
          <w:sz w:val="24"/>
          <w:highlight w:val="none"/>
        </w:rPr>
        <w:t>疾人福利性单位制造的货物（不包括使用非残疾人福利性单位注册商标的货物）。</w:t>
      </w: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spacing w:line="588" w:lineRule="exact"/>
        <w:ind w:firstLine="504" w:firstLineChars="200"/>
        <w:rPr>
          <w:rFonts w:ascii="宋体" w:hAnsi="宋体"/>
          <w:color w:val="auto"/>
          <w:spacing w:val="6"/>
          <w:sz w:val="24"/>
          <w:highlight w:val="none"/>
        </w:rPr>
      </w:pPr>
    </w:p>
    <w:p>
      <w:pPr>
        <w:spacing w:line="588" w:lineRule="exact"/>
        <w:ind w:firstLine="504" w:firstLineChars="200"/>
        <w:rPr>
          <w:rFonts w:ascii="宋体" w:hAnsi="宋体"/>
          <w:color w:val="auto"/>
          <w:spacing w:val="6"/>
          <w:sz w:val="24"/>
          <w:highlight w:val="none"/>
        </w:rPr>
      </w:pPr>
    </w:p>
    <w:p>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单位名称（盖章）：</w:t>
      </w:r>
    </w:p>
    <w:p>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日  期：</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r>
        <w:rPr>
          <w:rFonts w:hint="eastAsia" w:ascii="宋体" w:hAnsi="宋体"/>
          <w:color w:val="auto"/>
          <w:sz w:val="24"/>
          <w:highlight w:val="none"/>
        </w:rPr>
        <w:t>注：请根据自己的真实情况出具《残疾人福利性单位声明函》。依法享受中小企业优惠政策的，采购人或采购代理机构在公告中标结果时，同时公告其《残疾人福利性单位声明函》，接受社会监督。</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r>
        <w:rPr>
          <w:rFonts w:ascii="宋体" w:hAnsi="宋体"/>
          <w:color w:val="auto"/>
          <w:sz w:val="24"/>
          <w:highlight w:val="none"/>
        </w:rPr>
        <w:br w:type="page"/>
      </w:r>
    </w:p>
    <w:p>
      <w:pPr>
        <w:pStyle w:val="25"/>
        <w:spacing w:line="360" w:lineRule="auto"/>
        <w:rPr>
          <w:b/>
          <w:color w:val="auto"/>
          <w:sz w:val="24"/>
          <w:szCs w:val="24"/>
          <w:highlight w:val="none"/>
        </w:rPr>
      </w:pPr>
      <w:r>
        <w:rPr>
          <w:rFonts w:hint="eastAsia"/>
          <w:b/>
          <w:color w:val="auto"/>
          <w:sz w:val="24"/>
          <w:szCs w:val="24"/>
          <w:highlight w:val="none"/>
        </w:rPr>
        <w:t>10.格式：诚信评审格式</w:t>
      </w:r>
    </w:p>
    <w:p>
      <w:pPr>
        <w:pStyle w:val="25"/>
        <w:spacing w:line="360" w:lineRule="auto"/>
        <w:ind w:firstLine="463" w:firstLineChars="192"/>
        <w:rPr>
          <w:b/>
          <w:color w:val="auto"/>
          <w:sz w:val="24"/>
          <w:szCs w:val="24"/>
          <w:highlight w:val="none"/>
        </w:rPr>
      </w:pPr>
      <w:r>
        <w:rPr>
          <w:rFonts w:hint="eastAsia"/>
          <w:b/>
          <w:color w:val="auto"/>
          <w:sz w:val="24"/>
          <w:szCs w:val="24"/>
          <w:highlight w:val="none"/>
        </w:rPr>
        <w:t>诚信分：投标人在截标日前一年内在政府采购活动中存在违约违规情形的（以财政部门书面认定材料为评分依据）。</w:t>
      </w:r>
    </w:p>
    <w:p>
      <w:pPr>
        <w:pStyle w:val="25"/>
        <w:spacing w:line="360" w:lineRule="auto"/>
        <w:ind w:firstLine="472" w:firstLineChars="196"/>
        <w:rPr>
          <w:b/>
          <w:color w:val="auto"/>
          <w:sz w:val="24"/>
          <w:szCs w:val="24"/>
          <w:highlight w:val="none"/>
        </w:rPr>
      </w:pPr>
      <w:r>
        <w:rPr>
          <w:rFonts w:hint="eastAsia"/>
          <w:b/>
          <w:color w:val="auto"/>
          <w:sz w:val="24"/>
          <w:szCs w:val="24"/>
          <w:highlight w:val="none"/>
        </w:rPr>
        <w:t>(由投标人在以下选择其中一个</w:t>
      </w:r>
      <w:r>
        <w:rPr>
          <w:rFonts w:hint="eastAsia" w:hAnsi="宋体" w:cs="宋体"/>
          <w:b/>
          <w:color w:val="auto"/>
          <w:highlight w:val="none"/>
        </w:rPr>
        <w:t>□</w:t>
      </w:r>
      <w:r>
        <w:rPr>
          <w:rFonts w:hint="eastAsia"/>
          <w:b/>
          <w:color w:val="auto"/>
          <w:sz w:val="24"/>
          <w:szCs w:val="24"/>
          <w:highlight w:val="none"/>
        </w:rPr>
        <w:t>内打上“√”，若存在违约违规情形，由投标人提供认定材料。若在项目处于质疑期，被其他利害关系投标人质疑或监督管理部门查实在政府采购活动中存在违约违规情形的，采购人有权将以提供虚假材料谋取中标处理，报政府采购监督管理部门进行处罚)</w:t>
      </w:r>
    </w:p>
    <w:p>
      <w:pPr>
        <w:pStyle w:val="25"/>
        <w:spacing w:line="360" w:lineRule="auto"/>
        <w:rPr>
          <w:b/>
          <w:color w:val="auto"/>
          <w:sz w:val="24"/>
          <w:szCs w:val="24"/>
          <w:highlight w:val="none"/>
        </w:rPr>
      </w:pPr>
    </w:p>
    <w:p>
      <w:pPr>
        <w:pStyle w:val="25"/>
        <w:spacing w:line="360" w:lineRule="auto"/>
        <w:ind w:firstLine="826" w:firstLineChars="343"/>
        <w:rPr>
          <w:b/>
          <w:color w:val="auto"/>
          <w:sz w:val="24"/>
          <w:szCs w:val="24"/>
          <w:highlight w:val="none"/>
        </w:rPr>
      </w:pPr>
      <w:r>
        <w:rPr>
          <w:rFonts w:hint="eastAsia"/>
          <w:b/>
          <w:color w:val="auto"/>
          <w:sz w:val="24"/>
          <w:szCs w:val="24"/>
          <w:highlight w:val="none"/>
        </w:rPr>
        <w:t>财政部门认定的违法违规材料复印件或无违法违规情形</w:t>
      </w:r>
    </w:p>
    <w:p>
      <w:pPr>
        <w:pStyle w:val="25"/>
        <w:spacing w:line="360" w:lineRule="auto"/>
        <w:ind w:firstLine="826" w:firstLineChars="343"/>
        <w:rPr>
          <w:b/>
          <w:color w:val="auto"/>
          <w:sz w:val="24"/>
          <w:szCs w:val="24"/>
          <w:highlight w:val="none"/>
        </w:rPr>
      </w:pPr>
      <w:r>
        <w:rPr>
          <w:rFonts w:hint="eastAsia"/>
          <w:b/>
          <w:color w:val="auto"/>
          <w:sz w:val="24"/>
          <w:szCs w:val="24"/>
          <w:highlight w:val="none"/>
        </w:rPr>
        <w:t>（以下二选其一）</w:t>
      </w:r>
    </w:p>
    <w:p>
      <w:pPr>
        <w:pStyle w:val="25"/>
        <w:spacing w:line="360" w:lineRule="auto"/>
        <w:ind w:firstLine="689" w:firstLineChars="343"/>
        <w:rPr>
          <w:b/>
          <w:color w:val="auto"/>
          <w:sz w:val="24"/>
          <w:szCs w:val="24"/>
          <w:highlight w:val="none"/>
        </w:rPr>
      </w:pPr>
      <w:bookmarkStart w:id="157" w:name="EBb23c7cde240f455884a2aaeb0306f308"/>
      <w:r>
        <w:rPr>
          <w:rFonts w:hint="eastAsia" w:hAnsi="宋体" w:cs="宋体"/>
          <w:b/>
          <w:color w:val="auto"/>
          <w:highlight w:val="none"/>
        </w:rPr>
        <w:t>□</w:t>
      </w:r>
      <w:bookmarkEnd w:id="157"/>
      <w:r>
        <w:rPr>
          <w:rFonts w:hint="eastAsia"/>
          <w:b/>
          <w:color w:val="auto"/>
          <w:sz w:val="24"/>
          <w:szCs w:val="24"/>
          <w:highlight w:val="none"/>
        </w:rPr>
        <w:t>财政部门认定的违法违规材料复印件，如下：</w:t>
      </w:r>
    </w:p>
    <w:p>
      <w:pPr>
        <w:pStyle w:val="25"/>
        <w:spacing w:line="360" w:lineRule="auto"/>
        <w:ind w:firstLine="826" w:firstLineChars="343"/>
        <w:rPr>
          <w:b/>
          <w:color w:val="auto"/>
          <w:sz w:val="24"/>
          <w:szCs w:val="24"/>
          <w:highlight w:val="none"/>
        </w:rPr>
      </w:pPr>
    </w:p>
    <w:p>
      <w:pPr>
        <w:pStyle w:val="25"/>
        <w:spacing w:line="360" w:lineRule="auto"/>
        <w:ind w:firstLine="689" w:firstLineChars="343"/>
        <w:rPr>
          <w:b/>
          <w:color w:val="auto"/>
          <w:sz w:val="24"/>
          <w:szCs w:val="24"/>
          <w:highlight w:val="none"/>
        </w:rPr>
      </w:pPr>
      <w:r>
        <w:rPr>
          <w:rFonts w:hint="eastAsia" w:hAnsi="宋体" w:cs="宋体"/>
          <w:b/>
          <w:color w:val="auto"/>
          <w:highlight w:val="none"/>
        </w:rPr>
        <w:t>□</w:t>
      </w:r>
      <w:r>
        <w:rPr>
          <w:rFonts w:hint="eastAsia"/>
          <w:b/>
          <w:color w:val="auto"/>
          <w:sz w:val="24"/>
          <w:szCs w:val="24"/>
          <w:highlight w:val="none"/>
        </w:rPr>
        <w:t>无违法违规情形</w:t>
      </w:r>
    </w:p>
    <w:p>
      <w:pPr>
        <w:pStyle w:val="25"/>
        <w:spacing w:line="360" w:lineRule="auto"/>
        <w:ind w:firstLine="826" w:firstLineChars="343"/>
        <w:rPr>
          <w:b/>
          <w:color w:val="auto"/>
          <w:sz w:val="24"/>
          <w:szCs w:val="24"/>
          <w:highlight w:val="none"/>
        </w:rPr>
      </w:pPr>
    </w:p>
    <w:p>
      <w:pPr>
        <w:pStyle w:val="25"/>
        <w:spacing w:line="360" w:lineRule="auto"/>
        <w:ind w:firstLine="826" w:firstLineChars="343"/>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pStyle w:val="25"/>
        <w:spacing w:line="360" w:lineRule="auto"/>
        <w:rPr>
          <w:b/>
          <w:color w:val="auto"/>
          <w:sz w:val="24"/>
          <w:szCs w:val="24"/>
          <w:highlight w:val="none"/>
        </w:rPr>
      </w:pPr>
    </w:p>
    <w:p>
      <w:pPr>
        <w:snapToGrid w:val="0"/>
        <w:spacing w:before="50" w:afterLines="50" w:line="360" w:lineRule="exact"/>
        <w:jc w:val="left"/>
        <w:rPr>
          <w:rFonts w:ascii="宋体" w:hAnsi="宋体"/>
          <w:color w:val="auto"/>
          <w:spacing w:val="20"/>
          <w:sz w:val="24"/>
          <w:highlight w:val="none"/>
        </w:rPr>
      </w:pPr>
      <w:r>
        <w:rPr>
          <w:rFonts w:hint="eastAsia" w:ascii="宋体" w:hAnsi="宋体"/>
          <w:color w:val="auto"/>
          <w:spacing w:val="20"/>
          <w:sz w:val="24"/>
          <w:highlight w:val="none"/>
        </w:rPr>
        <w:t>投标人盖公章：</w:t>
      </w:r>
    </w:p>
    <w:p>
      <w:pPr>
        <w:snapToGrid w:val="0"/>
        <w:spacing w:before="50" w:afterLines="50" w:line="360" w:lineRule="exact"/>
        <w:jc w:val="left"/>
        <w:rPr>
          <w:rFonts w:ascii="宋体" w:hAnsi="宋体"/>
          <w:b/>
          <w:color w:val="auto"/>
          <w:sz w:val="24"/>
          <w:highlight w:val="none"/>
        </w:rPr>
      </w:pPr>
      <w:r>
        <w:rPr>
          <w:rFonts w:hint="eastAsia" w:ascii="宋体" w:hAnsi="宋体"/>
          <w:color w:val="auto"/>
          <w:spacing w:val="20"/>
          <w:sz w:val="24"/>
          <w:highlight w:val="none"/>
        </w:rPr>
        <w:t>日 期：</w:t>
      </w:r>
    </w:p>
    <w:p>
      <w:pPr>
        <w:rPr>
          <w:color w:val="auto"/>
          <w:highlight w:val="none"/>
        </w:rPr>
      </w:pPr>
    </w:p>
    <w:p>
      <w:pPr>
        <w:pStyle w:val="3"/>
        <w:ind w:left="-269"/>
        <w:rPr>
          <w:color w:val="auto"/>
          <w:highlight w:val="none"/>
        </w:rPr>
      </w:pPr>
    </w:p>
    <w:p>
      <w:pPr>
        <w:rPr>
          <w:color w:val="auto"/>
          <w:highlight w:val="none"/>
        </w:rPr>
      </w:pPr>
    </w:p>
    <w:sectPr>
      <w:footerReference r:id="rId10" w:type="first"/>
      <w:headerReference r:id="rId7" w:type="default"/>
      <w:footerReference r:id="rId8" w:type="default"/>
      <w:footerReference r:id="rId9"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Century">
    <w:panose1 w:val="02040604050505020304"/>
    <w:charset w:val="00"/>
    <w:family w:val="roman"/>
    <w:pitch w:val="default"/>
    <w:sig w:usb0="00000287" w:usb1="00000000" w:usb2="00000000" w:usb3="00000000" w:csb0="2000009F" w:csb1="DFD70000"/>
  </w:font>
  <w:font w:name="Arial Unicode MS">
    <w:panose1 w:val="020B0604020202020204"/>
    <w:charset w:val="86"/>
    <w:family w:val="roman"/>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_x000B__x000C_">
    <w:altName w:val="Times New Roman"/>
    <w:panose1 w:val="00000000000000000000"/>
    <w:charset w:val="00"/>
    <w:family w:val="roman"/>
    <w:pitch w:val="default"/>
    <w:sig w:usb0="00000000" w:usb1="00000000" w:usb2="00000000" w:usb3="00000000" w:csb0="00040001" w:csb1="00000000"/>
  </w:font>
  <w:font w:name="华文细黑">
    <w:panose1 w:val="02010600040101010101"/>
    <w:charset w:val="86"/>
    <w:family w:val="auto"/>
    <w:pitch w:val="default"/>
    <w:sig w:usb0="00000287" w:usb1="080F0000" w:usb2="00000000" w:usb3="00000000" w:csb0="0004009F" w:csb1="DFD70000"/>
  </w:font>
  <w:font w:name="华文新魏">
    <w:panose1 w:val="02010800040101010101"/>
    <w:charset w:val="86"/>
    <w:family w:val="auto"/>
    <w:pitch w:val="default"/>
    <w:sig w:usb0="00000001" w:usb1="080F0000" w:usb2="00000000" w:usb3="00000000" w:csb0="00040000" w:csb1="00000000"/>
  </w:font>
  <w:font w:name="Helvetica">
    <w:altName w:val="Arial"/>
    <w:panose1 w:val="020B0504020202020204"/>
    <w:charset w:val="00"/>
    <w:family w:val="swiss"/>
    <w:pitch w:val="default"/>
    <w:sig w:usb0="00000000"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w:fldChar w:fldCharType="begin"/>
    </w:r>
    <w:r>
      <w:instrText xml:space="preserve"> PAGE   \* MERGEFORMAT </w:instrText>
    </w:r>
    <w:r>
      <w:fldChar w:fldCharType="separate"/>
    </w:r>
    <w:r>
      <w:rPr>
        <w:lang w:val="zh-CN"/>
      </w:rPr>
      <w:t>107</w:t>
    </w:r>
    <w:r>
      <w:rPr>
        <w:lang w:val="zh-CN"/>
      </w:rPr>
      <w:fldChar w:fldCharType="end"/>
    </w:r>
  </w:p>
  <w:p>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center" w:y="1"/>
      <w:rPr>
        <w:rStyle w:val="51"/>
      </w:rPr>
    </w:pPr>
    <w:r>
      <w:fldChar w:fldCharType="begin"/>
    </w:r>
    <w:r>
      <w:rPr>
        <w:rStyle w:val="51"/>
      </w:rPr>
      <w:instrText xml:space="preserve">PAGE  </w:instrText>
    </w:r>
    <w:r>
      <w:fldChar w:fldCharType="end"/>
    </w:r>
  </w:p>
  <w:p>
    <w:pPr>
      <w:pStyle w:val="3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w:fldChar w:fldCharType="begin"/>
    </w:r>
    <w:r>
      <w:instrText xml:space="preserve"> PAGE   \* MERGEFORMAT </w:instrText>
    </w:r>
    <w:r>
      <w:fldChar w:fldCharType="separate"/>
    </w:r>
    <w:r>
      <w:rPr>
        <w:lang w:val="zh-CN"/>
      </w:rPr>
      <w:t>135</w:t>
    </w:r>
    <w:r>
      <w:rPr>
        <w:lang w:val="zh-CN"/>
      </w:rPr>
      <w:fldChar w:fldCharType="end"/>
    </w:r>
  </w:p>
  <w:p>
    <w:pPr>
      <w:pStyle w:val="3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center" w:y="1"/>
      <w:rPr>
        <w:rStyle w:val="51"/>
      </w:rPr>
    </w:pPr>
    <w:r>
      <w:fldChar w:fldCharType="begin"/>
    </w:r>
    <w:r>
      <w:rPr>
        <w:rStyle w:val="51"/>
      </w:rPr>
      <w:instrText xml:space="preserve">PAGE  </w:instrText>
    </w:r>
    <w:r>
      <w:fldChar w:fldCharType="end"/>
    </w:r>
  </w:p>
  <w:p>
    <w:pPr>
      <w:pStyle w:val="3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right" w:y="1"/>
      <w:rPr>
        <w:rStyle w:val="51"/>
      </w:rPr>
    </w:pPr>
    <w:r>
      <w:fldChar w:fldCharType="begin"/>
    </w:r>
    <w:r>
      <w:rPr>
        <w:rStyle w:val="51"/>
      </w:rPr>
      <w:instrText xml:space="preserve">PAGE  </w:instrText>
    </w:r>
    <w:r>
      <w:fldChar w:fldCharType="separate"/>
    </w:r>
    <w:r>
      <w:rPr>
        <w:rStyle w:val="51"/>
      </w:rPr>
      <w:t>122</w:t>
    </w:r>
    <w:r>
      <w:fldChar w:fldCharType="end"/>
    </w:r>
  </w:p>
  <w:p>
    <w:pPr>
      <w:pStyle w:val="31"/>
      <w:ind w:right="360"/>
      <w:jc w:val="both"/>
    </w:pPr>
    <w:r>
      <w:rPr>
        <w:rFonts w:hint="eastAsia"/>
      </w:rPr>
      <w:t>121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rPr>
        <w:rFonts w:ascii="宋体" w:hAnsi="宋体"/>
      </w:rPr>
    </w:pPr>
    <w:r>
      <w:rPr>
        <w:rFonts w:hint="eastAsia" w:ascii="宋体" w:hAnsi="宋体"/>
      </w:rPr>
      <w:t>项目名称：残疾人辅助器具采购</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rPr>
        <w:rFonts w:ascii="宋体" w:hAnsi="宋体"/>
      </w:rPr>
    </w:pPr>
    <w:r>
      <w:rPr>
        <w:rFonts w:hint="eastAsia" w:ascii="宋体" w:hAnsi="宋体"/>
      </w:rPr>
      <w:t xml:space="preserve">项目名称：残疾人辅助器具采购项目编号： </w:t>
    </w:r>
  </w:p>
  <w:p>
    <w:pPr>
      <w:pStyle w:val="3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C71AE7"/>
    <w:multiLevelType w:val="singleLevel"/>
    <w:tmpl w:val="85C71AE7"/>
    <w:lvl w:ilvl="0" w:tentative="0">
      <w:start w:val="1"/>
      <w:numFmt w:val="decimal"/>
      <w:suff w:val="nothing"/>
      <w:lvlText w:val="%1、"/>
      <w:lvlJc w:val="left"/>
    </w:lvl>
  </w:abstractNum>
  <w:abstractNum w:abstractNumId="1">
    <w:nsid w:val="959557DD"/>
    <w:multiLevelType w:val="singleLevel"/>
    <w:tmpl w:val="959557DD"/>
    <w:lvl w:ilvl="0" w:tentative="0">
      <w:start w:val="2"/>
      <w:numFmt w:val="chineseCounting"/>
      <w:suff w:val="nothing"/>
      <w:lvlText w:val="%1、"/>
      <w:lvlJc w:val="left"/>
      <w:rPr>
        <w:rFonts w:hint="eastAsia"/>
      </w:rPr>
    </w:lvl>
  </w:abstractNum>
  <w:abstractNum w:abstractNumId="2">
    <w:nsid w:val="BF65B61F"/>
    <w:multiLevelType w:val="singleLevel"/>
    <w:tmpl w:val="BF65B61F"/>
    <w:lvl w:ilvl="0" w:tentative="0">
      <w:start w:val="1"/>
      <w:numFmt w:val="decimal"/>
      <w:suff w:val="nothing"/>
      <w:lvlText w:val="%1、"/>
      <w:lvlJc w:val="left"/>
    </w:lvl>
  </w:abstractNum>
  <w:abstractNum w:abstractNumId="3">
    <w:nsid w:val="C841F87F"/>
    <w:multiLevelType w:val="singleLevel"/>
    <w:tmpl w:val="C841F87F"/>
    <w:lvl w:ilvl="0" w:tentative="0">
      <w:start w:val="1"/>
      <w:numFmt w:val="decimal"/>
      <w:suff w:val="nothing"/>
      <w:lvlText w:val="（%1）"/>
      <w:lvlJc w:val="left"/>
    </w:lvl>
  </w:abstractNum>
  <w:abstractNum w:abstractNumId="4">
    <w:nsid w:val="DF8B4425"/>
    <w:multiLevelType w:val="singleLevel"/>
    <w:tmpl w:val="DF8B4425"/>
    <w:lvl w:ilvl="0" w:tentative="0">
      <w:start w:val="1"/>
      <w:numFmt w:val="decimal"/>
      <w:suff w:val="nothing"/>
      <w:lvlText w:val="%1、"/>
      <w:lvlJc w:val="left"/>
    </w:lvl>
  </w:abstractNum>
  <w:abstractNum w:abstractNumId="5">
    <w:nsid w:val="FDAE443D"/>
    <w:multiLevelType w:val="singleLevel"/>
    <w:tmpl w:val="FDAE443D"/>
    <w:lvl w:ilvl="0" w:tentative="0">
      <w:start w:val="5"/>
      <w:numFmt w:val="decimal"/>
      <w:suff w:val="nothing"/>
      <w:lvlText w:val="%1、"/>
      <w:lvlJc w:val="left"/>
    </w:lvl>
  </w:abstractNum>
  <w:abstractNum w:abstractNumId="6">
    <w:nsid w:val="FFFFFF7E"/>
    <w:multiLevelType w:val="singleLevel"/>
    <w:tmpl w:val="FFFFFF7E"/>
    <w:lvl w:ilvl="0" w:tentative="0">
      <w:start w:val="1"/>
      <w:numFmt w:val="decimal"/>
      <w:pStyle w:val="21"/>
      <w:lvlText w:val="%1."/>
      <w:lvlJc w:val="left"/>
      <w:pPr>
        <w:tabs>
          <w:tab w:val="left" w:pos="1200"/>
        </w:tabs>
        <w:ind w:left="1200" w:hanging="360"/>
      </w:pPr>
    </w:lvl>
  </w:abstractNum>
  <w:abstractNum w:abstractNumId="7">
    <w:nsid w:val="32714F5E"/>
    <w:multiLevelType w:val="multilevel"/>
    <w:tmpl w:val="32714F5E"/>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9"/>
      <w:suff w:val="nothing"/>
      <w:lvlText w:val=""/>
      <w:lvlJc w:val="left"/>
      <w:pPr>
        <w:ind w:left="0" w:firstLine="0"/>
      </w:pPr>
      <w:rPr>
        <w:rFonts w:hint="eastAsia"/>
      </w:rPr>
    </w:lvl>
    <w:lvl w:ilvl="5" w:tentative="0">
      <w:start w:val="1"/>
      <w:numFmt w:val="none"/>
      <w:pStyle w:val="11"/>
      <w:suff w:val="nothing"/>
      <w:lvlText w:val=""/>
      <w:lvlJc w:val="left"/>
      <w:pPr>
        <w:ind w:left="0" w:firstLine="0"/>
      </w:pPr>
      <w:rPr>
        <w:rFonts w:hint="eastAsia"/>
      </w:rPr>
    </w:lvl>
    <w:lvl w:ilvl="6" w:tentative="0">
      <w:start w:val="1"/>
      <w:numFmt w:val="none"/>
      <w:pStyle w:val="12"/>
      <w:suff w:val="nothing"/>
      <w:lvlText w:val=""/>
      <w:lvlJc w:val="left"/>
      <w:pPr>
        <w:ind w:left="0" w:firstLine="0"/>
      </w:pPr>
      <w:rPr>
        <w:rFonts w:hint="eastAsia"/>
      </w:rPr>
    </w:lvl>
    <w:lvl w:ilvl="7" w:tentative="0">
      <w:start w:val="1"/>
      <w:numFmt w:val="none"/>
      <w:pStyle w:val="13"/>
      <w:suff w:val="nothing"/>
      <w:lvlText w:val=""/>
      <w:lvlJc w:val="left"/>
      <w:pPr>
        <w:ind w:left="0" w:firstLine="0"/>
      </w:pPr>
      <w:rPr>
        <w:rFonts w:hint="eastAsia"/>
      </w:rPr>
    </w:lvl>
    <w:lvl w:ilvl="8" w:tentative="0">
      <w:start w:val="1"/>
      <w:numFmt w:val="none"/>
      <w:pStyle w:val="14"/>
      <w:suff w:val="nothing"/>
      <w:lvlText w:val=""/>
      <w:lvlJc w:val="left"/>
      <w:pPr>
        <w:ind w:left="0" w:firstLine="0"/>
      </w:pPr>
      <w:rPr>
        <w:rFonts w:hint="eastAsia"/>
      </w:rPr>
    </w:lvl>
  </w:abstractNum>
  <w:abstractNum w:abstractNumId="8">
    <w:nsid w:val="35DC1916"/>
    <w:multiLevelType w:val="singleLevel"/>
    <w:tmpl w:val="35DC1916"/>
    <w:lvl w:ilvl="0" w:tentative="0">
      <w:start w:val="1"/>
      <w:numFmt w:val="decimal"/>
      <w:suff w:val="nothing"/>
      <w:lvlText w:val="%1、"/>
      <w:lvlJc w:val="left"/>
    </w:lvl>
  </w:abstractNum>
  <w:abstractNum w:abstractNumId="9">
    <w:nsid w:val="4C601917"/>
    <w:multiLevelType w:val="singleLevel"/>
    <w:tmpl w:val="4C601917"/>
    <w:lvl w:ilvl="0" w:tentative="0">
      <w:start w:val="1"/>
      <w:numFmt w:val="decimal"/>
      <w:suff w:val="nothing"/>
      <w:lvlText w:val="（%1）"/>
      <w:lvlJc w:val="left"/>
    </w:lvl>
  </w:abstractNum>
  <w:abstractNum w:abstractNumId="10">
    <w:nsid w:val="5FABD14B"/>
    <w:multiLevelType w:val="singleLevel"/>
    <w:tmpl w:val="5FABD14B"/>
    <w:lvl w:ilvl="0" w:tentative="0">
      <w:start w:val="1"/>
      <w:numFmt w:val="decimal"/>
      <w:suff w:val="nothing"/>
      <w:lvlText w:val="（%1）"/>
      <w:lvlJc w:val="left"/>
    </w:lvl>
  </w:abstractNum>
  <w:abstractNum w:abstractNumId="11">
    <w:nsid w:val="70BD51E6"/>
    <w:multiLevelType w:val="multilevel"/>
    <w:tmpl w:val="70BD51E6"/>
    <w:lvl w:ilvl="0" w:tentative="0">
      <w:start w:val="1"/>
      <w:numFmt w:val="decimal"/>
      <w:lvlText w:val="%1."/>
      <w:lvlJc w:val="left"/>
      <w:pPr>
        <w:ind w:left="840" w:hanging="420"/>
      </w:pPr>
      <w:rPr>
        <w:rFonts w:hint="default"/>
        <w:sz w:val="22"/>
        <w:szCs w:val="24"/>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763060DB"/>
    <w:multiLevelType w:val="multilevel"/>
    <w:tmpl w:val="763060DB"/>
    <w:lvl w:ilvl="0" w:tentative="0">
      <w:start w:val="1"/>
      <w:numFmt w:val="japaneseCounting"/>
      <w:lvlText w:val="第%1章"/>
      <w:lvlJc w:val="left"/>
      <w:pPr>
        <w:tabs>
          <w:tab w:val="left" w:pos="1815"/>
        </w:tabs>
        <w:ind w:left="1815" w:hanging="1275"/>
      </w:pPr>
      <w:rPr>
        <w:rFonts w:hint="eastAsia"/>
        <w:lang w:val="en-US"/>
      </w:rPr>
    </w:lvl>
    <w:lvl w:ilvl="1" w:tentative="0">
      <w:start w:val="1"/>
      <w:numFmt w:val="japaneseCounting"/>
      <w:lvlText w:val="%2、"/>
      <w:lvlJc w:val="left"/>
      <w:pPr>
        <w:tabs>
          <w:tab w:val="left" w:pos="1680"/>
        </w:tabs>
        <w:ind w:left="1680" w:hanging="720"/>
      </w:pPr>
      <w:rPr>
        <w:rFonts w:hint="eastAsia"/>
      </w:rPr>
    </w:lvl>
    <w:lvl w:ilvl="2" w:tentative="0">
      <w:start w:val="1"/>
      <w:numFmt w:val="decimal"/>
      <w:lvlText w:val="%3."/>
      <w:lvlJc w:val="left"/>
      <w:pPr>
        <w:ind w:left="502" w:hanging="360"/>
      </w:pPr>
      <w:rPr>
        <w:rFonts w:hint="default"/>
        <w:sz w:val="24"/>
        <w:szCs w:val="24"/>
      </w:r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num w:numId="1">
    <w:abstractNumId w:val="7"/>
  </w:num>
  <w:num w:numId="2">
    <w:abstractNumId w:val="6"/>
  </w:num>
  <w:num w:numId="3">
    <w:abstractNumId w:val="1"/>
  </w:num>
  <w:num w:numId="4">
    <w:abstractNumId w:val="2"/>
  </w:num>
  <w:num w:numId="5">
    <w:abstractNumId w:val="5"/>
  </w:num>
  <w:num w:numId="6">
    <w:abstractNumId w:val="0"/>
  </w:num>
  <w:num w:numId="7">
    <w:abstractNumId w:val="4"/>
  </w:num>
  <w:num w:numId="8">
    <w:abstractNumId w:val="8"/>
  </w:num>
  <w:num w:numId="9">
    <w:abstractNumId w:val="11"/>
  </w:num>
  <w:num w:numId="10">
    <w:abstractNumId w:val="3"/>
  </w:num>
  <w:num w:numId="11">
    <w:abstractNumId w:val="9"/>
  </w:num>
  <w:num w:numId="12">
    <w:abstractNumId w:val="10"/>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08B"/>
    <w:rsid w:val="000001FA"/>
    <w:rsid w:val="00000FE0"/>
    <w:rsid w:val="00001068"/>
    <w:rsid w:val="0000114A"/>
    <w:rsid w:val="00001C55"/>
    <w:rsid w:val="00001CA8"/>
    <w:rsid w:val="00001FAE"/>
    <w:rsid w:val="00002291"/>
    <w:rsid w:val="00002DBF"/>
    <w:rsid w:val="00002EC0"/>
    <w:rsid w:val="000033F5"/>
    <w:rsid w:val="00003BEF"/>
    <w:rsid w:val="0000431F"/>
    <w:rsid w:val="00004634"/>
    <w:rsid w:val="000059E2"/>
    <w:rsid w:val="0000662A"/>
    <w:rsid w:val="00006AE7"/>
    <w:rsid w:val="00006B9B"/>
    <w:rsid w:val="00006C35"/>
    <w:rsid w:val="0000729F"/>
    <w:rsid w:val="000072B1"/>
    <w:rsid w:val="00007329"/>
    <w:rsid w:val="00007E28"/>
    <w:rsid w:val="00007E84"/>
    <w:rsid w:val="00010401"/>
    <w:rsid w:val="000105A1"/>
    <w:rsid w:val="000107AD"/>
    <w:rsid w:val="00010835"/>
    <w:rsid w:val="00011842"/>
    <w:rsid w:val="00012137"/>
    <w:rsid w:val="000121FF"/>
    <w:rsid w:val="000125B8"/>
    <w:rsid w:val="00012692"/>
    <w:rsid w:val="00013446"/>
    <w:rsid w:val="00013509"/>
    <w:rsid w:val="000135BC"/>
    <w:rsid w:val="000136D6"/>
    <w:rsid w:val="00014085"/>
    <w:rsid w:val="00014DD9"/>
    <w:rsid w:val="000151E4"/>
    <w:rsid w:val="00015577"/>
    <w:rsid w:val="000156E4"/>
    <w:rsid w:val="000159A7"/>
    <w:rsid w:val="00015FB8"/>
    <w:rsid w:val="0001624A"/>
    <w:rsid w:val="00016BF7"/>
    <w:rsid w:val="0001720C"/>
    <w:rsid w:val="0001767E"/>
    <w:rsid w:val="000176CB"/>
    <w:rsid w:val="0001776D"/>
    <w:rsid w:val="00017A4B"/>
    <w:rsid w:val="00017F31"/>
    <w:rsid w:val="0002103A"/>
    <w:rsid w:val="000217E4"/>
    <w:rsid w:val="00021852"/>
    <w:rsid w:val="00021A12"/>
    <w:rsid w:val="00022E26"/>
    <w:rsid w:val="00023363"/>
    <w:rsid w:val="000235F3"/>
    <w:rsid w:val="00023644"/>
    <w:rsid w:val="00023712"/>
    <w:rsid w:val="000239A8"/>
    <w:rsid w:val="00024EB0"/>
    <w:rsid w:val="0002646A"/>
    <w:rsid w:val="0002651D"/>
    <w:rsid w:val="00026CFD"/>
    <w:rsid w:val="00027C8B"/>
    <w:rsid w:val="00027CD9"/>
    <w:rsid w:val="00030242"/>
    <w:rsid w:val="00030A04"/>
    <w:rsid w:val="00030B06"/>
    <w:rsid w:val="00031C72"/>
    <w:rsid w:val="000325BE"/>
    <w:rsid w:val="0003282C"/>
    <w:rsid w:val="00032EF3"/>
    <w:rsid w:val="0003304A"/>
    <w:rsid w:val="00033089"/>
    <w:rsid w:val="0003317E"/>
    <w:rsid w:val="00033413"/>
    <w:rsid w:val="00033DC6"/>
    <w:rsid w:val="00034C27"/>
    <w:rsid w:val="00034E2A"/>
    <w:rsid w:val="0003502F"/>
    <w:rsid w:val="0003577F"/>
    <w:rsid w:val="00036466"/>
    <w:rsid w:val="00037F87"/>
    <w:rsid w:val="00037FA2"/>
    <w:rsid w:val="000400D0"/>
    <w:rsid w:val="000425AC"/>
    <w:rsid w:val="00042F4A"/>
    <w:rsid w:val="00043BE5"/>
    <w:rsid w:val="00044527"/>
    <w:rsid w:val="00044897"/>
    <w:rsid w:val="000454F4"/>
    <w:rsid w:val="00045EF4"/>
    <w:rsid w:val="00046547"/>
    <w:rsid w:val="000466D7"/>
    <w:rsid w:val="00047254"/>
    <w:rsid w:val="0005022B"/>
    <w:rsid w:val="0005022E"/>
    <w:rsid w:val="00050771"/>
    <w:rsid w:val="00052187"/>
    <w:rsid w:val="000522E0"/>
    <w:rsid w:val="000532F4"/>
    <w:rsid w:val="00054CD5"/>
    <w:rsid w:val="00054D03"/>
    <w:rsid w:val="000550AC"/>
    <w:rsid w:val="000552C1"/>
    <w:rsid w:val="00055468"/>
    <w:rsid w:val="0005584D"/>
    <w:rsid w:val="00055CC3"/>
    <w:rsid w:val="00055CEE"/>
    <w:rsid w:val="00056469"/>
    <w:rsid w:val="00056A2B"/>
    <w:rsid w:val="00056DA9"/>
    <w:rsid w:val="00056E37"/>
    <w:rsid w:val="00056FE2"/>
    <w:rsid w:val="000570FB"/>
    <w:rsid w:val="000575B8"/>
    <w:rsid w:val="0006026B"/>
    <w:rsid w:val="00060293"/>
    <w:rsid w:val="00061BDA"/>
    <w:rsid w:val="00062B90"/>
    <w:rsid w:val="00062C70"/>
    <w:rsid w:val="00062DD0"/>
    <w:rsid w:val="00062E6F"/>
    <w:rsid w:val="000630C7"/>
    <w:rsid w:val="0006400F"/>
    <w:rsid w:val="000645DD"/>
    <w:rsid w:val="00064D7E"/>
    <w:rsid w:val="00064F65"/>
    <w:rsid w:val="00064FD0"/>
    <w:rsid w:val="0006534A"/>
    <w:rsid w:val="00065A5D"/>
    <w:rsid w:val="00065BA2"/>
    <w:rsid w:val="000661CA"/>
    <w:rsid w:val="00067002"/>
    <w:rsid w:val="000675B0"/>
    <w:rsid w:val="00067B1C"/>
    <w:rsid w:val="00067CED"/>
    <w:rsid w:val="00067F66"/>
    <w:rsid w:val="000702A4"/>
    <w:rsid w:val="0007041A"/>
    <w:rsid w:val="00070634"/>
    <w:rsid w:val="00070883"/>
    <w:rsid w:val="00070C3F"/>
    <w:rsid w:val="0007102C"/>
    <w:rsid w:val="00071484"/>
    <w:rsid w:val="00071D68"/>
    <w:rsid w:val="0007243D"/>
    <w:rsid w:val="00072661"/>
    <w:rsid w:val="00072CCC"/>
    <w:rsid w:val="00073549"/>
    <w:rsid w:val="00073F54"/>
    <w:rsid w:val="0007483E"/>
    <w:rsid w:val="00075332"/>
    <w:rsid w:val="0007578F"/>
    <w:rsid w:val="00075E84"/>
    <w:rsid w:val="00076565"/>
    <w:rsid w:val="000767F7"/>
    <w:rsid w:val="00076937"/>
    <w:rsid w:val="00077706"/>
    <w:rsid w:val="00077878"/>
    <w:rsid w:val="00080073"/>
    <w:rsid w:val="000804EF"/>
    <w:rsid w:val="00080B06"/>
    <w:rsid w:val="00081230"/>
    <w:rsid w:val="000814E2"/>
    <w:rsid w:val="000818C9"/>
    <w:rsid w:val="00081CBB"/>
    <w:rsid w:val="00081D42"/>
    <w:rsid w:val="000826F5"/>
    <w:rsid w:val="000829B1"/>
    <w:rsid w:val="000829FF"/>
    <w:rsid w:val="00082AAB"/>
    <w:rsid w:val="0008307D"/>
    <w:rsid w:val="000831E9"/>
    <w:rsid w:val="000833BB"/>
    <w:rsid w:val="0008452D"/>
    <w:rsid w:val="0008467B"/>
    <w:rsid w:val="000850FA"/>
    <w:rsid w:val="00085136"/>
    <w:rsid w:val="00085C12"/>
    <w:rsid w:val="00085DA0"/>
    <w:rsid w:val="00085F82"/>
    <w:rsid w:val="00086506"/>
    <w:rsid w:val="00086B6E"/>
    <w:rsid w:val="00086C64"/>
    <w:rsid w:val="0008781A"/>
    <w:rsid w:val="00090951"/>
    <w:rsid w:val="00090A61"/>
    <w:rsid w:val="00091C1D"/>
    <w:rsid w:val="00091D53"/>
    <w:rsid w:val="000932E7"/>
    <w:rsid w:val="0009333A"/>
    <w:rsid w:val="00093459"/>
    <w:rsid w:val="00093B8B"/>
    <w:rsid w:val="000951E7"/>
    <w:rsid w:val="00095E3B"/>
    <w:rsid w:val="00096098"/>
    <w:rsid w:val="00096F37"/>
    <w:rsid w:val="00097FE5"/>
    <w:rsid w:val="000A0354"/>
    <w:rsid w:val="000A0391"/>
    <w:rsid w:val="000A091F"/>
    <w:rsid w:val="000A0FCC"/>
    <w:rsid w:val="000A1033"/>
    <w:rsid w:val="000A1CC7"/>
    <w:rsid w:val="000A2712"/>
    <w:rsid w:val="000A2877"/>
    <w:rsid w:val="000A2A6B"/>
    <w:rsid w:val="000A2AB8"/>
    <w:rsid w:val="000A355D"/>
    <w:rsid w:val="000A371E"/>
    <w:rsid w:val="000A3DE5"/>
    <w:rsid w:val="000A4011"/>
    <w:rsid w:val="000A45D5"/>
    <w:rsid w:val="000A46B6"/>
    <w:rsid w:val="000A490E"/>
    <w:rsid w:val="000A5B49"/>
    <w:rsid w:val="000A6257"/>
    <w:rsid w:val="000A7218"/>
    <w:rsid w:val="000A740A"/>
    <w:rsid w:val="000A7681"/>
    <w:rsid w:val="000A7E7F"/>
    <w:rsid w:val="000A7ECD"/>
    <w:rsid w:val="000B04DD"/>
    <w:rsid w:val="000B0F01"/>
    <w:rsid w:val="000B1914"/>
    <w:rsid w:val="000B1CA2"/>
    <w:rsid w:val="000B2293"/>
    <w:rsid w:val="000B24A4"/>
    <w:rsid w:val="000B255C"/>
    <w:rsid w:val="000B2D8C"/>
    <w:rsid w:val="000B3376"/>
    <w:rsid w:val="000B395E"/>
    <w:rsid w:val="000B39C3"/>
    <w:rsid w:val="000B3A00"/>
    <w:rsid w:val="000B4548"/>
    <w:rsid w:val="000B4840"/>
    <w:rsid w:val="000B4D79"/>
    <w:rsid w:val="000B549A"/>
    <w:rsid w:val="000B7DAF"/>
    <w:rsid w:val="000C010E"/>
    <w:rsid w:val="000C071C"/>
    <w:rsid w:val="000C0BEE"/>
    <w:rsid w:val="000C1CB9"/>
    <w:rsid w:val="000C2159"/>
    <w:rsid w:val="000C21BB"/>
    <w:rsid w:val="000C27F0"/>
    <w:rsid w:val="000C289B"/>
    <w:rsid w:val="000C4773"/>
    <w:rsid w:val="000C4944"/>
    <w:rsid w:val="000C4E24"/>
    <w:rsid w:val="000C5C4A"/>
    <w:rsid w:val="000C5F01"/>
    <w:rsid w:val="000C63C4"/>
    <w:rsid w:val="000C66C1"/>
    <w:rsid w:val="000C6F0B"/>
    <w:rsid w:val="000C6F32"/>
    <w:rsid w:val="000C7205"/>
    <w:rsid w:val="000C778C"/>
    <w:rsid w:val="000C7833"/>
    <w:rsid w:val="000C7E1B"/>
    <w:rsid w:val="000C7E73"/>
    <w:rsid w:val="000D001B"/>
    <w:rsid w:val="000D0A45"/>
    <w:rsid w:val="000D13C8"/>
    <w:rsid w:val="000D14AC"/>
    <w:rsid w:val="000D35FD"/>
    <w:rsid w:val="000D3D2D"/>
    <w:rsid w:val="000D3D99"/>
    <w:rsid w:val="000D3F7A"/>
    <w:rsid w:val="000D4653"/>
    <w:rsid w:val="000D4696"/>
    <w:rsid w:val="000D4817"/>
    <w:rsid w:val="000D4FB9"/>
    <w:rsid w:val="000D54B4"/>
    <w:rsid w:val="000D5F55"/>
    <w:rsid w:val="000D6372"/>
    <w:rsid w:val="000D6979"/>
    <w:rsid w:val="000D6E63"/>
    <w:rsid w:val="000D711C"/>
    <w:rsid w:val="000D7B6E"/>
    <w:rsid w:val="000E0644"/>
    <w:rsid w:val="000E076D"/>
    <w:rsid w:val="000E187C"/>
    <w:rsid w:val="000E1A64"/>
    <w:rsid w:val="000E1B28"/>
    <w:rsid w:val="000E1EBC"/>
    <w:rsid w:val="000E2173"/>
    <w:rsid w:val="000E21F0"/>
    <w:rsid w:val="000E2A50"/>
    <w:rsid w:val="000E30F2"/>
    <w:rsid w:val="000E316B"/>
    <w:rsid w:val="000E3BBB"/>
    <w:rsid w:val="000E3D08"/>
    <w:rsid w:val="000E4728"/>
    <w:rsid w:val="000E4C4A"/>
    <w:rsid w:val="000E4D1F"/>
    <w:rsid w:val="000E5658"/>
    <w:rsid w:val="000E5698"/>
    <w:rsid w:val="000E5723"/>
    <w:rsid w:val="000E581B"/>
    <w:rsid w:val="000E65D2"/>
    <w:rsid w:val="000E6919"/>
    <w:rsid w:val="000E6F0C"/>
    <w:rsid w:val="000E732D"/>
    <w:rsid w:val="000F07ED"/>
    <w:rsid w:val="000F0C9D"/>
    <w:rsid w:val="000F0CF2"/>
    <w:rsid w:val="000F126B"/>
    <w:rsid w:val="000F186A"/>
    <w:rsid w:val="000F1D15"/>
    <w:rsid w:val="000F1F07"/>
    <w:rsid w:val="000F23AC"/>
    <w:rsid w:val="000F336B"/>
    <w:rsid w:val="000F34C8"/>
    <w:rsid w:val="000F38BC"/>
    <w:rsid w:val="000F3B18"/>
    <w:rsid w:val="000F3E2A"/>
    <w:rsid w:val="000F4061"/>
    <w:rsid w:val="000F4D26"/>
    <w:rsid w:val="000F58A4"/>
    <w:rsid w:val="000F64E3"/>
    <w:rsid w:val="000F6833"/>
    <w:rsid w:val="000F6EA6"/>
    <w:rsid w:val="000F7616"/>
    <w:rsid w:val="000F77A2"/>
    <w:rsid w:val="000F7DE9"/>
    <w:rsid w:val="000F7F7A"/>
    <w:rsid w:val="001002F4"/>
    <w:rsid w:val="00100A01"/>
    <w:rsid w:val="001011FC"/>
    <w:rsid w:val="00101E7C"/>
    <w:rsid w:val="001023DC"/>
    <w:rsid w:val="00102572"/>
    <w:rsid w:val="00102946"/>
    <w:rsid w:val="00102FBF"/>
    <w:rsid w:val="0010333D"/>
    <w:rsid w:val="0010372A"/>
    <w:rsid w:val="001037D4"/>
    <w:rsid w:val="00103F41"/>
    <w:rsid w:val="0010457F"/>
    <w:rsid w:val="00104F34"/>
    <w:rsid w:val="001053C5"/>
    <w:rsid w:val="001055AD"/>
    <w:rsid w:val="0010565B"/>
    <w:rsid w:val="00105C14"/>
    <w:rsid w:val="00110AC5"/>
    <w:rsid w:val="0011108B"/>
    <w:rsid w:val="00111136"/>
    <w:rsid w:val="00111164"/>
    <w:rsid w:val="00112164"/>
    <w:rsid w:val="0011241F"/>
    <w:rsid w:val="001128BF"/>
    <w:rsid w:val="00112D09"/>
    <w:rsid w:val="00112F03"/>
    <w:rsid w:val="00112F38"/>
    <w:rsid w:val="0011449E"/>
    <w:rsid w:val="00114FAF"/>
    <w:rsid w:val="001153EF"/>
    <w:rsid w:val="00115B78"/>
    <w:rsid w:val="00115D55"/>
    <w:rsid w:val="00115E45"/>
    <w:rsid w:val="00115F85"/>
    <w:rsid w:val="0011688E"/>
    <w:rsid w:val="00117B7D"/>
    <w:rsid w:val="00120B6A"/>
    <w:rsid w:val="001225AE"/>
    <w:rsid w:val="00122A64"/>
    <w:rsid w:val="00122C2B"/>
    <w:rsid w:val="0012388C"/>
    <w:rsid w:val="00123AFA"/>
    <w:rsid w:val="00123C8C"/>
    <w:rsid w:val="00123E8B"/>
    <w:rsid w:val="00124B43"/>
    <w:rsid w:val="00124DF8"/>
    <w:rsid w:val="001253EA"/>
    <w:rsid w:val="00125B99"/>
    <w:rsid w:val="00126160"/>
    <w:rsid w:val="00126DB5"/>
    <w:rsid w:val="00126F09"/>
    <w:rsid w:val="00127178"/>
    <w:rsid w:val="0013002A"/>
    <w:rsid w:val="0013085D"/>
    <w:rsid w:val="0013089C"/>
    <w:rsid w:val="00131888"/>
    <w:rsid w:val="00131F17"/>
    <w:rsid w:val="001323F9"/>
    <w:rsid w:val="0013251F"/>
    <w:rsid w:val="001325C8"/>
    <w:rsid w:val="00133088"/>
    <w:rsid w:val="001332F7"/>
    <w:rsid w:val="00133346"/>
    <w:rsid w:val="001341FA"/>
    <w:rsid w:val="001346AF"/>
    <w:rsid w:val="00134990"/>
    <w:rsid w:val="00135A0A"/>
    <w:rsid w:val="0013621D"/>
    <w:rsid w:val="00136354"/>
    <w:rsid w:val="00136674"/>
    <w:rsid w:val="00136B0E"/>
    <w:rsid w:val="001370CF"/>
    <w:rsid w:val="001376AB"/>
    <w:rsid w:val="0013777C"/>
    <w:rsid w:val="00140082"/>
    <w:rsid w:val="00140175"/>
    <w:rsid w:val="00140D07"/>
    <w:rsid w:val="00141A3A"/>
    <w:rsid w:val="00141A5C"/>
    <w:rsid w:val="00141FA3"/>
    <w:rsid w:val="001423FA"/>
    <w:rsid w:val="001427B5"/>
    <w:rsid w:val="001428CF"/>
    <w:rsid w:val="00142D0C"/>
    <w:rsid w:val="00142E3C"/>
    <w:rsid w:val="00142E59"/>
    <w:rsid w:val="0014358A"/>
    <w:rsid w:val="00143AF8"/>
    <w:rsid w:val="00144013"/>
    <w:rsid w:val="00145A17"/>
    <w:rsid w:val="00145BBE"/>
    <w:rsid w:val="001460B5"/>
    <w:rsid w:val="0014641F"/>
    <w:rsid w:val="001467BB"/>
    <w:rsid w:val="00146CA8"/>
    <w:rsid w:val="00147884"/>
    <w:rsid w:val="00150827"/>
    <w:rsid w:val="00150B0D"/>
    <w:rsid w:val="00151F9B"/>
    <w:rsid w:val="00152289"/>
    <w:rsid w:val="00152CE3"/>
    <w:rsid w:val="00152E0B"/>
    <w:rsid w:val="00153652"/>
    <w:rsid w:val="00153956"/>
    <w:rsid w:val="00154146"/>
    <w:rsid w:val="0015414C"/>
    <w:rsid w:val="00154190"/>
    <w:rsid w:val="001545EA"/>
    <w:rsid w:val="00154777"/>
    <w:rsid w:val="001549BA"/>
    <w:rsid w:val="00154F93"/>
    <w:rsid w:val="00155099"/>
    <w:rsid w:val="00155C85"/>
    <w:rsid w:val="00156A6C"/>
    <w:rsid w:val="00156B10"/>
    <w:rsid w:val="001576E4"/>
    <w:rsid w:val="00157823"/>
    <w:rsid w:val="00157C5E"/>
    <w:rsid w:val="0016008A"/>
    <w:rsid w:val="0016015A"/>
    <w:rsid w:val="0016020E"/>
    <w:rsid w:val="00160503"/>
    <w:rsid w:val="00160D7C"/>
    <w:rsid w:val="00160E30"/>
    <w:rsid w:val="0016106D"/>
    <w:rsid w:val="001612E1"/>
    <w:rsid w:val="001614DB"/>
    <w:rsid w:val="0016194E"/>
    <w:rsid w:val="0016236C"/>
    <w:rsid w:val="00162625"/>
    <w:rsid w:val="00162BAF"/>
    <w:rsid w:val="001630A8"/>
    <w:rsid w:val="00163826"/>
    <w:rsid w:val="00163BA1"/>
    <w:rsid w:val="00164117"/>
    <w:rsid w:val="0016417B"/>
    <w:rsid w:val="001649E2"/>
    <w:rsid w:val="00164AA8"/>
    <w:rsid w:val="001652D7"/>
    <w:rsid w:val="00167D4D"/>
    <w:rsid w:val="0017070D"/>
    <w:rsid w:val="00170837"/>
    <w:rsid w:val="00171035"/>
    <w:rsid w:val="00171ADB"/>
    <w:rsid w:val="00171D23"/>
    <w:rsid w:val="00172029"/>
    <w:rsid w:val="001733A4"/>
    <w:rsid w:val="00173AB9"/>
    <w:rsid w:val="00173EED"/>
    <w:rsid w:val="00174368"/>
    <w:rsid w:val="001744EA"/>
    <w:rsid w:val="00174D82"/>
    <w:rsid w:val="00174E44"/>
    <w:rsid w:val="00175053"/>
    <w:rsid w:val="001753B7"/>
    <w:rsid w:val="00175873"/>
    <w:rsid w:val="00175C59"/>
    <w:rsid w:val="00176674"/>
    <w:rsid w:val="00176818"/>
    <w:rsid w:val="00176865"/>
    <w:rsid w:val="00176B82"/>
    <w:rsid w:val="00176E3B"/>
    <w:rsid w:val="00176ECB"/>
    <w:rsid w:val="0017716A"/>
    <w:rsid w:val="0017752D"/>
    <w:rsid w:val="0017759F"/>
    <w:rsid w:val="00177832"/>
    <w:rsid w:val="00177FD3"/>
    <w:rsid w:val="001808AD"/>
    <w:rsid w:val="001808FA"/>
    <w:rsid w:val="00180AC2"/>
    <w:rsid w:val="00181178"/>
    <w:rsid w:val="0018119E"/>
    <w:rsid w:val="00181EEF"/>
    <w:rsid w:val="00181F3E"/>
    <w:rsid w:val="00182FE0"/>
    <w:rsid w:val="001837E6"/>
    <w:rsid w:val="00183911"/>
    <w:rsid w:val="001845FB"/>
    <w:rsid w:val="00185DA6"/>
    <w:rsid w:val="00186096"/>
    <w:rsid w:val="0018772E"/>
    <w:rsid w:val="00187A94"/>
    <w:rsid w:val="0019029E"/>
    <w:rsid w:val="00190454"/>
    <w:rsid w:val="00190479"/>
    <w:rsid w:val="00190804"/>
    <w:rsid w:val="0019088F"/>
    <w:rsid w:val="00190C51"/>
    <w:rsid w:val="00192E14"/>
    <w:rsid w:val="00193ACC"/>
    <w:rsid w:val="00193BFE"/>
    <w:rsid w:val="00194DC4"/>
    <w:rsid w:val="0019560E"/>
    <w:rsid w:val="001958E3"/>
    <w:rsid w:val="0019601B"/>
    <w:rsid w:val="00196048"/>
    <w:rsid w:val="001963AA"/>
    <w:rsid w:val="00196A82"/>
    <w:rsid w:val="0019769B"/>
    <w:rsid w:val="00197FFE"/>
    <w:rsid w:val="001A0D25"/>
    <w:rsid w:val="001A1570"/>
    <w:rsid w:val="001A1917"/>
    <w:rsid w:val="001A1C64"/>
    <w:rsid w:val="001A1E7F"/>
    <w:rsid w:val="001A2918"/>
    <w:rsid w:val="001A2D02"/>
    <w:rsid w:val="001A3076"/>
    <w:rsid w:val="001A31A5"/>
    <w:rsid w:val="001A34D2"/>
    <w:rsid w:val="001A389C"/>
    <w:rsid w:val="001A3B75"/>
    <w:rsid w:val="001A5FB1"/>
    <w:rsid w:val="001A698A"/>
    <w:rsid w:val="001A6CCC"/>
    <w:rsid w:val="001A70C8"/>
    <w:rsid w:val="001A71C9"/>
    <w:rsid w:val="001A7429"/>
    <w:rsid w:val="001A760C"/>
    <w:rsid w:val="001A799B"/>
    <w:rsid w:val="001A7C38"/>
    <w:rsid w:val="001B02F8"/>
    <w:rsid w:val="001B2199"/>
    <w:rsid w:val="001B2279"/>
    <w:rsid w:val="001B2866"/>
    <w:rsid w:val="001B2881"/>
    <w:rsid w:val="001B304B"/>
    <w:rsid w:val="001B34AF"/>
    <w:rsid w:val="001B3675"/>
    <w:rsid w:val="001B4F10"/>
    <w:rsid w:val="001B5154"/>
    <w:rsid w:val="001B6E30"/>
    <w:rsid w:val="001B7C83"/>
    <w:rsid w:val="001B7F9E"/>
    <w:rsid w:val="001C0206"/>
    <w:rsid w:val="001C0246"/>
    <w:rsid w:val="001C04D4"/>
    <w:rsid w:val="001C0B34"/>
    <w:rsid w:val="001C12A3"/>
    <w:rsid w:val="001C187E"/>
    <w:rsid w:val="001C1A37"/>
    <w:rsid w:val="001C1C49"/>
    <w:rsid w:val="001C2B86"/>
    <w:rsid w:val="001C2CC3"/>
    <w:rsid w:val="001C3308"/>
    <w:rsid w:val="001C40D1"/>
    <w:rsid w:val="001C46AE"/>
    <w:rsid w:val="001C5001"/>
    <w:rsid w:val="001C5103"/>
    <w:rsid w:val="001C52A8"/>
    <w:rsid w:val="001C5C04"/>
    <w:rsid w:val="001C5FFF"/>
    <w:rsid w:val="001C6120"/>
    <w:rsid w:val="001C6516"/>
    <w:rsid w:val="001C6B57"/>
    <w:rsid w:val="001C6B5C"/>
    <w:rsid w:val="001C7155"/>
    <w:rsid w:val="001D039B"/>
    <w:rsid w:val="001D1066"/>
    <w:rsid w:val="001D1258"/>
    <w:rsid w:val="001D2C94"/>
    <w:rsid w:val="001D33D9"/>
    <w:rsid w:val="001D36F6"/>
    <w:rsid w:val="001D4303"/>
    <w:rsid w:val="001D45E5"/>
    <w:rsid w:val="001D4A9D"/>
    <w:rsid w:val="001D5549"/>
    <w:rsid w:val="001D5AFA"/>
    <w:rsid w:val="001D6375"/>
    <w:rsid w:val="001E04A4"/>
    <w:rsid w:val="001E067D"/>
    <w:rsid w:val="001E07C5"/>
    <w:rsid w:val="001E176D"/>
    <w:rsid w:val="001E1BCE"/>
    <w:rsid w:val="001E1E05"/>
    <w:rsid w:val="001E2086"/>
    <w:rsid w:val="001E339F"/>
    <w:rsid w:val="001E3629"/>
    <w:rsid w:val="001E3FCB"/>
    <w:rsid w:val="001E40F0"/>
    <w:rsid w:val="001E6352"/>
    <w:rsid w:val="001E70AD"/>
    <w:rsid w:val="001E7237"/>
    <w:rsid w:val="001E7AF6"/>
    <w:rsid w:val="001F01B8"/>
    <w:rsid w:val="001F0ED3"/>
    <w:rsid w:val="001F0FC3"/>
    <w:rsid w:val="001F1B8D"/>
    <w:rsid w:val="001F274F"/>
    <w:rsid w:val="001F289C"/>
    <w:rsid w:val="001F317F"/>
    <w:rsid w:val="001F6008"/>
    <w:rsid w:val="001F641B"/>
    <w:rsid w:val="001F6D4D"/>
    <w:rsid w:val="001F7A28"/>
    <w:rsid w:val="00201D06"/>
    <w:rsid w:val="00201E9F"/>
    <w:rsid w:val="00201F85"/>
    <w:rsid w:val="00202F25"/>
    <w:rsid w:val="002035B3"/>
    <w:rsid w:val="00203929"/>
    <w:rsid w:val="00203CD6"/>
    <w:rsid w:val="002041B7"/>
    <w:rsid w:val="00204460"/>
    <w:rsid w:val="002051EA"/>
    <w:rsid w:val="00205CBC"/>
    <w:rsid w:val="00206C80"/>
    <w:rsid w:val="002070B8"/>
    <w:rsid w:val="002074B7"/>
    <w:rsid w:val="0020758D"/>
    <w:rsid w:val="00207C7B"/>
    <w:rsid w:val="00210A88"/>
    <w:rsid w:val="00211922"/>
    <w:rsid w:val="00211C28"/>
    <w:rsid w:val="0021213A"/>
    <w:rsid w:val="0021265F"/>
    <w:rsid w:val="0021325D"/>
    <w:rsid w:val="00214428"/>
    <w:rsid w:val="002145EB"/>
    <w:rsid w:val="00215834"/>
    <w:rsid w:val="00215CC2"/>
    <w:rsid w:val="00217700"/>
    <w:rsid w:val="002177E2"/>
    <w:rsid w:val="002205F3"/>
    <w:rsid w:val="0022085B"/>
    <w:rsid w:val="00220E53"/>
    <w:rsid w:val="0022119C"/>
    <w:rsid w:val="00221383"/>
    <w:rsid w:val="0022176C"/>
    <w:rsid w:val="002225D1"/>
    <w:rsid w:val="002230FA"/>
    <w:rsid w:val="002249DC"/>
    <w:rsid w:val="00224C0C"/>
    <w:rsid w:val="002256C2"/>
    <w:rsid w:val="002256D0"/>
    <w:rsid w:val="00226428"/>
    <w:rsid w:val="002265A9"/>
    <w:rsid w:val="002266CB"/>
    <w:rsid w:val="00227052"/>
    <w:rsid w:val="002272D5"/>
    <w:rsid w:val="0022738E"/>
    <w:rsid w:val="00227934"/>
    <w:rsid w:val="00227E21"/>
    <w:rsid w:val="0023006E"/>
    <w:rsid w:val="002318F6"/>
    <w:rsid w:val="00231D05"/>
    <w:rsid w:val="00232EED"/>
    <w:rsid w:val="002336E2"/>
    <w:rsid w:val="00233859"/>
    <w:rsid w:val="00233AC2"/>
    <w:rsid w:val="00233BAF"/>
    <w:rsid w:val="002349BC"/>
    <w:rsid w:val="00235420"/>
    <w:rsid w:val="00235A8C"/>
    <w:rsid w:val="0024065B"/>
    <w:rsid w:val="00240D08"/>
    <w:rsid w:val="00240EA5"/>
    <w:rsid w:val="00241132"/>
    <w:rsid w:val="002418C5"/>
    <w:rsid w:val="0024261D"/>
    <w:rsid w:val="002426EE"/>
    <w:rsid w:val="00243807"/>
    <w:rsid w:val="00243AA8"/>
    <w:rsid w:val="0024432A"/>
    <w:rsid w:val="00244365"/>
    <w:rsid w:val="0024459A"/>
    <w:rsid w:val="00244771"/>
    <w:rsid w:val="00244903"/>
    <w:rsid w:val="00244AFB"/>
    <w:rsid w:val="002453DF"/>
    <w:rsid w:val="00246B86"/>
    <w:rsid w:val="00247335"/>
    <w:rsid w:val="002473EF"/>
    <w:rsid w:val="002477B9"/>
    <w:rsid w:val="00247CBE"/>
    <w:rsid w:val="002505A8"/>
    <w:rsid w:val="00250ADA"/>
    <w:rsid w:val="00251FF1"/>
    <w:rsid w:val="002520BA"/>
    <w:rsid w:val="00252234"/>
    <w:rsid w:val="002528E3"/>
    <w:rsid w:val="00252D82"/>
    <w:rsid w:val="00253006"/>
    <w:rsid w:val="002533F5"/>
    <w:rsid w:val="00253C60"/>
    <w:rsid w:val="00253F21"/>
    <w:rsid w:val="0025429D"/>
    <w:rsid w:val="002549E9"/>
    <w:rsid w:val="00254FF6"/>
    <w:rsid w:val="00255099"/>
    <w:rsid w:val="002557E4"/>
    <w:rsid w:val="00255E14"/>
    <w:rsid w:val="00257059"/>
    <w:rsid w:val="0025712F"/>
    <w:rsid w:val="00257395"/>
    <w:rsid w:val="00257857"/>
    <w:rsid w:val="00257CBC"/>
    <w:rsid w:val="00257DA9"/>
    <w:rsid w:val="002602C2"/>
    <w:rsid w:val="0026062B"/>
    <w:rsid w:val="00260802"/>
    <w:rsid w:val="002609E3"/>
    <w:rsid w:val="00261223"/>
    <w:rsid w:val="002617AB"/>
    <w:rsid w:val="00261D08"/>
    <w:rsid w:val="00261DCC"/>
    <w:rsid w:val="002624D0"/>
    <w:rsid w:val="00263EC7"/>
    <w:rsid w:val="00264B06"/>
    <w:rsid w:val="00264C1B"/>
    <w:rsid w:val="002661AB"/>
    <w:rsid w:val="0026742B"/>
    <w:rsid w:val="002674FE"/>
    <w:rsid w:val="002709B2"/>
    <w:rsid w:val="0027117F"/>
    <w:rsid w:val="002712DC"/>
    <w:rsid w:val="00271312"/>
    <w:rsid w:val="00271875"/>
    <w:rsid w:val="002718FF"/>
    <w:rsid w:val="00271955"/>
    <w:rsid w:val="0027211E"/>
    <w:rsid w:val="00272278"/>
    <w:rsid w:val="00272FBF"/>
    <w:rsid w:val="00273141"/>
    <w:rsid w:val="00273A10"/>
    <w:rsid w:val="00273A58"/>
    <w:rsid w:val="00273C00"/>
    <w:rsid w:val="00274CAB"/>
    <w:rsid w:val="00274E8A"/>
    <w:rsid w:val="00275FCE"/>
    <w:rsid w:val="002766B8"/>
    <w:rsid w:val="0027680F"/>
    <w:rsid w:val="00277519"/>
    <w:rsid w:val="002806DE"/>
    <w:rsid w:val="00280B89"/>
    <w:rsid w:val="00281006"/>
    <w:rsid w:val="002815B1"/>
    <w:rsid w:val="00281C1F"/>
    <w:rsid w:val="00281EEA"/>
    <w:rsid w:val="00281F88"/>
    <w:rsid w:val="0028288D"/>
    <w:rsid w:val="002829B7"/>
    <w:rsid w:val="00282A5A"/>
    <w:rsid w:val="00282B82"/>
    <w:rsid w:val="00282C74"/>
    <w:rsid w:val="002832EA"/>
    <w:rsid w:val="0028351B"/>
    <w:rsid w:val="00283995"/>
    <w:rsid w:val="00283B11"/>
    <w:rsid w:val="002841A9"/>
    <w:rsid w:val="00284313"/>
    <w:rsid w:val="00284597"/>
    <w:rsid w:val="00285154"/>
    <w:rsid w:val="00285BF2"/>
    <w:rsid w:val="00285C78"/>
    <w:rsid w:val="002863CE"/>
    <w:rsid w:val="00286B68"/>
    <w:rsid w:val="00291527"/>
    <w:rsid w:val="0029199A"/>
    <w:rsid w:val="0029203F"/>
    <w:rsid w:val="00293146"/>
    <w:rsid w:val="0029361E"/>
    <w:rsid w:val="00293D68"/>
    <w:rsid w:val="00294352"/>
    <w:rsid w:val="002944A0"/>
    <w:rsid w:val="002946E4"/>
    <w:rsid w:val="0029495C"/>
    <w:rsid w:val="00294D3C"/>
    <w:rsid w:val="002957D9"/>
    <w:rsid w:val="00295B52"/>
    <w:rsid w:val="00296293"/>
    <w:rsid w:val="002965AC"/>
    <w:rsid w:val="00296AF7"/>
    <w:rsid w:val="002972F9"/>
    <w:rsid w:val="00297797"/>
    <w:rsid w:val="00297ED7"/>
    <w:rsid w:val="002A0007"/>
    <w:rsid w:val="002A03AA"/>
    <w:rsid w:val="002A056D"/>
    <w:rsid w:val="002A079B"/>
    <w:rsid w:val="002A0CAF"/>
    <w:rsid w:val="002A1565"/>
    <w:rsid w:val="002A1A55"/>
    <w:rsid w:val="002A20CD"/>
    <w:rsid w:val="002A2941"/>
    <w:rsid w:val="002A2DC4"/>
    <w:rsid w:val="002A3E69"/>
    <w:rsid w:val="002A44F9"/>
    <w:rsid w:val="002A4684"/>
    <w:rsid w:val="002A49EF"/>
    <w:rsid w:val="002A4B8B"/>
    <w:rsid w:val="002A5107"/>
    <w:rsid w:val="002A5279"/>
    <w:rsid w:val="002A535E"/>
    <w:rsid w:val="002A6406"/>
    <w:rsid w:val="002A6CF0"/>
    <w:rsid w:val="002A6FFC"/>
    <w:rsid w:val="002A7010"/>
    <w:rsid w:val="002A70BA"/>
    <w:rsid w:val="002A7A57"/>
    <w:rsid w:val="002A7BB2"/>
    <w:rsid w:val="002A7DCB"/>
    <w:rsid w:val="002B019F"/>
    <w:rsid w:val="002B01C7"/>
    <w:rsid w:val="002B0B53"/>
    <w:rsid w:val="002B1617"/>
    <w:rsid w:val="002B1D11"/>
    <w:rsid w:val="002B273B"/>
    <w:rsid w:val="002B29AA"/>
    <w:rsid w:val="002B2BB6"/>
    <w:rsid w:val="002B2F1B"/>
    <w:rsid w:val="002B4AD7"/>
    <w:rsid w:val="002B5AFB"/>
    <w:rsid w:val="002B6320"/>
    <w:rsid w:val="002B66AC"/>
    <w:rsid w:val="002B6852"/>
    <w:rsid w:val="002B77E1"/>
    <w:rsid w:val="002C0714"/>
    <w:rsid w:val="002C0A96"/>
    <w:rsid w:val="002C1BF4"/>
    <w:rsid w:val="002C2266"/>
    <w:rsid w:val="002C28EB"/>
    <w:rsid w:val="002C3265"/>
    <w:rsid w:val="002C414C"/>
    <w:rsid w:val="002C5776"/>
    <w:rsid w:val="002C5AC7"/>
    <w:rsid w:val="002C5EED"/>
    <w:rsid w:val="002C66DE"/>
    <w:rsid w:val="002C7193"/>
    <w:rsid w:val="002C7699"/>
    <w:rsid w:val="002C7A49"/>
    <w:rsid w:val="002D0128"/>
    <w:rsid w:val="002D0FA7"/>
    <w:rsid w:val="002D12FB"/>
    <w:rsid w:val="002D19D1"/>
    <w:rsid w:val="002D1F35"/>
    <w:rsid w:val="002D20CD"/>
    <w:rsid w:val="002D23C6"/>
    <w:rsid w:val="002D24F0"/>
    <w:rsid w:val="002D25EB"/>
    <w:rsid w:val="002D290F"/>
    <w:rsid w:val="002D2FCE"/>
    <w:rsid w:val="002D3529"/>
    <w:rsid w:val="002D3D0A"/>
    <w:rsid w:val="002D434E"/>
    <w:rsid w:val="002D478E"/>
    <w:rsid w:val="002D4932"/>
    <w:rsid w:val="002D4A94"/>
    <w:rsid w:val="002D65FF"/>
    <w:rsid w:val="002D6D10"/>
    <w:rsid w:val="002D6F25"/>
    <w:rsid w:val="002D71E2"/>
    <w:rsid w:val="002D7B6A"/>
    <w:rsid w:val="002E0026"/>
    <w:rsid w:val="002E0918"/>
    <w:rsid w:val="002E0B1B"/>
    <w:rsid w:val="002E0BAA"/>
    <w:rsid w:val="002E0D96"/>
    <w:rsid w:val="002E0EA5"/>
    <w:rsid w:val="002E164E"/>
    <w:rsid w:val="002E1977"/>
    <w:rsid w:val="002E283F"/>
    <w:rsid w:val="002E2854"/>
    <w:rsid w:val="002E2E74"/>
    <w:rsid w:val="002E32D2"/>
    <w:rsid w:val="002E361B"/>
    <w:rsid w:val="002E37AB"/>
    <w:rsid w:val="002E3A80"/>
    <w:rsid w:val="002E4034"/>
    <w:rsid w:val="002E4703"/>
    <w:rsid w:val="002E51DF"/>
    <w:rsid w:val="002E5264"/>
    <w:rsid w:val="002E5E85"/>
    <w:rsid w:val="002E61A4"/>
    <w:rsid w:val="002E6885"/>
    <w:rsid w:val="002E6C26"/>
    <w:rsid w:val="002E72E4"/>
    <w:rsid w:val="002E739D"/>
    <w:rsid w:val="002E7CA2"/>
    <w:rsid w:val="002F1276"/>
    <w:rsid w:val="002F1986"/>
    <w:rsid w:val="002F1E5F"/>
    <w:rsid w:val="002F2A49"/>
    <w:rsid w:val="002F3B63"/>
    <w:rsid w:val="002F3C56"/>
    <w:rsid w:val="002F46B0"/>
    <w:rsid w:val="002F4B17"/>
    <w:rsid w:val="002F5150"/>
    <w:rsid w:val="002F5463"/>
    <w:rsid w:val="002F5821"/>
    <w:rsid w:val="002F58C2"/>
    <w:rsid w:val="002F5932"/>
    <w:rsid w:val="002F603B"/>
    <w:rsid w:val="002F6201"/>
    <w:rsid w:val="002F6681"/>
    <w:rsid w:val="002F6738"/>
    <w:rsid w:val="002F724B"/>
    <w:rsid w:val="002F72BA"/>
    <w:rsid w:val="00300267"/>
    <w:rsid w:val="003002B3"/>
    <w:rsid w:val="003004D2"/>
    <w:rsid w:val="00300D6B"/>
    <w:rsid w:val="00301A57"/>
    <w:rsid w:val="00301E89"/>
    <w:rsid w:val="00302052"/>
    <w:rsid w:val="00302142"/>
    <w:rsid w:val="00302169"/>
    <w:rsid w:val="00302612"/>
    <w:rsid w:val="00302776"/>
    <w:rsid w:val="00303254"/>
    <w:rsid w:val="003044D9"/>
    <w:rsid w:val="00304D8A"/>
    <w:rsid w:val="00305216"/>
    <w:rsid w:val="0030555B"/>
    <w:rsid w:val="00305B37"/>
    <w:rsid w:val="003061F5"/>
    <w:rsid w:val="00306276"/>
    <w:rsid w:val="0030739C"/>
    <w:rsid w:val="00310D51"/>
    <w:rsid w:val="00311B36"/>
    <w:rsid w:val="00311C92"/>
    <w:rsid w:val="003133AE"/>
    <w:rsid w:val="00313653"/>
    <w:rsid w:val="0031371B"/>
    <w:rsid w:val="00314156"/>
    <w:rsid w:val="0031535B"/>
    <w:rsid w:val="003165ED"/>
    <w:rsid w:val="003170F4"/>
    <w:rsid w:val="0032035D"/>
    <w:rsid w:val="00320B28"/>
    <w:rsid w:val="003211DD"/>
    <w:rsid w:val="003216D5"/>
    <w:rsid w:val="003216FF"/>
    <w:rsid w:val="00321866"/>
    <w:rsid w:val="00321C1A"/>
    <w:rsid w:val="00321F6B"/>
    <w:rsid w:val="00322389"/>
    <w:rsid w:val="0032277F"/>
    <w:rsid w:val="00322BE5"/>
    <w:rsid w:val="0032312D"/>
    <w:rsid w:val="00323AA5"/>
    <w:rsid w:val="0032468D"/>
    <w:rsid w:val="00324926"/>
    <w:rsid w:val="00324B25"/>
    <w:rsid w:val="0032522F"/>
    <w:rsid w:val="00325360"/>
    <w:rsid w:val="003253C4"/>
    <w:rsid w:val="0032550F"/>
    <w:rsid w:val="00325992"/>
    <w:rsid w:val="00325B74"/>
    <w:rsid w:val="0032638F"/>
    <w:rsid w:val="0032648B"/>
    <w:rsid w:val="00326B59"/>
    <w:rsid w:val="00327C7C"/>
    <w:rsid w:val="00327EE0"/>
    <w:rsid w:val="00330009"/>
    <w:rsid w:val="003300C8"/>
    <w:rsid w:val="003301E6"/>
    <w:rsid w:val="003309D1"/>
    <w:rsid w:val="00330EA7"/>
    <w:rsid w:val="003314D2"/>
    <w:rsid w:val="00331712"/>
    <w:rsid w:val="00331A3F"/>
    <w:rsid w:val="00332191"/>
    <w:rsid w:val="00332720"/>
    <w:rsid w:val="0033281E"/>
    <w:rsid w:val="003334A7"/>
    <w:rsid w:val="003337E8"/>
    <w:rsid w:val="00333A14"/>
    <w:rsid w:val="00333B2A"/>
    <w:rsid w:val="00333C19"/>
    <w:rsid w:val="00333FD5"/>
    <w:rsid w:val="00334A88"/>
    <w:rsid w:val="003351BA"/>
    <w:rsid w:val="0033520F"/>
    <w:rsid w:val="00335229"/>
    <w:rsid w:val="0033596B"/>
    <w:rsid w:val="00336058"/>
    <w:rsid w:val="0033650E"/>
    <w:rsid w:val="00336907"/>
    <w:rsid w:val="003369DF"/>
    <w:rsid w:val="00336C71"/>
    <w:rsid w:val="00336DFC"/>
    <w:rsid w:val="00337230"/>
    <w:rsid w:val="003377D0"/>
    <w:rsid w:val="00337D75"/>
    <w:rsid w:val="00340020"/>
    <w:rsid w:val="00341866"/>
    <w:rsid w:val="00341CB3"/>
    <w:rsid w:val="00341DAF"/>
    <w:rsid w:val="00342181"/>
    <w:rsid w:val="00342E7B"/>
    <w:rsid w:val="00343560"/>
    <w:rsid w:val="00343A20"/>
    <w:rsid w:val="0034402B"/>
    <w:rsid w:val="003440B8"/>
    <w:rsid w:val="0034449E"/>
    <w:rsid w:val="00344D46"/>
    <w:rsid w:val="0034633A"/>
    <w:rsid w:val="003469C5"/>
    <w:rsid w:val="00350DF8"/>
    <w:rsid w:val="00351A8A"/>
    <w:rsid w:val="0035266A"/>
    <w:rsid w:val="0035279C"/>
    <w:rsid w:val="0035384D"/>
    <w:rsid w:val="00353C0B"/>
    <w:rsid w:val="00354AE4"/>
    <w:rsid w:val="0035551B"/>
    <w:rsid w:val="003555ED"/>
    <w:rsid w:val="00355911"/>
    <w:rsid w:val="003568E4"/>
    <w:rsid w:val="00356B73"/>
    <w:rsid w:val="00357424"/>
    <w:rsid w:val="00361362"/>
    <w:rsid w:val="00361789"/>
    <w:rsid w:val="0036196D"/>
    <w:rsid w:val="00362699"/>
    <w:rsid w:val="003627BD"/>
    <w:rsid w:val="00362997"/>
    <w:rsid w:val="00362C59"/>
    <w:rsid w:val="00363040"/>
    <w:rsid w:val="003630B7"/>
    <w:rsid w:val="003638A4"/>
    <w:rsid w:val="003639BF"/>
    <w:rsid w:val="00363E41"/>
    <w:rsid w:val="00363FD2"/>
    <w:rsid w:val="0036572E"/>
    <w:rsid w:val="003663D9"/>
    <w:rsid w:val="00366FA9"/>
    <w:rsid w:val="00367E49"/>
    <w:rsid w:val="003700E6"/>
    <w:rsid w:val="00370D3E"/>
    <w:rsid w:val="00371C86"/>
    <w:rsid w:val="0037236C"/>
    <w:rsid w:val="0037323F"/>
    <w:rsid w:val="003735D3"/>
    <w:rsid w:val="0037386D"/>
    <w:rsid w:val="00373956"/>
    <w:rsid w:val="00374153"/>
    <w:rsid w:val="00375043"/>
    <w:rsid w:val="003750E0"/>
    <w:rsid w:val="003758EE"/>
    <w:rsid w:val="00375AF1"/>
    <w:rsid w:val="00375C2F"/>
    <w:rsid w:val="00375FC5"/>
    <w:rsid w:val="003766FC"/>
    <w:rsid w:val="003769BA"/>
    <w:rsid w:val="00377871"/>
    <w:rsid w:val="003778B2"/>
    <w:rsid w:val="00377E58"/>
    <w:rsid w:val="003805E3"/>
    <w:rsid w:val="0038062E"/>
    <w:rsid w:val="003807F7"/>
    <w:rsid w:val="00380981"/>
    <w:rsid w:val="00381610"/>
    <w:rsid w:val="00382106"/>
    <w:rsid w:val="00382657"/>
    <w:rsid w:val="003826F4"/>
    <w:rsid w:val="00382B82"/>
    <w:rsid w:val="00382DDC"/>
    <w:rsid w:val="00383786"/>
    <w:rsid w:val="00383B8C"/>
    <w:rsid w:val="00383EF1"/>
    <w:rsid w:val="003854D5"/>
    <w:rsid w:val="0038552A"/>
    <w:rsid w:val="003859EA"/>
    <w:rsid w:val="00386AB5"/>
    <w:rsid w:val="00386E88"/>
    <w:rsid w:val="0038709E"/>
    <w:rsid w:val="00387D30"/>
    <w:rsid w:val="0039162A"/>
    <w:rsid w:val="00391718"/>
    <w:rsid w:val="00391753"/>
    <w:rsid w:val="00391C7F"/>
    <w:rsid w:val="003922A2"/>
    <w:rsid w:val="00392454"/>
    <w:rsid w:val="003928C3"/>
    <w:rsid w:val="00392C85"/>
    <w:rsid w:val="00393324"/>
    <w:rsid w:val="00393E11"/>
    <w:rsid w:val="00394155"/>
    <w:rsid w:val="00394475"/>
    <w:rsid w:val="0039468C"/>
    <w:rsid w:val="0039547A"/>
    <w:rsid w:val="00395B51"/>
    <w:rsid w:val="00396796"/>
    <w:rsid w:val="00396EC6"/>
    <w:rsid w:val="0039746C"/>
    <w:rsid w:val="00397709"/>
    <w:rsid w:val="00397DC6"/>
    <w:rsid w:val="003A0009"/>
    <w:rsid w:val="003A0E82"/>
    <w:rsid w:val="003A184D"/>
    <w:rsid w:val="003A1FB7"/>
    <w:rsid w:val="003A371E"/>
    <w:rsid w:val="003A4F12"/>
    <w:rsid w:val="003A595F"/>
    <w:rsid w:val="003A5EEC"/>
    <w:rsid w:val="003A7CA3"/>
    <w:rsid w:val="003B00B6"/>
    <w:rsid w:val="003B0BB0"/>
    <w:rsid w:val="003B0E05"/>
    <w:rsid w:val="003B11EE"/>
    <w:rsid w:val="003B15F8"/>
    <w:rsid w:val="003B230B"/>
    <w:rsid w:val="003B23BC"/>
    <w:rsid w:val="003B2DB5"/>
    <w:rsid w:val="003B2F05"/>
    <w:rsid w:val="003B3966"/>
    <w:rsid w:val="003B39B7"/>
    <w:rsid w:val="003B450C"/>
    <w:rsid w:val="003B5F6A"/>
    <w:rsid w:val="003B6B7F"/>
    <w:rsid w:val="003B7251"/>
    <w:rsid w:val="003B7820"/>
    <w:rsid w:val="003B7B82"/>
    <w:rsid w:val="003C01A4"/>
    <w:rsid w:val="003C0219"/>
    <w:rsid w:val="003C0C12"/>
    <w:rsid w:val="003C16EE"/>
    <w:rsid w:val="003C1C87"/>
    <w:rsid w:val="003C1D93"/>
    <w:rsid w:val="003C345E"/>
    <w:rsid w:val="003C4997"/>
    <w:rsid w:val="003C4DA5"/>
    <w:rsid w:val="003C4E33"/>
    <w:rsid w:val="003C5666"/>
    <w:rsid w:val="003C64F4"/>
    <w:rsid w:val="003C724B"/>
    <w:rsid w:val="003C73DB"/>
    <w:rsid w:val="003D0185"/>
    <w:rsid w:val="003D02CB"/>
    <w:rsid w:val="003D0382"/>
    <w:rsid w:val="003D069C"/>
    <w:rsid w:val="003D191E"/>
    <w:rsid w:val="003D22A5"/>
    <w:rsid w:val="003D3414"/>
    <w:rsid w:val="003D3426"/>
    <w:rsid w:val="003D58A5"/>
    <w:rsid w:val="003D6722"/>
    <w:rsid w:val="003D77F2"/>
    <w:rsid w:val="003D78CC"/>
    <w:rsid w:val="003D7D01"/>
    <w:rsid w:val="003D7ED8"/>
    <w:rsid w:val="003E0003"/>
    <w:rsid w:val="003E1A72"/>
    <w:rsid w:val="003E23B0"/>
    <w:rsid w:val="003E2880"/>
    <w:rsid w:val="003E2A00"/>
    <w:rsid w:val="003E382C"/>
    <w:rsid w:val="003E3D00"/>
    <w:rsid w:val="003E4531"/>
    <w:rsid w:val="003E4771"/>
    <w:rsid w:val="003E4EF6"/>
    <w:rsid w:val="003E5074"/>
    <w:rsid w:val="003E50E6"/>
    <w:rsid w:val="003E54A8"/>
    <w:rsid w:val="003E6126"/>
    <w:rsid w:val="003E6FFC"/>
    <w:rsid w:val="003E7109"/>
    <w:rsid w:val="003E77DC"/>
    <w:rsid w:val="003E7BC1"/>
    <w:rsid w:val="003F0453"/>
    <w:rsid w:val="003F0C9F"/>
    <w:rsid w:val="003F144A"/>
    <w:rsid w:val="003F1B02"/>
    <w:rsid w:val="003F2240"/>
    <w:rsid w:val="003F2460"/>
    <w:rsid w:val="003F2E7B"/>
    <w:rsid w:val="003F4CF5"/>
    <w:rsid w:val="003F4FCF"/>
    <w:rsid w:val="003F574E"/>
    <w:rsid w:val="003F60D6"/>
    <w:rsid w:val="003F68E9"/>
    <w:rsid w:val="003F7054"/>
    <w:rsid w:val="003F7E15"/>
    <w:rsid w:val="003F7FDA"/>
    <w:rsid w:val="004000A0"/>
    <w:rsid w:val="0040218E"/>
    <w:rsid w:val="004021C0"/>
    <w:rsid w:val="00402818"/>
    <w:rsid w:val="004028CE"/>
    <w:rsid w:val="00402D3D"/>
    <w:rsid w:val="0040313D"/>
    <w:rsid w:val="004043FA"/>
    <w:rsid w:val="00404970"/>
    <w:rsid w:val="00405181"/>
    <w:rsid w:val="00405873"/>
    <w:rsid w:val="00405F09"/>
    <w:rsid w:val="004066F4"/>
    <w:rsid w:val="00406A32"/>
    <w:rsid w:val="0040760B"/>
    <w:rsid w:val="00407B93"/>
    <w:rsid w:val="00410117"/>
    <w:rsid w:val="00410C32"/>
    <w:rsid w:val="00411237"/>
    <w:rsid w:val="00411557"/>
    <w:rsid w:val="00411994"/>
    <w:rsid w:val="00411D74"/>
    <w:rsid w:val="00411DDE"/>
    <w:rsid w:val="00411F84"/>
    <w:rsid w:val="00412069"/>
    <w:rsid w:val="004121A1"/>
    <w:rsid w:val="004122A3"/>
    <w:rsid w:val="00412477"/>
    <w:rsid w:val="004127A2"/>
    <w:rsid w:val="0041280A"/>
    <w:rsid w:val="00412A9D"/>
    <w:rsid w:val="00412CB1"/>
    <w:rsid w:val="004133A5"/>
    <w:rsid w:val="00413D45"/>
    <w:rsid w:val="00414197"/>
    <w:rsid w:val="00414D68"/>
    <w:rsid w:val="00414FD9"/>
    <w:rsid w:val="00415955"/>
    <w:rsid w:val="0041596C"/>
    <w:rsid w:val="00415EE7"/>
    <w:rsid w:val="004160FA"/>
    <w:rsid w:val="0041669E"/>
    <w:rsid w:val="00416ACA"/>
    <w:rsid w:val="00416B04"/>
    <w:rsid w:val="00416C56"/>
    <w:rsid w:val="004176B8"/>
    <w:rsid w:val="00417B99"/>
    <w:rsid w:val="00417DC8"/>
    <w:rsid w:val="004206BC"/>
    <w:rsid w:val="00420FAF"/>
    <w:rsid w:val="00421180"/>
    <w:rsid w:val="00421184"/>
    <w:rsid w:val="004212C1"/>
    <w:rsid w:val="004214B7"/>
    <w:rsid w:val="00421C69"/>
    <w:rsid w:val="00421FB5"/>
    <w:rsid w:val="004235F4"/>
    <w:rsid w:val="004236C9"/>
    <w:rsid w:val="004239F7"/>
    <w:rsid w:val="00423CF3"/>
    <w:rsid w:val="00423E18"/>
    <w:rsid w:val="00424B7C"/>
    <w:rsid w:val="0042500C"/>
    <w:rsid w:val="00425514"/>
    <w:rsid w:val="004256BD"/>
    <w:rsid w:val="00425863"/>
    <w:rsid w:val="00425D02"/>
    <w:rsid w:val="00425EDC"/>
    <w:rsid w:val="0042615B"/>
    <w:rsid w:val="004275CD"/>
    <w:rsid w:val="00427FEB"/>
    <w:rsid w:val="00427FF2"/>
    <w:rsid w:val="004305C0"/>
    <w:rsid w:val="00430B20"/>
    <w:rsid w:val="00430B6C"/>
    <w:rsid w:val="004310F7"/>
    <w:rsid w:val="0043153E"/>
    <w:rsid w:val="0043155F"/>
    <w:rsid w:val="0043226A"/>
    <w:rsid w:val="0043227C"/>
    <w:rsid w:val="0043333F"/>
    <w:rsid w:val="004335AE"/>
    <w:rsid w:val="00435715"/>
    <w:rsid w:val="0043571B"/>
    <w:rsid w:val="00435EE0"/>
    <w:rsid w:val="0043610C"/>
    <w:rsid w:val="004366FF"/>
    <w:rsid w:val="00437D83"/>
    <w:rsid w:val="00437EB9"/>
    <w:rsid w:val="004401DD"/>
    <w:rsid w:val="00441062"/>
    <w:rsid w:val="004437E5"/>
    <w:rsid w:val="00443D5D"/>
    <w:rsid w:val="00444BCF"/>
    <w:rsid w:val="004450F1"/>
    <w:rsid w:val="00445CBA"/>
    <w:rsid w:val="004463CB"/>
    <w:rsid w:val="004466F7"/>
    <w:rsid w:val="00446858"/>
    <w:rsid w:val="00447304"/>
    <w:rsid w:val="004476C6"/>
    <w:rsid w:val="00447EF9"/>
    <w:rsid w:val="0045075F"/>
    <w:rsid w:val="004516AD"/>
    <w:rsid w:val="00451EA3"/>
    <w:rsid w:val="004546A7"/>
    <w:rsid w:val="00454831"/>
    <w:rsid w:val="004548DF"/>
    <w:rsid w:val="00454FB9"/>
    <w:rsid w:val="00457933"/>
    <w:rsid w:val="00457C78"/>
    <w:rsid w:val="004603E6"/>
    <w:rsid w:val="00460735"/>
    <w:rsid w:val="00460EB8"/>
    <w:rsid w:val="00461C43"/>
    <w:rsid w:val="00462125"/>
    <w:rsid w:val="00463216"/>
    <w:rsid w:val="0046334D"/>
    <w:rsid w:val="00463C95"/>
    <w:rsid w:val="00463E1C"/>
    <w:rsid w:val="00463FFF"/>
    <w:rsid w:val="00465153"/>
    <w:rsid w:val="00465602"/>
    <w:rsid w:val="00466AEB"/>
    <w:rsid w:val="00466AFD"/>
    <w:rsid w:val="004700DC"/>
    <w:rsid w:val="00470696"/>
    <w:rsid w:val="004708E4"/>
    <w:rsid w:val="00471C61"/>
    <w:rsid w:val="00472197"/>
    <w:rsid w:val="004724C9"/>
    <w:rsid w:val="00472B86"/>
    <w:rsid w:val="00474130"/>
    <w:rsid w:val="00475A6C"/>
    <w:rsid w:val="00475EB7"/>
    <w:rsid w:val="004764AF"/>
    <w:rsid w:val="00476D04"/>
    <w:rsid w:val="0047775E"/>
    <w:rsid w:val="00477AAE"/>
    <w:rsid w:val="00477AF6"/>
    <w:rsid w:val="00477B3B"/>
    <w:rsid w:val="00477BCB"/>
    <w:rsid w:val="00480038"/>
    <w:rsid w:val="004801A7"/>
    <w:rsid w:val="00480235"/>
    <w:rsid w:val="00480E47"/>
    <w:rsid w:val="00481666"/>
    <w:rsid w:val="0048181B"/>
    <w:rsid w:val="00481F2B"/>
    <w:rsid w:val="004820C5"/>
    <w:rsid w:val="004823D8"/>
    <w:rsid w:val="00482604"/>
    <w:rsid w:val="00483196"/>
    <w:rsid w:val="0048340F"/>
    <w:rsid w:val="00483E47"/>
    <w:rsid w:val="0048423C"/>
    <w:rsid w:val="00484449"/>
    <w:rsid w:val="004851D2"/>
    <w:rsid w:val="004852CE"/>
    <w:rsid w:val="0048540C"/>
    <w:rsid w:val="00485444"/>
    <w:rsid w:val="00485F92"/>
    <w:rsid w:val="00485FFE"/>
    <w:rsid w:val="00487AB8"/>
    <w:rsid w:val="00490954"/>
    <w:rsid w:val="0049277A"/>
    <w:rsid w:val="00492B38"/>
    <w:rsid w:val="00492FE4"/>
    <w:rsid w:val="00493035"/>
    <w:rsid w:val="00493321"/>
    <w:rsid w:val="004936DE"/>
    <w:rsid w:val="0049544E"/>
    <w:rsid w:val="00495670"/>
    <w:rsid w:val="0049604B"/>
    <w:rsid w:val="00496822"/>
    <w:rsid w:val="0049714A"/>
    <w:rsid w:val="004975A9"/>
    <w:rsid w:val="004A040E"/>
    <w:rsid w:val="004A042D"/>
    <w:rsid w:val="004A0A41"/>
    <w:rsid w:val="004A11E0"/>
    <w:rsid w:val="004A125F"/>
    <w:rsid w:val="004A17CE"/>
    <w:rsid w:val="004A1FC5"/>
    <w:rsid w:val="004A2158"/>
    <w:rsid w:val="004A29A5"/>
    <w:rsid w:val="004A3225"/>
    <w:rsid w:val="004A3C59"/>
    <w:rsid w:val="004A480D"/>
    <w:rsid w:val="004A4D76"/>
    <w:rsid w:val="004A61FD"/>
    <w:rsid w:val="004A66E0"/>
    <w:rsid w:val="004A7D49"/>
    <w:rsid w:val="004A7F21"/>
    <w:rsid w:val="004B08DB"/>
    <w:rsid w:val="004B1422"/>
    <w:rsid w:val="004B24EB"/>
    <w:rsid w:val="004B29AC"/>
    <w:rsid w:val="004B3C8B"/>
    <w:rsid w:val="004B4125"/>
    <w:rsid w:val="004B439F"/>
    <w:rsid w:val="004B44A9"/>
    <w:rsid w:val="004B4509"/>
    <w:rsid w:val="004B4871"/>
    <w:rsid w:val="004B4ADF"/>
    <w:rsid w:val="004B4C00"/>
    <w:rsid w:val="004B4E06"/>
    <w:rsid w:val="004B5493"/>
    <w:rsid w:val="004B56BC"/>
    <w:rsid w:val="004B5914"/>
    <w:rsid w:val="004B652D"/>
    <w:rsid w:val="004B6D0A"/>
    <w:rsid w:val="004B7995"/>
    <w:rsid w:val="004C00DD"/>
    <w:rsid w:val="004C02B3"/>
    <w:rsid w:val="004C0BBE"/>
    <w:rsid w:val="004C0E2F"/>
    <w:rsid w:val="004C222E"/>
    <w:rsid w:val="004C2561"/>
    <w:rsid w:val="004C2806"/>
    <w:rsid w:val="004C3A7F"/>
    <w:rsid w:val="004C3ADD"/>
    <w:rsid w:val="004C428E"/>
    <w:rsid w:val="004C4775"/>
    <w:rsid w:val="004C483D"/>
    <w:rsid w:val="004C4BE0"/>
    <w:rsid w:val="004C50A7"/>
    <w:rsid w:val="004C63C7"/>
    <w:rsid w:val="004C6A49"/>
    <w:rsid w:val="004C6D39"/>
    <w:rsid w:val="004C6D98"/>
    <w:rsid w:val="004C75C4"/>
    <w:rsid w:val="004C7743"/>
    <w:rsid w:val="004D039E"/>
    <w:rsid w:val="004D04A3"/>
    <w:rsid w:val="004D0C0D"/>
    <w:rsid w:val="004D0C9F"/>
    <w:rsid w:val="004D15FD"/>
    <w:rsid w:val="004D1DB7"/>
    <w:rsid w:val="004D2369"/>
    <w:rsid w:val="004D2485"/>
    <w:rsid w:val="004D3257"/>
    <w:rsid w:val="004D3A57"/>
    <w:rsid w:val="004D47FF"/>
    <w:rsid w:val="004D4AD3"/>
    <w:rsid w:val="004D518F"/>
    <w:rsid w:val="004D54D7"/>
    <w:rsid w:val="004D5BB7"/>
    <w:rsid w:val="004D6053"/>
    <w:rsid w:val="004D6FA4"/>
    <w:rsid w:val="004D7C23"/>
    <w:rsid w:val="004E0212"/>
    <w:rsid w:val="004E0ADC"/>
    <w:rsid w:val="004E0FB1"/>
    <w:rsid w:val="004E1043"/>
    <w:rsid w:val="004E1DCA"/>
    <w:rsid w:val="004E21B4"/>
    <w:rsid w:val="004E250D"/>
    <w:rsid w:val="004E252B"/>
    <w:rsid w:val="004E2861"/>
    <w:rsid w:val="004E2A85"/>
    <w:rsid w:val="004E3F72"/>
    <w:rsid w:val="004E4A78"/>
    <w:rsid w:val="004E551E"/>
    <w:rsid w:val="004E58F6"/>
    <w:rsid w:val="004E5E4C"/>
    <w:rsid w:val="004E623E"/>
    <w:rsid w:val="004E6CF9"/>
    <w:rsid w:val="004E734E"/>
    <w:rsid w:val="004E7B0C"/>
    <w:rsid w:val="004E7EC0"/>
    <w:rsid w:val="004E7EDE"/>
    <w:rsid w:val="004E7F48"/>
    <w:rsid w:val="004F014E"/>
    <w:rsid w:val="004F0BC6"/>
    <w:rsid w:val="004F1123"/>
    <w:rsid w:val="004F17DA"/>
    <w:rsid w:val="004F1D8C"/>
    <w:rsid w:val="004F3BD2"/>
    <w:rsid w:val="004F4372"/>
    <w:rsid w:val="004F43E0"/>
    <w:rsid w:val="004F45EB"/>
    <w:rsid w:val="004F49D6"/>
    <w:rsid w:val="004F52B4"/>
    <w:rsid w:val="004F52BB"/>
    <w:rsid w:val="004F5582"/>
    <w:rsid w:val="004F59B8"/>
    <w:rsid w:val="004F62A7"/>
    <w:rsid w:val="004F62F9"/>
    <w:rsid w:val="004F66B3"/>
    <w:rsid w:val="004F77D4"/>
    <w:rsid w:val="0050015C"/>
    <w:rsid w:val="00500418"/>
    <w:rsid w:val="00500CCF"/>
    <w:rsid w:val="00500E62"/>
    <w:rsid w:val="005011FD"/>
    <w:rsid w:val="005022A3"/>
    <w:rsid w:val="0050287C"/>
    <w:rsid w:val="00502958"/>
    <w:rsid w:val="00502BD2"/>
    <w:rsid w:val="00502CA2"/>
    <w:rsid w:val="00502DA4"/>
    <w:rsid w:val="0050306E"/>
    <w:rsid w:val="00503EB4"/>
    <w:rsid w:val="00503F83"/>
    <w:rsid w:val="0050421C"/>
    <w:rsid w:val="00504A9B"/>
    <w:rsid w:val="00504E9A"/>
    <w:rsid w:val="00504F83"/>
    <w:rsid w:val="005059B9"/>
    <w:rsid w:val="00505F64"/>
    <w:rsid w:val="005066DC"/>
    <w:rsid w:val="00506DCD"/>
    <w:rsid w:val="00507C56"/>
    <w:rsid w:val="00507F13"/>
    <w:rsid w:val="00507FDB"/>
    <w:rsid w:val="005109D4"/>
    <w:rsid w:val="0051160A"/>
    <w:rsid w:val="005118BA"/>
    <w:rsid w:val="00512D87"/>
    <w:rsid w:val="0051307F"/>
    <w:rsid w:val="005130DA"/>
    <w:rsid w:val="00513DDA"/>
    <w:rsid w:val="00513E19"/>
    <w:rsid w:val="005148B4"/>
    <w:rsid w:val="00514965"/>
    <w:rsid w:val="00514B29"/>
    <w:rsid w:val="005152B1"/>
    <w:rsid w:val="005152F0"/>
    <w:rsid w:val="00515849"/>
    <w:rsid w:val="00515856"/>
    <w:rsid w:val="005163E6"/>
    <w:rsid w:val="00516C2A"/>
    <w:rsid w:val="005172EC"/>
    <w:rsid w:val="0051740D"/>
    <w:rsid w:val="005178CE"/>
    <w:rsid w:val="00521CAB"/>
    <w:rsid w:val="00522654"/>
    <w:rsid w:val="00522835"/>
    <w:rsid w:val="0052293D"/>
    <w:rsid w:val="00522A24"/>
    <w:rsid w:val="00522AF4"/>
    <w:rsid w:val="00523499"/>
    <w:rsid w:val="00523C08"/>
    <w:rsid w:val="00523C10"/>
    <w:rsid w:val="005245D5"/>
    <w:rsid w:val="00524889"/>
    <w:rsid w:val="00525A53"/>
    <w:rsid w:val="00526569"/>
    <w:rsid w:val="00526726"/>
    <w:rsid w:val="00526EFF"/>
    <w:rsid w:val="00527256"/>
    <w:rsid w:val="00527B9C"/>
    <w:rsid w:val="00527C8D"/>
    <w:rsid w:val="00530AC4"/>
    <w:rsid w:val="00530CE0"/>
    <w:rsid w:val="00532398"/>
    <w:rsid w:val="00533169"/>
    <w:rsid w:val="00533194"/>
    <w:rsid w:val="005332C8"/>
    <w:rsid w:val="00533AF7"/>
    <w:rsid w:val="0053464E"/>
    <w:rsid w:val="0053472F"/>
    <w:rsid w:val="005352C8"/>
    <w:rsid w:val="005354C1"/>
    <w:rsid w:val="00535E98"/>
    <w:rsid w:val="00536CBB"/>
    <w:rsid w:val="00537033"/>
    <w:rsid w:val="00540878"/>
    <w:rsid w:val="00540A37"/>
    <w:rsid w:val="00540B49"/>
    <w:rsid w:val="005416C3"/>
    <w:rsid w:val="005418DB"/>
    <w:rsid w:val="005434EA"/>
    <w:rsid w:val="005439D1"/>
    <w:rsid w:val="00543D52"/>
    <w:rsid w:val="00544860"/>
    <w:rsid w:val="00546C6A"/>
    <w:rsid w:val="00546FBA"/>
    <w:rsid w:val="00547F04"/>
    <w:rsid w:val="00550488"/>
    <w:rsid w:val="00550924"/>
    <w:rsid w:val="00550D63"/>
    <w:rsid w:val="00550EF1"/>
    <w:rsid w:val="00551075"/>
    <w:rsid w:val="00551196"/>
    <w:rsid w:val="005513C8"/>
    <w:rsid w:val="0055352C"/>
    <w:rsid w:val="005538A6"/>
    <w:rsid w:val="00555161"/>
    <w:rsid w:val="00555640"/>
    <w:rsid w:val="00555DE6"/>
    <w:rsid w:val="00555EB3"/>
    <w:rsid w:val="005567F6"/>
    <w:rsid w:val="00557474"/>
    <w:rsid w:val="00560C4B"/>
    <w:rsid w:val="00561699"/>
    <w:rsid w:val="005619E1"/>
    <w:rsid w:val="00562542"/>
    <w:rsid w:val="00562629"/>
    <w:rsid w:val="005628FE"/>
    <w:rsid w:val="00564191"/>
    <w:rsid w:val="00564557"/>
    <w:rsid w:val="0056458C"/>
    <w:rsid w:val="00564628"/>
    <w:rsid w:val="00564A3C"/>
    <w:rsid w:val="00564F82"/>
    <w:rsid w:val="005653AF"/>
    <w:rsid w:val="00565501"/>
    <w:rsid w:val="00565755"/>
    <w:rsid w:val="0056601E"/>
    <w:rsid w:val="00566538"/>
    <w:rsid w:val="0056725A"/>
    <w:rsid w:val="0056741F"/>
    <w:rsid w:val="0056781B"/>
    <w:rsid w:val="00567BE2"/>
    <w:rsid w:val="00570102"/>
    <w:rsid w:val="00570412"/>
    <w:rsid w:val="00570505"/>
    <w:rsid w:val="005712E6"/>
    <w:rsid w:val="00571849"/>
    <w:rsid w:val="00572855"/>
    <w:rsid w:val="00572942"/>
    <w:rsid w:val="00572A87"/>
    <w:rsid w:val="005730DB"/>
    <w:rsid w:val="00573251"/>
    <w:rsid w:val="005733A8"/>
    <w:rsid w:val="00573DDB"/>
    <w:rsid w:val="00573F0A"/>
    <w:rsid w:val="00573F55"/>
    <w:rsid w:val="0057540E"/>
    <w:rsid w:val="005757B6"/>
    <w:rsid w:val="0058000F"/>
    <w:rsid w:val="00580557"/>
    <w:rsid w:val="0058074F"/>
    <w:rsid w:val="00580A76"/>
    <w:rsid w:val="00581042"/>
    <w:rsid w:val="00581703"/>
    <w:rsid w:val="005821DD"/>
    <w:rsid w:val="0058275C"/>
    <w:rsid w:val="00582DFB"/>
    <w:rsid w:val="00583908"/>
    <w:rsid w:val="00584E21"/>
    <w:rsid w:val="0058608B"/>
    <w:rsid w:val="005863C1"/>
    <w:rsid w:val="00587729"/>
    <w:rsid w:val="00590147"/>
    <w:rsid w:val="005905FE"/>
    <w:rsid w:val="00590BD1"/>
    <w:rsid w:val="00590CD9"/>
    <w:rsid w:val="00590D26"/>
    <w:rsid w:val="00591276"/>
    <w:rsid w:val="00591490"/>
    <w:rsid w:val="0059151A"/>
    <w:rsid w:val="005916C9"/>
    <w:rsid w:val="00591C7E"/>
    <w:rsid w:val="00591DCF"/>
    <w:rsid w:val="005929B4"/>
    <w:rsid w:val="00592A3C"/>
    <w:rsid w:val="0059367F"/>
    <w:rsid w:val="00593720"/>
    <w:rsid w:val="00593909"/>
    <w:rsid w:val="00594071"/>
    <w:rsid w:val="005941E1"/>
    <w:rsid w:val="005943E2"/>
    <w:rsid w:val="00594B8A"/>
    <w:rsid w:val="005954B7"/>
    <w:rsid w:val="005959F2"/>
    <w:rsid w:val="00595A05"/>
    <w:rsid w:val="00595F17"/>
    <w:rsid w:val="00595F89"/>
    <w:rsid w:val="0059643A"/>
    <w:rsid w:val="00596873"/>
    <w:rsid w:val="00596BB3"/>
    <w:rsid w:val="00596BD4"/>
    <w:rsid w:val="00596FA8"/>
    <w:rsid w:val="005971A7"/>
    <w:rsid w:val="005977AB"/>
    <w:rsid w:val="0059786B"/>
    <w:rsid w:val="005A01C5"/>
    <w:rsid w:val="005A0532"/>
    <w:rsid w:val="005A07E7"/>
    <w:rsid w:val="005A0A57"/>
    <w:rsid w:val="005A0EBD"/>
    <w:rsid w:val="005A1270"/>
    <w:rsid w:val="005A1295"/>
    <w:rsid w:val="005A1F20"/>
    <w:rsid w:val="005A1FBF"/>
    <w:rsid w:val="005A29B1"/>
    <w:rsid w:val="005A380B"/>
    <w:rsid w:val="005A3828"/>
    <w:rsid w:val="005A4890"/>
    <w:rsid w:val="005A49D4"/>
    <w:rsid w:val="005A4D7C"/>
    <w:rsid w:val="005A51C9"/>
    <w:rsid w:val="005A5DC0"/>
    <w:rsid w:val="005A5FEB"/>
    <w:rsid w:val="005A65B7"/>
    <w:rsid w:val="005A6F0E"/>
    <w:rsid w:val="005A7235"/>
    <w:rsid w:val="005A7BAF"/>
    <w:rsid w:val="005B038F"/>
    <w:rsid w:val="005B0652"/>
    <w:rsid w:val="005B1213"/>
    <w:rsid w:val="005B230C"/>
    <w:rsid w:val="005B3518"/>
    <w:rsid w:val="005B3EBD"/>
    <w:rsid w:val="005B48E8"/>
    <w:rsid w:val="005B5BA3"/>
    <w:rsid w:val="005B5E62"/>
    <w:rsid w:val="005B7E97"/>
    <w:rsid w:val="005B7F46"/>
    <w:rsid w:val="005C0FE5"/>
    <w:rsid w:val="005C102D"/>
    <w:rsid w:val="005C132C"/>
    <w:rsid w:val="005C17FB"/>
    <w:rsid w:val="005C1833"/>
    <w:rsid w:val="005C1838"/>
    <w:rsid w:val="005C18C2"/>
    <w:rsid w:val="005C244F"/>
    <w:rsid w:val="005C2767"/>
    <w:rsid w:val="005C2922"/>
    <w:rsid w:val="005C2F60"/>
    <w:rsid w:val="005C323D"/>
    <w:rsid w:val="005C3772"/>
    <w:rsid w:val="005C39C3"/>
    <w:rsid w:val="005C3D4E"/>
    <w:rsid w:val="005C4229"/>
    <w:rsid w:val="005C4580"/>
    <w:rsid w:val="005C503E"/>
    <w:rsid w:val="005C5065"/>
    <w:rsid w:val="005C52F3"/>
    <w:rsid w:val="005C564C"/>
    <w:rsid w:val="005C6234"/>
    <w:rsid w:val="005C6461"/>
    <w:rsid w:val="005C6605"/>
    <w:rsid w:val="005C6D4B"/>
    <w:rsid w:val="005C71A0"/>
    <w:rsid w:val="005C773B"/>
    <w:rsid w:val="005C7802"/>
    <w:rsid w:val="005C7B50"/>
    <w:rsid w:val="005D0190"/>
    <w:rsid w:val="005D029E"/>
    <w:rsid w:val="005D0427"/>
    <w:rsid w:val="005D07AE"/>
    <w:rsid w:val="005D113B"/>
    <w:rsid w:val="005D1526"/>
    <w:rsid w:val="005D18DE"/>
    <w:rsid w:val="005D236D"/>
    <w:rsid w:val="005D2D9A"/>
    <w:rsid w:val="005D3B21"/>
    <w:rsid w:val="005D4019"/>
    <w:rsid w:val="005D41DC"/>
    <w:rsid w:val="005D460F"/>
    <w:rsid w:val="005D46DF"/>
    <w:rsid w:val="005D4DC5"/>
    <w:rsid w:val="005D5105"/>
    <w:rsid w:val="005D5C22"/>
    <w:rsid w:val="005D622B"/>
    <w:rsid w:val="005D63A9"/>
    <w:rsid w:val="005D65D5"/>
    <w:rsid w:val="005D6C56"/>
    <w:rsid w:val="005D6F49"/>
    <w:rsid w:val="005D74A5"/>
    <w:rsid w:val="005D7E8A"/>
    <w:rsid w:val="005E06FA"/>
    <w:rsid w:val="005E0C01"/>
    <w:rsid w:val="005E0F7D"/>
    <w:rsid w:val="005E11A5"/>
    <w:rsid w:val="005E13D4"/>
    <w:rsid w:val="005E1435"/>
    <w:rsid w:val="005E20B1"/>
    <w:rsid w:val="005E21F3"/>
    <w:rsid w:val="005E235C"/>
    <w:rsid w:val="005E3078"/>
    <w:rsid w:val="005E5427"/>
    <w:rsid w:val="005E5A7A"/>
    <w:rsid w:val="005E5A7C"/>
    <w:rsid w:val="005E5C33"/>
    <w:rsid w:val="005E74EC"/>
    <w:rsid w:val="005E7CBC"/>
    <w:rsid w:val="005F0A62"/>
    <w:rsid w:val="005F1C5D"/>
    <w:rsid w:val="005F2317"/>
    <w:rsid w:val="005F2550"/>
    <w:rsid w:val="005F2B2D"/>
    <w:rsid w:val="005F2FD5"/>
    <w:rsid w:val="005F359A"/>
    <w:rsid w:val="005F3AE8"/>
    <w:rsid w:val="005F3B09"/>
    <w:rsid w:val="005F41A0"/>
    <w:rsid w:val="005F429F"/>
    <w:rsid w:val="005F4926"/>
    <w:rsid w:val="005F5009"/>
    <w:rsid w:val="005F5054"/>
    <w:rsid w:val="005F530F"/>
    <w:rsid w:val="005F6768"/>
    <w:rsid w:val="005F6E39"/>
    <w:rsid w:val="005F6E58"/>
    <w:rsid w:val="005F704C"/>
    <w:rsid w:val="005F7A22"/>
    <w:rsid w:val="005F7B9D"/>
    <w:rsid w:val="00600501"/>
    <w:rsid w:val="00600AB0"/>
    <w:rsid w:val="00600B0C"/>
    <w:rsid w:val="006033BF"/>
    <w:rsid w:val="00603B4B"/>
    <w:rsid w:val="00603F20"/>
    <w:rsid w:val="00604F37"/>
    <w:rsid w:val="0060508A"/>
    <w:rsid w:val="006055AF"/>
    <w:rsid w:val="006058F9"/>
    <w:rsid w:val="00605942"/>
    <w:rsid w:val="00605C9F"/>
    <w:rsid w:val="006068E8"/>
    <w:rsid w:val="00606ADB"/>
    <w:rsid w:val="006072DE"/>
    <w:rsid w:val="006075F4"/>
    <w:rsid w:val="006078A8"/>
    <w:rsid w:val="00607BAD"/>
    <w:rsid w:val="00607EC7"/>
    <w:rsid w:val="0061048A"/>
    <w:rsid w:val="00611178"/>
    <w:rsid w:val="00611D01"/>
    <w:rsid w:val="006124B3"/>
    <w:rsid w:val="00612611"/>
    <w:rsid w:val="00613009"/>
    <w:rsid w:val="0061395E"/>
    <w:rsid w:val="0061401C"/>
    <w:rsid w:val="00614D33"/>
    <w:rsid w:val="0061537D"/>
    <w:rsid w:val="0061537F"/>
    <w:rsid w:val="00615DEA"/>
    <w:rsid w:val="00616EE6"/>
    <w:rsid w:val="006171FB"/>
    <w:rsid w:val="00617A2A"/>
    <w:rsid w:val="006207F4"/>
    <w:rsid w:val="00620C67"/>
    <w:rsid w:val="00621803"/>
    <w:rsid w:val="006219EF"/>
    <w:rsid w:val="006220F1"/>
    <w:rsid w:val="00623E46"/>
    <w:rsid w:val="00624604"/>
    <w:rsid w:val="00624D2C"/>
    <w:rsid w:val="00625145"/>
    <w:rsid w:val="00625C32"/>
    <w:rsid w:val="00627402"/>
    <w:rsid w:val="00630150"/>
    <w:rsid w:val="00630480"/>
    <w:rsid w:val="0063058E"/>
    <w:rsid w:val="006305F8"/>
    <w:rsid w:val="00632B9C"/>
    <w:rsid w:val="0063333D"/>
    <w:rsid w:val="00634225"/>
    <w:rsid w:val="00635003"/>
    <w:rsid w:val="006351CE"/>
    <w:rsid w:val="006352FD"/>
    <w:rsid w:val="00635B15"/>
    <w:rsid w:val="006362E1"/>
    <w:rsid w:val="006367DA"/>
    <w:rsid w:val="006375B2"/>
    <w:rsid w:val="006375BB"/>
    <w:rsid w:val="006379AF"/>
    <w:rsid w:val="00640B50"/>
    <w:rsid w:val="00640BF7"/>
    <w:rsid w:val="00642631"/>
    <w:rsid w:val="00642DF5"/>
    <w:rsid w:val="0064304A"/>
    <w:rsid w:val="0064380B"/>
    <w:rsid w:val="00643A4F"/>
    <w:rsid w:val="006441FD"/>
    <w:rsid w:val="00645141"/>
    <w:rsid w:val="00645AEE"/>
    <w:rsid w:val="00646428"/>
    <w:rsid w:val="0064707F"/>
    <w:rsid w:val="006471E8"/>
    <w:rsid w:val="00647FA3"/>
    <w:rsid w:val="006500F7"/>
    <w:rsid w:val="00650769"/>
    <w:rsid w:val="006515CA"/>
    <w:rsid w:val="006516B7"/>
    <w:rsid w:val="006518E4"/>
    <w:rsid w:val="006519C5"/>
    <w:rsid w:val="00651E3E"/>
    <w:rsid w:val="00651FB8"/>
    <w:rsid w:val="00652BA0"/>
    <w:rsid w:val="00653045"/>
    <w:rsid w:val="00653A25"/>
    <w:rsid w:val="00653D93"/>
    <w:rsid w:val="00654CA5"/>
    <w:rsid w:val="00654E99"/>
    <w:rsid w:val="0065548F"/>
    <w:rsid w:val="00655633"/>
    <w:rsid w:val="006559BB"/>
    <w:rsid w:val="00655D93"/>
    <w:rsid w:val="00655E86"/>
    <w:rsid w:val="00656614"/>
    <w:rsid w:val="00656DE8"/>
    <w:rsid w:val="006577CD"/>
    <w:rsid w:val="00657CCC"/>
    <w:rsid w:val="00660162"/>
    <w:rsid w:val="0066036D"/>
    <w:rsid w:val="00660879"/>
    <w:rsid w:val="00661639"/>
    <w:rsid w:val="0066174D"/>
    <w:rsid w:val="00661E73"/>
    <w:rsid w:val="006620DE"/>
    <w:rsid w:val="006631D3"/>
    <w:rsid w:val="006633CD"/>
    <w:rsid w:val="00663D0F"/>
    <w:rsid w:val="00664525"/>
    <w:rsid w:val="0066465B"/>
    <w:rsid w:val="0066521A"/>
    <w:rsid w:val="00665BE4"/>
    <w:rsid w:val="00665EAE"/>
    <w:rsid w:val="006661EA"/>
    <w:rsid w:val="00666909"/>
    <w:rsid w:val="00666EBC"/>
    <w:rsid w:val="00667189"/>
    <w:rsid w:val="0066749E"/>
    <w:rsid w:val="00667CCB"/>
    <w:rsid w:val="00667EFD"/>
    <w:rsid w:val="00670475"/>
    <w:rsid w:val="00670B8C"/>
    <w:rsid w:val="00670C4A"/>
    <w:rsid w:val="00671EF2"/>
    <w:rsid w:val="00671F3E"/>
    <w:rsid w:val="00672482"/>
    <w:rsid w:val="00672A18"/>
    <w:rsid w:val="006735D0"/>
    <w:rsid w:val="0067384C"/>
    <w:rsid w:val="00674D52"/>
    <w:rsid w:val="00674F93"/>
    <w:rsid w:val="0067546F"/>
    <w:rsid w:val="00676B9C"/>
    <w:rsid w:val="00676CE4"/>
    <w:rsid w:val="00676EC2"/>
    <w:rsid w:val="00676FA5"/>
    <w:rsid w:val="006771A4"/>
    <w:rsid w:val="006771AD"/>
    <w:rsid w:val="00677258"/>
    <w:rsid w:val="006774A8"/>
    <w:rsid w:val="00677572"/>
    <w:rsid w:val="006775A1"/>
    <w:rsid w:val="00681229"/>
    <w:rsid w:val="00681595"/>
    <w:rsid w:val="0068185E"/>
    <w:rsid w:val="00681BE5"/>
    <w:rsid w:val="00681E30"/>
    <w:rsid w:val="0068328A"/>
    <w:rsid w:val="00683D98"/>
    <w:rsid w:val="00683D99"/>
    <w:rsid w:val="00684079"/>
    <w:rsid w:val="0068629B"/>
    <w:rsid w:val="00686C12"/>
    <w:rsid w:val="00686D75"/>
    <w:rsid w:val="0068736A"/>
    <w:rsid w:val="00687D17"/>
    <w:rsid w:val="00690024"/>
    <w:rsid w:val="006903A4"/>
    <w:rsid w:val="00690EFB"/>
    <w:rsid w:val="0069137B"/>
    <w:rsid w:val="006914B7"/>
    <w:rsid w:val="00691742"/>
    <w:rsid w:val="00691DEE"/>
    <w:rsid w:val="00692704"/>
    <w:rsid w:val="00692E67"/>
    <w:rsid w:val="00693EE5"/>
    <w:rsid w:val="006944C5"/>
    <w:rsid w:val="00694B33"/>
    <w:rsid w:val="00695034"/>
    <w:rsid w:val="0069561C"/>
    <w:rsid w:val="00695634"/>
    <w:rsid w:val="006958A0"/>
    <w:rsid w:val="0069600D"/>
    <w:rsid w:val="00696309"/>
    <w:rsid w:val="006963AE"/>
    <w:rsid w:val="00697053"/>
    <w:rsid w:val="006975F0"/>
    <w:rsid w:val="006A066A"/>
    <w:rsid w:val="006A083E"/>
    <w:rsid w:val="006A0A6E"/>
    <w:rsid w:val="006A0FFD"/>
    <w:rsid w:val="006A14A3"/>
    <w:rsid w:val="006A159D"/>
    <w:rsid w:val="006A18BF"/>
    <w:rsid w:val="006A1F58"/>
    <w:rsid w:val="006A298D"/>
    <w:rsid w:val="006A3FD6"/>
    <w:rsid w:val="006A4076"/>
    <w:rsid w:val="006A41F0"/>
    <w:rsid w:val="006A436F"/>
    <w:rsid w:val="006A48D5"/>
    <w:rsid w:val="006A59D8"/>
    <w:rsid w:val="006A6B7B"/>
    <w:rsid w:val="006A78F8"/>
    <w:rsid w:val="006A7E27"/>
    <w:rsid w:val="006B010E"/>
    <w:rsid w:val="006B091F"/>
    <w:rsid w:val="006B0ED0"/>
    <w:rsid w:val="006B0EED"/>
    <w:rsid w:val="006B233F"/>
    <w:rsid w:val="006B28EA"/>
    <w:rsid w:val="006B2FBB"/>
    <w:rsid w:val="006B323E"/>
    <w:rsid w:val="006B378A"/>
    <w:rsid w:val="006B3BD5"/>
    <w:rsid w:val="006B4185"/>
    <w:rsid w:val="006B4224"/>
    <w:rsid w:val="006B4B62"/>
    <w:rsid w:val="006B5423"/>
    <w:rsid w:val="006B55F7"/>
    <w:rsid w:val="006B5855"/>
    <w:rsid w:val="006B5AB2"/>
    <w:rsid w:val="006B5B17"/>
    <w:rsid w:val="006B5C67"/>
    <w:rsid w:val="006B6B5D"/>
    <w:rsid w:val="006C1818"/>
    <w:rsid w:val="006C1F8B"/>
    <w:rsid w:val="006C2721"/>
    <w:rsid w:val="006C3868"/>
    <w:rsid w:val="006C38FF"/>
    <w:rsid w:val="006C3E6E"/>
    <w:rsid w:val="006C3EEA"/>
    <w:rsid w:val="006C43A6"/>
    <w:rsid w:val="006C4A4A"/>
    <w:rsid w:val="006C53EB"/>
    <w:rsid w:val="006C650D"/>
    <w:rsid w:val="006C7740"/>
    <w:rsid w:val="006D0389"/>
    <w:rsid w:val="006D0848"/>
    <w:rsid w:val="006D0C15"/>
    <w:rsid w:val="006D0D8B"/>
    <w:rsid w:val="006D10DC"/>
    <w:rsid w:val="006D19C1"/>
    <w:rsid w:val="006D2827"/>
    <w:rsid w:val="006D2848"/>
    <w:rsid w:val="006D2AFE"/>
    <w:rsid w:val="006D3FDF"/>
    <w:rsid w:val="006D4527"/>
    <w:rsid w:val="006D4B05"/>
    <w:rsid w:val="006D4F86"/>
    <w:rsid w:val="006D52B2"/>
    <w:rsid w:val="006D5AE2"/>
    <w:rsid w:val="006D5F98"/>
    <w:rsid w:val="006D63D6"/>
    <w:rsid w:val="006D6665"/>
    <w:rsid w:val="006D7098"/>
    <w:rsid w:val="006D734F"/>
    <w:rsid w:val="006D740E"/>
    <w:rsid w:val="006D7F72"/>
    <w:rsid w:val="006E00B7"/>
    <w:rsid w:val="006E0E5B"/>
    <w:rsid w:val="006E161E"/>
    <w:rsid w:val="006E1A15"/>
    <w:rsid w:val="006E2EFD"/>
    <w:rsid w:val="006E3023"/>
    <w:rsid w:val="006E449C"/>
    <w:rsid w:val="006E4726"/>
    <w:rsid w:val="006E4E72"/>
    <w:rsid w:val="006E50D0"/>
    <w:rsid w:val="006E6883"/>
    <w:rsid w:val="006E691E"/>
    <w:rsid w:val="006E6EDF"/>
    <w:rsid w:val="006E7231"/>
    <w:rsid w:val="006E7BA5"/>
    <w:rsid w:val="006F01E8"/>
    <w:rsid w:val="006F02D7"/>
    <w:rsid w:val="006F178E"/>
    <w:rsid w:val="006F23EA"/>
    <w:rsid w:val="006F2831"/>
    <w:rsid w:val="006F2BF1"/>
    <w:rsid w:val="006F2D24"/>
    <w:rsid w:val="006F37F7"/>
    <w:rsid w:val="006F3909"/>
    <w:rsid w:val="006F48E1"/>
    <w:rsid w:val="006F513F"/>
    <w:rsid w:val="006F5977"/>
    <w:rsid w:val="006F60DF"/>
    <w:rsid w:val="006F68C1"/>
    <w:rsid w:val="006F6CE2"/>
    <w:rsid w:val="006F6E10"/>
    <w:rsid w:val="007014F8"/>
    <w:rsid w:val="0070150D"/>
    <w:rsid w:val="007016D2"/>
    <w:rsid w:val="007018D8"/>
    <w:rsid w:val="00703107"/>
    <w:rsid w:val="00703138"/>
    <w:rsid w:val="00703981"/>
    <w:rsid w:val="0070495F"/>
    <w:rsid w:val="00704B6E"/>
    <w:rsid w:val="00704F73"/>
    <w:rsid w:val="0070508D"/>
    <w:rsid w:val="0070542E"/>
    <w:rsid w:val="007060D4"/>
    <w:rsid w:val="00706239"/>
    <w:rsid w:val="0070624C"/>
    <w:rsid w:val="00706451"/>
    <w:rsid w:val="00707E0F"/>
    <w:rsid w:val="007101FE"/>
    <w:rsid w:val="0071068A"/>
    <w:rsid w:val="00710A06"/>
    <w:rsid w:val="00710E19"/>
    <w:rsid w:val="00710E52"/>
    <w:rsid w:val="0071174F"/>
    <w:rsid w:val="0071196A"/>
    <w:rsid w:val="007131CF"/>
    <w:rsid w:val="007133C0"/>
    <w:rsid w:val="00713613"/>
    <w:rsid w:val="007137C6"/>
    <w:rsid w:val="007138FC"/>
    <w:rsid w:val="0071393D"/>
    <w:rsid w:val="00713CB5"/>
    <w:rsid w:val="00713E79"/>
    <w:rsid w:val="00713F72"/>
    <w:rsid w:val="007149E1"/>
    <w:rsid w:val="00715441"/>
    <w:rsid w:val="00715739"/>
    <w:rsid w:val="0071576C"/>
    <w:rsid w:val="0071631D"/>
    <w:rsid w:val="007165BE"/>
    <w:rsid w:val="00716A09"/>
    <w:rsid w:val="00717445"/>
    <w:rsid w:val="00717CA8"/>
    <w:rsid w:val="00717E19"/>
    <w:rsid w:val="00720336"/>
    <w:rsid w:val="007205E7"/>
    <w:rsid w:val="007209C4"/>
    <w:rsid w:val="00721E9E"/>
    <w:rsid w:val="00722576"/>
    <w:rsid w:val="007227FE"/>
    <w:rsid w:val="0072323B"/>
    <w:rsid w:val="007232C0"/>
    <w:rsid w:val="007233C3"/>
    <w:rsid w:val="00723C95"/>
    <w:rsid w:val="007244E7"/>
    <w:rsid w:val="00724BB8"/>
    <w:rsid w:val="0072505F"/>
    <w:rsid w:val="00725B00"/>
    <w:rsid w:val="0072680C"/>
    <w:rsid w:val="00726B3D"/>
    <w:rsid w:val="00726C64"/>
    <w:rsid w:val="00727130"/>
    <w:rsid w:val="007310B7"/>
    <w:rsid w:val="00731237"/>
    <w:rsid w:val="0073207E"/>
    <w:rsid w:val="00732664"/>
    <w:rsid w:val="00732BA7"/>
    <w:rsid w:val="007333EA"/>
    <w:rsid w:val="00733601"/>
    <w:rsid w:val="00733A35"/>
    <w:rsid w:val="00733A57"/>
    <w:rsid w:val="00733F36"/>
    <w:rsid w:val="007340CE"/>
    <w:rsid w:val="007346CE"/>
    <w:rsid w:val="0073475D"/>
    <w:rsid w:val="00734781"/>
    <w:rsid w:val="0073497E"/>
    <w:rsid w:val="007349FC"/>
    <w:rsid w:val="00735293"/>
    <w:rsid w:val="007363EA"/>
    <w:rsid w:val="00736E06"/>
    <w:rsid w:val="00736E37"/>
    <w:rsid w:val="00737286"/>
    <w:rsid w:val="007373DB"/>
    <w:rsid w:val="00737F27"/>
    <w:rsid w:val="00737FD3"/>
    <w:rsid w:val="00740322"/>
    <w:rsid w:val="007407DB"/>
    <w:rsid w:val="00740BFC"/>
    <w:rsid w:val="00740C12"/>
    <w:rsid w:val="00740F74"/>
    <w:rsid w:val="00741037"/>
    <w:rsid w:val="007420D9"/>
    <w:rsid w:val="007422B3"/>
    <w:rsid w:val="007424BF"/>
    <w:rsid w:val="007435F1"/>
    <w:rsid w:val="00743DDD"/>
    <w:rsid w:val="007446BB"/>
    <w:rsid w:val="00744A62"/>
    <w:rsid w:val="00745882"/>
    <w:rsid w:val="00745A0F"/>
    <w:rsid w:val="00746197"/>
    <w:rsid w:val="0074689C"/>
    <w:rsid w:val="00746B3F"/>
    <w:rsid w:val="00747B0D"/>
    <w:rsid w:val="00750476"/>
    <w:rsid w:val="00750EAA"/>
    <w:rsid w:val="00751452"/>
    <w:rsid w:val="007521A5"/>
    <w:rsid w:val="00753959"/>
    <w:rsid w:val="00753DD6"/>
    <w:rsid w:val="00754A4A"/>
    <w:rsid w:val="007567A8"/>
    <w:rsid w:val="007579B3"/>
    <w:rsid w:val="00760485"/>
    <w:rsid w:val="00760F66"/>
    <w:rsid w:val="007611F8"/>
    <w:rsid w:val="00761931"/>
    <w:rsid w:val="00761B46"/>
    <w:rsid w:val="00761BD1"/>
    <w:rsid w:val="0076291E"/>
    <w:rsid w:val="00762D81"/>
    <w:rsid w:val="0076317B"/>
    <w:rsid w:val="0076392A"/>
    <w:rsid w:val="007644DA"/>
    <w:rsid w:val="00765366"/>
    <w:rsid w:val="00765778"/>
    <w:rsid w:val="00765914"/>
    <w:rsid w:val="00765B84"/>
    <w:rsid w:val="0076614D"/>
    <w:rsid w:val="00766304"/>
    <w:rsid w:val="00767A28"/>
    <w:rsid w:val="00767DD2"/>
    <w:rsid w:val="00770C19"/>
    <w:rsid w:val="00770E60"/>
    <w:rsid w:val="00771509"/>
    <w:rsid w:val="00771C8F"/>
    <w:rsid w:val="0077266E"/>
    <w:rsid w:val="00772D78"/>
    <w:rsid w:val="007730FA"/>
    <w:rsid w:val="007737D8"/>
    <w:rsid w:val="0077391C"/>
    <w:rsid w:val="00774576"/>
    <w:rsid w:val="0077508A"/>
    <w:rsid w:val="00775567"/>
    <w:rsid w:val="00775E0D"/>
    <w:rsid w:val="00776343"/>
    <w:rsid w:val="00776416"/>
    <w:rsid w:val="00776977"/>
    <w:rsid w:val="00776C7B"/>
    <w:rsid w:val="00776CEF"/>
    <w:rsid w:val="007779C0"/>
    <w:rsid w:val="00777E7E"/>
    <w:rsid w:val="007804DD"/>
    <w:rsid w:val="00780F3B"/>
    <w:rsid w:val="00780F48"/>
    <w:rsid w:val="0078127D"/>
    <w:rsid w:val="00781297"/>
    <w:rsid w:val="007816EE"/>
    <w:rsid w:val="00782071"/>
    <w:rsid w:val="00782946"/>
    <w:rsid w:val="0078363B"/>
    <w:rsid w:val="00783CCF"/>
    <w:rsid w:val="00784609"/>
    <w:rsid w:val="00784720"/>
    <w:rsid w:val="0078481D"/>
    <w:rsid w:val="007859FC"/>
    <w:rsid w:val="00785DC0"/>
    <w:rsid w:val="00785F4C"/>
    <w:rsid w:val="0078609C"/>
    <w:rsid w:val="00786355"/>
    <w:rsid w:val="007874AE"/>
    <w:rsid w:val="0078750B"/>
    <w:rsid w:val="00787F5E"/>
    <w:rsid w:val="0079024D"/>
    <w:rsid w:val="007903B6"/>
    <w:rsid w:val="007911B8"/>
    <w:rsid w:val="00791DAE"/>
    <w:rsid w:val="007930E8"/>
    <w:rsid w:val="00793F28"/>
    <w:rsid w:val="007944D2"/>
    <w:rsid w:val="00794B19"/>
    <w:rsid w:val="00794C7B"/>
    <w:rsid w:val="00795017"/>
    <w:rsid w:val="00795B8D"/>
    <w:rsid w:val="00795F0E"/>
    <w:rsid w:val="007A0C00"/>
    <w:rsid w:val="007A176E"/>
    <w:rsid w:val="007A1B5F"/>
    <w:rsid w:val="007A23A1"/>
    <w:rsid w:val="007A2A69"/>
    <w:rsid w:val="007A2B23"/>
    <w:rsid w:val="007A41B5"/>
    <w:rsid w:val="007A4486"/>
    <w:rsid w:val="007A4682"/>
    <w:rsid w:val="007A4F7E"/>
    <w:rsid w:val="007A5BDC"/>
    <w:rsid w:val="007A5C13"/>
    <w:rsid w:val="007A6610"/>
    <w:rsid w:val="007A6FF3"/>
    <w:rsid w:val="007A71DC"/>
    <w:rsid w:val="007A7A04"/>
    <w:rsid w:val="007B04FF"/>
    <w:rsid w:val="007B0AE9"/>
    <w:rsid w:val="007B0CAC"/>
    <w:rsid w:val="007B15F3"/>
    <w:rsid w:val="007B1701"/>
    <w:rsid w:val="007B1DBB"/>
    <w:rsid w:val="007B2319"/>
    <w:rsid w:val="007B2FBF"/>
    <w:rsid w:val="007B3010"/>
    <w:rsid w:val="007B3107"/>
    <w:rsid w:val="007B33D8"/>
    <w:rsid w:val="007B3E13"/>
    <w:rsid w:val="007B4046"/>
    <w:rsid w:val="007B4300"/>
    <w:rsid w:val="007B565C"/>
    <w:rsid w:val="007B595F"/>
    <w:rsid w:val="007B736B"/>
    <w:rsid w:val="007B78D0"/>
    <w:rsid w:val="007C0853"/>
    <w:rsid w:val="007C0E86"/>
    <w:rsid w:val="007C1398"/>
    <w:rsid w:val="007C2271"/>
    <w:rsid w:val="007C249E"/>
    <w:rsid w:val="007C26CF"/>
    <w:rsid w:val="007C271B"/>
    <w:rsid w:val="007C2C14"/>
    <w:rsid w:val="007C338A"/>
    <w:rsid w:val="007C3A55"/>
    <w:rsid w:val="007C404F"/>
    <w:rsid w:val="007C44E1"/>
    <w:rsid w:val="007C48DD"/>
    <w:rsid w:val="007C4A05"/>
    <w:rsid w:val="007C5711"/>
    <w:rsid w:val="007C57B9"/>
    <w:rsid w:val="007C6325"/>
    <w:rsid w:val="007C704D"/>
    <w:rsid w:val="007C7EF5"/>
    <w:rsid w:val="007D06AC"/>
    <w:rsid w:val="007D0935"/>
    <w:rsid w:val="007D0A53"/>
    <w:rsid w:val="007D0FFC"/>
    <w:rsid w:val="007D1013"/>
    <w:rsid w:val="007D19EC"/>
    <w:rsid w:val="007D36B1"/>
    <w:rsid w:val="007D36D7"/>
    <w:rsid w:val="007D3BA1"/>
    <w:rsid w:val="007D3EC8"/>
    <w:rsid w:val="007D40AC"/>
    <w:rsid w:val="007D4C12"/>
    <w:rsid w:val="007D57E0"/>
    <w:rsid w:val="007D63B2"/>
    <w:rsid w:val="007D651D"/>
    <w:rsid w:val="007D71B7"/>
    <w:rsid w:val="007E0274"/>
    <w:rsid w:val="007E0415"/>
    <w:rsid w:val="007E0991"/>
    <w:rsid w:val="007E0B2C"/>
    <w:rsid w:val="007E107F"/>
    <w:rsid w:val="007E2FD7"/>
    <w:rsid w:val="007E310B"/>
    <w:rsid w:val="007E38DA"/>
    <w:rsid w:val="007E3D65"/>
    <w:rsid w:val="007E3EE2"/>
    <w:rsid w:val="007E47E7"/>
    <w:rsid w:val="007E4A98"/>
    <w:rsid w:val="007E4EB6"/>
    <w:rsid w:val="007E594A"/>
    <w:rsid w:val="007E5DD7"/>
    <w:rsid w:val="007E7139"/>
    <w:rsid w:val="007E7219"/>
    <w:rsid w:val="007E7EA1"/>
    <w:rsid w:val="007F03CE"/>
    <w:rsid w:val="007F04D3"/>
    <w:rsid w:val="007F2D8D"/>
    <w:rsid w:val="007F2EBF"/>
    <w:rsid w:val="007F3044"/>
    <w:rsid w:val="007F3249"/>
    <w:rsid w:val="007F4069"/>
    <w:rsid w:val="007F4657"/>
    <w:rsid w:val="007F5609"/>
    <w:rsid w:val="007F568A"/>
    <w:rsid w:val="007F59F7"/>
    <w:rsid w:val="007F5E21"/>
    <w:rsid w:val="007F6413"/>
    <w:rsid w:val="007F6B11"/>
    <w:rsid w:val="007F6E2B"/>
    <w:rsid w:val="00801745"/>
    <w:rsid w:val="00801B4C"/>
    <w:rsid w:val="00802735"/>
    <w:rsid w:val="008028E0"/>
    <w:rsid w:val="00803B7E"/>
    <w:rsid w:val="00803DA6"/>
    <w:rsid w:val="0080436E"/>
    <w:rsid w:val="00804937"/>
    <w:rsid w:val="00804E1E"/>
    <w:rsid w:val="00804E43"/>
    <w:rsid w:val="008050F5"/>
    <w:rsid w:val="00806187"/>
    <w:rsid w:val="00810BC2"/>
    <w:rsid w:val="00811683"/>
    <w:rsid w:val="00811AFF"/>
    <w:rsid w:val="00812373"/>
    <w:rsid w:val="00813C2F"/>
    <w:rsid w:val="00813F3A"/>
    <w:rsid w:val="008140E8"/>
    <w:rsid w:val="00814941"/>
    <w:rsid w:val="00814A65"/>
    <w:rsid w:val="00814BD9"/>
    <w:rsid w:val="008158AC"/>
    <w:rsid w:val="0081668E"/>
    <w:rsid w:val="00816BE8"/>
    <w:rsid w:val="00816DBD"/>
    <w:rsid w:val="00816FE2"/>
    <w:rsid w:val="00817062"/>
    <w:rsid w:val="00817991"/>
    <w:rsid w:val="00817DC7"/>
    <w:rsid w:val="00817F58"/>
    <w:rsid w:val="008203C5"/>
    <w:rsid w:val="00820B84"/>
    <w:rsid w:val="008217D5"/>
    <w:rsid w:val="0082199B"/>
    <w:rsid w:val="008243A8"/>
    <w:rsid w:val="00824925"/>
    <w:rsid w:val="00824EAC"/>
    <w:rsid w:val="008252E8"/>
    <w:rsid w:val="00825401"/>
    <w:rsid w:val="00825BA8"/>
    <w:rsid w:val="00825C14"/>
    <w:rsid w:val="0082641D"/>
    <w:rsid w:val="008267CA"/>
    <w:rsid w:val="0082722B"/>
    <w:rsid w:val="00827C1B"/>
    <w:rsid w:val="008301F1"/>
    <w:rsid w:val="008308EC"/>
    <w:rsid w:val="00830C0E"/>
    <w:rsid w:val="008317EC"/>
    <w:rsid w:val="0083195D"/>
    <w:rsid w:val="00831B7B"/>
    <w:rsid w:val="008324F3"/>
    <w:rsid w:val="0083296B"/>
    <w:rsid w:val="00833852"/>
    <w:rsid w:val="00833AB9"/>
    <w:rsid w:val="00833E38"/>
    <w:rsid w:val="008340B1"/>
    <w:rsid w:val="00834820"/>
    <w:rsid w:val="00834C82"/>
    <w:rsid w:val="00834DB6"/>
    <w:rsid w:val="00834F93"/>
    <w:rsid w:val="00835BB7"/>
    <w:rsid w:val="00835C44"/>
    <w:rsid w:val="00836B12"/>
    <w:rsid w:val="00840C4A"/>
    <w:rsid w:val="008411B9"/>
    <w:rsid w:val="0084122F"/>
    <w:rsid w:val="00841C9D"/>
    <w:rsid w:val="00841D08"/>
    <w:rsid w:val="00842D43"/>
    <w:rsid w:val="0084323E"/>
    <w:rsid w:val="0084343D"/>
    <w:rsid w:val="00843D50"/>
    <w:rsid w:val="0084464E"/>
    <w:rsid w:val="00846262"/>
    <w:rsid w:val="00846370"/>
    <w:rsid w:val="00847665"/>
    <w:rsid w:val="00847BC5"/>
    <w:rsid w:val="00847F11"/>
    <w:rsid w:val="00850010"/>
    <w:rsid w:val="008503F4"/>
    <w:rsid w:val="008504A0"/>
    <w:rsid w:val="00850580"/>
    <w:rsid w:val="00850C2A"/>
    <w:rsid w:val="00850DFA"/>
    <w:rsid w:val="00851331"/>
    <w:rsid w:val="008516D1"/>
    <w:rsid w:val="00852003"/>
    <w:rsid w:val="0085212C"/>
    <w:rsid w:val="00854053"/>
    <w:rsid w:val="00854376"/>
    <w:rsid w:val="008543AC"/>
    <w:rsid w:val="008548B8"/>
    <w:rsid w:val="00854965"/>
    <w:rsid w:val="008554D1"/>
    <w:rsid w:val="008558E0"/>
    <w:rsid w:val="00856658"/>
    <w:rsid w:val="00860109"/>
    <w:rsid w:val="008601BD"/>
    <w:rsid w:val="00860359"/>
    <w:rsid w:val="00860E43"/>
    <w:rsid w:val="00861252"/>
    <w:rsid w:val="00861362"/>
    <w:rsid w:val="0086171A"/>
    <w:rsid w:val="0086226C"/>
    <w:rsid w:val="00864432"/>
    <w:rsid w:val="008644A4"/>
    <w:rsid w:val="00864A6C"/>
    <w:rsid w:val="00864BB1"/>
    <w:rsid w:val="00864DF7"/>
    <w:rsid w:val="00865278"/>
    <w:rsid w:val="008654F9"/>
    <w:rsid w:val="00865EE0"/>
    <w:rsid w:val="00866388"/>
    <w:rsid w:val="008663B7"/>
    <w:rsid w:val="0086722D"/>
    <w:rsid w:val="00867D56"/>
    <w:rsid w:val="00870BAA"/>
    <w:rsid w:val="008716D1"/>
    <w:rsid w:val="008716ED"/>
    <w:rsid w:val="0087193F"/>
    <w:rsid w:val="008728C8"/>
    <w:rsid w:val="00872A59"/>
    <w:rsid w:val="00873205"/>
    <w:rsid w:val="0087377E"/>
    <w:rsid w:val="00873D05"/>
    <w:rsid w:val="00874594"/>
    <w:rsid w:val="00874776"/>
    <w:rsid w:val="00874B75"/>
    <w:rsid w:val="008750DB"/>
    <w:rsid w:val="0087527F"/>
    <w:rsid w:val="008754B5"/>
    <w:rsid w:val="00875AF3"/>
    <w:rsid w:val="008765E9"/>
    <w:rsid w:val="00876605"/>
    <w:rsid w:val="0087686F"/>
    <w:rsid w:val="00876B13"/>
    <w:rsid w:val="00880017"/>
    <w:rsid w:val="00880305"/>
    <w:rsid w:val="0088088A"/>
    <w:rsid w:val="00880A3F"/>
    <w:rsid w:val="008811D7"/>
    <w:rsid w:val="00881732"/>
    <w:rsid w:val="008818A2"/>
    <w:rsid w:val="0088213D"/>
    <w:rsid w:val="008821C6"/>
    <w:rsid w:val="0088243D"/>
    <w:rsid w:val="0088251A"/>
    <w:rsid w:val="00882D28"/>
    <w:rsid w:val="00883A67"/>
    <w:rsid w:val="00883ED2"/>
    <w:rsid w:val="00884877"/>
    <w:rsid w:val="008848E9"/>
    <w:rsid w:val="00884FD8"/>
    <w:rsid w:val="00885244"/>
    <w:rsid w:val="008858B3"/>
    <w:rsid w:val="00885B62"/>
    <w:rsid w:val="008866CF"/>
    <w:rsid w:val="00886782"/>
    <w:rsid w:val="008869A1"/>
    <w:rsid w:val="00886B3F"/>
    <w:rsid w:val="00886D80"/>
    <w:rsid w:val="0089015D"/>
    <w:rsid w:val="0089021A"/>
    <w:rsid w:val="0089022E"/>
    <w:rsid w:val="00890A7C"/>
    <w:rsid w:val="00890D11"/>
    <w:rsid w:val="00890D16"/>
    <w:rsid w:val="008910EE"/>
    <w:rsid w:val="00891414"/>
    <w:rsid w:val="00891A26"/>
    <w:rsid w:val="008923F8"/>
    <w:rsid w:val="008928DD"/>
    <w:rsid w:val="008928F1"/>
    <w:rsid w:val="00892BBF"/>
    <w:rsid w:val="00892DB5"/>
    <w:rsid w:val="00893708"/>
    <w:rsid w:val="008942BD"/>
    <w:rsid w:val="0089478A"/>
    <w:rsid w:val="00894FE5"/>
    <w:rsid w:val="008956DA"/>
    <w:rsid w:val="00895BA9"/>
    <w:rsid w:val="0089601B"/>
    <w:rsid w:val="00896143"/>
    <w:rsid w:val="00896784"/>
    <w:rsid w:val="00897824"/>
    <w:rsid w:val="00897BCB"/>
    <w:rsid w:val="00897C07"/>
    <w:rsid w:val="008A02FA"/>
    <w:rsid w:val="008A06A8"/>
    <w:rsid w:val="008A1AAC"/>
    <w:rsid w:val="008A2956"/>
    <w:rsid w:val="008A2EA1"/>
    <w:rsid w:val="008A2EF6"/>
    <w:rsid w:val="008A3290"/>
    <w:rsid w:val="008A33B7"/>
    <w:rsid w:val="008A3480"/>
    <w:rsid w:val="008A35CC"/>
    <w:rsid w:val="008A3FC8"/>
    <w:rsid w:val="008A4F3C"/>
    <w:rsid w:val="008A4FB5"/>
    <w:rsid w:val="008A51AD"/>
    <w:rsid w:val="008A53BA"/>
    <w:rsid w:val="008A551D"/>
    <w:rsid w:val="008A56BA"/>
    <w:rsid w:val="008A570A"/>
    <w:rsid w:val="008A58E4"/>
    <w:rsid w:val="008A58E7"/>
    <w:rsid w:val="008A5C1D"/>
    <w:rsid w:val="008A615A"/>
    <w:rsid w:val="008A6A36"/>
    <w:rsid w:val="008A6DC1"/>
    <w:rsid w:val="008A7100"/>
    <w:rsid w:val="008A7139"/>
    <w:rsid w:val="008A776D"/>
    <w:rsid w:val="008A7C74"/>
    <w:rsid w:val="008B021B"/>
    <w:rsid w:val="008B04C0"/>
    <w:rsid w:val="008B0A83"/>
    <w:rsid w:val="008B0E93"/>
    <w:rsid w:val="008B29A4"/>
    <w:rsid w:val="008B2C30"/>
    <w:rsid w:val="008B2DC8"/>
    <w:rsid w:val="008B3C2B"/>
    <w:rsid w:val="008B4679"/>
    <w:rsid w:val="008B4D00"/>
    <w:rsid w:val="008B4D13"/>
    <w:rsid w:val="008B4E78"/>
    <w:rsid w:val="008B4FE2"/>
    <w:rsid w:val="008B54C3"/>
    <w:rsid w:val="008B6620"/>
    <w:rsid w:val="008B66EE"/>
    <w:rsid w:val="008B6793"/>
    <w:rsid w:val="008B6E87"/>
    <w:rsid w:val="008B73E2"/>
    <w:rsid w:val="008B75C2"/>
    <w:rsid w:val="008B787A"/>
    <w:rsid w:val="008C0343"/>
    <w:rsid w:val="008C050D"/>
    <w:rsid w:val="008C0A89"/>
    <w:rsid w:val="008C0E71"/>
    <w:rsid w:val="008C1852"/>
    <w:rsid w:val="008C2CFF"/>
    <w:rsid w:val="008C2E22"/>
    <w:rsid w:val="008C2ED2"/>
    <w:rsid w:val="008C3051"/>
    <w:rsid w:val="008C3D4D"/>
    <w:rsid w:val="008C4026"/>
    <w:rsid w:val="008C417E"/>
    <w:rsid w:val="008C6105"/>
    <w:rsid w:val="008C6124"/>
    <w:rsid w:val="008C6334"/>
    <w:rsid w:val="008C6968"/>
    <w:rsid w:val="008C742A"/>
    <w:rsid w:val="008C7714"/>
    <w:rsid w:val="008D00F3"/>
    <w:rsid w:val="008D180F"/>
    <w:rsid w:val="008D18CD"/>
    <w:rsid w:val="008D20E0"/>
    <w:rsid w:val="008D335C"/>
    <w:rsid w:val="008D35B7"/>
    <w:rsid w:val="008D436A"/>
    <w:rsid w:val="008D4C72"/>
    <w:rsid w:val="008D561B"/>
    <w:rsid w:val="008D5CF9"/>
    <w:rsid w:val="008D6794"/>
    <w:rsid w:val="008D6B72"/>
    <w:rsid w:val="008D7F65"/>
    <w:rsid w:val="008D7FC1"/>
    <w:rsid w:val="008E0178"/>
    <w:rsid w:val="008E02F8"/>
    <w:rsid w:val="008E127E"/>
    <w:rsid w:val="008E146A"/>
    <w:rsid w:val="008E211C"/>
    <w:rsid w:val="008E2BB3"/>
    <w:rsid w:val="008E2BC5"/>
    <w:rsid w:val="008E2C79"/>
    <w:rsid w:val="008E3176"/>
    <w:rsid w:val="008E3564"/>
    <w:rsid w:val="008E364C"/>
    <w:rsid w:val="008E3A0B"/>
    <w:rsid w:val="008E3AAB"/>
    <w:rsid w:val="008E4043"/>
    <w:rsid w:val="008E5782"/>
    <w:rsid w:val="008E5868"/>
    <w:rsid w:val="008E5DC8"/>
    <w:rsid w:val="008E5DCA"/>
    <w:rsid w:val="008E6465"/>
    <w:rsid w:val="008E6C57"/>
    <w:rsid w:val="008E7082"/>
    <w:rsid w:val="008F0952"/>
    <w:rsid w:val="008F0E71"/>
    <w:rsid w:val="008F1154"/>
    <w:rsid w:val="008F1B84"/>
    <w:rsid w:val="008F1DB6"/>
    <w:rsid w:val="008F39C0"/>
    <w:rsid w:val="008F3E64"/>
    <w:rsid w:val="008F4CCE"/>
    <w:rsid w:val="008F57CD"/>
    <w:rsid w:val="008F5960"/>
    <w:rsid w:val="008F5CD0"/>
    <w:rsid w:val="008F629A"/>
    <w:rsid w:val="008F6A9B"/>
    <w:rsid w:val="008F769D"/>
    <w:rsid w:val="008F76DC"/>
    <w:rsid w:val="009007BC"/>
    <w:rsid w:val="009013C5"/>
    <w:rsid w:val="0090147B"/>
    <w:rsid w:val="00901649"/>
    <w:rsid w:val="00902360"/>
    <w:rsid w:val="009026E6"/>
    <w:rsid w:val="009029B5"/>
    <w:rsid w:val="00903026"/>
    <w:rsid w:val="0090357B"/>
    <w:rsid w:val="009037F7"/>
    <w:rsid w:val="009044BE"/>
    <w:rsid w:val="009048EB"/>
    <w:rsid w:val="00904913"/>
    <w:rsid w:val="00904BC0"/>
    <w:rsid w:val="009050B3"/>
    <w:rsid w:val="00905945"/>
    <w:rsid w:val="009059BD"/>
    <w:rsid w:val="00905FEB"/>
    <w:rsid w:val="0090672E"/>
    <w:rsid w:val="00906A4F"/>
    <w:rsid w:val="00906BD6"/>
    <w:rsid w:val="009078BA"/>
    <w:rsid w:val="009079C7"/>
    <w:rsid w:val="009079F7"/>
    <w:rsid w:val="00907C33"/>
    <w:rsid w:val="0091056C"/>
    <w:rsid w:val="009108D2"/>
    <w:rsid w:val="00910FE1"/>
    <w:rsid w:val="0091106A"/>
    <w:rsid w:val="0091187D"/>
    <w:rsid w:val="00911D1C"/>
    <w:rsid w:val="00912F38"/>
    <w:rsid w:val="00913C58"/>
    <w:rsid w:val="009140B4"/>
    <w:rsid w:val="00914174"/>
    <w:rsid w:val="0091428A"/>
    <w:rsid w:val="00914AA5"/>
    <w:rsid w:val="00915964"/>
    <w:rsid w:val="009162DD"/>
    <w:rsid w:val="009163E7"/>
    <w:rsid w:val="0091671A"/>
    <w:rsid w:val="009169F6"/>
    <w:rsid w:val="0091719D"/>
    <w:rsid w:val="00920190"/>
    <w:rsid w:val="00920B1E"/>
    <w:rsid w:val="00920DD5"/>
    <w:rsid w:val="00921161"/>
    <w:rsid w:val="00921DC7"/>
    <w:rsid w:val="00921FE5"/>
    <w:rsid w:val="00922492"/>
    <w:rsid w:val="009224EB"/>
    <w:rsid w:val="0092272F"/>
    <w:rsid w:val="00922BE2"/>
    <w:rsid w:val="00922EDE"/>
    <w:rsid w:val="00923734"/>
    <w:rsid w:val="009237D9"/>
    <w:rsid w:val="0092406C"/>
    <w:rsid w:val="00924096"/>
    <w:rsid w:val="009243BC"/>
    <w:rsid w:val="009244D5"/>
    <w:rsid w:val="00924699"/>
    <w:rsid w:val="009252F1"/>
    <w:rsid w:val="00925AF5"/>
    <w:rsid w:val="00926268"/>
    <w:rsid w:val="009264A2"/>
    <w:rsid w:val="0092715D"/>
    <w:rsid w:val="00927971"/>
    <w:rsid w:val="00930632"/>
    <w:rsid w:val="0093090F"/>
    <w:rsid w:val="009310BC"/>
    <w:rsid w:val="00931A13"/>
    <w:rsid w:val="009324C4"/>
    <w:rsid w:val="00932671"/>
    <w:rsid w:val="00932A7A"/>
    <w:rsid w:val="009330BF"/>
    <w:rsid w:val="00933817"/>
    <w:rsid w:val="00934510"/>
    <w:rsid w:val="0093476C"/>
    <w:rsid w:val="00935A1E"/>
    <w:rsid w:val="00935B7C"/>
    <w:rsid w:val="00935C06"/>
    <w:rsid w:val="00935C63"/>
    <w:rsid w:val="00935E3A"/>
    <w:rsid w:val="0093607C"/>
    <w:rsid w:val="00940008"/>
    <w:rsid w:val="00940FFA"/>
    <w:rsid w:val="00941503"/>
    <w:rsid w:val="00942C90"/>
    <w:rsid w:val="00942F29"/>
    <w:rsid w:val="00942FB6"/>
    <w:rsid w:val="009431D4"/>
    <w:rsid w:val="00943376"/>
    <w:rsid w:val="00943707"/>
    <w:rsid w:val="00943EA6"/>
    <w:rsid w:val="009448F2"/>
    <w:rsid w:val="0094515A"/>
    <w:rsid w:val="00945759"/>
    <w:rsid w:val="009466E9"/>
    <w:rsid w:val="00946CB3"/>
    <w:rsid w:val="00946D20"/>
    <w:rsid w:val="00946E51"/>
    <w:rsid w:val="009473F4"/>
    <w:rsid w:val="00950231"/>
    <w:rsid w:val="00950794"/>
    <w:rsid w:val="009507AA"/>
    <w:rsid w:val="009509EF"/>
    <w:rsid w:val="00951691"/>
    <w:rsid w:val="00951738"/>
    <w:rsid w:val="00951FCE"/>
    <w:rsid w:val="0095226C"/>
    <w:rsid w:val="00952B6C"/>
    <w:rsid w:val="00952C05"/>
    <w:rsid w:val="00953739"/>
    <w:rsid w:val="009540B7"/>
    <w:rsid w:val="009543D0"/>
    <w:rsid w:val="00954DAE"/>
    <w:rsid w:val="00955410"/>
    <w:rsid w:val="009557C9"/>
    <w:rsid w:val="009558EE"/>
    <w:rsid w:val="009559D5"/>
    <w:rsid w:val="00956170"/>
    <w:rsid w:val="00956D42"/>
    <w:rsid w:val="009570CB"/>
    <w:rsid w:val="0095727F"/>
    <w:rsid w:val="009572AF"/>
    <w:rsid w:val="00957E41"/>
    <w:rsid w:val="009607AB"/>
    <w:rsid w:val="00960863"/>
    <w:rsid w:val="009615DB"/>
    <w:rsid w:val="00962683"/>
    <w:rsid w:val="00962E23"/>
    <w:rsid w:val="0096487C"/>
    <w:rsid w:val="00964BC2"/>
    <w:rsid w:val="00964D4A"/>
    <w:rsid w:val="00964EAE"/>
    <w:rsid w:val="00965023"/>
    <w:rsid w:val="009650B7"/>
    <w:rsid w:val="00965841"/>
    <w:rsid w:val="00966623"/>
    <w:rsid w:val="009678DB"/>
    <w:rsid w:val="00970728"/>
    <w:rsid w:val="009707C9"/>
    <w:rsid w:val="009708C7"/>
    <w:rsid w:val="00972FB5"/>
    <w:rsid w:val="00973362"/>
    <w:rsid w:val="009736FE"/>
    <w:rsid w:val="00973B96"/>
    <w:rsid w:val="00973E3C"/>
    <w:rsid w:val="0097411B"/>
    <w:rsid w:val="00974763"/>
    <w:rsid w:val="009757CA"/>
    <w:rsid w:val="00975E6D"/>
    <w:rsid w:val="00976E76"/>
    <w:rsid w:val="00977A14"/>
    <w:rsid w:val="00977E9B"/>
    <w:rsid w:val="009800F1"/>
    <w:rsid w:val="009807BF"/>
    <w:rsid w:val="009809CE"/>
    <w:rsid w:val="00980F72"/>
    <w:rsid w:val="00981183"/>
    <w:rsid w:val="00981479"/>
    <w:rsid w:val="009816B2"/>
    <w:rsid w:val="009829B3"/>
    <w:rsid w:val="00982D45"/>
    <w:rsid w:val="009833C4"/>
    <w:rsid w:val="009834E0"/>
    <w:rsid w:val="00984909"/>
    <w:rsid w:val="00984C9E"/>
    <w:rsid w:val="00984FF3"/>
    <w:rsid w:val="00984FF9"/>
    <w:rsid w:val="009850C5"/>
    <w:rsid w:val="00986326"/>
    <w:rsid w:val="00986849"/>
    <w:rsid w:val="00986BB7"/>
    <w:rsid w:val="00986D4B"/>
    <w:rsid w:val="00986EE4"/>
    <w:rsid w:val="00986F6D"/>
    <w:rsid w:val="0098727C"/>
    <w:rsid w:val="00987708"/>
    <w:rsid w:val="0098797E"/>
    <w:rsid w:val="00987DF0"/>
    <w:rsid w:val="00987E2E"/>
    <w:rsid w:val="0099008B"/>
    <w:rsid w:val="009911C0"/>
    <w:rsid w:val="009916D9"/>
    <w:rsid w:val="0099177B"/>
    <w:rsid w:val="0099367E"/>
    <w:rsid w:val="00993FE4"/>
    <w:rsid w:val="0099425E"/>
    <w:rsid w:val="00994CDC"/>
    <w:rsid w:val="00994E6F"/>
    <w:rsid w:val="00994EB7"/>
    <w:rsid w:val="00996723"/>
    <w:rsid w:val="00996783"/>
    <w:rsid w:val="0099770A"/>
    <w:rsid w:val="00997769"/>
    <w:rsid w:val="00997A2E"/>
    <w:rsid w:val="009A02F2"/>
    <w:rsid w:val="009A048E"/>
    <w:rsid w:val="009A091C"/>
    <w:rsid w:val="009A0CE1"/>
    <w:rsid w:val="009A102F"/>
    <w:rsid w:val="009A119F"/>
    <w:rsid w:val="009A1609"/>
    <w:rsid w:val="009A1A7E"/>
    <w:rsid w:val="009A2D9F"/>
    <w:rsid w:val="009A37B7"/>
    <w:rsid w:val="009A3DB8"/>
    <w:rsid w:val="009A43B3"/>
    <w:rsid w:val="009A464D"/>
    <w:rsid w:val="009A496F"/>
    <w:rsid w:val="009A4B78"/>
    <w:rsid w:val="009A4C68"/>
    <w:rsid w:val="009A4D73"/>
    <w:rsid w:val="009A4E41"/>
    <w:rsid w:val="009A5297"/>
    <w:rsid w:val="009A5D40"/>
    <w:rsid w:val="009A5E10"/>
    <w:rsid w:val="009A6665"/>
    <w:rsid w:val="009A743F"/>
    <w:rsid w:val="009A74F7"/>
    <w:rsid w:val="009B00F2"/>
    <w:rsid w:val="009B1113"/>
    <w:rsid w:val="009B1C34"/>
    <w:rsid w:val="009B1D22"/>
    <w:rsid w:val="009B1E86"/>
    <w:rsid w:val="009B27C4"/>
    <w:rsid w:val="009B2A78"/>
    <w:rsid w:val="009B2B8C"/>
    <w:rsid w:val="009B2D92"/>
    <w:rsid w:val="009B3250"/>
    <w:rsid w:val="009B4016"/>
    <w:rsid w:val="009B42D2"/>
    <w:rsid w:val="009B4A06"/>
    <w:rsid w:val="009B5B28"/>
    <w:rsid w:val="009B737C"/>
    <w:rsid w:val="009B742E"/>
    <w:rsid w:val="009C0AC6"/>
    <w:rsid w:val="009C11B2"/>
    <w:rsid w:val="009C1456"/>
    <w:rsid w:val="009C1E53"/>
    <w:rsid w:val="009C22DD"/>
    <w:rsid w:val="009C2388"/>
    <w:rsid w:val="009C359E"/>
    <w:rsid w:val="009C35A2"/>
    <w:rsid w:val="009C37FE"/>
    <w:rsid w:val="009C4082"/>
    <w:rsid w:val="009C4A38"/>
    <w:rsid w:val="009C55E2"/>
    <w:rsid w:val="009C5A4E"/>
    <w:rsid w:val="009C5EE5"/>
    <w:rsid w:val="009C61E3"/>
    <w:rsid w:val="009C61E7"/>
    <w:rsid w:val="009C6B56"/>
    <w:rsid w:val="009C7C11"/>
    <w:rsid w:val="009C7DB8"/>
    <w:rsid w:val="009D010D"/>
    <w:rsid w:val="009D0244"/>
    <w:rsid w:val="009D0299"/>
    <w:rsid w:val="009D0F71"/>
    <w:rsid w:val="009D111C"/>
    <w:rsid w:val="009D17A0"/>
    <w:rsid w:val="009D181A"/>
    <w:rsid w:val="009D1F7A"/>
    <w:rsid w:val="009D2873"/>
    <w:rsid w:val="009D36AD"/>
    <w:rsid w:val="009D3A1A"/>
    <w:rsid w:val="009D426A"/>
    <w:rsid w:val="009D582A"/>
    <w:rsid w:val="009D6685"/>
    <w:rsid w:val="009D6B03"/>
    <w:rsid w:val="009D6B3D"/>
    <w:rsid w:val="009D7422"/>
    <w:rsid w:val="009D78E7"/>
    <w:rsid w:val="009E0742"/>
    <w:rsid w:val="009E0CA7"/>
    <w:rsid w:val="009E1291"/>
    <w:rsid w:val="009E12BC"/>
    <w:rsid w:val="009E1BBB"/>
    <w:rsid w:val="009E224D"/>
    <w:rsid w:val="009E2A07"/>
    <w:rsid w:val="009E3398"/>
    <w:rsid w:val="009E3E84"/>
    <w:rsid w:val="009E4097"/>
    <w:rsid w:val="009E46EF"/>
    <w:rsid w:val="009E4D8E"/>
    <w:rsid w:val="009E4E90"/>
    <w:rsid w:val="009E4EB7"/>
    <w:rsid w:val="009E57C1"/>
    <w:rsid w:val="009E5BC3"/>
    <w:rsid w:val="009E624A"/>
    <w:rsid w:val="009E6B32"/>
    <w:rsid w:val="009E70F3"/>
    <w:rsid w:val="009E7E98"/>
    <w:rsid w:val="009F00EE"/>
    <w:rsid w:val="009F06C5"/>
    <w:rsid w:val="009F0827"/>
    <w:rsid w:val="009F0BED"/>
    <w:rsid w:val="009F1673"/>
    <w:rsid w:val="009F1FE1"/>
    <w:rsid w:val="009F31B9"/>
    <w:rsid w:val="009F3255"/>
    <w:rsid w:val="009F34AA"/>
    <w:rsid w:val="009F3DCE"/>
    <w:rsid w:val="009F3FC7"/>
    <w:rsid w:val="009F44FF"/>
    <w:rsid w:val="009F472D"/>
    <w:rsid w:val="009F4CF0"/>
    <w:rsid w:val="009F4E88"/>
    <w:rsid w:val="009F50D1"/>
    <w:rsid w:val="009F55EB"/>
    <w:rsid w:val="009F573B"/>
    <w:rsid w:val="009F5918"/>
    <w:rsid w:val="009F596D"/>
    <w:rsid w:val="009F5AD1"/>
    <w:rsid w:val="009F6A91"/>
    <w:rsid w:val="009F71AA"/>
    <w:rsid w:val="009F754A"/>
    <w:rsid w:val="009F791F"/>
    <w:rsid w:val="009F7E30"/>
    <w:rsid w:val="009F7F86"/>
    <w:rsid w:val="00A0034D"/>
    <w:rsid w:val="00A00BFB"/>
    <w:rsid w:val="00A00DCF"/>
    <w:rsid w:val="00A00FF9"/>
    <w:rsid w:val="00A0187E"/>
    <w:rsid w:val="00A026F0"/>
    <w:rsid w:val="00A028F1"/>
    <w:rsid w:val="00A02D4E"/>
    <w:rsid w:val="00A02F2D"/>
    <w:rsid w:val="00A02F61"/>
    <w:rsid w:val="00A03E0E"/>
    <w:rsid w:val="00A040D1"/>
    <w:rsid w:val="00A04A0A"/>
    <w:rsid w:val="00A050A8"/>
    <w:rsid w:val="00A056A3"/>
    <w:rsid w:val="00A06286"/>
    <w:rsid w:val="00A06318"/>
    <w:rsid w:val="00A063BC"/>
    <w:rsid w:val="00A0711F"/>
    <w:rsid w:val="00A07A5A"/>
    <w:rsid w:val="00A07B0B"/>
    <w:rsid w:val="00A100E4"/>
    <w:rsid w:val="00A102A0"/>
    <w:rsid w:val="00A114FA"/>
    <w:rsid w:val="00A11AF3"/>
    <w:rsid w:val="00A11B6D"/>
    <w:rsid w:val="00A12C09"/>
    <w:rsid w:val="00A13084"/>
    <w:rsid w:val="00A13817"/>
    <w:rsid w:val="00A14DB0"/>
    <w:rsid w:val="00A15F4F"/>
    <w:rsid w:val="00A15FDA"/>
    <w:rsid w:val="00A160AB"/>
    <w:rsid w:val="00A16745"/>
    <w:rsid w:val="00A16747"/>
    <w:rsid w:val="00A16E66"/>
    <w:rsid w:val="00A17750"/>
    <w:rsid w:val="00A20582"/>
    <w:rsid w:val="00A20C65"/>
    <w:rsid w:val="00A21767"/>
    <w:rsid w:val="00A21FD5"/>
    <w:rsid w:val="00A22751"/>
    <w:rsid w:val="00A22940"/>
    <w:rsid w:val="00A229F2"/>
    <w:rsid w:val="00A2343F"/>
    <w:rsid w:val="00A2428B"/>
    <w:rsid w:val="00A243E0"/>
    <w:rsid w:val="00A247E5"/>
    <w:rsid w:val="00A24D81"/>
    <w:rsid w:val="00A24EA5"/>
    <w:rsid w:val="00A25173"/>
    <w:rsid w:val="00A252F0"/>
    <w:rsid w:val="00A258C0"/>
    <w:rsid w:val="00A26463"/>
    <w:rsid w:val="00A2660E"/>
    <w:rsid w:val="00A26916"/>
    <w:rsid w:val="00A26B47"/>
    <w:rsid w:val="00A26B93"/>
    <w:rsid w:val="00A26FF1"/>
    <w:rsid w:val="00A27806"/>
    <w:rsid w:val="00A3068C"/>
    <w:rsid w:val="00A3127F"/>
    <w:rsid w:val="00A31BCC"/>
    <w:rsid w:val="00A325BB"/>
    <w:rsid w:val="00A3297A"/>
    <w:rsid w:val="00A32A58"/>
    <w:rsid w:val="00A32EEC"/>
    <w:rsid w:val="00A336C5"/>
    <w:rsid w:val="00A35751"/>
    <w:rsid w:val="00A3577F"/>
    <w:rsid w:val="00A35BBC"/>
    <w:rsid w:val="00A36724"/>
    <w:rsid w:val="00A367AF"/>
    <w:rsid w:val="00A36C13"/>
    <w:rsid w:val="00A3779D"/>
    <w:rsid w:val="00A37A31"/>
    <w:rsid w:val="00A40391"/>
    <w:rsid w:val="00A40B4D"/>
    <w:rsid w:val="00A411E2"/>
    <w:rsid w:val="00A41373"/>
    <w:rsid w:val="00A413F5"/>
    <w:rsid w:val="00A41B15"/>
    <w:rsid w:val="00A4224E"/>
    <w:rsid w:val="00A42ACA"/>
    <w:rsid w:val="00A43AAB"/>
    <w:rsid w:val="00A44AAD"/>
    <w:rsid w:val="00A45280"/>
    <w:rsid w:val="00A45BF7"/>
    <w:rsid w:val="00A463B5"/>
    <w:rsid w:val="00A463BA"/>
    <w:rsid w:val="00A46675"/>
    <w:rsid w:val="00A471A3"/>
    <w:rsid w:val="00A47E44"/>
    <w:rsid w:val="00A47F91"/>
    <w:rsid w:val="00A50A5C"/>
    <w:rsid w:val="00A50A64"/>
    <w:rsid w:val="00A50CC3"/>
    <w:rsid w:val="00A50CC6"/>
    <w:rsid w:val="00A50E40"/>
    <w:rsid w:val="00A51946"/>
    <w:rsid w:val="00A51FF7"/>
    <w:rsid w:val="00A52143"/>
    <w:rsid w:val="00A521E9"/>
    <w:rsid w:val="00A5298E"/>
    <w:rsid w:val="00A52B3E"/>
    <w:rsid w:val="00A5320E"/>
    <w:rsid w:val="00A53F7B"/>
    <w:rsid w:val="00A54282"/>
    <w:rsid w:val="00A549D3"/>
    <w:rsid w:val="00A54DF0"/>
    <w:rsid w:val="00A60149"/>
    <w:rsid w:val="00A60849"/>
    <w:rsid w:val="00A61355"/>
    <w:rsid w:val="00A628F8"/>
    <w:rsid w:val="00A62B7A"/>
    <w:rsid w:val="00A632EA"/>
    <w:rsid w:val="00A634BE"/>
    <w:rsid w:val="00A63AD7"/>
    <w:rsid w:val="00A63BFD"/>
    <w:rsid w:val="00A6491F"/>
    <w:rsid w:val="00A64C72"/>
    <w:rsid w:val="00A64D1A"/>
    <w:rsid w:val="00A65320"/>
    <w:rsid w:val="00A65BA5"/>
    <w:rsid w:val="00A65DD5"/>
    <w:rsid w:val="00A66354"/>
    <w:rsid w:val="00A66645"/>
    <w:rsid w:val="00A66E37"/>
    <w:rsid w:val="00A67913"/>
    <w:rsid w:val="00A67E38"/>
    <w:rsid w:val="00A703E4"/>
    <w:rsid w:val="00A70DC6"/>
    <w:rsid w:val="00A71986"/>
    <w:rsid w:val="00A71A50"/>
    <w:rsid w:val="00A71E73"/>
    <w:rsid w:val="00A72179"/>
    <w:rsid w:val="00A72740"/>
    <w:rsid w:val="00A7287D"/>
    <w:rsid w:val="00A7304C"/>
    <w:rsid w:val="00A73A64"/>
    <w:rsid w:val="00A742AD"/>
    <w:rsid w:val="00A75349"/>
    <w:rsid w:val="00A75A46"/>
    <w:rsid w:val="00A75B36"/>
    <w:rsid w:val="00A7663A"/>
    <w:rsid w:val="00A768AE"/>
    <w:rsid w:val="00A769D4"/>
    <w:rsid w:val="00A76C47"/>
    <w:rsid w:val="00A804C7"/>
    <w:rsid w:val="00A80A39"/>
    <w:rsid w:val="00A80DF0"/>
    <w:rsid w:val="00A80E64"/>
    <w:rsid w:val="00A82062"/>
    <w:rsid w:val="00A825C8"/>
    <w:rsid w:val="00A82742"/>
    <w:rsid w:val="00A83984"/>
    <w:rsid w:val="00A83A1E"/>
    <w:rsid w:val="00A84198"/>
    <w:rsid w:val="00A841AB"/>
    <w:rsid w:val="00A86104"/>
    <w:rsid w:val="00A8655A"/>
    <w:rsid w:val="00A86844"/>
    <w:rsid w:val="00A87203"/>
    <w:rsid w:val="00A872B3"/>
    <w:rsid w:val="00A87626"/>
    <w:rsid w:val="00A87744"/>
    <w:rsid w:val="00A87841"/>
    <w:rsid w:val="00A87B09"/>
    <w:rsid w:val="00A87C22"/>
    <w:rsid w:val="00A90CB4"/>
    <w:rsid w:val="00A910DA"/>
    <w:rsid w:val="00A920E1"/>
    <w:rsid w:val="00A933AE"/>
    <w:rsid w:val="00A93863"/>
    <w:rsid w:val="00A9415E"/>
    <w:rsid w:val="00A94DB4"/>
    <w:rsid w:val="00A94EBD"/>
    <w:rsid w:val="00A9510D"/>
    <w:rsid w:val="00A956AC"/>
    <w:rsid w:val="00A95D2A"/>
    <w:rsid w:val="00A96214"/>
    <w:rsid w:val="00A97F4B"/>
    <w:rsid w:val="00AA04C5"/>
    <w:rsid w:val="00AA18AD"/>
    <w:rsid w:val="00AA2803"/>
    <w:rsid w:val="00AA2D68"/>
    <w:rsid w:val="00AA2D6F"/>
    <w:rsid w:val="00AA3B68"/>
    <w:rsid w:val="00AA3E79"/>
    <w:rsid w:val="00AA4FB4"/>
    <w:rsid w:val="00AA53A2"/>
    <w:rsid w:val="00AA5C0B"/>
    <w:rsid w:val="00AA5E3B"/>
    <w:rsid w:val="00AA6376"/>
    <w:rsid w:val="00AA65B4"/>
    <w:rsid w:val="00AA745E"/>
    <w:rsid w:val="00AB04AB"/>
    <w:rsid w:val="00AB0733"/>
    <w:rsid w:val="00AB09D2"/>
    <w:rsid w:val="00AB0B64"/>
    <w:rsid w:val="00AB13E1"/>
    <w:rsid w:val="00AB176B"/>
    <w:rsid w:val="00AB1FE2"/>
    <w:rsid w:val="00AB2242"/>
    <w:rsid w:val="00AB289B"/>
    <w:rsid w:val="00AB37E6"/>
    <w:rsid w:val="00AB431C"/>
    <w:rsid w:val="00AB470E"/>
    <w:rsid w:val="00AB4E45"/>
    <w:rsid w:val="00AB5A7E"/>
    <w:rsid w:val="00AB6D50"/>
    <w:rsid w:val="00AB6EB8"/>
    <w:rsid w:val="00AB7538"/>
    <w:rsid w:val="00AB77F3"/>
    <w:rsid w:val="00AC0978"/>
    <w:rsid w:val="00AC0AAD"/>
    <w:rsid w:val="00AC1231"/>
    <w:rsid w:val="00AC1992"/>
    <w:rsid w:val="00AC1E14"/>
    <w:rsid w:val="00AC21AB"/>
    <w:rsid w:val="00AC2CFA"/>
    <w:rsid w:val="00AC3263"/>
    <w:rsid w:val="00AC3E12"/>
    <w:rsid w:val="00AC4193"/>
    <w:rsid w:val="00AC430C"/>
    <w:rsid w:val="00AC540C"/>
    <w:rsid w:val="00AC5C19"/>
    <w:rsid w:val="00AC6657"/>
    <w:rsid w:val="00AC6D7A"/>
    <w:rsid w:val="00AC7363"/>
    <w:rsid w:val="00AC7401"/>
    <w:rsid w:val="00AC7901"/>
    <w:rsid w:val="00AC79F3"/>
    <w:rsid w:val="00AC7FDD"/>
    <w:rsid w:val="00AD0949"/>
    <w:rsid w:val="00AD0F1D"/>
    <w:rsid w:val="00AD1359"/>
    <w:rsid w:val="00AD19F0"/>
    <w:rsid w:val="00AD1FCE"/>
    <w:rsid w:val="00AD26E1"/>
    <w:rsid w:val="00AD29B4"/>
    <w:rsid w:val="00AD29CC"/>
    <w:rsid w:val="00AD3212"/>
    <w:rsid w:val="00AD321B"/>
    <w:rsid w:val="00AD3DE2"/>
    <w:rsid w:val="00AD4261"/>
    <w:rsid w:val="00AD46F5"/>
    <w:rsid w:val="00AD51A3"/>
    <w:rsid w:val="00AD5AC7"/>
    <w:rsid w:val="00AD5EE2"/>
    <w:rsid w:val="00AD7154"/>
    <w:rsid w:val="00AD797D"/>
    <w:rsid w:val="00AD7C22"/>
    <w:rsid w:val="00AE0483"/>
    <w:rsid w:val="00AE0E8D"/>
    <w:rsid w:val="00AE13BD"/>
    <w:rsid w:val="00AE1AF9"/>
    <w:rsid w:val="00AE1E60"/>
    <w:rsid w:val="00AE2258"/>
    <w:rsid w:val="00AE277E"/>
    <w:rsid w:val="00AE2BC6"/>
    <w:rsid w:val="00AE3251"/>
    <w:rsid w:val="00AE5058"/>
    <w:rsid w:val="00AE54AA"/>
    <w:rsid w:val="00AE6872"/>
    <w:rsid w:val="00AE72C4"/>
    <w:rsid w:val="00AE7F05"/>
    <w:rsid w:val="00AE7F38"/>
    <w:rsid w:val="00AF20BA"/>
    <w:rsid w:val="00AF24E7"/>
    <w:rsid w:val="00AF2507"/>
    <w:rsid w:val="00AF291B"/>
    <w:rsid w:val="00AF2DAA"/>
    <w:rsid w:val="00AF2EBD"/>
    <w:rsid w:val="00AF33AE"/>
    <w:rsid w:val="00AF4329"/>
    <w:rsid w:val="00AF44B1"/>
    <w:rsid w:val="00AF5800"/>
    <w:rsid w:val="00AF6986"/>
    <w:rsid w:val="00AF7003"/>
    <w:rsid w:val="00AF7128"/>
    <w:rsid w:val="00AF7836"/>
    <w:rsid w:val="00AF7D69"/>
    <w:rsid w:val="00AF7ED2"/>
    <w:rsid w:val="00B0038D"/>
    <w:rsid w:val="00B004D8"/>
    <w:rsid w:val="00B00775"/>
    <w:rsid w:val="00B00CC5"/>
    <w:rsid w:val="00B01247"/>
    <w:rsid w:val="00B02091"/>
    <w:rsid w:val="00B02B43"/>
    <w:rsid w:val="00B03D36"/>
    <w:rsid w:val="00B043DC"/>
    <w:rsid w:val="00B05116"/>
    <w:rsid w:val="00B051A7"/>
    <w:rsid w:val="00B05B75"/>
    <w:rsid w:val="00B05F1A"/>
    <w:rsid w:val="00B07370"/>
    <w:rsid w:val="00B07414"/>
    <w:rsid w:val="00B07B33"/>
    <w:rsid w:val="00B07FA2"/>
    <w:rsid w:val="00B100CF"/>
    <w:rsid w:val="00B10E82"/>
    <w:rsid w:val="00B111A6"/>
    <w:rsid w:val="00B118EE"/>
    <w:rsid w:val="00B11B03"/>
    <w:rsid w:val="00B11C5B"/>
    <w:rsid w:val="00B1201A"/>
    <w:rsid w:val="00B121CD"/>
    <w:rsid w:val="00B12343"/>
    <w:rsid w:val="00B1240A"/>
    <w:rsid w:val="00B12529"/>
    <w:rsid w:val="00B12B11"/>
    <w:rsid w:val="00B12B1B"/>
    <w:rsid w:val="00B13564"/>
    <w:rsid w:val="00B135AB"/>
    <w:rsid w:val="00B137BF"/>
    <w:rsid w:val="00B13A1B"/>
    <w:rsid w:val="00B158A3"/>
    <w:rsid w:val="00B15B25"/>
    <w:rsid w:val="00B15EA0"/>
    <w:rsid w:val="00B16D1D"/>
    <w:rsid w:val="00B17A4E"/>
    <w:rsid w:val="00B17B30"/>
    <w:rsid w:val="00B17C2F"/>
    <w:rsid w:val="00B17F47"/>
    <w:rsid w:val="00B2153E"/>
    <w:rsid w:val="00B21FA7"/>
    <w:rsid w:val="00B22022"/>
    <w:rsid w:val="00B225E4"/>
    <w:rsid w:val="00B23D2D"/>
    <w:rsid w:val="00B23F7A"/>
    <w:rsid w:val="00B240B1"/>
    <w:rsid w:val="00B24208"/>
    <w:rsid w:val="00B248A9"/>
    <w:rsid w:val="00B24D28"/>
    <w:rsid w:val="00B24F1C"/>
    <w:rsid w:val="00B25D76"/>
    <w:rsid w:val="00B27032"/>
    <w:rsid w:val="00B27CE5"/>
    <w:rsid w:val="00B30003"/>
    <w:rsid w:val="00B31201"/>
    <w:rsid w:val="00B312C4"/>
    <w:rsid w:val="00B31B4B"/>
    <w:rsid w:val="00B31E36"/>
    <w:rsid w:val="00B32D83"/>
    <w:rsid w:val="00B32E26"/>
    <w:rsid w:val="00B338B7"/>
    <w:rsid w:val="00B34441"/>
    <w:rsid w:val="00B35534"/>
    <w:rsid w:val="00B35AFD"/>
    <w:rsid w:val="00B35F9A"/>
    <w:rsid w:val="00B36449"/>
    <w:rsid w:val="00B3662E"/>
    <w:rsid w:val="00B366D2"/>
    <w:rsid w:val="00B366FA"/>
    <w:rsid w:val="00B36E86"/>
    <w:rsid w:val="00B379BA"/>
    <w:rsid w:val="00B40FDF"/>
    <w:rsid w:val="00B412FD"/>
    <w:rsid w:val="00B41FF2"/>
    <w:rsid w:val="00B422BE"/>
    <w:rsid w:val="00B4241D"/>
    <w:rsid w:val="00B426BB"/>
    <w:rsid w:val="00B42EB9"/>
    <w:rsid w:val="00B441FE"/>
    <w:rsid w:val="00B44821"/>
    <w:rsid w:val="00B44AD3"/>
    <w:rsid w:val="00B44EF3"/>
    <w:rsid w:val="00B45E54"/>
    <w:rsid w:val="00B464E4"/>
    <w:rsid w:val="00B46D5F"/>
    <w:rsid w:val="00B476AF"/>
    <w:rsid w:val="00B47DC5"/>
    <w:rsid w:val="00B47E0A"/>
    <w:rsid w:val="00B5019C"/>
    <w:rsid w:val="00B505B3"/>
    <w:rsid w:val="00B508B1"/>
    <w:rsid w:val="00B50A74"/>
    <w:rsid w:val="00B520A0"/>
    <w:rsid w:val="00B525CE"/>
    <w:rsid w:val="00B52CFD"/>
    <w:rsid w:val="00B545A8"/>
    <w:rsid w:val="00B56527"/>
    <w:rsid w:val="00B56ABC"/>
    <w:rsid w:val="00B576DA"/>
    <w:rsid w:val="00B57710"/>
    <w:rsid w:val="00B57DEC"/>
    <w:rsid w:val="00B57E89"/>
    <w:rsid w:val="00B601C9"/>
    <w:rsid w:val="00B60D04"/>
    <w:rsid w:val="00B61EE8"/>
    <w:rsid w:val="00B63533"/>
    <w:rsid w:val="00B63BDB"/>
    <w:rsid w:val="00B646CF"/>
    <w:rsid w:val="00B64A0E"/>
    <w:rsid w:val="00B64DDF"/>
    <w:rsid w:val="00B6601E"/>
    <w:rsid w:val="00B663AA"/>
    <w:rsid w:val="00B66DD5"/>
    <w:rsid w:val="00B6771C"/>
    <w:rsid w:val="00B67B97"/>
    <w:rsid w:val="00B67F01"/>
    <w:rsid w:val="00B70327"/>
    <w:rsid w:val="00B707B1"/>
    <w:rsid w:val="00B709EE"/>
    <w:rsid w:val="00B711AB"/>
    <w:rsid w:val="00B71238"/>
    <w:rsid w:val="00B714F0"/>
    <w:rsid w:val="00B71A40"/>
    <w:rsid w:val="00B71CB4"/>
    <w:rsid w:val="00B71D87"/>
    <w:rsid w:val="00B725E7"/>
    <w:rsid w:val="00B72C07"/>
    <w:rsid w:val="00B72DF7"/>
    <w:rsid w:val="00B72F42"/>
    <w:rsid w:val="00B731FF"/>
    <w:rsid w:val="00B73E44"/>
    <w:rsid w:val="00B74290"/>
    <w:rsid w:val="00B74BD4"/>
    <w:rsid w:val="00B74BF7"/>
    <w:rsid w:val="00B74C85"/>
    <w:rsid w:val="00B74D78"/>
    <w:rsid w:val="00B759A4"/>
    <w:rsid w:val="00B76185"/>
    <w:rsid w:val="00B76BCD"/>
    <w:rsid w:val="00B80C37"/>
    <w:rsid w:val="00B811B2"/>
    <w:rsid w:val="00B83A09"/>
    <w:rsid w:val="00B83A62"/>
    <w:rsid w:val="00B84252"/>
    <w:rsid w:val="00B8468F"/>
    <w:rsid w:val="00B84FC6"/>
    <w:rsid w:val="00B85625"/>
    <w:rsid w:val="00B857F5"/>
    <w:rsid w:val="00B86D6C"/>
    <w:rsid w:val="00B86F53"/>
    <w:rsid w:val="00B874B4"/>
    <w:rsid w:val="00B87887"/>
    <w:rsid w:val="00B87EDD"/>
    <w:rsid w:val="00B90123"/>
    <w:rsid w:val="00B90196"/>
    <w:rsid w:val="00B911C1"/>
    <w:rsid w:val="00B91DF9"/>
    <w:rsid w:val="00B922C3"/>
    <w:rsid w:val="00B9272E"/>
    <w:rsid w:val="00B92B9E"/>
    <w:rsid w:val="00B93519"/>
    <w:rsid w:val="00B9368D"/>
    <w:rsid w:val="00B94194"/>
    <w:rsid w:val="00B9425C"/>
    <w:rsid w:val="00B94AAF"/>
    <w:rsid w:val="00B953FF"/>
    <w:rsid w:val="00B95814"/>
    <w:rsid w:val="00B9622D"/>
    <w:rsid w:val="00B96263"/>
    <w:rsid w:val="00B968A5"/>
    <w:rsid w:val="00B970AE"/>
    <w:rsid w:val="00B972CD"/>
    <w:rsid w:val="00B97D02"/>
    <w:rsid w:val="00BA0304"/>
    <w:rsid w:val="00BA3038"/>
    <w:rsid w:val="00BA3F9A"/>
    <w:rsid w:val="00BA4046"/>
    <w:rsid w:val="00BA43C6"/>
    <w:rsid w:val="00BA48BC"/>
    <w:rsid w:val="00BA4A29"/>
    <w:rsid w:val="00BA4A64"/>
    <w:rsid w:val="00BA4BE7"/>
    <w:rsid w:val="00BA68D9"/>
    <w:rsid w:val="00BA7172"/>
    <w:rsid w:val="00BA728F"/>
    <w:rsid w:val="00BA7B01"/>
    <w:rsid w:val="00BB1031"/>
    <w:rsid w:val="00BB1B33"/>
    <w:rsid w:val="00BB2480"/>
    <w:rsid w:val="00BB2C4E"/>
    <w:rsid w:val="00BB2E29"/>
    <w:rsid w:val="00BB2F74"/>
    <w:rsid w:val="00BB3206"/>
    <w:rsid w:val="00BB3A35"/>
    <w:rsid w:val="00BB3B0D"/>
    <w:rsid w:val="00BB3E57"/>
    <w:rsid w:val="00BB44AA"/>
    <w:rsid w:val="00BB49A8"/>
    <w:rsid w:val="00BB524C"/>
    <w:rsid w:val="00BB5DAB"/>
    <w:rsid w:val="00BB6195"/>
    <w:rsid w:val="00BB61A3"/>
    <w:rsid w:val="00BB707E"/>
    <w:rsid w:val="00BB7127"/>
    <w:rsid w:val="00BC007C"/>
    <w:rsid w:val="00BC097A"/>
    <w:rsid w:val="00BC0AB2"/>
    <w:rsid w:val="00BC1308"/>
    <w:rsid w:val="00BC1DF7"/>
    <w:rsid w:val="00BC2600"/>
    <w:rsid w:val="00BC2F24"/>
    <w:rsid w:val="00BC33BE"/>
    <w:rsid w:val="00BC3A47"/>
    <w:rsid w:val="00BC3EEB"/>
    <w:rsid w:val="00BC4780"/>
    <w:rsid w:val="00BC52C8"/>
    <w:rsid w:val="00BC5409"/>
    <w:rsid w:val="00BC549C"/>
    <w:rsid w:val="00BC5A6C"/>
    <w:rsid w:val="00BC5B4B"/>
    <w:rsid w:val="00BC5EDB"/>
    <w:rsid w:val="00BC69A2"/>
    <w:rsid w:val="00BC6FA1"/>
    <w:rsid w:val="00BD0570"/>
    <w:rsid w:val="00BD112D"/>
    <w:rsid w:val="00BD214E"/>
    <w:rsid w:val="00BD2842"/>
    <w:rsid w:val="00BD3120"/>
    <w:rsid w:val="00BD3354"/>
    <w:rsid w:val="00BD384E"/>
    <w:rsid w:val="00BD3E76"/>
    <w:rsid w:val="00BD3EE2"/>
    <w:rsid w:val="00BD3FCF"/>
    <w:rsid w:val="00BD42D2"/>
    <w:rsid w:val="00BD4E3B"/>
    <w:rsid w:val="00BD4EFB"/>
    <w:rsid w:val="00BD5551"/>
    <w:rsid w:val="00BD613E"/>
    <w:rsid w:val="00BD68E3"/>
    <w:rsid w:val="00BD6CCB"/>
    <w:rsid w:val="00BD7090"/>
    <w:rsid w:val="00BE0C27"/>
    <w:rsid w:val="00BE15BB"/>
    <w:rsid w:val="00BE198F"/>
    <w:rsid w:val="00BE660B"/>
    <w:rsid w:val="00BE6AFE"/>
    <w:rsid w:val="00BE6BBE"/>
    <w:rsid w:val="00BE72B0"/>
    <w:rsid w:val="00BE7300"/>
    <w:rsid w:val="00BE73E0"/>
    <w:rsid w:val="00BE784F"/>
    <w:rsid w:val="00BF0238"/>
    <w:rsid w:val="00BF0717"/>
    <w:rsid w:val="00BF0FC1"/>
    <w:rsid w:val="00BF1750"/>
    <w:rsid w:val="00BF189F"/>
    <w:rsid w:val="00BF194C"/>
    <w:rsid w:val="00BF1F01"/>
    <w:rsid w:val="00BF23CC"/>
    <w:rsid w:val="00BF243F"/>
    <w:rsid w:val="00BF4C2B"/>
    <w:rsid w:val="00BF53F1"/>
    <w:rsid w:val="00BF5717"/>
    <w:rsid w:val="00BF5F1F"/>
    <w:rsid w:val="00BF5FA3"/>
    <w:rsid w:val="00BF62F2"/>
    <w:rsid w:val="00BF63A5"/>
    <w:rsid w:val="00BF6BA5"/>
    <w:rsid w:val="00BF6BAC"/>
    <w:rsid w:val="00BF72A7"/>
    <w:rsid w:val="00BF7558"/>
    <w:rsid w:val="00BF7613"/>
    <w:rsid w:val="00BF7D42"/>
    <w:rsid w:val="00C0111E"/>
    <w:rsid w:val="00C02676"/>
    <w:rsid w:val="00C0277D"/>
    <w:rsid w:val="00C029AB"/>
    <w:rsid w:val="00C0338C"/>
    <w:rsid w:val="00C03BD5"/>
    <w:rsid w:val="00C03C8B"/>
    <w:rsid w:val="00C03F3C"/>
    <w:rsid w:val="00C0404A"/>
    <w:rsid w:val="00C049BE"/>
    <w:rsid w:val="00C04A71"/>
    <w:rsid w:val="00C04DF0"/>
    <w:rsid w:val="00C05A4C"/>
    <w:rsid w:val="00C05A67"/>
    <w:rsid w:val="00C06610"/>
    <w:rsid w:val="00C066A8"/>
    <w:rsid w:val="00C06F47"/>
    <w:rsid w:val="00C071A2"/>
    <w:rsid w:val="00C10BC9"/>
    <w:rsid w:val="00C11113"/>
    <w:rsid w:val="00C11687"/>
    <w:rsid w:val="00C11E28"/>
    <w:rsid w:val="00C1225B"/>
    <w:rsid w:val="00C122F9"/>
    <w:rsid w:val="00C128C9"/>
    <w:rsid w:val="00C12CF3"/>
    <w:rsid w:val="00C12F88"/>
    <w:rsid w:val="00C131A8"/>
    <w:rsid w:val="00C1322D"/>
    <w:rsid w:val="00C135A3"/>
    <w:rsid w:val="00C14A62"/>
    <w:rsid w:val="00C158EB"/>
    <w:rsid w:val="00C159B1"/>
    <w:rsid w:val="00C161F5"/>
    <w:rsid w:val="00C16C92"/>
    <w:rsid w:val="00C1706B"/>
    <w:rsid w:val="00C17270"/>
    <w:rsid w:val="00C17842"/>
    <w:rsid w:val="00C17E48"/>
    <w:rsid w:val="00C201E7"/>
    <w:rsid w:val="00C209C0"/>
    <w:rsid w:val="00C20AA2"/>
    <w:rsid w:val="00C21155"/>
    <w:rsid w:val="00C2146C"/>
    <w:rsid w:val="00C214D7"/>
    <w:rsid w:val="00C217EE"/>
    <w:rsid w:val="00C22784"/>
    <w:rsid w:val="00C23A4C"/>
    <w:rsid w:val="00C243A4"/>
    <w:rsid w:val="00C248DB"/>
    <w:rsid w:val="00C26170"/>
    <w:rsid w:val="00C26D52"/>
    <w:rsid w:val="00C270D9"/>
    <w:rsid w:val="00C27608"/>
    <w:rsid w:val="00C303E4"/>
    <w:rsid w:val="00C303EB"/>
    <w:rsid w:val="00C30775"/>
    <w:rsid w:val="00C3134E"/>
    <w:rsid w:val="00C31C4A"/>
    <w:rsid w:val="00C32639"/>
    <w:rsid w:val="00C32AD2"/>
    <w:rsid w:val="00C3304B"/>
    <w:rsid w:val="00C33D0D"/>
    <w:rsid w:val="00C34003"/>
    <w:rsid w:val="00C347FD"/>
    <w:rsid w:val="00C34C5A"/>
    <w:rsid w:val="00C34DAE"/>
    <w:rsid w:val="00C34E1E"/>
    <w:rsid w:val="00C34E5A"/>
    <w:rsid w:val="00C35B18"/>
    <w:rsid w:val="00C3698E"/>
    <w:rsid w:val="00C36996"/>
    <w:rsid w:val="00C36CCA"/>
    <w:rsid w:val="00C36E1C"/>
    <w:rsid w:val="00C3718A"/>
    <w:rsid w:val="00C375B4"/>
    <w:rsid w:val="00C379C5"/>
    <w:rsid w:val="00C37EEE"/>
    <w:rsid w:val="00C40453"/>
    <w:rsid w:val="00C40E71"/>
    <w:rsid w:val="00C41778"/>
    <w:rsid w:val="00C41879"/>
    <w:rsid w:val="00C41A7C"/>
    <w:rsid w:val="00C41E9C"/>
    <w:rsid w:val="00C42CEF"/>
    <w:rsid w:val="00C432AE"/>
    <w:rsid w:val="00C4370E"/>
    <w:rsid w:val="00C43823"/>
    <w:rsid w:val="00C4384B"/>
    <w:rsid w:val="00C438CB"/>
    <w:rsid w:val="00C44068"/>
    <w:rsid w:val="00C442AE"/>
    <w:rsid w:val="00C458D6"/>
    <w:rsid w:val="00C466BF"/>
    <w:rsid w:val="00C47385"/>
    <w:rsid w:val="00C47555"/>
    <w:rsid w:val="00C476AC"/>
    <w:rsid w:val="00C47E67"/>
    <w:rsid w:val="00C50C1A"/>
    <w:rsid w:val="00C51508"/>
    <w:rsid w:val="00C51D73"/>
    <w:rsid w:val="00C52E97"/>
    <w:rsid w:val="00C53189"/>
    <w:rsid w:val="00C534F4"/>
    <w:rsid w:val="00C53552"/>
    <w:rsid w:val="00C53B15"/>
    <w:rsid w:val="00C54280"/>
    <w:rsid w:val="00C54929"/>
    <w:rsid w:val="00C556B1"/>
    <w:rsid w:val="00C55948"/>
    <w:rsid w:val="00C55A05"/>
    <w:rsid w:val="00C55E27"/>
    <w:rsid w:val="00C56101"/>
    <w:rsid w:val="00C565F2"/>
    <w:rsid w:val="00C57003"/>
    <w:rsid w:val="00C573CC"/>
    <w:rsid w:val="00C57B81"/>
    <w:rsid w:val="00C57FB9"/>
    <w:rsid w:val="00C60950"/>
    <w:rsid w:val="00C60DD1"/>
    <w:rsid w:val="00C61565"/>
    <w:rsid w:val="00C61574"/>
    <w:rsid w:val="00C615B4"/>
    <w:rsid w:val="00C6211D"/>
    <w:rsid w:val="00C62B32"/>
    <w:rsid w:val="00C639F3"/>
    <w:rsid w:val="00C63DED"/>
    <w:rsid w:val="00C64F97"/>
    <w:rsid w:val="00C65585"/>
    <w:rsid w:val="00C656EB"/>
    <w:rsid w:val="00C65713"/>
    <w:rsid w:val="00C65DF4"/>
    <w:rsid w:val="00C66440"/>
    <w:rsid w:val="00C6670D"/>
    <w:rsid w:val="00C66FF9"/>
    <w:rsid w:val="00C677BA"/>
    <w:rsid w:val="00C67D71"/>
    <w:rsid w:val="00C711F5"/>
    <w:rsid w:val="00C713A1"/>
    <w:rsid w:val="00C71683"/>
    <w:rsid w:val="00C71828"/>
    <w:rsid w:val="00C71FC8"/>
    <w:rsid w:val="00C72105"/>
    <w:rsid w:val="00C72F6D"/>
    <w:rsid w:val="00C74CE1"/>
    <w:rsid w:val="00C76028"/>
    <w:rsid w:val="00C76184"/>
    <w:rsid w:val="00C7662D"/>
    <w:rsid w:val="00C76A80"/>
    <w:rsid w:val="00C76C27"/>
    <w:rsid w:val="00C76F07"/>
    <w:rsid w:val="00C77251"/>
    <w:rsid w:val="00C77EF6"/>
    <w:rsid w:val="00C80598"/>
    <w:rsid w:val="00C80B4B"/>
    <w:rsid w:val="00C80D63"/>
    <w:rsid w:val="00C81BEA"/>
    <w:rsid w:val="00C81DF5"/>
    <w:rsid w:val="00C82188"/>
    <w:rsid w:val="00C8242B"/>
    <w:rsid w:val="00C82A50"/>
    <w:rsid w:val="00C83240"/>
    <w:rsid w:val="00C83607"/>
    <w:rsid w:val="00C83768"/>
    <w:rsid w:val="00C83B18"/>
    <w:rsid w:val="00C841B4"/>
    <w:rsid w:val="00C84266"/>
    <w:rsid w:val="00C849E0"/>
    <w:rsid w:val="00C84B74"/>
    <w:rsid w:val="00C8512A"/>
    <w:rsid w:val="00C85819"/>
    <w:rsid w:val="00C85970"/>
    <w:rsid w:val="00C874C8"/>
    <w:rsid w:val="00C90165"/>
    <w:rsid w:val="00C90733"/>
    <w:rsid w:val="00C91EBF"/>
    <w:rsid w:val="00C921C4"/>
    <w:rsid w:val="00C9257F"/>
    <w:rsid w:val="00C928AB"/>
    <w:rsid w:val="00C934F6"/>
    <w:rsid w:val="00C94FD2"/>
    <w:rsid w:val="00C95341"/>
    <w:rsid w:val="00C95B76"/>
    <w:rsid w:val="00C964C3"/>
    <w:rsid w:val="00C96635"/>
    <w:rsid w:val="00C969DB"/>
    <w:rsid w:val="00C969E8"/>
    <w:rsid w:val="00C97EE3"/>
    <w:rsid w:val="00CA12BA"/>
    <w:rsid w:val="00CA165C"/>
    <w:rsid w:val="00CA1C0D"/>
    <w:rsid w:val="00CA1DAE"/>
    <w:rsid w:val="00CA2267"/>
    <w:rsid w:val="00CA264D"/>
    <w:rsid w:val="00CA38AD"/>
    <w:rsid w:val="00CA4597"/>
    <w:rsid w:val="00CA5098"/>
    <w:rsid w:val="00CA5503"/>
    <w:rsid w:val="00CA6CAD"/>
    <w:rsid w:val="00CA6D4B"/>
    <w:rsid w:val="00CA70A8"/>
    <w:rsid w:val="00CA70D0"/>
    <w:rsid w:val="00CA74A4"/>
    <w:rsid w:val="00CA7683"/>
    <w:rsid w:val="00CA78AD"/>
    <w:rsid w:val="00CA7EA1"/>
    <w:rsid w:val="00CA7EEB"/>
    <w:rsid w:val="00CB009B"/>
    <w:rsid w:val="00CB0231"/>
    <w:rsid w:val="00CB1AFD"/>
    <w:rsid w:val="00CB1C08"/>
    <w:rsid w:val="00CB1DBA"/>
    <w:rsid w:val="00CB1EB3"/>
    <w:rsid w:val="00CB24AD"/>
    <w:rsid w:val="00CB2C59"/>
    <w:rsid w:val="00CB2CF8"/>
    <w:rsid w:val="00CB2D9C"/>
    <w:rsid w:val="00CB34AB"/>
    <w:rsid w:val="00CB3529"/>
    <w:rsid w:val="00CB3F2B"/>
    <w:rsid w:val="00CB4728"/>
    <w:rsid w:val="00CB4C5D"/>
    <w:rsid w:val="00CB54CA"/>
    <w:rsid w:val="00CB5E4A"/>
    <w:rsid w:val="00CB6FCA"/>
    <w:rsid w:val="00CB724D"/>
    <w:rsid w:val="00CB73EA"/>
    <w:rsid w:val="00CB793E"/>
    <w:rsid w:val="00CB7D4E"/>
    <w:rsid w:val="00CB7FEB"/>
    <w:rsid w:val="00CC002B"/>
    <w:rsid w:val="00CC06F7"/>
    <w:rsid w:val="00CC07E5"/>
    <w:rsid w:val="00CC09F0"/>
    <w:rsid w:val="00CC0C11"/>
    <w:rsid w:val="00CC0C6B"/>
    <w:rsid w:val="00CC233F"/>
    <w:rsid w:val="00CC27FD"/>
    <w:rsid w:val="00CC3AB9"/>
    <w:rsid w:val="00CC3C9E"/>
    <w:rsid w:val="00CC45E0"/>
    <w:rsid w:val="00CC4BC3"/>
    <w:rsid w:val="00CC50C7"/>
    <w:rsid w:val="00CC55AC"/>
    <w:rsid w:val="00CC5859"/>
    <w:rsid w:val="00CC6059"/>
    <w:rsid w:val="00CC72C0"/>
    <w:rsid w:val="00CC7329"/>
    <w:rsid w:val="00CC757D"/>
    <w:rsid w:val="00CD00DB"/>
    <w:rsid w:val="00CD0119"/>
    <w:rsid w:val="00CD03C4"/>
    <w:rsid w:val="00CD0866"/>
    <w:rsid w:val="00CD106E"/>
    <w:rsid w:val="00CD1169"/>
    <w:rsid w:val="00CD16C7"/>
    <w:rsid w:val="00CD1A40"/>
    <w:rsid w:val="00CD25F3"/>
    <w:rsid w:val="00CD305C"/>
    <w:rsid w:val="00CD33C5"/>
    <w:rsid w:val="00CD3A6D"/>
    <w:rsid w:val="00CD3E63"/>
    <w:rsid w:val="00CD40A3"/>
    <w:rsid w:val="00CD4CD3"/>
    <w:rsid w:val="00CD589F"/>
    <w:rsid w:val="00CD60C9"/>
    <w:rsid w:val="00CD6BBB"/>
    <w:rsid w:val="00CD7482"/>
    <w:rsid w:val="00CE07C1"/>
    <w:rsid w:val="00CE186F"/>
    <w:rsid w:val="00CE20E3"/>
    <w:rsid w:val="00CE273A"/>
    <w:rsid w:val="00CE321C"/>
    <w:rsid w:val="00CE3700"/>
    <w:rsid w:val="00CE3B69"/>
    <w:rsid w:val="00CE3B80"/>
    <w:rsid w:val="00CE3BE3"/>
    <w:rsid w:val="00CE3D1B"/>
    <w:rsid w:val="00CE4559"/>
    <w:rsid w:val="00CE5118"/>
    <w:rsid w:val="00CE59B5"/>
    <w:rsid w:val="00CE59DB"/>
    <w:rsid w:val="00CE5D3A"/>
    <w:rsid w:val="00CE7447"/>
    <w:rsid w:val="00CE74CE"/>
    <w:rsid w:val="00CF0829"/>
    <w:rsid w:val="00CF0E74"/>
    <w:rsid w:val="00CF1833"/>
    <w:rsid w:val="00CF1AEA"/>
    <w:rsid w:val="00CF21F6"/>
    <w:rsid w:val="00CF2278"/>
    <w:rsid w:val="00CF2C62"/>
    <w:rsid w:val="00CF2F66"/>
    <w:rsid w:val="00CF337B"/>
    <w:rsid w:val="00CF3FE7"/>
    <w:rsid w:val="00CF4416"/>
    <w:rsid w:val="00CF5762"/>
    <w:rsid w:val="00CF65B4"/>
    <w:rsid w:val="00CF6C05"/>
    <w:rsid w:val="00CF7485"/>
    <w:rsid w:val="00D0051D"/>
    <w:rsid w:val="00D01318"/>
    <w:rsid w:val="00D01B5E"/>
    <w:rsid w:val="00D025CE"/>
    <w:rsid w:val="00D02A0F"/>
    <w:rsid w:val="00D02DE2"/>
    <w:rsid w:val="00D02DF3"/>
    <w:rsid w:val="00D03181"/>
    <w:rsid w:val="00D037DC"/>
    <w:rsid w:val="00D0383B"/>
    <w:rsid w:val="00D03A8A"/>
    <w:rsid w:val="00D03DA5"/>
    <w:rsid w:val="00D03F27"/>
    <w:rsid w:val="00D0470D"/>
    <w:rsid w:val="00D05249"/>
    <w:rsid w:val="00D057DA"/>
    <w:rsid w:val="00D059FC"/>
    <w:rsid w:val="00D05DEF"/>
    <w:rsid w:val="00D06861"/>
    <w:rsid w:val="00D0688A"/>
    <w:rsid w:val="00D06F22"/>
    <w:rsid w:val="00D07A9C"/>
    <w:rsid w:val="00D07E85"/>
    <w:rsid w:val="00D1033B"/>
    <w:rsid w:val="00D10477"/>
    <w:rsid w:val="00D107E2"/>
    <w:rsid w:val="00D11D76"/>
    <w:rsid w:val="00D126E4"/>
    <w:rsid w:val="00D131BF"/>
    <w:rsid w:val="00D140E6"/>
    <w:rsid w:val="00D15C14"/>
    <w:rsid w:val="00D15FAA"/>
    <w:rsid w:val="00D16ECB"/>
    <w:rsid w:val="00D17BA5"/>
    <w:rsid w:val="00D17C60"/>
    <w:rsid w:val="00D20113"/>
    <w:rsid w:val="00D2058D"/>
    <w:rsid w:val="00D2176E"/>
    <w:rsid w:val="00D2182A"/>
    <w:rsid w:val="00D22105"/>
    <w:rsid w:val="00D2211C"/>
    <w:rsid w:val="00D22B55"/>
    <w:rsid w:val="00D23055"/>
    <w:rsid w:val="00D230AD"/>
    <w:rsid w:val="00D2451B"/>
    <w:rsid w:val="00D251AB"/>
    <w:rsid w:val="00D261D3"/>
    <w:rsid w:val="00D26552"/>
    <w:rsid w:val="00D27B0B"/>
    <w:rsid w:val="00D30ECC"/>
    <w:rsid w:val="00D31133"/>
    <w:rsid w:val="00D319DF"/>
    <w:rsid w:val="00D324BC"/>
    <w:rsid w:val="00D33565"/>
    <w:rsid w:val="00D33762"/>
    <w:rsid w:val="00D34BD1"/>
    <w:rsid w:val="00D35177"/>
    <w:rsid w:val="00D356E1"/>
    <w:rsid w:val="00D3602A"/>
    <w:rsid w:val="00D36F42"/>
    <w:rsid w:val="00D370A1"/>
    <w:rsid w:val="00D40609"/>
    <w:rsid w:val="00D40983"/>
    <w:rsid w:val="00D40EAC"/>
    <w:rsid w:val="00D41188"/>
    <w:rsid w:val="00D41590"/>
    <w:rsid w:val="00D417D3"/>
    <w:rsid w:val="00D41DB1"/>
    <w:rsid w:val="00D42798"/>
    <w:rsid w:val="00D42970"/>
    <w:rsid w:val="00D44916"/>
    <w:rsid w:val="00D45CA4"/>
    <w:rsid w:val="00D45EA7"/>
    <w:rsid w:val="00D4752E"/>
    <w:rsid w:val="00D47842"/>
    <w:rsid w:val="00D50815"/>
    <w:rsid w:val="00D50826"/>
    <w:rsid w:val="00D51675"/>
    <w:rsid w:val="00D51A4C"/>
    <w:rsid w:val="00D51F73"/>
    <w:rsid w:val="00D529BE"/>
    <w:rsid w:val="00D52B8C"/>
    <w:rsid w:val="00D52CF6"/>
    <w:rsid w:val="00D53D3E"/>
    <w:rsid w:val="00D546E5"/>
    <w:rsid w:val="00D547E0"/>
    <w:rsid w:val="00D54992"/>
    <w:rsid w:val="00D55C48"/>
    <w:rsid w:val="00D55E47"/>
    <w:rsid w:val="00D56997"/>
    <w:rsid w:val="00D5730F"/>
    <w:rsid w:val="00D5774F"/>
    <w:rsid w:val="00D6024A"/>
    <w:rsid w:val="00D602A2"/>
    <w:rsid w:val="00D60809"/>
    <w:rsid w:val="00D60D7F"/>
    <w:rsid w:val="00D617C3"/>
    <w:rsid w:val="00D61C9C"/>
    <w:rsid w:val="00D625B8"/>
    <w:rsid w:val="00D636DC"/>
    <w:rsid w:val="00D64702"/>
    <w:rsid w:val="00D66A1B"/>
    <w:rsid w:val="00D66BFD"/>
    <w:rsid w:val="00D66C93"/>
    <w:rsid w:val="00D674EE"/>
    <w:rsid w:val="00D67535"/>
    <w:rsid w:val="00D67BC9"/>
    <w:rsid w:val="00D704D9"/>
    <w:rsid w:val="00D70BD2"/>
    <w:rsid w:val="00D713F2"/>
    <w:rsid w:val="00D724C5"/>
    <w:rsid w:val="00D72580"/>
    <w:rsid w:val="00D72705"/>
    <w:rsid w:val="00D72803"/>
    <w:rsid w:val="00D738BF"/>
    <w:rsid w:val="00D73C95"/>
    <w:rsid w:val="00D741DC"/>
    <w:rsid w:val="00D745C1"/>
    <w:rsid w:val="00D74AFC"/>
    <w:rsid w:val="00D75731"/>
    <w:rsid w:val="00D75B45"/>
    <w:rsid w:val="00D75B5C"/>
    <w:rsid w:val="00D75D95"/>
    <w:rsid w:val="00D75F8C"/>
    <w:rsid w:val="00D76050"/>
    <w:rsid w:val="00D7617F"/>
    <w:rsid w:val="00D76423"/>
    <w:rsid w:val="00D77278"/>
    <w:rsid w:val="00D775B5"/>
    <w:rsid w:val="00D77961"/>
    <w:rsid w:val="00D77B20"/>
    <w:rsid w:val="00D77B3B"/>
    <w:rsid w:val="00D8007C"/>
    <w:rsid w:val="00D8079F"/>
    <w:rsid w:val="00D8103B"/>
    <w:rsid w:val="00D8111B"/>
    <w:rsid w:val="00D81242"/>
    <w:rsid w:val="00D812D2"/>
    <w:rsid w:val="00D82D02"/>
    <w:rsid w:val="00D82D0F"/>
    <w:rsid w:val="00D82F6B"/>
    <w:rsid w:val="00D83A5A"/>
    <w:rsid w:val="00D83EF9"/>
    <w:rsid w:val="00D84157"/>
    <w:rsid w:val="00D84BD7"/>
    <w:rsid w:val="00D84DCA"/>
    <w:rsid w:val="00D85114"/>
    <w:rsid w:val="00D8558C"/>
    <w:rsid w:val="00D857BC"/>
    <w:rsid w:val="00D85FEE"/>
    <w:rsid w:val="00D871B6"/>
    <w:rsid w:val="00D90275"/>
    <w:rsid w:val="00D902F5"/>
    <w:rsid w:val="00D9070C"/>
    <w:rsid w:val="00D90959"/>
    <w:rsid w:val="00D91410"/>
    <w:rsid w:val="00D91438"/>
    <w:rsid w:val="00D91594"/>
    <w:rsid w:val="00D91ABE"/>
    <w:rsid w:val="00D91DFB"/>
    <w:rsid w:val="00D921DA"/>
    <w:rsid w:val="00D92C2F"/>
    <w:rsid w:val="00D92F7F"/>
    <w:rsid w:val="00D9459D"/>
    <w:rsid w:val="00D94858"/>
    <w:rsid w:val="00D94972"/>
    <w:rsid w:val="00D954A1"/>
    <w:rsid w:val="00D95519"/>
    <w:rsid w:val="00D95744"/>
    <w:rsid w:val="00D958FC"/>
    <w:rsid w:val="00D95A4F"/>
    <w:rsid w:val="00D95DC2"/>
    <w:rsid w:val="00D96678"/>
    <w:rsid w:val="00D96D46"/>
    <w:rsid w:val="00D97B9B"/>
    <w:rsid w:val="00D97C27"/>
    <w:rsid w:val="00DA03FA"/>
    <w:rsid w:val="00DA0526"/>
    <w:rsid w:val="00DA06CB"/>
    <w:rsid w:val="00DA0CF7"/>
    <w:rsid w:val="00DA0E96"/>
    <w:rsid w:val="00DA1203"/>
    <w:rsid w:val="00DA1F0C"/>
    <w:rsid w:val="00DA1F3C"/>
    <w:rsid w:val="00DA285C"/>
    <w:rsid w:val="00DA3A5B"/>
    <w:rsid w:val="00DA3D0B"/>
    <w:rsid w:val="00DA3F51"/>
    <w:rsid w:val="00DA4023"/>
    <w:rsid w:val="00DA48D9"/>
    <w:rsid w:val="00DA49F8"/>
    <w:rsid w:val="00DA4AAE"/>
    <w:rsid w:val="00DA5572"/>
    <w:rsid w:val="00DA6CC2"/>
    <w:rsid w:val="00DA7029"/>
    <w:rsid w:val="00DA77A0"/>
    <w:rsid w:val="00DB09A2"/>
    <w:rsid w:val="00DB103D"/>
    <w:rsid w:val="00DB1448"/>
    <w:rsid w:val="00DB1988"/>
    <w:rsid w:val="00DB1998"/>
    <w:rsid w:val="00DB1FC4"/>
    <w:rsid w:val="00DB21F0"/>
    <w:rsid w:val="00DB2291"/>
    <w:rsid w:val="00DB2C5F"/>
    <w:rsid w:val="00DB3A58"/>
    <w:rsid w:val="00DB3BDF"/>
    <w:rsid w:val="00DB3C58"/>
    <w:rsid w:val="00DB401C"/>
    <w:rsid w:val="00DB5A63"/>
    <w:rsid w:val="00DB6166"/>
    <w:rsid w:val="00DB656B"/>
    <w:rsid w:val="00DB691E"/>
    <w:rsid w:val="00DB75A3"/>
    <w:rsid w:val="00DB7773"/>
    <w:rsid w:val="00DC0574"/>
    <w:rsid w:val="00DC12F4"/>
    <w:rsid w:val="00DC16E1"/>
    <w:rsid w:val="00DC1881"/>
    <w:rsid w:val="00DC1C45"/>
    <w:rsid w:val="00DC3A6F"/>
    <w:rsid w:val="00DC3D1C"/>
    <w:rsid w:val="00DC43E1"/>
    <w:rsid w:val="00DC4BB9"/>
    <w:rsid w:val="00DC5199"/>
    <w:rsid w:val="00DC5A32"/>
    <w:rsid w:val="00DC5E4E"/>
    <w:rsid w:val="00DC651B"/>
    <w:rsid w:val="00DC729A"/>
    <w:rsid w:val="00DC73B1"/>
    <w:rsid w:val="00DC7519"/>
    <w:rsid w:val="00DC7630"/>
    <w:rsid w:val="00DC7EB5"/>
    <w:rsid w:val="00DD04AC"/>
    <w:rsid w:val="00DD04DD"/>
    <w:rsid w:val="00DD0891"/>
    <w:rsid w:val="00DD0B35"/>
    <w:rsid w:val="00DD0F9F"/>
    <w:rsid w:val="00DD11A7"/>
    <w:rsid w:val="00DD1298"/>
    <w:rsid w:val="00DD1F4F"/>
    <w:rsid w:val="00DD2300"/>
    <w:rsid w:val="00DD28B3"/>
    <w:rsid w:val="00DD2DE3"/>
    <w:rsid w:val="00DD2DE8"/>
    <w:rsid w:val="00DD316F"/>
    <w:rsid w:val="00DD357C"/>
    <w:rsid w:val="00DD37CA"/>
    <w:rsid w:val="00DD3DF7"/>
    <w:rsid w:val="00DD3FC9"/>
    <w:rsid w:val="00DD4AE2"/>
    <w:rsid w:val="00DD4BFA"/>
    <w:rsid w:val="00DD51F8"/>
    <w:rsid w:val="00DD6388"/>
    <w:rsid w:val="00DD6C53"/>
    <w:rsid w:val="00DD7198"/>
    <w:rsid w:val="00DE0137"/>
    <w:rsid w:val="00DE01BA"/>
    <w:rsid w:val="00DE02F3"/>
    <w:rsid w:val="00DE0DCF"/>
    <w:rsid w:val="00DE137B"/>
    <w:rsid w:val="00DE19D9"/>
    <w:rsid w:val="00DE1DC6"/>
    <w:rsid w:val="00DE1F77"/>
    <w:rsid w:val="00DE21C6"/>
    <w:rsid w:val="00DE23B0"/>
    <w:rsid w:val="00DE2D49"/>
    <w:rsid w:val="00DE3E66"/>
    <w:rsid w:val="00DE3F75"/>
    <w:rsid w:val="00DE3F98"/>
    <w:rsid w:val="00DE4AAD"/>
    <w:rsid w:val="00DE4C0C"/>
    <w:rsid w:val="00DE4FC8"/>
    <w:rsid w:val="00DE5A50"/>
    <w:rsid w:val="00DE60C5"/>
    <w:rsid w:val="00DE6A7F"/>
    <w:rsid w:val="00DE7433"/>
    <w:rsid w:val="00DE75F0"/>
    <w:rsid w:val="00DE77CB"/>
    <w:rsid w:val="00DE7EBA"/>
    <w:rsid w:val="00DF0BFF"/>
    <w:rsid w:val="00DF0D3A"/>
    <w:rsid w:val="00DF14E8"/>
    <w:rsid w:val="00DF14F6"/>
    <w:rsid w:val="00DF1A9A"/>
    <w:rsid w:val="00DF1C2D"/>
    <w:rsid w:val="00DF1E90"/>
    <w:rsid w:val="00DF3577"/>
    <w:rsid w:val="00DF4063"/>
    <w:rsid w:val="00DF426E"/>
    <w:rsid w:val="00DF6B62"/>
    <w:rsid w:val="00DF7424"/>
    <w:rsid w:val="00DF75B5"/>
    <w:rsid w:val="00DF7BD0"/>
    <w:rsid w:val="00DF7BDF"/>
    <w:rsid w:val="00E00303"/>
    <w:rsid w:val="00E00A62"/>
    <w:rsid w:val="00E010A0"/>
    <w:rsid w:val="00E01668"/>
    <w:rsid w:val="00E01849"/>
    <w:rsid w:val="00E01AE2"/>
    <w:rsid w:val="00E01CB8"/>
    <w:rsid w:val="00E020D1"/>
    <w:rsid w:val="00E02B64"/>
    <w:rsid w:val="00E02EAD"/>
    <w:rsid w:val="00E03D3F"/>
    <w:rsid w:val="00E0437C"/>
    <w:rsid w:val="00E0452C"/>
    <w:rsid w:val="00E04D61"/>
    <w:rsid w:val="00E0504C"/>
    <w:rsid w:val="00E05074"/>
    <w:rsid w:val="00E05489"/>
    <w:rsid w:val="00E05741"/>
    <w:rsid w:val="00E05F7F"/>
    <w:rsid w:val="00E062C7"/>
    <w:rsid w:val="00E06930"/>
    <w:rsid w:val="00E06971"/>
    <w:rsid w:val="00E105B3"/>
    <w:rsid w:val="00E10846"/>
    <w:rsid w:val="00E108F4"/>
    <w:rsid w:val="00E10C32"/>
    <w:rsid w:val="00E1100C"/>
    <w:rsid w:val="00E11489"/>
    <w:rsid w:val="00E11711"/>
    <w:rsid w:val="00E11E63"/>
    <w:rsid w:val="00E1310D"/>
    <w:rsid w:val="00E13359"/>
    <w:rsid w:val="00E134B9"/>
    <w:rsid w:val="00E138BF"/>
    <w:rsid w:val="00E13B69"/>
    <w:rsid w:val="00E14113"/>
    <w:rsid w:val="00E14EFA"/>
    <w:rsid w:val="00E14F28"/>
    <w:rsid w:val="00E151B9"/>
    <w:rsid w:val="00E158C4"/>
    <w:rsid w:val="00E161E6"/>
    <w:rsid w:val="00E1698C"/>
    <w:rsid w:val="00E16D63"/>
    <w:rsid w:val="00E172BE"/>
    <w:rsid w:val="00E1765E"/>
    <w:rsid w:val="00E17CF7"/>
    <w:rsid w:val="00E205D6"/>
    <w:rsid w:val="00E20C9C"/>
    <w:rsid w:val="00E216EC"/>
    <w:rsid w:val="00E2189A"/>
    <w:rsid w:val="00E2271C"/>
    <w:rsid w:val="00E22B5A"/>
    <w:rsid w:val="00E22B68"/>
    <w:rsid w:val="00E231C9"/>
    <w:rsid w:val="00E239BA"/>
    <w:rsid w:val="00E23EBF"/>
    <w:rsid w:val="00E23FD5"/>
    <w:rsid w:val="00E24669"/>
    <w:rsid w:val="00E24756"/>
    <w:rsid w:val="00E24937"/>
    <w:rsid w:val="00E25981"/>
    <w:rsid w:val="00E26141"/>
    <w:rsid w:val="00E266F5"/>
    <w:rsid w:val="00E268A7"/>
    <w:rsid w:val="00E26BA4"/>
    <w:rsid w:val="00E270D3"/>
    <w:rsid w:val="00E27FC7"/>
    <w:rsid w:val="00E30700"/>
    <w:rsid w:val="00E30E22"/>
    <w:rsid w:val="00E31360"/>
    <w:rsid w:val="00E316FA"/>
    <w:rsid w:val="00E31D28"/>
    <w:rsid w:val="00E33355"/>
    <w:rsid w:val="00E33B01"/>
    <w:rsid w:val="00E33F63"/>
    <w:rsid w:val="00E3440F"/>
    <w:rsid w:val="00E34F3A"/>
    <w:rsid w:val="00E35F99"/>
    <w:rsid w:val="00E35F9A"/>
    <w:rsid w:val="00E3637F"/>
    <w:rsid w:val="00E364B6"/>
    <w:rsid w:val="00E36723"/>
    <w:rsid w:val="00E3713C"/>
    <w:rsid w:val="00E378EF"/>
    <w:rsid w:val="00E37E1C"/>
    <w:rsid w:val="00E40126"/>
    <w:rsid w:val="00E40CBF"/>
    <w:rsid w:val="00E40E7D"/>
    <w:rsid w:val="00E40EE4"/>
    <w:rsid w:val="00E413C6"/>
    <w:rsid w:val="00E420D5"/>
    <w:rsid w:val="00E42517"/>
    <w:rsid w:val="00E42CED"/>
    <w:rsid w:val="00E42D55"/>
    <w:rsid w:val="00E42FFE"/>
    <w:rsid w:val="00E4316E"/>
    <w:rsid w:val="00E435AB"/>
    <w:rsid w:val="00E44275"/>
    <w:rsid w:val="00E44777"/>
    <w:rsid w:val="00E447BE"/>
    <w:rsid w:val="00E44BF9"/>
    <w:rsid w:val="00E4535F"/>
    <w:rsid w:val="00E466BC"/>
    <w:rsid w:val="00E4686A"/>
    <w:rsid w:val="00E47012"/>
    <w:rsid w:val="00E479FD"/>
    <w:rsid w:val="00E50F69"/>
    <w:rsid w:val="00E52F05"/>
    <w:rsid w:val="00E533F4"/>
    <w:rsid w:val="00E540CA"/>
    <w:rsid w:val="00E56D4A"/>
    <w:rsid w:val="00E57119"/>
    <w:rsid w:val="00E5719E"/>
    <w:rsid w:val="00E57F4B"/>
    <w:rsid w:val="00E602E5"/>
    <w:rsid w:val="00E602F8"/>
    <w:rsid w:val="00E60FBA"/>
    <w:rsid w:val="00E60FBF"/>
    <w:rsid w:val="00E616F9"/>
    <w:rsid w:val="00E61852"/>
    <w:rsid w:val="00E61B07"/>
    <w:rsid w:val="00E61D22"/>
    <w:rsid w:val="00E61D96"/>
    <w:rsid w:val="00E61E4B"/>
    <w:rsid w:val="00E63DA2"/>
    <w:rsid w:val="00E642AF"/>
    <w:rsid w:val="00E644C6"/>
    <w:rsid w:val="00E64595"/>
    <w:rsid w:val="00E64651"/>
    <w:rsid w:val="00E646BB"/>
    <w:rsid w:val="00E6549C"/>
    <w:rsid w:val="00E654B9"/>
    <w:rsid w:val="00E65E8C"/>
    <w:rsid w:val="00E665E7"/>
    <w:rsid w:val="00E66A18"/>
    <w:rsid w:val="00E66C96"/>
    <w:rsid w:val="00E670A2"/>
    <w:rsid w:val="00E70130"/>
    <w:rsid w:val="00E70AD3"/>
    <w:rsid w:val="00E71019"/>
    <w:rsid w:val="00E715FC"/>
    <w:rsid w:val="00E71A45"/>
    <w:rsid w:val="00E71C21"/>
    <w:rsid w:val="00E72B4B"/>
    <w:rsid w:val="00E73018"/>
    <w:rsid w:val="00E730FC"/>
    <w:rsid w:val="00E7385A"/>
    <w:rsid w:val="00E73CE6"/>
    <w:rsid w:val="00E73F06"/>
    <w:rsid w:val="00E73F29"/>
    <w:rsid w:val="00E743EA"/>
    <w:rsid w:val="00E74780"/>
    <w:rsid w:val="00E752F7"/>
    <w:rsid w:val="00E75848"/>
    <w:rsid w:val="00E759D4"/>
    <w:rsid w:val="00E76A3C"/>
    <w:rsid w:val="00E771FC"/>
    <w:rsid w:val="00E773E5"/>
    <w:rsid w:val="00E77BDD"/>
    <w:rsid w:val="00E77EE4"/>
    <w:rsid w:val="00E806D3"/>
    <w:rsid w:val="00E80B06"/>
    <w:rsid w:val="00E81C34"/>
    <w:rsid w:val="00E81D83"/>
    <w:rsid w:val="00E821BB"/>
    <w:rsid w:val="00E822E9"/>
    <w:rsid w:val="00E8275E"/>
    <w:rsid w:val="00E827AF"/>
    <w:rsid w:val="00E82DE9"/>
    <w:rsid w:val="00E83CD3"/>
    <w:rsid w:val="00E84C97"/>
    <w:rsid w:val="00E84CF0"/>
    <w:rsid w:val="00E85005"/>
    <w:rsid w:val="00E85156"/>
    <w:rsid w:val="00E8533B"/>
    <w:rsid w:val="00E85E4E"/>
    <w:rsid w:val="00E86151"/>
    <w:rsid w:val="00E86327"/>
    <w:rsid w:val="00E87CC4"/>
    <w:rsid w:val="00E87DC1"/>
    <w:rsid w:val="00E90A69"/>
    <w:rsid w:val="00E90B33"/>
    <w:rsid w:val="00E911E0"/>
    <w:rsid w:val="00E921DB"/>
    <w:rsid w:val="00E93407"/>
    <w:rsid w:val="00E940A8"/>
    <w:rsid w:val="00E947E8"/>
    <w:rsid w:val="00E94B0F"/>
    <w:rsid w:val="00E9503F"/>
    <w:rsid w:val="00E95083"/>
    <w:rsid w:val="00E96E68"/>
    <w:rsid w:val="00E9740B"/>
    <w:rsid w:val="00E97EA1"/>
    <w:rsid w:val="00EA01EC"/>
    <w:rsid w:val="00EA0FB4"/>
    <w:rsid w:val="00EA1FBC"/>
    <w:rsid w:val="00EA20A1"/>
    <w:rsid w:val="00EA212B"/>
    <w:rsid w:val="00EA3718"/>
    <w:rsid w:val="00EA3A1D"/>
    <w:rsid w:val="00EA3CD7"/>
    <w:rsid w:val="00EA429D"/>
    <w:rsid w:val="00EA4C7C"/>
    <w:rsid w:val="00EA4D4C"/>
    <w:rsid w:val="00EA5399"/>
    <w:rsid w:val="00EA554F"/>
    <w:rsid w:val="00EA6250"/>
    <w:rsid w:val="00EA66A4"/>
    <w:rsid w:val="00EA6819"/>
    <w:rsid w:val="00EA7249"/>
    <w:rsid w:val="00EA75BD"/>
    <w:rsid w:val="00EA7C47"/>
    <w:rsid w:val="00EB0F0F"/>
    <w:rsid w:val="00EB12A5"/>
    <w:rsid w:val="00EB24D8"/>
    <w:rsid w:val="00EB277B"/>
    <w:rsid w:val="00EB2891"/>
    <w:rsid w:val="00EB2F20"/>
    <w:rsid w:val="00EB2F35"/>
    <w:rsid w:val="00EB31DB"/>
    <w:rsid w:val="00EB3422"/>
    <w:rsid w:val="00EB3486"/>
    <w:rsid w:val="00EB4EAF"/>
    <w:rsid w:val="00EB548E"/>
    <w:rsid w:val="00EB6606"/>
    <w:rsid w:val="00EB671D"/>
    <w:rsid w:val="00EB695E"/>
    <w:rsid w:val="00EB69D1"/>
    <w:rsid w:val="00EB6FE9"/>
    <w:rsid w:val="00EB72FF"/>
    <w:rsid w:val="00EC09C6"/>
    <w:rsid w:val="00EC0A56"/>
    <w:rsid w:val="00EC0C42"/>
    <w:rsid w:val="00EC0EA5"/>
    <w:rsid w:val="00EC0FFF"/>
    <w:rsid w:val="00EC1056"/>
    <w:rsid w:val="00EC1ECC"/>
    <w:rsid w:val="00EC222E"/>
    <w:rsid w:val="00EC2716"/>
    <w:rsid w:val="00EC2DBB"/>
    <w:rsid w:val="00EC358E"/>
    <w:rsid w:val="00EC4095"/>
    <w:rsid w:val="00EC4537"/>
    <w:rsid w:val="00EC4960"/>
    <w:rsid w:val="00EC4AE3"/>
    <w:rsid w:val="00EC4C20"/>
    <w:rsid w:val="00EC54EE"/>
    <w:rsid w:val="00EC59B2"/>
    <w:rsid w:val="00EC5A3B"/>
    <w:rsid w:val="00EC786C"/>
    <w:rsid w:val="00EC7ADD"/>
    <w:rsid w:val="00ED04FE"/>
    <w:rsid w:val="00ED0AB3"/>
    <w:rsid w:val="00ED3145"/>
    <w:rsid w:val="00ED3173"/>
    <w:rsid w:val="00ED3309"/>
    <w:rsid w:val="00ED356E"/>
    <w:rsid w:val="00ED3BDA"/>
    <w:rsid w:val="00ED5A3B"/>
    <w:rsid w:val="00ED5C30"/>
    <w:rsid w:val="00ED5E02"/>
    <w:rsid w:val="00ED5EED"/>
    <w:rsid w:val="00ED6B1C"/>
    <w:rsid w:val="00ED6CF7"/>
    <w:rsid w:val="00ED6F33"/>
    <w:rsid w:val="00ED7716"/>
    <w:rsid w:val="00ED7737"/>
    <w:rsid w:val="00ED7747"/>
    <w:rsid w:val="00ED78A4"/>
    <w:rsid w:val="00ED7CF4"/>
    <w:rsid w:val="00ED7E02"/>
    <w:rsid w:val="00EE1B0E"/>
    <w:rsid w:val="00EE22FB"/>
    <w:rsid w:val="00EE26AE"/>
    <w:rsid w:val="00EE2A54"/>
    <w:rsid w:val="00EE2FC2"/>
    <w:rsid w:val="00EE3B88"/>
    <w:rsid w:val="00EE4B75"/>
    <w:rsid w:val="00EE4DBD"/>
    <w:rsid w:val="00EE6AC6"/>
    <w:rsid w:val="00EE6E26"/>
    <w:rsid w:val="00EE784F"/>
    <w:rsid w:val="00EE7A1D"/>
    <w:rsid w:val="00EF0500"/>
    <w:rsid w:val="00EF0B2D"/>
    <w:rsid w:val="00EF1002"/>
    <w:rsid w:val="00EF143F"/>
    <w:rsid w:val="00EF23D8"/>
    <w:rsid w:val="00EF2A5A"/>
    <w:rsid w:val="00EF2A87"/>
    <w:rsid w:val="00EF3A74"/>
    <w:rsid w:val="00EF3AE9"/>
    <w:rsid w:val="00EF3EA5"/>
    <w:rsid w:val="00EF55D6"/>
    <w:rsid w:val="00EF644D"/>
    <w:rsid w:val="00EF6D29"/>
    <w:rsid w:val="00EF6FAA"/>
    <w:rsid w:val="00EF6FAD"/>
    <w:rsid w:val="00EF7138"/>
    <w:rsid w:val="00F00881"/>
    <w:rsid w:val="00F00917"/>
    <w:rsid w:val="00F010BB"/>
    <w:rsid w:val="00F012C1"/>
    <w:rsid w:val="00F0175F"/>
    <w:rsid w:val="00F03280"/>
    <w:rsid w:val="00F0362A"/>
    <w:rsid w:val="00F0385C"/>
    <w:rsid w:val="00F03ABE"/>
    <w:rsid w:val="00F04345"/>
    <w:rsid w:val="00F047A4"/>
    <w:rsid w:val="00F04F52"/>
    <w:rsid w:val="00F0510F"/>
    <w:rsid w:val="00F0563F"/>
    <w:rsid w:val="00F064EF"/>
    <w:rsid w:val="00F06558"/>
    <w:rsid w:val="00F06F42"/>
    <w:rsid w:val="00F07122"/>
    <w:rsid w:val="00F071EE"/>
    <w:rsid w:val="00F074C9"/>
    <w:rsid w:val="00F07F5E"/>
    <w:rsid w:val="00F106BB"/>
    <w:rsid w:val="00F11027"/>
    <w:rsid w:val="00F116DD"/>
    <w:rsid w:val="00F11E31"/>
    <w:rsid w:val="00F13AA1"/>
    <w:rsid w:val="00F13F2A"/>
    <w:rsid w:val="00F15097"/>
    <w:rsid w:val="00F15671"/>
    <w:rsid w:val="00F1693F"/>
    <w:rsid w:val="00F17AD2"/>
    <w:rsid w:val="00F202E3"/>
    <w:rsid w:val="00F20C6E"/>
    <w:rsid w:val="00F20D6C"/>
    <w:rsid w:val="00F215FA"/>
    <w:rsid w:val="00F2255F"/>
    <w:rsid w:val="00F225CF"/>
    <w:rsid w:val="00F22882"/>
    <w:rsid w:val="00F22985"/>
    <w:rsid w:val="00F22AEF"/>
    <w:rsid w:val="00F22F7A"/>
    <w:rsid w:val="00F2343C"/>
    <w:rsid w:val="00F23CFC"/>
    <w:rsid w:val="00F24076"/>
    <w:rsid w:val="00F2492F"/>
    <w:rsid w:val="00F2500D"/>
    <w:rsid w:val="00F258A7"/>
    <w:rsid w:val="00F2596D"/>
    <w:rsid w:val="00F25CAA"/>
    <w:rsid w:val="00F270AC"/>
    <w:rsid w:val="00F277E8"/>
    <w:rsid w:val="00F27E3D"/>
    <w:rsid w:val="00F301D0"/>
    <w:rsid w:val="00F3069F"/>
    <w:rsid w:val="00F30C60"/>
    <w:rsid w:val="00F311D1"/>
    <w:rsid w:val="00F3158A"/>
    <w:rsid w:val="00F31762"/>
    <w:rsid w:val="00F318DB"/>
    <w:rsid w:val="00F31F7D"/>
    <w:rsid w:val="00F320DB"/>
    <w:rsid w:val="00F32823"/>
    <w:rsid w:val="00F32AFF"/>
    <w:rsid w:val="00F33825"/>
    <w:rsid w:val="00F33A0B"/>
    <w:rsid w:val="00F33A8B"/>
    <w:rsid w:val="00F34A96"/>
    <w:rsid w:val="00F34EBF"/>
    <w:rsid w:val="00F34F05"/>
    <w:rsid w:val="00F36240"/>
    <w:rsid w:val="00F363EB"/>
    <w:rsid w:val="00F365DE"/>
    <w:rsid w:val="00F3719A"/>
    <w:rsid w:val="00F379BF"/>
    <w:rsid w:val="00F37EA7"/>
    <w:rsid w:val="00F40805"/>
    <w:rsid w:val="00F40C5E"/>
    <w:rsid w:val="00F40E3E"/>
    <w:rsid w:val="00F4163A"/>
    <w:rsid w:val="00F41873"/>
    <w:rsid w:val="00F419C3"/>
    <w:rsid w:val="00F41B27"/>
    <w:rsid w:val="00F41D91"/>
    <w:rsid w:val="00F41E2B"/>
    <w:rsid w:val="00F423BE"/>
    <w:rsid w:val="00F424A5"/>
    <w:rsid w:val="00F428AC"/>
    <w:rsid w:val="00F42EE3"/>
    <w:rsid w:val="00F43660"/>
    <w:rsid w:val="00F44542"/>
    <w:rsid w:val="00F44DB8"/>
    <w:rsid w:val="00F45760"/>
    <w:rsid w:val="00F45925"/>
    <w:rsid w:val="00F46BA6"/>
    <w:rsid w:val="00F46C97"/>
    <w:rsid w:val="00F50781"/>
    <w:rsid w:val="00F50CA3"/>
    <w:rsid w:val="00F517ED"/>
    <w:rsid w:val="00F51C90"/>
    <w:rsid w:val="00F51F3F"/>
    <w:rsid w:val="00F528B5"/>
    <w:rsid w:val="00F528E7"/>
    <w:rsid w:val="00F52C8A"/>
    <w:rsid w:val="00F54783"/>
    <w:rsid w:val="00F547D5"/>
    <w:rsid w:val="00F547E9"/>
    <w:rsid w:val="00F5494E"/>
    <w:rsid w:val="00F54ABE"/>
    <w:rsid w:val="00F55F1A"/>
    <w:rsid w:val="00F56069"/>
    <w:rsid w:val="00F56335"/>
    <w:rsid w:val="00F5684C"/>
    <w:rsid w:val="00F57210"/>
    <w:rsid w:val="00F577FC"/>
    <w:rsid w:val="00F602F0"/>
    <w:rsid w:val="00F60C90"/>
    <w:rsid w:val="00F61165"/>
    <w:rsid w:val="00F617CC"/>
    <w:rsid w:val="00F619EE"/>
    <w:rsid w:val="00F61FF9"/>
    <w:rsid w:val="00F62069"/>
    <w:rsid w:val="00F62159"/>
    <w:rsid w:val="00F62B93"/>
    <w:rsid w:val="00F633E5"/>
    <w:rsid w:val="00F63AAF"/>
    <w:rsid w:val="00F63C6A"/>
    <w:rsid w:val="00F63C89"/>
    <w:rsid w:val="00F647EC"/>
    <w:rsid w:val="00F64C12"/>
    <w:rsid w:val="00F65F15"/>
    <w:rsid w:val="00F675EA"/>
    <w:rsid w:val="00F7074A"/>
    <w:rsid w:val="00F71708"/>
    <w:rsid w:val="00F717C1"/>
    <w:rsid w:val="00F7281E"/>
    <w:rsid w:val="00F72C3D"/>
    <w:rsid w:val="00F737AB"/>
    <w:rsid w:val="00F74216"/>
    <w:rsid w:val="00F74F0F"/>
    <w:rsid w:val="00F74F13"/>
    <w:rsid w:val="00F75731"/>
    <w:rsid w:val="00F76333"/>
    <w:rsid w:val="00F77100"/>
    <w:rsid w:val="00F8090F"/>
    <w:rsid w:val="00F8139A"/>
    <w:rsid w:val="00F81A41"/>
    <w:rsid w:val="00F82390"/>
    <w:rsid w:val="00F82AAE"/>
    <w:rsid w:val="00F838A9"/>
    <w:rsid w:val="00F84B4E"/>
    <w:rsid w:val="00F851B7"/>
    <w:rsid w:val="00F851D4"/>
    <w:rsid w:val="00F8566C"/>
    <w:rsid w:val="00F858D4"/>
    <w:rsid w:val="00F85C65"/>
    <w:rsid w:val="00F860EB"/>
    <w:rsid w:val="00F868B6"/>
    <w:rsid w:val="00F86968"/>
    <w:rsid w:val="00F86E42"/>
    <w:rsid w:val="00F876E6"/>
    <w:rsid w:val="00F8772E"/>
    <w:rsid w:val="00F87825"/>
    <w:rsid w:val="00F87838"/>
    <w:rsid w:val="00F87FCE"/>
    <w:rsid w:val="00F9008B"/>
    <w:rsid w:val="00F91669"/>
    <w:rsid w:val="00F9184F"/>
    <w:rsid w:val="00F91943"/>
    <w:rsid w:val="00F91BC2"/>
    <w:rsid w:val="00F92A66"/>
    <w:rsid w:val="00F931CF"/>
    <w:rsid w:val="00F93A31"/>
    <w:rsid w:val="00F93D6E"/>
    <w:rsid w:val="00F9423D"/>
    <w:rsid w:val="00F95182"/>
    <w:rsid w:val="00F95774"/>
    <w:rsid w:val="00F96F86"/>
    <w:rsid w:val="00FA02B8"/>
    <w:rsid w:val="00FA0980"/>
    <w:rsid w:val="00FA1028"/>
    <w:rsid w:val="00FA11A2"/>
    <w:rsid w:val="00FA181F"/>
    <w:rsid w:val="00FA1E82"/>
    <w:rsid w:val="00FA2137"/>
    <w:rsid w:val="00FA272D"/>
    <w:rsid w:val="00FA338D"/>
    <w:rsid w:val="00FA34A2"/>
    <w:rsid w:val="00FA3742"/>
    <w:rsid w:val="00FA3837"/>
    <w:rsid w:val="00FA39FC"/>
    <w:rsid w:val="00FA44B4"/>
    <w:rsid w:val="00FA4538"/>
    <w:rsid w:val="00FA4723"/>
    <w:rsid w:val="00FA4998"/>
    <w:rsid w:val="00FA4DC2"/>
    <w:rsid w:val="00FA67E3"/>
    <w:rsid w:val="00FA7157"/>
    <w:rsid w:val="00FA7698"/>
    <w:rsid w:val="00FA78C2"/>
    <w:rsid w:val="00FA7A2D"/>
    <w:rsid w:val="00FA7E6B"/>
    <w:rsid w:val="00FB0822"/>
    <w:rsid w:val="00FB09C9"/>
    <w:rsid w:val="00FB1093"/>
    <w:rsid w:val="00FB13A0"/>
    <w:rsid w:val="00FB227E"/>
    <w:rsid w:val="00FB246F"/>
    <w:rsid w:val="00FB267D"/>
    <w:rsid w:val="00FB2A18"/>
    <w:rsid w:val="00FB2BF4"/>
    <w:rsid w:val="00FB2C8D"/>
    <w:rsid w:val="00FB65B0"/>
    <w:rsid w:val="00FB65B3"/>
    <w:rsid w:val="00FB6E6C"/>
    <w:rsid w:val="00FB71B0"/>
    <w:rsid w:val="00FB7ABA"/>
    <w:rsid w:val="00FB7C21"/>
    <w:rsid w:val="00FB7C46"/>
    <w:rsid w:val="00FC04E0"/>
    <w:rsid w:val="00FC11C6"/>
    <w:rsid w:val="00FC208D"/>
    <w:rsid w:val="00FC279A"/>
    <w:rsid w:val="00FC324D"/>
    <w:rsid w:val="00FC3485"/>
    <w:rsid w:val="00FC39A1"/>
    <w:rsid w:val="00FC3BC3"/>
    <w:rsid w:val="00FC3D15"/>
    <w:rsid w:val="00FC4A65"/>
    <w:rsid w:val="00FC4B53"/>
    <w:rsid w:val="00FC4BAE"/>
    <w:rsid w:val="00FC5160"/>
    <w:rsid w:val="00FC6B0B"/>
    <w:rsid w:val="00FC713B"/>
    <w:rsid w:val="00FC79D5"/>
    <w:rsid w:val="00FC7B35"/>
    <w:rsid w:val="00FC7B4B"/>
    <w:rsid w:val="00FC7B53"/>
    <w:rsid w:val="00FD0177"/>
    <w:rsid w:val="00FD0AE7"/>
    <w:rsid w:val="00FD0B44"/>
    <w:rsid w:val="00FD0F70"/>
    <w:rsid w:val="00FD2315"/>
    <w:rsid w:val="00FD29A7"/>
    <w:rsid w:val="00FD3092"/>
    <w:rsid w:val="00FD44B8"/>
    <w:rsid w:val="00FD51F7"/>
    <w:rsid w:val="00FD5258"/>
    <w:rsid w:val="00FD5602"/>
    <w:rsid w:val="00FD5A2A"/>
    <w:rsid w:val="00FD5AE2"/>
    <w:rsid w:val="00FD5E8C"/>
    <w:rsid w:val="00FD62B4"/>
    <w:rsid w:val="00FD6C15"/>
    <w:rsid w:val="00FD7142"/>
    <w:rsid w:val="00FD78BE"/>
    <w:rsid w:val="00FE011C"/>
    <w:rsid w:val="00FE07DC"/>
    <w:rsid w:val="00FE0D7E"/>
    <w:rsid w:val="00FE1116"/>
    <w:rsid w:val="00FE112C"/>
    <w:rsid w:val="00FE2075"/>
    <w:rsid w:val="00FE2080"/>
    <w:rsid w:val="00FE27B9"/>
    <w:rsid w:val="00FE2E37"/>
    <w:rsid w:val="00FE3640"/>
    <w:rsid w:val="00FE3780"/>
    <w:rsid w:val="00FE3CF7"/>
    <w:rsid w:val="00FE4071"/>
    <w:rsid w:val="00FE42E3"/>
    <w:rsid w:val="00FE44BA"/>
    <w:rsid w:val="00FE4ECD"/>
    <w:rsid w:val="00FE5807"/>
    <w:rsid w:val="00FE624E"/>
    <w:rsid w:val="00FE6415"/>
    <w:rsid w:val="00FE69E7"/>
    <w:rsid w:val="00FE6BB8"/>
    <w:rsid w:val="00FE6CE8"/>
    <w:rsid w:val="00FF027B"/>
    <w:rsid w:val="00FF1174"/>
    <w:rsid w:val="00FF165A"/>
    <w:rsid w:val="00FF1B72"/>
    <w:rsid w:val="00FF1CF1"/>
    <w:rsid w:val="00FF1F4C"/>
    <w:rsid w:val="00FF35DC"/>
    <w:rsid w:val="00FF3A6A"/>
    <w:rsid w:val="00FF3C7A"/>
    <w:rsid w:val="00FF3E09"/>
    <w:rsid w:val="00FF411C"/>
    <w:rsid w:val="00FF4B2E"/>
    <w:rsid w:val="00FF4E4B"/>
    <w:rsid w:val="00FF4E4E"/>
    <w:rsid w:val="00FF5049"/>
    <w:rsid w:val="00FF5D1F"/>
    <w:rsid w:val="00FF5F95"/>
    <w:rsid w:val="00FF5FAD"/>
    <w:rsid w:val="00FF6126"/>
    <w:rsid w:val="00FF61F5"/>
    <w:rsid w:val="00FF62AA"/>
    <w:rsid w:val="00FF64D7"/>
    <w:rsid w:val="00FF6B6C"/>
    <w:rsid w:val="01233184"/>
    <w:rsid w:val="02987046"/>
    <w:rsid w:val="02AE2520"/>
    <w:rsid w:val="037738D8"/>
    <w:rsid w:val="065F59A3"/>
    <w:rsid w:val="06604F65"/>
    <w:rsid w:val="075F0692"/>
    <w:rsid w:val="08F53B23"/>
    <w:rsid w:val="096939F7"/>
    <w:rsid w:val="0A057DD7"/>
    <w:rsid w:val="0A070656"/>
    <w:rsid w:val="0A913ED8"/>
    <w:rsid w:val="0B24171E"/>
    <w:rsid w:val="0B3A268C"/>
    <w:rsid w:val="0D503D33"/>
    <w:rsid w:val="0D584403"/>
    <w:rsid w:val="0DF322AD"/>
    <w:rsid w:val="0E690E1E"/>
    <w:rsid w:val="0F764AC3"/>
    <w:rsid w:val="0F7A09A8"/>
    <w:rsid w:val="101C0A97"/>
    <w:rsid w:val="10683E79"/>
    <w:rsid w:val="10F67974"/>
    <w:rsid w:val="11121FC1"/>
    <w:rsid w:val="132A255D"/>
    <w:rsid w:val="13306B79"/>
    <w:rsid w:val="13827929"/>
    <w:rsid w:val="13B77936"/>
    <w:rsid w:val="13BA4CFE"/>
    <w:rsid w:val="146F2C7A"/>
    <w:rsid w:val="149E4992"/>
    <w:rsid w:val="14A96B0A"/>
    <w:rsid w:val="14DE483F"/>
    <w:rsid w:val="14EF68F3"/>
    <w:rsid w:val="174415C2"/>
    <w:rsid w:val="1750329C"/>
    <w:rsid w:val="1758581A"/>
    <w:rsid w:val="18755A7C"/>
    <w:rsid w:val="187F1364"/>
    <w:rsid w:val="1A2E248E"/>
    <w:rsid w:val="1A4A03AD"/>
    <w:rsid w:val="1A96479D"/>
    <w:rsid w:val="1AC573EF"/>
    <w:rsid w:val="1C704274"/>
    <w:rsid w:val="1CBC0B3F"/>
    <w:rsid w:val="1D321E13"/>
    <w:rsid w:val="1E655577"/>
    <w:rsid w:val="1F250D34"/>
    <w:rsid w:val="20E55685"/>
    <w:rsid w:val="21455F84"/>
    <w:rsid w:val="217D04F5"/>
    <w:rsid w:val="21B448A4"/>
    <w:rsid w:val="21FA51BE"/>
    <w:rsid w:val="221A63FE"/>
    <w:rsid w:val="235F22BB"/>
    <w:rsid w:val="24977600"/>
    <w:rsid w:val="25262BCC"/>
    <w:rsid w:val="253F4D56"/>
    <w:rsid w:val="25B6202D"/>
    <w:rsid w:val="272F1A96"/>
    <w:rsid w:val="285841F3"/>
    <w:rsid w:val="297B0CF7"/>
    <w:rsid w:val="2A900DDE"/>
    <w:rsid w:val="2BAE2DCF"/>
    <w:rsid w:val="2CE4020E"/>
    <w:rsid w:val="2EDD2DD9"/>
    <w:rsid w:val="2F0278C6"/>
    <w:rsid w:val="2F2F71E5"/>
    <w:rsid w:val="2F723467"/>
    <w:rsid w:val="300D1093"/>
    <w:rsid w:val="32727931"/>
    <w:rsid w:val="32A02B99"/>
    <w:rsid w:val="33D414D0"/>
    <w:rsid w:val="36ED51A3"/>
    <w:rsid w:val="385F453E"/>
    <w:rsid w:val="3904350B"/>
    <w:rsid w:val="39FF1CBA"/>
    <w:rsid w:val="3A120025"/>
    <w:rsid w:val="3BA80B19"/>
    <w:rsid w:val="3BAD0B1C"/>
    <w:rsid w:val="3C4240EC"/>
    <w:rsid w:val="3C7D658B"/>
    <w:rsid w:val="3D97155F"/>
    <w:rsid w:val="3F3A1FEB"/>
    <w:rsid w:val="41426716"/>
    <w:rsid w:val="41A14143"/>
    <w:rsid w:val="42253D73"/>
    <w:rsid w:val="42A0426F"/>
    <w:rsid w:val="4302721D"/>
    <w:rsid w:val="46422511"/>
    <w:rsid w:val="483165E9"/>
    <w:rsid w:val="48353B7C"/>
    <w:rsid w:val="48F21A0E"/>
    <w:rsid w:val="49C126DC"/>
    <w:rsid w:val="4A0C50C4"/>
    <w:rsid w:val="4A2B406F"/>
    <w:rsid w:val="4B29488D"/>
    <w:rsid w:val="4B2F661D"/>
    <w:rsid w:val="4B3C3438"/>
    <w:rsid w:val="4BC770B4"/>
    <w:rsid w:val="4D785C77"/>
    <w:rsid w:val="4E5740AF"/>
    <w:rsid w:val="4EAC5711"/>
    <w:rsid w:val="4EED295C"/>
    <w:rsid w:val="4F456574"/>
    <w:rsid w:val="51353479"/>
    <w:rsid w:val="513B64FE"/>
    <w:rsid w:val="51B2004B"/>
    <w:rsid w:val="53356422"/>
    <w:rsid w:val="54763DED"/>
    <w:rsid w:val="5490730D"/>
    <w:rsid w:val="57CA724E"/>
    <w:rsid w:val="58401466"/>
    <w:rsid w:val="58647A18"/>
    <w:rsid w:val="594B4AC8"/>
    <w:rsid w:val="596E6335"/>
    <w:rsid w:val="5A3A2DDD"/>
    <w:rsid w:val="5C55014E"/>
    <w:rsid w:val="5FE23FA4"/>
    <w:rsid w:val="61281D14"/>
    <w:rsid w:val="6208035B"/>
    <w:rsid w:val="62787166"/>
    <w:rsid w:val="63304269"/>
    <w:rsid w:val="63CC39DF"/>
    <w:rsid w:val="666607FD"/>
    <w:rsid w:val="67ED268F"/>
    <w:rsid w:val="687236A1"/>
    <w:rsid w:val="6B241A17"/>
    <w:rsid w:val="6BBE098B"/>
    <w:rsid w:val="6C30091E"/>
    <w:rsid w:val="6D202CCC"/>
    <w:rsid w:val="6E9C0F6F"/>
    <w:rsid w:val="6EBA3C74"/>
    <w:rsid w:val="6F191B24"/>
    <w:rsid w:val="6FF81501"/>
    <w:rsid w:val="70BA0C36"/>
    <w:rsid w:val="710D24DA"/>
    <w:rsid w:val="716239EC"/>
    <w:rsid w:val="726D70E7"/>
    <w:rsid w:val="7297785C"/>
    <w:rsid w:val="73705292"/>
    <w:rsid w:val="738A7C7B"/>
    <w:rsid w:val="78662B3E"/>
    <w:rsid w:val="789178DE"/>
    <w:rsid w:val="794B0ACF"/>
    <w:rsid w:val="79911DB5"/>
    <w:rsid w:val="7991361D"/>
    <w:rsid w:val="7A453D6E"/>
    <w:rsid w:val="7A942A3C"/>
    <w:rsid w:val="7C9C4E59"/>
    <w:rsid w:val="7E9A130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99" w:semiHidden="0" w:name="footnote reference"/>
    <w:lsdException w:qFormat="1" w:uiPriority="0"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7"/>
    <w:qFormat/>
    <w:uiPriority w:val="0"/>
    <w:pPr>
      <w:keepNext/>
      <w:keepLines/>
      <w:spacing w:before="340" w:after="330" w:line="578" w:lineRule="auto"/>
      <w:outlineLvl w:val="0"/>
    </w:pPr>
    <w:rPr>
      <w:b/>
      <w:bCs/>
      <w:kern w:val="44"/>
      <w:sz w:val="44"/>
      <w:szCs w:val="44"/>
    </w:rPr>
  </w:style>
  <w:style w:type="paragraph" w:styleId="6">
    <w:name w:val="heading 2"/>
    <w:basedOn w:val="1"/>
    <w:next w:val="1"/>
    <w:link w:val="71"/>
    <w:qFormat/>
    <w:uiPriority w:val="0"/>
    <w:pPr>
      <w:keepNext/>
      <w:keepLines/>
      <w:spacing w:before="260" w:after="260" w:line="416" w:lineRule="auto"/>
      <w:outlineLvl w:val="1"/>
    </w:pPr>
    <w:rPr>
      <w:rFonts w:ascii="Arial" w:hAnsi="Arial" w:eastAsia="黑体"/>
      <w:b/>
      <w:bCs/>
      <w:kern w:val="0"/>
      <w:sz w:val="32"/>
      <w:szCs w:val="32"/>
    </w:rPr>
  </w:style>
  <w:style w:type="paragraph" w:styleId="7">
    <w:name w:val="heading 3"/>
    <w:basedOn w:val="1"/>
    <w:next w:val="1"/>
    <w:link w:val="98"/>
    <w:qFormat/>
    <w:uiPriority w:val="0"/>
    <w:pPr>
      <w:keepNext/>
      <w:keepLines/>
      <w:spacing w:before="260" w:after="260" w:line="416" w:lineRule="auto"/>
      <w:outlineLvl w:val="2"/>
    </w:pPr>
    <w:rPr>
      <w:b/>
      <w:bCs/>
      <w:kern w:val="0"/>
      <w:sz w:val="32"/>
      <w:szCs w:val="32"/>
    </w:rPr>
  </w:style>
  <w:style w:type="paragraph" w:styleId="8">
    <w:name w:val="heading 4"/>
    <w:basedOn w:val="1"/>
    <w:next w:val="1"/>
    <w:qFormat/>
    <w:uiPriority w:val="0"/>
    <w:pPr>
      <w:keepNext/>
      <w:keepLines/>
      <w:widowControl/>
      <w:spacing w:before="120" w:after="120" w:line="360" w:lineRule="auto"/>
      <w:jc w:val="center"/>
      <w:outlineLvl w:val="3"/>
    </w:pPr>
    <w:rPr>
      <w:rFonts w:ascii="Arial" w:hAnsi="Arial" w:eastAsia="黑体"/>
      <w:kern w:val="0"/>
      <w:sz w:val="28"/>
      <w:szCs w:val="20"/>
    </w:rPr>
  </w:style>
  <w:style w:type="paragraph" w:styleId="9">
    <w:name w:val="heading 5"/>
    <w:basedOn w:val="1"/>
    <w:next w:val="10"/>
    <w:link w:val="88"/>
    <w:qFormat/>
    <w:uiPriority w:val="0"/>
    <w:pPr>
      <w:keepNext/>
      <w:keepLines/>
      <w:numPr>
        <w:ilvl w:val="4"/>
        <w:numId w:val="1"/>
      </w:numPr>
      <w:spacing w:before="280" w:after="290" w:line="376" w:lineRule="auto"/>
      <w:outlineLvl w:val="4"/>
    </w:pPr>
    <w:rPr>
      <w:b/>
      <w:sz w:val="28"/>
    </w:rPr>
  </w:style>
  <w:style w:type="paragraph" w:styleId="11">
    <w:name w:val="heading 6"/>
    <w:basedOn w:val="1"/>
    <w:next w:val="10"/>
    <w:link w:val="99"/>
    <w:qFormat/>
    <w:uiPriority w:val="0"/>
    <w:pPr>
      <w:keepNext/>
      <w:keepLines/>
      <w:numPr>
        <w:ilvl w:val="5"/>
        <w:numId w:val="1"/>
      </w:numPr>
      <w:spacing w:before="240" w:after="64" w:line="320" w:lineRule="auto"/>
      <w:outlineLvl w:val="5"/>
    </w:pPr>
    <w:rPr>
      <w:rFonts w:ascii="Arial" w:hAnsi="Arial" w:eastAsia="黑体"/>
      <w:b/>
      <w:sz w:val="24"/>
    </w:rPr>
  </w:style>
  <w:style w:type="paragraph" w:styleId="12">
    <w:name w:val="heading 7"/>
    <w:basedOn w:val="1"/>
    <w:next w:val="10"/>
    <w:link w:val="79"/>
    <w:qFormat/>
    <w:uiPriority w:val="0"/>
    <w:pPr>
      <w:keepNext/>
      <w:keepLines/>
      <w:numPr>
        <w:ilvl w:val="6"/>
        <w:numId w:val="1"/>
      </w:numPr>
      <w:spacing w:before="240" w:after="64" w:line="320" w:lineRule="auto"/>
      <w:outlineLvl w:val="6"/>
    </w:pPr>
    <w:rPr>
      <w:b/>
      <w:sz w:val="24"/>
    </w:rPr>
  </w:style>
  <w:style w:type="paragraph" w:styleId="13">
    <w:name w:val="heading 8"/>
    <w:basedOn w:val="1"/>
    <w:next w:val="10"/>
    <w:link w:val="78"/>
    <w:qFormat/>
    <w:uiPriority w:val="0"/>
    <w:pPr>
      <w:keepNext/>
      <w:keepLines/>
      <w:numPr>
        <w:ilvl w:val="7"/>
        <w:numId w:val="1"/>
      </w:numPr>
      <w:spacing w:before="240" w:after="64" w:line="320" w:lineRule="auto"/>
      <w:outlineLvl w:val="7"/>
    </w:pPr>
    <w:rPr>
      <w:rFonts w:ascii="Arial" w:hAnsi="Arial" w:eastAsia="黑体"/>
      <w:sz w:val="24"/>
    </w:rPr>
  </w:style>
  <w:style w:type="paragraph" w:styleId="14">
    <w:name w:val="heading 9"/>
    <w:basedOn w:val="1"/>
    <w:next w:val="10"/>
    <w:link w:val="75"/>
    <w:qFormat/>
    <w:uiPriority w:val="0"/>
    <w:pPr>
      <w:keepNext/>
      <w:keepLines/>
      <w:numPr>
        <w:ilvl w:val="8"/>
        <w:numId w:val="1"/>
      </w:numPr>
      <w:spacing w:before="240" w:after="64" w:line="320" w:lineRule="auto"/>
      <w:outlineLvl w:val="8"/>
    </w:pPr>
    <w:rPr>
      <w:rFonts w:ascii="Arial" w:hAnsi="Arial" w:eastAsia="黑体"/>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3"/>
    <w:qFormat/>
    <w:uiPriority w:val="99"/>
    <w:pPr>
      <w:spacing w:line="380" w:lineRule="exact"/>
    </w:pPr>
    <w:rPr>
      <w:kern w:val="0"/>
      <w:sz w:val="24"/>
    </w:rPr>
  </w:style>
  <w:style w:type="paragraph" w:styleId="3">
    <w:name w:val="Body Text First Indent 2"/>
    <w:basedOn w:val="4"/>
    <w:qFormat/>
    <w:uiPriority w:val="0"/>
    <w:pPr>
      <w:widowControl/>
      <w:spacing w:line="360" w:lineRule="auto"/>
      <w:ind w:left="-358" w:leftChars="-128" w:firstLine="560" w:firstLineChars="200"/>
      <w:jc w:val="left"/>
    </w:pPr>
    <w:rPr>
      <w:rFonts w:ascii="Times New Roman"/>
      <w:sz w:val="28"/>
    </w:rPr>
  </w:style>
  <w:style w:type="paragraph" w:styleId="4">
    <w:name w:val="Body Text Indent"/>
    <w:basedOn w:val="1"/>
    <w:link w:val="95"/>
    <w:qFormat/>
    <w:uiPriority w:val="0"/>
    <w:pPr>
      <w:ind w:firstLine="830" w:firstLineChars="352"/>
    </w:pPr>
    <w:rPr>
      <w:rFonts w:ascii="仿宋_GB2312" w:eastAsia="仿宋_GB2312"/>
      <w:kern w:val="0"/>
      <w:sz w:val="32"/>
      <w:szCs w:val="20"/>
    </w:rPr>
  </w:style>
  <w:style w:type="paragraph" w:styleId="10">
    <w:name w:val="Normal Indent"/>
    <w:basedOn w:val="1"/>
    <w:qFormat/>
    <w:uiPriority w:val="0"/>
    <w:pPr>
      <w:ind w:firstLine="420"/>
    </w:pPr>
    <w:rPr>
      <w:szCs w:val="20"/>
    </w:rPr>
  </w:style>
  <w:style w:type="paragraph" w:styleId="15">
    <w:name w:val="toc 7"/>
    <w:basedOn w:val="1"/>
    <w:next w:val="1"/>
    <w:unhideWhenUsed/>
    <w:qFormat/>
    <w:uiPriority w:val="39"/>
    <w:pPr>
      <w:ind w:left="2520" w:leftChars="1200"/>
    </w:pPr>
    <w:rPr>
      <w:rFonts w:ascii="Calibri" w:hAnsi="Calibri"/>
      <w:szCs w:val="22"/>
    </w:rPr>
  </w:style>
  <w:style w:type="paragraph" w:styleId="16">
    <w:name w:val="index 8"/>
    <w:basedOn w:val="1"/>
    <w:next w:val="1"/>
    <w:qFormat/>
    <w:uiPriority w:val="0"/>
    <w:pPr>
      <w:ind w:left="2940"/>
    </w:pPr>
  </w:style>
  <w:style w:type="paragraph" w:styleId="17">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8">
    <w:name w:val="caption"/>
    <w:basedOn w:val="1"/>
    <w:next w:val="1"/>
    <w:qFormat/>
    <w:uiPriority w:val="0"/>
    <w:pPr>
      <w:spacing w:before="152" w:after="160"/>
    </w:pPr>
    <w:rPr>
      <w:rFonts w:ascii="Arial" w:hAnsi="Arial" w:eastAsia="黑体" w:cs="Arial"/>
      <w:sz w:val="20"/>
      <w:szCs w:val="20"/>
    </w:rPr>
  </w:style>
  <w:style w:type="paragraph" w:styleId="19">
    <w:name w:val="annotation text"/>
    <w:basedOn w:val="1"/>
    <w:link w:val="86"/>
    <w:unhideWhenUsed/>
    <w:qFormat/>
    <w:uiPriority w:val="99"/>
    <w:pPr>
      <w:jc w:val="left"/>
    </w:pPr>
  </w:style>
  <w:style w:type="paragraph" w:styleId="20">
    <w:name w:val="Body Text 3"/>
    <w:basedOn w:val="1"/>
    <w:link w:val="81"/>
    <w:qFormat/>
    <w:uiPriority w:val="0"/>
    <w:pPr>
      <w:spacing w:line="500" w:lineRule="exact"/>
    </w:pPr>
    <w:rPr>
      <w:b/>
      <w:bCs/>
      <w:kern w:val="0"/>
      <w:sz w:val="24"/>
    </w:rPr>
  </w:style>
  <w:style w:type="paragraph" w:styleId="21">
    <w:name w:val="List Number 3"/>
    <w:basedOn w:val="1"/>
    <w:qFormat/>
    <w:uiPriority w:val="0"/>
    <w:pPr>
      <w:numPr>
        <w:ilvl w:val="0"/>
        <w:numId w:val="2"/>
      </w:numPr>
    </w:pPr>
  </w:style>
  <w:style w:type="paragraph" w:styleId="22">
    <w:name w:val="List 2"/>
    <w:basedOn w:val="1"/>
    <w:qFormat/>
    <w:uiPriority w:val="0"/>
    <w:pPr>
      <w:ind w:left="100" w:leftChars="200" w:hanging="200" w:hangingChars="200"/>
    </w:pPr>
    <w:rPr>
      <w:sz w:val="28"/>
    </w:rPr>
  </w:style>
  <w:style w:type="paragraph" w:styleId="23">
    <w:name w:val="toc 5"/>
    <w:basedOn w:val="1"/>
    <w:next w:val="1"/>
    <w:unhideWhenUsed/>
    <w:qFormat/>
    <w:uiPriority w:val="39"/>
    <w:pPr>
      <w:ind w:left="1680" w:leftChars="800"/>
    </w:pPr>
    <w:rPr>
      <w:rFonts w:ascii="Calibri" w:hAnsi="Calibri"/>
      <w:szCs w:val="22"/>
    </w:rPr>
  </w:style>
  <w:style w:type="paragraph" w:styleId="24">
    <w:name w:val="toc 3"/>
    <w:basedOn w:val="1"/>
    <w:next w:val="1"/>
    <w:unhideWhenUsed/>
    <w:qFormat/>
    <w:uiPriority w:val="39"/>
    <w:pPr>
      <w:ind w:left="840" w:leftChars="400"/>
    </w:pPr>
    <w:rPr>
      <w:rFonts w:ascii="Calibri" w:hAnsi="Calibri"/>
      <w:szCs w:val="22"/>
    </w:rPr>
  </w:style>
  <w:style w:type="paragraph" w:styleId="25">
    <w:name w:val="Plain Text"/>
    <w:basedOn w:val="1"/>
    <w:next w:val="16"/>
    <w:link w:val="85"/>
    <w:qFormat/>
    <w:uiPriority w:val="0"/>
    <w:rPr>
      <w:rFonts w:ascii="宋体" w:hAnsi="Courier New"/>
      <w:kern w:val="0"/>
      <w:sz w:val="20"/>
      <w:szCs w:val="21"/>
    </w:rPr>
  </w:style>
  <w:style w:type="paragraph" w:styleId="26">
    <w:name w:val="toc 8"/>
    <w:basedOn w:val="1"/>
    <w:next w:val="1"/>
    <w:unhideWhenUsed/>
    <w:qFormat/>
    <w:uiPriority w:val="39"/>
    <w:pPr>
      <w:ind w:left="2940" w:leftChars="1400"/>
    </w:pPr>
    <w:rPr>
      <w:rFonts w:ascii="Calibri" w:hAnsi="Calibri"/>
      <w:szCs w:val="22"/>
    </w:rPr>
  </w:style>
  <w:style w:type="paragraph" w:styleId="27">
    <w:name w:val="Date"/>
    <w:basedOn w:val="1"/>
    <w:next w:val="1"/>
    <w:link w:val="97"/>
    <w:qFormat/>
    <w:uiPriority w:val="0"/>
    <w:pPr>
      <w:ind w:left="100" w:leftChars="2500"/>
    </w:pPr>
    <w:rPr>
      <w:rFonts w:ascii="宋体" w:hAnsi="Courier New"/>
      <w:kern w:val="0"/>
      <w:sz w:val="20"/>
      <w:szCs w:val="21"/>
    </w:rPr>
  </w:style>
  <w:style w:type="paragraph" w:styleId="28">
    <w:name w:val="Body Text Indent 2"/>
    <w:basedOn w:val="1"/>
    <w:link w:val="92"/>
    <w:qFormat/>
    <w:uiPriority w:val="0"/>
    <w:pPr>
      <w:ind w:firstLine="630"/>
    </w:pPr>
    <w:rPr>
      <w:kern w:val="0"/>
      <w:sz w:val="32"/>
      <w:szCs w:val="20"/>
    </w:rPr>
  </w:style>
  <w:style w:type="paragraph" w:styleId="29">
    <w:name w:val="endnote text"/>
    <w:basedOn w:val="1"/>
    <w:link w:val="72"/>
    <w:unhideWhenUsed/>
    <w:qFormat/>
    <w:uiPriority w:val="99"/>
    <w:pPr>
      <w:snapToGrid w:val="0"/>
      <w:jc w:val="left"/>
    </w:pPr>
  </w:style>
  <w:style w:type="paragraph" w:styleId="30">
    <w:name w:val="Balloon Text"/>
    <w:basedOn w:val="1"/>
    <w:link w:val="76"/>
    <w:semiHidden/>
    <w:qFormat/>
    <w:uiPriority w:val="0"/>
    <w:rPr>
      <w:kern w:val="0"/>
      <w:sz w:val="18"/>
      <w:szCs w:val="18"/>
    </w:rPr>
  </w:style>
  <w:style w:type="paragraph" w:styleId="31">
    <w:name w:val="footer"/>
    <w:basedOn w:val="1"/>
    <w:link w:val="74"/>
    <w:unhideWhenUsed/>
    <w:qFormat/>
    <w:uiPriority w:val="99"/>
    <w:pPr>
      <w:tabs>
        <w:tab w:val="center" w:pos="4153"/>
        <w:tab w:val="right" w:pos="8306"/>
      </w:tabs>
      <w:snapToGrid w:val="0"/>
      <w:jc w:val="left"/>
    </w:pPr>
    <w:rPr>
      <w:rFonts w:ascii="Calibri" w:hAnsi="Calibri"/>
      <w:kern w:val="0"/>
      <w:sz w:val="18"/>
      <w:szCs w:val="18"/>
    </w:rPr>
  </w:style>
  <w:style w:type="paragraph" w:styleId="32">
    <w:name w:val="header"/>
    <w:basedOn w:val="1"/>
    <w:link w:val="82"/>
    <w:unhideWhenUsed/>
    <w:qFormat/>
    <w:uiPriority w:val="99"/>
    <w:pPr>
      <w:pBdr>
        <w:bottom w:val="single" w:color="auto" w:sz="6" w:space="1"/>
      </w:pBdr>
      <w:tabs>
        <w:tab w:val="center" w:pos="0"/>
        <w:tab w:val="left" w:pos="8306"/>
      </w:tabs>
      <w:snapToGrid w:val="0"/>
      <w:jc w:val="center"/>
    </w:pPr>
    <w:rPr>
      <w:sz w:val="18"/>
      <w:szCs w:val="18"/>
    </w:rPr>
  </w:style>
  <w:style w:type="paragraph" w:styleId="33">
    <w:name w:val="toc 1"/>
    <w:basedOn w:val="1"/>
    <w:next w:val="1"/>
    <w:qFormat/>
    <w:uiPriority w:val="39"/>
    <w:pPr>
      <w:tabs>
        <w:tab w:val="right" w:leader="dot" w:pos="8398"/>
      </w:tabs>
      <w:spacing w:before="120" w:after="120"/>
      <w:ind w:firstLine="240" w:firstLineChars="100"/>
      <w:jc w:val="left"/>
    </w:pPr>
    <w:rPr>
      <w:rFonts w:ascii="宋体" w:hAnsi="宋体"/>
      <w:b/>
      <w:bCs/>
      <w:caps/>
      <w:sz w:val="24"/>
    </w:rPr>
  </w:style>
  <w:style w:type="paragraph" w:styleId="34">
    <w:name w:val="toc 4"/>
    <w:basedOn w:val="1"/>
    <w:next w:val="1"/>
    <w:unhideWhenUsed/>
    <w:qFormat/>
    <w:uiPriority w:val="39"/>
    <w:pPr>
      <w:ind w:left="1260" w:leftChars="600"/>
    </w:pPr>
    <w:rPr>
      <w:rFonts w:ascii="Calibri" w:hAnsi="Calibri"/>
      <w:szCs w:val="22"/>
    </w:rPr>
  </w:style>
  <w:style w:type="paragraph" w:styleId="35">
    <w:name w:val="List"/>
    <w:basedOn w:val="1"/>
    <w:qFormat/>
    <w:uiPriority w:val="0"/>
    <w:pPr>
      <w:ind w:left="200" w:hanging="200" w:hangingChars="200"/>
    </w:pPr>
    <w:rPr>
      <w:sz w:val="28"/>
    </w:rPr>
  </w:style>
  <w:style w:type="paragraph" w:styleId="36">
    <w:name w:val="footnote text"/>
    <w:basedOn w:val="1"/>
    <w:link w:val="77"/>
    <w:unhideWhenUsed/>
    <w:qFormat/>
    <w:uiPriority w:val="99"/>
    <w:pPr>
      <w:snapToGrid w:val="0"/>
      <w:jc w:val="left"/>
    </w:pPr>
    <w:rPr>
      <w:sz w:val="18"/>
      <w:szCs w:val="18"/>
    </w:rPr>
  </w:style>
  <w:style w:type="paragraph" w:styleId="37">
    <w:name w:val="toc 6"/>
    <w:basedOn w:val="1"/>
    <w:next w:val="1"/>
    <w:unhideWhenUsed/>
    <w:qFormat/>
    <w:uiPriority w:val="39"/>
    <w:pPr>
      <w:ind w:left="2100" w:leftChars="1000"/>
    </w:pPr>
    <w:rPr>
      <w:rFonts w:ascii="Calibri" w:hAnsi="Calibri"/>
      <w:szCs w:val="22"/>
    </w:rPr>
  </w:style>
  <w:style w:type="paragraph" w:styleId="38">
    <w:name w:val="Body Text Indent 3"/>
    <w:basedOn w:val="1"/>
    <w:link w:val="83"/>
    <w:qFormat/>
    <w:uiPriority w:val="0"/>
    <w:pPr>
      <w:spacing w:after="120"/>
      <w:ind w:left="420" w:leftChars="200"/>
    </w:pPr>
    <w:rPr>
      <w:kern w:val="0"/>
      <w:sz w:val="16"/>
      <w:szCs w:val="16"/>
    </w:rPr>
  </w:style>
  <w:style w:type="paragraph" w:styleId="39">
    <w:name w:val="toc 2"/>
    <w:basedOn w:val="1"/>
    <w:next w:val="1"/>
    <w:unhideWhenUsed/>
    <w:qFormat/>
    <w:uiPriority w:val="39"/>
    <w:pPr>
      <w:ind w:left="420" w:leftChars="200"/>
    </w:pPr>
  </w:style>
  <w:style w:type="paragraph" w:styleId="40">
    <w:name w:val="toc 9"/>
    <w:basedOn w:val="1"/>
    <w:next w:val="1"/>
    <w:unhideWhenUsed/>
    <w:qFormat/>
    <w:uiPriority w:val="39"/>
    <w:pPr>
      <w:ind w:left="3360" w:leftChars="1600"/>
    </w:pPr>
    <w:rPr>
      <w:rFonts w:ascii="Calibri" w:hAnsi="Calibri"/>
      <w:szCs w:val="22"/>
    </w:rPr>
  </w:style>
  <w:style w:type="paragraph" w:styleId="41">
    <w:name w:val="Body Text 2"/>
    <w:basedOn w:val="1"/>
    <w:link w:val="90"/>
    <w:qFormat/>
    <w:uiPriority w:val="0"/>
    <w:pPr>
      <w:spacing w:after="120" w:line="480" w:lineRule="auto"/>
    </w:pPr>
    <w:rPr>
      <w:kern w:val="0"/>
      <w:sz w:val="20"/>
    </w:rPr>
  </w:style>
  <w:style w:type="paragraph" w:styleId="42">
    <w:name w:val="Normal (Web)"/>
    <w:basedOn w:val="1"/>
    <w:link w:val="103"/>
    <w:qFormat/>
    <w:uiPriority w:val="0"/>
    <w:pPr>
      <w:widowControl/>
      <w:spacing w:before="100" w:beforeAutospacing="1" w:after="100" w:afterAutospacing="1"/>
      <w:jc w:val="left"/>
    </w:pPr>
    <w:rPr>
      <w:rFonts w:ascii="宋体" w:hAnsi="宋体"/>
      <w:kern w:val="0"/>
      <w:sz w:val="24"/>
    </w:rPr>
  </w:style>
  <w:style w:type="paragraph" w:styleId="43">
    <w:name w:val="index 1"/>
    <w:basedOn w:val="1"/>
    <w:next w:val="1"/>
    <w:semiHidden/>
    <w:qFormat/>
    <w:uiPriority w:val="0"/>
    <w:pPr>
      <w:spacing w:line="400" w:lineRule="exact"/>
      <w:ind w:firstLine="420" w:firstLineChars="200"/>
    </w:pPr>
    <w:rPr>
      <w:rFonts w:ascii="宋体" w:hAnsi="Courier New"/>
      <w:b/>
      <w:szCs w:val="20"/>
    </w:rPr>
  </w:style>
  <w:style w:type="paragraph" w:styleId="44">
    <w:name w:val="Title"/>
    <w:basedOn w:val="1"/>
    <w:next w:val="1"/>
    <w:link w:val="94"/>
    <w:qFormat/>
    <w:uiPriority w:val="10"/>
    <w:pPr>
      <w:spacing w:before="240" w:after="60"/>
      <w:jc w:val="center"/>
      <w:outlineLvl w:val="0"/>
    </w:pPr>
    <w:rPr>
      <w:rFonts w:ascii="Cambria" w:hAnsi="Cambria"/>
      <w:b/>
      <w:bCs/>
      <w:sz w:val="32"/>
      <w:szCs w:val="32"/>
    </w:rPr>
  </w:style>
  <w:style w:type="paragraph" w:styleId="45">
    <w:name w:val="annotation subject"/>
    <w:basedOn w:val="19"/>
    <w:next w:val="19"/>
    <w:link w:val="93"/>
    <w:unhideWhenUsed/>
    <w:qFormat/>
    <w:uiPriority w:val="99"/>
    <w:rPr>
      <w:b/>
      <w:bCs/>
    </w:rPr>
  </w:style>
  <w:style w:type="table" w:styleId="47">
    <w:name w:val="Table Grid"/>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9">
    <w:name w:val="Strong"/>
    <w:basedOn w:val="48"/>
    <w:qFormat/>
    <w:uiPriority w:val="22"/>
    <w:rPr>
      <w:b/>
    </w:rPr>
  </w:style>
  <w:style w:type="character" w:styleId="50">
    <w:name w:val="endnote reference"/>
    <w:unhideWhenUsed/>
    <w:qFormat/>
    <w:uiPriority w:val="99"/>
    <w:rPr>
      <w:vertAlign w:val="superscript"/>
    </w:rPr>
  </w:style>
  <w:style w:type="character" w:styleId="51">
    <w:name w:val="page number"/>
    <w:basedOn w:val="48"/>
    <w:qFormat/>
    <w:uiPriority w:val="0"/>
  </w:style>
  <w:style w:type="character" w:styleId="52">
    <w:name w:val="FollowedHyperlink"/>
    <w:qFormat/>
    <w:uiPriority w:val="0"/>
    <w:rPr>
      <w:color w:val="800080"/>
      <w:u w:val="single"/>
    </w:rPr>
  </w:style>
  <w:style w:type="character" w:styleId="53">
    <w:name w:val="Hyperlink"/>
    <w:qFormat/>
    <w:uiPriority w:val="99"/>
    <w:rPr>
      <w:color w:val="0000FF"/>
      <w:u w:val="single"/>
    </w:rPr>
  </w:style>
  <w:style w:type="character" w:styleId="54">
    <w:name w:val="annotation reference"/>
    <w:unhideWhenUsed/>
    <w:qFormat/>
    <w:uiPriority w:val="0"/>
    <w:rPr>
      <w:sz w:val="21"/>
      <w:szCs w:val="21"/>
    </w:rPr>
  </w:style>
  <w:style w:type="character" w:styleId="55">
    <w:name w:val="footnote reference"/>
    <w:unhideWhenUsed/>
    <w:qFormat/>
    <w:uiPriority w:val="99"/>
    <w:rPr>
      <w:vertAlign w:val="superscript"/>
    </w:rPr>
  </w:style>
  <w:style w:type="paragraph" w:customStyle="1" w:styleId="56">
    <w:name w:val="样式 标题 2 + Times New Roman 四号 非加粗 段前: 5 磅 段后: 0 磅 行距: 固定值 20..."/>
    <w:basedOn w:val="6"/>
    <w:qFormat/>
    <w:uiPriority w:val="0"/>
    <w:pPr>
      <w:spacing w:before="100" w:after="0" w:line="400" w:lineRule="exact"/>
    </w:pPr>
    <w:rPr>
      <w:rFonts w:ascii="Times New Roman" w:hAnsi="Times New Roman" w:cs="宋体"/>
      <w:b w:val="0"/>
      <w:bCs w:val="0"/>
      <w:sz w:val="28"/>
      <w:szCs w:val="20"/>
    </w:rPr>
  </w:style>
  <w:style w:type="paragraph" w:customStyle="1" w:styleId="57">
    <w:name w:val="正文段"/>
    <w:basedOn w:val="1"/>
    <w:qFormat/>
    <w:uiPriority w:val="0"/>
    <w:pPr>
      <w:widowControl/>
      <w:snapToGrid w:val="0"/>
      <w:spacing w:afterLines="50"/>
      <w:ind w:firstLine="200" w:firstLineChars="200"/>
    </w:pPr>
    <w:rPr>
      <w:kern w:val="0"/>
      <w:sz w:val="24"/>
      <w:szCs w:val="20"/>
    </w:rPr>
  </w:style>
  <w:style w:type="paragraph" w:customStyle="1" w:styleId="58">
    <w:name w:val="纯文本1"/>
    <w:basedOn w:val="1"/>
    <w:qFormat/>
    <w:uiPriority w:val="0"/>
    <w:rPr>
      <w:rFonts w:ascii="宋体" w:hAnsi="Courier New" w:cs="Century"/>
      <w:szCs w:val="21"/>
    </w:rPr>
  </w:style>
  <w:style w:type="paragraph" w:customStyle="1" w:styleId="59">
    <w:name w:val="xl22"/>
    <w:basedOn w:val="1"/>
    <w:qFormat/>
    <w:uiPriority w:val="0"/>
    <w:pPr>
      <w:widowControl/>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60">
    <w:name w:val="样式"/>
    <w:qFormat/>
    <w:uiPriority w:val="0"/>
    <w:pPr>
      <w:widowControl w:val="0"/>
      <w:autoSpaceDE w:val="0"/>
      <w:autoSpaceDN w:val="0"/>
      <w:adjustRightInd w:val="0"/>
      <w:jc w:val="center"/>
    </w:pPr>
    <w:rPr>
      <w:rFonts w:ascii="宋体" w:hAnsi="宋体" w:eastAsia="宋体" w:cs="宋体"/>
      <w:sz w:val="24"/>
      <w:szCs w:val="24"/>
      <w:lang w:val="en-US" w:eastAsia="zh-CN" w:bidi="ar-SA"/>
    </w:rPr>
  </w:style>
  <w:style w:type="paragraph" w:customStyle="1" w:styleId="61">
    <w:name w:val="List Paragraph1"/>
    <w:basedOn w:val="1"/>
    <w:qFormat/>
    <w:uiPriority w:val="0"/>
    <w:pPr>
      <w:ind w:firstLine="420" w:firstLineChars="200"/>
    </w:pPr>
    <w:rPr>
      <w:szCs w:val="20"/>
    </w:rPr>
  </w:style>
  <w:style w:type="paragraph" w:customStyle="1" w:styleId="62">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63">
    <w:name w:val="样式 首行缩进:  2 字符"/>
    <w:basedOn w:val="1"/>
    <w:qFormat/>
    <w:uiPriority w:val="0"/>
    <w:pPr>
      <w:spacing w:line="400" w:lineRule="exact"/>
      <w:ind w:firstLine="200" w:firstLineChars="200"/>
    </w:pPr>
    <w:rPr>
      <w:rFonts w:cs="宋体"/>
      <w:sz w:val="24"/>
    </w:rPr>
  </w:style>
  <w:style w:type="paragraph" w:customStyle="1" w:styleId="64">
    <w:name w:val="正文首行缩进两字符"/>
    <w:basedOn w:val="1"/>
    <w:qFormat/>
    <w:uiPriority w:val="0"/>
    <w:pPr>
      <w:spacing w:line="360" w:lineRule="auto"/>
      <w:ind w:firstLine="200" w:firstLineChars="200"/>
    </w:pPr>
  </w:style>
  <w:style w:type="paragraph" w:customStyle="1" w:styleId="65">
    <w:name w:val="默认段落字体 Para Char Char Char Char Char Char Char Char Char1 Char Char Char Char"/>
    <w:basedOn w:val="1"/>
    <w:qFormat/>
    <w:uiPriority w:val="0"/>
    <w:rPr>
      <w:rFonts w:ascii="Tahoma" w:hAnsi="Tahoma"/>
      <w:sz w:val="24"/>
      <w:szCs w:val="20"/>
    </w:rPr>
  </w:style>
  <w:style w:type="paragraph" w:customStyle="1" w:styleId="66">
    <w:name w:val="样式 标题 3 + (中文) 黑体 小四 非加粗 段前: 7.8 磅 段后: 0 磅 行距: 固定值 20 磅"/>
    <w:basedOn w:val="7"/>
    <w:qFormat/>
    <w:uiPriority w:val="0"/>
    <w:pPr>
      <w:spacing w:before="0" w:after="0" w:line="400" w:lineRule="exact"/>
    </w:pPr>
    <w:rPr>
      <w:rFonts w:eastAsia="黑体" w:cs="宋体"/>
      <w:b w:val="0"/>
      <w:bCs w:val="0"/>
      <w:sz w:val="24"/>
      <w:szCs w:val="20"/>
    </w:rPr>
  </w:style>
  <w:style w:type="paragraph" w:styleId="67">
    <w:name w:val="List Paragraph"/>
    <w:basedOn w:val="1"/>
    <w:qFormat/>
    <w:uiPriority w:val="34"/>
    <w:pPr>
      <w:ind w:firstLine="420" w:firstLineChars="200"/>
    </w:pPr>
  </w:style>
  <w:style w:type="paragraph" w:customStyle="1" w:styleId="68">
    <w:name w:val="Char1"/>
    <w:basedOn w:val="1"/>
    <w:qFormat/>
    <w:uiPriority w:val="0"/>
    <w:rPr>
      <w:szCs w:val="21"/>
    </w:rPr>
  </w:style>
  <w:style w:type="paragraph" w:customStyle="1" w:styleId="69">
    <w:name w:val="表格"/>
    <w:basedOn w:val="1"/>
    <w:qFormat/>
    <w:uiPriority w:val="0"/>
    <w:pPr>
      <w:spacing w:line="400" w:lineRule="exact"/>
    </w:pPr>
    <w:rPr>
      <w:sz w:val="24"/>
    </w:rPr>
  </w:style>
  <w:style w:type="paragraph" w:customStyle="1" w:styleId="70">
    <w:name w:val="_Style 65"/>
    <w:hidden/>
    <w:semiHidden/>
    <w:unhideWhenUsed/>
    <w:qFormat/>
    <w:uiPriority w:val="99"/>
    <w:rPr>
      <w:rFonts w:ascii="Times New Roman" w:hAnsi="Times New Roman" w:eastAsia="宋体" w:cs="Times New Roman"/>
      <w:kern w:val="2"/>
      <w:sz w:val="21"/>
      <w:szCs w:val="24"/>
      <w:lang w:val="en-US" w:eastAsia="zh-CN" w:bidi="ar-SA"/>
    </w:rPr>
  </w:style>
  <w:style w:type="character" w:customStyle="1" w:styleId="71">
    <w:name w:val="标题 2 Char"/>
    <w:link w:val="6"/>
    <w:qFormat/>
    <w:uiPriority w:val="0"/>
    <w:rPr>
      <w:rFonts w:ascii="Arial" w:hAnsi="Arial" w:eastAsia="黑体" w:cs="Times New Roman"/>
      <w:b/>
      <w:bCs/>
      <w:sz w:val="32"/>
      <w:szCs w:val="32"/>
    </w:rPr>
  </w:style>
  <w:style w:type="character" w:customStyle="1" w:styleId="72">
    <w:name w:val="尾注文本 Char"/>
    <w:link w:val="29"/>
    <w:semiHidden/>
    <w:qFormat/>
    <w:uiPriority w:val="99"/>
    <w:rPr>
      <w:rFonts w:ascii="Times New Roman" w:hAnsi="Times New Roman"/>
      <w:kern w:val="2"/>
      <w:sz w:val="21"/>
      <w:szCs w:val="24"/>
    </w:rPr>
  </w:style>
  <w:style w:type="character" w:customStyle="1" w:styleId="73">
    <w:name w:val="正文文本 Char"/>
    <w:link w:val="2"/>
    <w:qFormat/>
    <w:uiPriority w:val="99"/>
    <w:rPr>
      <w:rFonts w:ascii="Times New Roman" w:hAnsi="Times New Roman" w:eastAsia="宋体" w:cs="Times New Roman"/>
      <w:sz w:val="24"/>
      <w:szCs w:val="24"/>
    </w:rPr>
  </w:style>
  <w:style w:type="character" w:customStyle="1" w:styleId="74">
    <w:name w:val="页脚 Char"/>
    <w:link w:val="31"/>
    <w:qFormat/>
    <w:uiPriority w:val="99"/>
    <w:rPr>
      <w:sz w:val="18"/>
      <w:szCs w:val="18"/>
    </w:rPr>
  </w:style>
  <w:style w:type="character" w:customStyle="1" w:styleId="75">
    <w:name w:val="标题 9 Char"/>
    <w:link w:val="14"/>
    <w:qFormat/>
    <w:uiPriority w:val="0"/>
    <w:rPr>
      <w:rFonts w:ascii="Arial" w:hAnsi="Arial" w:eastAsia="黑体"/>
      <w:kern w:val="2"/>
      <w:sz w:val="21"/>
      <w:szCs w:val="24"/>
    </w:rPr>
  </w:style>
  <w:style w:type="character" w:customStyle="1" w:styleId="76">
    <w:name w:val="批注框文本 Char"/>
    <w:link w:val="30"/>
    <w:semiHidden/>
    <w:qFormat/>
    <w:uiPriority w:val="0"/>
    <w:rPr>
      <w:rFonts w:ascii="Times New Roman" w:hAnsi="Times New Roman" w:eastAsia="宋体" w:cs="Times New Roman"/>
      <w:sz w:val="18"/>
      <w:szCs w:val="18"/>
    </w:rPr>
  </w:style>
  <w:style w:type="character" w:customStyle="1" w:styleId="77">
    <w:name w:val="脚注文本 Char"/>
    <w:link w:val="36"/>
    <w:semiHidden/>
    <w:qFormat/>
    <w:uiPriority w:val="99"/>
    <w:rPr>
      <w:rFonts w:ascii="Times New Roman" w:hAnsi="Times New Roman"/>
      <w:kern w:val="2"/>
      <w:sz w:val="18"/>
      <w:szCs w:val="18"/>
    </w:rPr>
  </w:style>
  <w:style w:type="character" w:customStyle="1" w:styleId="78">
    <w:name w:val="标题 8 Char"/>
    <w:link w:val="13"/>
    <w:qFormat/>
    <w:uiPriority w:val="0"/>
    <w:rPr>
      <w:rFonts w:ascii="Arial" w:hAnsi="Arial" w:eastAsia="黑体"/>
      <w:kern w:val="2"/>
      <w:sz w:val="24"/>
      <w:szCs w:val="24"/>
    </w:rPr>
  </w:style>
  <w:style w:type="character" w:customStyle="1" w:styleId="79">
    <w:name w:val="标题 7 Char"/>
    <w:link w:val="12"/>
    <w:qFormat/>
    <w:uiPriority w:val="0"/>
    <w:rPr>
      <w:rFonts w:ascii="Times New Roman" w:hAnsi="Times New Roman"/>
      <w:b/>
      <w:kern w:val="2"/>
      <w:sz w:val="24"/>
      <w:szCs w:val="24"/>
    </w:rPr>
  </w:style>
  <w:style w:type="character" w:customStyle="1" w:styleId="80">
    <w:name w:val="case31"/>
    <w:qFormat/>
    <w:uiPriority w:val="0"/>
    <w:rPr>
      <w:rFonts w:hint="default" w:ascii="_x000B__x000C_" w:hAnsi="_x000B__x000C_"/>
      <w:sz w:val="21"/>
      <w:szCs w:val="21"/>
    </w:rPr>
  </w:style>
  <w:style w:type="character" w:customStyle="1" w:styleId="81">
    <w:name w:val="正文文本 3 Char"/>
    <w:link w:val="20"/>
    <w:qFormat/>
    <w:uiPriority w:val="0"/>
    <w:rPr>
      <w:rFonts w:ascii="Times New Roman" w:hAnsi="Times New Roman" w:eastAsia="宋体" w:cs="Times New Roman"/>
      <w:b/>
      <w:bCs/>
      <w:sz w:val="24"/>
      <w:szCs w:val="24"/>
    </w:rPr>
  </w:style>
  <w:style w:type="character" w:customStyle="1" w:styleId="82">
    <w:name w:val="页眉 Char"/>
    <w:link w:val="32"/>
    <w:qFormat/>
    <w:uiPriority w:val="99"/>
    <w:rPr>
      <w:rFonts w:ascii="Times New Roman" w:hAnsi="Times New Roman"/>
      <w:kern w:val="2"/>
      <w:sz w:val="18"/>
      <w:szCs w:val="18"/>
    </w:rPr>
  </w:style>
  <w:style w:type="character" w:customStyle="1" w:styleId="83">
    <w:name w:val="正文文本缩进 3 Char"/>
    <w:link w:val="38"/>
    <w:qFormat/>
    <w:uiPriority w:val="0"/>
    <w:rPr>
      <w:rFonts w:ascii="Times New Roman" w:hAnsi="Times New Roman" w:eastAsia="宋体" w:cs="Times New Roman"/>
      <w:sz w:val="16"/>
      <w:szCs w:val="16"/>
    </w:rPr>
  </w:style>
  <w:style w:type="character" w:customStyle="1" w:styleId="84">
    <w:name w:val="textcontents"/>
    <w:basedOn w:val="48"/>
    <w:qFormat/>
    <w:uiPriority w:val="0"/>
  </w:style>
  <w:style w:type="character" w:customStyle="1" w:styleId="85">
    <w:name w:val="纯文本 Char"/>
    <w:link w:val="25"/>
    <w:qFormat/>
    <w:uiPriority w:val="0"/>
    <w:rPr>
      <w:rFonts w:ascii="宋体" w:hAnsi="Courier New" w:eastAsia="宋体" w:cs="Courier New"/>
      <w:szCs w:val="21"/>
    </w:rPr>
  </w:style>
  <w:style w:type="character" w:customStyle="1" w:styleId="86">
    <w:name w:val="批注文字 Char"/>
    <w:link w:val="19"/>
    <w:qFormat/>
    <w:uiPriority w:val="99"/>
    <w:rPr>
      <w:rFonts w:ascii="Times New Roman" w:hAnsi="Times New Roman"/>
      <w:kern w:val="2"/>
      <w:sz w:val="21"/>
      <w:szCs w:val="24"/>
    </w:rPr>
  </w:style>
  <w:style w:type="character" w:customStyle="1" w:styleId="87">
    <w:name w:val="标题 1 Char"/>
    <w:link w:val="5"/>
    <w:qFormat/>
    <w:uiPriority w:val="0"/>
    <w:rPr>
      <w:rFonts w:ascii="Times New Roman" w:hAnsi="Times New Roman" w:eastAsia="宋体" w:cs="Times New Roman"/>
      <w:b/>
      <w:bCs/>
      <w:kern w:val="44"/>
      <w:sz w:val="44"/>
      <w:szCs w:val="44"/>
    </w:rPr>
  </w:style>
  <w:style w:type="character" w:customStyle="1" w:styleId="88">
    <w:name w:val="标题 5 Char"/>
    <w:link w:val="9"/>
    <w:qFormat/>
    <w:uiPriority w:val="0"/>
    <w:rPr>
      <w:rFonts w:ascii="Times New Roman" w:hAnsi="Times New Roman"/>
      <w:b/>
      <w:kern w:val="2"/>
      <w:sz w:val="28"/>
      <w:szCs w:val="24"/>
    </w:rPr>
  </w:style>
  <w:style w:type="character" w:customStyle="1" w:styleId="89">
    <w:name w:val="apple-style-span"/>
    <w:basedOn w:val="48"/>
    <w:qFormat/>
    <w:uiPriority w:val="0"/>
  </w:style>
  <w:style w:type="character" w:customStyle="1" w:styleId="90">
    <w:name w:val="正文文本 2 Char"/>
    <w:link w:val="41"/>
    <w:qFormat/>
    <w:uiPriority w:val="0"/>
    <w:rPr>
      <w:rFonts w:ascii="Times New Roman" w:hAnsi="Times New Roman" w:eastAsia="宋体" w:cs="Times New Roman"/>
      <w:szCs w:val="24"/>
    </w:rPr>
  </w:style>
  <w:style w:type="character" w:customStyle="1" w:styleId="91">
    <w:name w:val="批注文字 Char1"/>
    <w:qFormat/>
    <w:locked/>
    <w:uiPriority w:val="0"/>
    <w:rPr>
      <w:rFonts w:ascii="Times New Roman" w:hAnsi="Times New Roman"/>
      <w:kern w:val="2"/>
      <w:sz w:val="21"/>
      <w:szCs w:val="24"/>
    </w:rPr>
  </w:style>
  <w:style w:type="character" w:customStyle="1" w:styleId="92">
    <w:name w:val="正文文本缩进 2 Char"/>
    <w:link w:val="28"/>
    <w:qFormat/>
    <w:uiPriority w:val="0"/>
    <w:rPr>
      <w:rFonts w:ascii="Times New Roman" w:hAnsi="Times New Roman" w:eastAsia="宋体" w:cs="Times New Roman"/>
      <w:sz w:val="32"/>
      <w:szCs w:val="20"/>
    </w:rPr>
  </w:style>
  <w:style w:type="character" w:customStyle="1" w:styleId="93">
    <w:name w:val="批注主题 Char"/>
    <w:link w:val="45"/>
    <w:semiHidden/>
    <w:qFormat/>
    <w:uiPriority w:val="99"/>
    <w:rPr>
      <w:rFonts w:ascii="Times New Roman" w:hAnsi="Times New Roman"/>
      <w:b/>
      <w:bCs/>
      <w:kern w:val="2"/>
      <w:sz w:val="21"/>
      <w:szCs w:val="24"/>
    </w:rPr>
  </w:style>
  <w:style w:type="character" w:customStyle="1" w:styleId="94">
    <w:name w:val="标题 Char"/>
    <w:link w:val="44"/>
    <w:qFormat/>
    <w:uiPriority w:val="10"/>
    <w:rPr>
      <w:rFonts w:ascii="Cambria" w:hAnsi="Cambria" w:cs="Times New Roman"/>
      <w:b/>
      <w:bCs/>
      <w:kern w:val="2"/>
      <w:sz w:val="32"/>
      <w:szCs w:val="32"/>
    </w:rPr>
  </w:style>
  <w:style w:type="character" w:customStyle="1" w:styleId="95">
    <w:name w:val="正文文本缩进 Char"/>
    <w:link w:val="4"/>
    <w:qFormat/>
    <w:uiPriority w:val="0"/>
    <w:rPr>
      <w:rFonts w:ascii="仿宋_GB2312" w:hAnsi="Times New Roman" w:eastAsia="仿宋_GB2312" w:cs="Times New Roman"/>
      <w:sz w:val="32"/>
      <w:szCs w:val="20"/>
    </w:rPr>
  </w:style>
  <w:style w:type="character" w:customStyle="1" w:styleId="96">
    <w:name w:val="headline-content4"/>
    <w:basedOn w:val="48"/>
    <w:qFormat/>
    <w:uiPriority w:val="0"/>
  </w:style>
  <w:style w:type="character" w:customStyle="1" w:styleId="97">
    <w:name w:val="日期 Char"/>
    <w:link w:val="27"/>
    <w:qFormat/>
    <w:uiPriority w:val="0"/>
    <w:rPr>
      <w:rFonts w:ascii="宋体" w:hAnsi="Courier New" w:eastAsia="宋体" w:cs="Courier New"/>
      <w:szCs w:val="21"/>
    </w:rPr>
  </w:style>
  <w:style w:type="character" w:customStyle="1" w:styleId="98">
    <w:name w:val="标题 3 Char"/>
    <w:link w:val="7"/>
    <w:qFormat/>
    <w:uiPriority w:val="0"/>
    <w:rPr>
      <w:rFonts w:ascii="Times New Roman" w:hAnsi="Times New Roman" w:eastAsia="宋体" w:cs="Times New Roman"/>
      <w:b/>
      <w:bCs/>
      <w:sz w:val="32"/>
      <w:szCs w:val="32"/>
    </w:rPr>
  </w:style>
  <w:style w:type="character" w:customStyle="1" w:styleId="99">
    <w:name w:val="标题 6 Char"/>
    <w:link w:val="11"/>
    <w:qFormat/>
    <w:uiPriority w:val="0"/>
    <w:rPr>
      <w:rFonts w:ascii="Arial" w:hAnsi="Arial" w:eastAsia="黑体"/>
      <w:b/>
      <w:kern w:val="2"/>
      <w:sz w:val="24"/>
      <w:szCs w:val="24"/>
    </w:rPr>
  </w:style>
  <w:style w:type="character" w:customStyle="1" w:styleId="100">
    <w:name w:val="纯文本 Char1"/>
    <w:qFormat/>
    <w:locked/>
    <w:uiPriority w:val="0"/>
    <w:rPr>
      <w:rFonts w:ascii="宋体" w:hAnsi="宋体"/>
      <w:color w:val="000000"/>
      <w:kern w:val="2"/>
      <w:sz w:val="21"/>
    </w:rPr>
  </w:style>
  <w:style w:type="paragraph" w:customStyle="1" w:styleId="101">
    <w:name w:val="Default"/>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character" w:customStyle="1" w:styleId="102">
    <w:name w:val="纯文本 Char3"/>
    <w:qFormat/>
    <w:uiPriority w:val="0"/>
    <w:rPr>
      <w:rFonts w:ascii="宋体" w:hAnsi="Courier New" w:eastAsia="宋体" w:cs="Courier New"/>
      <w:szCs w:val="21"/>
    </w:rPr>
  </w:style>
  <w:style w:type="character" w:customStyle="1" w:styleId="103">
    <w:name w:val="普通(网站) Char"/>
    <w:link w:val="42"/>
    <w:qFormat/>
    <w:uiPriority w:val="0"/>
    <w:rPr>
      <w:rFonts w:ascii="宋体" w:hAnsi="宋体"/>
      <w:sz w:val="24"/>
      <w:szCs w:val="24"/>
    </w:rPr>
  </w:style>
  <w:style w:type="character" w:customStyle="1" w:styleId="104">
    <w:name w:val="font31"/>
    <w:basedOn w:val="48"/>
    <w:qFormat/>
    <w:uiPriority w:val="0"/>
    <w:rPr>
      <w:rFonts w:hint="eastAsia" w:ascii="宋体" w:hAnsi="宋体" w:eastAsia="宋体" w:cs="宋体"/>
      <w:color w:val="000000"/>
      <w:sz w:val="22"/>
      <w:szCs w:val="22"/>
      <w:u w:val="none"/>
    </w:rPr>
  </w:style>
  <w:style w:type="character" w:customStyle="1" w:styleId="105">
    <w:name w:val="font11"/>
    <w:basedOn w:val="48"/>
    <w:qFormat/>
    <w:uiPriority w:val="0"/>
    <w:rPr>
      <w:rFonts w:hint="eastAsia" w:ascii="宋体" w:hAnsi="宋体" w:eastAsia="宋体" w:cs="宋体"/>
      <w:color w:val="FF0000"/>
      <w:sz w:val="22"/>
      <w:szCs w:val="22"/>
      <w:u w:val="none"/>
    </w:rPr>
  </w:style>
  <w:style w:type="character" w:customStyle="1" w:styleId="106">
    <w:name w:val="font61"/>
    <w:basedOn w:val="48"/>
    <w:qFormat/>
    <w:uiPriority w:val="0"/>
    <w:rPr>
      <w:rFonts w:hint="eastAsia" w:ascii="宋体" w:hAnsi="宋体" w:eastAsia="宋体" w:cs="宋体"/>
      <w:b/>
      <w:color w:val="FF0000"/>
      <w:sz w:val="22"/>
      <w:szCs w:val="22"/>
      <w:u w:val="none"/>
    </w:rPr>
  </w:style>
  <w:style w:type="character" w:customStyle="1" w:styleId="107">
    <w:name w:val="font51"/>
    <w:basedOn w:val="48"/>
    <w:qFormat/>
    <w:uiPriority w:val="0"/>
    <w:rPr>
      <w:rFonts w:hint="eastAsia" w:ascii="宋体" w:hAnsi="宋体" w:eastAsia="宋体" w:cs="宋体"/>
      <w:color w:val="00CCFF"/>
      <w:sz w:val="22"/>
      <w:szCs w:val="22"/>
      <w:u w:val="none"/>
    </w:rPr>
  </w:style>
  <w:style w:type="paragraph" w:customStyle="1" w:styleId="108">
    <w:name w:val="N.表格文字正文"/>
    <w:basedOn w:val="1"/>
    <w:qFormat/>
    <w:uiPriority w:val="0"/>
    <w:rPr>
      <w:rFonts w:eastAsia="华文细黑"/>
    </w:rPr>
  </w:style>
  <w:style w:type="paragraph" w:customStyle="1" w:styleId="109">
    <w:name w:val="表格文字"/>
    <w:basedOn w:val="1"/>
    <w:next w:val="1"/>
    <w:qFormat/>
    <w:uiPriority w:val="0"/>
    <w:pPr>
      <w:jc w:val="left"/>
    </w:pPr>
    <w:rPr>
      <w:bCs/>
      <w:spacing w:val="10"/>
      <w:kern w:val="0"/>
      <w:sz w:val="24"/>
    </w:rPr>
  </w:style>
  <w:style w:type="paragraph" w:customStyle="1" w:styleId="110">
    <w:name w:val="列出段落1"/>
    <w:basedOn w:val="1"/>
    <w:qFormat/>
    <w:uiPriority w:val="34"/>
    <w:pPr>
      <w:ind w:firstLine="420"/>
    </w:pPr>
    <w:rPr>
      <w:rFonts w:ascii="Calibri" w:hAnsi="Calibri" w:eastAsia="Times New Roman" w:cs="Calibri"/>
      <w:kern w:val="1"/>
      <w:szCs w:val="22"/>
    </w:rPr>
  </w:style>
  <w:style w:type="character" w:customStyle="1" w:styleId="111">
    <w:name w:val="Hyperlink.0"/>
    <w:qFormat/>
    <w:uiPriority w:val="0"/>
    <w:rPr>
      <w:sz w:val="24"/>
      <w:szCs w:val="24"/>
      <w:lang w:val="en-US" w:eastAsia="zh-TW"/>
    </w:rPr>
  </w:style>
  <w:style w:type="character" w:customStyle="1" w:styleId="112">
    <w:name w:val="font101"/>
    <w:basedOn w:val="48"/>
    <w:qFormat/>
    <w:uiPriority w:val="0"/>
    <w:rPr>
      <w:rFonts w:hint="eastAsia" w:ascii="宋体" w:hAnsi="宋体" w:eastAsia="宋体" w:cs="宋体"/>
      <w:color w:val="000000"/>
      <w:sz w:val="18"/>
      <w:szCs w:val="18"/>
      <w:u w:val="none"/>
    </w:rPr>
  </w:style>
  <w:style w:type="character" w:customStyle="1" w:styleId="113">
    <w:name w:val="font91"/>
    <w:basedOn w:val="48"/>
    <w:qFormat/>
    <w:uiPriority w:val="0"/>
    <w:rPr>
      <w:rFonts w:ascii="Calibri" w:hAnsi="Calibri" w:cs="Calibri"/>
      <w:color w:val="000000"/>
      <w:sz w:val="18"/>
      <w:szCs w:val="18"/>
      <w:u w:val="none"/>
    </w:rPr>
  </w:style>
  <w:style w:type="character" w:customStyle="1" w:styleId="114">
    <w:name w:val="font41"/>
    <w:basedOn w:val="48"/>
    <w:qFormat/>
    <w:uiPriority w:val="0"/>
    <w:rPr>
      <w:rFonts w:hint="eastAsia" w:ascii="宋体" w:hAnsi="宋体" w:eastAsia="宋体" w:cs="宋体"/>
      <w:color w:val="000000"/>
      <w:sz w:val="18"/>
      <w:szCs w:val="18"/>
      <w:u w:val="single"/>
    </w:rPr>
  </w:style>
  <w:style w:type="character" w:customStyle="1" w:styleId="115">
    <w:name w:val="font81"/>
    <w:basedOn w:val="48"/>
    <w:qFormat/>
    <w:uiPriority w:val="0"/>
    <w:rPr>
      <w:rFonts w:hint="eastAsia" w:ascii="宋体" w:hAnsi="宋体" w:eastAsia="宋体" w:cs="宋体"/>
      <w:b/>
      <w:color w:val="000000"/>
      <w:sz w:val="18"/>
      <w:szCs w:val="18"/>
      <w:u w:val="singl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26F9237-08BF-498F-B882-0626FA66FFA7}">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136</Pages>
  <Words>21826</Words>
  <Characters>124409</Characters>
  <Lines>1036</Lines>
  <Paragraphs>291</Paragraphs>
  <TotalTime>18</TotalTime>
  <ScaleCrop>false</ScaleCrop>
  <LinksUpToDate>false</LinksUpToDate>
  <CharactersWithSpaces>145944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2020-11-20T04:25:00Z</dcterms:created>
  <dc:creator>LX</dc:creator>
  <cp:lastModifiedBy>WPS_1175409555</cp:lastModifiedBy>
  <cp:lastPrinted>2020-08-27T08:59:00Z</cp:lastPrinted>
  <dcterms:modified xsi:type="dcterms:W3CDTF">2021-05-26T10:42:13Z</dcterms:modified>
  <dc:title>公开招标采购文件范本</dc:title>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53945DC3176B4648BFBF1CE5EBAC0A3A</vt:lpwstr>
  </property>
</Properties>
</file>