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b w:val="0"/>
          <w:bCs w:val="0"/>
          <w:color w:val="auto"/>
          <w:sz w:val="24"/>
          <w:szCs w:val="24"/>
          <w:lang w:val="en-US" w:eastAsia="zh-CN"/>
        </w:rPr>
      </w:pPr>
      <w:r>
        <w:rPr>
          <w:rFonts w:hint="eastAsia" w:ascii="宋体" w:hAnsi="宋体"/>
          <w:b w:val="0"/>
          <w:bCs w:val="0"/>
          <w:color w:val="auto"/>
          <w:sz w:val="24"/>
          <w:szCs w:val="24"/>
          <w:lang w:val="en-US" w:eastAsia="zh-CN"/>
        </w:rPr>
        <w:t>以下为主要内容，最终以发布的招标文件为准。</w:t>
      </w: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b/>
          <w:bCs/>
          <w:color w:val="auto"/>
          <w:sz w:val="24"/>
          <w:szCs w:val="24"/>
          <w:lang w:val="en-US" w:eastAsia="zh-CN"/>
        </w:rPr>
      </w:pPr>
      <w:r>
        <w:rPr>
          <w:rFonts w:hint="eastAsia" w:ascii="宋体" w:hAnsi="宋体"/>
          <w:b/>
          <w:bCs/>
          <w:color w:val="auto"/>
          <w:sz w:val="24"/>
          <w:szCs w:val="24"/>
          <w:lang w:val="en-US" w:eastAsia="zh-CN"/>
        </w:rPr>
        <w:t>一、</w:t>
      </w:r>
      <w:r>
        <w:rPr>
          <w:rFonts w:hint="eastAsia" w:ascii="宋体" w:hAnsi="宋体"/>
          <w:b/>
          <w:bCs/>
          <w:color w:val="auto"/>
          <w:sz w:val="24"/>
          <w:szCs w:val="24"/>
          <w:lang w:eastAsia="zh-CN"/>
        </w:rPr>
        <w:t>2019年下沙片区交通设施提升改造项目</w:t>
      </w:r>
      <w:r>
        <w:rPr>
          <w:rFonts w:hint="eastAsia" w:ascii="宋体" w:hAnsi="宋体"/>
          <w:b/>
          <w:bCs/>
          <w:color w:val="auto"/>
          <w:sz w:val="24"/>
          <w:szCs w:val="24"/>
          <w:lang w:val="en-US" w:eastAsia="zh-CN"/>
        </w:rPr>
        <w:t>的资格条件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ascii="宋体" w:hAnsi="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olor w:val="auto"/>
          <w:sz w:val="24"/>
          <w:szCs w:val="24"/>
        </w:rPr>
      </w:pPr>
      <w:r>
        <w:rPr>
          <w:rFonts w:ascii="宋体" w:hAnsi="宋体"/>
          <w:color w:val="auto"/>
          <w:sz w:val="24"/>
          <w:szCs w:val="24"/>
        </w:rPr>
        <w:t>基本资格条件：</w:t>
      </w:r>
      <w:r>
        <w:rPr>
          <w:rFonts w:hint="eastAsia" w:ascii="宋体" w:hAnsi="宋体"/>
          <w:color w:val="auto"/>
          <w:sz w:val="24"/>
          <w:szCs w:val="24"/>
        </w:rPr>
        <w:t>1、符合《中华人民共和国政府采购法》第二十二条的规定；2、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color w:val="auto"/>
          <w:sz w:val="24"/>
          <w:szCs w:val="24"/>
        </w:rPr>
      </w:pPr>
      <w:r>
        <w:rPr>
          <w:rFonts w:hint="eastAsia" w:ascii="宋体" w:hAnsi="宋体"/>
          <w:color w:val="auto"/>
          <w:sz w:val="24"/>
          <w:szCs w:val="24"/>
        </w:rPr>
        <w:t>特定资格条件：1、具备公路交通工程专业承包（公路安全设施分项）</w:t>
      </w:r>
      <w:r>
        <w:rPr>
          <w:rFonts w:hint="eastAsia" w:ascii="宋体" w:hAnsi="宋体"/>
          <w:color w:val="auto"/>
          <w:sz w:val="24"/>
          <w:szCs w:val="24"/>
          <w:lang w:eastAsia="zh-CN"/>
        </w:rPr>
        <w:t>二</w:t>
      </w:r>
      <w:r>
        <w:rPr>
          <w:rFonts w:hint="eastAsia" w:ascii="宋体" w:hAnsi="宋体"/>
          <w:color w:val="auto"/>
          <w:sz w:val="24"/>
          <w:szCs w:val="24"/>
        </w:rPr>
        <w:t>级资质与安全生产许可证，且在有效期内；2、不接受联合体参与投标。</w:t>
      </w:r>
    </w:p>
    <w:p>
      <w:pPr>
        <w:pStyle w:val="2"/>
        <w:rPr>
          <w:rFonts w:hint="eastAsia" w:ascii="宋体" w:hAnsi="宋体"/>
          <w:color w:val="auto"/>
          <w:sz w:val="24"/>
          <w:szCs w:val="24"/>
        </w:rPr>
      </w:pPr>
    </w:p>
    <w:p>
      <w:pPr>
        <w:pStyle w:val="2"/>
        <w:rPr>
          <w:rFonts w:hint="eastAsia" w:ascii="宋体" w:hAnsi="宋体"/>
          <w:color w:val="auto"/>
          <w:sz w:val="24"/>
          <w:szCs w:val="24"/>
        </w:rPr>
      </w:pPr>
    </w:p>
    <w:p>
      <w:pPr>
        <w:pStyle w:val="2"/>
        <w:rPr>
          <w:rFonts w:hint="eastAsia" w:ascii="宋体" w:hAnsi="宋体"/>
          <w:color w:val="auto"/>
          <w:sz w:val="24"/>
          <w:szCs w:val="24"/>
          <w:lang w:val="en-US" w:eastAsia="zh-CN"/>
        </w:rPr>
        <w:sectPr>
          <w:footerReference r:id="rId3" w:type="default"/>
          <w:pgSz w:w="11906" w:h="16838"/>
          <w:pgMar w:top="1588" w:right="1701" w:bottom="1588" w:left="1701" w:header="851" w:footer="992" w:gutter="0"/>
          <w:cols w:space="720" w:num="1"/>
          <w:docGrid w:type="linesAndChars" w:linePitch="380" w:charSpace="0"/>
        </w:sectPr>
      </w:pPr>
    </w:p>
    <w:p>
      <w:pPr>
        <w:pStyle w:val="2"/>
        <w:jc w:val="center"/>
        <w:rPr>
          <w:rFonts w:hint="eastAsia" w:ascii="宋体" w:hAnsi="宋体"/>
          <w:b/>
          <w:bCs/>
          <w:color w:val="auto"/>
          <w:sz w:val="24"/>
          <w:szCs w:val="24"/>
          <w:lang w:val="en-US" w:eastAsia="zh-CN"/>
        </w:rPr>
      </w:pPr>
      <w:r>
        <w:rPr>
          <w:rFonts w:hint="eastAsia" w:ascii="宋体" w:hAnsi="宋体"/>
          <w:b/>
          <w:bCs/>
          <w:color w:val="auto"/>
          <w:sz w:val="24"/>
          <w:szCs w:val="24"/>
          <w:lang w:val="en-US" w:eastAsia="zh-CN"/>
        </w:rPr>
        <w:t>二、用户需求</w:t>
      </w:r>
    </w:p>
    <w:p>
      <w:pPr>
        <w:pStyle w:val="3"/>
        <w:adjustRightInd w:val="0"/>
        <w:snapToGrid w:val="0"/>
        <w:spacing w:before="190" w:beforeLines="50" w:after="190" w:afterLines="50" w:line="360" w:lineRule="auto"/>
        <w:rPr>
          <w:rFonts w:ascii="宋体" w:hAnsi="宋体" w:eastAsia="宋体"/>
          <w:snapToGrid w:val="0"/>
          <w:color w:val="auto"/>
          <w:kern w:val="0"/>
          <w:sz w:val="21"/>
          <w:szCs w:val="21"/>
        </w:rPr>
      </w:pPr>
      <w:bookmarkStart w:id="0" w:name="_Toc438728496"/>
      <w:bookmarkStart w:id="1" w:name="_Toc28596"/>
      <w:r>
        <w:rPr>
          <w:rFonts w:ascii="宋体" w:hAnsi="宋体" w:eastAsia="宋体"/>
          <w:snapToGrid w:val="0"/>
          <w:color w:val="auto"/>
          <w:kern w:val="0"/>
          <w:sz w:val="21"/>
          <w:szCs w:val="21"/>
        </w:rPr>
        <w:t>一、项目简介</w:t>
      </w:r>
      <w:bookmarkEnd w:id="0"/>
      <w:bookmarkEnd w:id="1"/>
    </w:p>
    <w:p>
      <w:pPr>
        <w:adjustRightInd w:val="0"/>
        <w:snapToGrid w:val="0"/>
        <w:spacing w:line="360" w:lineRule="auto"/>
        <w:ind w:firstLine="420" w:firstLineChars="200"/>
        <w:rPr>
          <w:rFonts w:ascii="宋体" w:hAnsi="宋体"/>
          <w:b/>
          <w:snapToGrid w:val="0"/>
          <w:color w:val="auto"/>
          <w:kern w:val="0"/>
          <w:szCs w:val="21"/>
        </w:rPr>
      </w:pPr>
      <w:bookmarkStart w:id="2" w:name="_Toc224194702"/>
      <w:r>
        <w:rPr>
          <w:rFonts w:ascii="宋体" w:hAnsi="宋体"/>
          <w:b/>
          <w:snapToGrid w:val="0"/>
          <w:color w:val="auto"/>
          <w:kern w:val="0"/>
          <w:szCs w:val="21"/>
        </w:rPr>
        <w:t>（一） 采购内容与规模</w:t>
      </w:r>
      <w:bookmarkEnd w:id="2"/>
    </w:p>
    <w:p>
      <w:pPr>
        <w:adjustRightInd w:val="0"/>
        <w:snapToGrid w:val="0"/>
        <w:spacing w:line="360" w:lineRule="auto"/>
        <w:ind w:firstLine="420" w:firstLineChars="200"/>
        <w:rPr>
          <w:rFonts w:hint="eastAsia" w:ascii="宋体" w:hAnsi="宋体" w:eastAsia="宋体"/>
          <w:snapToGrid w:val="0"/>
          <w:color w:val="auto"/>
          <w:kern w:val="0"/>
          <w:szCs w:val="21"/>
          <w:lang w:val="en-US" w:eastAsia="zh-CN"/>
        </w:rPr>
      </w:pPr>
      <w:r>
        <w:rPr>
          <w:rFonts w:hint="eastAsia" w:ascii="宋体" w:hAnsi="宋体"/>
          <w:snapToGrid w:val="0"/>
          <w:color w:val="auto"/>
          <w:kern w:val="0"/>
          <w:szCs w:val="21"/>
        </w:rPr>
        <w:t>本项目拟分两个标段</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其中，</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标段一包含：8号大街、10号大街、14号大街、16号大街、20号大街、22号大街、24号大街、之江东路辅道</w:t>
      </w:r>
      <w:r>
        <w:rPr>
          <w:rFonts w:hint="eastAsia" w:ascii="宋体" w:hAnsi="宋体"/>
          <w:color w:val="auto"/>
          <w:lang w:eastAsia="zh-CN"/>
        </w:rPr>
        <w:t>。</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标段二包含：海通街、华景街、金乔街、天城东路、博浪街、呈瑞街、18号大街、围垦街东段、松乔街东段、德胜东路、2号大街、银海街</w:t>
      </w:r>
      <w:r>
        <w:rPr>
          <w:rFonts w:hint="eastAsia" w:ascii="宋体" w:hAnsi="宋体" w:cs="宋体"/>
          <w:color w:val="auto"/>
          <w:szCs w:val="21"/>
        </w:rPr>
        <w:t>。</w:t>
      </w:r>
    </w:p>
    <w:p>
      <w:pPr>
        <w:adjustRightInd w:val="0"/>
        <w:snapToGrid w:val="0"/>
        <w:spacing w:line="360" w:lineRule="auto"/>
        <w:ind w:firstLine="420" w:firstLineChars="200"/>
        <w:rPr>
          <w:rFonts w:ascii="宋体" w:hAnsi="宋体"/>
          <w:b/>
          <w:snapToGrid w:val="0"/>
          <w:color w:val="auto"/>
          <w:kern w:val="0"/>
          <w:szCs w:val="21"/>
        </w:rPr>
      </w:pPr>
      <w:r>
        <w:rPr>
          <w:rFonts w:ascii="宋体" w:hAnsi="宋体"/>
          <w:b/>
          <w:snapToGrid w:val="0"/>
          <w:color w:val="auto"/>
          <w:kern w:val="0"/>
          <w:szCs w:val="21"/>
        </w:rPr>
        <w:t>（二）工期</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hAnsi="宋体"/>
          <w:b/>
          <w:snapToGrid w:val="0"/>
          <w:color w:val="auto"/>
          <w:kern w:val="0"/>
        </w:rPr>
        <w:t>▲</w:t>
      </w:r>
      <w:r>
        <w:rPr>
          <w:rFonts w:ascii="宋体" w:hAnsi="宋体"/>
          <w:snapToGrid w:val="0"/>
          <w:color w:val="auto"/>
          <w:kern w:val="0"/>
          <w:szCs w:val="21"/>
        </w:rPr>
        <w:t>项目要求工期：201</w:t>
      </w:r>
      <w:r>
        <w:rPr>
          <w:rFonts w:hint="eastAsia" w:ascii="宋体" w:hAnsi="宋体"/>
          <w:snapToGrid w:val="0"/>
          <w:color w:val="auto"/>
          <w:kern w:val="0"/>
          <w:szCs w:val="21"/>
          <w:lang w:val="en-US" w:eastAsia="zh-CN"/>
        </w:rPr>
        <w:t>9</w:t>
      </w:r>
      <w:r>
        <w:rPr>
          <w:rFonts w:ascii="宋体" w:hAnsi="宋体"/>
          <w:snapToGrid w:val="0"/>
          <w:color w:val="auto"/>
          <w:kern w:val="0"/>
          <w:szCs w:val="21"/>
        </w:rPr>
        <w:t>年</w:t>
      </w:r>
      <w:r>
        <w:rPr>
          <w:rFonts w:hint="eastAsia" w:ascii="宋体" w:hAnsi="宋体"/>
          <w:snapToGrid w:val="0"/>
          <w:color w:val="auto"/>
          <w:kern w:val="0"/>
          <w:szCs w:val="21"/>
          <w:u w:val="none"/>
          <w:lang w:val="en-US" w:eastAsia="zh-CN"/>
        </w:rPr>
        <w:t>12月底</w:t>
      </w:r>
      <w:r>
        <w:rPr>
          <w:rFonts w:ascii="宋体" w:hAnsi="宋体"/>
          <w:snapToGrid w:val="0"/>
          <w:color w:val="auto"/>
          <w:kern w:val="0"/>
          <w:szCs w:val="21"/>
        </w:rPr>
        <w:t>前</w:t>
      </w:r>
      <w:r>
        <w:rPr>
          <w:rFonts w:hint="eastAsia" w:ascii="宋体" w:hAnsi="宋体"/>
          <w:snapToGrid w:val="0"/>
          <w:color w:val="auto"/>
          <w:kern w:val="0"/>
          <w:szCs w:val="21"/>
          <w:lang w:val="en-US" w:eastAsia="zh-CN"/>
        </w:rPr>
        <w:t>通过竣工验收</w:t>
      </w:r>
      <w:r>
        <w:rPr>
          <w:rFonts w:hint="eastAsia" w:ascii="宋体" w:hAnsi="宋体"/>
          <w:snapToGrid w:val="0"/>
          <w:color w:val="auto"/>
          <w:kern w:val="0"/>
          <w:szCs w:val="21"/>
        </w:rPr>
        <w:t>。</w:t>
      </w:r>
    </w:p>
    <w:p>
      <w:pPr>
        <w:adjustRightInd w:val="0"/>
        <w:snapToGrid w:val="0"/>
        <w:spacing w:line="360" w:lineRule="auto"/>
        <w:ind w:firstLine="420" w:firstLineChars="200"/>
        <w:rPr>
          <w:rFonts w:hint="eastAsia" w:ascii="宋体" w:hAnsi="宋体"/>
          <w:b/>
          <w:snapToGrid w:val="0"/>
          <w:color w:val="auto"/>
          <w:kern w:val="0"/>
          <w:szCs w:val="21"/>
        </w:rPr>
      </w:pPr>
      <w:r>
        <w:rPr>
          <w:rFonts w:ascii="宋体" w:hAnsi="宋体"/>
          <w:b/>
          <w:snapToGrid w:val="0"/>
          <w:color w:val="auto"/>
          <w:kern w:val="0"/>
          <w:szCs w:val="21"/>
        </w:rPr>
        <w:t>（三）质保期：</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▲施工单位提供的交通设施质保期为验收合同交付招标人之日起</w:t>
      </w:r>
      <w:r>
        <w:rPr>
          <w:rFonts w:ascii="宋体" w:hAnsi="宋体"/>
          <w:snapToGrid w:val="0"/>
          <w:color w:val="auto"/>
          <w:kern w:val="0"/>
          <w:szCs w:val="21"/>
        </w:rPr>
        <w:t>1年</w:t>
      </w:r>
      <w:r>
        <w:rPr>
          <w:rFonts w:hint="eastAsia" w:ascii="宋体" w:hAnsi="宋体"/>
          <w:snapToGrid w:val="0"/>
          <w:color w:val="auto"/>
          <w:kern w:val="0"/>
          <w:szCs w:val="21"/>
        </w:rPr>
        <w:t>。</w:t>
      </w:r>
    </w:p>
    <w:p>
      <w:pPr>
        <w:adjustRightInd w:val="0"/>
        <w:snapToGrid w:val="0"/>
        <w:spacing w:line="360" w:lineRule="auto"/>
        <w:ind w:firstLine="420" w:firstLineChars="200"/>
        <w:rPr>
          <w:rFonts w:ascii="宋体" w:hAnsi="宋体"/>
          <w:b/>
          <w:snapToGrid w:val="0"/>
          <w:color w:val="auto"/>
          <w:kern w:val="0"/>
          <w:szCs w:val="21"/>
        </w:rPr>
      </w:pPr>
      <w:r>
        <w:rPr>
          <w:rFonts w:ascii="宋体" w:hAnsi="宋体"/>
          <w:b/>
          <w:snapToGrid w:val="0"/>
          <w:color w:val="auto"/>
          <w:kern w:val="0"/>
          <w:szCs w:val="21"/>
        </w:rPr>
        <w:t xml:space="preserve"> (四)其他要求及约定</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1、</w:t>
      </w:r>
      <w:r>
        <w:rPr>
          <w:rFonts w:ascii="宋体" w:hAnsi="宋体"/>
          <w:snapToGrid w:val="0"/>
          <w:color w:val="auto"/>
          <w:kern w:val="0"/>
          <w:szCs w:val="21"/>
        </w:rPr>
        <w:t>本项目严禁转包，若采购人在合同履行阶段发现中标人存在转包的情形，采购人有权依据国家相关法律追究其法律责任。</w:t>
      </w:r>
    </w:p>
    <w:p>
      <w:pPr>
        <w:adjustRightInd w:val="0"/>
        <w:snapToGrid w:val="0"/>
        <w:spacing w:line="360" w:lineRule="auto"/>
        <w:ind w:firstLine="420" w:firstLineChars="200"/>
        <w:rPr>
          <w:rFonts w:ascii="宋体" w:hAnsi="宋体"/>
          <w:snapToGrid w:val="0"/>
          <w:color w:val="auto"/>
          <w:kern w:val="0"/>
          <w:szCs w:val="21"/>
        </w:rPr>
      </w:pPr>
      <w:r>
        <w:rPr>
          <w:rFonts w:hint="eastAsia" w:ascii="宋体" w:hAnsi="宋体"/>
          <w:snapToGrid w:val="0"/>
          <w:color w:val="auto"/>
          <w:kern w:val="0"/>
          <w:szCs w:val="21"/>
        </w:rPr>
        <w:t>2、本项目</w:t>
      </w:r>
      <w:r>
        <w:rPr>
          <w:rFonts w:hint="eastAsia" w:ascii="宋体" w:hAnsi="宋体"/>
          <w:snapToGrid w:val="0"/>
          <w:color w:val="auto"/>
          <w:kern w:val="0"/>
          <w:szCs w:val="21"/>
          <w:lang w:val="en-US" w:eastAsia="zh-CN"/>
        </w:rPr>
        <w:t>完成效果须确保</w:t>
      </w:r>
      <w:r>
        <w:rPr>
          <w:rFonts w:hint="eastAsia" w:ascii="宋体" w:hAnsi="宋体"/>
          <w:snapToGrid w:val="0"/>
          <w:color w:val="auto"/>
          <w:kern w:val="0"/>
          <w:szCs w:val="21"/>
        </w:rPr>
        <w:t>与杭州市已完成更新提升区域</w:t>
      </w:r>
      <w:r>
        <w:rPr>
          <w:rFonts w:hint="eastAsia" w:ascii="宋体" w:hAnsi="宋体"/>
          <w:snapToGrid w:val="0"/>
          <w:color w:val="auto"/>
          <w:kern w:val="0"/>
          <w:szCs w:val="21"/>
          <w:lang w:val="en-US" w:eastAsia="zh-CN"/>
        </w:rPr>
        <w:t>设计风格、性能技术指标</w:t>
      </w:r>
      <w:r>
        <w:rPr>
          <w:rFonts w:hint="eastAsia" w:ascii="宋体" w:hAnsi="宋体"/>
          <w:snapToGrid w:val="0"/>
          <w:color w:val="auto"/>
          <w:kern w:val="0"/>
          <w:szCs w:val="21"/>
        </w:rPr>
        <w:t>统一</w:t>
      </w:r>
      <w:r>
        <w:rPr>
          <w:rFonts w:hint="eastAsia" w:ascii="宋体" w:hAnsi="宋体"/>
          <w:snapToGrid w:val="0"/>
          <w:color w:val="auto"/>
          <w:kern w:val="0"/>
          <w:szCs w:val="21"/>
          <w:lang w:val="en-US" w:eastAsia="zh-CN"/>
        </w:rPr>
        <w:t>或相当，可接受正偏离</w:t>
      </w:r>
      <w:r>
        <w:rPr>
          <w:rFonts w:hint="eastAsia" w:ascii="宋体" w:hAnsi="宋体"/>
          <w:snapToGrid w:val="0"/>
          <w:color w:val="auto"/>
          <w:kern w:val="0"/>
          <w:szCs w:val="21"/>
        </w:rPr>
        <w:t>。</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3</w:t>
      </w:r>
      <w:r>
        <w:rPr>
          <w:rFonts w:ascii="宋体" w:hAnsi="宋体"/>
          <w:snapToGrid w:val="0"/>
          <w:color w:val="auto"/>
          <w:kern w:val="0"/>
          <w:szCs w:val="21"/>
        </w:rPr>
        <w:t>、标一</w:t>
      </w:r>
      <w:r>
        <w:rPr>
          <w:rFonts w:hint="eastAsia" w:ascii="宋体" w:hAnsi="宋体"/>
          <w:snapToGrid w:val="0"/>
          <w:color w:val="auto"/>
          <w:kern w:val="0"/>
          <w:szCs w:val="21"/>
        </w:rPr>
        <w:t>与</w:t>
      </w:r>
      <w:r>
        <w:rPr>
          <w:rFonts w:ascii="宋体" w:hAnsi="宋体"/>
          <w:snapToGrid w:val="0"/>
          <w:color w:val="auto"/>
          <w:kern w:val="0"/>
          <w:szCs w:val="21"/>
        </w:rPr>
        <w:t>标</w:t>
      </w:r>
      <w:r>
        <w:rPr>
          <w:rFonts w:hint="eastAsia" w:ascii="宋体" w:hAnsi="宋体"/>
          <w:snapToGrid w:val="0"/>
          <w:color w:val="auto"/>
          <w:kern w:val="0"/>
          <w:szCs w:val="21"/>
        </w:rPr>
        <w:t>二的</w:t>
      </w:r>
      <w:r>
        <w:rPr>
          <w:rFonts w:ascii="宋体" w:hAnsi="宋体"/>
          <w:snapToGrid w:val="0"/>
          <w:color w:val="auto"/>
          <w:kern w:val="0"/>
          <w:szCs w:val="21"/>
        </w:rPr>
        <w:t>中标人必须根据采购人提供的设计方案</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本次招标的具体内容，</w:t>
      </w:r>
      <w:r>
        <w:rPr>
          <w:rFonts w:ascii="宋体" w:hAnsi="宋体"/>
          <w:snapToGrid w:val="0"/>
          <w:color w:val="auto"/>
          <w:kern w:val="0"/>
          <w:szCs w:val="21"/>
        </w:rPr>
        <w:t>编制</w:t>
      </w:r>
      <w:r>
        <w:rPr>
          <w:rFonts w:hint="eastAsia" w:ascii="宋体" w:hAnsi="宋体"/>
          <w:snapToGrid w:val="0"/>
          <w:color w:val="auto"/>
          <w:kern w:val="0"/>
          <w:szCs w:val="21"/>
          <w:lang w:val="en-US" w:eastAsia="zh-CN"/>
        </w:rPr>
        <w:t>最终</w:t>
      </w:r>
      <w:r>
        <w:rPr>
          <w:rFonts w:ascii="宋体" w:hAnsi="宋体"/>
          <w:snapToGrid w:val="0"/>
          <w:color w:val="auto"/>
          <w:kern w:val="0"/>
          <w:szCs w:val="21"/>
        </w:rPr>
        <w:t>施工图</w:t>
      </w:r>
      <w:r>
        <w:rPr>
          <w:rFonts w:hint="eastAsia" w:ascii="宋体" w:hAnsi="宋体"/>
          <w:snapToGrid w:val="0"/>
          <w:color w:val="auto"/>
          <w:kern w:val="0"/>
          <w:szCs w:val="21"/>
          <w:lang w:eastAsia="zh-CN"/>
        </w:rPr>
        <w:t>。</w:t>
      </w:r>
      <w:r>
        <w:rPr>
          <w:rFonts w:ascii="宋体" w:hAnsi="宋体"/>
          <w:snapToGrid w:val="0"/>
          <w:color w:val="auto"/>
          <w:kern w:val="0"/>
          <w:szCs w:val="21"/>
        </w:rPr>
        <w:t>施工图经采购人、监理单位书面确认后方可按图实施</w:t>
      </w:r>
      <w:r>
        <w:rPr>
          <w:rFonts w:hint="eastAsia" w:ascii="宋体" w:hAnsi="宋体"/>
          <w:snapToGrid w:val="0"/>
          <w:color w:val="auto"/>
          <w:kern w:val="0"/>
          <w:szCs w:val="21"/>
          <w:lang w:eastAsia="zh-CN"/>
        </w:rPr>
        <w:t>。</w:t>
      </w:r>
      <w:r>
        <w:rPr>
          <w:rFonts w:ascii="宋体" w:hAnsi="宋体"/>
          <w:snapToGrid w:val="0"/>
          <w:color w:val="auto"/>
          <w:kern w:val="0"/>
          <w:szCs w:val="21"/>
        </w:rPr>
        <w:t>实施完成后，由采购人、监理单位、中标人三方对该采购内容进行验收，出具书面验收记录。</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4、交通设施由采购人或监理单位随机交由具有指定的权威检测机构（具备交通工程或交通安全设施检测资质并通过计量认证）检测，该费用由标段中标人承担，抽检比例暂定为</w:t>
      </w:r>
      <w:r>
        <w:rPr>
          <w:rStyle w:val="7"/>
          <w:rFonts w:hint="eastAsia"/>
          <w:color w:val="auto"/>
        </w:rPr>
        <w:t>5%</w:t>
      </w:r>
      <w:r>
        <w:rPr>
          <w:rFonts w:hint="eastAsia" w:ascii="宋体" w:hAnsi="宋体"/>
          <w:snapToGrid w:val="0"/>
          <w:color w:val="auto"/>
          <w:kern w:val="0"/>
          <w:szCs w:val="21"/>
        </w:rPr>
        <w:t>。</w:t>
      </w:r>
    </w:p>
    <w:p>
      <w:pPr>
        <w:adjustRightInd w:val="0"/>
        <w:snapToGrid w:val="0"/>
        <w:spacing w:line="360" w:lineRule="auto"/>
        <w:ind w:firstLine="420" w:firstLineChars="200"/>
        <w:rPr>
          <w:rFonts w:ascii="宋体" w:hAnsi="宋体"/>
          <w:snapToGrid w:val="0"/>
          <w:color w:val="auto"/>
          <w:kern w:val="0"/>
          <w:szCs w:val="21"/>
        </w:rPr>
      </w:pPr>
      <w:r>
        <w:rPr>
          <w:rFonts w:hint="eastAsia" w:ascii="宋体" w:hAnsi="宋体"/>
          <w:snapToGrid w:val="0"/>
          <w:color w:val="auto"/>
          <w:kern w:val="0"/>
          <w:szCs w:val="21"/>
        </w:rPr>
        <w:t>抽检不合格的，中标人无条件返工直至符合招标要求。</w:t>
      </w:r>
    </w:p>
    <w:p>
      <w:pPr>
        <w:adjustRightInd w:val="0"/>
        <w:snapToGrid w:val="0"/>
        <w:spacing w:line="360" w:lineRule="auto"/>
        <w:ind w:firstLine="420" w:firstLineChars="200"/>
        <w:rPr>
          <w:rFonts w:hint="eastAsia" w:ascii="宋体" w:hAnsi="宋体" w:eastAsia="宋体"/>
          <w:snapToGrid w:val="0"/>
          <w:color w:val="auto"/>
          <w:kern w:val="0"/>
          <w:szCs w:val="21"/>
          <w:lang w:val="en-US" w:eastAsia="zh-CN"/>
        </w:rPr>
      </w:pPr>
      <w:r>
        <w:rPr>
          <w:rFonts w:hint="eastAsia" w:ascii="宋体" w:hAnsi="宋体"/>
          <w:snapToGrid w:val="0"/>
          <w:color w:val="auto"/>
          <w:kern w:val="0"/>
          <w:szCs w:val="21"/>
        </w:rPr>
        <w:t>5</w:t>
      </w:r>
      <w:r>
        <w:rPr>
          <w:rFonts w:ascii="宋体" w:hAnsi="宋体"/>
          <w:snapToGrid w:val="0"/>
          <w:color w:val="auto"/>
          <w:kern w:val="0"/>
          <w:szCs w:val="21"/>
        </w:rPr>
        <w:t>、采购文件给定的实施范围及实施数量可根据交通组织实际需求作相应调整,设施数量为暂定量，最终的实施范围及采购量结算以采购人、监理审核后的实际为准。</w:t>
      </w:r>
      <w:r>
        <w:rPr>
          <w:rFonts w:hint="eastAsia" w:ascii="宋体" w:hAnsi="宋体"/>
          <w:snapToGrid w:val="0"/>
          <w:color w:val="auto"/>
          <w:kern w:val="0"/>
          <w:szCs w:val="21"/>
          <w:lang w:val="en-US" w:eastAsia="zh-CN"/>
        </w:rPr>
        <w:t>但总支付金额不得超过中标金额。</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6、</w:t>
      </w:r>
      <w:r>
        <w:rPr>
          <w:rFonts w:hint="eastAsia" w:ascii="宋体" w:hAnsi="宋体"/>
          <w:color w:val="auto"/>
        </w:rPr>
        <w:t>拆除的</w:t>
      </w:r>
      <w:r>
        <w:rPr>
          <w:rFonts w:hint="eastAsia" w:ascii="宋体" w:hAnsi="宋体"/>
          <w:snapToGrid w:val="0"/>
          <w:color w:val="auto"/>
          <w:kern w:val="0"/>
          <w:szCs w:val="21"/>
        </w:rPr>
        <w:t>旧交通设施由该标段中标人负责回收处理。相应费用在项目报价中核减，同时纳入报价评审。</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7、拆除或安装过程中涉及的绿化或市政设施破坏的需按原状恢复</w:t>
      </w:r>
      <w:r>
        <w:rPr>
          <w:rFonts w:hint="eastAsia" w:ascii="宋体" w:hAnsi="宋体"/>
          <w:snapToGrid w:val="0"/>
          <w:color w:val="auto"/>
          <w:kern w:val="0"/>
          <w:szCs w:val="21"/>
          <w:lang w:eastAsia="zh-CN"/>
        </w:rPr>
        <w:t>；</w:t>
      </w:r>
      <w:r>
        <w:rPr>
          <w:rFonts w:hint="eastAsia"/>
          <w:b w:val="0"/>
          <w:bCs/>
          <w:color w:val="auto"/>
          <w:szCs w:val="21"/>
        </w:rPr>
        <w:t>现场施工产生的垃圾必须需及时清理外运</w:t>
      </w:r>
      <w:r>
        <w:rPr>
          <w:rFonts w:hint="eastAsia"/>
          <w:b w:val="0"/>
          <w:bCs/>
          <w:color w:val="auto"/>
          <w:szCs w:val="21"/>
          <w:lang w:eastAsia="zh-CN"/>
        </w:rPr>
        <w:t>。</w:t>
      </w:r>
      <w:r>
        <w:rPr>
          <w:rFonts w:hint="eastAsia"/>
          <w:b w:val="0"/>
          <w:bCs/>
          <w:color w:val="auto"/>
          <w:szCs w:val="21"/>
          <w:lang w:val="en-US" w:eastAsia="zh-CN"/>
        </w:rPr>
        <w:t>以上费用务必妥善考虑，含入报价中</w:t>
      </w:r>
      <w:r>
        <w:rPr>
          <w:rFonts w:hint="eastAsia" w:ascii="宋体" w:hAnsi="宋体"/>
          <w:snapToGrid w:val="0"/>
          <w:color w:val="auto"/>
          <w:kern w:val="0"/>
          <w:szCs w:val="21"/>
        </w:rPr>
        <w:t>。</w:t>
      </w:r>
    </w:p>
    <w:p>
      <w:pPr>
        <w:adjustRightInd w:val="0"/>
        <w:snapToGrid w:val="0"/>
        <w:spacing w:line="360" w:lineRule="auto"/>
        <w:ind w:firstLine="420" w:firstLineChars="200"/>
        <w:rPr>
          <w:rFonts w:hint="eastAsia" w:ascii="Arial" w:hAnsi="Arial" w:cs="Arial"/>
          <w:b w:val="0"/>
          <w:bCs/>
          <w:color w:val="auto"/>
          <w:szCs w:val="21"/>
          <w:lang w:val="en-US" w:eastAsia="zh-CN"/>
        </w:rPr>
      </w:pPr>
    </w:p>
    <w:p>
      <w:pPr>
        <w:pStyle w:val="3"/>
        <w:adjustRightInd w:val="0"/>
        <w:snapToGrid w:val="0"/>
        <w:spacing w:before="190" w:beforeLines="50" w:after="190" w:afterLines="50" w:line="360" w:lineRule="auto"/>
        <w:rPr>
          <w:rFonts w:ascii="宋体" w:hAnsi="宋体" w:eastAsia="宋体"/>
          <w:snapToGrid w:val="0"/>
          <w:color w:val="auto"/>
          <w:kern w:val="0"/>
          <w:sz w:val="21"/>
          <w:szCs w:val="21"/>
        </w:rPr>
      </w:pPr>
      <w:bookmarkStart w:id="3" w:name="_Toc438728497"/>
      <w:bookmarkStart w:id="4" w:name="_Toc19545"/>
      <w:r>
        <w:rPr>
          <w:rFonts w:ascii="宋体" w:hAnsi="宋体" w:eastAsia="宋体"/>
          <w:snapToGrid w:val="0"/>
          <w:color w:val="auto"/>
          <w:kern w:val="0"/>
          <w:sz w:val="21"/>
          <w:szCs w:val="21"/>
        </w:rPr>
        <w:t>二、项目技术要求</w:t>
      </w:r>
      <w:bookmarkEnd w:id="3"/>
      <w:bookmarkEnd w:id="4"/>
    </w:p>
    <w:p>
      <w:pPr>
        <w:adjustRightInd w:val="0"/>
        <w:snapToGrid w:val="0"/>
        <w:spacing w:line="360" w:lineRule="auto"/>
        <w:ind w:firstLine="420" w:firstLineChars="200"/>
        <w:rPr>
          <w:rFonts w:hint="eastAsia" w:ascii="宋体" w:hAnsi="宋体" w:eastAsiaTheme="minorEastAsia"/>
          <w:b/>
          <w:snapToGrid w:val="0"/>
          <w:color w:val="auto"/>
          <w:kern w:val="0"/>
          <w:szCs w:val="21"/>
          <w:lang w:val="en-US" w:eastAsia="zh-CN"/>
        </w:rPr>
      </w:pPr>
      <w:r>
        <w:rPr>
          <w:rFonts w:hint="eastAsia" w:ascii="宋体" w:hAnsi="宋体"/>
          <w:b/>
          <w:snapToGrid w:val="0"/>
          <w:color w:val="auto"/>
          <w:kern w:val="0"/>
          <w:szCs w:val="21"/>
          <w:lang w:val="en-US" w:eastAsia="zh-CN"/>
        </w:rPr>
        <w:t>（供参考，以设计说明为准）</w:t>
      </w:r>
    </w:p>
    <w:p>
      <w:pPr>
        <w:adjustRightInd w:val="0"/>
        <w:snapToGrid w:val="0"/>
        <w:spacing w:line="360" w:lineRule="auto"/>
        <w:ind w:firstLine="420" w:firstLineChars="200"/>
        <w:rPr>
          <w:rFonts w:ascii="宋体" w:hAnsi="宋体" w:cs="宋体"/>
          <w:b/>
          <w:bCs/>
          <w:color w:val="auto"/>
          <w:szCs w:val="21"/>
        </w:rPr>
      </w:pPr>
      <w:r>
        <w:rPr>
          <w:rFonts w:ascii="宋体" w:hAnsi="宋体"/>
          <w:b/>
          <w:snapToGrid w:val="0"/>
          <w:color w:val="auto"/>
          <w:kern w:val="0"/>
          <w:szCs w:val="21"/>
        </w:rPr>
        <w:t>（一）相关规范及要求：</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、GB5768—2009《道路交通标志和标线》国家标准。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、GB51038-2015《城市道路交通标志和标线设置规范》部标。</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3</w:t>
      </w:r>
      <w:r>
        <w:rPr>
          <w:rFonts w:hint="eastAsia" w:ascii="宋体" w:hAnsi="宋体"/>
          <w:color w:val="auto"/>
          <w:szCs w:val="21"/>
        </w:rPr>
        <w:t>、DB33/T 818—2010《城市道路交通标志和标线设置规范》省标。</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、GB/T16311—1996《道路交通标线质量要求和检测方法》国家标准。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、JTJ001—2003《公路工程技术标准》行业标准。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、JT/T279—1995《公路交通标志板技术条件》行业标准。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、GB/T18833-2012《公路交通标志反光膜》行业标准。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、GAT652—2007《公安交通管理外场设备》行业标准。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9</w:t>
      </w:r>
      <w:r>
        <w:rPr>
          <w:rFonts w:hint="eastAsia" w:ascii="宋体" w:hAnsi="宋体"/>
          <w:color w:val="auto"/>
          <w:szCs w:val="21"/>
        </w:rPr>
        <w:t>、DBJ08-39-1994《道路交通管理设施设置技术规范》。</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10</w:t>
      </w:r>
      <w:r>
        <w:rPr>
          <w:rFonts w:hint="eastAsia" w:ascii="宋体" w:hAnsi="宋体"/>
          <w:color w:val="auto"/>
          <w:szCs w:val="21"/>
        </w:rPr>
        <w:t>、GB50009-2001《建筑结构荷载规范》。</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11</w:t>
      </w:r>
      <w:r>
        <w:rPr>
          <w:rFonts w:hint="eastAsia" w:ascii="宋体" w:hAnsi="宋体"/>
          <w:color w:val="auto"/>
          <w:szCs w:val="21"/>
        </w:rPr>
        <w:t>、GB50017《钢结构设计规范》。</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12</w:t>
      </w:r>
      <w:r>
        <w:rPr>
          <w:rFonts w:hint="eastAsia" w:ascii="宋体" w:hAnsi="宋体"/>
          <w:color w:val="auto"/>
          <w:szCs w:val="21"/>
        </w:rPr>
        <w:t>、杭公交〔2010〕129号《杭州市城市道路交通设施设置细则》。</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lang w:val="en-US" w:eastAsia="zh-CN"/>
        </w:rPr>
        <w:t>13</w:t>
      </w:r>
      <w:r>
        <w:rPr>
          <w:rFonts w:hint="eastAsia" w:ascii="宋体" w:hAnsi="宋体"/>
          <w:color w:val="auto"/>
          <w:szCs w:val="21"/>
        </w:rPr>
        <w:t>、其它国家相关规定</w:t>
      </w:r>
      <w:r>
        <w:rPr>
          <w:rFonts w:hint="eastAsia" w:ascii="宋体" w:hAnsi="宋体" w:cs="Arial"/>
          <w:color w:val="auto"/>
          <w:szCs w:val="21"/>
        </w:rPr>
        <w:t>与标准。</w:t>
      </w:r>
      <w:r>
        <w:rPr>
          <w:rFonts w:hint="eastAsia" w:ascii="宋体" w:hAnsi="宋体" w:cs="Arial"/>
          <w:color w:val="auto"/>
          <w:szCs w:val="21"/>
          <w:lang w:val="en-US" w:eastAsia="zh-CN"/>
        </w:rPr>
        <w:t>以上标准、规范有更新的，以时间最新的为准。</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14、中标人所用主要原材料均需提供质保单或产品质量合格证或权威机构的产品质量报告。</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15、反光膜、涂料、钢材、铝材、等材料必须提供出厂合格证及相关部门产品检测证（其中反光膜、涂料必须提供厂家品牌及样品），产品质量必须达到国家行业标准。</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16、为确保道路美观，所有交通安全设施基座均应埋入地面以下，不外露。如标志在绿化带中，其上必须有40cm的覆土；如基座在人行道上，其上应满足铺设地砖的厚度要求，标志杆立柱钢管在制作时应相应加长，确保道路净空满足规范要求。</w:t>
      </w:r>
    </w:p>
    <w:p>
      <w:pPr>
        <w:adjustRightInd w:val="0"/>
        <w:snapToGrid w:val="0"/>
        <w:spacing w:line="360" w:lineRule="auto"/>
        <w:ind w:firstLine="420" w:firstLineChars="200"/>
        <w:rPr>
          <w:rFonts w:hint="eastAsia" w:ascii="宋体" w:hAnsi="宋体"/>
          <w:color w:val="auto"/>
          <w:szCs w:val="21"/>
        </w:rPr>
      </w:pPr>
      <w:r>
        <w:rPr>
          <w:rFonts w:ascii="宋体" w:hAnsi="宋体"/>
          <w:color w:val="auto"/>
          <w:szCs w:val="21"/>
        </w:rPr>
        <w:t>17、钢材（钢管、钢板、型钢）材质为Q345B，质量符合《低合金高强度结构钢》GB/T1591的规定。所有标杆及标志牌结构、基础、尺寸等均见图纸。</w:t>
      </w:r>
    </w:p>
    <w:p>
      <w:pPr>
        <w:adjustRightInd w:val="0"/>
        <w:snapToGrid w:val="0"/>
        <w:spacing w:line="360" w:lineRule="auto"/>
        <w:ind w:firstLine="420" w:firstLineChars="200"/>
        <w:rPr>
          <w:rFonts w:hint="eastAsia" w:ascii="宋体" w:hAnsi="宋体"/>
          <w:color w:val="auto"/>
          <w:szCs w:val="21"/>
        </w:rPr>
      </w:pPr>
    </w:p>
    <w:p>
      <w:pPr>
        <w:adjustRightInd w:val="0"/>
        <w:snapToGrid w:val="0"/>
        <w:spacing w:line="360" w:lineRule="auto"/>
        <w:ind w:firstLine="420" w:firstLineChars="200"/>
        <w:rPr>
          <w:rFonts w:ascii="宋体" w:hAnsi="宋体"/>
          <w:b/>
          <w:snapToGrid w:val="0"/>
          <w:color w:val="auto"/>
          <w:kern w:val="0"/>
          <w:szCs w:val="21"/>
        </w:rPr>
      </w:pPr>
      <w:r>
        <w:rPr>
          <w:rFonts w:ascii="宋体" w:hAnsi="宋体"/>
          <w:b/>
          <w:snapToGrid w:val="0"/>
          <w:color w:val="auto"/>
          <w:kern w:val="0"/>
          <w:szCs w:val="21"/>
        </w:rPr>
        <w:t>（二）具体货物参数如下：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1、交通标志：</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（1）杆件：基础及其他的结构样式参照图纸。</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 xml:space="preserve">（2）杆件涂装：杆件必须喷黑，材料使用黑色镀锌防腐哑光漆。 </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（3）标志牌：</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标志牌底板采用牌号为2024、T4状态的硬铝合金板制作。标志牌所有底板（铝板）宽度小于等于1.5米均不得拼接，宽度大于1.5米允许有一处拼接；标牌面积在1平方米（含）以下的铝板厚度采用1.5毫米，1平方米（不含）至4.5平方米（含）采用2.0毫米，4.5平方米（不含）以上采用3毫米。</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标志牌安装为悬臂式时，指路牌采用直径219F杆、273F杆、325F杆或377F杆，分道牌采用直径140F杆、219F杆或325F杆，其余标牌采用直径140F杆或219F杆；当标志牌安装为直立式时其标志杆采用直径76毫米直立杆，需采用防盗抱箍。除设置分道牌时F杆横臂长为4米外，其余尺寸均按图；各标志杆悬臂杆长度以乔木灌木区分，绿化采用乔木则标志牌内侧边缘离标志杆的距离在4米以上；绿化采用灌木则标志牌内侧边缘离标志杆的距离在2.5米以上；净空高度不得低于5.5米。</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裸露板材后背必须喷黑，材料使用黑色镀锌防腐哑光漆。</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w:t>
      </w:r>
      <w:r>
        <w:rPr>
          <w:rFonts w:ascii="宋体" w:hAnsi="宋体"/>
          <w:color w:val="auto"/>
          <w:szCs w:val="21"/>
        </w:rPr>
        <w:t>反光膜:</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标志反光膜符合GB18833-2012&lt;&lt;道路交通反光膜&gt;&gt;V类要求并同时满足以下条件,对于涉及的警告类标志均采用荧光黄；其中“注意行人标志”和“注意学校标志”、“注意儿童标志”均全部采用荧光黄绿反光膜。</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（1）采用全棱镜结构（钻石级）反光膜。</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（2）反光膜采用耐磨聚碳酸酯材料和微晶立方角体技术制成,不含金属镀层。</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（3）反光膜需提供国家交通安全设施质量监督检验中心加速老化1800小时的耐候性检测报告；并提供反光膜制造商出具的产品说明书。</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（4）提供反光膜制造商经销商授权证书复印件，并提供反光膜制造商经销商授权书。格式见附件。（备选）</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（5）提供本次项目中使用反光膜样品（10CM*10CM）。中标后封存，施工过程中交由采购人、监理进行核对。</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（6）同一标志版面、同一路段或同一合同段采用同一品牌反光膜，不同颜色的反光膜应使用同一品牌。</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（7）反光膜厂家需提供质保书，担保期内因反光膜质量问题导致褪色、脱胶、起皱、发霉等不良现象反光膜制造商予以更换，在担保期内至少保持80％的初始反光亮度，同时应满足下表的技术要求：</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32"/>
        <w:gridCol w:w="1070"/>
        <w:gridCol w:w="1070"/>
        <w:gridCol w:w="1070"/>
        <w:gridCol w:w="1070"/>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070" w:type="dxa"/>
            <w:vMerge w:val="restart"/>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观察角</w:t>
            </w:r>
          </w:p>
        </w:tc>
        <w:tc>
          <w:tcPr>
            <w:tcW w:w="1032" w:type="dxa"/>
            <w:vMerge w:val="restart"/>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入射角</w:t>
            </w:r>
          </w:p>
        </w:tc>
        <w:tc>
          <w:tcPr>
            <w:tcW w:w="6420" w:type="dxa"/>
            <w:gridSpan w:val="6"/>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最小逆反射系数 cd·lx-1·m-2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continue"/>
            <w:noWrap w:val="0"/>
            <w:vAlign w:val="center"/>
          </w:tcPr>
          <w:p>
            <w:pPr>
              <w:autoSpaceDE w:val="0"/>
              <w:autoSpaceDN w:val="0"/>
              <w:adjustRightInd w:val="0"/>
              <w:spacing w:line="380" w:lineRule="atLeast"/>
              <w:jc w:val="left"/>
              <w:rPr>
                <w:rFonts w:ascii="宋体" w:hAnsi="宋体" w:cs="宋体"/>
                <w:color w:val="auto"/>
                <w:lang w:val="zh-CN"/>
              </w:rPr>
            </w:pPr>
          </w:p>
        </w:tc>
        <w:tc>
          <w:tcPr>
            <w:tcW w:w="1032" w:type="dxa"/>
            <w:vMerge w:val="continue"/>
            <w:noWrap w:val="0"/>
            <w:vAlign w:val="top"/>
          </w:tcPr>
          <w:p>
            <w:pPr>
              <w:autoSpaceDE w:val="0"/>
              <w:autoSpaceDN w:val="0"/>
              <w:adjustRightInd w:val="0"/>
              <w:spacing w:line="380" w:lineRule="atLeast"/>
              <w:jc w:val="left"/>
              <w:rPr>
                <w:rFonts w:ascii="宋体" w:hAnsi="宋体" w:cs="宋体"/>
                <w:color w:val="auto"/>
                <w:lang w:val="zh-CN"/>
              </w:rPr>
            </w:pP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白色</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黄色</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红色</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绿色</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蓝色</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棕色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restart"/>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0.2º</w:t>
            </w: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-4º</w:t>
            </w:r>
          </w:p>
        </w:tc>
        <w:tc>
          <w:tcPr>
            <w:tcW w:w="1070"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800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600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170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120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70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continue"/>
            <w:noWrap w:val="0"/>
            <w:vAlign w:val="center"/>
          </w:tcPr>
          <w:p>
            <w:pPr>
              <w:autoSpaceDE w:val="0"/>
              <w:autoSpaceDN w:val="0"/>
              <w:adjustRightInd w:val="0"/>
              <w:spacing w:line="380" w:lineRule="atLeast"/>
              <w:jc w:val="left"/>
              <w:rPr>
                <w:rFonts w:ascii="宋体" w:hAnsi="宋体" w:cs="宋体"/>
                <w:color w:val="auto"/>
                <w:lang w:val="zh-CN"/>
              </w:rPr>
            </w:pP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15º</w:t>
            </w:r>
          </w:p>
        </w:tc>
        <w:tc>
          <w:tcPr>
            <w:tcW w:w="1070"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700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500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130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60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continue"/>
            <w:noWrap w:val="0"/>
            <w:vAlign w:val="center"/>
          </w:tcPr>
          <w:p>
            <w:pPr>
              <w:autoSpaceDE w:val="0"/>
              <w:autoSpaceDN w:val="0"/>
              <w:adjustRightInd w:val="0"/>
              <w:spacing w:line="380" w:lineRule="atLeast"/>
              <w:jc w:val="left"/>
              <w:rPr>
                <w:rFonts w:ascii="宋体" w:hAnsi="宋体" w:cs="宋体"/>
                <w:color w:val="auto"/>
                <w:lang w:val="zh-CN"/>
              </w:rPr>
            </w:pP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30º</w:t>
            </w:r>
          </w:p>
        </w:tc>
        <w:tc>
          <w:tcPr>
            <w:tcW w:w="1070"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95</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60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35</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restart"/>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0.5º</w:t>
            </w: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-4º</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450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380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75</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continue"/>
            <w:noWrap w:val="0"/>
            <w:vAlign w:val="center"/>
          </w:tcPr>
          <w:p>
            <w:pPr>
              <w:autoSpaceDE w:val="0"/>
              <w:autoSpaceDN w:val="0"/>
              <w:adjustRightInd w:val="0"/>
              <w:spacing w:line="380" w:lineRule="atLeast"/>
              <w:jc w:val="left"/>
              <w:rPr>
                <w:rFonts w:ascii="宋体" w:hAnsi="宋体" w:cs="宋体"/>
                <w:color w:val="auto"/>
                <w:lang w:val="zh-CN"/>
              </w:rPr>
            </w:pP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15º</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280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60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60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continue"/>
            <w:noWrap w:val="0"/>
            <w:vAlign w:val="center"/>
          </w:tcPr>
          <w:p>
            <w:pPr>
              <w:autoSpaceDE w:val="0"/>
              <w:autoSpaceDN w:val="0"/>
              <w:adjustRightInd w:val="0"/>
              <w:spacing w:line="380" w:lineRule="atLeast"/>
              <w:jc w:val="left"/>
              <w:rPr>
                <w:rFonts w:ascii="宋体" w:hAnsi="宋体" w:cs="宋体"/>
                <w:color w:val="auto"/>
                <w:lang w:val="zh-CN"/>
              </w:rPr>
            </w:pP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30º</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200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180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20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restart"/>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1º</w:t>
            </w: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-4º</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120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20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20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continue"/>
            <w:noWrap w:val="0"/>
            <w:vAlign w:val="center"/>
          </w:tcPr>
          <w:p>
            <w:pPr>
              <w:autoSpaceDE w:val="0"/>
              <w:autoSpaceDN w:val="0"/>
              <w:adjustRightInd w:val="0"/>
              <w:spacing w:line="380" w:lineRule="atLeast"/>
              <w:jc w:val="left"/>
              <w:rPr>
                <w:rFonts w:ascii="宋体" w:hAnsi="宋体" w:cs="宋体"/>
                <w:color w:val="auto"/>
                <w:lang w:val="zh-CN"/>
              </w:rPr>
            </w:pP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15º</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100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80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18</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15</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8</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70" w:type="dxa"/>
            <w:vMerge w:val="continue"/>
            <w:noWrap w:val="0"/>
            <w:vAlign w:val="center"/>
          </w:tcPr>
          <w:p>
            <w:pPr>
              <w:autoSpaceDE w:val="0"/>
              <w:autoSpaceDN w:val="0"/>
              <w:adjustRightInd w:val="0"/>
              <w:spacing w:line="380" w:lineRule="atLeast"/>
              <w:jc w:val="left"/>
              <w:rPr>
                <w:rFonts w:ascii="宋体" w:hAnsi="宋体" w:cs="宋体"/>
                <w:color w:val="auto"/>
                <w:lang w:val="zh-CN"/>
              </w:rPr>
            </w:pPr>
          </w:p>
        </w:tc>
        <w:tc>
          <w:tcPr>
            <w:tcW w:w="1032" w:type="dxa"/>
            <w:noWrap w:val="0"/>
            <w:vAlign w:val="top"/>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30º</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90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70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14</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10</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4</w:t>
            </w:r>
          </w:p>
        </w:tc>
        <w:tc>
          <w:tcPr>
            <w:tcW w:w="1070" w:type="dxa"/>
            <w:noWrap w:val="0"/>
            <w:vAlign w:val="center"/>
          </w:tcPr>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1.0</w:t>
            </w:r>
          </w:p>
        </w:tc>
      </w:tr>
    </w:tbl>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t>注：</w:t>
      </w:r>
      <w:r>
        <w:rPr>
          <w:rFonts w:ascii="宋体" w:hAnsi="宋体" w:cs="宋体"/>
          <w:color w:val="auto"/>
          <w:lang w:val="zh-CN"/>
        </w:rPr>
        <w:sym w:font="Wingdings" w:char="F081"/>
      </w:r>
      <w:r>
        <w:rPr>
          <w:rFonts w:ascii="宋体" w:hAnsi="宋体" w:cs="宋体"/>
          <w:color w:val="auto"/>
          <w:lang w:val="zh-CN"/>
        </w:rPr>
        <w:t>所投产品须符合《GB5768-2009  道路交通标志和标线》中有关道路交通标志的规定。</w:t>
      </w:r>
    </w:p>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sym w:font="Wingdings" w:char="F082"/>
      </w:r>
      <w:r>
        <w:rPr>
          <w:rFonts w:ascii="宋体" w:hAnsi="宋体" w:cs="宋体"/>
          <w:color w:val="auto"/>
          <w:lang w:val="zh-CN"/>
        </w:rPr>
        <w:t>所投产品须符合浙江省地方标准《城市道路交通标志和标线设置规范》中有关道路交通标志的规定。</w:t>
      </w:r>
    </w:p>
    <w:p>
      <w:pPr>
        <w:autoSpaceDE w:val="0"/>
        <w:autoSpaceDN w:val="0"/>
        <w:adjustRightInd w:val="0"/>
        <w:spacing w:line="380" w:lineRule="atLeast"/>
        <w:jc w:val="left"/>
        <w:rPr>
          <w:rFonts w:ascii="宋体" w:hAnsi="宋体" w:cs="宋体"/>
          <w:color w:val="auto"/>
          <w:lang w:val="zh-CN"/>
        </w:rPr>
      </w:pPr>
      <w:r>
        <w:rPr>
          <w:rFonts w:ascii="宋体" w:hAnsi="宋体" w:cs="宋体"/>
          <w:color w:val="auto"/>
          <w:lang w:val="zh-CN"/>
        </w:rPr>
        <w:sym w:font="Wingdings" w:char="F083"/>
      </w:r>
      <w:r>
        <w:rPr>
          <w:rFonts w:ascii="宋体" w:hAnsi="宋体" w:cs="宋体"/>
          <w:color w:val="auto"/>
          <w:lang w:val="zh-CN"/>
        </w:rPr>
        <w:t>所投反光膜应符合GB/T18833-2012《道路交通标志反光膜》中v类大角度的要求。</w:t>
      </w:r>
    </w:p>
    <w:p>
      <w:pPr>
        <w:autoSpaceDE w:val="0"/>
        <w:autoSpaceDN w:val="0"/>
        <w:adjustRightInd w:val="0"/>
        <w:spacing w:line="380" w:lineRule="atLeast"/>
        <w:jc w:val="left"/>
        <w:rPr>
          <w:rFonts w:ascii="宋体" w:hAnsi="宋体" w:cs="宋体"/>
          <w:color w:val="auto"/>
          <w:lang w:val="zh-CN"/>
        </w:rPr>
      </w:pP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w:t>
      </w:r>
      <w:r>
        <w:rPr>
          <w:rFonts w:ascii="宋体" w:hAnsi="宋体"/>
          <w:color w:val="auto"/>
          <w:szCs w:val="21"/>
        </w:rPr>
        <w:t>交通标线：</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（1）反光热熔标线：</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1)反光热熔标线厚度1.5-1.8mm；</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2）密度（g/cm3）:1.8~2.3</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3）软化点(℃):90~125</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4）选用热熔型反光涂料，内含反光微珠必须≥25%</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5）施划时面撒反光微珠</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6）初始施划时逆反射系数：白色≥150，黄色≥100</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7）不粘胎干燥时间≤3min，开放交通干燥时间≤6min</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8）抗压强度（MPa）:≥12</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9)耐磨性（mg）:200 转/1000g 后减重≤80（JM—100 橡胶砂轮）</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10)使用寿命：≥1年</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11）所有标线施划均应先放样后漆划（除标线要求覆盖外）。</w:t>
      </w: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（2）震荡标线</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1)厚度≥6mm,长划7mm空11mm,宽15mm线划3颗;宽20mm线划4颗</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2）密度（g/cm3）:1.8~2.3</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3）软化点(℃):90~125</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4）选用热熔型反光涂料，内含反光微珠必须≥25%</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5）施划时面撒反光微珠</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6）初始施划时逆反射系数：白色≥150，黄色≥100</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7）不粘胎干燥时间≤3min，开放交通干燥时间≤6min</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8）抗压强度（MPa）:≥12</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9)耐磨性（mg）:200 转/1000g 后减重≤80（JM—100 橡胶砂轮）</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10)使用寿命：≥1年</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11)所有标线施划均应先放样后漆划（除标线要求覆盖外）。</w:t>
      </w:r>
    </w:p>
    <w:p>
      <w:pPr>
        <w:adjustRightInd w:val="0"/>
        <w:snapToGrid w:val="0"/>
        <w:spacing w:line="360" w:lineRule="auto"/>
        <w:ind w:firstLine="420" w:firstLineChars="200"/>
        <w:rPr>
          <w:rFonts w:ascii="宋体" w:hAnsi="宋体"/>
          <w:color w:val="auto"/>
          <w:szCs w:val="21"/>
        </w:rPr>
      </w:pPr>
    </w:p>
    <w:p>
      <w:pPr>
        <w:adjustRightInd w:val="0"/>
        <w:snapToGrid w:val="0"/>
        <w:spacing w:line="360" w:lineRule="auto"/>
        <w:ind w:firstLine="420" w:firstLineChars="200"/>
        <w:rPr>
          <w:rFonts w:ascii="宋体" w:hAnsi="宋体" w:cs="宋体"/>
          <w:color w:val="auto"/>
          <w:lang w:val="zh-CN"/>
        </w:rPr>
      </w:pPr>
      <w:r>
        <w:rPr>
          <w:rFonts w:ascii="宋体" w:hAnsi="宋体"/>
          <w:color w:val="auto"/>
          <w:szCs w:val="21"/>
        </w:rPr>
        <w:t>4、交通隔离：</w:t>
      </w:r>
      <w:r>
        <w:rPr>
          <w:rFonts w:ascii="宋体" w:hAnsi="宋体" w:cs="宋体"/>
          <w:color w:val="auto"/>
          <w:lang w:val="zh-CN"/>
        </w:rPr>
        <w:t>样式、规格、厚度及具体参数详见图纸</w:t>
      </w:r>
    </w:p>
    <w:p>
      <w:pPr>
        <w:autoSpaceDE w:val="0"/>
        <w:autoSpaceDN w:val="0"/>
        <w:adjustRightInd w:val="0"/>
        <w:snapToGrid w:val="0"/>
        <w:spacing w:line="380" w:lineRule="atLeast"/>
        <w:rPr>
          <w:rFonts w:ascii="宋体" w:hAnsi="宋体" w:cs="宋体"/>
          <w:color w:val="auto"/>
          <w:lang w:val="zh-CN"/>
        </w:rPr>
      </w:pPr>
    </w:p>
    <w:p>
      <w:pPr>
        <w:adjustRightInd w:val="0"/>
        <w:snapToGrid w:val="0"/>
        <w:spacing w:line="360" w:lineRule="auto"/>
        <w:ind w:firstLine="420" w:firstLineChars="200"/>
        <w:rPr>
          <w:rFonts w:ascii="宋体" w:hAnsi="宋体"/>
          <w:color w:val="auto"/>
          <w:szCs w:val="21"/>
        </w:rPr>
      </w:pPr>
      <w:r>
        <w:rPr>
          <w:rFonts w:ascii="宋体" w:hAnsi="宋体"/>
          <w:color w:val="auto"/>
          <w:szCs w:val="21"/>
        </w:rPr>
        <w:t>5、警示柱</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（1）pu警示柱：详见图纸</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（2）铁制警示柱：∮89×4×（800地面+400地下），地面粘贴200红白相间Ⅳ类反光膜。</w:t>
      </w:r>
    </w:p>
    <w:p>
      <w:pPr>
        <w:pStyle w:val="2"/>
        <w:rPr>
          <w:rFonts w:ascii="宋体" w:hAnsi="宋体"/>
          <w:color w:val="auto"/>
          <w:szCs w:val="21"/>
        </w:rPr>
      </w:pPr>
    </w:p>
    <w:p>
      <w:pPr>
        <w:numPr>
          <w:ilvl w:val="0"/>
          <w:numId w:val="1"/>
        </w:numPr>
        <w:adjustRightInd w:val="0"/>
        <w:snapToGrid w:val="0"/>
        <w:spacing w:line="360" w:lineRule="auto"/>
        <w:ind w:firstLine="420" w:firstLineChars="200"/>
        <w:rPr>
          <w:rFonts w:hint="eastAsia" w:ascii="宋体" w:hAnsi="宋体" w:cs="Arial"/>
          <w:color w:val="auto"/>
          <w:szCs w:val="21"/>
          <w:lang w:val="en-US" w:eastAsia="zh-CN"/>
        </w:rPr>
      </w:pPr>
      <w:r>
        <w:rPr>
          <w:rFonts w:hint="eastAsia" w:ascii="宋体" w:hAnsi="宋体" w:cs="Arial"/>
          <w:color w:val="auto"/>
          <w:szCs w:val="21"/>
          <w:lang w:val="en-US" w:eastAsia="zh-CN"/>
        </w:rPr>
        <w:t>交通信息诱导系统</w:t>
      </w:r>
    </w:p>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建设点位</w:t>
      </w: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文海北路银海街以南100米（北往南方向）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10号大街23号大街北侧（南往北方向）加油站南侧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德胜东路文津路东侧（西向东方向）集贤巷西侧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6号大街11号大街北侧（南往北方向）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20号大街17号大街西侧（东向西方向）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金沙大道海达南路北侧（南向北方向）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围垦街文津北路南侧（北往南方向）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2号大街11号大街北侧（南向北）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龙湖天街金沙海达（东向西）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8374"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松乔街文泽北路（北向南）松乔金乔中间绿化空地</w:t>
            </w:r>
          </w:p>
        </w:tc>
      </w:tr>
    </w:tbl>
    <w:p>
      <w:pPr>
        <w:keepNext w:val="0"/>
        <w:keepLines w:val="0"/>
        <w:pageBreakBefore w:val="0"/>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技术要求</w:t>
      </w:r>
    </w:p>
    <w:p>
      <w:pPr>
        <w:keepNext w:val="0"/>
        <w:keepLines w:val="0"/>
        <w:pageBreakBefore w:val="0"/>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全彩LED交通诱导标志主要技术要求如下：</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rPr>
        <w:t>执行国家标准、行业标准、地方标准</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《道路交通诱导可变信息标志》GA484-2010_LED</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《视频显示屏系统工程测量技术规范》GB 50525-2010-T</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《发光二极管(LED)显示屏测试方法》SJ_T_11281-2007</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《显示屏通用规范》SJT 11141-2012.LED</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《安全防范（系统）工程检验规范》DB33/T 334-2011</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《公共场所发光二极管（LED）显示屏最大可视亮度限值和测量方法》DB31/708-2013</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rPr>
        <w:t>差别化要求</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1、差别化指标</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（1）LED管芯：</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红色、黄色LED管采用ALInGaP四元素管；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绿管采用日亚原装管；</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（2）LED管的半功率角为30°；</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（3）LED管采用定电流驱动，具有过流保护功能（不大于20mA）,LED发光亮度可根据周围环境有自动调节、手动调节，调节阶级达32级。还能抵抗40m/s的风速。</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（4）诱导屏的整机平均无故障时间MTBF：≥10000hours。</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（5）文字LED屏的点间距为16mm.</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（6）图型诱导屏发光光带的模块化设计：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光带采用模块化结构，每个像素有5个LED管组成，其配置为2红2黄1绿。</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像素点间距为10mm，光带的标准宽度为110mm。</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对图形板光带模块的控制，每一排为控制的最小单元，由监控中心按照交通状态分段显示的要求进行控制。</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（7）屏体平整度等级符合国家标准C级。</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（8）屏体像素中心距相对偏差符合国家标准C级。</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（9）屏体水平和垂直相对偏差符合国家标准C级。</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（10）屏体最大亮度应不低于8000cd/m2,并符合上海LED地方标准DB31/708-2013。</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（11）屏体显示模块、模组亮度均匀性符合国家标准C级。</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（12）屏体模组负载变化率符合国家标准C级。</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（13）屏体整屏像素失控率符合国家标准C级。</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（14）屏体区域像素失控率低于万分之一。</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2、电源系统</w:t>
      </w:r>
    </w:p>
    <w:p>
      <w:pPr>
        <w:keepNext w:val="0"/>
        <w:keepLines w:val="0"/>
        <w:pageBreakBefore w:val="0"/>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诱导屏的驱动系统和控制系统的工作电源都采用n+1高可靠容错的开关电源系统，当其中一台电源发生故障时,其它电源仍有足够容量保障系统的正常工作，使开关电源具有高可靠性。</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3、面板与机箱</w:t>
      </w:r>
    </w:p>
    <w:p>
      <w:pPr>
        <w:keepNext w:val="0"/>
        <w:keepLines w:val="0"/>
        <w:pageBreakBefore w:val="0"/>
        <w:tabs>
          <w:tab w:val="left" w:pos="360"/>
        </w:tabs>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bCs/>
          <w:color w:val="auto"/>
          <w:sz w:val="21"/>
          <w:szCs w:val="21"/>
        </w:rPr>
        <w:t>（1）</w:t>
      </w:r>
      <w:r>
        <w:rPr>
          <w:rFonts w:hint="eastAsia" w:ascii="宋体" w:hAnsi="宋体" w:eastAsia="宋体" w:cs="宋体"/>
          <w:color w:val="auto"/>
          <w:sz w:val="21"/>
          <w:szCs w:val="21"/>
        </w:rPr>
        <w:t>版面材料采用3mm铝合金型材，符合GB5237的规定，板面上覆二级反光膜，衬底色为蓝色，文字为白色。版面设计按照</w:t>
      </w:r>
      <w:r>
        <w:rPr>
          <w:rFonts w:hint="eastAsia" w:ascii="宋体" w:hAnsi="宋体" w:eastAsia="宋体" w:cs="宋体"/>
          <w:color w:val="auto"/>
          <w:sz w:val="21"/>
          <w:szCs w:val="21"/>
        </w:rPr>
        <w:t>国家标准GB5768——1999（道路交通标志和标线）进行</w:t>
      </w:r>
      <w:r>
        <w:rPr>
          <w:rFonts w:hint="eastAsia" w:ascii="宋体" w:hAnsi="宋体" w:eastAsia="宋体" w:cs="宋体"/>
          <w:color w:val="auto"/>
          <w:sz w:val="21"/>
          <w:szCs w:val="21"/>
        </w:rPr>
        <w:t>制作。</w:t>
      </w:r>
    </w:p>
    <w:p>
      <w:pPr>
        <w:keepNext w:val="0"/>
        <w:keepLines w:val="0"/>
        <w:pageBreakBefore w:val="0"/>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（2）机箱采用冷轧钢板，机箱为内外两层，</w:t>
      </w:r>
      <w:r>
        <w:rPr>
          <w:rFonts w:hint="eastAsia" w:ascii="宋体" w:hAnsi="宋体" w:eastAsia="宋体" w:cs="宋体"/>
          <w:color w:val="auto"/>
          <w:sz w:val="21"/>
          <w:szCs w:val="21"/>
        </w:rPr>
        <w:t>内箱体为全封闭、全天候、防风雨型，符合IP65防护等级。</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4、通讯方式</w:t>
      </w:r>
    </w:p>
    <w:p>
      <w:pPr>
        <w:keepNext w:val="0"/>
        <w:keepLines w:val="0"/>
        <w:pageBreakBefore w:val="0"/>
        <w:tabs>
          <w:tab w:val="left" w:pos="360"/>
        </w:tabs>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rPr>
        <w:t>采用符合交警局软件平台协议的物理网口通讯方式，能够无缝接入支队现有软件平台。而且要求从屏上下来直接是网口，而非串口改网口方式。</w:t>
      </w:r>
    </w:p>
    <w:p>
      <w:pPr>
        <w:keepNext w:val="0"/>
        <w:keepLines w:val="0"/>
        <w:pageBreakBefore w:val="0"/>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b/>
          <w:color w:val="auto"/>
          <w:sz w:val="21"/>
          <w:szCs w:val="21"/>
        </w:rPr>
      </w:pPr>
      <w:r>
        <w:rPr>
          <w:rFonts w:hint="eastAsia" w:ascii="宋体" w:hAnsi="宋体" w:eastAsia="宋体" w:cs="宋体"/>
          <w:color w:val="auto"/>
          <w:sz w:val="21"/>
          <w:szCs w:val="21"/>
        </w:rPr>
        <w:t>5、整机主要技术指标</w:t>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（1）大型图形诱导屏</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外形尺寸：根据需要定制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光带宽度:132mm</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配置:2R2Y1G</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点间距:22mm</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亮度:≥8000cd/㎡</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视认角:300</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红、黄管: ALInGaP四元素管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绿管:日亚原装管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版面材料:3mm铝合金型材，板面上覆二级反光膜，衬底色绿色，文字为白字</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机箱: 冷轧钢板</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视认距离：≥200m</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调光功能：32级，自动、手动两种方式</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LED平均无故障时间 MTBF：≥50000小时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整机平均无故障时间MTBF：≥10000小时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电源：三相交流380V/220V</w:t>
      </w:r>
      <w:r>
        <w:rPr>
          <w:rFonts w:hint="eastAsia" w:ascii="宋体" w:hAnsi="宋体" w:eastAsia="宋体" w:cs="宋体"/>
          <w:color w:val="auto"/>
          <w:sz w:val="21"/>
          <w:szCs w:val="21"/>
        </w:rPr>
        <w:sym w:font="Symbol" w:char="F0B1"/>
      </w:r>
      <w:r>
        <w:rPr>
          <w:rFonts w:hint="eastAsia" w:ascii="宋体" w:hAnsi="宋体" w:eastAsia="宋体" w:cs="宋体"/>
          <w:color w:val="auto"/>
          <w:sz w:val="21"/>
          <w:szCs w:val="21"/>
        </w:rPr>
        <w:t>20%，50Hz</w:t>
      </w:r>
      <w:r>
        <w:rPr>
          <w:rFonts w:hint="eastAsia" w:ascii="宋体" w:hAnsi="宋体" w:eastAsia="宋体" w:cs="宋体"/>
          <w:color w:val="auto"/>
          <w:sz w:val="21"/>
          <w:szCs w:val="21"/>
        </w:rPr>
        <w:sym w:font="Symbol" w:char="F0B1"/>
      </w:r>
      <w:r>
        <w:rPr>
          <w:rFonts w:hint="eastAsia" w:ascii="宋体" w:hAnsi="宋体" w:eastAsia="宋体" w:cs="宋体"/>
          <w:color w:val="auto"/>
          <w:sz w:val="21"/>
          <w:szCs w:val="21"/>
        </w:rPr>
        <w:t>2Hz</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接地电阻：</w:t>
      </w:r>
      <w:r>
        <w:rPr>
          <w:rFonts w:hint="eastAsia" w:ascii="宋体" w:hAnsi="宋体" w:eastAsia="宋体" w:cs="宋体"/>
          <w:color w:val="auto"/>
          <w:sz w:val="21"/>
          <w:szCs w:val="21"/>
        </w:rPr>
        <w:sym w:font="Symbol" w:char="F0A3"/>
      </w:r>
      <w:r>
        <w:rPr>
          <w:rFonts w:hint="eastAsia" w:ascii="宋体" w:hAnsi="宋体" w:eastAsia="宋体" w:cs="宋体"/>
          <w:color w:val="auto"/>
          <w:sz w:val="21"/>
          <w:szCs w:val="21"/>
        </w:rPr>
        <w:t>4</w:t>
      </w:r>
      <w:r>
        <w:rPr>
          <w:rFonts w:hint="eastAsia" w:ascii="宋体" w:hAnsi="宋体" w:eastAsia="宋体" w:cs="宋体"/>
          <w:color w:val="auto"/>
          <w:sz w:val="21"/>
          <w:szCs w:val="21"/>
        </w:rPr>
        <w:sym w:font="Symbol" w:char="F057"/>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（2）图形+文字诱导屏</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外形尺寸：根据需要定制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光带:宽度:132mm(主线)、110mm(匝道)</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配置:2R2Y1G</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点间距:16mm</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文字:点间距:18mm</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配置:2R1G</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视认角:300</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亮度:≥8000cd/㎡</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红、黄管: ALInGaP四元素管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绿管:日亚原装管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版面材料:3mm铝合金型材，板面上覆二级反光膜，衬底色绿色，文字为白字</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机箱: 冷轧钢板</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视认距离：图形≥200m；文字≥150m</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调光功能：32级，自动、手动两种方式</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LED平均无故障时间 MTBF：≥50000小时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整机平均无故障时间MTBF：≥10000小时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电源：三相交流380V</w:t>
      </w:r>
      <w:r>
        <w:rPr>
          <w:rFonts w:hint="eastAsia" w:ascii="宋体" w:hAnsi="宋体" w:eastAsia="宋体" w:cs="宋体"/>
          <w:color w:val="auto"/>
          <w:sz w:val="21"/>
          <w:szCs w:val="21"/>
        </w:rPr>
        <w:sym w:font="Symbol" w:char="F0B1"/>
      </w:r>
      <w:r>
        <w:rPr>
          <w:rFonts w:hint="eastAsia" w:ascii="宋体" w:hAnsi="宋体" w:eastAsia="宋体" w:cs="宋体"/>
          <w:color w:val="auto"/>
          <w:sz w:val="21"/>
          <w:szCs w:val="21"/>
        </w:rPr>
        <w:t>20%，50Hz</w:t>
      </w:r>
      <w:r>
        <w:rPr>
          <w:rFonts w:hint="eastAsia" w:ascii="宋体" w:hAnsi="宋体" w:eastAsia="宋体" w:cs="宋体"/>
          <w:color w:val="auto"/>
          <w:sz w:val="21"/>
          <w:szCs w:val="21"/>
        </w:rPr>
        <w:sym w:font="Symbol" w:char="F0B1"/>
      </w:r>
      <w:r>
        <w:rPr>
          <w:rFonts w:hint="eastAsia" w:ascii="宋体" w:hAnsi="宋体" w:eastAsia="宋体" w:cs="宋体"/>
          <w:color w:val="auto"/>
          <w:sz w:val="21"/>
          <w:szCs w:val="21"/>
        </w:rPr>
        <w:t>2Hz</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接地电阻：</w:t>
      </w:r>
      <w:r>
        <w:rPr>
          <w:rFonts w:hint="eastAsia" w:ascii="宋体" w:hAnsi="宋体" w:eastAsia="宋体" w:cs="宋体"/>
          <w:color w:val="auto"/>
          <w:sz w:val="21"/>
          <w:szCs w:val="21"/>
        </w:rPr>
        <w:sym w:font="Symbol" w:char="F0A3"/>
      </w:r>
      <w:r>
        <w:rPr>
          <w:rFonts w:hint="eastAsia" w:ascii="宋体" w:hAnsi="宋体" w:eastAsia="宋体" w:cs="宋体"/>
          <w:color w:val="auto"/>
          <w:sz w:val="21"/>
          <w:szCs w:val="21"/>
        </w:rPr>
        <w:t>4</w:t>
      </w:r>
      <w:r>
        <w:rPr>
          <w:rFonts w:hint="eastAsia" w:ascii="宋体" w:hAnsi="宋体" w:eastAsia="宋体" w:cs="宋体"/>
          <w:color w:val="auto"/>
          <w:sz w:val="21"/>
          <w:szCs w:val="21"/>
        </w:rPr>
        <w:sym w:font="Symbol" w:char="F057"/>
      </w:r>
    </w:p>
    <w:p>
      <w:pPr>
        <w:keepNext w:val="0"/>
        <w:keepLines w:val="0"/>
        <w:pageBreakBefore w:val="0"/>
        <w:widowControl/>
        <w:kinsoku/>
        <w:wordWrap/>
        <w:overflowPunct/>
        <w:topLinePunct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 （3）全LED文字诱导屏</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常规显示尺寸： 2.048X3.072m </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条状特色尺寸：根据需要定制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显示点阵：128×192</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点 间 距：16㎜</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像素配置：2R1G</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红    管：AVAGO原装管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绿    管：日亚原装管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视 认 角：30°</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机箱材料: 冷轧钢板</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显示亮度：≥8000cd/㎡</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亮度调节：32级手动/自动</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工作温度：-10℃～+60℃</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工作湿度：10%～90%</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抗风速：40m/s</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LED寿命：100000小时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系统平均无故障工作时间：≥20000小时</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通信接口：屏体物理网口接入 </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可视距离：≥210m（100km/h）</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xml:space="preserve">电源：AC220V±10%，50Hz </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防护等级：IP65</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电源：N+1备份</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箱体结构：双层机箱</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left="0" w:leftChars="0"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箱体材料：冷轧钢板</w:t>
      </w:r>
    </w:p>
    <w:p>
      <w:pPr>
        <w:spacing w:line="400" w:lineRule="exact"/>
        <w:rPr>
          <w:rFonts w:ascii="宋体" w:hAnsi="宋体" w:cs="宋体"/>
          <w:color w:val="auto"/>
        </w:rPr>
      </w:pPr>
    </w:p>
    <w:p>
      <w:pPr>
        <w:adjustRightInd w:val="0"/>
        <w:snapToGrid w:val="0"/>
        <w:spacing w:line="360" w:lineRule="auto"/>
        <w:ind w:firstLine="420" w:firstLineChars="200"/>
        <w:rPr>
          <w:rFonts w:ascii="宋体" w:hAnsi="宋体"/>
          <w:b/>
          <w:snapToGrid w:val="0"/>
          <w:color w:val="auto"/>
          <w:kern w:val="0"/>
          <w:szCs w:val="21"/>
        </w:rPr>
      </w:pPr>
      <w:r>
        <w:rPr>
          <w:rFonts w:ascii="宋体" w:hAnsi="宋体"/>
          <w:b/>
          <w:snapToGrid w:val="0"/>
          <w:color w:val="auto"/>
          <w:kern w:val="0"/>
          <w:szCs w:val="21"/>
        </w:rPr>
        <w:t>（三）交通标志杆件检测技术评估内容：</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（1）杆件粗细规格及金属件厚度检测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（2）杆件镀锌层厚度及锈蚀情况检测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（3）标志杆连接螺栓规格及锈蚀情况检测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（4）标志净空高度检测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（5）标志底板厚度检测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（6）标志紧固件及螺栓的锈蚀情况检测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（7）基础地脚螺栓螺母的规格及锈蚀情况检测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（8）标志逆反射系数检测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（9）标志立柱（支撑）竖直度检测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（10）标志板安装质量检测</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11）完成全部检测量，出具检测报告并组织专家对其检测报告的准确性进行论证（由中标人支付专家论证费）。经专家论证合格后的检测报告及专家论证结果需交付于采购人。如若其检测报告经专家论证不合格，中标人将按照专家给出的整改意见进行重新检测并出具报告，并再次组织专家组重新论证达到合格为准。</w:t>
      </w:r>
    </w:p>
    <w:p>
      <w:pPr>
        <w:adjustRightInd w:val="0"/>
        <w:snapToGrid w:val="0"/>
        <w:spacing w:line="360" w:lineRule="auto"/>
        <w:ind w:firstLine="420" w:firstLineChars="200"/>
        <w:rPr>
          <w:rFonts w:hint="eastAsia" w:ascii="宋体" w:hAnsi="宋体"/>
          <w:color w:val="auto"/>
          <w:szCs w:val="21"/>
        </w:rPr>
      </w:pPr>
      <w:r>
        <w:rPr>
          <w:rFonts w:ascii="宋体" w:hAnsi="宋体"/>
          <w:color w:val="auto"/>
          <w:szCs w:val="21"/>
        </w:rPr>
        <w:t>（12）对施工单位新安装（替换）的杆件要重新检测并出具检测报告。</w:t>
      </w:r>
    </w:p>
    <w:p>
      <w:pPr>
        <w:adjustRightInd w:val="0"/>
        <w:snapToGrid w:val="0"/>
        <w:spacing w:line="360" w:lineRule="auto"/>
        <w:ind w:firstLine="420" w:firstLineChars="200"/>
        <w:rPr>
          <w:rFonts w:ascii="宋体" w:hAnsi="宋体" w:cs="宋体"/>
          <w:b/>
          <w:bCs/>
          <w:color w:val="auto"/>
        </w:rPr>
      </w:pPr>
    </w:p>
    <w:p>
      <w:pPr>
        <w:pStyle w:val="3"/>
        <w:adjustRightInd w:val="0"/>
        <w:snapToGrid w:val="0"/>
        <w:spacing w:before="190" w:beforeLines="50" w:after="190" w:afterLines="50" w:line="360" w:lineRule="auto"/>
        <w:rPr>
          <w:rFonts w:ascii="宋体" w:hAnsi="宋体" w:eastAsia="宋体"/>
          <w:snapToGrid w:val="0"/>
          <w:color w:val="auto"/>
          <w:kern w:val="0"/>
          <w:sz w:val="21"/>
          <w:szCs w:val="21"/>
        </w:rPr>
      </w:pPr>
      <w:bookmarkStart w:id="5" w:name="_Toc16174"/>
      <w:bookmarkStart w:id="6" w:name="_Toc430266516"/>
      <w:bookmarkStart w:id="7" w:name="_Toc438728499"/>
      <w:bookmarkStart w:id="8" w:name="_Toc111380732"/>
      <w:bookmarkStart w:id="9" w:name="_Toc240206488"/>
      <w:bookmarkStart w:id="10" w:name="_Toc110417433"/>
      <w:r>
        <w:rPr>
          <w:rFonts w:ascii="宋体" w:hAnsi="宋体" w:eastAsia="宋体"/>
          <w:snapToGrid w:val="0"/>
          <w:color w:val="auto"/>
          <w:kern w:val="0"/>
          <w:sz w:val="21"/>
          <w:szCs w:val="21"/>
        </w:rPr>
        <w:t>三. 职责及权限</w:t>
      </w:r>
      <w:bookmarkEnd w:id="5"/>
    </w:p>
    <w:p>
      <w:pPr>
        <w:adjustRightInd w:val="0"/>
        <w:snapToGrid w:val="0"/>
        <w:spacing w:line="360" w:lineRule="auto"/>
        <w:ind w:firstLine="420" w:firstLineChars="200"/>
        <w:rPr>
          <w:rFonts w:ascii="宋体" w:hAnsi="宋体"/>
          <w:b/>
          <w:snapToGrid w:val="0"/>
          <w:color w:val="auto"/>
          <w:kern w:val="0"/>
          <w:szCs w:val="21"/>
        </w:rPr>
      </w:pPr>
      <w:r>
        <w:rPr>
          <w:rFonts w:hint="eastAsia" w:ascii="宋体" w:hAnsi="宋体"/>
          <w:b/>
          <w:snapToGrid w:val="0"/>
          <w:color w:val="auto"/>
          <w:kern w:val="0"/>
          <w:szCs w:val="21"/>
        </w:rPr>
        <w:t>（一）招标人</w:t>
      </w:r>
      <w:r>
        <w:rPr>
          <w:rFonts w:ascii="宋体" w:hAnsi="宋体"/>
          <w:b/>
          <w:snapToGrid w:val="0"/>
          <w:color w:val="auto"/>
          <w:kern w:val="0"/>
          <w:szCs w:val="21"/>
        </w:rPr>
        <w:t>职责、权限</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项目采购单位为</w:t>
      </w:r>
      <w:r>
        <w:rPr>
          <w:rFonts w:hint="eastAsia" w:ascii="宋体" w:hAnsi="宋体"/>
          <w:color w:val="auto"/>
          <w:szCs w:val="21"/>
          <w:lang w:eastAsia="zh-CN"/>
        </w:rPr>
        <w:t>杭州钱塘新区综合行政执法局</w:t>
      </w:r>
      <w:r>
        <w:rPr>
          <w:rFonts w:hint="eastAsia" w:ascii="宋体" w:hAnsi="宋体"/>
          <w:color w:val="auto"/>
          <w:szCs w:val="21"/>
        </w:rPr>
        <w:t>、杭州市公安局交通警察支队经济技术开发区大队。其中招投标过程主要对接方为</w:t>
      </w:r>
      <w:r>
        <w:rPr>
          <w:rFonts w:hint="eastAsia" w:ascii="宋体" w:hAnsi="宋体"/>
          <w:color w:val="auto"/>
          <w:szCs w:val="21"/>
          <w:lang w:eastAsia="zh-CN"/>
        </w:rPr>
        <w:t>杭州钱塘新区综合行政执法局</w:t>
      </w:r>
      <w:r>
        <w:rPr>
          <w:rFonts w:hint="eastAsia" w:ascii="宋体" w:hAnsi="宋体"/>
          <w:color w:val="auto"/>
          <w:szCs w:val="21"/>
        </w:rPr>
        <w:t>，项目实施时合同管理主要对接方为杭州市公安局交通警察支队经济技术开发区大队。</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（1）负责提供有关资料，做好施工期间协调工作。</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（2）按期付款，保证项目建设资金。</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（3）提供有关技术规范及要求。</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（4）按有关技术规范及要求对中标人施工的质量数量进行验收存档。</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（5）负责中标人施工质量监管。</w:t>
      </w:r>
    </w:p>
    <w:p>
      <w:pPr>
        <w:adjustRightInd w:val="0"/>
        <w:snapToGrid w:val="0"/>
        <w:spacing w:line="360" w:lineRule="auto"/>
        <w:ind w:firstLine="420" w:firstLineChars="200"/>
        <w:rPr>
          <w:rFonts w:hint="eastAsia" w:ascii="宋体" w:hAnsi="宋体"/>
          <w:color w:val="auto"/>
          <w:szCs w:val="21"/>
        </w:rPr>
      </w:pPr>
      <w:r>
        <w:rPr>
          <w:rFonts w:ascii="宋体" w:hAnsi="宋体"/>
          <w:color w:val="auto"/>
          <w:szCs w:val="21"/>
        </w:rPr>
        <w:t>（6）对施工单位、监理单位、检测单位进行考核</w:t>
      </w:r>
      <w:r>
        <w:rPr>
          <w:rFonts w:hint="eastAsia" w:ascii="宋体" w:hAnsi="宋体"/>
          <w:color w:val="auto"/>
          <w:szCs w:val="21"/>
        </w:rPr>
        <w:t>。</w:t>
      </w:r>
    </w:p>
    <w:p>
      <w:pPr>
        <w:adjustRightInd w:val="0"/>
        <w:snapToGrid w:val="0"/>
        <w:spacing w:line="360" w:lineRule="auto"/>
        <w:ind w:firstLine="420" w:firstLineChars="200"/>
        <w:rPr>
          <w:rFonts w:ascii="宋体" w:hAnsi="宋体"/>
          <w:b/>
          <w:snapToGrid w:val="0"/>
          <w:color w:val="auto"/>
          <w:kern w:val="0"/>
          <w:szCs w:val="21"/>
        </w:rPr>
      </w:pPr>
      <w:r>
        <w:rPr>
          <w:rFonts w:hint="eastAsia" w:ascii="宋体" w:hAnsi="宋体"/>
          <w:b/>
          <w:snapToGrid w:val="0"/>
          <w:color w:val="auto"/>
          <w:kern w:val="0"/>
          <w:szCs w:val="21"/>
        </w:rPr>
        <w:t>（二）</w:t>
      </w:r>
      <w:r>
        <w:rPr>
          <w:rFonts w:ascii="宋体" w:hAnsi="宋体"/>
          <w:b/>
          <w:snapToGrid w:val="0"/>
          <w:color w:val="auto"/>
          <w:kern w:val="0"/>
          <w:szCs w:val="21"/>
        </w:rPr>
        <w:t>施工单位职责、权限</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（1）安排专业制图人员配合采购人完善施工图设计并按有关技术规范进行施工，确保项目质量。</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（2）服从支队、监理工作的进度要求，及时进场并保证工期。</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 xml:space="preserve"> (3)应严格按本次招投标的规定要求履行并承担自己的职责。</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 xml:space="preserve"> (4)按采购人图纸要求、合同条款、技术规范和工程量清单和材料的要求，承担项目的施工、建成及其缺陷修复工作。（包括经检测单位检测后的不合格杆件由中标人拆除，并安装新的杆件。根据采购人要求拆除多余的杆件。）</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 xml:space="preserve"> (5)所使用的主要原材料均需要提供检测报告或质量保证单，并配合采购人所组织的第三方质量抽检（费用由中标单位支付）。</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(6)接受采购人的各项工作业务指导。</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(7)负责施工场地的安全文明生产。</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(8)建立项目施工的质量保证体系。</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(9)负责交通安全设施施工场地、车辆、机械设备、原材料等的施工保障，确保快速、高效反应。</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(10)接受采购人、监理对文明施工、安全施工、质量、施工时效等的监管。</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(11)需提供足够的备品备件。</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（12）每周向采购人、监理上报施工的工作量、工作数据、工作小结等。</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(13)安全检查职责。负责中标辖区交通设施的安全检查，消除安全隐患。</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(14)在施工作业中应先制定完善的施工方案，自行办理道路挖掘手续的审批（含相关费用），尽可能减小因施工对道路通行带来的影响，施工时应服从现场交警的管理及指挥；</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(15)对项目经理的授权范围如下：代表施工中标人全面负责本项目的质量、安全、工期及成本控制，做好本项目施工管理、协调和监督工作，行使并履行本合同明确约定或合理推定的工程师的全部权力和职责，受理与其相关的所有通知、指示、同意、批准、证书、决定及其通讯联络。</w:t>
      </w:r>
    </w:p>
    <w:p>
      <w:pPr>
        <w:adjustRightInd w:val="0"/>
        <w:snapToGrid w:val="0"/>
        <w:spacing w:line="360" w:lineRule="auto"/>
        <w:ind w:firstLine="420" w:firstLineChars="200"/>
        <w:rPr>
          <w:color w:val="auto"/>
        </w:rPr>
      </w:pPr>
      <w:r>
        <w:rPr>
          <w:rFonts w:hint="eastAsia" w:ascii="宋体" w:hAnsi="宋体" w:cs="Arial"/>
          <w:color w:val="auto"/>
          <w:szCs w:val="21"/>
          <w:lang w:val="en-US" w:eastAsia="zh-CN"/>
        </w:rPr>
        <w:t>项目经理必须</w:t>
      </w:r>
      <w:r>
        <w:rPr>
          <w:rFonts w:ascii="宋体" w:hAnsi="宋体" w:cs="Arial"/>
          <w:color w:val="auto"/>
          <w:szCs w:val="21"/>
          <w:lang w:val="en-US" w:eastAsia="zh-CN"/>
        </w:rPr>
        <w:t>具有</w:t>
      </w:r>
      <w:r>
        <w:rPr>
          <w:rFonts w:hint="eastAsia" w:ascii="宋体" w:hAnsi="宋体" w:cs="Arial"/>
          <w:color w:val="auto"/>
          <w:szCs w:val="21"/>
          <w:lang w:val="en-US" w:eastAsia="zh-CN"/>
        </w:rPr>
        <w:t>中级职称及以上、公路工程</w:t>
      </w:r>
      <w:r>
        <w:rPr>
          <w:rFonts w:ascii="宋体" w:hAnsi="宋体" w:cs="Arial"/>
          <w:color w:val="auto"/>
          <w:szCs w:val="21"/>
          <w:lang w:val="en-US" w:eastAsia="zh-CN"/>
        </w:rPr>
        <w:t>专业</w:t>
      </w:r>
      <w:r>
        <w:rPr>
          <w:rFonts w:hint="eastAsia" w:ascii="宋体" w:hAnsi="宋体" w:cs="Arial"/>
          <w:color w:val="auto"/>
          <w:szCs w:val="21"/>
          <w:lang w:val="en-US" w:eastAsia="zh-CN"/>
        </w:rPr>
        <w:t>（或市政专业或类似工程专业）</w:t>
      </w:r>
      <w:r>
        <w:rPr>
          <w:rFonts w:ascii="宋体" w:hAnsi="宋体" w:cs="Arial"/>
          <w:color w:val="auto"/>
          <w:szCs w:val="21"/>
          <w:lang w:val="en-US" w:eastAsia="zh-CN"/>
        </w:rPr>
        <w:t>贰级及以上注册建造师资格</w:t>
      </w:r>
      <w:r>
        <w:rPr>
          <w:rFonts w:hint="eastAsia" w:ascii="宋体" w:hAnsi="宋体" w:cs="Arial"/>
          <w:color w:val="auto"/>
          <w:szCs w:val="21"/>
          <w:lang w:val="en-US" w:eastAsia="zh-CN"/>
        </w:rPr>
        <w:t>。</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(16)关于项目经理每月在施工现场的时间要求：到位率为90%(按每月25 天，每天工作8 小时考勤)。进行重要施工工序或环节时，项目经理、技术负责人等必须到场 。</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（17）对本项目中采购的交通安全设施提供一年的质保服务。质保期从本交通安全设施建设项目验收合格之日起算。</w:t>
      </w:r>
    </w:p>
    <w:p>
      <w:pPr>
        <w:adjustRightInd w:val="0"/>
        <w:snapToGrid w:val="0"/>
        <w:spacing w:line="360" w:lineRule="auto"/>
        <w:ind w:firstLine="420" w:firstLineChars="200"/>
        <w:rPr>
          <w:rFonts w:ascii="宋体" w:hAnsi="宋体"/>
          <w:color w:val="auto"/>
          <w:szCs w:val="21"/>
        </w:rPr>
      </w:pPr>
      <w:r>
        <w:rPr>
          <w:rFonts w:ascii="宋体" w:hAnsi="宋体"/>
          <w:color w:val="auto"/>
          <w:szCs w:val="21"/>
        </w:rPr>
        <w:t>（18）在工期中接受</w:t>
      </w:r>
      <w:r>
        <w:rPr>
          <w:rFonts w:hint="eastAsia" w:ascii="宋体" w:hAnsi="宋体"/>
          <w:color w:val="auto"/>
          <w:szCs w:val="21"/>
        </w:rPr>
        <w:t>招标人</w:t>
      </w:r>
      <w:r>
        <w:rPr>
          <w:rFonts w:ascii="宋体" w:hAnsi="宋体"/>
          <w:color w:val="auto"/>
          <w:szCs w:val="21"/>
        </w:rPr>
        <w:t>考核。（考核办法详见附件</w:t>
      </w:r>
      <w:r>
        <w:rPr>
          <w:rFonts w:hint="eastAsia" w:ascii="宋体" w:hAnsi="宋体"/>
          <w:color w:val="auto"/>
          <w:szCs w:val="21"/>
          <w:lang w:val="en-US" w:eastAsia="zh-CN"/>
        </w:rPr>
        <w:t>二</w:t>
      </w:r>
      <w:r>
        <w:rPr>
          <w:rFonts w:ascii="宋体" w:hAnsi="宋体"/>
          <w:color w:val="auto"/>
          <w:szCs w:val="21"/>
        </w:rPr>
        <w:t>）</w:t>
      </w:r>
    </w:p>
    <w:p>
      <w:pPr>
        <w:adjustRightInd w:val="0"/>
        <w:snapToGrid w:val="0"/>
        <w:spacing w:line="360" w:lineRule="auto"/>
        <w:ind w:firstLine="420" w:firstLineChars="200"/>
        <w:rPr>
          <w:rFonts w:hint="eastAsia" w:ascii="宋体" w:hAnsi="宋体"/>
          <w:color w:val="auto"/>
          <w:szCs w:val="21"/>
        </w:rPr>
      </w:pPr>
    </w:p>
    <w:p>
      <w:pPr>
        <w:pStyle w:val="3"/>
        <w:adjustRightInd w:val="0"/>
        <w:snapToGrid w:val="0"/>
        <w:spacing w:before="190" w:beforeLines="50" w:after="190" w:afterLines="50" w:line="360" w:lineRule="auto"/>
        <w:rPr>
          <w:rFonts w:hint="eastAsia" w:ascii="宋体" w:hAnsi="宋体" w:eastAsia="宋体" w:cs="Arial"/>
          <w:b/>
          <w:bCs/>
          <w:snapToGrid w:val="0"/>
          <w:color w:val="auto"/>
          <w:kern w:val="0"/>
          <w:sz w:val="21"/>
          <w:szCs w:val="21"/>
        </w:rPr>
      </w:pPr>
      <w:bookmarkStart w:id="11" w:name="_Toc6232"/>
      <w:r>
        <w:rPr>
          <w:rFonts w:ascii="宋体" w:hAnsi="宋体" w:eastAsia="宋体" w:cs="Arial"/>
          <w:b/>
          <w:bCs/>
          <w:snapToGrid w:val="0"/>
          <w:color w:val="auto"/>
          <w:kern w:val="0"/>
          <w:sz w:val="21"/>
          <w:szCs w:val="21"/>
        </w:rPr>
        <w:t>四、</w:t>
      </w:r>
      <w:r>
        <w:rPr>
          <w:rFonts w:hint="eastAsia" w:ascii="宋体" w:hAnsi="宋体" w:eastAsia="宋体" w:cs="Arial"/>
          <w:b/>
          <w:bCs/>
          <w:snapToGrid w:val="0"/>
          <w:color w:val="auto"/>
          <w:kern w:val="0"/>
          <w:sz w:val="21"/>
          <w:szCs w:val="21"/>
          <w:lang w:eastAsia="zh-CN"/>
        </w:rPr>
        <w:t>招标</w:t>
      </w:r>
      <w:r>
        <w:rPr>
          <w:rFonts w:ascii="宋体" w:hAnsi="宋体" w:eastAsia="宋体" w:cs="Arial"/>
          <w:b/>
          <w:bCs/>
          <w:snapToGrid w:val="0"/>
          <w:color w:val="auto"/>
          <w:kern w:val="0"/>
          <w:sz w:val="21"/>
          <w:szCs w:val="21"/>
        </w:rPr>
        <w:t>清单</w:t>
      </w:r>
      <w:bookmarkEnd w:id="6"/>
      <w:bookmarkEnd w:id="7"/>
      <w:bookmarkEnd w:id="11"/>
    </w:p>
    <w:p>
      <w:pPr>
        <w:adjustRightInd w:val="0"/>
        <w:snapToGrid w:val="0"/>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按本次清单，见本章附件</w:t>
      </w:r>
      <w:r>
        <w:rPr>
          <w:rFonts w:hint="eastAsia" w:ascii="宋体" w:hAnsi="宋体"/>
          <w:color w:val="auto"/>
          <w:szCs w:val="21"/>
          <w:lang w:eastAsia="zh-CN"/>
        </w:rPr>
        <w:t>）</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color w:val="auto"/>
          <w:szCs w:val="21"/>
        </w:rPr>
        <w:t>1、</w:t>
      </w:r>
      <w:r>
        <w:rPr>
          <w:rFonts w:ascii="宋体" w:hAnsi="宋体"/>
          <w:color w:val="auto"/>
          <w:szCs w:val="21"/>
        </w:rPr>
        <w:t>具体道路与设置数量</w:t>
      </w:r>
      <w:r>
        <w:rPr>
          <w:rFonts w:hint="eastAsia" w:ascii="宋体" w:hAnsi="宋体"/>
          <w:color w:val="auto"/>
          <w:szCs w:val="21"/>
        </w:rPr>
        <w:t>参见清单</w:t>
      </w:r>
      <w:r>
        <w:rPr>
          <w:rFonts w:hint="eastAsia" w:ascii="宋体" w:hAnsi="宋体"/>
          <w:color w:val="auto"/>
          <w:szCs w:val="21"/>
          <w:lang w:eastAsia="zh-CN"/>
        </w:rPr>
        <w:t>；</w:t>
      </w:r>
      <w:r>
        <w:rPr>
          <w:rFonts w:hint="eastAsia" w:ascii="宋体" w:hAnsi="宋体"/>
          <w:color w:val="auto"/>
          <w:szCs w:val="21"/>
        </w:rPr>
        <w:t>图纸</w:t>
      </w:r>
      <w:r>
        <w:rPr>
          <w:rFonts w:hint="eastAsia" w:ascii="宋体" w:hAnsi="宋体"/>
          <w:snapToGrid w:val="0"/>
          <w:color w:val="auto"/>
          <w:kern w:val="0"/>
          <w:szCs w:val="21"/>
        </w:rPr>
        <w:t>以电子版形式发送。</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2、</w:t>
      </w:r>
      <w:r>
        <w:rPr>
          <w:rFonts w:ascii="宋体" w:hAnsi="宋体"/>
          <w:color w:val="auto"/>
          <w:szCs w:val="21"/>
        </w:rPr>
        <w:t>采购文件给定的实施范围及实施数量可根据交通组织实际需求作相应调整,设施数量为暂定量</w:t>
      </w:r>
      <w:r>
        <w:rPr>
          <w:rFonts w:hint="eastAsia" w:ascii="宋体" w:hAnsi="宋体"/>
          <w:color w:val="auto"/>
          <w:szCs w:val="21"/>
        </w:rPr>
        <w:t>。</w:t>
      </w:r>
    </w:p>
    <w:p>
      <w:pPr>
        <w:pStyle w:val="2"/>
        <w:rPr>
          <w:rFonts w:hint="eastAsia" w:eastAsia="宋体"/>
          <w:color w:val="auto"/>
          <w:lang w:val="en-US" w:eastAsia="zh-CN"/>
        </w:rPr>
      </w:pPr>
    </w:p>
    <w:p>
      <w:pPr>
        <w:autoSpaceDE w:val="0"/>
        <w:autoSpaceDN w:val="0"/>
        <w:adjustRightInd w:val="0"/>
        <w:spacing w:line="400" w:lineRule="exact"/>
        <w:ind w:firstLine="420"/>
        <w:jc w:val="center"/>
        <w:rPr>
          <w:rFonts w:ascii="宋体" w:hAnsi="宋体" w:cs="宋体"/>
          <w:b/>
          <w:bCs/>
          <w:color w:val="auto"/>
          <w:kern w:val="0"/>
          <w:sz w:val="24"/>
        </w:rPr>
      </w:pPr>
    </w:p>
    <w:bookmarkEnd w:id="8"/>
    <w:bookmarkEnd w:id="9"/>
    <w:bookmarkEnd w:id="10"/>
    <w:p>
      <w:pPr>
        <w:pStyle w:val="3"/>
        <w:adjustRightInd w:val="0"/>
        <w:snapToGrid w:val="0"/>
        <w:spacing w:before="190" w:beforeLines="50" w:after="190" w:afterLines="50" w:line="360" w:lineRule="auto"/>
        <w:rPr>
          <w:rFonts w:ascii="宋体" w:hAnsi="宋体" w:eastAsia="宋体"/>
          <w:snapToGrid w:val="0"/>
          <w:color w:val="auto"/>
          <w:kern w:val="0"/>
          <w:sz w:val="21"/>
          <w:szCs w:val="21"/>
        </w:rPr>
      </w:pPr>
      <w:bookmarkStart w:id="12" w:name="_Toc361848483"/>
      <w:bookmarkStart w:id="13" w:name="_Toc21516"/>
      <w:bookmarkStart w:id="14" w:name="_Toc419212654"/>
      <w:r>
        <w:rPr>
          <w:rFonts w:ascii="宋体" w:hAnsi="宋体" w:eastAsia="宋体"/>
          <w:snapToGrid w:val="0"/>
          <w:color w:val="auto"/>
          <w:kern w:val="0"/>
          <w:sz w:val="21"/>
          <w:szCs w:val="21"/>
        </w:rPr>
        <w:t>五、</w:t>
      </w:r>
      <w:bookmarkEnd w:id="12"/>
      <w:r>
        <w:rPr>
          <w:rFonts w:ascii="宋体" w:hAnsi="宋体" w:eastAsia="宋体"/>
          <w:snapToGrid w:val="0"/>
          <w:color w:val="auto"/>
          <w:kern w:val="0"/>
          <w:sz w:val="21"/>
          <w:szCs w:val="21"/>
        </w:rPr>
        <w:t>其他</w:t>
      </w:r>
      <w:bookmarkEnd w:id="13"/>
      <w:bookmarkEnd w:id="14"/>
    </w:p>
    <w:p>
      <w:pPr>
        <w:adjustRightInd w:val="0"/>
        <w:snapToGrid w:val="0"/>
        <w:spacing w:line="360" w:lineRule="auto"/>
        <w:ind w:firstLine="420" w:firstLineChars="200"/>
        <w:rPr>
          <w:rFonts w:hint="eastAsia" w:ascii="宋体" w:hAnsi="宋体" w:eastAsia="宋体"/>
          <w:snapToGrid w:val="0"/>
          <w:color w:val="auto"/>
          <w:kern w:val="0"/>
          <w:szCs w:val="21"/>
          <w:lang w:val="en-US" w:eastAsia="zh-CN"/>
        </w:rPr>
      </w:pPr>
      <w:r>
        <w:rPr>
          <w:rFonts w:hint="eastAsia" w:ascii="宋体" w:hAnsi="宋体"/>
          <w:snapToGrid w:val="0"/>
          <w:color w:val="auto"/>
          <w:kern w:val="0"/>
          <w:szCs w:val="21"/>
        </w:rPr>
        <w:t>1、</w:t>
      </w:r>
      <w:r>
        <w:rPr>
          <w:rFonts w:hint="eastAsia" w:ascii="宋体" w:hAnsi="宋体"/>
          <w:snapToGrid w:val="0"/>
          <w:color w:val="auto"/>
          <w:kern w:val="0"/>
          <w:szCs w:val="21"/>
          <w:lang w:val="en-US" w:eastAsia="zh-CN"/>
        </w:rPr>
        <w:t>回收处理的交通设施</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1</w:t>
      </w:r>
      <w:r>
        <w:rPr>
          <w:rFonts w:hint="eastAsia" w:ascii="宋体" w:hAnsi="宋体"/>
          <w:snapToGrid w:val="0"/>
          <w:color w:val="auto"/>
          <w:kern w:val="0"/>
          <w:szCs w:val="21"/>
          <w:lang w:eastAsia="zh-CN"/>
        </w:rPr>
        <w:t>）</w:t>
      </w:r>
      <w:r>
        <w:rPr>
          <w:rFonts w:hint="eastAsia" w:ascii="宋体" w:hAnsi="宋体"/>
          <w:snapToGrid w:val="0"/>
          <w:color w:val="auto"/>
          <w:kern w:val="0"/>
          <w:szCs w:val="21"/>
        </w:rPr>
        <w:t>为提高政府采购资金的使用效益，维护国家利益和社会公共利益，保护政府采购当事人的合法权益，本次改造过程中拆除的旧交通设施不报废，拟由中标人负责回收、处理。</w:t>
      </w:r>
    </w:p>
    <w:p>
      <w:pPr>
        <w:adjustRightInd w:val="0"/>
        <w:snapToGrid w:val="0"/>
        <w:spacing w:line="360" w:lineRule="auto"/>
        <w:ind w:firstLine="420" w:firstLineChars="200"/>
        <w:rPr>
          <w:rFonts w:hint="eastAsia" w:ascii="宋体" w:hAnsi="宋体" w:eastAsia="宋体"/>
          <w:snapToGrid w:val="0"/>
          <w:color w:val="auto"/>
          <w:kern w:val="0"/>
          <w:szCs w:val="21"/>
          <w:lang w:val="en-US" w:eastAsia="zh-CN"/>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2</w:t>
      </w:r>
      <w:r>
        <w:rPr>
          <w:rFonts w:hint="eastAsia" w:ascii="宋体" w:hAnsi="宋体"/>
          <w:snapToGrid w:val="0"/>
          <w:color w:val="auto"/>
          <w:kern w:val="0"/>
          <w:szCs w:val="21"/>
          <w:lang w:eastAsia="zh-CN"/>
        </w:rPr>
        <w:t>）</w:t>
      </w:r>
      <w:r>
        <w:rPr>
          <w:rFonts w:hint="eastAsia" w:ascii="宋体" w:hAnsi="宋体"/>
          <w:snapToGrid w:val="0"/>
          <w:color w:val="auto"/>
          <w:kern w:val="0"/>
          <w:szCs w:val="21"/>
        </w:rPr>
        <w:t>回收、处理所得到的相应费用，或者回收、处理可获得的收益，将在项目建设费用中核减，以核减后最终价格纳入报价评审。</w:t>
      </w:r>
      <w:r>
        <w:rPr>
          <w:rFonts w:hint="eastAsia" w:ascii="宋体" w:hAnsi="宋体"/>
          <w:snapToGrid w:val="0"/>
          <w:color w:val="auto"/>
          <w:kern w:val="0"/>
          <w:szCs w:val="21"/>
          <w:lang w:val="en-US" w:eastAsia="zh-CN"/>
        </w:rPr>
        <w:t>在投标清单中，项目名称中有“拆除”的子项，即为回收处理的交通设施。</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3</w:t>
      </w:r>
      <w:r>
        <w:rPr>
          <w:rFonts w:hint="eastAsia" w:ascii="宋体" w:hAnsi="宋体"/>
          <w:snapToGrid w:val="0"/>
          <w:color w:val="auto"/>
          <w:kern w:val="0"/>
          <w:szCs w:val="21"/>
          <w:lang w:eastAsia="zh-CN"/>
        </w:rPr>
        <w:t>）</w:t>
      </w:r>
      <w:r>
        <w:rPr>
          <w:rFonts w:hint="eastAsia" w:ascii="宋体" w:hAnsi="宋体"/>
          <w:snapToGrid w:val="0"/>
          <w:color w:val="auto"/>
          <w:kern w:val="0"/>
          <w:szCs w:val="21"/>
        </w:rPr>
        <w:t>投标报价时，应综合考虑项目的建设费用、可回收的费用、相关风险，根据自身实力、市场行情自主报价。</w:t>
      </w:r>
      <w:r>
        <w:rPr>
          <w:rFonts w:hint="eastAsia" w:ascii="宋体" w:hAnsi="宋体"/>
          <w:snapToGrid w:val="0"/>
          <w:color w:val="auto"/>
          <w:kern w:val="0"/>
          <w:szCs w:val="21"/>
          <w:lang w:val="en-US" w:eastAsia="zh-CN"/>
        </w:rPr>
        <w:t>报价时，在回收处理的子项中，其综合单价可用“-xxxx元”的形式。</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投标人务必准确自行掌握投标区域拟提升改造的内容及拟回收处理的内容。如中标，因自身原因造成本项目实施内容有误的，招标人不予接受。</w:t>
      </w:r>
    </w:p>
    <w:p>
      <w:pPr>
        <w:adjustRightInd w:val="0"/>
        <w:snapToGrid w:val="0"/>
        <w:spacing w:line="360" w:lineRule="auto"/>
        <w:ind w:firstLine="420" w:firstLineChars="200"/>
        <w:rPr>
          <w:rFonts w:hint="eastAsia" w:ascii="宋体" w:hAnsi="宋体"/>
          <w:b/>
          <w:bCs/>
          <w:snapToGrid w:val="0"/>
          <w:color w:val="auto"/>
          <w:kern w:val="0"/>
          <w:szCs w:val="21"/>
        </w:rPr>
      </w:pPr>
      <w:r>
        <w:rPr>
          <w:rFonts w:hint="eastAsia" w:ascii="宋体" w:hAnsi="宋体"/>
          <w:snapToGrid w:val="0"/>
          <w:color w:val="auto"/>
          <w:kern w:val="0"/>
          <w:szCs w:val="21"/>
          <w:lang w:val="en-US" w:eastAsia="zh-CN"/>
        </w:rPr>
        <w:t>2、</w:t>
      </w:r>
      <w:r>
        <w:rPr>
          <w:rFonts w:hint="eastAsia" w:ascii="宋体" w:hAnsi="宋体"/>
          <w:b/>
          <w:bCs/>
          <w:snapToGrid w:val="0"/>
          <w:color w:val="auto"/>
          <w:kern w:val="0"/>
          <w:szCs w:val="21"/>
        </w:rPr>
        <w:t>投标样品</w:t>
      </w:r>
    </w:p>
    <w:p>
      <w:pPr>
        <w:adjustRightInd w:val="0"/>
        <w:snapToGrid w:val="0"/>
        <w:spacing w:line="360" w:lineRule="auto"/>
        <w:ind w:firstLine="420" w:firstLineChars="200"/>
        <w:rPr>
          <w:rFonts w:hint="eastAsia" w:ascii="宋体" w:hAnsi="宋体" w:eastAsia="宋体" w:cs="Arial"/>
          <w:snapToGrid w:val="0"/>
          <w:color w:val="auto"/>
          <w:kern w:val="0"/>
          <w:szCs w:val="21"/>
          <w:lang w:val="en-US" w:eastAsia="zh-CN"/>
        </w:rPr>
      </w:pPr>
      <w:r>
        <w:rPr>
          <w:rFonts w:hint="eastAsia" w:ascii="宋体" w:hAnsi="宋体" w:cs="Arial"/>
          <w:snapToGrid w:val="0"/>
          <w:color w:val="auto"/>
          <w:kern w:val="0"/>
          <w:szCs w:val="21"/>
        </w:rPr>
        <w:t>（1）本项目在投标时需提供</w:t>
      </w:r>
      <w:r>
        <w:rPr>
          <w:rFonts w:hint="eastAsia" w:ascii="宋体" w:hAnsi="宋体" w:cs="Arial"/>
          <w:snapToGrid w:val="0"/>
          <w:color w:val="auto"/>
          <w:kern w:val="0"/>
          <w:szCs w:val="21"/>
          <w:lang w:val="en-US" w:eastAsia="zh-CN"/>
        </w:rPr>
        <w:t>样品</w:t>
      </w:r>
      <w:r>
        <w:rPr>
          <w:rFonts w:hint="eastAsia" w:ascii="宋体" w:hAnsi="宋体" w:cs="Arial"/>
          <w:snapToGrid w:val="0"/>
          <w:color w:val="auto"/>
          <w:kern w:val="0"/>
          <w:szCs w:val="21"/>
        </w:rPr>
        <w:t>。样品贴上投标单位名称的小标签，在投标截止时间之前交至采购组织机构安排的存放处。未提供样品的、或样品不符合的，样品项得分为零。</w:t>
      </w:r>
      <w:r>
        <w:rPr>
          <w:rFonts w:hint="eastAsia" w:ascii="宋体" w:hAnsi="宋体" w:cs="Arial"/>
          <w:snapToGrid w:val="0"/>
          <w:color w:val="auto"/>
          <w:kern w:val="0"/>
          <w:szCs w:val="21"/>
          <w:lang w:val="en-US" w:eastAsia="zh-CN"/>
        </w:rPr>
        <w:t>样品为：</w:t>
      </w:r>
      <w:r>
        <w:rPr>
          <w:rFonts w:hint="eastAsia" w:ascii="宋体" w:hAnsi="宋体" w:cs="Arial"/>
          <w:snapToGrid w:val="0"/>
          <w:color w:val="auto"/>
          <w:kern w:val="0"/>
          <w:szCs w:val="21"/>
        </w:rPr>
        <w:t>铝板上划0.5米长15公分宽的震荡标线+双组份标线（黄色）</w:t>
      </w:r>
      <w:r>
        <w:rPr>
          <w:rFonts w:hint="eastAsia" w:ascii="宋体" w:hAnsi="宋体" w:cs="Arial"/>
          <w:snapToGrid w:val="0"/>
          <w:color w:val="auto"/>
          <w:kern w:val="0"/>
          <w:szCs w:val="21"/>
          <w:lang w:eastAsia="zh-CN"/>
        </w:rPr>
        <w:t>；</w:t>
      </w:r>
      <w:r>
        <w:rPr>
          <w:rFonts w:hint="eastAsia" w:ascii="宋体" w:hAnsi="宋体" w:cs="Arial"/>
          <w:snapToGrid w:val="0"/>
          <w:color w:val="auto"/>
          <w:kern w:val="0"/>
          <w:szCs w:val="21"/>
        </w:rPr>
        <w:t>铝板上划0.5米长15公分宽的</w:t>
      </w:r>
      <w:r>
        <w:rPr>
          <w:rFonts w:hint="eastAsia" w:ascii="宋体" w:hAnsi="宋体" w:cs="Arial"/>
          <w:snapToGrid w:val="0"/>
          <w:color w:val="auto"/>
          <w:kern w:val="0"/>
          <w:szCs w:val="21"/>
          <w:lang w:eastAsia="zh-CN"/>
        </w:rPr>
        <w:t>热熔</w:t>
      </w:r>
      <w:r>
        <w:rPr>
          <w:rFonts w:hint="eastAsia" w:ascii="宋体" w:hAnsi="宋体" w:cs="Arial"/>
          <w:snapToGrid w:val="0"/>
          <w:color w:val="auto"/>
          <w:kern w:val="0"/>
          <w:szCs w:val="21"/>
        </w:rPr>
        <w:t>标线+双组份标线（</w:t>
      </w:r>
      <w:r>
        <w:rPr>
          <w:rFonts w:hint="eastAsia" w:ascii="宋体" w:hAnsi="宋体" w:cs="Arial"/>
          <w:snapToGrid w:val="0"/>
          <w:color w:val="auto"/>
          <w:kern w:val="0"/>
          <w:szCs w:val="21"/>
          <w:lang w:eastAsia="zh-CN"/>
        </w:rPr>
        <w:t>白</w:t>
      </w:r>
      <w:r>
        <w:rPr>
          <w:rFonts w:hint="eastAsia" w:ascii="宋体" w:hAnsi="宋体" w:cs="Arial"/>
          <w:snapToGrid w:val="0"/>
          <w:color w:val="auto"/>
          <w:kern w:val="0"/>
          <w:szCs w:val="21"/>
        </w:rPr>
        <w:t>色）</w:t>
      </w:r>
      <w:r>
        <w:rPr>
          <w:rFonts w:hint="eastAsia" w:ascii="宋体" w:hAnsi="宋体" w:cs="Arial"/>
          <w:snapToGrid w:val="0"/>
          <w:color w:val="auto"/>
          <w:kern w:val="0"/>
          <w:szCs w:val="21"/>
          <w:lang w:eastAsia="zh-CN"/>
        </w:rPr>
        <w:t>；</w:t>
      </w:r>
      <w:r>
        <w:rPr>
          <w:rFonts w:hint="eastAsia" w:ascii="宋体" w:hAnsi="宋体" w:cs="Arial"/>
          <w:snapToGrid w:val="0"/>
          <w:color w:val="auto"/>
          <w:kern w:val="0"/>
          <w:szCs w:val="21"/>
        </w:rPr>
        <w:t>反光膜等级为钻石级竖向右侧通行线型诱导标一块</w:t>
      </w:r>
      <w:r>
        <w:rPr>
          <w:rFonts w:hint="eastAsia" w:ascii="宋体" w:hAnsi="宋体" w:cs="Arial"/>
          <w:snapToGrid w:val="0"/>
          <w:color w:val="auto"/>
          <w:kern w:val="0"/>
          <w:szCs w:val="21"/>
          <w:lang w:eastAsia="zh-CN"/>
        </w:rPr>
        <w:t>。</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（2）评审时，主要考察样品无法量化或需直接感受才能评判的性能指标，如工艺、</w:t>
      </w:r>
      <w:r>
        <w:rPr>
          <w:rFonts w:hint="eastAsia" w:ascii="宋体" w:hAnsi="宋体"/>
          <w:snapToGrid w:val="0"/>
          <w:color w:val="auto"/>
          <w:kern w:val="0"/>
          <w:szCs w:val="21"/>
          <w:lang w:val="en-US" w:eastAsia="zh-CN"/>
        </w:rPr>
        <w:t>外观</w:t>
      </w:r>
      <w:r>
        <w:rPr>
          <w:rFonts w:hint="eastAsia" w:ascii="宋体" w:hAnsi="宋体"/>
          <w:snapToGrid w:val="0"/>
          <w:color w:val="auto"/>
          <w:kern w:val="0"/>
          <w:szCs w:val="21"/>
        </w:rPr>
        <w:t>、</w:t>
      </w:r>
      <w:r>
        <w:rPr>
          <w:rFonts w:hint="eastAsia" w:ascii="宋体" w:hAnsi="宋体"/>
          <w:snapToGrid w:val="0"/>
          <w:color w:val="auto"/>
          <w:kern w:val="0"/>
          <w:szCs w:val="21"/>
          <w:lang w:val="en-US" w:eastAsia="zh-CN"/>
        </w:rPr>
        <w:t>直观的品质、</w:t>
      </w:r>
      <w:r>
        <w:rPr>
          <w:rFonts w:hint="eastAsia" w:ascii="宋体" w:hAnsi="宋体"/>
          <w:snapToGrid w:val="0"/>
          <w:color w:val="auto"/>
          <w:kern w:val="0"/>
          <w:szCs w:val="21"/>
        </w:rPr>
        <w:t>与环境的协调等内容。</w:t>
      </w:r>
    </w:p>
    <w:p>
      <w:pPr>
        <w:adjustRightInd w:val="0"/>
        <w:snapToGrid w:val="0"/>
        <w:spacing w:line="360" w:lineRule="auto"/>
        <w:ind w:firstLine="420" w:firstLineChars="200"/>
        <w:rPr>
          <w:rFonts w:hint="eastAsia" w:ascii="宋体" w:hAnsi="宋体" w:cs="Arial"/>
          <w:snapToGrid w:val="0"/>
          <w:color w:val="auto"/>
          <w:kern w:val="0"/>
          <w:szCs w:val="21"/>
          <w:lang w:val="en-US" w:eastAsia="zh-CN"/>
        </w:rPr>
      </w:pPr>
      <w:r>
        <w:rPr>
          <w:rFonts w:hint="eastAsia" w:ascii="宋体" w:hAnsi="宋体" w:cs="Arial"/>
          <w:snapToGrid w:val="0"/>
          <w:color w:val="auto"/>
          <w:kern w:val="0"/>
          <w:szCs w:val="21"/>
        </w:rPr>
        <w:t>（3）样品的退回: 投标人样品请于评标结束后（或接采购人通知）取走（应采购人要求需封样保存的除外），逾期未取走的，采购人不承担任何缺少和损坏的责任。</w:t>
      </w:r>
    </w:p>
    <w:p>
      <w:pPr>
        <w:adjustRightInd w:val="0"/>
        <w:snapToGrid w:val="0"/>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lang w:val="en-US" w:eastAsia="zh-CN"/>
        </w:rPr>
        <w:t>3</w:t>
      </w:r>
      <w:r>
        <w:rPr>
          <w:rFonts w:hint="eastAsia" w:ascii="宋体" w:hAnsi="宋体"/>
          <w:snapToGrid w:val="0"/>
          <w:color w:val="auto"/>
          <w:kern w:val="0"/>
          <w:szCs w:val="21"/>
        </w:rPr>
        <w:t>、</w:t>
      </w:r>
      <w:r>
        <w:rPr>
          <w:rFonts w:ascii="宋体" w:hAnsi="宋体"/>
          <w:snapToGrid w:val="0"/>
          <w:color w:val="auto"/>
          <w:kern w:val="0"/>
          <w:szCs w:val="21"/>
        </w:rPr>
        <w:t>其他未尽事宜，参照采购人提供的图纸及设计说明，如采购文件与图纸、设计说明有冲突，以图纸为准；如采购文件和图纸、设计说明有未尽事宜，按国家相关规范和行业规范执行。</w:t>
      </w:r>
    </w:p>
    <w:p>
      <w:pPr>
        <w:adjustRightInd w:val="0"/>
        <w:snapToGrid w:val="0"/>
        <w:spacing w:line="360" w:lineRule="auto"/>
        <w:ind w:firstLine="420" w:firstLineChars="200"/>
        <w:rPr>
          <w:color w:val="auto"/>
        </w:rPr>
        <w:sectPr>
          <w:pgSz w:w="11906" w:h="16838"/>
          <w:pgMar w:top="1588" w:right="1701" w:bottom="1588" w:left="1701" w:header="851" w:footer="992" w:gutter="0"/>
          <w:cols w:space="720" w:num="1"/>
          <w:docGrid w:type="linesAndChars" w:linePitch="380" w:charSpace="0"/>
        </w:sectPr>
      </w:pPr>
    </w:p>
    <w:p>
      <w:pPr>
        <w:adjustRightInd w:val="0"/>
        <w:snapToGrid w:val="0"/>
        <w:spacing w:line="360" w:lineRule="auto"/>
        <w:rPr>
          <w:rFonts w:hint="eastAsia"/>
          <w:color w:val="auto"/>
          <w:lang w:val="en-US" w:eastAsia="zh-CN"/>
        </w:rPr>
      </w:pPr>
      <w:r>
        <w:rPr>
          <w:rFonts w:hint="eastAsia"/>
          <w:color w:val="auto"/>
          <w:lang w:val="en-US" w:eastAsia="zh-CN"/>
        </w:rPr>
        <w:t>附件一：招标清单</w:t>
      </w:r>
    </w:p>
    <w:p>
      <w:pPr>
        <w:adjustRightInd w:val="0"/>
        <w:snapToGrid w:val="0"/>
        <w:spacing w:line="360" w:lineRule="auto"/>
        <w:ind w:firstLine="420" w:firstLineChars="200"/>
        <w:rPr>
          <w:rFonts w:hint="eastAsia"/>
          <w:color w:val="auto"/>
          <w:lang w:val="en-US" w:eastAsia="zh-CN"/>
        </w:rPr>
      </w:pPr>
      <w:r>
        <w:rPr>
          <w:rFonts w:hint="eastAsia"/>
          <w:color w:val="auto"/>
          <w:lang w:val="en-US" w:eastAsia="zh-CN"/>
        </w:rPr>
        <w:t>标段一清单：</w:t>
      </w:r>
    </w:p>
    <w:tbl>
      <w:tblPr>
        <w:tblStyle w:val="8"/>
        <w:tblW w:w="129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4"/>
        <w:gridCol w:w="1110"/>
        <w:gridCol w:w="1074"/>
        <w:gridCol w:w="5747"/>
        <w:gridCol w:w="1073"/>
        <w:gridCol w:w="1077"/>
        <w:gridCol w:w="1120"/>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项目编码</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574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项目特征</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计量</w:t>
            </w:r>
            <w:r>
              <w:rPr>
                <w:rFonts w:hint="eastAsia" w:ascii="宋体" w:hAnsi="宋体" w:eastAsia="宋体" w:cs="宋体"/>
                <w:b/>
                <w:i w:val="0"/>
                <w:color w:val="auto"/>
                <w:kern w:val="0"/>
                <w:sz w:val="18"/>
                <w:szCs w:val="18"/>
                <w:u w:val="none"/>
                <w:lang w:val="en-US" w:eastAsia="zh-CN" w:bidi="ar"/>
              </w:rPr>
              <w:br w:type="textWrapping"/>
            </w:r>
            <w:r>
              <w:rPr>
                <w:rFonts w:hint="eastAsia" w:ascii="宋体" w:hAnsi="宋体" w:eastAsia="宋体" w:cs="宋体"/>
                <w:b/>
                <w:i w:val="0"/>
                <w:color w:val="auto"/>
                <w:kern w:val="0"/>
                <w:sz w:val="18"/>
                <w:szCs w:val="18"/>
                <w:u w:val="none"/>
                <w:lang w:val="en-US" w:eastAsia="zh-CN" w:bidi="ar"/>
              </w:rPr>
              <w:t>单位</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工程量</w:t>
            </w:r>
          </w:p>
        </w:tc>
        <w:tc>
          <w:tcPr>
            <w:tcW w:w="112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投标综合单价（元）</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b/>
                <w:i w:val="0"/>
                <w:color w:val="auto"/>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b/>
                <w:i w:val="0"/>
                <w:color w:val="auto"/>
                <w:sz w:val="18"/>
                <w:szCs w:val="18"/>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b/>
                <w:i w:val="0"/>
                <w:color w:val="auto"/>
                <w:sz w:val="18"/>
                <w:szCs w:val="18"/>
                <w:u w:val="none"/>
              </w:rPr>
            </w:pPr>
          </w:p>
        </w:tc>
        <w:tc>
          <w:tcPr>
            <w:tcW w:w="574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b/>
                <w:i w:val="0"/>
                <w:color w:val="auto"/>
                <w:sz w:val="18"/>
                <w:szCs w:val="18"/>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b/>
                <w:i w:val="0"/>
                <w:color w:val="auto"/>
                <w:sz w:val="18"/>
                <w:szCs w:val="18"/>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b/>
                <w:i w:val="0"/>
                <w:color w:val="auto"/>
                <w:sz w:val="18"/>
                <w:szCs w:val="18"/>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b/>
                <w:i w:val="0"/>
                <w:color w:val="auto"/>
                <w:sz w:val="18"/>
                <w:szCs w:val="18"/>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b/>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标志板拆除更换</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标志板4000*2400拆除（折旧处理，和杆件同时拆除）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64</w:t>
            </w:r>
          </w:p>
        </w:tc>
        <w:tc>
          <w:tcPr>
            <w:tcW w:w="1120" w:type="dxa"/>
            <w:tcBorders>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标志板3200*1800拆除（折旧处理，和杆件同时拆除）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标志板3500*1500拆除（折旧处理，和杆件同时拆除）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标志板2000*1500拆除（折旧处理，和杆件同时拆除）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标志板5000*2700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标志板4500*2700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标志板3200*1800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标志板3500*1500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标志板2000*1500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标志板新建</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标志板5000*2700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标志板4500*2700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标志板3200*1800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标志板2500*1000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标志板3500*1500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标志板2000*1500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标志板1700*750 3厚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利用回收标志板更换</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标志板4000*2400拆除（折旧处理，和杆件同时拆除）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标志板4000*2400拆除（折旧处理，和杆件同时拆除）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标志板2500*1500拆除（折旧处理，和杆件同时拆除）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标志板更换利用回收标志板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标志板5000*2700 去版改膜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标志板更换利用回收标志板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标志板4500*2700 去版改膜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标志板更换利用回收标志板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 去版改膜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标志板更换利用回收标志板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去版改膜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利用回收标志板新建</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标志板新建利用回收标志板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标志板2500*1000 去版改膜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标志板新建利用回收标志板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 去版改膜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标志板新建利用回收标志板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去版改膜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标志牌去版改膜</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标志板5000*2700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标志板4500*2700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标志板4000*2800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标志板4000*2400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标志板3200*1800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标志板2500*1000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标志板3500*1500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标志板2000*1500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标志板3000*1800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标志板2000*2000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标志板4000*1500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标志板2700*1800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标志板3700*1500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标志板3800*1800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标志板4400*2800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标志板5000*3500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标志板3500*2000  Ⅴ类反光膜</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杆件喷漆</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Φ377杆件，黑色镀锌防腐哑光漆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Φ325杆件，黑色镀锌防腐哑光漆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Φ273杆件，黑色镀锌防腐哑光漆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205</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Φ219杆件，黑色镀锌防腐哑光漆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Φ140杆件，黑色镀锌防腐哑光漆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Φ89杆件，黑色镀锌防腐哑光漆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209</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杆件更换（新杆）</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拆除Φ325原有杆件（折旧处理）、拆除基础，地坪原样恢复，垃圾外运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拆除Φ273原有杆件（折旧处理）、拆除基础，地坪原样恢复，垃圾外运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杆件更换（新杆）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Φ377杆件安装，浇筑新基础，模板，含基础预埋件</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杆件更换（新杆）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Φ325杆件安装，浇筑新基础，模板，含基础预埋件</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杆件更换（新杆）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Φ273杆件安装，浇筑新基础，模板，含基础预埋件</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杆件更换（利用回收材料）</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拆除Φ325原有杆件（折旧处理）、拆除基础，地坪原样恢复，垃圾外运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杆件拆除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拆除Φ273原有杆件（折旧处理）、拆除基础，地坪原样恢复，垃圾外运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杆件更换（利用回收材料）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Φ377杆件安装，浇筑新基础，模板，含基础预埋件</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杆件更换（利用回收材料）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Φ325杆件安装，浇筑新基础，模板，含基础预埋件</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杆件更换（利用回收材料）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Φ273杆件安装，浇筑新基础，模板，含基础预埋件</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杆件新建</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Φ377，开挖、回填，浇筑基础,模板，含基础预埋件，地坪原样恢复，垃圾外运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Φ325，开挖、回填，浇筑基础,模板，含基础预埋件，地坪原样恢复，垃圾外运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Φ273，开挖、回填，浇筑基础,模板，含基础预埋件，地坪原样恢复，垃圾外运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44</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标杆新建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Φ219，开挖、回填，浇筑基础,模板，含基础预埋件，地坪原样恢复，垃圾外运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杆件新建（利用回收材料）</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杆件新建（利用回收材料）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Φ325，利用杆件喷漆，开挖、回填，浇筑基础,模板，含基础预埋件，地坪原样恢复，垃圾外运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杆件新建（利用回收材料）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Φ273，利用杆件喷漆，开挖、回填，浇筑基础,模板，含基础预埋件，地坪原样恢复，垃圾外运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杆件新建（利用回收材料）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Φ219，利用杆件喷漆，开挖、回填，浇筑基础,模板，含基础预埋件，地坪原样恢复，垃圾外运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背后喷黑</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背后喷黑</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2861.08</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标线</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040205006001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热熔标线，需先施工一道常温标线</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16343</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040205006002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振荡标线，需先施工一道常温标线</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2329</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040205009001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清除标线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打磨标线</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5390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隔离护栏</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040205012001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隔离护栏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600cm，样式甲选</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530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交通LED诱导牌（含基础、杆件、光纤及管线）</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04B001</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交通LED诱导牌（含基础、杆件、光纤及管线）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交通LED诱导牌（含基础、Ф377杆件、光纤及管线），显示面积3米*2米参数符合相关部门要求。</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拆除零星标志牌</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拆除Φ800（折旧处理）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040205004078</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拆除Φ800（折旧处理，和杆件同时拆除）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拆除2500*1000（折旧处理，和杆件同时拆除）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拆除3000*1500（折旧处理，和杆件同时拆除）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零星标志牌拆除移位</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拆除移位2500*1000</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040205004079</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拆除移位Φ800（和杆件同时拆除）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040205004080</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拆除移位2500*1000（和杆件同时拆除）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拆除零星标志杆</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040205003024</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Φ219，拆除杆件（折旧处理）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040205003025</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Φ273，拆除杆件（折旧处理）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040205003026</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Φ325，拆除杆件（折旧处理）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040205003027</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Φ140，拆除杆件（折旧处理）</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零星贴红色断头标志、零星改字</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left"/>
              <w:outlineLvl w:val="9"/>
              <w:rPr>
                <w:rFonts w:hint="eastAsia" w:ascii="宋体" w:hAnsi="宋体" w:eastAsia="宋体" w:cs="宋体"/>
                <w:i w:val="0"/>
                <w:color w:val="auto"/>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0"/>
                <w:szCs w:val="20"/>
                <w:u w:val="none"/>
              </w:rPr>
            </w:pP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04B002</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零星贴红色断头标志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满足设计要求</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04B003</w:t>
            </w:r>
          </w:p>
        </w:tc>
        <w:tc>
          <w:tcPr>
            <w:tcW w:w="10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零星标牌改字 </w:t>
            </w:r>
          </w:p>
        </w:tc>
        <w:tc>
          <w:tcPr>
            <w:tcW w:w="57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outlineLvl w:val="9"/>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满足设计要求</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120" w:type="dxa"/>
            <w:tcBorders>
              <w:top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c>
          <w:tcPr>
            <w:tcW w:w="1122"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outlineLvl w:val="9"/>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2"/>
                <w:szCs w:val="22"/>
                <w:u w:val="none"/>
              </w:rPr>
            </w:pPr>
          </w:p>
        </w:tc>
        <w:tc>
          <w:tcPr>
            <w:tcW w:w="1008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投标报价（小写）</w:t>
            </w:r>
          </w:p>
        </w:tc>
        <w:tc>
          <w:tcPr>
            <w:tcW w:w="22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2"/>
                <w:szCs w:val="22"/>
                <w:u w:val="none"/>
              </w:rPr>
            </w:pPr>
          </w:p>
        </w:tc>
        <w:tc>
          <w:tcPr>
            <w:tcW w:w="1008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outlineLvl w:val="9"/>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投标报价（大写）</w:t>
            </w:r>
          </w:p>
        </w:tc>
        <w:tc>
          <w:tcPr>
            <w:tcW w:w="22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outlineLvl w:val="9"/>
              <w:rPr>
                <w:rFonts w:hint="eastAsia" w:ascii="宋体" w:hAnsi="宋体" w:eastAsia="宋体" w:cs="宋体"/>
                <w:i w:val="0"/>
                <w:color w:val="auto"/>
                <w:sz w:val="22"/>
                <w:szCs w:val="22"/>
                <w:u w:val="none"/>
              </w:rPr>
            </w:pPr>
          </w:p>
        </w:tc>
      </w:tr>
    </w:tbl>
    <w:p>
      <w:pPr>
        <w:pStyle w:val="2"/>
        <w:rPr>
          <w:rFonts w:hint="eastAsia"/>
          <w:color w:val="auto"/>
          <w:lang w:val="en-US" w:eastAsia="zh-CN"/>
        </w:rPr>
      </w:pPr>
      <w:r>
        <w:rPr>
          <w:rFonts w:hint="eastAsia"/>
          <w:color w:val="auto"/>
          <w:lang w:val="en-US" w:eastAsia="zh-CN"/>
        </w:rPr>
        <w:t>注：标段一包含：8号大街、10号大街、14号大街、16号大街、20号大街、22号大街、24号大街、之江东路辅道。以上表格要求细分项目及报价，包括有关本项目建设所需的产品供货、辅助材料、运费、安装费、验收、售后服务费、技术支持费等所有费用（含税）均计入报价。</w:t>
      </w:r>
    </w:p>
    <w:p>
      <w:pPr>
        <w:pStyle w:val="2"/>
        <w:rPr>
          <w:rFonts w:hint="eastAsia"/>
          <w:color w:val="auto"/>
          <w:lang w:val="en-US" w:eastAsia="zh-CN"/>
        </w:rPr>
      </w:pPr>
    </w:p>
    <w:p>
      <w:pPr>
        <w:pStyle w:val="2"/>
        <w:rPr>
          <w:rFonts w:hint="eastAsia"/>
          <w:color w:val="auto"/>
          <w:lang w:val="en-US" w:eastAsia="zh-CN"/>
        </w:rPr>
        <w:sectPr>
          <w:pgSz w:w="16838" w:h="11906" w:orient="landscape"/>
          <w:pgMar w:top="1701" w:right="1588" w:bottom="1701" w:left="1588" w:header="851" w:footer="992" w:gutter="0"/>
          <w:cols w:space="720" w:num="1"/>
          <w:docGrid w:type="linesAndChars" w:linePitch="380" w:charSpace="0"/>
        </w:sectPr>
      </w:pPr>
    </w:p>
    <w:p>
      <w:pPr>
        <w:pStyle w:val="2"/>
        <w:rPr>
          <w:rFonts w:hint="eastAsia"/>
          <w:color w:val="auto"/>
          <w:lang w:val="en-US" w:eastAsia="zh-CN"/>
        </w:rPr>
      </w:pPr>
      <w:r>
        <w:rPr>
          <w:rFonts w:hint="eastAsia"/>
          <w:color w:val="auto"/>
          <w:lang w:val="en-US" w:eastAsia="zh-CN"/>
        </w:rPr>
        <w:t>标段二清单：</w:t>
      </w:r>
    </w:p>
    <w:p>
      <w:pPr>
        <w:pStyle w:val="2"/>
        <w:rPr>
          <w:rFonts w:hint="eastAsia"/>
          <w:color w:val="auto"/>
          <w:lang w:val="en-US" w:eastAsia="zh-CN"/>
        </w:rPr>
      </w:pPr>
    </w:p>
    <w:tbl>
      <w:tblPr>
        <w:tblStyle w:val="8"/>
        <w:tblW w:w="13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8"/>
        <w:gridCol w:w="1110"/>
        <w:gridCol w:w="1471"/>
        <w:gridCol w:w="4455"/>
        <w:gridCol w:w="1030"/>
        <w:gridCol w:w="1051"/>
        <w:gridCol w:w="1503"/>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2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项目编码</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项目名称</w:t>
            </w:r>
          </w:p>
        </w:tc>
        <w:tc>
          <w:tcPr>
            <w:tcW w:w="44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项目特征</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计量</w:t>
            </w:r>
            <w:r>
              <w:rPr>
                <w:rFonts w:hint="eastAsia" w:ascii="宋体" w:hAnsi="宋体" w:eastAsia="宋体" w:cs="宋体"/>
                <w:b/>
                <w:i w:val="0"/>
                <w:color w:val="auto"/>
                <w:kern w:val="0"/>
                <w:sz w:val="18"/>
                <w:szCs w:val="18"/>
                <w:u w:val="none"/>
                <w:lang w:val="en-US" w:eastAsia="zh-CN" w:bidi="ar"/>
              </w:rPr>
              <w:br w:type="textWrapping"/>
            </w:r>
            <w:r>
              <w:rPr>
                <w:rFonts w:hint="eastAsia" w:ascii="宋体" w:hAnsi="宋体" w:eastAsia="宋体" w:cs="宋体"/>
                <w:b/>
                <w:i w:val="0"/>
                <w:color w:val="auto"/>
                <w:kern w:val="0"/>
                <w:sz w:val="18"/>
                <w:szCs w:val="18"/>
                <w:u w:val="none"/>
                <w:lang w:val="en-US" w:eastAsia="zh-CN" w:bidi="ar"/>
              </w:rPr>
              <w:t>单位</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工程量</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投标综合单价（元）</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auto"/>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auto"/>
                <w:sz w:val="18"/>
                <w:szCs w:val="18"/>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auto"/>
                <w:sz w:val="18"/>
                <w:szCs w:val="18"/>
                <w:u w:val="none"/>
              </w:rPr>
            </w:pPr>
          </w:p>
        </w:tc>
        <w:tc>
          <w:tcPr>
            <w:tcW w:w="44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auto"/>
                <w:sz w:val="18"/>
                <w:szCs w:val="1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auto"/>
                <w:sz w:val="18"/>
                <w:szCs w:val="18"/>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auto"/>
                <w:sz w:val="18"/>
                <w:szCs w:val="1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auto"/>
                <w:sz w:val="18"/>
                <w:szCs w:val="18"/>
                <w:u w:val="none"/>
              </w:rPr>
            </w:pP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标志板拆除更换</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标志板4000*2400拆除（折旧处理，和杆件同时拆除）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1503" w:type="dxa"/>
            <w:tcBorders>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标志板3200*1800拆除（折旧处理，和杆件同时拆除）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标志板3500*1500拆除（折旧处理，和杆件同时拆除）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标志板2000*1500拆除（折旧处理，和杆件同时拆除）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标志板5000*2700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标志板4500*2700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040205004009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标志板3200*1800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标志板3500*1500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标志板2000*1500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标志板新建</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标志板5000*2700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标志板4500*2700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标志板3200*1800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标志板2500*1000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标志板3500*1500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040205004019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标志板2000*1500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标志板1700*750 3厚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利用回收标志板更换</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标志板4000*2400拆除（折旧处理，和杆件同时拆除）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标志板4000*2400拆除（折旧处理，和杆件同时拆除）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标志板2500*1500拆除（折旧处理，和杆件同时拆除）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标志板更换利用回收标志板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标志板5000*2700 去版改膜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标志板更换利用回收标志板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标志板4500*2700 去版改膜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标志板更换利用回收标志板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 去版改膜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040205004029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标志板更换利用回收标志板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去版改膜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利用回收标志板新建</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标志板新建利用回收标志板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标志板2500*1000 去版改膜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标志板新建利用回收标志板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 去版改膜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标志板新建利用回收标志板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去版改膜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标志牌去版改膜</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标志板5000*2700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标志板4500*2700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标志板4000*2800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标志板4000*2400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标志板3200*1800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标志板2500*1000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040205004039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标志板3500*1500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标志板3000*1500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标志板2500*1500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标志板2000*1500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标志板3000*1800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标志板2000*2000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标志板4000*1500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标志板2700*1800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标志板3700*1500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标志板3800*1800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040205004049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标志板4400*2800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标志板5000*3500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标志牌去版改膜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标志板3500*2000  Ⅴ类反光膜</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杆件喷漆</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Φ377杆件，黑色镀锌防腐哑光漆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Φ325杆件，黑色镀锌防腐哑光漆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Φ273杆件，黑色镀锌防腐哑光漆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437</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Φ219杆件，黑色镀锌防腐哑光漆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Φ140杆件，黑色镀锌防腐哑光漆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Φ89杆件，黑色镀锌防腐哑光漆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423</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杆件更换（新杆）</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拆除Φ325原有杆件（折旧处理）、拆除基础，地坪原样恢复，垃圾外运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拆除Φ273原有杆件（折旧处理）、拆除基础，地坪原样恢复，垃圾外运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040205003009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杆件更换（新杆）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Φ377杆件安装，浇筑新基础，模板，含基础预埋件</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杆件更换（新杆）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Φ325杆件安装，浇筑新基础，模板，含基础预埋件</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杆件更换（新杆）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Φ273杆件安装，浇筑新基础，模板，含基础预埋件</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杆件更换（利用回收材料）</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拆除Φ325原有杆件（折旧处理）、拆除基础，地坪原样恢复，垃圾外运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杆件拆除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拆除Φ273原有杆件（折旧处理）、拆除基础，地坪原样恢复，垃圾外运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杆件更换（利用回收材料）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Φ377杆件安装，浇筑新基础，模板，含基础预埋件</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杆件更换（利用回收材料）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Φ325杆件安装，浇筑新基础，模板，含基础预埋件</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杆件更换（利用回收材料）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Φ273杆件安装，浇筑新基础，模板，含基础预埋件</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杆件新建</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Φ377，开挖、回填，浇筑基础,模板，含基础预埋件，地坪原样恢复，垃圾外运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Φ325，开挖、回填，浇筑基础,模板，含基础预埋件，地坪原样恢复，垃圾外运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040205003019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Φ273，开挖、回填，浇筑基础,模板，含基础预埋件，地坪原样恢复，垃圾外运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标杆新建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Φ219，开挖、回填，浇筑基础,模板，含基础预埋件，地坪原样恢复，垃圾外运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杆件新建（利用回收材料）</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杆件新建（利用回收材料）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Φ325，利用杆件喷漆，开挖、回填，浇筑基础,模板，含基础预埋件，地坪原样恢复，垃圾外运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杆件新建（利用回收材料）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Φ273，利用杆件喷漆，开挖、回填，浇筑基础,模板，含基础预埋件，地坪原样恢复，垃圾外运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杆件新建（利用回收材料）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Φ219，利用杆件喷漆，开挖、回填，浇筑基础,模板，含基础预埋件，地坪原样恢复，垃圾外运</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背后喷黑</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背后喷黑</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3567</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标线</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040205006001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热熔标线，需先施工一道常温标线</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31780 </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040205006002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振荡标线，需先施工一道常温标线</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4250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040205009001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清除标线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打磨标线</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3470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隔离护栏</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040205012001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隔离护栏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600cm，样式甲选</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交通LED诱导牌（含基础、杆件、光纤及管线）</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04B001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交通LED诱导牌（含基础、杆件、光纤及管线）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交通LED诱导牌（含基础、Ф377杆件、光纤及管线），显示面积3米*2米参数符合相关部门要求。</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拆除零星标志牌</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拆除Φ800（折旧处理）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040205004078</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拆除Φ800（折旧处理，和杆件同时拆除）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拆除2500*1000（折旧处理，和杆件同时拆除）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拆除3000*1500（折旧处理，和杆件同时拆除）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零星标志牌拆除移位</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040205004057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拆除移位2500*1000</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040205004079</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拆除移位Φ800（和杆件同时拆除）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040205004080</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标志板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拆除移位2500*1000（和杆件同时拆除）</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拆除零星标志杆</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040205003024</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Φ219，拆除杆件（折旧处理）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040205003025</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Φ273，拆除杆件（折旧处理）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040205003026</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Φ325，拆除杆件（折旧处理）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040205003027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标杆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Φ140，拆除杆件（折旧处理）</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零星贴红色断头标志、零星改字</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18"/>
                <w:szCs w:val="18"/>
                <w:u w:val="none"/>
              </w:rPr>
            </w:pP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04B002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零星贴红色断头标志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满足设计要求</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503" w:type="dxa"/>
            <w:tcBorders>
              <w:top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04B003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零星标牌改字 </w:t>
            </w:r>
          </w:p>
        </w:tc>
        <w:tc>
          <w:tcPr>
            <w:tcW w:w="44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满足设计要求</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m2</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503" w:type="dxa"/>
            <w:tcBorders>
              <w:top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c>
          <w:tcPr>
            <w:tcW w:w="1502" w:type="dxa"/>
            <w:tcBorders>
              <w:top w:val="single" w:color="000000" w:sz="4" w:space="0"/>
              <w:left w:val="single" w:color="000000" w:sz="4" w:space="0"/>
              <w:right w:val="single" w:color="000000" w:sz="4" w:space="0"/>
            </w:tcBorders>
            <w:noWrap w:val="0"/>
            <w:vAlign w:val="center"/>
          </w:tcPr>
          <w:p>
            <w:pPr>
              <w:rPr>
                <w:rFonts w:hint="eastAsia" w:ascii="等线" w:hAnsi="等线" w:eastAsia="等线" w:cs="等线"/>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u w:val="none"/>
              </w:rPr>
            </w:pPr>
          </w:p>
        </w:tc>
        <w:tc>
          <w:tcPr>
            <w:tcW w:w="91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投标报价（小写）</w:t>
            </w:r>
          </w:p>
        </w:tc>
        <w:tc>
          <w:tcPr>
            <w:tcW w:w="30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u w:val="none"/>
              </w:rPr>
            </w:pPr>
          </w:p>
        </w:tc>
        <w:tc>
          <w:tcPr>
            <w:tcW w:w="911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投标报价（大写）</w:t>
            </w:r>
          </w:p>
        </w:tc>
        <w:tc>
          <w:tcPr>
            <w:tcW w:w="30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u w:val="none"/>
              </w:rPr>
            </w:pPr>
          </w:p>
        </w:tc>
      </w:tr>
    </w:tbl>
    <w:p>
      <w:pPr>
        <w:pStyle w:val="2"/>
        <w:rPr>
          <w:rFonts w:hint="eastAsia"/>
          <w:color w:val="auto"/>
          <w:lang w:val="en-US" w:eastAsia="zh-CN"/>
        </w:rPr>
        <w:sectPr>
          <w:pgSz w:w="16838" w:h="11906" w:orient="landscape"/>
          <w:pgMar w:top="1701" w:right="1588" w:bottom="1701" w:left="1588" w:header="851" w:footer="992" w:gutter="0"/>
          <w:cols w:space="720" w:num="1"/>
          <w:docGrid w:type="linesAndChars" w:linePitch="380" w:charSpace="0"/>
        </w:sectPr>
      </w:pPr>
      <w:r>
        <w:rPr>
          <w:rFonts w:hint="eastAsia"/>
          <w:color w:val="auto"/>
          <w:lang w:val="en-US" w:eastAsia="zh-CN"/>
        </w:rPr>
        <w:t>注：标段二包含：海通街、华景街、金乔街、天城东路、博浪街、呈瑞街、18号大街、围垦街东段、松乔街东段、德胜东路、2号大街、银海街。以上表格要求细分项目及报价，包括有关本项目建设所需的产品供货、辅助材料、运费、安装费、验收、售后服务费、技术支持费等所有费用（含税）均计入报价。</w:t>
      </w:r>
    </w:p>
    <w:p>
      <w:pPr>
        <w:adjustRightInd w:val="0"/>
        <w:snapToGrid w:val="0"/>
        <w:spacing w:line="360" w:lineRule="auto"/>
        <w:ind w:firstLine="420" w:firstLineChars="200"/>
        <w:rPr>
          <w:rFonts w:hint="eastAsia"/>
          <w:color w:val="auto"/>
        </w:rPr>
      </w:pPr>
      <w:r>
        <w:rPr>
          <w:rFonts w:hint="eastAsia"/>
          <w:color w:val="auto"/>
        </w:rPr>
        <w:t>附件</w:t>
      </w:r>
      <w:r>
        <w:rPr>
          <w:rFonts w:hint="eastAsia"/>
          <w:color w:val="auto"/>
          <w:lang w:val="en-US" w:eastAsia="zh-CN"/>
        </w:rPr>
        <w:t>二</w:t>
      </w:r>
      <w:r>
        <w:rPr>
          <w:rFonts w:hint="eastAsia"/>
          <w:color w:val="auto"/>
        </w:rPr>
        <w:t xml:space="preserve">    考核办法</w:t>
      </w:r>
    </w:p>
    <w:p>
      <w:pPr>
        <w:adjustRightInd w:val="0"/>
        <w:snapToGrid w:val="0"/>
        <w:spacing w:line="360" w:lineRule="auto"/>
        <w:ind w:firstLine="420" w:firstLineChars="200"/>
        <w:rPr>
          <w:rFonts w:hint="eastAsia"/>
          <w:color w:val="auto"/>
        </w:rPr>
      </w:pPr>
      <w:r>
        <w:rPr>
          <w:rFonts w:hint="eastAsia"/>
          <w:color w:val="auto"/>
        </w:rPr>
        <w:t>考核人为甲方，被被考核人为中标施工单位。</w:t>
      </w:r>
    </w:p>
    <w:p>
      <w:pPr>
        <w:adjustRightInd w:val="0"/>
        <w:snapToGrid w:val="0"/>
        <w:spacing w:line="360" w:lineRule="auto"/>
        <w:ind w:firstLine="420" w:firstLineChars="200"/>
        <w:rPr>
          <w:rFonts w:hint="eastAsia"/>
          <w:color w:val="auto"/>
        </w:rPr>
      </w:pPr>
      <w:r>
        <w:rPr>
          <w:rFonts w:hint="eastAsia"/>
          <w:color w:val="auto"/>
        </w:rPr>
        <w:t>一、考核办法</w:t>
      </w:r>
    </w:p>
    <w:p>
      <w:pPr>
        <w:adjustRightInd w:val="0"/>
        <w:snapToGrid w:val="0"/>
        <w:spacing w:line="360" w:lineRule="auto"/>
        <w:ind w:firstLine="420" w:firstLineChars="200"/>
        <w:rPr>
          <w:rFonts w:hint="eastAsia"/>
          <w:color w:val="auto"/>
        </w:rPr>
      </w:pPr>
      <w:r>
        <w:rPr>
          <w:rFonts w:hint="eastAsia"/>
          <w:color w:val="auto"/>
        </w:rPr>
        <w:t>（1）、由甲方组织及主持考核工作。按每15天为一个周期考核乙方，考核总得分（满分100分）检查采用直接打分。</w:t>
      </w:r>
    </w:p>
    <w:p>
      <w:pPr>
        <w:adjustRightInd w:val="0"/>
        <w:snapToGrid w:val="0"/>
        <w:spacing w:line="360" w:lineRule="auto"/>
        <w:ind w:firstLine="420" w:firstLineChars="200"/>
        <w:rPr>
          <w:rFonts w:hint="eastAsia"/>
          <w:color w:val="auto"/>
        </w:rPr>
      </w:pPr>
      <w:r>
        <w:rPr>
          <w:rFonts w:hint="eastAsia"/>
          <w:color w:val="auto"/>
        </w:rPr>
        <w:t>（2）、考核评价按照百分制进行，考核分数低于八十分（含）的按照履约保证金的30%从本项目货款中扣除,考核分数低于九十分（含）高于八十分（不含）的按照履约保证金的15%从本项目货款中扣除,考核分数低于九十九分（含）高于九十分（不含）的按照履约保证金的5%从本项目货款中扣除。</w:t>
      </w:r>
    </w:p>
    <w:p>
      <w:pPr>
        <w:adjustRightInd w:val="0"/>
        <w:snapToGrid w:val="0"/>
        <w:spacing w:line="360" w:lineRule="auto"/>
        <w:ind w:firstLine="420" w:firstLineChars="200"/>
        <w:rPr>
          <w:rFonts w:hint="eastAsia"/>
          <w:color w:val="auto"/>
        </w:rPr>
      </w:pPr>
      <w:r>
        <w:rPr>
          <w:rFonts w:hint="eastAsia"/>
          <w:color w:val="auto"/>
        </w:rPr>
        <w:t>（3）、本考核办法是</w:t>
      </w:r>
      <w:r>
        <w:rPr>
          <w:rFonts w:hint="eastAsia" w:ascii="宋体" w:hAnsi="宋体"/>
          <w:snapToGrid w:val="0"/>
          <w:color w:val="auto"/>
          <w:kern w:val="0"/>
          <w:szCs w:val="21"/>
        </w:rPr>
        <w:t>杭州经济技术开发区交通设施提升一期项目</w:t>
      </w:r>
      <w:r>
        <w:rPr>
          <w:rFonts w:hint="eastAsia"/>
          <w:color w:val="auto"/>
        </w:rPr>
        <w:t>合同的重要组成部分。</w:t>
      </w:r>
    </w:p>
    <w:p>
      <w:pPr>
        <w:adjustRightInd w:val="0"/>
        <w:snapToGrid w:val="0"/>
        <w:spacing w:line="360" w:lineRule="auto"/>
        <w:ind w:firstLine="420" w:firstLineChars="200"/>
        <w:rPr>
          <w:rFonts w:hint="eastAsia"/>
          <w:color w:val="auto"/>
        </w:rPr>
      </w:pPr>
      <w:r>
        <w:rPr>
          <w:rFonts w:hint="eastAsia"/>
          <w:color w:val="auto"/>
        </w:rPr>
        <w:t>二、考核内容</w:t>
      </w:r>
    </w:p>
    <w:p>
      <w:pPr>
        <w:adjustRightInd w:val="0"/>
        <w:snapToGrid w:val="0"/>
        <w:spacing w:line="360" w:lineRule="auto"/>
        <w:ind w:firstLine="420" w:firstLineChars="200"/>
        <w:rPr>
          <w:rFonts w:hint="eastAsia"/>
          <w:color w:val="auto"/>
        </w:rPr>
      </w:pPr>
      <w:r>
        <w:rPr>
          <w:rFonts w:hint="eastAsia"/>
          <w:color w:val="auto"/>
        </w:rPr>
        <w:t>1、投标文件中承诺的项目经理、项目技术负责人未经甲方同意擅自更换的，扣5分。</w:t>
      </w:r>
    </w:p>
    <w:p>
      <w:pPr>
        <w:adjustRightInd w:val="0"/>
        <w:snapToGrid w:val="0"/>
        <w:spacing w:line="360" w:lineRule="auto"/>
        <w:ind w:firstLine="420" w:firstLineChars="200"/>
        <w:rPr>
          <w:rFonts w:hint="eastAsia"/>
          <w:color w:val="auto"/>
        </w:rPr>
      </w:pPr>
      <w:r>
        <w:rPr>
          <w:rFonts w:hint="eastAsia"/>
          <w:color w:val="auto"/>
        </w:rPr>
        <w:t>3、项目经理、项目技术负责人未经项目甲方主同意按时到位或未经同意擅自更换的，扣5分。</w:t>
      </w:r>
    </w:p>
    <w:p>
      <w:pPr>
        <w:adjustRightInd w:val="0"/>
        <w:snapToGrid w:val="0"/>
        <w:spacing w:line="360" w:lineRule="auto"/>
        <w:ind w:firstLine="420" w:firstLineChars="200"/>
        <w:rPr>
          <w:rFonts w:hint="eastAsia"/>
          <w:color w:val="auto"/>
        </w:rPr>
      </w:pPr>
      <w:r>
        <w:rPr>
          <w:rFonts w:hint="eastAsia"/>
          <w:color w:val="auto"/>
        </w:rPr>
        <w:t>2、投标文件中承诺的其它主要人员未按时到位或未累计缺岗3天以上的（在每月25 天，每天工作8 小时考勤的基础上)，扣5分。</w:t>
      </w:r>
    </w:p>
    <w:p>
      <w:pPr>
        <w:adjustRightInd w:val="0"/>
        <w:snapToGrid w:val="0"/>
        <w:spacing w:line="360" w:lineRule="auto"/>
        <w:ind w:firstLine="420" w:firstLineChars="200"/>
        <w:rPr>
          <w:rFonts w:hint="eastAsia"/>
          <w:color w:val="auto"/>
        </w:rPr>
      </w:pPr>
      <w:r>
        <w:rPr>
          <w:rFonts w:hint="eastAsia"/>
          <w:color w:val="auto"/>
        </w:rPr>
        <w:t>4、项目施工组织设计及方案是未经监理审批开始施工，扣3分。</w:t>
      </w:r>
    </w:p>
    <w:p>
      <w:pPr>
        <w:adjustRightInd w:val="0"/>
        <w:snapToGrid w:val="0"/>
        <w:spacing w:line="360" w:lineRule="auto"/>
        <w:ind w:firstLine="420" w:firstLineChars="200"/>
        <w:rPr>
          <w:rFonts w:hint="eastAsia"/>
          <w:color w:val="auto"/>
        </w:rPr>
      </w:pPr>
      <w:r>
        <w:rPr>
          <w:rFonts w:hint="eastAsia"/>
          <w:color w:val="auto"/>
        </w:rPr>
        <w:t>5、质量保证体系、质量组织机构、管理制度不健全，或落实不到位的，扣4分。</w:t>
      </w:r>
    </w:p>
    <w:p>
      <w:pPr>
        <w:adjustRightInd w:val="0"/>
        <w:snapToGrid w:val="0"/>
        <w:spacing w:line="360" w:lineRule="auto"/>
        <w:ind w:firstLine="420" w:firstLineChars="200"/>
        <w:rPr>
          <w:rFonts w:hint="eastAsia"/>
          <w:color w:val="auto"/>
        </w:rPr>
      </w:pPr>
      <w:r>
        <w:rPr>
          <w:rFonts w:hint="eastAsia"/>
          <w:color w:val="auto"/>
        </w:rPr>
        <w:t>6、因项目质量不合格被监理、甲方或质量监督机构指令停工、返工或发出整改通知书后，整改不力的，扣5分。</w:t>
      </w:r>
    </w:p>
    <w:p>
      <w:pPr>
        <w:adjustRightInd w:val="0"/>
        <w:snapToGrid w:val="0"/>
        <w:spacing w:line="360" w:lineRule="auto"/>
        <w:ind w:firstLine="420" w:firstLineChars="200"/>
        <w:rPr>
          <w:rFonts w:hint="eastAsia"/>
          <w:color w:val="auto"/>
        </w:rPr>
      </w:pPr>
      <w:r>
        <w:rPr>
          <w:rFonts w:hint="eastAsia"/>
          <w:color w:val="auto"/>
        </w:rPr>
        <w:t>7、项目中发现使用不合材质要求的材料、偷工减料等质量问题，每次扣10分。</w:t>
      </w:r>
    </w:p>
    <w:p>
      <w:pPr>
        <w:adjustRightInd w:val="0"/>
        <w:snapToGrid w:val="0"/>
        <w:spacing w:line="360" w:lineRule="auto"/>
        <w:ind w:firstLine="420" w:firstLineChars="200"/>
        <w:rPr>
          <w:rFonts w:hint="eastAsia"/>
          <w:color w:val="auto"/>
        </w:rPr>
      </w:pPr>
      <w:r>
        <w:rPr>
          <w:rFonts w:hint="eastAsia"/>
          <w:color w:val="auto"/>
        </w:rPr>
        <w:t>8、未编制施工总进度计划、月度计划及保证措施的，扣2分。</w:t>
      </w:r>
    </w:p>
    <w:p>
      <w:pPr>
        <w:adjustRightInd w:val="0"/>
        <w:snapToGrid w:val="0"/>
        <w:spacing w:line="360" w:lineRule="auto"/>
        <w:ind w:firstLine="420" w:firstLineChars="200"/>
        <w:rPr>
          <w:rFonts w:hint="eastAsia"/>
          <w:color w:val="auto"/>
        </w:rPr>
      </w:pPr>
      <w:r>
        <w:rPr>
          <w:rFonts w:hint="eastAsia"/>
          <w:color w:val="auto"/>
        </w:rPr>
        <w:t>9、进度安排及控制不合理，人员、材料、机械设备等供应不能保证进度计划的实施，扣5分。</w:t>
      </w:r>
    </w:p>
    <w:p>
      <w:pPr>
        <w:adjustRightInd w:val="0"/>
        <w:snapToGrid w:val="0"/>
        <w:spacing w:line="360" w:lineRule="auto"/>
        <w:ind w:firstLine="420" w:firstLineChars="200"/>
        <w:rPr>
          <w:rFonts w:hint="eastAsia"/>
          <w:color w:val="auto"/>
        </w:rPr>
      </w:pPr>
      <w:r>
        <w:rPr>
          <w:rFonts w:hint="eastAsia"/>
          <w:color w:val="auto"/>
        </w:rPr>
        <w:t>10、未根据项目进展情况适时优化、调整进度计划的，扣2分。</w:t>
      </w:r>
    </w:p>
    <w:p>
      <w:pPr>
        <w:adjustRightInd w:val="0"/>
        <w:snapToGrid w:val="0"/>
        <w:spacing w:line="360" w:lineRule="auto"/>
        <w:ind w:firstLine="420" w:firstLineChars="200"/>
        <w:rPr>
          <w:rFonts w:hint="eastAsia"/>
          <w:color w:val="auto"/>
        </w:rPr>
      </w:pPr>
      <w:r>
        <w:rPr>
          <w:rFonts w:hint="eastAsia"/>
          <w:color w:val="auto"/>
        </w:rPr>
        <w:t>11、安全组织机构、管理制度以及各类应急预案和措施未建立、或落实不到位的，扣2分。</w:t>
      </w:r>
    </w:p>
    <w:p>
      <w:pPr>
        <w:adjustRightInd w:val="0"/>
        <w:snapToGrid w:val="0"/>
        <w:spacing w:line="360" w:lineRule="auto"/>
        <w:ind w:firstLine="420" w:firstLineChars="200"/>
        <w:rPr>
          <w:rFonts w:hint="eastAsia"/>
          <w:color w:val="auto"/>
        </w:rPr>
      </w:pPr>
      <w:r>
        <w:rPr>
          <w:rFonts w:hint="eastAsia"/>
          <w:color w:val="auto"/>
        </w:rPr>
        <w:t>12、未建立安全管理休系;未不按规定执行安全事故的隐患上报；未落实安全责任制的，扣3分。</w:t>
      </w:r>
    </w:p>
    <w:p>
      <w:pPr>
        <w:adjustRightInd w:val="0"/>
        <w:snapToGrid w:val="0"/>
        <w:spacing w:line="360" w:lineRule="auto"/>
        <w:ind w:firstLine="420" w:firstLineChars="200"/>
        <w:rPr>
          <w:rFonts w:hint="eastAsia"/>
          <w:color w:val="auto"/>
        </w:rPr>
      </w:pPr>
      <w:r>
        <w:rPr>
          <w:rFonts w:hint="eastAsia"/>
          <w:color w:val="auto"/>
        </w:rPr>
        <w:t>13、施工中发生安全事故，造成人员伤亡、重大财产损失或恶劣社会影响的扣20分。</w:t>
      </w:r>
    </w:p>
    <w:p>
      <w:pPr>
        <w:adjustRightInd w:val="0"/>
        <w:snapToGrid w:val="0"/>
        <w:spacing w:line="360" w:lineRule="auto"/>
        <w:ind w:firstLine="420" w:firstLineChars="200"/>
        <w:rPr>
          <w:rFonts w:hint="eastAsia"/>
          <w:color w:val="auto"/>
        </w:rPr>
      </w:pPr>
      <w:r>
        <w:rPr>
          <w:rFonts w:hint="eastAsia"/>
          <w:color w:val="auto"/>
        </w:rPr>
        <w:t>14、特殊作业、高危作业施工人员未经过培训或未持证上岗的，扣3分。</w:t>
      </w:r>
    </w:p>
    <w:p>
      <w:pPr>
        <w:adjustRightInd w:val="0"/>
        <w:snapToGrid w:val="0"/>
        <w:spacing w:line="360" w:lineRule="auto"/>
        <w:ind w:firstLine="420" w:firstLineChars="200"/>
        <w:rPr>
          <w:rFonts w:hint="eastAsia"/>
          <w:color w:val="auto"/>
        </w:rPr>
      </w:pPr>
      <w:r>
        <w:rPr>
          <w:rFonts w:hint="eastAsia"/>
          <w:color w:val="auto"/>
        </w:rPr>
        <w:t>15、现场劳动安全防护措施与安全警示设施不齐全、无效的，扣2分。</w:t>
      </w:r>
    </w:p>
    <w:p>
      <w:pPr>
        <w:adjustRightInd w:val="0"/>
        <w:snapToGrid w:val="0"/>
        <w:spacing w:line="360" w:lineRule="auto"/>
        <w:ind w:firstLine="420" w:firstLineChars="200"/>
        <w:rPr>
          <w:rFonts w:hint="eastAsia"/>
          <w:color w:val="auto"/>
        </w:rPr>
      </w:pPr>
      <w:r>
        <w:rPr>
          <w:rFonts w:hint="eastAsia"/>
          <w:color w:val="auto"/>
        </w:rPr>
        <w:t>16、未完成考核周期施工进度，每延期一天扣5分。</w:t>
      </w:r>
    </w:p>
    <w:p>
      <w:pPr>
        <w:adjustRightInd w:val="0"/>
        <w:snapToGrid w:val="0"/>
        <w:spacing w:line="360" w:lineRule="auto"/>
        <w:ind w:firstLine="420" w:firstLineChars="200"/>
        <w:rPr>
          <w:rFonts w:hint="eastAsia" w:ascii="Arial" w:hAnsi="Arial" w:cs="Arial"/>
          <w:color w:val="auto"/>
        </w:rPr>
      </w:pPr>
      <w:r>
        <w:rPr>
          <w:rFonts w:hint="eastAsia" w:ascii="Arial" w:hAnsi="Arial" w:cs="Arial"/>
          <w:color w:val="auto"/>
        </w:rPr>
        <w:t>17、使用了不合格材料或设备，项目质量达不到标准要求，收到甲方书面通知书的5日内未见整改，扣5分。</w:t>
      </w:r>
    </w:p>
    <w:p>
      <w:pPr>
        <w:pStyle w:val="2"/>
        <w:rPr>
          <w:rFonts w:hint="eastAsia" w:ascii="Arial" w:hAnsi="Arial" w:cs="Arial"/>
          <w:color w:val="auto"/>
        </w:rPr>
        <w:sectPr>
          <w:pgSz w:w="11906" w:h="16838"/>
          <w:pgMar w:top="1588" w:right="1701" w:bottom="1588" w:left="1701" w:header="851" w:footer="992" w:gutter="0"/>
          <w:cols w:space="720" w:num="1"/>
          <w:docGrid w:type="linesAndChars" w:linePitch="380" w:charSpace="0"/>
        </w:sectPr>
      </w:pPr>
    </w:p>
    <w:p>
      <w:pPr>
        <w:pStyle w:val="2"/>
        <w:rPr>
          <w:rFonts w:hint="eastAsia" w:ascii="Arial" w:hAnsi="Arial" w:cs="Arial"/>
          <w:color w:val="auto"/>
          <w:lang w:val="en-US" w:eastAsia="zh-CN"/>
        </w:rPr>
      </w:pPr>
      <w:r>
        <w:rPr>
          <w:rFonts w:hint="eastAsia" w:ascii="Arial" w:hAnsi="Arial" w:cs="Arial"/>
          <w:color w:val="auto"/>
          <w:lang w:val="en-US" w:eastAsia="zh-CN"/>
        </w:rPr>
        <w:t>附件三：</w:t>
      </w:r>
    </w:p>
    <w:p>
      <w:pPr>
        <w:pStyle w:val="2"/>
        <w:rPr>
          <w:rFonts w:hint="eastAsia" w:ascii="Arial" w:hAnsi="Arial" w:cs="Arial"/>
          <w:color w:val="auto"/>
          <w:lang w:val="en-US" w:eastAsia="zh-CN"/>
        </w:rPr>
      </w:pPr>
    </w:p>
    <w:p>
      <w:pPr>
        <w:pStyle w:val="2"/>
        <w:rPr>
          <w:rFonts w:hint="eastAsia" w:ascii="Arial" w:hAnsi="Arial" w:cs="Arial"/>
          <w:color w:val="auto"/>
          <w:lang w:val="en-US" w:eastAsia="zh-CN"/>
        </w:rPr>
      </w:pPr>
      <w:r>
        <w:rPr>
          <w:rFonts w:hint="eastAsia" w:ascii="Arial" w:hAnsi="Arial" w:cs="Arial"/>
          <w:color w:val="auto"/>
          <w:lang w:val="en-US" w:eastAsia="zh-CN"/>
        </w:rPr>
        <w:t>图纸以电子版形式发布。图纸内容仅供参考，以本次招标清单为准。</w:t>
      </w:r>
    </w:p>
    <w:p>
      <w:pPr>
        <w:pStyle w:val="2"/>
        <w:rPr>
          <w:rFonts w:hint="eastAsia" w:ascii="Arial" w:hAnsi="Arial" w:cs="Arial"/>
          <w:color w:val="auto"/>
          <w:lang w:val="en-US" w:eastAsia="zh-CN"/>
        </w:rPr>
      </w:pPr>
    </w:p>
    <w:p>
      <w:pPr>
        <w:pStyle w:val="2"/>
        <w:rPr>
          <w:rFonts w:hint="eastAsia" w:ascii="Arial" w:hAnsi="Arial" w:cs="Arial"/>
          <w:color w:val="auto"/>
          <w:lang w:val="en-US" w:eastAsia="zh-CN"/>
        </w:rPr>
        <w:sectPr>
          <w:pgSz w:w="11906" w:h="16838"/>
          <w:pgMar w:top="1440" w:right="1800" w:bottom="1440" w:left="1800" w:header="851" w:footer="992" w:gutter="0"/>
          <w:cols w:space="425" w:num="1"/>
          <w:docGrid w:type="lines" w:linePitch="312" w:charSpace="0"/>
        </w:sectPr>
      </w:pPr>
    </w:p>
    <w:p>
      <w:pPr>
        <w:pStyle w:val="2"/>
        <w:rPr>
          <w:rFonts w:hint="eastAsia" w:ascii="Arial" w:hAnsi="Arial" w:cs="Arial"/>
          <w:color w:val="auto"/>
          <w:lang w:val="en-US" w:eastAsia="zh-CN"/>
        </w:rPr>
      </w:pPr>
      <w:r>
        <w:rPr>
          <w:rFonts w:hint="eastAsia" w:ascii="Arial" w:hAnsi="Arial" w:cs="Arial"/>
          <w:color w:val="auto"/>
          <w:lang w:val="en-US" w:eastAsia="zh-CN"/>
        </w:rPr>
        <w:t>三、评分细则</w:t>
      </w:r>
    </w:p>
    <w:p>
      <w:pPr>
        <w:pStyle w:val="2"/>
        <w:rPr>
          <w:rFonts w:hint="eastAsia" w:ascii="Arial" w:hAnsi="Arial" w:cs="Arial"/>
          <w:color w:val="auto"/>
          <w:lang w:val="en-US" w:eastAsia="zh-CN"/>
        </w:rPr>
      </w:pPr>
    </w:p>
    <w:p>
      <w:pPr>
        <w:autoSpaceDE w:val="0"/>
        <w:autoSpaceDN w:val="0"/>
        <w:adjustRightInd w:val="0"/>
        <w:snapToGrid w:val="0"/>
        <w:spacing w:line="360" w:lineRule="auto"/>
        <w:ind w:firstLine="422" w:firstLineChars="200"/>
        <w:rPr>
          <w:rFonts w:ascii="宋体"/>
          <w:b/>
          <w:color w:val="auto"/>
          <w:szCs w:val="21"/>
          <w:lang w:val="zh-CN"/>
        </w:rPr>
      </w:pPr>
      <w:r>
        <w:rPr>
          <w:rFonts w:hint="eastAsia" w:ascii="宋体"/>
          <w:b/>
          <w:color w:val="auto"/>
          <w:szCs w:val="21"/>
          <w:lang w:val="zh-CN"/>
        </w:rPr>
        <w:t>资信技术分（满分</w:t>
      </w:r>
      <w:r>
        <w:rPr>
          <w:rFonts w:hint="eastAsia" w:ascii="宋体"/>
          <w:b/>
          <w:color w:val="auto"/>
          <w:szCs w:val="21"/>
          <w:lang w:val="en-US" w:eastAsia="zh-CN"/>
        </w:rPr>
        <w:t>70</w:t>
      </w:r>
      <w:r>
        <w:rPr>
          <w:rFonts w:hint="eastAsia" w:ascii="宋体"/>
          <w:b/>
          <w:color w:val="auto"/>
          <w:szCs w:val="21"/>
          <w:lang w:val="zh-CN"/>
        </w:rPr>
        <w:t>分）</w:t>
      </w:r>
    </w:p>
    <w:p>
      <w:pPr>
        <w:tabs>
          <w:tab w:val="left" w:pos="900"/>
        </w:tabs>
        <w:autoSpaceDE w:val="0"/>
        <w:autoSpaceDN w:val="0"/>
        <w:adjustRightInd w:val="0"/>
        <w:snapToGrid w:val="0"/>
        <w:spacing w:line="360" w:lineRule="auto"/>
        <w:ind w:firstLine="420" w:firstLineChars="200"/>
        <w:rPr>
          <w:rFonts w:hint="eastAsia" w:ascii="宋体" w:hAnsi="宋体"/>
          <w:color w:val="auto"/>
          <w:szCs w:val="21"/>
        </w:rPr>
      </w:pPr>
      <w:r>
        <w:rPr>
          <w:rFonts w:hint="eastAsia" w:ascii="宋体" w:hAnsi="宋体" w:cs="宋体"/>
          <w:bCs/>
          <w:color w:val="auto"/>
          <w:szCs w:val="21"/>
        </w:rPr>
        <w:t>评标委员会对各投标人的资信技术充分审核、讨论及评议后，每人一份评分表，进行独自打分并签名。在统计得分时，如发现某一单项评分超过评分细则规定的分值范围，则该张评分表无效。</w:t>
      </w:r>
      <w:r>
        <w:rPr>
          <w:rFonts w:hint="eastAsia" w:ascii="宋体" w:hAnsi="宋体"/>
          <w:color w:val="auto"/>
          <w:szCs w:val="21"/>
        </w:rPr>
        <w:t>投标人技术部分的得分为评标委员会各成员的有效评分的算术平均值。</w:t>
      </w:r>
    </w:p>
    <w:tbl>
      <w:tblPr>
        <w:tblStyle w:val="8"/>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720" w:type="dxa"/>
            <w:noWrap w:val="0"/>
            <w:vAlign w:val="center"/>
          </w:tcPr>
          <w:p>
            <w:pPr>
              <w:adjustRightInd w:val="0"/>
              <w:snapToGrid w:val="0"/>
              <w:jc w:val="center"/>
              <w:rPr>
                <w:rFonts w:hint="eastAsia" w:ascii="宋体"/>
                <w:color w:val="auto"/>
                <w:szCs w:val="21"/>
              </w:rPr>
            </w:pPr>
            <w:r>
              <w:rPr>
                <w:rFonts w:hint="eastAsia" w:ascii="宋体"/>
                <w:color w:val="auto"/>
                <w:szCs w:val="21"/>
              </w:rPr>
              <w:t>序号</w:t>
            </w:r>
          </w:p>
        </w:tc>
        <w:tc>
          <w:tcPr>
            <w:tcW w:w="7200" w:type="dxa"/>
            <w:noWrap w:val="0"/>
            <w:vAlign w:val="center"/>
          </w:tcPr>
          <w:p>
            <w:pPr>
              <w:adjustRightInd w:val="0"/>
              <w:snapToGrid w:val="0"/>
              <w:jc w:val="center"/>
              <w:rPr>
                <w:rFonts w:hint="eastAsia" w:ascii="宋体"/>
                <w:color w:val="auto"/>
                <w:szCs w:val="21"/>
              </w:rPr>
            </w:pPr>
            <w:r>
              <w:rPr>
                <w:rFonts w:hint="eastAsia" w:ascii="宋体"/>
                <w:color w:val="auto"/>
                <w:szCs w:val="21"/>
              </w:rPr>
              <w:t>项目</w:t>
            </w:r>
          </w:p>
        </w:tc>
        <w:tc>
          <w:tcPr>
            <w:tcW w:w="945" w:type="dxa"/>
            <w:noWrap w:val="0"/>
            <w:vAlign w:val="center"/>
          </w:tcPr>
          <w:p>
            <w:pPr>
              <w:adjustRightInd w:val="0"/>
              <w:snapToGrid w:val="0"/>
              <w:jc w:val="center"/>
              <w:rPr>
                <w:rFonts w:hint="eastAsia" w:ascii="宋体" w:eastAsia="宋体"/>
                <w:color w:val="auto"/>
                <w:szCs w:val="21"/>
                <w:lang w:eastAsia="zh-CN"/>
              </w:rPr>
            </w:pPr>
            <w:r>
              <w:rPr>
                <w:rFonts w:hint="eastAsia" w:ascii="宋体"/>
                <w:color w:val="auto"/>
                <w:szCs w:val="21"/>
                <w:lang w:val="en-US" w:eastAsia="zh-CN"/>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rPr>
            </w:pPr>
            <w:r>
              <w:rPr>
                <w:rFonts w:hint="eastAsia" w:ascii="宋体"/>
                <w:color w:val="auto"/>
                <w:szCs w:val="21"/>
              </w:rPr>
              <w:t>1</w:t>
            </w:r>
          </w:p>
        </w:tc>
        <w:tc>
          <w:tcPr>
            <w:tcW w:w="7200" w:type="dxa"/>
            <w:noWrap w:val="0"/>
            <w:vAlign w:val="center"/>
          </w:tcPr>
          <w:p>
            <w:pPr>
              <w:adjustRightInd w:val="0"/>
              <w:snapToGrid w:val="0"/>
              <w:rPr>
                <w:rFonts w:hint="eastAsia" w:ascii="宋体" w:hAnsi="宋体" w:eastAsia="宋体" w:cs="宋体"/>
                <w:bCs/>
                <w:snapToGrid w:val="0"/>
                <w:color w:val="auto"/>
                <w:kern w:val="0"/>
                <w:szCs w:val="21"/>
              </w:rPr>
            </w:pPr>
            <w:r>
              <w:rPr>
                <w:rFonts w:hint="eastAsia" w:ascii="宋体" w:hAnsi="宋体"/>
                <w:color w:val="auto"/>
                <w:spacing w:val="-6"/>
                <w:szCs w:val="21"/>
                <w:lang w:val="en-US" w:eastAsia="zh-CN"/>
              </w:rPr>
              <w:t>投标人的同类</w:t>
            </w:r>
            <w:r>
              <w:rPr>
                <w:rFonts w:hint="eastAsia" w:ascii="宋体" w:hAnsi="宋体"/>
                <w:color w:val="auto"/>
                <w:spacing w:val="-6"/>
                <w:szCs w:val="21"/>
              </w:rPr>
              <w:t>项目业绩。</w:t>
            </w:r>
            <w:r>
              <w:rPr>
                <w:rFonts w:hint="eastAsia" w:ascii="宋体" w:hAnsi="宋体" w:eastAsia="宋体" w:cs="宋体"/>
                <w:bCs/>
                <w:snapToGrid w:val="0"/>
                <w:color w:val="auto"/>
                <w:kern w:val="0"/>
                <w:szCs w:val="21"/>
              </w:rPr>
              <w:t>要求如下：</w:t>
            </w:r>
          </w:p>
          <w:p>
            <w:pPr>
              <w:adjustRightInd w:val="0"/>
              <w:snapToGrid w:val="0"/>
              <w:rPr>
                <w:rFonts w:hint="eastAsia" w:ascii="宋体" w:hAnsi="宋体" w:eastAsia="宋体" w:cs="宋体"/>
                <w:bCs/>
                <w:snapToGrid w:val="0"/>
                <w:color w:val="auto"/>
                <w:kern w:val="0"/>
                <w:szCs w:val="21"/>
              </w:rPr>
            </w:pPr>
            <w:r>
              <w:rPr>
                <w:rFonts w:hint="eastAsia" w:ascii="宋体" w:hAnsi="宋体" w:eastAsia="宋体" w:cs="宋体"/>
                <w:bCs/>
                <w:snapToGrid w:val="0"/>
                <w:color w:val="auto"/>
                <w:kern w:val="0"/>
                <w:szCs w:val="21"/>
              </w:rPr>
              <w:t>（1）</w:t>
            </w:r>
            <w:r>
              <w:rPr>
                <w:rFonts w:hint="eastAsia" w:ascii="宋体" w:hAnsi="宋体" w:eastAsia="宋体" w:cs="宋体"/>
                <w:bCs/>
                <w:snapToGrid w:val="0"/>
                <w:color w:val="auto"/>
                <w:kern w:val="0"/>
                <w:szCs w:val="21"/>
                <w:lang w:eastAsia="zh-CN"/>
              </w:rPr>
              <w:t>同类工作内容</w:t>
            </w:r>
            <w:r>
              <w:rPr>
                <w:rFonts w:hint="eastAsia" w:ascii="宋体" w:hAnsi="宋体" w:eastAsia="宋体" w:cs="宋体"/>
                <w:bCs/>
                <w:snapToGrid w:val="0"/>
                <w:color w:val="auto"/>
                <w:kern w:val="0"/>
                <w:szCs w:val="21"/>
              </w:rPr>
              <w:t>；</w:t>
            </w:r>
          </w:p>
          <w:p>
            <w:pPr>
              <w:adjustRightInd w:val="0"/>
              <w:snapToGrid w:val="0"/>
              <w:rPr>
                <w:rFonts w:hint="eastAsia" w:ascii="宋体" w:hAnsi="宋体" w:eastAsia="宋体" w:cs="宋体"/>
                <w:bCs/>
                <w:snapToGrid w:val="0"/>
                <w:color w:val="auto"/>
                <w:kern w:val="0"/>
                <w:szCs w:val="21"/>
              </w:rPr>
            </w:pPr>
            <w:r>
              <w:rPr>
                <w:rFonts w:hint="eastAsia" w:ascii="宋体" w:hAnsi="宋体" w:eastAsia="宋体" w:cs="宋体"/>
                <w:bCs/>
                <w:snapToGrid w:val="0"/>
                <w:color w:val="auto"/>
                <w:kern w:val="0"/>
                <w:szCs w:val="21"/>
              </w:rPr>
              <w:t>（</w:t>
            </w:r>
            <w:r>
              <w:rPr>
                <w:rFonts w:hint="eastAsia" w:ascii="宋体" w:hAnsi="宋体" w:eastAsia="宋体" w:cs="宋体"/>
                <w:bCs/>
                <w:snapToGrid w:val="0"/>
                <w:color w:val="auto"/>
                <w:kern w:val="0"/>
                <w:szCs w:val="21"/>
                <w:lang w:val="en-US" w:eastAsia="zh-CN"/>
              </w:rPr>
              <w:t>2</w:t>
            </w:r>
            <w:r>
              <w:rPr>
                <w:rFonts w:hint="eastAsia" w:ascii="宋体" w:hAnsi="宋体" w:eastAsia="宋体" w:cs="宋体"/>
                <w:bCs/>
                <w:snapToGrid w:val="0"/>
                <w:color w:val="auto"/>
                <w:kern w:val="0"/>
                <w:szCs w:val="21"/>
              </w:rPr>
              <w:t>）</w:t>
            </w:r>
            <w:r>
              <w:rPr>
                <w:rFonts w:hint="eastAsia" w:ascii="宋体" w:hAnsi="宋体" w:eastAsia="宋体" w:cs="宋体"/>
                <w:bCs/>
                <w:snapToGrid w:val="0"/>
                <w:color w:val="auto"/>
                <w:kern w:val="0"/>
                <w:szCs w:val="21"/>
                <w:lang w:eastAsia="zh-CN"/>
              </w:rPr>
              <w:t>合同甲方应是该合同所供应货物的终端</w:t>
            </w:r>
            <w:r>
              <w:rPr>
                <w:rFonts w:hint="eastAsia" w:ascii="宋体" w:hAnsi="宋体" w:eastAsia="宋体" w:cs="宋体"/>
                <w:bCs/>
                <w:snapToGrid w:val="0"/>
                <w:color w:val="auto"/>
                <w:kern w:val="0"/>
                <w:szCs w:val="21"/>
              </w:rPr>
              <w:t>用户</w:t>
            </w:r>
            <w:r>
              <w:rPr>
                <w:rFonts w:hint="eastAsia" w:ascii="宋体" w:hAnsi="宋体" w:eastAsia="宋体" w:cs="宋体"/>
                <w:bCs/>
                <w:snapToGrid w:val="0"/>
                <w:color w:val="auto"/>
                <w:kern w:val="0"/>
                <w:szCs w:val="21"/>
                <w:lang w:eastAsia="zh-CN"/>
              </w:rPr>
              <w:t>，而不是中间商、代理商等</w:t>
            </w:r>
            <w:r>
              <w:rPr>
                <w:rFonts w:hint="eastAsia" w:ascii="宋体" w:hAnsi="宋体" w:eastAsia="宋体" w:cs="宋体"/>
                <w:bCs/>
                <w:snapToGrid w:val="0"/>
                <w:color w:val="auto"/>
                <w:kern w:val="0"/>
                <w:szCs w:val="21"/>
              </w:rPr>
              <w:t>。</w:t>
            </w:r>
          </w:p>
          <w:p>
            <w:pPr>
              <w:adjustRightInd w:val="0"/>
              <w:snapToGrid w:val="0"/>
              <w:rPr>
                <w:rFonts w:hint="eastAsia" w:ascii="宋体" w:hAnsi="宋体" w:eastAsia="宋体" w:cs="宋体"/>
                <w:bCs/>
                <w:snapToGrid w:val="0"/>
                <w:color w:val="auto"/>
                <w:kern w:val="0"/>
                <w:szCs w:val="21"/>
              </w:rPr>
            </w:pPr>
            <w:r>
              <w:rPr>
                <w:rFonts w:hint="eastAsia" w:ascii="宋体" w:hAnsi="宋体" w:eastAsia="宋体" w:cs="宋体"/>
                <w:bCs/>
                <w:snapToGrid w:val="0"/>
                <w:color w:val="auto"/>
                <w:kern w:val="0"/>
                <w:szCs w:val="21"/>
              </w:rPr>
              <w:t>（</w:t>
            </w:r>
            <w:r>
              <w:rPr>
                <w:rFonts w:hint="eastAsia" w:ascii="宋体" w:hAnsi="宋体" w:eastAsia="宋体" w:cs="宋体"/>
                <w:bCs/>
                <w:snapToGrid w:val="0"/>
                <w:color w:val="auto"/>
                <w:kern w:val="0"/>
                <w:szCs w:val="21"/>
                <w:lang w:val="en-US" w:eastAsia="zh-CN"/>
              </w:rPr>
              <w:t>3</w:t>
            </w:r>
            <w:r>
              <w:rPr>
                <w:rFonts w:hint="eastAsia" w:ascii="宋体" w:hAnsi="宋体" w:eastAsia="宋体" w:cs="宋体"/>
                <w:bCs/>
                <w:snapToGrid w:val="0"/>
                <w:color w:val="auto"/>
                <w:kern w:val="0"/>
                <w:szCs w:val="21"/>
              </w:rPr>
              <w:t>）有效证明材料</w:t>
            </w:r>
            <w:r>
              <w:rPr>
                <w:rFonts w:hint="eastAsia" w:ascii="宋体" w:hAnsi="宋体" w:eastAsia="宋体" w:cs="宋体"/>
                <w:bCs/>
                <w:snapToGrid w:val="0"/>
                <w:color w:val="auto"/>
                <w:kern w:val="0"/>
                <w:szCs w:val="21"/>
                <w:lang w:eastAsia="zh-CN"/>
              </w:rPr>
              <w:t>须同时提供</w:t>
            </w:r>
            <w:r>
              <w:rPr>
                <w:rFonts w:hint="eastAsia" w:ascii="宋体" w:hAnsi="宋体" w:eastAsia="宋体" w:cs="宋体"/>
                <w:bCs/>
                <w:snapToGrid w:val="0"/>
                <w:color w:val="auto"/>
                <w:kern w:val="0"/>
                <w:szCs w:val="21"/>
                <w:lang w:val="en-US" w:eastAsia="zh-CN"/>
              </w:rPr>
              <w:t>该业绩项目在政府采购官网的成交结果公告网页截屏</w:t>
            </w:r>
            <w:r>
              <w:rPr>
                <w:rFonts w:hint="eastAsia" w:ascii="宋体" w:hAnsi="宋体" w:eastAsia="宋体" w:cs="宋体"/>
                <w:bCs/>
                <w:snapToGrid w:val="0"/>
                <w:color w:val="auto"/>
                <w:kern w:val="0"/>
                <w:szCs w:val="21"/>
                <w:lang w:eastAsia="zh-CN"/>
              </w:rPr>
              <w:t>、</w:t>
            </w:r>
            <w:r>
              <w:rPr>
                <w:rFonts w:hint="eastAsia" w:ascii="宋体" w:hAnsi="宋体" w:eastAsia="宋体" w:cs="宋体"/>
                <w:bCs/>
                <w:snapToGrid w:val="0"/>
                <w:color w:val="auto"/>
                <w:kern w:val="0"/>
                <w:szCs w:val="21"/>
                <w:lang w:val="en-US" w:eastAsia="zh-CN"/>
              </w:rPr>
              <w:t>合同</w:t>
            </w:r>
            <w:r>
              <w:rPr>
                <w:rFonts w:hint="eastAsia" w:ascii="宋体" w:hAnsi="宋体" w:eastAsia="宋体" w:cs="宋体"/>
                <w:bCs/>
                <w:snapToGrid w:val="0"/>
                <w:color w:val="auto"/>
                <w:kern w:val="0"/>
                <w:szCs w:val="21"/>
              </w:rPr>
              <w:t>（复印件</w:t>
            </w:r>
            <w:r>
              <w:rPr>
                <w:rFonts w:hint="eastAsia" w:ascii="宋体" w:hAnsi="宋体" w:eastAsia="宋体" w:cs="宋体"/>
                <w:bCs/>
                <w:snapToGrid w:val="0"/>
                <w:color w:val="auto"/>
                <w:kern w:val="0"/>
                <w:szCs w:val="21"/>
                <w:lang w:eastAsia="zh-CN"/>
              </w:rPr>
              <w:t>或扫描件，原件备查</w:t>
            </w:r>
            <w:r>
              <w:rPr>
                <w:rFonts w:hint="eastAsia" w:ascii="宋体" w:hAnsi="宋体" w:eastAsia="宋体" w:cs="宋体"/>
                <w:bCs/>
                <w:snapToGrid w:val="0"/>
                <w:color w:val="auto"/>
                <w:kern w:val="0"/>
                <w:szCs w:val="21"/>
              </w:rPr>
              <w:t>）。</w:t>
            </w:r>
          </w:p>
          <w:p>
            <w:pPr>
              <w:adjustRightInd w:val="0"/>
              <w:snapToGrid w:val="0"/>
              <w:rPr>
                <w:rFonts w:hint="eastAsia" w:ascii="宋体"/>
                <w:color w:val="auto"/>
                <w:szCs w:val="21"/>
              </w:rPr>
            </w:pPr>
            <w:r>
              <w:rPr>
                <w:rFonts w:hint="eastAsia" w:ascii="宋体" w:hAnsi="宋体" w:eastAsia="宋体" w:cs="宋体"/>
                <w:bCs/>
                <w:snapToGrid w:val="0"/>
                <w:color w:val="auto"/>
                <w:kern w:val="0"/>
                <w:szCs w:val="21"/>
              </w:rPr>
              <w:t>具备上述条件的，每个业绩得</w:t>
            </w:r>
            <w:r>
              <w:rPr>
                <w:rFonts w:hint="eastAsia" w:ascii="宋体" w:hAnsi="宋体" w:eastAsia="宋体" w:cs="宋体"/>
                <w:bCs/>
                <w:snapToGrid w:val="0"/>
                <w:color w:val="auto"/>
                <w:kern w:val="0"/>
                <w:szCs w:val="21"/>
                <w:lang w:val="en-US" w:eastAsia="zh-CN"/>
              </w:rPr>
              <w:t>1</w:t>
            </w:r>
            <w:r>
              <w:rPr>
                <w:rFonts w:hint="eastAsia" w:ascii="宋体" w:hAnsi="宋体" w:eastAsia="宋体" w:cs="宋体"/>
                <w:bCs/>
                <w:snapToGrid w:val="0"/>
                <w:color w:val="auto"/>
                <w:kern w:val="0"/>
                <w:szCs w:val="21"/>
              </w:rPr>
              <w:t>分，最多</w:t>
            </w:r>
            <w:r>
              <w:rPr>
                <w:rFonts w:hint="eastAsia" w:ascii="宋体" w:hAnsi="宋体" w:eastAsia="宋体" w:cs="宋体"/>
                <w:bCs/>
                <w:snapToGrid w:val="0"/>
                <w:color w:val="auto"/>
                <w:kern w:val="0"/>
                <w:szCs w:val="21"/>
                <w:lang w:val="en-US" w:eastAsia="zh-CN"/>
              </w:rPr>
              <w:t>3</w:t>
            </w:r>
            <w:r>
              <w:rPr>
                <w:rFonts w:hint="eastAsia" w:ascii="宋体" w:hAnsi="宋体" w:eastAsia="宋体" w:cs="宋体"/>
                <w:bCs/>
                <w:snapToGrid w:val="0"/>
                <w:color w:val="auto"/>
                <w:kern w:val="0"/>
                <w:szCs w:val="21"/>
              </w:rPr>
              <w:t>分。</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rPr>
            </w:pPr>
            <w:r>
              <w:rPr>
                <w:rFonts w:hint="eastAsia" w:ascii="宋体"/>
                <w:color w:val="auto"/>
                <w:szCs w:val="21"/>
              </w:rPr>
              <w:t>2</w:t>
            </w:r>
          </w:p>
        </w:tc>
        <w:tc>
          <w:tcPr>
            <w:tcW w:w="7200" w:type="dxa"/>
            <w:noWrap w:val="0"/>
            <w:vAlign w:val="center"/>
          </w:tcPr>
          <w:p>
            <w:pPr>
              <w:adjustRightInd w:val="0"/>
              <w:snapToGrid w:val="0"/>
              <w:rPr>
                <w:rFonts w:hint="eastAsia" w:ascii="宋体" w:eastAsia="宋体"/>
                <w:color w:val="auto"/>
                <w:szCs w:val="21"/>
                <w:lang w:val="en-US" w:eastAsia="zh-CN"/>
              </w:rPr>
            </w:pPr>
            <w:r>
              <w:rPr>
                <w:rFonts w:hint="eastAsia" w:ascii="宋体" w:hAnsi="宋体" w:eastAsia="宋体" w:cs="宋体"/>
                <w:bCs/>
                <w:snapToGrid w:val="0"/>
                <w:color w:val="auto"/>
                <w:kern w:val="0"/>
                <w:szCs w:val="21"/>
                <w:lang w:val="en-US" w:eastAsia="zh-CN"/>
              </w:rPr>
              <w:t>具有</w:t>
            </w:r>
            <w:r>
              <w:rPr>
                <w:rFonts w:hint="eastAsia" w:ascii="宋体" w:hAnsi="宋体" w:eastAsia="宋体" w:cs="宋体"/>
                <w:bCs/>
                <w:snapToGrid w:val="0"/>
                <w:color w:val="auto"/>
                <w:kern w:val="0"/>
                <w:szCs w:val="21"/>
              </w:rPr>
              <w:t>有效的质量体系认证、环境体系认证、职业健康体系认证</w:t>
            </w:r>
            <w:r>
              <w:rPr>
                <w:rFonts w:hint="eastAsia" w:ascii="宋体" w:hAnsi="宋体" w:eastAsia="宋体" w:cs="宋体"/>
                <w:bCs/>
                <w:snapToGrid w:val="0"/>
                <w:color w:val="auto"/>
                <w:kern w:val="0"/>
                <w:szCs w:val="21"/>
                <w:lang w:eastAsia="zh-CN"/>
              </w:rPr>
              <w:t>、</w:t>
            </w:r>
            <w:r>
              <w:rPr>
                <w:rFonts w:hint="eastAsia" w:ascii="宋体" w:hAnsi="宋体" w:eastAsia="宋体" w:cs="宋体"/>
                <w:bCs/>
                <w:snapToGrid w:val="0"/>
                <w:color w:val="auto"/>
                <w:kern w:val="0"/>
                <w:szCs w:val="21"/>
              </w:rPr>
              <w:t>商品售后服务评价体系</w:t>
            </w:r>
            <w:r>
              <w:rPr>
                <w:rFonts w:hint="eastAsia" w:ascii="宋体" w:hAnsi="宋体" w:eastAsia="宋体" w:cs="宋体"/>
                <w:bCs/>
                <w:snapToGrid w:val="0"/>
                <w:color w:val="auto"/>
                <w:kern w:val="0"/>
                <w:szCs w:val="21"/>
                <w:lang w:val="en-US" w:eastAsia="zh-CN"/>
              </w:rPr>
              <w:t>认证</w:t>
            </w:r>
            <w:r>
              <w:rPr>
                <w:rFonts w:hint="eastAsia" w:ascii="宋体" w:hAnsi="宋体" w:eastAsia="宋体" w:cs="宋体"/>
                <w:bCs/>
                <w:snapToGrid w:val="0"/>
                <w:color w:val="auto"/>
                <w:kern w:val="0"/>
                <w:szCs w:val="21"/>
              </w:rPr>
              <w:t>，每个得1分，全部具备的得</w:t>
            </w:r>
            <w:r>
              <w:rPr>
                <w:rFonts w:hint="eastAsia" w:ascii="宋体" w:hAnsi="宋体" w:eastAsia="宋体" w:cs="宋体"/>
                <w:bCs/>
                <w:snapToGrid w:val="0"/>
                <w:color w:val="auto"/>
                <w:kern w:val="0"/>
                <w:szCs w:val="21"/>
                <w:lang w:val="en-US" w:eastAsia="zh-CN"/>
              </w:rPr>
              <w:t>4</w:t>
            </w:r>
            <w:r>
              <w:rPr>
                <w:rFonts w:hint="eastAsia" w:ascii="宋体" w:hAnsi="宋体" w:eastAsia="宋体" w:cs="宋体"/>
                <w:bCs/>
                <w:snapToGrid w:val="0"/>
                <w:color w:val="auto"/>
                <w:kern w:val="0"/>
                <w:szCs w:val="21"/>
              </w:rPr>
              <w:t>分。</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3</w:t>
            </w:r>
          </w:p>
        </w:tc>
        <w:tc>
          <w:tcPr>
            <w:tcW w:w="7200" w:type="dxa"/>
            <w:noWrap w:val="0"/>
            <w:vAlign w:val="center"/>
          </w:tcPr>
          <w:p>
            <w:pPr>
              <w:adjustRightInd w:val="0"/>
              <w:snapToGrid w:val="0"/>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整体工作方案</w:t>
            </w:r>
          </w:p>
        </w:tc>
        <w:tc>
          <w:tcPr>
            <w:tcW w:w="945" w:type="dxa"/>
            <w:noWrap w:val="0"/>
            <w:vAlign w:val="center"/>
          </w:tcPr>
          <w:p>
            <w:pPr>
              <w:adjustRightInd w:val="0"/>
              <w:snapToGrid w:val="0"/>
              <w:rPr>
                <w:rFonts w:hint="eastAsia"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3.1</w:t>
            </w:r>
          </w:p>
        </w:tc>
        <w:tc>
          <w:tcPr>
            <w:tcW w:w="7200" w:type="dxa"/>
            <w:noWrap w:val="0"/>
            <w:vAlign w:val="center"/>
          </w:tcPr>
          <w:p>
            <w:pPr>
              <w:adjustRightInd w:val="0"/>
              <w:snapToGrid w:val="0"/>
              <w:rPr>
                <w:rFonts w:hint="eastAsia" w:ascii="宋体" w:hAnsi="宋体" w:cs="宋体"/>
                <w:bCs/>
                <w:color w:val="auto"/>
                <w:szCs w:val="21"/>
                <w:lang w:val="en-US" w:eastAsia="zh-CN"/>
              </w:rPr>
            </w:pPr>
            <w:r>
              <w:rPr>
                <w:rFonts w:hint="eastAsia" w:ascii="宋体" w:hAnsi="宋体" w:cs="宋体"/>
                <w:bCs/>
                <w:color w:val="auto"/>
                <w:szCs w:val="21"/>
                <w:lang w:val="en-US" w:eastAsia="zh-CN"/>
              </w:rPr>
              <w:t>现状分析及项目总体理解。</w:t>
            </w:r>
            <w:r>
              <w:rPr>
                <w:rFonts w:hint="eastAsia" w:ascii="宋体" w:hAnsi="宋体" w:cs="宋体"/>
                <w:bCs/>
                <w:color w:val="auto"/>
                <w:kern w:val="0"/>
                <w:szCs w:val="21"/>
              </w:rPr>
              <w:t>可提供切实可信的重难点分析、方案措施及证明材料</w:t>
            </w:r>
          </w:p>
        </w:tc>
        <w:tc>
          <w:tcPr>
            <w:tcW w:w="945" w:type="dxa"/>
            <w:noWrap w:val="0"/>
            <w:vAlign w:val="center"/>
          </w:tcPr>
          <w:p>
            <w:pPr>
              <w:adjustRightInd w:val="0"/>
              <w:snapToGrid w:val="0"/>
              <w:jc w:val="center"/>
              <w:rPr>
                <w:rFonts w:hint="eastAsia" w:ascii="宋体"/>
                <w:color w:val="auto"/>
                <w:szCs w:val="21"/>
              </w:rPr>
            </w:pPr>
            <w:r>
              <w:rPr>
                <w:rFonts w:hint="eastAsia" w:ascii="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eastAsia="宋体"/>
                <w:color w:val="auto"/>
                <w:szCs w:val="21"/>
                <w:lang w:eastAsia="zh-CN"/>
              </w:rPr>
            </w:pPr>
            <w:r>
              <w:rPr>
                <w:rFonts w:hint="eastAsia" w:ascii="宋体"/>
                <w:color w:val="auto"/>
                <w:szCs w:val="21"/>
                <w:lang w:val="en-US" w:eastAsia="zh-CN"/>
              </w:rPr>
              <w:t>3</w:t>
            </w:r>
            <w:r>
              <w:rPr>
                <w:rFonts w:hint="eastAsia" w:ascii="宋体"/>
                <w:color w:val="auto"/>
                <w:szCs w:val="21"/>
              </w:rPr>
              <w:t>.</w:t>
            </w:r>
            <w:r>
              <w:rPr>
                <w:rFonts w:hint="eastAsia" w:ascii="宋体"/>
                <w:color w:val="auto"/>
                <w:szCs w:val="21"/>
                <w:lang w:val="en-US" w:eastAsia="zh-CN"/>
              </w:rPr>
              <w:t>2</w:t>
            </w:r>
          </w:p>
        </w:tc>
        <w:tc>
          <w:tcPr>
            <w:tcW w:w="7200" w:type="dxa"/>
            <w:noWrap w:val="0"/>
            <w:vAlign w:val="center"/>
          </w:tcPr>
          <w:p>
            <w:pPr>
              <w:adjustRightInd w:val="0"/>
              <w:snapToGrid w:val="0"/>
              <w:rPr>
                <w:rFonts w:hint="eastAsia" w:ascii="宋体"/>
                <w:color w:val="auto"/>
                <w:szCs w:val="21"/>
              </w:rPr>
            </w:pPr>
            <w:r>
              <w:rPr>
                <w:rFonts w:ascii="宋体" w:hAnsi="宋体" w:cs="宋体"/>
                <w:bCs/>
                <w:color w:val="auto"/>
                <w:szCs w:val="21"/>
              </w:rPr>
              <w:t>基础施工方案</w:t>
            </w:r>
          </w:p>
        </w:tc>
        <w:tc>
          <w:tcPr>
            <w:tcW w:w="945" w:type="dxa"/>
            <w:noWrap w:val="0"/>
            <w:vAlign w:val="center"/>
          </w:tcPr>
          <w:p>
            <w:pPr>
              <w:adjustRightInd w:val="0"/>
              <w:snapToGrid w:val="0"/>
              <w:jc w:val="center"/>
              <w:rPr>
                <w:rFonts w:hint="eastAsia" w:ascii="宋体" w:eastAsia="宋体"/>
                <w:color w:val="auto"/>
                <w:szCs w:val="21"/>
                <w:lang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3.3</w:t>
            </w:r>
          </w:p>
        </w:tc>
        <w:tc>
          <w:tcPr>
            <w:tcW w:w="7200" w:type="dxa"/>
            <w:noWrap w:val="0"/>
            <w:vAlign w:val="center"/>
          </w:tcPr>
          <w:p>
            <w:pPr>
              <w:adjustRightInd w:val="0"/>
              <w:snapToGrid w:val="0"/>
              <w:rPr>
                <w:rFonts w:hint="eastAsia" w:ascii="宋体" w:hAnsi="宋体" w:cs="宋体"/>
                <w:bCs/>
                <w:color w:val="auto"/>
                <w:szCs w:val="21"/>
              </w:rPr>
            </w:pPr>
            <w:r>
              <w:rPr>
                <w:rFonts w:ascii="宋体" w:hAnsi="宋体" w:cs="宋体"/>
                <w:bCs/>
                <w:color w:val="auto"/>
                <w:szCs w:val="21"/>
              </w:rPr>
              <w:t>交通组织方案</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3.4</w:t>
            </w:r>
          </w:p>
        </w:tc>
        <w:tc>
          <w:tcPr>
            <w:tcW w:w="7200" w:type="dxa"/>
            <w:noWrap w:val="0"/>
            <w:vAlign w:val="center"/>
          </w:tcPr>
          <w:p>
            <w:pPr>
              <w:adjustRightInd w:val="0"/>
              <w:snapToGrid w:val="0"/>
              <w:rPr>
                <w:rFonts w:hint="eastAsia" w:ascii="宋体" w:hAnsi="宋体" w:eastAsia="宋体" w:cs="宋体"/>
                <w:bCs/>
                <w:color w:val="auto"/>
                <w:szCs w:val="21"/>
                <w:lang w:eastAsia="zh-CN"/>
              </w:rPr>
            </w:pPr>
            <w:r>
              <w:rPr>
                <w:rFonts w:ascii="宋体" w:hAnsi="宋体" w:cs="宋体"/>
                <w:bCs/>
                <w:color w:val="auto"/>
                <w:szCs w:val="21"/>
              </w:rPr>
              <w:t>施工技术措施</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3.5</w:t>
            </w:r>
          </w:p>
        </w:tc>
        <w:tc>
          <w:tcPr>
            <w:tcW w:w="7200" w:type="dxa"/>
            <w:noWrap w:val="0"/>
            <w:vAlign w:val="center"/>
          </w:tcPr>
          <w:p>
            <w:pPr>
              <w:adjustRightInd w:val="0"/>
              <w:snapToGrid w:val="0"/>
              <w:rPr>
                <w:rFonts w:hint="eastAsia" w:ascii="宋体" w:hAnsi="宋体" w:cs="宋体"/>
                <w:bCs/>
                <w:color w:val="auto"/>
                <w:szCs w:val="21"/>
              </w:rPr>
            </w:pPr>
            <w:r>
              <w:rPr>
                <w:rFonts w:hint="eastAsia" w:ascii="宋体" w:hAnsi="宋体" w:cs="宋体"/>
                <w:bCs/>
                <w:color w:val="auto"/>
                <w:szCs w:val="21"/>
                <w:lang w:val="en-US" w:eastAsia="zh-CN"/>
              </w:rPr>
              <w:t>验收方案</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3.6</w:t>
            </w:r>
          </w:p>
        </w:tc>
        <w:tc>
          <w:tcPr>
            <w:tcW w:w="7200" w:type="dxa"/>
            <w:noWrap w:val="0"/>
            <w:vAlign w:val="center"/>
          </w:tcPr>
          <w:p>
            <w:pPr>
              <w:adjustRightInd w:val="0"/>
              <w:snapToGrid w:val="0"/>
              <w:rPr>
                <w:rFonts w:hint="eastAsia" w:ascii="宋体" w:hAnsi="宋体" w:cs="宋体"/>
                <w:bCs/>
                <w:color w:val="auto"/>
                <w:szCs w:val="21"/>
                <w:lang w:val="en-US" w:eastAsia="zh-CN"/>
              </w:rPr>
            </w:pPr>
            <w:r>
              <w:rPr>
                <w:rFonts w:hint="eastAsia" w:ascii="宋体" w:hAnsi="宋体" w:cs="宋体"/>
                <w:bCs/>
                <w:color w:val="auto"/>
                <w:kern w:val="0"/>
                <w:szCs w:val="21"/>
              </w:rPr>
              <w:t>安全责任保障方案、人员安全措施</w:t>
            </w:r>
          </w:p>
        </w:tc>
        <w:tc>
          <w:tcPr>
            <w:tcW w:w="945"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3.7</w:t>
            </w:r>
          </w:p>
        </w:tc>
        <w:tc>
          <w:tcPr>
            <w:tcW w:w="7200" w:type="dxa"/>
            <w:noWrap w:val="0"/>
            <w:vAlign w:val="center"/>
          </w:tcPr>
          <w:p>
            <w:pPr>
              <w:adjustRightInd w:val="0"/>
              <w:snapToGrid w:val="0"/>
              <w:rPr>
                <w:rFonts w:hint="eastAsia" w:ascii="宋体" w:hAnsi="宋体" w:cs="宋体"/>
                <w:bCs/>
                <w:color w:val="auto"/>
                <w:kern w:val="0"/>
                <w:szCs w:val="21"/>
                <w:lang w:val="en-US" w:eastAsia="zh-CN"/>
              </w:rPr>
            </w:pPr>
            <w:r>
              <w:rPr>
                <w:rFonts w:ascii="宋体" w:hAnsi="宋体" w:cs="宋体"/>
                <w:bCs/>
                <w:color w:val="auto"/>
                <w:szCs w:val="21"/>
              </w:rPr>
              <w:t>售后服务：投标人提供的机构和人员等情况，是否</w:t>
            </w:r>
            <w:r>
              <w:rPr>
                <w:rFonts w:hint="eastAsia" w:ascii="宋体" w:hAnsi="宋体" w:cs="宋体"/>
                <w:bCs/>
                <w:color w:val="auto"/>
                <w:szCs w:val="21"/>
                <w:lang w:val="en-US" w:eastAsia="zh-CN"/>
              </w:rPr>
              <w:t>可以提供</w:t>
            </w:r>
            <w:r>
              <w:rPr>
                <w:rFonts w:ascii="宋体" w:hAnsi="宋体" w:cs="宋体"/>
                <w:bCs/>
                <w:color w:val="auto"/>
                <w:szCs w:val="21"/>
              </w:rPr>
              <w:t>较强的本地化服务能力，</w:t>
            </w:r>
            <w:r>
              <w:rPr>
                <w:rFonts w:ascii="宋体" w:hAnsi="宋体" w:cs="宋体"/>
                <w:bCs/>
                <w:color w:val="auto"/>
                <w:szCs w:val="21"/>
                <w:lang w:val="zh-CN"/>
              </w:rPr>
              <w:t>在本地是否拥有常驻服务和技术支持机构</w:t>
            </w:r>
            <w:r>
              <w:rPr>
                <w:rFonts w:ascii="宋体" w:hAnsi="宋体" w:cs="宋体"/>
                <w:bCs/>
                <w:color w:val="auto"/>
                <w:szCs w:val="21"/>
              </w:rPr>
              <w:t>（非本地投标人在杭州是否有分公司或办事处或第三方协作单位作为常驻服务和技术支持机构，或在中标公示后在本地设立售后服务机构，负责质保期内售后服务）</w:t>
            </w:r>
            <w:r>
              <w:rPr>
                <w:rFonts w:ascii="宋体" w:hAnsi="宋体" w:cs="宋体"/>
                <w:bCs/>
                <w:color w:val="auto"/>
                <w:szCs w:val="21"/>
                <w:lang w:val="zh-CN"/>
              </w:rPr>
              <w:t>以及</w:t>
            </w:r>
            <w:r>
              <w:rPr>
                <w:rFonts w:ascii="宋体" w:hAnsi="宋体" w:cs="宋体"/>
                <w:bCs/>
                <w:color w:val="auto"/>
                <w:szCs w:val="21"/>
              </w:rPr>
              <w:t>较强的专业技术队伍，能提供快速的售后服务响应。</w:t>
            </w:r>
          </w:p>
        </w:tc>
        <w:tc>
          <w:tcPr>
            <w:tcW w:w="945"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3.8</w:t>
            </w:r>
          </w:p>
        </w:tc>
        <w:tc>
          <w:tcPr>
            <w:tcW w:w="7200" w:type="dxa"/>
            <w:noWrap w:val="0"/>
            <w:vAlign w:val="center"/>
          </w:tcPr>
          <w:p>
            <w:pPr>
              <w:adjustRightInd w:val="0"/>
              <w:snapToGrid w:val="0"/>
              <w:rPr>
                <w:rFonts w:hint="eastAsia" w:ascii="宋体" w:hAnsi="宋体" w:cs="宋体"/>
                <w:bCs/>
                <w:color w:val="auto"/>
                <w:szCs w:val="21"/>
              </w:rPr>
            </w:pPr>
            <w:r>
              <w:rPr>
                <w:rFonts w:ascii="宋体" w:hAnsi="宋体" w:cs="宋体"/>
                <w:bCs/>
                <w:color w:val="auto"/>
                <w:szCs w:val="21"/>
              </w:rPr>
              <w:t>服务方案，是否满足</w:t>
            </w:r>
            <w:r>
              <w:rPr>
                <w:rFonts w:hint="eastAsia" w:ascii="宋体" w:hAnsi="宋体" w:cs="宋体"/>
                <w:bCs/>
                <w:color w:val="auto"/>
                <w:szCs w:val="21"/>
                <w:lang w:val="en-US" w:eastAsia="zh-CN"/>
              </w:rPr>
              <w:t>招标</w:t>
            </w:r>
            <w:r>
              <w:rPr>
                <w:rFonts w:ascii="宋体" w:hAnsi="宋体" w:cs="宋体"/>
                <w:bCs/>
                <w:color w:val="auto"/>
                <w:szCs w:val="21"/>
              </w:rPr>
              <w:t>人的要求，投标设备材料的配件、附件、备品备件的准备、人员安排以及其它有关资料和材料的完整性、合理性和可操作性等情况，是否满足</w:t>
            </w:r>
            <w:r>
              <w:rPr>
                <w:rFonts w:hint="eastAsia" w:ascii="宋体" w:hAnsi="宋体" w:cs="宋体"/>
                <w:bCs/>
                <w:color w:val="auto"/>
                <w:szCs w:val="21"/>
                <w:lang w:val="en-US" w:eastAsia="zh-CN"/>
              </w:rPr>
              <w:t>招标</w:t>
            </w:r>
            <w:r>
              <w:rPr>
                <w:rFonts w:ascii="宋体" w:hAnsi="宋体" w:cs="宋体"/>
                <w:bCs/>
                <w:color w:val="auto"/>
                <w:szCs w:val="21"/>
              </w:rPr>
              <w:t>人的要求等</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4</w:t>
            </w:r>
          </w:p>
        </w:tc>
        <w:tc>
          <w:tcPr>
            <w:tcW w:w="7200" w:type="dxa"/>
            <w:noWrap w:val="0"/>
            <w:vAlign w:val="center"/>
          </w:tcPr>
          <w:p>
            <w:pPr>
              <w:adjustRightInd w:val="0"/>
              <w:snapToGrid w:val="0"/>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投标采用的交通设施、设备、材料</w:t>
            </w:r>
          </w:p>
        </w:tc>
        <w:tc>
          <w:tcPr>
            <w:tcW w:w="945" w:type="dxa"/>
            <w:noWrap w:val="0"/>
            <w:vAlign w:val="center"/>
          </w:tcPr>
          <w:p>
            <w:pPr>
              <w:adjustRightInd w:val="0"/>
              <w:snapToGrid w:val="0"/>
              <w:jc w:val="center"/>
              <w:rPr>
                <w:rFonts w:hint="eastAsia" w:asci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4.1</w:t>
            </w:r>
          </w:p>
        </w:tc>
        <w:tc>
          <w:tcPr>
            <w:tcW w:w="7200" w:type="dxa"/>
            <w:noWrap w:val="0"/>
            <w:vAlign w:val="center"/>
          </w:tcPr>
          <w:p>
            <w:pPr>
              <w:adjustRightInd w:val="0"/>
              <w:snapToGrid w:val="0"/>
              <w:rPr>
                <w:rFonts w:ascii="宋体" w:hAnsi="宋体" w:cs="宋体"/>
                <w:bCs/>
                <w:color w:val="auto"/>
                <w:szCs w:val="21"/>
              </w:rPr>
            </w:pPr>
            <w:r>
              <w:rPr>
                <w:rFonts w:hint="eastAsia" w:ascii="宋体" w:hAnsi="宋体" w:cs="宋体"/>
                <w:bCs/>
                <w:color w:val="auto"/>
                <w:szCs w:val="21"/>
              </w:rPr>
              <w:t>提供的</w:t>
            </w:r>
            <w:r>
              <w:rPr>
                <w:rFonts w:hint="eastAsia" w:ascii="宋体" w:hAnsi="宋体" w:cs="宋体"/>
                <w:color w:val="auto"/>
                <w:szCs w:val="21"/>
              </w:rPr>
              <w:t>指路牌、分道牌、隔离护栏</w:t>
            </w:r>
            <w:r>
              <w:rPr>
                <w:rFonts w:hint="eastAsia" w:ascii="宋体" w:hAnsi="宋体" w:cs="宋体"/>
                <w:bCs/>
                <w:color w:val="auto"/>
                <w:szCs w:val="21"/>
              </w:rPr>
              <w:t>交通设施</w:t>
            </w:r>
            <w:r>
              <w:rPr>
                <w:rFonts w:hint="eastAsia" w:ascii="宋体" w:hAnsi="宋体" w:cs="宋体"/>
                <w:bCs/>
                <w:color w:val="auto"/>
                <w:szCs w:val="21"/>
                <w:lang w:val="en-US" w:eastAsia="zh-CN"/>
              </w:rPr>
              <w:t>技术指标</w:t>
            </w:r>
            <w:r>
              <w:rPr>
                <w:rFonts w:hint="eastAsia" w:ascii="宋体" w:hAnsi="宋体" w:cs="宋体"/>
                <w:bCs/>
                <w:color w:val="auto"/>
                <w:szCs w:val="21"/>
              </w:rPr>
              <w:t>（材质、工艺、性能等）</w:t>
            </w:r>
          </w:p>
        </w:tc>
        <w:tc>
          <w:tcPr>
            <w:tcW w:w="945"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4.2</w:t>
            </w:r>
          </w:p>
        </w:tc>
        <w:tc>
          <w:tcPr>
            <w:tcW w:w="7200" w:type="dxa"/>
            <w:noWrap w:val="0"/>
            <w:vAlign w:val="center"/>
          </w:tcPr>
          <w:p>
            <w:pPr>
              <w:adjustRightInd w:val="0"/>
              <w:snapToGrid w:val="0"/>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提供的交通信息诱导系统的技术指标</w:t>
            </w:r>
          </w:p>
        </w:tc>
        <w:tc>
          <w:tcPr>
            <w:tcW w:w="945"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4.3</w:t>
            </w:r>
          </w:p>
        </w:tc>
        <w:tc>
          <w:tcPr>
            <w:tcW w:w="7200" w:type="dxa"/>
            <w:noWrap w:val="0"/>
            <w:vAlign w:val="center"/>
          </w:tcPr>
          <w:p>
            <w:pPr>
              <w:adjustRightInd w:val="0"/>
              <w:snapToGrid w:val="0"/>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投标样品</w:t>
            </w:r>
            <w:r>
              <w:rPr>
                <w:rFonts w:hint="eastAsia"/>
                <w:color w:val="auto"/>
                <w:lang w:eastAsia="zh-CN"/>
              </w:rPr>
              <w:t>。</w:t>
            </w:r>
            <w:r>
              <w:rPr>
                <w:rFonts w:hint="eastAsia" w:ascii="宋体" w:hAnsi="宋体" w:cs="宋体"/>
                <w:snapToGrid w:val="0"/>
                <w:color w:val="auto"/>
                <w:kern w:val="0"/>
                <w:szCs w:val="21"/>
              </w:rPr>
              <w:t>主要考察样品无法量化或需直接感受才能评判的性能指标，如加工工艺、</w:t>
            </w:r>
            <w:r>
              <w:rPr>
                <w:rFonts w:hint="eastAsia" w:ascii="宋体" w:hAnsi="宋体" w:cs="宋体"/>
                <w:snapToGrid w:val="0"/>
                <w:color w:val="auto"/>
                <w:kern w:val="0"/>
                <w:szCs w:val="21"/>
                <w:lang w:val="en-US" w:eastAsia="zh-CN"/>
              </w:rPr>
              <w:t>外观材质感受、易读性</w:t>
            </w:r>
            <w:r>
              <w:rPr>
                <w:rFonts w:hint="eastAsia" w:ascii="宋体" w:hAnsi="宋体" w:cs="宋体"/>
                <w:snapToGrid w:val="0"/>
                <w:color w:val="auto"/>
                <w:kern w:val="0"/>
                <w:szCs w:val="21"/>
              </w:rPr>
              <w:t>、与环境的协调等内容。</w:t>
            </w:r>
          </w:p>
        </w:tc>
        <w:tc>
          <w:tcPr>
            <w:tcW w:w="945" w:type="dxa"/>
            <w:noWrap w:val="0"/>
            <w:vAlign w:val="center"/>
          </w:tcPr>
          <w:p>
            <w:pPr>
              <w:adjustRightInd w:val="0"/>
              <w:snapToGrid w:val="0"/>
              <w:jc w:val="center"/>
              <w:rPr>
                <w:rFonts w:hint="eastAsia" w:asci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p>
        </w:tc>
        <w:tc>
          <w:tcPr>
            <w:tcW w:w="7200" w:type="dxa"/>
            <w:noWrap w:val="0"/>
            <w:vAlign w:val="center"/>
          </w:tcPr>
          <w:p>
            <w:pPr>
              <w:adjustRightInd w:val="0"/>
              <w:snapToGrid w:val="0"/>
              <w:rPr>
                <w:rFonts w:hint="eastAsia" w:ascii="宋体" w:hAnsi="宋体" w:cs="宋体"/>
                <w:bCs/>
                <w:color w:val="auto"/>
                <w:szCs w:val="21"/>
                <w:lang w:val="en-US" w:eastAsia="zh-CN"/>
              </w:rPr>
            </w:pPr>
            <w:r>
              <w:rPr>
                <w:rFonts w:hint="eastAsia" w:ascii="宋体" w:hAnsi="宋体"/>
                <w:color w:val="auto"/>
                <w:szCs w:val="21"/>
              </w:rPr>
              <w:t>铝板上划0.5米长15公分宽的震荡标线+双组份标线（黄色）根据投标样品的材质、产品品质、外观等进行评议</w:t>
            </w:r>
          </w:p>
        </w:tc>
        <w:tc>
          <w:tcPr>
            <w:tcW w:w="945"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rPr>
              <w:t>铝板上划0.5米长15公分宽的</w:t>
            </w:r>
            <w:r>
              <w:rPr>
                <w:rFonts w:hint="eastAsia" w:ascii="宋体" w:hAnsi="宋体" w:cs="Arial"/>
                <w:color w:val="auto"/>
                <w:szCs w:val="21"/>
                <w:lang w:eastAsia="zh-CN"/>
              </w:rPr>
              <w:t>热熔</w:t>
            </w:r>
            <w:r>
              <w:rPr>
                <w:rFonts w:hint="eastAsia" w:ascii="宋体" w:hAnsi="宋体" w:cs="Arial"/>
                <w:color w:val="auto"/>
                <w:szCs w:val="21"/>
              </w:rPr>
              <w:t>标线+双组份标线（</w:t>
            </w:r>
            <w:r>
              <w:rPr>
                <w:rFonts w:hint="eastAsia" w:ascii="宋体" w:hAnsi="宋体" w:cs="Arial"/>
                <w:color w:val="auto"/>
                <w:szCs w:val="21"/>
                <w:lang w:eastAsia="zh-CN"/>
              </w:rPr>
              <w:t>白</w:t>
            </w:r>
            <w:r>
              <w:rPr>
                <w:rFonts w:hint="eastAsia" w:ascii="宋体" w:hAnsi="宋体" w:cs="Arial"/>
                <w:color w:val="auto"/>
                <w:szCs w:val="21"/>
              </w:rPr>
              <w:t>色）根据投标样品的材质、产品品质、外观等进行评议</w:t>
            </w:r>
          </w:p>
        </w:tc>
        <w:tc>
          <w:tcPr>
            <w:tcW w:w="945"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rPr>
              <w:t>提供反光膜等级为钻石级竖向右侧通行线型诱导标一块，根据投标样品的材质和制作工艺</w:t>
            </w:r>
          </w:p>
        </w:tc>
        <w:tc>
          <w:tcPr>
            <w:tcW w:w="945"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4.4</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检测报告。提供招标货物本身或其材质的有效检测报告，检测报告必须是投标单位所有，每个1分，最多得3分</w:t>
            </w:r>
          </w:p>
        </w:tc>
        <w:tc>
          <w:tcPr>
            <w:tcW w:w="945"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5</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人员投入。须提供2019年6月起至少一个月</w:t>
            </w:r>
            <w:bookmarkStart w:id="15" w:name="_GoBack"/>
            <w:bookmarkEnd w:id="15"/>
            <w:r>
              <w:rPr>
                <w:rFonts w:hint="eastAsia" w:ascii="宋体" w:hAnsi="宋体" w:cs="Arial"/>
                <w:color w:val="auto"/>
                <w:szCs w:val="21"/>
                <w:lang w:val="en-US" w:eastAsia="zh-CN"/>
              </w:rPr>
              <w:t>的社保缴纳证明，以证明项目组人员属于投标人。原件准备妥当，在评审时，按评标委员会要求提交审核。</w:t>
            </w:r>
          </w:p>
        </w:tc>
        <w:tc>
          <w:tcPr>
            <w:tcW w:w="945" w:type="dxa"/>
            <w:noWrap w:val="0"/>
            <w:vAlign w:val="center"/>
          </w:tcPr>
          <w:p>
            <w:pPr>
              <w:adjustRightInd w:val="0"/>
              <w:snapToGrid w:val="0"/>
              <w:jc w:val="center"/>
              <w:rPr>
                <w:rFonts w:hint="eastAsia"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5.1</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人员配备方案。人员数量充足，技术力量齐备</w:t>
            </w:r>
          </w:p>
        </w:tc>
        <w:tc>
          <w:tcPr>
            <w:tcW w:w="945" w:type="dxa"/>
            <w:noWrap w:val="0"/>
            <w:vAlign w:val="center"/>
          </w:tcPr>
          <w:p>
            <w:pPr>
              <w:adjustRightInd w:val="0"/>
              <w:snapToGrid w:val="0"/>
              <w:jc w:val="center"/>
              <w:rPr>
                <w:rFonts w:hint="eastAsia" w:ascii="宋体" w:eastAsia="宋体"/>
                <w:color w:val="auto"/>
                <w:szCs w:val="21"/>
                <w:lang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5.2</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拟派项目负责人（一人）具有中级或以上职称得0.5分，取得二级或以上建造师资格得0.5分，具有建筑施工企业项目负责人安全生产考核合格证书（B类）得0.5分。本项最多1.5分</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5.3</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拟派安全生产负责人（一人）具有施工现场安全生产专职管理人员“三类人员”C类证书得0.5分</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6</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机械/设备/器材投入。本项目合同签署准备进场，为保障工期及项目质量，车辆及各机械/设备/器材建议自有。原件准备妥当，在评审时，按评标委员会要求提交审核。</w:t>
            </w:r>
          </w:p>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机械/设备/器材清单及持有状况，按招标文件第六部分格式填写。</w:t>
            </w:r>
          </w:p>
        </w:tc>
        <w:tc>
          <w:tcPr>
            <w:tcW w:w="945" w:type="dxa"/>
            <w:noWrap w:val="0"/>
            <w:vAlign w:val="center"/>
          </w:tcPr>
          <w:p>
            <w:pPr>
              <w:adjustRightInd w:val="0"/>
              <w:snapToGrid w:val="0"/>
              <w:jc w:val="center"/>
              <w:rPr>
                <w:rFonts w:hint="eastAsia"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6.1</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自有1台登高车，可得2分；其他形式的得0.5分。</w:t>
            </w:r>
          </w:p>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提供有效的车辆行驶证复印件，作业车辆必须符合杭州市相关交通管理要求，车辆为中型专项作业车</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6.2</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自有1台专项作业高压水除线设备，可得2分；其他形式的得0.5分。</w:t>
            </w:r>
          </w:p>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提供设备购置发票复印件，及设备在施工前后对比的照片</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6.3</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自有1台双组份划线机设备，可得2分；其他形式的得0.5分</w:t>
            </w:r>
          </w:p>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提供设备购置发票复印件，及设备在施工前后对比的照片</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6.4</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自有1套标线逆反射系数测量仪，以及标线厚度测定仪设备，可得2分；其他形式的得0.5分。</w:t>
            </w:r>
          </w:p>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提供设备购置发票复印件及设备在施工现场的检测照片。</w:t>
            </w:r>
          </w:p>
        </w:tc>
        <w:tc>
          <w:tcPr>
            <w:tcW w:w="945"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6.5</w:t>
            </w:r>
          </w:p>
        </w:tc>
        <w:tc>
          <w:tcPr>
            <w:tcW w:w="7200" w:type="dxa"/>
            <w:noWrap w:val="0"/>
            <w:vAlign w:val="center"/>
          </w:tcPr>
          <w:p>
            <w:pPr>
              <w:adjustRightInd w:val="0"/>
              <w:snapToGrid w:val="0"/>
              <w:rPr>
                <w:rFonts w:hint="eastAsia" w:ascii="宋体" w:hAnsi="宋体" w:cs="Arial"/>
                <w:color w:val="auto"/>
                <w:szCs w:val="21"/>
                <w:lang w:val="en-US" w:eastAsia="zh-CN"/>
              </w:rPr>
            </w:pPr>
            <w:r>
              <w:rPr>
                <w:rFonts w:hint="eastAsia" w:ascii="宋体" w:hAnsi="宋体" w:cs="Arial"/>
                <w:color w:val="auto"/>
                <w:szCs w:val="21"/>
                <w:lang w:val="en-US" w:eastAsia="zh-CN"/>
              </w:rPr>
              <w:t>在上述基础机械/设备/器材基础上，每增加一项自有机械/设备/器材的，可得1分，最多3分</w:t>
            </w:r>
          </w:p>
        </w:tc>
        <w:tc>
          <w:tcPr>
            <w:tcW w:w="945" w:type="dxa"/>
            <w:noWrap w:val="0"/>
            <w:vAlign w:val="center"/>
          </w:tcPr>
          <w:p>
            <w:pPr>
              <w:adjustRightInd w:val="0"/>
              <w:snapToGrid w:val="0"/>
              <w:jc w:val="center"/>
              <w:rPr>
                <w:rFonts w:hint="eastAsia" w:ascii="宋体" w:eastAsia="宋体"/>
                <w:color w:val="auto"/>
                <w:szCs w:val="21"/>
                <w:lang w:eastAsia="zh-CN"/>
              </w:rPr>
            </w:pPr>
            <w:r>
              <w:rPr>
                <w:rFonts w:hint="eastAsia" w:ascii="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color w:val="auto"/>
                <w:szCs w:val="21"/>
                <w:lang w:val="en-US" w:eastAsia="zh-CN"/>
              </w:rPr>
            </w:pPr>
            <w:r>
              <w:rPr>
                <w:rFonts w:hint="eastAsia" w:ascii="宋体"/>
                <w:color w:val="auto"/>
                <w:szCs w:val="21"/>
                <w:lang w:val="en-US" w:eastAsia="zh-CN"/>
              </w:rPr>
              <w:t>6.6</w:t>
            </w:r>
          </w:p>
        </w:tc>
        <w:tc>
          <w:tcPr>
            <w:tcW w:w="7200" w:type="dxa"/>
            <w:noWrap w:val="0"/>
            <w:vAlign w:val="center"/>
          </w:tcPr>
          <w:p>
            <w:pPr>
              <w:adjustRightInd w:val="0"/>
              <w:snapToGrid w:val="0"/>
              <w:rPr>
                <w:rFonts w:hint="eastAsia"/>
                <w:color w:val="auto"/>
              </w:rPr>
            </w:pPr>
            <w:r>
              <w:rPr>
                <w:rFonts w:hint="eastAsia" w:ascii="宋体" w:hAnsi="宋体" w:cs="宋体"/>
                <w:bCs/>
                <w:color w:val="auto"/>
                <w:szCs w:val="21"/>
                <w:lang w:val="en-US" w:eastAsia="zh-CN"/>
              </w:rPr>
              <w:t>其他</w:t>
            </w:r>
            <w:r>
              <w:rPr>
                <w:rFonts w:ascii="宋体" w:hAnsi="宋体" w:cs="宋体"/>
                <w:bCs/>
                <w:color w:val="auto"/>
                <w:szCs w:val="21"/>
              </w:rPr>
              <w:t>施工机械及检测仪器</w:t>
            </w:r>
            <w:r>
              <w:rPr>
                <w:rFonts w:hint="eastAsia" w:ascii="宋体" w:hAnsi="宋体" w:cs="宋体"/>
                <w:bCs/>
                <w:color w:val="auto"/>
                <w:szCs w:val="21"/>
                <w:lang w:val="en-US" w:eastAsia="zh-CN"/>
              </w:rPr>
              <w:t>的整体</w:t>
            </w:r>
            <w:r>
              <w:rPr>
                <w:rFonts w:ascii="宋体" w:hAnsi="宋体" w:cs="宋体"/>
                <w:bCs/>
                <w:color w:val="auto"/>
                <w:szCs w:val="21"/>
              </w:rPr>
              <w:t>配备情况</w:t>
            </w:r>
            <w:r>
              <w:rPr>
                <w:rFonts w:hint="eastAsia" w:ascii="宋体" w:hAnsi="宋体" w:cs="宋体"/>
                <w:bCs/>
                <w:color w:val="auto"/>
                <w:szCs w:val="21"/>
              </w:rPr>
              <w:t>。</w:t>
            </w:r>
          </w:p>
        </w:tc>
        <w:tc>
          <w:tcPr>
            <w:tcW w:w="945" w:type="dxa"/>
            <w:noWrap w:val="0"/>
            <w:vAlign w:val="center"/>
          </w:tcPr>
          <w:p>
            <w:pPr>
              <w:adjustRightInd w:val="0"/>
              <w:snapToGrid w:val="0"/>
              <w:jc w:val="center"/>
              <w:rPr>
                <w:rFonts w:hint="eastAsia" w:ascii="宋体"/>
                <w:color w:val="auto"/>
                <w:szCs w:val="21"/>
              </w:rPr>
            </w:pPr>
            <w:r>
              <w:rPr>
                <w:rFonts w:hint="eastAsia" w:ascii="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eastAsia="宋体"/>
                <w:color w:val="auto"/>
                <w:szCs w:val="21"/>
                <w:lang w:val="en-US" w:eastAsia="zh-CN"/>
              </w:rPr>
            </w:pPr>
            <w:r>
              <w:rPr>
                <w:rFonts w:hint="eastAsia" w:ascii="宋体"/>
                <w:color w:val="auto"/>
                <w:szCs w:val="21"/>
                <w:lang w:val="en-US" w:eastAsia="zh-CN"/>
              </w:rPr>
              <w:t>7</w:t>
            </w:r>
          </w:p>
        </w:tc>
        <w:tc>
          <w:tcPr>
            <w:tcW w:w="7200" w:type="dxa"/>
            <w:noWrap w:val="0"/>
            <w:vAlign w:val="center"/>
          </w:tcPr>
          <w:p>
            <w:pPr>
              <w:adjustRightInd w:val="0"/>
              <w:snapToGrid w:val="0"/>
              <w:rPr>
                <w:rFonts w:hint="eastAsia"/>
                <w:color w:val="auto"/>
              </w:rPr>
            </w:pPr>
            <w:r>
              <w:rPr>
                <w:rFonts w:hint="eastAsia" w:ascii="宋体" w:hAnsi="宋体" w:cs="宋体"/>
                <w:bCs/>
                <w:color w:val="auto"/>
                <w:szCs w:val="21"/>
                <w:lang w:val="en-US" w:eastAsia="zh-CN"/>
              </w:rPr>
              <w:t>其他优惠措施</w:t>
            </w:r>
          </w:p>
        </w:tc>
        <w:tc>
          <w:tcPr>
            <w:tcW w:w="945" w:type="dxa"/>
            <w:noWrap w:val="0"/>
            <w:vAlign w:val="center"/>
          </w:tcPr>
          <w:p>
            <w:pPr>
              <w:adjustRightInd w:val="0"/>
              <w:snapToGrid w:val="0"/>
              <w:jc w:val="center"/>
              <w:rPr>
                <w:rFonts w:hint="eastAsia" w:ascii="宋体"/>
                <w:color w:val="auto"/>
                <w:szCs w:val="21"/>
              </w:rPr>
            </w:pPr>
            <w:r>
              <w:rPr>
                <w:rFonts w:hint="eastAsia" w:ascii="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noWrap w:val="0"/>
            <w:vAlign w:val="center"/>
          </w:tcPr>
          <w:p>
            <w:pPr>
              <w:adjustRightInd w:val="0"/>
              <w:snapToGrid w:val="0"/>
              <w:jc w:val="center"/>
              <w:rPr>
                <w:rFonts w:hint="eastAsia" w:ascii="宋体" w:eastAsia="宋体"/>
                <w:color w:val="auto"/>
                <w:szCs w:val="21"/>
                <w:lang w:eastAsia="zh-CN"/>
              </w:rPr>
            </w:pPr>
            <w:r>
              <w:rPr>
                <w:rFonts w:hint="eastAsia" w:ascii="宋体"/>
                <w:color w:val="auto"/>
                <w:szCs w:val="21"/>
                <w:lang w:val="en-US" w:eastAsia="zh-CN"/>
              </w:rPr>
              <w:t>8</w:t>
            </w:r>
          </w:p>
        </w:tc>
        <w:tc>
          <w:tcPr>
            <w:tcW w:w="7200" w:type="dxa"/>
            <w:noWrap w:val="0"/>
            <w:vAlign w:val="center"/>
          </w:tcPr>
          <w:p>
            <w:pPr>
              <w:adjustRightInd w:val="0"/>
              <w:snapToGrid w:val="0"/>
              <w:rPr>
                <w:rFonts w:hint="eastAsia"/>
                <w:color w:val="auto"/>
              </w:rPr>
            </w:pPr>
            <w:r>
              <w:rPr>
                <w:rFonts w:hint="eastAsia" w:ascii="宋体" w:hAnsi="宋体"/>
                <w:color w:val="auto"/>
                <w:spacing w:val="-6"/>
                <w:szCs w:val="21"/>
              </w:rPr>
              <w:t>投标文件编制质量，酌情打分</w:t>
            </w:r>
          </w:p>
        </w:tc>
        <w:tc>
          <w:tcPr>
            <w:tcW w:w="945" w:type="dxa"/>
            <w:noWrap w:val="0"/>
            <w:vAlign w:val="center"/>
          </w:tcPr>
          <w:p>
            <w:pPr>
              <w:adjustRightInd w:val="0"/>
              <w:snapToGrid w:val="0"/>
              <w:jc w:val="center"/>
              <w:rPr>
                <w:rFonts w:hint="eastAsia" w:ascii="宋体"/>
                <w:color w:val="auto"/>
                <w:szCs w:val="21"/>
              </w:rPr>
            </w:pPr>
            <w:r>
              <w:rPr>
                <w:rFonts w:hint="eastAsia" w:ascii="宋体"/>
                <w:color w:val="auto"/>
                <w:szCs w:val="21"/>
              </w:rPr>
              <w:t>1</w:t>
            </w:r>
          </w:p>
        </w:tc>
      </w:tr>
    </w:tbl>
    <w:p>
      <w:pPr>
        <w:adjustRightInd w:val="0"/>
        <w:snapToGrid w:val="0"/>
        <w:spacing w:line="360" w:lineRule="auto"/>
        <w:ind w:firstLine="420" w:firstLineChars="200"/>
        <w:rPr>
          <w:rFonts w:hint="eastAsia" w:ascii="宋体" w:hAnsi="宋体"/>
          <w:color w:val="auto"/>
          <w:szCs w:val="21"/>
        </w:rPr>
      </w:pPr>
    </w:p>
    <w:p>
      <w:pPr>
        <w:adjustRightInd w:val="0"/>
        <w:snapToGrid w:val="0"/>
        <w:spacing w:line="360" w:lineRule="auto"/>
        <w:ind w:firstLine="422" w:firstLineChars="200"/>
        <w:rPr>
          <w:rFonts w:ascii="宋体" w:hAnsi="宋体" w:cs="Courier New"/>
          <w:color w:val="auto"/>
          <w:szCs w:val="21"/>
        </w:rPr>
      </w:pPr>
      <w:r>
        <w:rPr>
          <w:rFonts w:hint="eastAsia" w:ascii="宋体" w:hAnsi="宋体" w:cs="Courier New"/>
          <w:b/>
          <w:color w:val="auto"/>
          <w:szCs w:val="21"/>
        </w:rPr>
        <w:t>3.5.2商务部分</w:t>
      </w:r>
      <w:r>
        <w:rPr>
          <w:rFonts w:ascii="宋体" w:hAnsi="宋体" w:cs="Courier New"/>
          <w:b/>
          <w:color w:val="auto"/>
          <w:szCs w:val="21"/>
        </w:rPr>
        <w:t xml:space="preserve">  </w:t>
      </w:r>
      <w:r>
        <w:rPr>
          <w:rFonts w:hint="eastAsia" w:ascii="宋体" w:hAnsi="宋体" w:cs="Courier New"/>
          <w:b/>
          <w:color w:val="auto"/>
          <w:szCs w:val="21"/>
        </w:rPr>
        <w:t>（满分</w:t>
      </w:r>
      <w:r>
        <w:rPr>
          <w:rFonts w:hint="eastAsia" w:ascii="宋体" w:hAnsi="宋体" w:cs="Courier New"/>
          <w:b/>
          <w:color w:val="auto"/>
          <w:szCs w:val="21"/>
          <w:lang w:val="en-US" w:eastAsia="zh-CN"/>
        </w:rPr>
        <w:t>30</w:t>
      </w:r>
      <w:r>
        <w:rPr>
          <w:rFonts w:hint="eastAsia" w:ascii="宋体" w:hAnsi="宋体" w:cs="Courier New"/>
          <w:b/>
          <w:color w:val="auto"/>
          <w:szCs w:val="21"/>
        </w:rPr>
        <w:t>分）</w:t>
      </w:r>
      <w:r>
        <w:rPr>
          <w:rFonts w:ascii="宋体" w:hAnsi="宋体" w:cs="Courier New"/>
          <w:color w:val="auto"/>
          <w:szCs w:val="21"/>
        </w:rPr>
        <w:t xml:space="preserve">   </w:t>
      </w:r>
      <w:r>
        <w:rPr>
          <w:rFonts w:hint="eastAsia" w:ascii="宋体" w:hAnsi="宋体" w:cs="Courier New"/>
          <w:color w:val="auto"/>
          <w:szCs w:val="21"/>
        </w:rPr>
        <w:t xml:space="preserve">                           </w:t>
      </w:r>
    </w:p>
    <w:p>
      <w:pPr>
        <w:adjustRightInd w:val="0"/>
        <w:snapToGrid w:val="0"/>
        <w:spacing w:line="360" w:lineRule="auto"/>
        <w:ind w:firstLine="420" w:firstLineChars="200"/>
        <w:rPr>
          <w:rFonts w:ascii="宋体" w:hAnsi="宋体" w:cs="Courier New"/>
          <w:color w:val="auto"/>
          <w:szCs w:val="21"/>
        </w:rPr>
      </w:pPr>
      <w:r>
        <w:rPr>
          <w:rFonts w:hint="eastAsia" w:ascii="宋体" w:hAnsi="宋体" w:cs="Courier New"/>
          <w:color w:val="auto"/>
          <w:szCs w:val="21"/>
        </w:rPr>
        <w:t>（1）商务评标按综合评分细则对投标人最终的报价的评标价进行统一计算评分，由评标委员会按综合评分因素及标准要求集体判定评分。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满足招标文件要求且有效投标价格中的最低的投标报价（评审价）为评标基准价，其价格分为该部分的满分。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其他投标人的价格分统一按照下列公式计算：</w:t>
      </w:r>
    </w:p>
    <w:p>
      <w:pPr>
        <w:adjustRightInd w:val="0"/>
        <w:snapToGrid w:val="0"/>
        <w:spacing w:line="360" w:lineRule="auto"/>
        <w:ind w:firstLine="735" w:firstLineChars="350"/>
        <w:rPr>
          <w:rFonts w:hint="eastAsia" w:ascii="宋体" w:hAnsi="宋体"/>
          <w:color w:val="auto"/>
          <w:szCs w:val="21"/>
        </w:rPr>
      </w:pPr>
      <w:r>
        <w:rPr>
          <w:rFonts w:hint="eastAsia" w:ascii="宋体" w:hAnsi="宋体"/>
          <w:color w:val="auto"/>
          <w:szCs w:val="21"/>
        </w:rPr>
        <w:t>投标报价得分=（评标基准价/投标报价）×价格权值×100</w:t>
      </w:r>
    </w:p>
    <w:p>
      <w:pPr>
        <w:adjustRightInd w:val="0"/>
        <w:snapToGrid w:val="0"/>
        <w:spacing w:line="360" w:lineRule="auto"/>
        <w:ind w:firstLine="420" w:firstLineChars="200"/>
        <w:rPr>
          <w:rFonts w:hint="eastAsia" w:ascii="宋体" w:hAnsi="宋体" w:cs="Courier New"/>
          <w:color w:val="auto"/>
          <w:szCs w:val="21"/>
          <w:lang w:val="en-US" w:eastAsia="zh-CN"/>
        </w:rPr>
      </w:pPr>
      <w:r>
        <w:rPr>
          <w:rFonts w:hint="eastAsia" w:ascii="宋体" w:hAnsi="宋体" w:cs="Courier New"/>
          <w:color w:val="auto"/>
          <w:szCs w:val="21"/>
        </w:rPr>
        <w:t>（2）超出招标文件要求的优惠条件，在计算价格分时，不能从投标价中扣除。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6"/>
      </w:rPr>
    </w:pPr>
    <w:r>
      <w:fldChar w:fldCharType="begin"/>
    </w:r>
    <w:r>
      <w:rPr>
        <w:rStyle w:val="6"/>
      </w:rPr>
      <w:instrText xml:space="preserve">PAGE  </w:instrText>
    </w:r>
    <w:r>
      <w:fldChar w:fldCharType="separate"/>
    </w:r>
    <w:r>
      <w:rPr>
        <w:rStyle w:val="6"/>
      </w:rPr>
      <w:t>23</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66C6A"/>
    <w:multiLevelType w:val="singleLevel"/>
    <w:tmpl w:val="85B66C6A"/>
    <w:lvl w:ilvl="0" w:tentative="0">
      <w:start w:val="6"/>
      <w:numFmt w:val="decimal"/>
      <w:suff w:val="nothing"/>
      <w:lvlText w:val="%1、"/>
      <w:lvlJc w:val="left"/>
    </w:lvl>
  </w:abstractNum>
  <w:abstractNum w:abstractNumId="1">
    <w:nsid w:val="00000005"/>
    <w:multiLevelType w:val="singleLevel"/>
    <w:tmpl w:val="00000005"/>
    <w:lvl w:ilvl="0" w:tentative="0">
      <w:start w:val="1"/>
      <w:numFmt w:val="bullet"/>
      <w:lvlText w:val=""/>
      <w:lvlJc w:val="left"/>
      <w:pPr>
        <w:tabs>
          <w:tab w:val="left" w:pos="420"/>
        </w:tabs>
        <w:ind w:left="420" w:hanging="193"/>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216A3"/>
    <w:rsid w:val="377620DE"/>
    <w:rsid w:val="46F45416"/>
    <w:rsid w:val="736E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adjustRightInd w:val="0"/>
      <w:spacing w:before="260" w:beforeLines="0" w:after="260" w:afterLines="0" w:line="413" w:lineRule="auto"/>
      <w:jc w:val="left"/>
      <w:outlineLvl w:val="1"/>
    </w:pPr>
    <w:rPr>
      <w:rFonts w:ascii="黑体" w:hAnsi="黑体" w:eastAsia="楷体"/>
      <w:b/>
      <w:bCs/>
      <w:sz w:val="32"/>
      <w:szCs w:val="32"/>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 w:type="paragraph" w:styleId="4">
    <w:name w:val="footer"/>
    <w:basedOn w:val="1"/>
    <w:uiPriority w:val="0"/>
    <w:pPr>
      <w:tabs>
        <w:tab w:val="center" w:pos="4153"/>
        <w:tab w:val="right" w:pos="8306"/>
      </w:tabs>
      <w:adjustRightInd w:val="0"/>
      <w:jc w:val="left"/>
    </w:pPr>
    <w:rPr>
      <w:sz w:val="18"/>
      <w:szCs w:val="20"/>
    </w:rPr>
  </w:style>
  <w:style w:type="character" w:styleId="6">
    <w:name w:val="page number"/>
    <w:basedOn w:val="5"/>
    <w:qFormat/>
    <w:uiPriority w:val="0"/>
  </w:style>
  <w:style w:type="character" w:styleId="7">
    <w:name w:val="annotation reference"/>
    <w:qFormat/>
    <w:uiPriority w:val="0"/>
    <w:rPr>
      <w:sz w:val="21"/>
      <w:szCs w:val="21"/>
    </w:rPr>
  </w:style>
  <w:style w:type="table" w:customStyle="1" w:styleId="9">
    <w:name w:val="网格型1"/>
    <w:basedOn w:val="8"/>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ZTB-Tangw</dc:creator>
  <cp:lastModifiedBy>唐稳</cp:lastModifiedBy>
  <dcterms:modified xsi:type="dcterms:W3CDTF">2019-09-11T02:09:25Z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